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rPr>
          <w:rFonts w:hint="eastAsia" w:ascii="宋体" w:hAnsi="宋体"/>
          <w:sz w:val="36"/>
        </w:rPr>
      </w:pPr>
      <w:r>
        <w:rPr>
          <w:rFonts w:hint="eastAsia" w:ascii="宋体" w:hAnsi="宋体"/>
          <w:sz w:val="36"/>
        </w:rPr>
        <w:t xml:space="preserve">标书编号：</w:t>
      </w:r>
      <w:r>
        <w:rPr>
          <w:rFonts w:ascii="宋体" w:hAnsi="宋体"/>
          <w:sz w:val="36"/>
        </w:rPr>
        <w:t xml:space="preserve"> </w:t>
      </w:r>
      <w:bookmarkStart w:id="0" w:name="OLE_LINK171"/>
      <w:r/>
      <w:bookmarkStart w:id="1" w:name="OLE_LINK172"/>
      <w:r>
        <w:rPr>
          <w:rFonts w:hint="eastAsia" w:ascii="宋体" w:hAnsi="宋体"/>
          <w:sz w:val="36"/>
        </w:rPr>
        <w:t xml:space="preserve">JSZC-320507-SZYC-G2026-0007</w:t>
      </w:r>
      <w:bookmarkEnd w:id="0"/>
      <w:r/>
      <w:bookmarkEnd w:id="1"/>
      <w:r>
        <w:rPr>
          <w:rFonts w:ascii="宋体" w:hAnsi="宋体"/>
          <w:sz w:val="36"/>
        </w:rPr>
        <w:t xml:space="preserve"> </w:t>
      </w:r>
      <w:r>
        <w:rPr>
          <w:rFonts w:hint="eastAsia" w:ascii="宋体" w:hAnsi="宋体"/>
          <w:sz w:val="36"/>
        </w:rPr>
      </w:r>
      <w:r/>
    </w:p>
    <w:p>
      <w:pPr>
        <w:pStyle w:val="895"/>
        <w:rPr>
          <w:rFonts w:hint="eastAsia" w:ascii="宋体" w:hAnsi="宋体"/>
          <w:sz w:val="36"/>
        </w:rPr>
      </w:pPr>
      <w:r>
        <w:rPr>
          <w:rFonts w:hint="eastAsia" w:ascii="宋体" w:hAnsi="宋体"/>
          <w:sz w:val="36"/>
        </w:rPr>
      </w:r>
      <w:r/>
    </w:p>
    <w:p>
      <w:pPr>
        <w:pStyle w:val="895"/>
        <w:jc w:val="center"/>
        <w:rPr>
          <w:rFonts w:hint="eastAsia" w:ascii="宋体" w:hAnsi="宋体"/>
        </w:rPr>
      </w:pPr>
      <w:r>
        <w:rPr>
          <w:rFonts w:hint="eastAsia" w:ascii="宋体" w:hAnsi="宋体"/>
        </w:rPr>
      </w:r>
      <w:r/>
    </w:p>
    <w:p>
      <w:pPr>
        <w:pStyle w:val="895"/>
        <w:jc w:val="center"/>
        <w:rPr>
          <w:rFonts w:ascii="宋体" w:hAnsi="宋体"/>
        </w:rPr>
      </w:pPr>
      <w:r>
        <w:rPr>
          <w:rFonts w:ascii="宋体" w:hAnsi="宋体"/>
        </w:rPr>
      </w:r>
      <w:r/>
    </w:p>
    <w:p>
      <w:pPr>
        <w:pStyle w:val="895"/>
        <w:jc w:val="center"/>
        <w:rPr>
          <w:rFonts w:hint="eastAsia" w:ascii="宋体" w:hAnsi="宋体"/>
          <w:sz w:val="72"/>
        </w:rPr>
      </w:pPr>
      <w:r>
        <w:rPr>
          <w:rFonts w:hint="eastAsia" w:ascii="宋体" w:hAnsi="宋体"/>
          <w:sz w:val="72"/>
        </w:rPr>
        <w:t xml:space="preserve">招</w:t>
      </w:r>
      <w:r>
        <w:rPr>
          <w:rFonts w:ascii="宋体" w:hAnsi="宋体"/>
          <w:sz w:val="72"/>
        </w:rPr>
        <w:t xml:space="preserve"> </w:t>
      </w:r>
      <w:r>
        <w:rPr>
          <w:rFonts w:hint="eastAsia" w:ascii="宋体" w:hAnsi="宋体"/>
          <w:sz w:val="72"/>
        </w:rPr>
        <w:t xml:space="preserve">标</w:t>
      </w:r>
      <w:r>
        <w:rPr>
          <w:rFonts w:ascii="宋体" w:hAnsi="宋体"/>
          <w:sz w:val="72"/>
        </w:rPr>
        <w:t xml:space="preserve"> </w:t>
      </w:r>
      <w:r>
        <w:rPr>
          <w:rFonts w:hint="eastAsia" w:ascii="宋体" w:hAnsi="宋体"/>
          <w:sz w:val="72"/>
        </w:rPr>
        <w:t xml:space="preserve">文</w:t>
      </w:r>
      <w:r>
        <w:rPr>
          <w:rFonts w:ascii="宋体" w:hAnsi="宋体"/>
          <w:sz w:val="72"/>
        </w:rPr>
        <w:t xml:space="preserve"> </w:t>
      </w:r>
      <w:r>
        <w:rPr>
          <w:rFonts w:hint="eastAsia" w:ascii="宋体" w:hAnsi="宋体"/>
          <w:sz w:val="72"/>
        </w:rPr>
        <w:t xml:space="preserve">件</w:t>
      </w:r>
      <w:r/>
    </w:p>
    <w:p>
      <w:pPr>
        <w:pStyle w:val="895"/>
        <w:jc w:val="center"/>
        <w:rPr>
          <w:rFonts w:ascii="宋体" w:hAnsi="宋体"/>
          <w:sz w:val="32"/>
        </w:rPr>
      </w:pPr>
      <w:r>
        <w:rPr>
          <w:rFonts w:ascii="宋体" w:hAnsi="宋体"/>
          <w:sz w:val="32"/>
        </w:rPr>
      </w:r>
      <w:r/>
    </w:p>
    <w:p>
      <w:pPr>
        <w:pStyle w:val="895"/>
        <w:ind w:firstLine="1500"/>
        <w:rPr>
          <w:rFonts w:hint="eastAsia" w:ascii="宋体" w:hAnsi="宋体"/>
          <w:color w:val="000000"/>
          <w:sz w:val="30"/>
        </w:rPr>
      </w:pPr>
      <w:r>
        <w:rPr>
          <w:rFonts w:hint="eastAsia" w:ascii="宋体" w:hAnsi="宋体"/>
          <w:color w:val="000000"/>
          <w:sz w:val="30"/>
        </w:rPr>
        <w:t xml:space="preserve">采购单位：</w:t>
      </w:r>
      <w:bookmarkStart w:id="2" w:name="OLE_LINK221"/>
      <w:r>
        <w:rPr>
          <w:rFonts w:hint="eastAsia" w:ascii="宋体" w:hAnsi="宋体"/>
          <w:color w:val="000000"/>
          <w:sz w:val="30"/>
        </w:rPr>
        <w:t xml:space="preserve">苏州市相城生态环境局</w:t>
      </w:r>
      <w:bookmarkEnd w:id="2"/>
      <w:r>
        <w:rPr>
          <w:rFonts w:hint="eastAsia" w:ascii="宋体" w:hAnsi="宋体"/>
          <w:color w:val="000000"/>
          <w:sz w:val="30"/>
        </w:rPr>
      </w:r>
      <w:r/>
    </w:p>
    <w:p>
      <w:pPr>
        <w:pStyle w:val="895"/>
        <w:ind w:firstLine="1500"/>
        <w:rPr>
          <w:rFonts w:hint="eastAsia" w:ascii="宋体" w:hAnsi="宋体"/>
          <w:color w:val="000000"/>
          <w:sz w:val="30"/>
        </w:rPr>
      </w:pPr>
      <w:r>
        <w:rPr>
          <w:rFonts w:hint="eastAsia" w:ascii="宋体" w:hAnsi="宋体"/>
          <w:color w:val="000000"/>
          <w:sz w:val="30"/>
        </w:rPr>
        <w:t xml:space="preserve">采购内容：2026年环境监测服务              </w:t>
      </w:r>
      <w:r/>
    </w:p>
    <w:p>
      <w:pPr>
        <w:pStyle w:val="895"/>
        <w:ind w:firstLine="1500"/>
        <w:rPr>
          <w:rFonts w:ascii="宋体" w:hAnsi="宋体"/>
          <w:color w:val="000000"/>
          <w:sz w:val="30"/>
        </w:rPr>
      </w:pPr>
      <w:r>
        <w:rPr>
          <w:rFonts w:hint="eastAsia" w:ascii="宋体" w:hAnsi="宋体"/>
          <w:color w:val="000000"/>
          <w:sz w:val="30"/>
        </w:rPr>
        <w:t xml:space="preserve">类    别：服务类</w:t>
      </w:r>
      <w:r>
        <w:rPr>
          <w:rFonts w:ascii="宋体" w:hAnsi="宋体"/>
          <w:color w:val="000000"/>
          <w:sz w:val="30"/>
        </w:rPr>
      </w:r>
      <w:r/>
    </w:p>
    <w:p>
      <w:pPr>
        <w:pStyle w:val="895"/>
        <w:jc w:val="center"/>
        <w:rPr>
          <w:rFonts w:ascii="宋体" w:hAnsi="宋体"/>
          <w:sz w:val="32"/>
        </w:rPr>
      </w:pPr>
      <w:r>
        <w:rPr>
          <w:rFonts w:ascii="宋体" w:hAnsi="宋体"/>
          <w:sz w:val="32"/>
        </w:rPr>
      </w:r>
      <w:r/>
    </w:p>
    <w:p>
      <w:pPr>
        <w:pStyle w:val="895"/>
        <w:jc w:val="center"/>
        <w:rPr>
          <w:rFonts w:ascii="宋体" w:hAnsi="宋体"/>
          <w:sz w:val="32"/>
        </w:rPr>
      </w:pPr>
      <w:r>
        <w:rPr>
          <w:rFonts w:ascii="宋体" w:hAnsi="宋体"/>
          <w:sz w:val="32"/>
        </w:rPr>
      </w:r>
      <w:r/>
    </w:p>
    <w:p>
      <w:pPr>
        <w:pStyle w:val="895"/>
        <w:jc w:val="center"/>
        <w:rPr>
          <w:rFonts w:ascii="宋体" w:hAnsi="宋体"/>
          <w:sz w:val="28"/>
        </w:rPr>
      </w:pPr>
      <w:r>
        <w:rPr>
          <w:rFonts w:hint="eastAsia" w:ascii="宋体" w:hAnsi="宋体"/>
          <w:sz w:val="32"/>
        </w:rPr>
        <mc:AlternateContent>
          <mc:Choice Requires="wpg">
            <w:drawing>
              <wp:inline xmlns:wp="http://schemas.openxmlformats.org/drawingml/2006/wordprocessingDrawing" distT="0" distB="0" distL="0" distR="0">
                <wp:extent cx="1862455" cy="16573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862455" cy="1657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6.7pt;height:130.5pt;mso-wrap-distance-left:0.0pt;mso-wrap-distance-top:0.0pt;mso-wrap-distance-right:0.0pt;mso-wrap-distance-bottom:0.0pt;" stroked="f">
                <v:path textboxrect="0,0,0,0"/>
                <v:imagedata r:id="rId12" o:title=""/>
              </v:shape>
            </w:pict>
          </mc:Fallback>
        </mc:AlternateContent>
      </w:r>
      <w:r>
        <w:rPr>
          <w:rFonts w:ascii="宋体" w:hAnsi="宋体"/>
          <w:sz w:val="28"/>
        </w:rPr>
      </w:r>
      <w:r/>
    </w:p>
    <w:p>
      <w:pPr>
        <w:pStyle w:val="895"/>
        <w:jc w:val="center"/>
        <w:rPr>
          <w:rFonts w:ascii="宋体" w:hAnsi="宋体"/>
          <w:sz w:val="28"/>
        </w:rPr>
      </w:pPr>
      <w:r>
        <w:rPr>
          <w:rFonts w:ascii="宋体" w:hAnsi="宋体"/>
          <w:sz w:val="28"/>
        </w:rPr>
      </w:r>
      <w:r/>
    </w:p>
    <w:p>
      <w:pPr>
        <w:pStyle w:val="895"/>
        <w:jc w:val="center"/>
        <w:rPr>
          <w:rFonts w:ascii="宋体" w:hAnsi="宋体"/>
          <w:sz w:val="28"/>
        </w:rPr>
      </w:pPr>
      <w:r>
        <w:rPr>
          <w:rFonts w:hint="eastAsia" w:ascii="宋体" w:hAnsi="宋体"/>
          <w:sz w:val="28"/>
        </w:rPr>
        <w:t xml:space="preserve">苏州市营财招投标咨询服务有限公司</w:t>
      </w:r>
      <w:r>
        <w:rPr>
          <w:rFonts w:ascii="宋体" w:hAnsi="宋体"/>
          <w:sz w:val="28"/>
        </w:rPr>
      </w:r>
      <w:r/>
    </w:p>
    <w:p>
      <w:pPr>
        <w:pStyle w:val="919"/>
        <w:jc w:val="center"/>
        <w:rPr>
          <w:rFonts w:eastAsia="宋体"/>
        </w:rPr>
      </w:pPr>
      <w:r>
        <w:rPr>
          <w:rFonts w:eastAsia="宋体"/>
        </w:rPr>
      </w:r>
      <w:r/>
    </w:p>
    <w:p>
      <w:pPr>
        <w:pStyle w:val="895"/>
        <w:jc w:val="center"/>
        <w:rPr>
          <w:rFonts w:hint="eastAsia" w:ascii="宋体" w:hAnsi="宋体"/>
        </w:rPr>
      </w:pPr>
      <w:r>
        <w:rPr>
          <w:rFonts w:hint="eastAsia" w:ascii="宋体" w:hAnsi="宋体"/>
          <w:sz w:val="28"/>
          <w:szCs w:val="28"/>
        </w:rPr>
        <w:t xml:space="preserve">二〇二六年五月</w:t>
      </w:r>
      <w:r>
        <w:rPr>
          <w:rFonts w:hint="eastAsia" w:ascii="宋体" w:hAnsi="宋体"/>
        </w:rPr>
      </w:r>
      <w:r/>
    </w:p>
    <w:p>
      <w:pPr>
        <w:pStyle w:val="895"/>
        <w:jc w:val="center"/>
        <w:rPr>
          <w:rFonts w:hint="eastAsia" w:ascii="宋体" w:hAnsi="宋体"/>
          <w:b/>
          <w:sz w:val="32"/>
          <w:szCs w:val="20"/>
        </w:rPr>
      </w:pPr>
      <w:r>
        <w:rPr>
          <w:rFonts w:ascii="宋体" w:hAnsi="宋体"/>
          <w:b/>
          <w:sz w:val="32"/>
          <w:szCs w:val="20"/>
        </w:rPr>
        <w:br w:type="page" w:clear="all"/>
      </w:r>
      <w:r>
        <w:rPr>
          <w:rFonts w:hint="eastAsia" w:ascii="宋体" w:hAnsi="宋体"/>
          <w:b/>
          <w:sz w:val="32"/>
          <w:szCs w:val="20"/>
        </w:rPr>
      </w:r>
      <w:r/>
    </w:p>
    <w:p>
      <w:pPr>
        <w:pStyle w:val="895"/>
        <w:jc w:val="center"/>
        <w:rPr>
          <w:rFonts w:hint="eastAsia" w:ascii="宋体" w:hAnsi="宋体" w:cs="宋体"/>
          <w:b/>
          <w:sz w:val="44"/>
          <w:szCs w:val="44"/>
        </w:rPr>
      </w:pPr>
      <w:r>
        <w:rPr>
          <w:rFonts w:hint="eastAsia" w:ascii="宋体" w:hAnsi="宋体" w:cs="宋体"/>
          <w:b/>
          <w:sz w:val="44"/>
          <w:szCs w:val="44"/>
        </w:rPr>
        <w:t xml:space="preserve">总目录</w:t>
      </w:r>
      <w:r/>
    </w:p>
    <w:p>
      <w:pPr>
        <w:pStyle w:val="908"/>
        <w:ind w:firstLine="0"/>
        <w:jc w:val="center"/>
        <w:rPr>
          <w:rFonts w:ascii="宋体" w:hAnsi="宋体" w:eastAsia="宋体"/>
          <w:sz w:val="30"/>
        </w:rPr>
      </w:pPr>
      <w:r>
        <w:rPr>
          <w:rFonts w:ascii="宋体" w:hAnsi="宋体" w:eastAsia="宋体"/>
          <w:sz w:val="30"/>
        </w:rPr>
      </w:r>
      <w:r/>
    </w:p>
    <w:p>
      <w:pPr>
        <w:pStyle w:val="908"/>
        <w:ind w:firstLine="0"/>
        <w:rPr>
          <w:rFonts w:ascii="宋体" w:hAnsi="宋体" w:eastAsia="宋体"/>
          <w:sz w:val="28"/>
        </w:rPr>
      </w:pPr>
      <w:r>
        <w:rPr>
          <w:rFonts w:hint="eastAsia" w:ascii="宋体" w:hAnsi="宋体" w:eastAsia="宋体"/>
          <w:sz w:val="28"/>
        </w:rPr>
        <w:t xml:space="preserve">第一章：投标邀请函</w:t>
      </w:r>
      <w:r>
        <w:rPr>
          <w:rFonts w:ascii="宋体" w:hAnsi="宋体" w:eastAsia="宋体"/>
          <w:sz w:val="28"/>
        </w:rPr>
      </w:r>
      <w:r/>
    </w:p>
    <w:p>
      <w:pPr>
        <w:pStyle w:val="908"/>
        <w:ind w:firstLine="0"/>
        <w:rPr>
          <w:rFonts w:hint="eastAsia" w:ascii="宋体" w:hAnsi="宋体" w:eastAsia="宋体"/>
          <w:bCs/>
          <w:sz w:val="28"/>
        </w:rPr>
      </w:pPr>
      <w:r>
        <w:rPr>
          <w:rFonts w:hint="eastAsia" w:ascii="宋体" w:hAnsi="宋体" w:eastAsia="宋体"/>
          <w:bCs/>
          <w:sz w:val="28"/>
        </w:rPr>
        <w:t xml:space="preserve">第二章：投标人须知</w:t>
      </w:r>
      <w:r/>
    </w:p>
    <w:p>
      <w:pPr>
        <w:pStyle w:val="895"/>
        <w:rPr>
          <w:rFonts w:hint="eastAsia" w:ascii="宋体" w:hAnsi="宋体"/>
          <w:bCs/>
          <w:sz w:val="28"/>
          <w:szCs w:val="20"/>
        </w:rPr>
      </w:pPr>
      <w:r>
        <w:rPr>
          <w:rFonts w:hint="eastAsia" w:ascii="宋体" w:hAnsi="宋体"/>
          <w:bCs/>
          <w:sz w:val="28"/>
          <w:szCs w:val="20"/>
        </w:rPr>
        <w:t xml:space="preserve">第三章：投标文件格式</w:t>
      </w:r>
      <w:r/>
    </w:p>
    <w:p>
      <w:pPr>
        <w:pStyle w:val="895"/>
        <w:rPr>
          <w:rFonts w:hint="eastAsia" w:ascii="宋体" w:hAnsi="宋体"/>
          <w:bCs/>
          <w:sz w:val="28"/>
          <w:szCs w:val="20"/>
        </w:rPr>
      </w:pPr>
      <w:r>
        <w:rPr>
          <w:rFonts w:hint="eastAsia" w:ascii="宋体" w:hAnsi="宋体"/>
          <w:bCs/>
          <w:sz w:val="28"/>
          <w:szCs w:val="20"/>
        </w:rPr>
        <w:t xml:space="preserve">第四章：采购需求</w:t>
      </w:r>
      <w:r/>
    </w:p>
    <w:p>
      <w:pPr>
        <w:pStyle w:val="895"/>
        <w:rPr>
          <w:rFonts w:hint="eastAsia" w:ascii="宋体" w:hAnsi="宋体"/>
          <w:bCs/>
          <w:sz w:val="28"/>
          <w:szCs w:val="20"/>
        </w:rPr>
      </w:pPr>
      <w:r>
        <w:rPr>
          <w:rFonts w:hint="eastAsia" w:ascii="宋体" w:hAnsi="宋体"/>
          <w:bCs/>
          <w:sz w:val="28"/>
          <w:szCs w:val="20"/>
        </w:rPr>
        <w:t xml:space="preserve">第五章：合同主要条款</w:t>
      </w:r>
      <w:r/>
    </w:p>
    <w:p>
      <w:pPr>
        <w:pStyle w:val="895"/>
        <w:rPr>
          <w:rFonts w:hint="eastAsia" w:ascii="宋体" w:hAnsi="宋体"/>
          <w:bCs/>
          <w:sz w:val="28"/>
          <w:szCs w:val="20"/>
        </w:rPr>
      </w:pPr>
      <w:r>
        <w:rPr>
          <w:rFonts w:hint="eastAsia" w:ascii="宋体" w:hAnsi="宋体"/>
          <w:bCs/>
          <w:sz w:val="28"/>
          <w:szCs w:val="20"/>
        </w:rPr>
        <w:t xml:space="preserve">第六章：评标方法、评标标准</w:t>
      </w:r>
      <w:r/>
    </w:p>
    <w:p>
      <w:pPr>
        <w:pStyle w:val="895"/>
        <w:rPr>
          <w:rFonts w:ascii="宋体" w:hAnsi="宋体"/>
          <w:bCs/>
          <w:sz w:val="28"/>
          <w:szCs w:val="20"/>
        </w:rPr>
      </w:pPr>
      <w:r>
        <w:rPr>
          <w:rFonts w:ascii="宋体" w:hAnsi="宋体"/>
          <w:bCs/>
          <w:sz w:val="28"/>
          <w:szCs w:val="20"/>
        </w:rPr>
      </w:r>
      <w:r/>
    </w:p>
    <w:p>
      <w:pPr>
        <w:pStyle w:val="896"/>
        <w:jc w:val="center"/>
        <w:rPr>
          <w:rFonts w:hint="eastAsia" w:ascii="宋体" w:hAnsi="宋体" w:eastAsia="宋体" w:cs="宋体"/>
          <w:bCs/>
          <w:sz w:val="28"/>
          <w:szCs w:val="28"/>
        </w:rPr>
      </w:pPr>
      <w:r>
        <w:rPr>
          <w:rFonts w:ascii="宋体" w:hAnsi="宋体" w:eastAsia="宋体" w:cs="宋体"/>
          <w:bCs/>
          <w:sz w:val="32"/>
          <w:szCs w:val="32"/>
        </w:rPr>
        <w:br w:type="page" w:clear="all"/>
      </w:r>
      <w:r>
        <w:rPr>
          <w:rFonts w:hint="eastAsia" w:ascii="宋体" w:hAnsi="宋体" w:eastAsia="宋体" w:cs="宋体"/>
          <w:bCs/>
          <w:sz w:val="32"/>
          <w:szCs w:val="32"/>
        </w:rPr>
        <w:t xml:space="preserve">第一章  </w:t>
      </w:r>
      <w:r>
        <w:rPr>
          <w:rFonts w:hint="eastAsia" w:ascii="宋体" w:hAnsi="宋体" w:eastAsia="宋体" w:cs="宋体"/>
          <w:sz w:val="28"/>
          <w:szCs w:val="28"/>
          <w:lang w:val="zh-CN"/>
        </w:rPr>
        <w:t xml:space="preserve">投标邀请函</w:t>
      </w:r>
      <w:r>
        <w:rPr>
          <w:rFonts w:hint="eastAsia" w:ascii="宋体" w:hAnsi="宋体" w:eastAsia="宋体" w:cs="宋体"/>
          <w:bCs/>
          <w:sz w:val="28"/>
          <w:szCs w:val="28"/>
        </w:rPr>
      </w:r>
      <w:r/>
    </w:p>
    <w:tbl>
      <w:tblPr>
        <w:tblW w:w="0" w:type="auto"/>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1"/>
      </w:tblGrid>
      <w:tr>
        <w:trPr/>
        <w:tc>
          <w:tcPr>
            <w:tcW w:w="9061" w:type="dxa"/>
            <w:vAlign w:val="top"/>
            <w:textDirection w:val="lrTb"/>
            <w:noWrap w:val="false"/>
          </w:tcPr>
          <w:p>
            <w:pPr>
              <w:pStyle w:val="895"/>
              <w:ind w:firstLine="480"/>
              <w:spacing w:line="360" w:lineRule="auto"/>
              <w:rPr>
                <w:rFonts w:hint="eastAsia" w:ascii="宋体" w:hAnsi="宋体"/>
                <w:sz w:val="24"/>
              </w:rPr>
            </w:pPr>
            <w:r>
              <w:rPr>
                <w:rFonts w:hint="eastAsia" w:ascii="宋体" w:hAnsi="宋体"/>
                <w:sz w:val="24"/>
              </w:rPr>
              <w:t xml:space="preserve">项目概况：2026年环境监测服务</w:t>
            </w:r>
            <w:r>
              <w:rPr>
                <w:rFonts w:ascii="宋体" w:hAnsi="宋体"/>
                <w:sz w:val="24"/>
              </w:rPr>
              <w:t xml:space="preserve">项目</w:t>
            </w:r>
            <w:r>
              <w:rPr>
                <w:rFonts w:hint="eastAsia" w:ascii="宋体" w:hAnsi="宋体"/>
                <w:sz w:val="24"/>
              </w:rPr>
              <w:t xml:space="preserve">的潜在供应商应在</w:t>
            </w:r>
            <w:r>
              <w:rPr>
                <w:rFonts w:hint="eastAsia" w:ascii="宋体" w:hAnsi="宋体" w:cs="宋体"/>
                <w:sz w:val="24"/>
                <w:u w:val="single"/>
              </w:rPr>
              <w:t xml:space="preserve">“苏采云”系统 </w:t>
            </w:r>
            <w:r>
              <w:rPr>
                <w:rFonts w:ascii="宋体" w:hAnsi="宋体" w:cs="宋体"/>
                <w:sz w:val="24"/>
              </w:rPr>
              <w:t xml:space="preserve">获取采购文件</w:t>
            </w:r>
            <w:r>
              <w:rPr>
                <w:rFonts w:hint="eastAsia" w:ascii="宋体" w:hAnsi="宋体"/>
                <w:b/>
                <w:sz w:val="24"/>
              </w:rPr>
              <w:t xml:space="preserve">。并于</w:t>
            </w:r>
            <w:bookmarkStart w:id="3" w:name="OLE_LINK52"/>
            <w:r>
              <w:rPr>
                <w:rFonts w:hint="eastAsia" w:ascii="宋体" w:hAnsi="宋体"/>
                <w:b/>
                <w:color w:val="000000" w:themeColor="text1"/>
                <w:sz w:val="24"/>
              </w:rPr>
              <w:t xml:space="preserve">2026年5月29日</w:t>
            </w:r>
            <w:bookmarkEnd w:id="3"/>
            <w:r>
              <w:rPr>
                <w:rFonts w:hint="eastAsia" w:ascii="宋体" w:hAnsi="宋体"/>
                <w:b/>
                <w:sz w:val="24"/>
              </w:rPr>
              <w:t xml:space="preserve">9:30分（北京时间）</w:t>
            </w:r>
            <w:r>
              <w:rPr>
                <w:rFonts w:hint="eastAsia" w:ascii="宋体" w:hAnsi="宋体"/>
                <w:sz w:val="24"/>
              </w:rPr>
              <w:t xml:space="preserve">前提交投标文件。</w:t>
            </w:r>
            <w:r/>
          </w:p>
        </w:tc>
      </w:tr>
    </w:tbl>
    <w:p>
      <w:pPr>
        <w:pStyle w:val="895"/>
        <w:spacing w:line="360" w:lineRule="auto"/>
        <w:rPr>
          <w:rFonts w:ascii="宋体" w:hAnsi="宋体"/>
          <w:b/>
          <w:sz w:val="24"/>
        </w:rPr>
      </w:pPr>
      <w:r>
        <w:rPr>
          <w:rFonts w:hint="eastAsia" w:ascii="宋体" w:hAnsi="宋体"/>
          <w:b/>
          <w:sz w:val="24"/>
        </w:rPr>
        <w:t xml:space="preserve">一、项目基本情况</w:t>
      </w:r>
      <w:r>
        <w:rPr>
          <w:rFonts w:ascii="宋体" w:hAnsi="宋体"/>
          <w:b/>
          <w:sz w:val="24"/>
        </w:rPr>
      </w:r>
      <w:r/>
    </w:p>
    <w:p>
      <w:pPr>
        <w:pStyle w:val="895"/>
        <w:spacing w:line="360" w:lineRule="auto"/>
        <w:rPr>
          <w:rFonts w:hint="eastAsia" w:ascii="宋体" w:hAnsi="宋体"/>
          <w:sz w:val="24"/>
        </w:rPr>
      </w:pPr>
      <w:r>
        <w:rPr>
          <w:rFonts w:hint="eastAsia" w:ascii="宋体" w:hAnsi="宋体"/>
          <w:sz w:val="24"/>
        </w:rPr>
        <w:t xml:space="preserve">1.项目编号：JSZC-320507-SZYC-G2026-0007 号</w:t>
      </w:r>
      <w:r/>
    </w:p>
    <w:p>
      <w:pPr>
        <w:pStyle w:val="895"/>
        <w:spacing w:line="360" w:lineRule="auto"/>
        <w:rPr>
          <w:rFonts w:hint="eastAsia" w:ascii="宋体" w:hAnsi="宋体"/>
          <w:sz w:val="24"/>
        </w:rPr>
      </w:pPr>
      <w:r>
        <w:rPr>
          <w:rFonts w:hint="eastAsia" w:ascii="宋体" w:hAnsi="宋体"/>
          <w:bCs/>
          <w:sz w:val="24"/>
        </w:rPr>
        <w:t xml:space="preserve">2.项目名称</w:t>
      </w:r>
      <w:r>
        <w:rPr>
          <w:rFonts w:hint="eastAsia" w:ascii="宋体" w:hAnsi="宋体"/>
          <w:sz w:val="24"/>
        </w:rPr>
        <w:t xml:space="preserve">：2026年环境监测服务</w:t>
      </w:r>
      <w:r/>
    </w:p>
    <w:p>
      <w:pPr>
        <w:pStyle w:val="895"/>
        <w:spacing w:line="360" w:lineRule="auto"/>
        <w:rPr>
          <w:rFonts w:hint="eastAsia" w:ascii="宋体" w:hAnsi="宋体"/>
          <w:sz w:val="24"/>
        </w:rPr>
      </w:pPr>
      <w:r>
        <w:rPr>
          <w:rFonts w:hint="eastAsia" w:ascii="宋体" w:hAnsi="宋体"/>
          <w:sz w:val="24"/>
        </w:rPr>
        <w:t xml:space="preserve">3.预算金额：总预算：670.00万元。其中：</w:t>
      </w:r>
      <w:r/>
    </w:p>
    <w:p>
      <w:pPr>
        <w:pStyle w:val="895"/>
        <w:ind w:firstLine="240"/>
        <w:spacing w:line="360" w:lineRule="auto"/>
        <w:rPr>
          <w:rFonts w:hint="eastAsia" w:ascii="宋体" w:hAnsi="宋体"/>
          <w:sz w:val="24"/>
        </w:rPr>
      </w:pPr>
      <w:r/>
      <w:bookmarkStart w:id="4" w:name="OLE_LINK112"/>
      <w:r>
        <w:rPr>
          <w:rFonts w:hint="eastAsia" w:ascii="宋体" w:hAnsi="宋体"/>
          <w:sz w:val="24"/>
        </w:rPr>
        <w:t xml:space="preserve">第一标段：</w:t>
      </w:r>
      <w:bookmarkStart w:id="5" w:name="OLE_LINK38"/>
      <w:r/>
      <w:bookmarkStart w:id="6" w:name="OLE_LINK43"/>
      <w:r>
        <w:rPr>
          <w:rFonts w:hint="eastAsia" w:ascii="宋体" w:hAnsi="宋体"/>
          <w:sz w:val="24"/>
        </w:rPr>
        <w:t xml:space="preserve">环境监测服务</w:t>
      </w:r>
      <w:bookmarkEnd w:id="5"/>
      <w:r/>
      <w:bookmarkEnd w:id="6"/>
      <w:r>
        <w:rPr>
          <w:rFonts w:hint="eastAsia" w:ascii="宋体" w:hAnsi="宋体"/>
          <w:sz w:val="24"/>
        </w:rPr>
        <w:t xml:space="preserve">（一）</w:t>
      </w:r>
      <w:bookmarkEnd w:id="4"/>
      <w:r>
        <w:rPr>
          <w:rFonts w:hint="eastAsia" w:ascii="宋体" w:hAnsi="宋体"/>
          <w:sz w:val="24"/>
        </w:rPr>
        <w:t xml:space="preserve">，采购预算：</w:t>
      </w:r>
      <w:r>
        <w:rPr>
          <w:rFonts w:hint="eastAsia" w:ascii="宋体" w:hAnsi="宋体"/>
          <w:sz w:val="24"/>
          <w:u w:val="single"/>
        </w:rPr>
        <w:t xml:space="preserve">200.00</w:t>
      </w:r>
      <w:r>
        <w:rPr>
          <w:rFonts w:hint="eastAsia" w:ascii="宋体" w:hAnsi="宋体"/>
          <w:sz w:val="24"/>
        </w:rPr>
        <w:t xml:space="preserve">万元。</w:t>
      </w:r>
      <w:r/>
    </w:p>
    <w:p>
      <w:pPr>
        <w:pStyle w:val="895"/>
        <w:ind w:firstLine="240"/>
        <w:spacing w:line="360" w:lineRule="auto"/>
        <w:rPr>
          <w:rFonts w:hint="eastAsia" w:ascii="宋体" w:hAnsi="宋体"/>
          <w:sz w:val="24"/>
        </w:rPr>
      </w:pPr>
      <w:r/>
      <w:bookmarkStart w:id="7" w:name="OLE_LINK113"/>
      <w:r/>
      <w:bookmarkStart w:id="8" w:name="OLE_LINK114"/>
      <w:r>
        <w:rPr>
          <w:rFonts w:hint="eastAsia" w:ascii="宋体" w:hAnsi="宋体"/>
          <w:sz w:val="24"/>
        </w:rPr>
        <w:t xml:space="preserve">第二标段：环境监测服务（二）</w:t>
      </w:r>
      <w:bookmarkEnd w:id="7"/>
      <w:r/>
      <w:bookmarkEnd w:id="8"/>
      <w:r>
        <w:rPr>
          <w:rFonts w:hint="eastAsia" w:ascii="宋体" w:hAnsi="宋体"/>
          <w:sz w:val="24"/>
        </w:rPr>
        <w:t xml:space="preserve">，采购预算：</w:t>
      </w:r>
      <w:r>
        <w:rPr>
          <w:rFonts w:hint="eastAsia" w:ascii="宋体" w:hAnsi="宋体"/>
          <w:sz w:val="24"/>
          <w:u w:val="single"/>
        </w:rPr>
        <w:t xml:space="preserve">190.00</w:t>
      </w:r>
      <w:r>
        <w:rPr>
          <w:rFonts w:hint="eastAsia" w:ascii="宋体" w:hAnsi="宋体"/>
          <w:sz w:val="24"/>
        </w:rPr>
        <w:t xml:space="preserve">万元。</w:t>
      </w:r>
      <w:r/>
    </w:p>
    <w:p>
      <w:pPr>
        <w:pStyle w:val="895"/>
        <w:ind w:firstLine="240"/>
        <w:spacing w:line="360" w:lineRule="auto"/>
        <w:rPr>
          <w:rFonts w:hint="eastAsia" w:ascii="宋体" w:hAnsi="宋体"/>
          <w:sz w:val="24"/>
        </w:rPr>
      </w:pPr>
      <w:r/>
      <w:bookmarkStart w:id="9" w:name="OLE_LINK116"/>
      <w:r/>
      <w:bookmarkStart w:id="10" w:name="OLE_LINK115"/>
      <w:r>
        <w:rPr>
          <w:rFonts w:hint="eastAsia" w:ascii="宋体" w:hAnsi="宋体"/>
          <w:sz w:val="24"/>
        </w:rPr>
        <w:t xml:space="preserve">第三标段：环境监测服务（三）</w:t>
      </w:r>
      <w:bookmarkEnd w:id="9"/>
      <w:r/>
      <w:bookmarkEnd w:id="10"/>
      <w:r>
        <w:rPr>
          <w:rFonts w:hint="eastAsia" w:ascii="宋体" w:hAnsi="宋体"/>
          <w:sz w:val="24"/>
        </w:rPr>
        <w:t xml:space="preserve">，采购预算：</w:t>
      </w:r>
      <w:r>
        <w:rPr>
          <w:rFonts w:hint="eastAsia" w:ascii="宋体" w:hAnsi="宋体"/>
          <w:sz w:val="24"/>
          <w:u w:val="single"/>
        </w:rPr>
        <w:t xml:space="preserve">145.00</w:t>
      </w:r>
      <w:r>
        <w:rPr>
          <w:rFonts w:hint="eastAsia" w:ascii="宋体" w:hAnsi="宋体"/>
          <w:sz w:val="24"/>
        </w:rPr>
        <w:t xml:space="preserve">万元。</w:t>
      </w:r>
      <w:r/>
    </w:p>
    <w:p>
      <w:pPr>
        <w:pStyle w:val="895"/>
        <w:ind w:firstLine="240"/>
        <w:spacing w:line="360" w:lineRule="auto"/>
        <w:rPr>
          <w:rFonts w:hint="eastAsia" w:ascii="宋体" w:hAnsi="宋体"/>
          <w:sz w:val="24"/>
        </w:rPr>
      </w:pPr>
      <w:r/>
      <w:bookmarkStart w:id="11" w:name="OLE_LINK118"/>
      <w:r/>
      <w:bookmarkStart w:id="12" w:name="OLE_LINK117"/>
      <w:r>
        <w:rPr>
          <w:rFonts w:hint="eastAsia" w:ascii="宋体" w:hAnsi="宋体"/>
          <w:sz w:val="24"/>
        </w:rPr>
        <w:t xml:space="preserve">第四标段：环境监测服务（四）</w:t>
      </w:r>
      <w:bookmarkEnd w:id="11"/>
      <w:r/>
      <w:bookmarkEnd w:id="12"/>
      <w:r>
        <w:rPr>
          <w:rFonts w:hint="eastAsia" w:ascii="宋体" w:hAnsi="宋体"/>
          <w:sz w:val="24"/>
        </w:rPr>
        <w:t xml:space="preserve">，采购预算：</w:t>
      </w:r>
      <w:r>
        <w:rPr>
          <w:rFonts w:hint="eastAsia" w:ascii="宋体" w:hAnsi="宋体"/>
          <w:sz w:val="24"/>
          <w:u w:val="single"/>
        </w:rPr>
        <w:t xml:space="preserve">135.00</w:t>
      </w:r>
      <w:r>
        <w:rPr>
          <w:rFonts w:hint="eastAsia" w:ascii="宋体" w:hAnsi="宋体"/>
          <w:sz w:val="24"/>
        </w:rPr>
        <w:t xml:space="preserve">万元。</w:t>
      </w:r>
      <w:r/>
    </w:p>
    <w:p>
      <w:pPr>
        <w:pStyle w:val="895"/>
        <w:spacing w:line="360" w:lineRule="auto"/>
        <w:rPr>
          <w:rFonts w:hint="eastAsia" w:ascii="宋体" w:hAnsi="宋体"/>
          <w:sz w:val="24"/>
        </w:rPr>
      </w:pPr>
      <w:r>
        <w:rPr>
          <w:rFonts w:hint="eastAsia" w:ascii="宋体" w:hAnsi="宋体"/>
          <w:sz w:val="24"/>
        </w:rPr>
        <w:t xml:space="preserve">4.最高限价：</w:t>
      </w:r>
      <w:r>
        <w:rPr>
          <w:rFonts w:hint="eastAsia" w:ascii="宋体" w:hAnsi="宋体"/>
          <w:bCs/>
          <w:sz w:val="24"/>
        </w:rPr>
        <w:t xml:space="preserve">一至四标段按监测服务固定折扣率报价且每个标段均必须小于60%，《开标一览表》中报价直接以数值形式填写（如固定</w:t>
      </w:r>
      <w:r>
        <w:rPr>
          <w:rFonts w:hint="eastAsia" w:ascii="宋体" w:hAnsi="宋体"/>
          <w:bCs/>
          <w:sz w:val="24"/>
        </w:rPr>
        <w:t xml:space="preserve">折扣率为55%，</w:t>
      </w:r>
      <w:bookmarkStart w:id="13" w:name="OLE_LINK18"/>
      <w:r>
        <w:rPr>
          <w:rFonts w:hint="eastAsia" w:ascii="宋体" w:hAnsi="宋体"/>
          <w:bCs/>
          <w:sz w:val="24"/>
        </w:rPr>
        <w:t xml:space="preserve">报价栏内填55即可</w:t>
      </w:r>
      <w:bookmarkEnd w:id="13"/>
      <w:r>
        <w:rPr>
          <w:rFonts w:hint="eastAsia" w:ascii="宋体" w:hAnsi="宋体"/>
          <w:bCs/>
          <w:sz w:val="24"/>
        </w:rPr>
        <w:t xml:space="preserve">）。</w:t>
      </w:r>
      <w:r>
        <w:rPr>
          <w:rFonts w:hint="eastAsia" w:ascii="宋体" w:hAnsi="宋体"/>
          <w:sz w:val="24"/>
        </w:rPr>
      </w:r>
      <w:r/>
    </w:p>
    <w:p>
      <w:pPr>
        <w:pStyle w:val="895"/>
        <w:spacing w:line="360" w:lineRule="auto"/>
        <w:rPr>
          <w:rFonts w:hint="eastAsia" w:ascii="宋体" w:hAnsi="宋体"/>
          <w:bCs/>
          <w:sz w:val="24"/>
        </w:rPr>
      </w:pPr>
      <w:r>
        <w:rPr>
          <w:rFonts w:hint="eastAsia" w:ascii="宋体" w:hAnsi="宋体"/>
          <w:bCs/>
          <w:sz w:val="24"/>
        </w:rPr>
        <w:t xml:space="preserve">5.采购需求：</w:t>
      </w:r>
      <w:r/>
    </w:p>
    <w:p>
      <w:pPr>
        <w:pStyle w:val="895"/>
        <w:ind w:firstLine="480"/>
        <w:spacing w:line="360" w:lineRule="auto"/>
        <w:rPr>
          <w:rFonts w:hint="eastAsia" w:ascii="宋体" w:hAnsi="宋体"/>
          <w:bCs/>
          <w:sz w:val="24"/>
        </w:rPr>
      </w:pPr>
      <w:r>
        <w:rPr>
          <w:rFonts w:hint="eastAsia" w:ascii="宋体" w:hAnsi="宋体"/>
          <w:bCs/>
          <w:sz w:val="24"/>
        </w:rPr>
        <w:t xml:space="preserve">根据2026年苏州市生态环境监测方案、2026年全市生态环境监测工作要点及其他相关监测任务，环境质量监测方面，完成辖区内地表水、环境空气及声环境等监测；污染源监测方面，完成辖区内重点排污单位监督性监测、突发性环境污染事件应急监测、土壤重点监管单位土壤及地下水监测、司法鉴定监测等。</w:t>
      </w:r>
      <w:r/>
    </w:p>
    <w:p>
      <w:pPr>
        <w:pStyle w:val="895"/>
        <w:ind w:firstLine="240"/>
        <w:spacing w:line="360" w:lineRule="auto"/>
        <w:rPr>
          <w:rFonts w:hint="eastAsia" w:ascii="宋体" w:hAnsi="宋体"/>
          <w:spacing w:val="-8"/>
          <w:sz w:val="24"/>
        </w:rPr>
      </w:pPr>
      <w:r>
        <w:rPr>
          <w:rFonts w:hint="eastAsia" w:ascii="宋体" w:hAnsi="宋体"/>
          <w:sz w:val="24"/>
        </w:rPr>
        <w:t xml:space="preserve">2026年环境监测服务，共分4个标段，各标段如下：</w:t>
      </w:r>
      <w:r>
        <w:rPr>
          <w:rFonts w:hint="eastAsia" w:ascii="宋体" w:hAnsi="宋体"/>
          <w:spacing w:val="-8"/>
          <w:sz w:val="24"/>
        </w:rPr>
      </w:r>
      <w:r/>
    </w:p>
    <w:tbl>
      <w:tblPr>
        <w:tblW w:w="5128" w:type="pct"/>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2240"/>
        <w:gridCol w:w="3612"/>
        <w:gridCol w:w="2391"/>
      </w:tblGrid>
      <w:tr>
        <w:trPr/>
        <w:tc>
          <w:tcPr>
            <w:tcW w:w="536" w:type="pct"/>
            <w:vAlign w:val="center"/>
            <w:textDirection w:val="lrTb"/>
            <w:noWrap w:val="false"/>
          </w:tcPr>
          <w:p>
            <w:pPr>
              <w:pStyle w:val="895"/>
              <w:jc w:val="center"/>
              <w:spacing w:line="360" w:lineRule="auto"/>
              <w:rPr>
                <w:rFonts w:hint="eastAsia" w:ascii="宋体" w:hAnsi="宋体"/>
                <w:sz w:val="24"/>
              </w:rPr>
            </w:pPr>
            <w:r>
              <w:rPr>
                <w:rFonts w:hint="eastAsia" w:ascii="宋体" w:hAnsi="宋体"/>
                <w:sz w:val="24"/>
              </w:rPr>
              <w:t xml:space="preserve">标段号</w:t>
            </w:r>
            <w:r/>
          </w:p>
        </w:tc>
        <w:tc>
          <w:tcPr>
            <w:tcW w:w="1213" w:type="pct"/>
            <w:vAlign w:val="center"/>
            <w:textDirection w:val="lrTb"/>
            <w:noWrap w:val="false"/>
          </w:tcPr>
          <w:p>
            <w:pPr>
              <w:pStyle w:val="895"/>
              <w:jc w:val="center"/>
              <w:spacing w:line="360" w:lineRule="auto"/>
              <w:rPr>
                <w:rFonts w:hint="eastAsia" w:ascii="宋体" w:hAnsi="宋体"/>
                <w:sz w:val="24"/>
              </w:rPr>
            </w:pPr>
            <w:r>
              <w:rPr>
                <w:rFonts w:hint="eastAsia" w:ascii="宋体" w:hAnsi="宋体"/>
                <w:sz w:val="24"/>
              </w:rPr>
              <w:t xml:space="preserve">采购内容</w:t>
            </w:r>
            <w:r/>
          </w:p>
        </w:tc>
        <w:tc>
          <w:tcPr>
            <w:tcW w:w="1956" w:type="pct"/>
            <w:vAlign w:val="top"/>
            <w:textDirection w:val="lrTb"/>
            <w:noWrap w:val="false"/>
          </w:tcPr>
          <w:p>
            <w:pPr>
              <w:pStyle w:val="895"/>
              <w:jc w:val="center"/>
              <w:spacing w:line="360" w:lineRule="auto"/>
              <w:rPr>
                <w:rFonts w:hint="eastAsia" w:ascii="宋体" w:hAnsi="宋体"/>
                <w:sz w:val="24"/>
              </w:rPr>
            </w:pPr>
            <w:r>
              <w:rPr>
                <w:rFonts w:hint="eastAsia" w:ascii="宋体" w:hAnsi="宋体" w:cs="宋体"/>
                <w:color w:val="000000"/>
                <w:sz w:val="24"/>
              </w:rPr>
              <w:t xml:space="preserve">主要服务内容</w:t>
            </w:r>
            <w:r>
              <w:rPr>
                <w:rFonts w:hint="eastAsia" w:ascii="宋体" w:hAnsi="宋体"/>
                <w:sz w:val="24"/>
              </w:rPr>
            </w:r>
            <w:r/>
          </w:p>
        </w:tc>
        <w:tc>
          <w:tcPr>
            <w:tcW w:w="1295" w:type="pct"/>
            <w:vAlign w:val="top"/>
            <w:textDirection w:val="lrTb"/>
            <w:noWrap w:val="false"/>
          </w:tcPr>
          <w:p>
            <w:pPr>
              <w:pStyle w:val="895"/>
              <w:jc w:val="center"/>
              <w:spacing w:line="360" w:lineRule="auto"/>
              <w:rPr>
                <w:rFonts w:hint="eastAsia" w:ascii="宋体" w:hAnsi="宋体"/>
                <w:sz w:val="24"/>
              </w:rPr>
            </w:pPr>
            <w:r>
              <w:rPr>
                <w:rFonts w:hint="eastAsia" w:ascii="宋体" w:hAnsi="宋体"/>
                <w:sz w:val="24"/>
              </w:rPr>
              <w:t xml:space="preserve">服务期限</w:t>
            </w:r>
            <w:r/>
          </w:p>
        </w:tc>
      </w:tr>
      <w:tr>
        <w:trPr>
          <w:cantSplit/>
        </w:trPr>
        <w:tc>
          <w:tcPr>
            <w:tcW w:w="536" w:type="pct"/>
            <w:vAlign w:val="center"/>
            <w:textDirection w:val="lrTb"/>
            <w:noWrap w:val="false"/>
          </w:tcPr>
          <w:p>
            <w:pPr>
              <w:pStyle w:val="895"/>
              <w:jc w:val="center"/>
              <w:spacing w:line="360" w:lineRule="auto"/>
              <w:rPr>
                <w:rFonts w:hint="eastAsia" w:ascii="宋体" w:hAnsi="宋体"/>
                <w:sz w:val="24"/>
              </w:rPr>
            </w:pPr>
            <w:r/>
            <w:bookmarkStart w:id="14" w:name="OLE_LINK176"/>
            <w:r/>
            <w:bookmarkStart w:id="15" w:name="OLE_LINK177"/>
            <w:r/>
            <w:bookmarkStart w:id="16" w:name="OLE_LINK187"/>
            <w:r/>
            <w:bookmarkStart w:id="17" w:name="OLE_LINK14"/>
            <w:r/>
            <w:bookmarkStart w:id="18" w:name="OLE_LINK17"/>
            <w:r/>
            <w:bookmarkStart w:id="19" w:name="OLE_LINK22"/>
            <w:r/>
            <w:bookmarkStart w:id="20" w:name="_Hlk227941037"/>
            <w:r/>
            <w:bookmarkStart w:id="21" w:name="OLE_LINK19"/>
            <w:r>
              <w:rPr>
                <w:rFonts w:hint="eastAsia" w:ascii="宋体" w:hAnsi="宋体"/>
                <w:sz w:val="24"/>
              </w:rPr>
              <w:t xml:space="preserve">一</w:t>
            </w:r>
            <w:r/>
          </w:p>
        </w:tc>
        <w:tc>
          <w:tcPr>
            <w:tcW w:w="1213" w:type="pct"/>
            <w:vAlign w:val="center"/>
            <w:textDirection w:val="lrTb"/>
            <w:noWrap w:val="false"/>
          </w:tcPr>
          <w:p>
            <w:pPr>
              <w:pStyle w:val="895"/>
              <w:spacing w:line="360" w:lineRule="auto"/>
              <w:rPr>
                <w:rFonts w:ascii="宋体" w:hAnsi="宋体"/>
                <w:sz w:val="24"/>
              </w:rPr>
            </w:pPr>
            <w:r>
              <w:rPr>
                <w:rFonts w:hint="eastAsia" w:ascii="宋体" w:hAnsi="宋体"/>
                <w:sz w:val="24"/>
              </w:rPr>
              <w:t xml:space="preserve">环境监测服务(一）</w:t>
            </w:r>
            <w:r>
              <w:rPr>
                <w:rFonts w:ascii="宋体" w:hAnsi="宋体"/>
                <w:sz w:val="24"/>
              </w:rPr>
            </w:r>
            <w:r/>
          </w:p>
        </w:tc>
        <w:tc>
          <w:tcPr>
            <w:tcW w:w="1956" w:type="pct"/>
            <w:vAlign w:val="center"/>
            <w:textDirection w:val="lrTb"/>
            <w:noWrap w:val="false"/>
          </w:tcPr>
          <w:p>
            <w:pPr>
              <w:pStyle w:val="895"/>
              <w:jc w:val="left"/>
              <w:widowControl/>
              <w:rPr>
                <w:rFonts w:ascii="宋体" w:hAnsi="宋体" w:cs="宋体"/>
                <w:color w:val="000000"/>
                <w:sz w:val="24"/>
              </w:rPr>
            </w:pPr>
            <w:r>
              <w:rPr>
                <w:rFonts w:hint="eastAsia" w:ascii="宋体" w:hAnsi="宋体" w:cs="宋体"/>
                <w:color w:val="000000"/>
                <w:sz w:val="24"/>
              </w:rPr>
              <w:t xml:space="preserve">1、承担约30%的委外环境质量监测及监督性监测任务</w:t>
            </w:r>
            <w:r>
              <w:rPr>
                <w:rFonts w:ascii="宋体" w:hAnsi="宋体" w:cs="宋体"/>
                <w:color w:val="000000"/>
                <w:sz w:val="24"/>
              </w:rPr>
            </w:r>
            <w:r/>
          </w:p>
          <w:p>
            <w:pPr>
              <w:pStyle w:val="895"/>
              <w:jc w:val="left"/>
              <w:widowControl/>
              <w:rPr>
                <w:rFonts w:hint="eastAsia" w:ascii="宋体" w:hAnsi="宋体" w:cs="宋体"/>
                <w:color w:val="000000"/>
                <w:sz w:val="24"/>
              </w:rPr>
            </w:pPr>
            <w:r>
              <w:rPr>
                <w:rFonts w:hint="eastAsia" w:ascii="宋体" w:hAnsi="宋体" w:cs="宋体"/>
                <w:color w:val="000000"/>
                <w:sz w:val="24"/>
              </w:rPr>
              <w:t xml:space="preserve">2、其他各环境要素调查监测、应急监测等监测任务</w:t>
            </w:r>
            <w:r/>
          </w:p>
          <w:p>
            <w:pPr>
              <w:pStyle w:val="903"/>
              <w:ind w:left="0" w:firstLine="0"/>
            </w:pPr>
            <w:r/>
            <w:bookmarkStart w:id="22" w:name="OLE_LINK24"/>
            <w:r>
              <w:rPr>
                <w:rFonts w:hint="eastAsia" w:ascii="宋体" w:hAnsi="宋体" w:cs="宋体"/>
                <w:color w:val="000000"/>
                <w:sz w:val="24"/>
              </w:rPr>
              <w:t xml:space="preserve">3</w:t>
            </w:r>
            <w:r>
              <w:rPr>
                <w:rFonts w:hint="eastAsia" w:ascii="宋体" w:hAnsi="宋体" w:cs="宋体"/>
                <w:color w:val="000000"/>
                <w:sz w:val="24"/>
              </w:rPr>
              <w:t xml:space="preserve">、</w:t>
            </w:r>
            <w:r>
              <w:rPr>
                <w:rFonts w:hint="eastAsia" w:ascii="宋体" w:hAnsi="宋体" w:cs="宋体"/>
                <w:color w:val="000000"/>
                <w:sz w:val="24"/>
              </w:rPr>
              <w:t xml:space="preserve">国省考预警监测</w:t>
            </w:r>
            <w:bookmarkEnd w:id="22"/>
            <w:r/>
            <w:r/>
          </w:p>
        </w:tc>
        <w:tc>
          <w:tcPr>
            <w:tcW w:w="1295" w:type="pct"/>
            <w:vAlign w:val="center"/>
            <w:vMerge w:val="restart"/>
            <w:textDirection w:val="lrTb"/>
            <w:noWrap w:val="false"/>
          </w:tcPr>
          <w:p>
            <w:pPr>
              <w:pStyle w:val="895"/>
              <w:jc w:val="center"/>
              <w:spacing w:line="360" w:lineRule="auto"/>
              <w:rPr>
                <w:rFonts w:ascii="宋体" w:hAnsi="宋体"/>
                <w:sz w:val="24"/>
              </w:rPr>
            </w:pPr>
            <w:r/>
            <w:bookmarkStart w:id="23" w:name="OLE_LINK182"/>
            <w:r/>
            <w:bookmarkStart w:id="24" w:name="OLE_LINK214"/>
            <w:r/>
            <w:bookmarkStart w:id="25" w:name="OLE_LINK48"/>
            <w:r>
              <w:rPr>
                <w:rFonts w:hint="eastAsia" w:ascii="宋体" w:hAnsi="宋体"/>
                <w:sz w:val="24"/>
              </w:rPr>
              <w:t xml:space="preserve">2026年6月25日-2027年6月24日</w:t>
            </w:r>
            <w:bookmarkEnd w:id="23"/>
            <w:r/>
            <w:bookmarkEnd w:id="24"/>
            <w:r/>
            <w:bookmarkEnd w:id="25"/>
            <w:r>
              <w:rPr>
                <w:rFonts w:ascii="宋体" w:hAnsi="宋体"/>
                <w:sz w:val="24"/>
              </w:rPr>
            </w:r>
            <w:r/>
          </w:p>
        </w:tc>
      </w:tr>
      <w:tr>
        <w:trPr>
          <w:cantSplit/>
        </w:trPr>
        <w:tc>
          <w:tcPr>
            <w:tcW w:w="536" w:type="pct"/>
            <w:vAlign w:val="center"/>
            <w:textDirection w:val="lrTb"/>
            <w:noWrap w:val="false"/>
          </w:tcPr>
          <w:p>
            <w:pPr>
              <w:pStyle w:val="895"/>
              <w:jc w:val="center"/>
              <w:spacing w:line="360" w:lineRule="auto"/>
              <w:rPr>
                <w:rFonts w:hint="eastAsia" w:ascii="宋体" w:hAnsi="宋体"/>
                <w:sz w:val="24"/>
              </w:rPr>
            </w:pPr>
            <w:r>
              <w:rPr>
                <w:rFonts w:hint="eastAsia" w:ascii="宋体" w:hAnsi="宋体"/>
                <w:sz w:val="24"/>
              </w:rPr>
              <w:t xml:space="preserve">二</w:t>
            </w:r>
            <w:r/>
          </w:p>
        </w:tc>
        <w:tc>
          <w:tcPr>
            <w:tcW w:w="1213" w:type="pct"/>
            <w:vAlign w:val="center"/>
            <w:textDirection w:val="lrTb"/>
            <w:noWrap w:val="false"/>
          </w:tcPr>
          <w:p>
            <w:pPr>
              <w:pStyle w:val="895"/>
              <w:spacing w:line="360" w:lineRule="auto"/>
              <w:rPr>
                <w:rFonts w:hint="eastAsia" w:ascii="宋体" w:hAnsi="宋体"/>
                <w:sz w:val="24"/>
              </w:rPr>
            </w:pPr>
            <w:r>
              <w:rPr>
                <w:rFonts w:hint="eastAsia" w:ascii="宋体" w:hAnsi="宋体"/>
                <w:sz w:val="24"/>
              </w:rPr>
              <w:t xml:space="preserve">环境监测服务(二）</w:t>
            </w:r>
            <w:r/>
          </w:p>
        </w:tc>
        <w:tc>
          <w:tcPr>
            <w:tcW w:w="1956" w:type="pct"/>
            <w:vAlign w:val="center"/>
            <w:textDirection w:val="lrTb"/>
            <w:noWrap w:val="false"/>
          </w:tcPr>
          <w:p>
            <w:pPr>
              <w:pStyle w:val="895"/>
              <w:jc w:val="left"/>
              <w:widowControl/>
              <w:rPr>
                <w:rFonts w:ascii="宋体" w:hAnsi="宋体" w:cs="宋体"/>
                <w:color w:val="000000"/>
                <w:sz w:val="24"/>
              </w:rPr>
            </w:pPr>
            <w:r>
              <w:rPr>
                <w:rFonts w:hint="eastAsia" w:ascii="宋体" w:hAnsi="宋体" w:cs="宋体"/>
                <w:color w:val="000000"/>
                <w:sz w:val="24"/>
              </w:rPr>
              <w:t xml:space="preserve">1、承担约30%的委外环境质量监测及监督性监测任务</w:t>
            </w:r>
            <w:r>
              <w:rPr>
                <w:rFonts w:ascii="宋体" w:hAnsi="宋体" w:cs="宋体"/>
                <w:color w:val="000000"/>
                <w:sz w:val="24"/>
              </w:rPr>
            </w:r>
            <w:r/>
          </w:p>
          <w:p>
            <w:pPr>
              <w:pStyle w:val="895"/>
              <w:jc w:val="left"/>
              <w:widowControl/>
              <w:rPr>
                <w:rFonts w:hint="eastAsia" w:ascii="宋体" w:hAnsi="宋体" w:cs="宋体"/>
                <w:color w:val="000000"/>
                <w:sz w:val="24"/>
              </w:rPr>
            </w:pPr>
            <w:r>
              <w:rPr>
                <w:rFonts w:hint="eastAsia" w:ascii="宋体" w:hAnsi="宋体" w:cs="宋体"/>
                <w:color w:val="000000"/>
                <w:sz w:val="24"/>
              </w:rPr>
              <w:t xml:space="preserve">2、其他各环境要素调查监测、应急监测等监测任务</w:t>
            </w:r>
            <w:r/>
          </w:p>
          <w:p>
            <w:pPr>
              <w:pStyle w:val="895"/>
              <w:jc w:val="left"/>
              <w:widowControl/>
              <w:rPr>
                <w:rFonts w:ascii="宋体" w:hAnsi="宋体" w:cs="宋体"/>
                <w:color w:val="000000"/>
                <w:sz w:val="24"/>
              </w:rPr>
            </w:pPr>
            <w:r>
              <w:rPr>
                <w:rFonts w:hint="eastAsia" w:ascii="宋体" w:hAnsi="宋体" w:cs="宋体"/>
                <w:color w:val="000000"/>
                <w:sz w:val="24"/>
              </w:rPr>
              <w:t xml:space="preserve">3、蓝藻巡测任务</w:t>
            </w:r>
            <w:r>
              <w:rPr>
                <w:rFonts w:ascii="宋体" w:hAnsi="宋体" w:cs="宋体"/>
                <w:color w:val="000000"/>
                <w:sz w:val="24"/>
              </w:rPr>
            </w:r>
            <w:r/>
          </w:p>
        </w:tc>
        <w:tc>
          <w:tcPr>
            <w:tcW w:w="1295" w:type="pct"/>
            <w:vAlign w:val="top"/>
            <w:vMerge w:val="continue"/>
            <w:textDirection w:val="lrTb"/>
            <w:noWrap w:val="false"/>
          </w:tcPr>
          <w:p>
            <w:pPr>
              <w:pStyle w:val="895"/>
              <w:jc w:val="center"/>
              <w:spacing w:line="360" w:lineRule="auto"/>
              <w:rPr>
                <w:rFonts w:ascii="宋体" w:hAnsi="宋体"/>
                <w:sz w:val="24"/>
              </w:rPr>
            </w:pPr>
            <w:r>
              <w:rPr>
                <w:rFonts w:ascii="宋体" w:hAnsi="宋体"/>
                <w:sz w:val="24"/>
              </w:rPr>
            </w:r>
            <w:r/>
          </w:p>
        </w:tc>
      </w:tr>
      <w:tr>
        <w:trPr>
          <w:cantSplit/>
        </w:trPr>
        <w:tc>
          <w:tcPr>
            <w:tcW w:w="536" w:type="pct"/>
            <w:vAlign w:val="center"/>
            <w:textDirection w:val="lrTb"/>
            <w:noWrap w:val="false"/>
          </w:tcPr>
          <w:p>
            <w:pPr>
              <w:pStyle w:val="895"/>
              <w:jc w:val="center"/>
              <w:spacing w:line="360" w:lineRule="auto"/>
              <w:rPr>
                <w:rFonts w:hint="eastAsia" w:ascii="宋体" w:hAnsi="宋体"/>
                <w:sz w:val="24"/>
              </w:rPr>
            </w:pPr>
            <w:r>
              <w:rPr>
                <w:rFonts w:hint="eastAsia" w:ascii="宋体" w:hAnsi="宋体"/>
                <w:sz w:val="24"/>
              </w:rPr>
              <w:t xml:space="preserve">三</w:t>
            </w:r>
            <w:r/>
          </w:p>
        </w:tc>
        <w:tc>
          <w:tcPr>
            <w:tcW w:w="1213" w:type="pct"/>
            <w:vAlign w:val="center"/>
            <w:textDirection w:val="lrTb"/>
            <w:noWrap w:val="false"/>
          </w:tcPr>
          <w:p>
            <w:pPr>
              <w:pStyle w:val="895"/>
              <w:spacing w:line="360" w:lineRule="auto"/>
              <w:rPr>
                <w:rFonts w:hint="eastAsia" w:ascii="宋体" w:hAnsi="宋体"/>
                <w:sz w:val="24"/>
              </w:rPr>
            </w:pPr>
            <w:r>
              <w:rPr>
                <w:rFonts w:hint="eastAsia" w:ascii="宋体" w:hAnsi="宋体"/>
                <w:sz w:val="24"/>
              </w:rPr>
              <w:t xml:space="preserve">环境监测服务(三）</w:t>
            </w:r>
            <w:r/>
          </w:p>
        </w:tc>
        <w:tc>
          <w:tcPr>
            <w:tcW w:w="1956" w:type="pct"/>
            <w:vAlign w:val="center"/>
            <w:textDirection w:val="lrTb"/>
            <w:noWrap w:val="false"/>
          </w:tcPr>
          <w:p>
            <w:pPr>
              <w:pStyle w:val="895"/>
              <w:jc w:val="left"/>
              <w:widowControl/>
              <w:rPr>
                <w:rFonts w:ascii="宋体" w:hAnsi="宋体" w:cs="宋体"/>
                <w:color w:val="000000"/>
                <w:sz w:val="24"/>
              </w:rPr>
            </w:pPr>
            <w:r>
              <w:rPr>
                <w:rFonts w:hint="eastAsia" w:ascii="宋体" w:hAnsi="宋体" w:cs="宋体"/>
                <w:color w:val="000000"/>
                <w:sz w:val="24"/>
              </w:rPr>
              <w:t xml:space="preserve">1、承担约20%的委外环境质量监测及监督性监测任务</w:t>
            </w:r>
            <w:r>
              <w:rPr>
                <w:rFonts w:ascii="宋体" w:hAnsi="宋体" w:cs="宋体"/>
                <w:color w:val="000000"/>
                <w:sz w:val="24"/>
              </w:rPr>
            </w:r>
            <w:r/>
          </w:p>
          <w:p>
            <w:pPr>
              <w:pStyle w:val="895"/>
              <w:jc w:val="left"/>
              <w:widowControl/>
              <w:rPr>
                <w:rFonts w:hint="eastAsia" w:ascii="宋体" w:hAnsi="宋体" w:cs="宋体"/>
                <w:color w:val="000000"/>
                <w:sz w:val="24"/>
              </w:rPr>
            </w:pPr>
            <w:r>
              <w:rPr>
                <w:rFonts w:hint="eastAsia" w:ascii="宋体" w:hAnsi="宋体" w:cs="宋体"/>
                <w:color w:val="000000"/>
                <w:sz w:val="24"/>
              </w:rPr>
              <w:t xml:space="preserve">2、其他各环境要素调查监测、应急监测等监测任务</w:t>
            </w:r>
            <w:r/>
          </w:p>
          <w:p>
            <w:pPr>
              <w:pStyle w:val="1006"/>
              <w:ind w:firstLine="0"/>
              <w:spacing w:line="240" w:lineRule="auto"/>
              <w:rPr>
                <w:rFonts w:cs="宋体"/>
                <w:color w:val="000000"/>
                <w:szCs w:val="24"/>
              </w:rPr>
            </w:pPr>
            <w:r>
              <w:rPr>
                <w:rFonts w:hint="eastAsia" w:cs="宋体"/>
                <w:color w:val="000000"/>
                <w:szCs w:val="24"/>
              </w:rPr>
              <w:t xml:space="preserve">3、蓝藻巡测任务</w:t>
            </w:r>
            <w:r>
              <w:rPr>
                <w:rFonts w:cs="宋体"/>
                <w:color w:val="000000"/>
                <w:szCs w:val="24"/>
              </w:rPr>
            </w:r>
            <w:r/>
          </w:p>
        </w:tc>
        <w:tc>
          <w:tcPr>
            <w:tcW w:w="1295" w:type="pct"/>
            <w:vAlign w:val="top"/>
            <w:vMerge w:val="continue"/>
            <w:textDirection w:val="lrTb"/>
            <w:noWrap w:val="false"/>
          </w:tcPr>
          <w:p>
            <w:pPr>
              <w:pStyle w:val="895"/>
              <w:jc w:val="center"/>
              <w:spacing w:line="360" w:lineRule="auto"/>
              <w:rPr>
                <w:rFonts w:hint="eastAsia" w:ascii="宋体" w:hAnsi="宋体"/>
                <w:sz w:val="24"/>
              </w:rPr>
            </w:pPr>
            <w:r>
              <w:rPr>
                <w:rFonts w:hint="eastAsia" w:ascii="宋体" w:hAnsi="宋体"/>
                <w:sz w:val="24"/>
              </w:rPr>
            </w:r>
            <w:r/>
          </w:p>
        </w:tc>
      </w:tr>
      <w:tr>
        <w:trPr>
          <w:cantSplit/>
        </w:trPr>
        <w:tc>
          <w:tcPr>
            <w:tcW w:w="536" w:type="pct"/>
            <w:vAlign w:val="center"/>
            <w:textDirection w:val="lrTb"/>
            <w:noWrap w:val="false"/>
          </w:tcPr>
          <w:p>
            <w:pPr>
              <w:pStyle w:val="895"/>
              <w:jc w:val="center"/>
              <w:spacing w:line="360" w:lineRule="auto"/>
              <w:rPr>
                <w:rFonts w:hint="eastAsia" w:ascii="宋体" w:hAnsi="宋体"/>
                <w:sz w:val="24"/>
              </w:rPr>
            </w:pPr>
            <w:r>
              <w:rPr>
                <w:rFonts w:hint="eastAsia" w:ascii="宋体" w:hAnsi="宋体"/>
                <w:sz w:val="24"/>
              </w:rPr>
              <w:t xml:space="preserve">四</w:t>
            </w:r>
            <w:r/>
          </w:p>
        </w:tc>
        <w:tc>
          <w:tcPr>
            <w:tcW w:w="1213" w:type="pct"/>
            <w:vAlign w:val="center"/>
            <w:textDirection w:val="lrTb"/>
            <w:noWrap w:val="false"/>
          </w:tcPr>
          <w:p>
            <w:pPr>
              <w:pStyle w:val="895"/>
              <w:spacing w:line="360" w:lineRule="auto"/>
              <w:rPr>
                <w:rFonts w:hint="eastAsia" w:ascii="宋体" w:hAnsi="宋体"/>
                <w:sz w:val="24"/>
              </w:rPr>
            </w:pPr>
            <w:r>
              <w:rPr>
                <w:rFonts w:hint="eastAsia" w:ascii="宋体" w:hAnsi="宋体"/>
                <w:sz w:val="24"/>
              </w:rPr>
              <w:t xml:space="preserve">环境监测服务(四）</w:t>
            </w:r>
            <w:r/>
          </w:p>
        </w:tc>
        <w:tc>
          <w:tcPr>
            <w:tcW w:w="1956" w:type="pct"/>
            <w:vAlign w:val="center"/>
            <w:textDirection w:val="lrTb"/>
            <w:noWrap w:val="false"/>
          </w:tcPr>
          <w:p>
            <w:pPr>
              <w:pStyle w:val="895"/>
              <w:jc w:val="left"/>
              <w:widowControl/>
              <w:rPr>
                <w:rFonts w:ascii="宋体" w:hAnsi="宋体" w:cs="宋体"/>
                <w:color w:val="000000"/>
                <w:sz w:val="24"/>
              </w:rPr>
            </w:pPr>
            <w:r>
              <w:rPr>
                <w:rFonts w:hint="eastAsia" w:ascii="宋体" w:hAnsi="宋体" w:cs="宋体"/>
                <w:color w:val="000000"/>
                <w:sz w:val="24"/>
              </w:rPr>
              <w:t xml:space="preserve">1、承担约20%的委外环境质量监测及监督性监测任务</w:t>
            </w:r>
            <w:r>
              <w:rPr>
                <w:rFonts w:ascii="宋体" w:hAnsi="宋体" w:cs="宋体"/>
                <w:color w:val="000000"/>
                <w:sz w:val="24"/>
              </w:rPr>
            </w:r>
            <w:r/>
          </w:p>
          <w:p>
            <w:pPr>
              <w:pStyle w:val="895"/>
              <w:jc w:val="left"/>
              <w:widowControl/>
              <w:rPr>
                <w:rFonts w:ascii="宋体" w:hAnsi="宋体" w:cs="宋体"/>
                <w:color w:val="000000"/>
                <w:sz w:val="24"/>
              </w:rPr>
            </w:pPr>
            <w:r>
              <w:rPr>
                <w:rFonts w:hint="eastAsia" w:ascii="宋体" w:hAnsi="宋体" w:cs="宋体"/>
                <w:color w:val="000000"/>
                <w:sz w:val="24"/>
              </w:rPr>
              <w:t xml:space="preserve">2、其他各环境要素调查监测、应急监测等监测任务</w:t>
            </w:r>
            <w:r>
              <w:rPr>
                <w:rFonts w:ascii="宋体" w:hAnsi="宋体" w:cs="宋体"/>
                <w:color w:val="000000"/>
                <w:sz w:val="24"/>
              </w:rPr>
            </w:r>
            <w:r/>
          </w:p>
        </w:tc>
        <w:tc>
          <w:tcPr>
            <w:tcW w:w="1295" w:type="pct"/>
            <w:vAlign w:val="top"/>
            <w:vMerge w:val="continue"/>
            <w:textDirection w:val="lrTb"/>
            <w:noWrap w:val="false"/>
          </w:tcPr>
          <w:p>
            <w:pPr>
              <w:pStyle w:val="895"/>
              <w:jc w:val="center"/>
              <w:spacing w:line="360" w:lineRule="auto"/>
              <w:rPr>
                <w:rFonts w:hint="eastAsia" w:ascii="宋体" w:hAnsi="宋体"/>
                <w:sz w:val="24"/>
              </w:rPr>
            </w:pPr>
            <w:r>
              <w:rPr>
                <w:rFonts w:hint="eastAsia" w:ascii="宋体" w:hAnsi="宋体"/>
                <w:sz w:val="24"/>
              </w:rPr>
            </w:r>
            <w:r/>
          </w:p>
        </w:tc>
      </w:tr>
    </w:tbl>
    <w:p>
      <w:pPr>
        <w:pStyle w:val="895"/>
        <w:spacing w:line="360" w:lineRule="auto"/>
        <w:rPr>
          <w:rFonts w:hint="eastAsia" w:ascii="宋体" w:hAnsi="宋体"/>
          <w:strike/>
          <w:sz w:val="24"/>
        </w:rPr>
      </w:pPr>
      <w:r/>
      <w:bookmarkEnd w:id="14"/>
      <w:r/>
      <w:bookmarkEnd w:id="15"/>
      <w:r/>
      <w:bookmarkEnd w:id="16"/>
      <w:r/>
      <w:bookmarkEnd w:id="17"/>
      <w:r/>
      <w:bookmarkEnd w:id="18"/>
      <w:r/>
      <w:bookmarkEnd w:id="19"/>
      <w:r/>
      <w:bookmarkEnd w:id="20"/>
      <w:r/>
      <w:bookmarkEnd w:id="21"/>
      <w:r>
        <w:rPr>
          <w:rFonts w:hint="eastAsia" w:ascii="宋体" w:hAnsi="宋体"/>
          <w:sz w:val="24"/>
        </w:rPr>
        <w:t xml:space="preserve">5.合同履行期限：</w:t>
      </w:r>
      <w:r>
        <w:rPr>
          <w:rFonts w:hint="eastAsia" w:ascii="宋体" w:hAnsi="宋体"/>
          <w:spacing w:val="-8"/>
          <w:sz w:val="24"/>
        </w:rPr>
        <w:t xml:space="preserve">一年。（2026年6月25日-2027年6月24日）。</w:t>
      </w:r>
      <w:r>
        <w:rPr>
          <w:rFonts w:hint="eastAsia" w:ascii="宋体" w:hAnsi="宋体"/>
          <w:strike/>
          <w:sz w:val="24"/>
        </w:rPr>
      </w:r>
      <w:r/>
    </w:p>
    <w:p>
      <w:pPr>
        <w:pStyle w:val="895"/>
        <w:spacing w:line="360" w:lineRule="auto"/>
        <w:rPr>
          <w:rFonts w:ascii="宋体" w:hAnsi="宋体"/>
          <w:sz w:val="24"/>
        </w:rPr>
      </w:pPr>
      <w:r>
        <w:rPr>
          <w:rFonts w:ascii="宋体" w:hAnsi="宋体"/>
          <w:sz w:val="24"/>
        </w:rPr>
        <w:t xml:space="preserve">6.</w:t>
      </w:r>
      <w:r>
        <w:rPr>
          <w:rFonts w:hint="eastAsia" w:ascii="宋体" w:hAnsi="宋体"/>
          <w:sz w:val="24"/>
        </w:rPr>
        <w:t xml:space="preserve">本项目不接受联合体投标。</w:t>
      </w:r>
      <w:r>
        <w:rPr>
          <w:rFonts w:ascii="宋体" w:hAnsi="宋体"/>
          <w:sz w:val="24"/>
        </w:rPr>
      </w:r>
      <w:r/>
    </w:p>
    <w:p>
      <w:pPr>
        <w:pStyle w:val="895"/>
        <w:spacing w:line="360" w:lineRule="auto"/>
        <w:rPr>
          <w:rFonts w:ascii="宋体" w:hAnsi="宋体"/>
          <w:b/>
          <w:sz w:val="24"/>
        </w:rPr>
      </w:pPr>
      <w:r>
        <w:rPr>
          <w:rFonts w:hint="eastAsia" w:ascii="宋体" w:hAnsi="宋体"/>
          <w:b/>
          <w:sz w:val="24"/>
        </w:rPr>
        <w:t xml:space="preserve">二、申请人的资格要求</w:t>
      </w:r>
      <w:r>
        <w:rPr>
          <w:rFonts w:ascii="宋体" w:hAnsi="宋体"/>
          <w:b/>
          <w:sz w:val="24"/>
        </w:rPr>
      </w:r>
      <w:r/>
    </w:p>
    <w:p>
      <w:pPr>
        <w:pStyle w:val="895"/>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满足《中华人民共和国政府采购法》第二十二条规定：</w:t>
      </w:r>
      <w:r/>
    </w:p>
    <w:p>
      <w:pPr>
        <w:pStyle w:val="991"/>
        <w:ind w:firstLine="0"/>
        <w:spacing w:line="360" w:lineRule="auto"/>
        <w:rPr>
          <w:rFonts w:hint="eastAsia" w:hAnsi="宋体" w:cs="宋体"/>
          <w:sz w:val="24"/>
        </w:rPr>
      </w:pPr>
      <w:r>
        <w:rPr>
          <w:rFonts w:hAnsi="宋体" w:cs="宋体"/>
          <w:sz w:val="24"/>
        </w:rPr>
        <w:t xml:space="preserve">（1）具有独立承担民事责任的能力；</w:t>
      </w:r>
      <w:r>
        <w:rPr>
          <w:rFonts w:hint="eastAsia" w:hAnsi="宋体" w:cs="宋体"/>
          <w:sz w:val="24"/>
        </w:rPr>
      </w:r>
      <w:r/>
    </w:p>
    <w:p>
      <w:pPr>
        <w:pStyle w:val="991"/>
        <w:ind w:firstLine="0"/>
        <w:spacing w:line="360" w:lineRule="auto"/>
        <w:rPr>
          <w:rFonts w:hint="eastAsia" w:hAnsi="宋体" w:cs="宋体"/>
          <w:sz w:val="24"/>
        </w:rPr>
      </w:pPr>
      <w:r>
        <w:rPr>
          <w:rFonts w:hAnsi="宋体" w:cs="宋体"/>
          <w:sz w:val="24"/>
        </w:rPr>
        <w:t xml:space="preserve">（</w:t>
      </w:r>
      <w:r>
        <w:rPr>
          <w:rFonts w:hint="eastAsia" w:hAnsi="宋体" w:cs="宋体"/>
          <w:sz w:val="24"/>
        </w:rPr>
        <w:t xml:space="preserve">2</w:t>
      </w:r>
      <w:r>
        <w:rPr>
          <w:rFonts w:hAnsi="宋体" w:cs="宋体"/>
          <w:sz w:val="24"/>
        </w:rPr>
        <w:t xml:space="preserve">）具有良好的商业信誉和健全的财务会计制度；</w:t>
      </w:r>
      <w:r>
        <w:rPr>
          <w:rFonts w:hint="eastAsia" w:hAnsi="宋体" w:cs="宋体"/>
          <w:sz w:val="24"/>
        </w:rPr>
      </w:r>
      <w:r/>
    </w:p>
    <w:p>
      <w:pPr>
        <w:pStyle w:val="991"/>
        <w:ind w:firstLine="0"/>
        <w:spacing w:line="360" w:lineRule="auto"/>
        <w:rPr>
          <w:rFonts w:hint="eastAsia" w:hAnsi="宋体" w:cs="宋体"/>
          <w:sz w:val="24"/>
        </w:rPr>
      </w:pPr>
      <w:r>
        <w:rPr>
          <w:rFonts w:hAnsi="宋体" w:cs="宋体"/>
          <w:sz w:val="24"/>
        </w:rPr>
        <w:t xml:space="preserve">（</w:t>
      </w:r>
      <w:r>
        <w:rPr>
          <w:rFonts w:hint="eastAsia" w:hAnsi="宋体" w:cs="宋体"/>
          <w:sz w:val="24"/>
        </w:rPr>
        <w:t xml:space="preserve">3</w:t>
      </w:r>
      <w:r>
        <w:rPr>
          <w:rFonts w:hAnsi="宋体" w:cs="宋体"/>
          <w:sz w:val="24"/>
        </w:rPr>
        <w:t xml:space="preserve">）具有履行合同所必需的设备和专业技术能力；</w:t>
      </w:r>
      <w:r>
        <w:rPr>
          <w:rFonts w:hint="eastAsia" w:hAnsi="宋体" w:cs="宋体"/>
          <w:sz w:val="24"/>
        </w:rPr>
      </w:r>
      <w:r/>
    </w:p>
    <w:p>
      <w:pPr>
        <w:pStyle w:val="991"/>
        <w:ind w:firstLine="0"/>
        <w:spacing w:line="360" w:lineRule="auto"/>
        <w:rPr>
          <w:rFonts w:hint="eastAsia" w:hAnsi="宋体" w:cs="宋体"/>
          <w:sz w:val="24"/>
        </w:rPr>
      </w:pPr>
      <w:r>
        <w:rPr>
          <w:rFonts w:hAnsi="宋体" w:cs="宋体"/>
          <w:sz w:val="24"/>
        </w:rPr>
        <w:t xml:space="preserve">（</w:t>
      </w:r>
      <w:r>
        <w:rPr>
          <w:rFonts w:hint="eastAsia" w:hAnsi="宋体" w:cs="宋体"/>
          <w:sz w:val="24"/>
        </w:rPr>
        <w:t xml:space="preserve">4</w:t>
      </w:r>
      <w:r>
        <w:rPr>
          <w:rFonts w:hAnsi="宋体" w:cs="宋体"/>
          <w:sz w:val="24"/>
        </w:rPr>
        <w:t xml:space="preserve">）有依法缴纳税收和社会保障资金的良好记录；</w:t>
      </w:r>
      <w:r>
        <w:rPr>
          <w:rFonts w:hint="eastAsia" w:hAnsi="宋体" w:cs="宋体"/>
          <w:sz w:val="24"/>
        </w:rPr>
      </w:r>
      <w:r/>
    </w:p>
    <w:p>
      <w:pPr>
        <w:pStyle w:val="991"/>
        <w:ind w:firstLine="0"/>
        <w:spacing w:line="360" w:lineRule="auto"/>
        <w:rPr>
          <w:rFonts w:hint="eastAsia" w:hAnsi="宋体" w:cs="宋体"/>
          <w:sz w:val="24"/>
        </w:rPr>
      </w:pPr>
      <w:r>
        <w:rPr>
          <w:rFonts w:hAnsi="宋体" w:cs="宋体"/>
          <w:sz w:val="24"/>
        </w:rPr>
        <w:t xml:space="preserve">（</w:t>
      </w:r>
      <w:r>
        <w:rPr>
          <w:rFonts w:hint="eastAsia" w:hAnsi="宋体" w:cs="宋体"/>
          <w:sz w:val="24"/>
        </w:rPr>
        <w:t xml:space="preserve">5</w:t>
      </w:r>
      <w:r>
        <w:rPr>
          <w:rFonts w:hAnsi="宋体" w:cs="宋体"/>
          <w:sz w:val="24"/>
        </w:rPr>
        <w:t xml:space="preserve">）参加政府采购活动前三年内，在经营活动中没有重大违法记录；</w:t>
      </w:r>
      <w:r>
        <w:rPr>
          <w:rFonts w:hint="eastAsia" w:hAnsi="宋体" w:cs="宋体"/>
          <w:sz w:val="24"/>
        </w:rPr>
      </w:r>
      <w:r/>
    </w:p>
    <w:p>
      <w:pPr>
        <w:pStyle w:val="895"/>
        <w:spacing w:line="360" w:lineRule="auto"/>
        <w:rPr>
          <w:rFonts w:hint="eastAsia" w:ascii="宋体" w:hAnsi="宋体"/>
          <w:sz w:val="24"/>
        </w:rPr>
      </w:pPr>
      <w:r>
        <w:rPr>
          <w:rFonts w:hint="eastAsia" w:ascii="宋体" w:hAnsi="宋体"/>
          <w:sz w:val="24"/>
        </w:rPr>
        <w:t xml:space="preserve">（6）法律、行政法规规定的其他条件。</w:t>
      </w:r>
      <w:r/>
    </w:p>
    <w:p>
      <w:pPr>
        <w:pStyle w:val="895"/>
        <w:jc w:val="left"/>
        <w:spacing w:line="360" w:lineRule="auto"/>
        <w:rPr>
          <w:rFonts w:hAnsi="宋体"/>
          <w:sz w:val="24"/>
        </w:rPr>
      </w:pPr>
      <w:r>
        <w:rPr>
          <w:rFonts w:hint="eastAsia" w:ascii="宋体" w:hAnsi="宋体"/>
          <w:sz w:val="24"/>
        </w:rPr>
        <w:t xml:space="preserve">2.落实政府采购政策需满足的资格要求：</w:t>
      </w:r>
      <w:r>
        <w:rPr>
          <w:rFonts w:hint="eastAsia" w:ascii="宋体" w:hAnsi="宋体"/>
          <w:b/>
          <w:bCs/>
          <w:sz w:val="24"/>
        </w:rPr>
        <w:t xml:space="preserve">本项目非专门面向中小企业采购。</w:t>
      </w:r>
      <w:r>
        <w:rPr>
          <w:rFonts w:hint="eastAsia" w:ascii="宋体" w:hAnsi="宋体"/>
          <w:sz w:val="24"/>
        </w:rPr>
        <w:t xml:space="preserve">本项目所</w:t>
      </w:r>
      <w:r>
        <w:rPr>
          <w:rFonts w:hint="eastAsia" w:ascii="宋体" w:hAnsi="宋体" w:cs="宋体"/>
          <w:bCs/>
          <w:sz w:val="24"/>
        </w:rPr>
        <w:t xml:space="preserve">属行业为其他未列明行业。</w:t>
      </w:r>
      <w:r>
        <w:rPr>
          <w:rFonts w:hAnsi="宋体"/>
          <w:sz w:val="24"/>
        </w:rPr>
      </w:r>
      <w:r/>
    </w:p>
    <w:p>
      <w:pPr>
        <w:pStyle w:val="895"/>
        <w:jc w:val="left"/>
        <w:spacing w:line="360" w:lineRule="auto"/>
        <w:widowControl/>
        <w:rPr>
          <w:rFonts w:hint="eastAsia" w:ascii="宋体" w:hAnsi="宋体"/>
          <w:b/>
          <w:bCs/>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本项目的特定资格条件</w:t>
      </w:r>
      <w:r>
        <w:rPr>
          <w:rFonts w:hint="eastAsia" w:ascii="宋体" w:hAnsi="宋体"/>
          <w:b/>
          <w:bCs/>
          <w:sz w:val="24"/>
        </w:rPr>
        <w:t xml:space="preserve">：</w:t>
      </w:r>
      <w:r/>
    </w:p>
    <w:p>
      <w:pPr>
        <w:pStyle w:val="895"/>
        <w:jc w:val="left"/>
        <w:spacing w:line="360" w:lineRule="auto"/>
        <w:widowControl/>
        <w:rPr>
          <w:rFonts w:hint="eastAsia" w:ascii="宋体" w:hAnsi="宋体" w:cs="宋体"/>
          <w:b/>
          <w:bCs/>
          <w:sz w:val="24"/>
        </w:rPr>
      </w:pPr>
      <w:r>
        <w:rPr>
          <w:rFonts w:hint="eastAsia" w:ascii="宋体" w:hAnsi="宋体"/>
          <w:b/>
          <w:bCs/>
          <w:sz w:val="24"/>
        </w:rPr>
        <w:t xml:space="preserve">（1）</w:t>
      </w:r>
      <w:bookmarkStart w:id="26" w:name="OLE_LINK130"/>
      <w:r/>
      <w:bookmarkStart w:id="27" w:name="OLE_LINK131"/>
      <w:r>
        <w:rPr>
          <w:rFonts w:hint="eastAsia" w:ascii="宋体" w:hAnsi="宋体" w:cs="宋体"/>
          <w:b/>
          <w:bCs/>
          <w:sz w:val="24"/>
        </w:rPr>
        <w:t xml:space="preserve">供应商需具备检验检测机构资质认定证书（环境检测CMA证书）</w:t>
      </w:r>
      <w:bookmarkEnd w:id="26"/>
      <w:r/>
      <w:bookmarkEnd w:id="27"/>
      <w:r>
        <w:rPr>
          <w:rFonts w:hint="eastAsia" w:ascii="宋体" w:hAnsi="宋体" w:cs="宋体"/>
          <w:b/>
          <w:bCs/>
          <w:sz w:val="24"/>
        </w:rPr>
        <w:t xml:space="preserve">。</w:t>
      </w:r>
      <w:r/>
    </w:p>
    <w:p>
      <w:pPr>
        <w:pStyle w:val="991"/>
        <w:ind w:firstLine="0"/>
        <w:spacing w:line="360" w:lineRule="auto"/>
        <w:rPr>
          <w:rFonts w:hint="eastAsia" w:hAnsi="宋体"/>
          <w:sz w:val="24"/>
        </w:rPr>
      </w:pPr>
      <w:r>
        <w:rPr>
          <w:rFonts w:hint="eastAsia" w:hAnsi="宋体"/>
          <w:sz w:val="24"/>
        </w:rPr>
        <w:t xml:space="preserve">（2）</w:t>
      </w:r>
      <w:bookmarkStart w:id="28" w:name="OLE_LINK127"/>
      <w:r>
        <w:rPr>
          <w:rFonts w:hint="eastAsia" w:hAnsi="宋体"/>
          <w:sz w:val="24"/>
        </w:rPr>
        <w:t xml:space="preserve">供应商单位负责人为同一人或者存在直接控股、管理关系的不同供应商，不得参加同一合同项下的政府采购活动。</w:t>
      </w:r>
      <w:bookmarkEnd w:id="28"/>
      <w:r>
        <w:rPr>
          <w:rFonts w:hint="eastAsia" w:hAnsi="宋体"/>
          <w:sz w:val="24"/>
        </w:rPr>
      </w:r>
      <w:r/>
    </w:p>
    <w:p>
      <w:pPr>
        <w:pStyle w:val="991"/>
        <w:ind w:firstLine="0"/>
        <w:spacing w:line="360" w:lineRule="auto"/>
        <w:rPr>
          <w:rFonts w:hint="eastAsia" w:hAnsi="宋体"/>
          <w:sz w:val="24"/>
        </w:rPr>
      </w:pPr>
      <w:r>
        <w:rPr>
          <w:rFonts w:hint="eastAsia" w:hAnsi="宋体"/>
          <w:sz w:val="24"/>
        </w:rPr>
        <w:t xml:space="preserve">（3）</w:t>
      </w:r>
      <w:bookmarkStart w:id="29" w:name="OLE_LINK128"/>
      <w:r>
        <w:rPr>
          <w:rFonts w:hAnsi="宋体"/>
          <w:sz w:val="24"/>
        </w:rPr>
        <w:t xml:space="preserve">未被“信用中国”网站列入失信被执行人、重大税收违法案件当事人名单、政府采购严重失信行为记录名单。</w:t>
      </w:r>
      <w:bookmarkEnd w:id="29"/>
      <w:r>
        <w:rPr>
          <w:rFonts w:hint="eastAsia" w:hAnsi="宋体"/>
          <w:sz w:val="24"/>
        </w:rPr>
      </w:r>
      <w:r/>
    </w:p>
    <w:p>
      <w:pPr>
        <w:pStyle w:val="895"/>
        <w:rPr>
          <w:rFonts w:hint="eastAsia"/>
          <w:sz w:val="24"/>
        </w:rPr>
      </w:pPr>
      <w:r>
        <w:rPr>
          <w:rFonts w:hint="eastAsia"/>
          <w:sz w:val="24"/>
        </w:rPr>
        <w:t xml:space="preserve">（4）</w:t>
      </w:r>
      <w:bookmarkStart w:id="30" w:name="OLE_LINK125"/>
      <w:r/>
      <w:bookmarkStart w:id="31" w:name="OLE_LINK126"/>
      <w:r/>
      <w:bookmarkStart w:id="32" w:name="OLE_LINK129"/>
      <w:r>
        <w:rPr>
          <w:rFonts w:hint="eastAsia"/>
          <w:sz w:val="24"/>
        </w:rPr>
        <w:t xml:space="preserve">公益一类事业单位、使用事业编制且由财政拨款保障的群团组织，不作为政府购买服务的购买主体和承接主体。</w:t>
      </w:r>
      <w:bookmarkEnd w:id="30"/>
      <w:r/>
      <w:bookmarkEnd w:id="31"/>
      <w:r/>
      <w:bookmarkEnd w:id="32"/>
      <w:r>
        <w:rPr>
          <w:rFonts w:hint="eastAsia"/>
          <w:sz w:val="24"/>
        </w:rPr>
      </w:r>
      <w:r/>
    </w:p>
    <w:p>
      <w:pPr>
        <w:pStyle w:val="991"/>
        <w:ind w:firstLine="0"/>
        <w:spacing w:line="360" w:lineRule="auto"/>
        <w:rPr>
          <w:rFonts w:hint="eastAsia" w:hAnsi="宋体"/>
          <w:b/>
          <w:sz w:val="24"/>
          <w:szCs w:val="24"/>
        </w:rPr>
      </w:pPr>
      <w:r>
        <w:rPr>
          <w:rFonts w:hint="eastAsia" w:hAnsi="宋体"/>
          <w:b/>
          <w:sz w:val="24"/>
          <w:szCs w:val="24"/>
        </w:rPr>
        <w:t xml:space="preserve">三、获取招标文件</w:t>
      </w:r>
      <w:r/>
    </w:p>
    <w:p>
      <w:pPr>
        <w:pStyle w:val="895"/>
        <w:ind w:right="-433"/>
        <w:spacing w:line="360" w:lineRule="auto"/>
        <w:rPr>
          <w:rFonts w:hint="eastAsia" w:ascii="宋体" w:hAnsi="宋体"/>
          <w:sz w:val="24"/>
        </w:rPr>
      </w:pPr>
      <w:r>
        <w:rPr>
          <w:rFonts w:hint="eastAsia" w:ascii="宋体" w:hAnsi="宋体"/>
          <w:sz w:val="24"/>
        </w:rPr>
        <w:t xml:space="preserve">1.获取时间：自公告发布之日起至5个工作日。</w:t>
      </w:r>
      <w:r/>
    </w:p>
    <w:p>
      <w:pPr>
        <w:pStyle w:val="895"/>
        <w:ind w:right="-433"/>
        <w:spacing w:line="360" w:lineRule="auto"/>
        <w:rPr>
          <w:rFonts w:hint="eastAsia" w:ascii="宋体" w:hAnsi="宋体"/>
          <w:sz w:val="24"/>
        </w:rPr>
      </w:pPr>
      <w:r>
        <w:rPr>
          <w:rFonts w:hint="eastAsia" w:ascii="宋体" w:hAnsi="宋体"/>
          <w:sz w:val="24"/>
        </w:rPr>
        <w:t xml:space="preserve">2.获取地点：“苏采云”系统。</w:t>
      </w:r>
      <w:r/>
    </w:p>
    <w:p>
      <w:pPr>
        <w:pStyle w:val="993"/>
        <w:ind w:firstLine="0"/>
        <w:spacing w:line="360" w:lineRule="auto"/>
        <w:rPr>
          <w:rFonts w:hint="eastAsia" w:ascii="宋体" w:hAnsi="宋体" w:eastAsia="宋体"/>
          <w:szCs w:val="24"/>
        </w:rPr>
      </w:pPr>
      <w:r>
        <w:rPr>
          <w:rFonts w:hint="eastAsia" w:ascii="宋体" w:hAnsi="宋体" w:eastAsia="宋体"/>
          <w:szCs w:val="24"/>
        </w:rPr>
        <w:t xml:space="preserve">3.方式：在“苏采云”系统线上报名并下载招标文件。</w:t>
      </w:r>
      <w:r/>
    </w:p>
    <w:p>
      <w:pPr>
        <w:pStyle w:val="993"/>
        <w:ind w:firstLine="0"/>
        <w:spacing w:line="360" w:lineRule="auto"/>
        <w:rPr>
          <w:rFonts w:hint="eastAsia" w:ascii="宋体" w:hAnsi="宋体" w:eastAsia="宋体"/>
          <w:szCs w:val="24"/>
        </w:rPr>
      </w:pPr>
      <w:r>
        <w:rPr>
          <w:rFonts w:hint="eastAsia" w:ascii="宋体" w:hAnsi="宋体" w:eastAsia="宋体"/>
          <w:szCs w:val="24"/>
        </w:rPr>
        <w:t xml:space="preserve">4.售价：0元。</w:t>
      </w:r>
      <w:r/>
    </w:p>
    <w:p>
      <w:pPr>
        <w:pStyle w:val="895"/>
        <w:spacing w:line="360" w:lineRule="auto"/>
        <w:rPr>
          <w:rFonts w:hint="eastAsia" w:ascii="宋体" w:hAnsi="宋体"/>
          <w:b/>
          <w:bCs/>
          <w:sz w:val="24"/>
        </w:rPr>
      </w:pPr>
      <w:r>
        <w:rPr>
          <w:rFonts w:hint="eastAsia" w:ascii="宋体" w:hAnsi="宋体"/>
          <w:b/>
          <w:bCs/>
          <w:sz w:val="24"/>
        </w:rPr>
        <w:t xml:space="preserve">四、提交投标文件截止时间、开标时间和地点</w:t>
      </w:r>
      <w:r/>
    </w:p>
    <w:p>
      <w:pPr>
        <w:pStyle w:val="895"/>
        <w:contextualSpacing/>
        <w:jc w:val="left"/>
        <w:spacing w:line="360" w:lineRule="auto"/>
        <w:rPr>
          <w:rFonts w:ascii="宋体" w:hAnsi="宋体"/>
          <w:color w:val="000000" w:themeColor="text1"/>
          <w:sz w:val="24"/>
        </w:rPr>
      </w:pPr>
      <w:r>
        <w:rPr>
          <w:rFonts w:ascii="宋体" w:hAnsi="宋体"/>
          <w:sz w:val="24"/>
        </w:rPr>
        <w:t xml:space="preserve">1.</w:t>
      </w:r>
      <w:r>
        <w:rPr>
          <w:rFonts w:hint="eastAsia" w:ascii="宋体" w:hAnsi="宋体"/>
          <w:sz w:val="24"/>
        </w:rPr>
        <w:t xml:space="preserve">提交投标文件截止</w:t>
      </w:r>
      <w:r>
        <w:rPr>
          <w:rFonts w:hint="eastAsia" w:ascii="宋体" w:hAnsi="宋体"/>
          <w:color w:val="000000" w:themeColor="text1"/>
          <w:sz w:val="24"/>
        </w:rPr>
        <w:t xml:space="preserve">时间：</w:t>
      </w:r>
      <w:r>
        <w:rPr>
          <w:rFonts w:hint="eastAsia" w:ascii="宋体" w:hAnsi="宋体"/>
          <w:color w:val="000000" w:themeColor="text1"/>
          <w:sz w:val="24"/>
        </w:rPr>
        <w:t xml:space="preserve">2026年5月29日</w:t>
      </w:r>
      <w:r>
        <w:rPr>
          <w:rFonts w:hint="eastAsia" w:ascii="宋体" w:hAnsi="宋体"/>
          <w:color w:val="000000" w:themeColor="text1"/>
          <w:sz w:val="24"/>
        </w:rPr>
        <w:t xml:space="preserve">9:30（北京时间）；</w:t>
      </w:r>
      <w:r>
        <w:rPr>
          <w:color w:val="000000" w:themeColor="text1"/>
        </w:rPr>
      </w:r>
      <w:r/>
    </w:p>
    <w:p>
      <w:pPr>
        <w:pStyle w:val="895"/>
        <w:ind w:right="-433"/>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开标时间：</w:t>
      </w:r>
      <w:r>
        <w:rPr>
          <w:rFonts w:hint="eastAsia" w:ascii="宋体" w:hAnsi="宋体"/>
          <w:color w:val="000000" w:themeColor="text1"/>
          <w:sz w:val="24"/>
        </w:rPr>
        <w:t xml:space="preserve">2026年5月29日</w:t>
      </w:r>
      <w:r>
        <w:rPr>
          <w:rFonts w:hint="eastAsia" w:ascii="宋体" w:hAnsi="宋体"/>
          <w:color w:val="000000" w:themeColor="text1"/>
          <w:sz w:val="24"/>
        </w:rPr>
        <w:t xml:space="preserve">9:30（北京时间）；</w:t>
      </w:r>
      <w:r>
        <w:rPr>
          <w:color w:val="000000" w:themeColor="text1"/>
        </w:rPr>
      </w:r>
      <w:r/>
    </w:p>
    <w:p>
      <w:pPr>
        <w:pStyle w:val="993"/>
        <w:ind w:firstLine="0"/>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3.开标地点：“苏采云”系统</w:t>
      </w:r>
      <w:r>
        <w:rPr>
          <w:color w:val="000000" w:themeColor="text1"/>
        </w:rPr>
      </w:r>
      <w:r/>
    </w:p>
    <w:p>
      <w:pPr>
        <w:pStyle w:val="895"/>
        <w:contextualSpacing/>
        <w:jc w:val="left"/>
        <w:spacing w:line="360" w:lineRule="auto"/>
        <w:rPr>
          <w:rFonts w:ascii="宋体" w:hAnsi="宋体" w:cs="宋体"/>
          <w:b/>
          <w:bCs/>
          <w:sz w:val="24"/>
        </w:rPr>
      </w:pPr>
      <w:r>
        <w:rPr>
          <w:rFonts w:hint="eastAsia" w:ascii="宋体" w:hAnsi="宋体" w:cs="宋体"/>
          <w:b/>
          <w:bCs/>
          <w:sz w:val="24"/>
        </w:rPr>
        <w:t xml:space="preserve">五、公告期限：</w:t>
      </w:r>
      <w:r>
        <w:rPr>
          <w:rFonts w:ascii="宋体" w:hAnsi="宋体" w:cs="宋体"/>
          <w:b/>
          <w:bCs/>
          <w:sz w:val="24"/>
        </w:rPr>
      </w:r>
      <w:r/>
    </w:p>
    <w:p>
      <w:pPr>
        <w:pStyle w:val="993"/>
        <w:ind w:firstLine="0"/>
        <w:spacing w:line="360" w:lineRule="auto"/>
        <w:rPr>
          <w:rFonts w:hint="eastAsia" w:ascii="宋体" w:hAnsi="宋体" w:eastAsia="宋体"/>
          <w:szCs w:val="24"/>
        </w:rPr>
      </w:pPr>
      <w:r>
        <w:rPr>
          <w:rFonts w:hint="eastAsia" w:ascii="宋体" w:hAnsi="宋体" w:eastAsia="宋体" w:cs="宋体"/>
        </w:rPr>
        <w:t xml:space="preserve">自本公告发布之日起5个工作日。</w:t>
      </w:r>
      <w:r>
        <w:rPr>
          <w:rFonts w:hint="eastAsia" w:ascii="宋体" w:hAnsi="宋体" w:eastAsia="宋体"/>
          <w:szCs w:val="24"/>
        </w:rPr>
      </w:r>
      <w:r/>
    </w:p>
    <w:p>
      <w:pPr>
        <w:pStyle w:val="993"/>
        <w:ind w:firstLine="0"/>
        <w:spacing w:line="360" w:lineRule="auto"/>
        <w:rPr>
          <w:rFonts w:hint="eastAsia" w:ascii="宋体" w:hAnsi="宋体" w:eastAsia="宋体"/>
          <w:b/>
          <w:szCs w:val="24"/>
        </w:rPr>
      </w:pPr>
      <w:r>
        <w:rPr>
          <w:rFonts w:hint="eastAsia" w:ascii="宋体" w:hAnsi="宋体" w:eastAsia="宋体"/>
          <w:b/>
          <w:szCs w:val="24"/>
        </w:rPr>
        <w:t xml:space="preserve">六、其他补充事宜</w:t>
      </w:r>
      <w:r/>
    </w:p>
    <w:p>
      <w:pPr>
        <w:pStyle w:val="895"/>
        <w:contextualSpacing/>
        <w:jc w:val="left"/>
        <w:spacing w:line="360" w:lineRule="auto"/>
        <w:rPr>
          <w:rFonts w:hint="eastAsia" w:ascii="宋体" w:hAnsi="宋体"/>
          <w:sz w:val="24"/>
        </w:rPr>
      </w:pPr>
      <w:r>
        <w:rPr>
          <w:rFonts w:hint="eastAsia" w:ascii="宋体" w:hAnsi="宋体"/>
          <w:sz w:val="24"/>
        </w:rPr>
        <w:t xml:space="preserve">1.网上报名获取招标文件流程：</w:t>
      </w:r>
      <w:r/>
    </w:p>
    <w:p>
      <w:pPr>
        <w:pStyle w:val="895"/>
        <w:contextualSpacing/>
        <w:jc w:val="left"/>
        <w:spacing w:line="360" w:lineRule="auto"/>
        <w:rPr>
          <w:rFonts w:ascii="宋体" w:hAnsi="宋体"/>
          <w:sz w:val="24"/>
        </w:rPr>
      </w:pPr>
      <w:r>
        <w:rPr>
          <w:rFonts w:hint="eastAsia" w:ascii="宋体" w:hAnsi="宋体"/>
          <w:sz w:val="24"/>
        </w:rPr>
        <w:t xml:space="preserve">（1）CA证书办理</w:t>
      </w:r>
      <w:r>
        <w:rPr>
          <w:rFonts w:ascii="宋体" w:hAnsi="宋体"/>
          <w:sz w:val="24"/>
        </w:rPr>
      </w:r>
      <w:r/>
    </w:p>
    <w:p>
      <w:pPr>
        <w:pStyle w:val="993"/>
        <w:ind w:firstLine="480"/>
        <w:spacing w:line="360" w:lineRule="auto"/>
        <w:rPr>
          <w:rFonts w:ascii="宋体" w:hAnsi="宋体" w:eastAsia="宋体"/>
          <w:szCs w:val="24"/>
        </w:rPr>
      </w:pPr>
      <w:r>
        <w:rPr>
          <w:rFonts w:hint="eastAsia" w:ascii="宋体" w:hAnsi="宋体" w:eastAsia="宋体"/>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进入</w:t>
      </w:r>
      <w:r>
        <w:rPr>
          <w:rFonts w:hint="eastAsia" w:ascii="宋体" w:hAnsi="宋体" w:eastAsia="宋体" w:cs="宋体"/>
        </w:rPr>
        <w:t xml:space="preserve">“江苏政府采购”官网首页-“苏采云”-进入“苏采云政府采购一体化平台”-点击“新</w:t>
      </w:r>
      <w:r>
        <w:rPr>
          <w:rFonts w:ascii="宋体" w:hAnsi="宋体" w:eastAsia="宋体" w:cs="宋体"/>
        </w:rPr>
        <w:t xml:space="preserve">CA办理指南”。详见《江苏省政府采购数字证书（供应商）数字证书CA及电子签章办理指南》</w:t>
      </w:r>
      <w:r>
        <w:rPr>
          <w:rFonts w:hint="eastAsia" w:ascii="宋体" w:hAnsi="宋体" w:eastAsia="宋体"/>
          <w:szCs w:val="24"/>
        </w:rPr>
        <w:t xml:space="preserve">。“苏采云”系统目前仅支持“苏采云”系统下的政务CA证书，江苏省内各地区办理的“苏采云”系统下的政务CA证书全省通用。</w:t>
      </w:r>
      <w:r>
        <w:rPr>
          <w:rFonts w:hint="eastAsia" w:ascii="宋体" w:hAnsi="宋体" w:eastAsia="宋体"/>
          <w:b/>
          <w:szCs w:val="24"/>
        </w:rPr>
        <w:t xml:space="preserve">苏州市高新区邓尉路105号狮山科技馆一楼服务大厅9号，10号窗口，咨询电话：0512-65737699。</w:t>
      </w:r>
      <w:r>
        <w:rPr>
          <w:rFonts w:ascii="宋体" w:hAnsi="宋体" w:eastAsia="宋体"/>
          <w:szCs w:val="24"/>
        </w:rPr>
      </w:r>
      <w:r/>
    </w:p>
    <w:p>
      <w:pPr>
        <w:pStyle w:val="993"/>
        <w:spacing w:line="360" w:lineRule="auto"/>
        <w:rPr>
          <w:rFonts w:ascii="宋体" w:hAnsi="宋体" w:eastAsia="宋体"/>
          <w:szCs w:val="24"/>
        </w:rPr>
      </w:pPr>
      <w:r>
        <w:rPr>
          <w:rFonts w:hint="eastAsia" w:ascii="宋体" w:hAnsi="宋体" w:eastAsia="宋体"/>
          <w:szCs w:val="24"/>
        </w:rPr>
        <w:t xml:space="preserve">（2）参与采购活动</w:t>
      </w:r>
      <w:r>
        <w:rPr>
          <w:rFonts w:ascii="宋体" w:hAnsi="宋体" w:eastAsia="宋体"/>
          <w:szCs w:val="24"/>
        </w:rPr>
      </w:r>
      <w:r/>
    </w:p>
    <w:p>
      <w:pPr>
        <w:pStyle w:val="993"/>
        <w:ind w:firstLine="480"/>
        <w:spacing w:line="360" w:lineRule="auto"/>
        <w:rPr>
          <w:rFonts w:ascii="宋体" w:hAnsi="宋体" w:eastAsia="宋体"/>
          <w:szCs w:val="24"/>
        </w:rPr>
      </w:pPr>
      <w:r>
        <w:rPr>
          <w:rFonts w:hint="eastAsia" w:ascii="宋体" w:hAnsi="宋体" w:eastAsia="宋体"/>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eastAsia="宋体"/>
          <w:szCs w:val="24"/>
        </w:rPr>
      </w:r>
      <w:r/>
    </w:p>
    <w:p>
      <w:pPr>
        <w:pStyle w:val="993"/>
        <w:spacing w:line="360" w:lineRule="auto"/>
        <w:rPr>
          <w:rFonts w:ascii="宋体" w:hAnsi="宋体" w:eastAsia="宋体"/>
          <w:szCs w:val="24"/>
        </w:rPr>
      </w:pPr>
      <w:r>
        <w:rPr>
          <w:rFonts w:hint="eastAsia" w:ascii="宋体" w:hAnsi="宋体" w:eastAsia="宋体"/>
          <w:szCs w:val="24"/>
        </w:rPr>
        <w:t xml:space="preserve">（3）电子投标准备</w:t>
      </w:r>
      <w:r>
        <w:rPr>
          <w:rFonts w:ascii="宋体" w:hAnsi="宋体" w:eastAsia="宋体"/>
          <w:szCs w:val="24"/>
        </w:rPr>
      </w:r>
      <w:r/>
    </w:p>
    <w:p>
      <w:pPr>
        <w:pStyle w:val="993"/>
        <w:ind w:firstLine="480"/>
        <w:spacing w:line="360" w:lineRule="auto"/>
        <w:rPr>
          <w:rFonts w:hint="eastAsia" w:ascii="宋体" w:hAnsi="宋体" w:eastAsia="宋体"/>
          <w:szCs w:val="24"/>
        </w:rPr>
      </w:pPr>
      <w:r>
        <w:rPr>
          <w:rFonts w:hint="eastAsia" w:ascii="宋体" w:hAnsi="宋体" w:eastAsia="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w:t>
      </w:r>
      <w:r>
        <w:rPr>
          <w:rFonts w:ascii="宋体" w:hAnsi="宋体" w:eastAsia="宋体"/>
          <w:szCs w:val="24"/>
        </w:rPr>
        <w:t xml:space="preserve">https://czju.suzhou.gov.cn/zfcg/html/content/20231220161910031.shtml</w:t>
      </w:r>
      <w:r>
        <w:rPr>
          <w:rFonts w:hint="eastAsia" w:ascii="宋体" w:hAnsi="宋体" w:eastAsia="宋体"/>
          <w:szCs w:val="24"/>
        </w:rPr>
        <w:t xml:space="preserve">）。</w:t>
      </w:r>
      <w:r/>
    </w:p>
    <w:p>
      <w:pPr>
        <w:pStyle w:val="993"/>
        <w:ind w:firstLine="480"/>
        <w:spacing w:line="360" w:lineRule="auto"/>
        <w:rPr>
          <w:rFonts w:ascii="宋体" w:hAnsi="宋体" w:eastAsia="宋体"/>
          <w:szCs w:val="24"/>
        </w:rPr>
      </w:pPr>
      <w:r>
        <w:rPr>
          <w:rFonts w:hint="eastAsia" w:ascii="宋体" w:hAnsi="宋体" w:eastAsia="宋体"/>
          <w:szCs w:val="24"/>
        </w:rPr>
        <w:t xml:space="preserve">在系统操作过程中如有疑问，请按以下方式联系：</w:t>
      </w:r>
      <w:r>
        <w:rPr>
          <w:rFonts w:ascii="宋体" w:hAnsi="宋体" w:eastAsia="宋体"/>
          <w:szCs w:val="24"/>
        </w:rPr>
      </w:r>
      <w:r/>
    </w:p>
    <w:p>
      <w:pPr>
        <w:pStyle w:val="993"/>
        <w:ind w:firstLine="480"/>
        <w:spacing w:line="360" w:lineRule="auto"/>
        <w:rPr>
          <w:rFonts w:ascii="宋体" w:hAnsi="宋体" w:eastAsia="宋体"/>
          <w:szCs w:val="24"/>
        </w:rPr>
      </w:pPr>
      <w:r>
        <w:rPr>
          <w:rFonts w:hint="eastAsia" w:ascii="宋体" w:hAnsi="宋体" w:eastAsia="宋体"/>
          <w:szCs w:val="24"/>
        </w:rPr>
        <w:t xml:space="preserve">CA技术咨询电话：400-608-6099；  </w:t>
      </w:r>
      <w:r>
        <w:rPr>
          <w:rFonts w:ascii="宋体" w:hAnsi="宋体" w:eastAsia="宋体"/>
          <w:szCs w:val="24"/>
        </w:rPr>
      </w:r>
      <w:r/>
    </w:p>
    <w:p>
      <w:pPr>
        <w:pStyle w:val="993"/>
        <w:ind w:firstLine="480"/>
        <w:spacing w:line="360" w:lineRule="auto"/>
        <w:rPr>
          <w:rFonts w:hint="eastAsia" w:ascii="宋体" w:hAnsi="宋体" w:eastAsia="宋体"/>
          <w:szCs w:val="24"/>
        </w:rPr>
      </w:pPr>
      <w:r>
        <w:rPr>
          <w:rFonts w:hint="eastAsia" w:ascii="宋体" w:hAnsi="宋体" w:eastAsia="宋体"/>
          <w:szCs w:val="24"/>
        </w:rPr>
        <w:t xml:space="preserve">电子签章技术咨询：025-83633811、025-83633812、15380932027、13675197356；  </w:t>
      </w:r>
      <w:r/>
    </w:p>
    <w:p>
      <w:pPr>
        <w:pStyle w:val="993"/>
        <w:ind w:firstLine="480"/>
        <w:spacing w:line="360" w:lineRule="auto"/>
        <w:rPr>
          <w:rFonts w:hint="eastAsia" w:ascii="宋体" w:hAnsi="宋体" w:eastAsia="宋体"/>
          <w:szCs w:val="24"/>
        </w:rPr>
      </w:pPr>
      <w:r>
        <w:rPr>
          <w:rFonts w:hint="eastAsia" w:ascii="宋体" w:hAnsi="宋体" w:eastAsia="宋体"/>
          <w:szCs w:val="24"/>
        </w:rPr>
        <w:t xml:space="preserve">“苏采云”平台技术咨询：13914088964、18261002950、0519-86722802；智能客服：登录苏采云系统后，联系右下方智能客服图标进行咨询。</w:t>
      </w:r>
      <w:r/>
    </w:p>
    <w:p>
      <w:pPr>
        <w:pStyle w:val="895"/>
        <w:contextualSpacing/>
        <w:ind w:firstLine="480"/>
        <w:jc w:val="left"/>
        <w:spacing w:line="360" w:lineRule="auto"/>
        <w:rPr>
          <w:rFonts w:ascii="宋体" w:hAnsi="宋体"/>
          <w:color w:val="000000"/>
          <w:sz w:val="24"/>
        </w:rPr>
      </w:pPr>
      <w:r>
        <w:rPr>
          <w:rFonts w:hint="eastAsia" w:ascii="宋体" w:hAnsi="宋体"/>
          <w:color w:val="000000"/>
          <w:sz w:val="24"/>
        </w:rPr>
        <w:t xml:space="preserve">2.本项目采用电子招投标形式，请供应商按照《苏采云系统供应商操作手册》进行制作、上传电子投标文件。</w:t>
      </w:r>
      <w:r>
        <w:rPr>
          <w:rFonts w:hint="eastAsia" w:ascii="宋体" w:hAnsi="宋体"/>
          <w:b/>
          <w:color w:val="000000"/>
          <w:sz w:val="24"/>
        </w:rPr>
        <w:t xml:space="preserve">电子投标文件制作完成后请于提交截止时间前成功上传至“苏采云”系统，否则视为放弃参加本次投标。</w:t>
      </w:r>
      <w:r>
        <w:rPr>
          <w:rFonts w:hint="eastAsia" w:ascii="宋体" w:hAnsi="宋体"/>
          <w:color w:val="000000"/>
          <w:sz w:val="24"/>
        </w:rPr>
        <w:t xml:space="preserve">供应商应充分考虑到网络环境、网络带宽等风险因素，如因供应商自身原因造成的电子响应文件上传不成功由供应商自行承担全部责任。</w:t>
      </w:r>
      <w:r>
        <w:rPr>
          <w:rFonts w:ascii="宋体" w:hAnsi="宋体"/>
          <w:color w:val="000000"/>
          <w:sz w:val="24"/>
        </w:rPr>
      </w:r>
      <w:r/>
    </w:p>
    <w:p>
      <w:pPr>
        <w:pStyle w:val="895"/>
        <w:contextualSpacing/>
        <w:ind w:firstLine="480"/>
        <w:spacing w:line="360" w:lineRule="auto"/>
        <w:tabs>
          <w:tab w:val="left" w:pos="5250" w:leader="none"/>
        </w:tabs>
        <w:rPr>
          <w:rFonts w:ascii="宋体" w:hAnsi="宋体" w:cs="宋体"/>
          <w:b/>
          <w:color w:val="000000"/>
          <w:sz w:val="24"/>
        </w:rPr>
      </w:pPr>
      <w:r>
        <w:rPr>
          <w:rFonts w:hint="eastAsia" w:ascii="宋体" w:hAnsi="宋体"/>
          <w:color w:val="000000"/>
          <w:sz w:val="24"/>
        </w:rPr>
        <w:t xml:space="preserve">3.</w:t>
      </w:r>
      <w:r>
        <w:rPr>
          <w:rFonts w:hint="eastAsia" w:ascii="宋体" w:hAnsi="宋体" w:cs="宋体"/>
          <w:color w:val="000000"/>
          <w:sz w:val="24"/>
        </w:rPr>
        <w:t xml:space="preserve">供应商参加开标（开启）会方式：供应商登录“苏采云”系统在平台首页点击“开标大厅”，进入江苏省政府采购一体化不见面开标（采购）大厅，在今日项目列表，点击项目，进入不见面开标系统。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rPr>
        <w:t xml:space="preserve">本项目为不见面开标项目，开标阶段供应商在【解密】环节必须使用CA证书解密电子投标（响应）文件，如在系统规定的解密时间内未能完成解密的视为放弃投标。投多标段的单位，请仔细查看每个标段的操作情况。</w:t>
      </w:r>
      <w:r>
        <w:rPr>
          <w:rFonts w:hint="eastAsia" w:ascii="宋体" w:hAnsi="宋体" w:cs="宋体"/>
          <w:color w:val="000000"/>
          <w:sz w:val="24"/>
        </w:rPr>
        <w:t xml:space="preserve">请供应商确保电脑、系统及其他设备（视频输入输出设备等）无误，且开标直至项目结束始终保持系统在线状态。</w:t>
      </w:r>
      <w:r>
        <w:rPr>
          <w:rFonts w:ascii="宋体" w:hAnsi="宋体" w:cs="宋体"/>
          <w:b/>
          <w:color w:val="000000"/>
          <w:sz w:val="24"/>
        </w:rPr>
      </w:r>
      <w:r/>
    </w:p>
    <w:p>
      <w:pPr>
        <w:pStyle w:val="895"/>
        <w:ind w:firstLine="480"/>
        <w:jc w:val="left"/>
        <w:spacing w:line="360" w:lineRule="auto"/>
        <w:rPr>
          <w:rFonts w:ascii="宋体" w:hAnsi="宋体"/>
          <w:bCs/>
          <w:color w:val="000000"/>
          <w:sz w:val="24"/>
        </w:rPr>
      </w:pPr>
      <w:r>
        <w:rPr>
          <w:rFonts w:hint="eastAsia" w:ascii="宋体" w:hAnsi="宋体"/>
          <w:color w:val="000000"/>
          <w:sz w:val="24"/>
        </w:rPr>
        <w:t xml:space="preserve">4.</w:t>
      </w:r>
      <w:r>
        <w:rPr>
          <w:rFonts w:hint="eastAsia" w:ascii="宋体" w:hAnsi="宋体"/>
          <w:bCs/>
          <w:color w:val="000000"/>
          <w:sz w:val="24"/>
        </w:rPr>
        <w:t xml:space="preserve">如分标段，所投标段均须报名和投标，请仔细确认回执是否为贵单位所投标段的回执；投报多个标段的单位，开标时，每个投报的标段都须在规定时间内远程解密。</w:t>
      </w:r>
      <w:r>
        <w:rPr>
          <w:rFonts w:ascii="宋体" w:hAnsi="宋体"/>
          <w:bCs/>
          <w:color w:val="000000"/>
          <w:sz w:val="24"/>
        </w:rPr>
      </w:r>
      <w:r/>
    </w:p>
    <w:p>
      <w:pPr>
        <w:pStyle w:val="895"/>
        <w:ind w:firstLine="480"/>
        <w:spacing w:line="360" w:lineRule="auto"/>
        <w:rPr>
          <w:rFonts w:ascii="宋体" w:hAnsi="宋体"/>
          <w:bCs/>
          <w:color w:val="000000"/>
          <w:sz w:val="24"/>
        </w:rPr>
      </w:pPr>
      <w:r>
        <w:rPr>
          <w:rFonts w:hint="eastAsia" w:ascii="宋体" w:hAnsi="宋体"/>
          <w:bCs/>
          <w:color w:val="000000"/>
          <w:sz w:val="24"/>
        </w:rPr>
        <w:t xml:space="preserve">5.投标保证金：无需缴纳投标保证金，但需提供《投标承诺函》（格式见</w:t>
      </w:r>
      <w:bookmarkStart w:id="33" w:name="OLE_LINK56"/>
      <w:r>
        <w:rPr>
          <w:rFonts w:hint="eastAsia" w:ascii="宋体" w:hAnsi="宋体"/>
          <w:bCs/>
          <w:color w:val="000000"/>
          <w:sz w:val="24"/>
        </w:rPr>
        <w:t xml:space="preserve">招标文件</w:t>
      </w:r>
      <w:bookmarkEnd w:id="33"/>
      <w:r>
        <w:rPr>
          <w:rFonts w:hint="eastAsia" w:ascii="宋体" w:hAnsi="宋体"/>
          <w:bCs/>
          <w:color w:val="000000"/>
          <w:sz w:val="24"/>
        </w:rPr>
        <w:t xml:space="preserve">）。</w:t>
      </w:r>
      <w:r>
        <w:rPr>
          <w:rFonts w:ascii="宋体" w:hAnsi="宋体"/>
          <w:bCs/>
          <w:color w:val="000000"/>
          <w:sz w:val="24"/>
        </w:rPr>
      </w:r>
      <w:r/>
    </w:p>
    <w:p>
      <w:pPr>
        <w:pStyle w:val="895"/>
        <w:ind w:firstLine="480"/>
        <w:spacing w:line="360" w:lineRule="auto"/>
        <w:rPr>
          <w:rFonts w:hint="eastAsia" w:ascii="宋体" w:hAnsi="宋体"/>
          <w:bCs/>
          <w:color w:val="000000"/>
          <w:sz w:val="24"/>
        </w:rPr>
      </w:pPr>
      <w:r>
        <w:rPr>
          <w:rFonts w:hint="eastAsia" w:ascii="宋体" w:hAnsi="宋体"/>
          <w:bCs/>
          <w:color w:val="000000"/>
          <w:sz w:val="24"/>
        </w:rPr>
        <w:t xml:space="preserve">6.履约保证金：无。</w:t>
      </w:r>
      <w:r/>
    </w:p>
    <w:p>
      <w:pPr>
        <w:pStyle w:val="895"/>
        <w:ind w:firstLine="480"/>
        <w:spacing w:line="360" w:lineRule="auto"/>
        <w:rPr>
          <w:rFonts w:hint="eastAsia" w:ascii="宋体" w:hAnsi="宋体"/>
          <w:bCs/>
          <w:color w:val="000000"/>
          <w:sz w:val="24"/>
        </w:rPr>
      </w:pPr>
      <w:r>
        <w:rPr>
          <w:rFonts w:hint="eastAsia" w:ascii="宋体" w:hAnsi="宋体"/>
          <w:bCs/>
          <w:color w:val="000000"/>
          <w:sz w:val="24"/>
        </w:rPr>
        <w:t xml:space="preserve">7.苏州相城区政府采购监督电话：0512-67591005/67591006。</w:t>
      </w:r>
      <w:r/>
    </w:p>
    <w:p>
      <w:pPr>
        <w:pStyle w:val="895"/>
        <w:ind w:firstLine="480"/>
        <w:spacing w:line="360" w:lineRule="auto"/>
        <w:rPr>
          <w:rFonts w:hint="eastAsia" w:ascii="宋体" w:hAnsi="宋体"/>
          <w:bCs/>
          <w:color w:val="000000"/>
          <w:sz w:val="24"/>
        </w:rPr>
      </w:pPr>
      <w:r>
        <w:rPr>
          <w:rFonts w:hint="eastAsia" w:ascii="宋体" w:hAnsi="宋体"/>
          <w:bCs/>
          <w:color w:val="000000"/>
          <w:sz w:val="24"/>
        </w:rPr>
        <w:t xml:space="preserve">8.</w:t>
      </w:r>
      <w:r>
        <w:rPr>
          <w:rFonts w:ascii="宋体" w:hAnsi="宋体"/>
          <w:bCs/>
          <w:color w:val="000000"/>
          <w:sz w:val="24"/>
        </w:rPr>
        <w:t xml:space="preserve">本次采购的</w:t>
      </w:r>
      <w:r>
        <w:rPr>
          <w:rFonts w:hint="eastAsia" w:ascii="宋体" w:hAnsi="宋体"/>
          <w:bCs/>
          <w:color w:val="000000"/>
          <w:sz w:val="24"/>
        </w:rPr>
        <w:t xml:space="preserve">全部公告信息均</w:t>
      </w:r>
      <w:r>
        <w:rPr>
          <w:rFonts w:ascii="宋体" w:hAnsi="宋体"/>
          <w:bCs/>
          <w:color w:val="000000"/>
          <w:sz w:val="24"/>
        </w:rPr>
        <w:t xml:space="preserve">通过中国政府采购网</w:t>
      </w:r>
      <w:r>
        <w:rPr>
          <w:rFonts w:hint="eastAsia" w:ascii="宋体" w:hAnsi="宋体"/>
          <w:bCs/>
          <w:color w:val="000000"/>
          <w:sz w:val="24"/>
        </w:rPr>
        <w:t xml:space="preserve">、江苏政府采购网、</w:t>
      </w:r>
      <w:r>
        <w:rPr>
          <w:rFonts w:ascii="宋体" w:hAnsi="宋体"/>
          <w:bCs/>
          <w:color w:val="000000"/>
          <w:sz w:val="24"/>
        </w:rPr>
        <w:t xml:space="preserve">苏州</w:t>
      </w:r>
      <w:r>
        <w:rPr>
          <w:rFonts w:hint="eastAsia" w:ascii="宋体" w:hAnsi="宋体"/>
          <w:bCs/>
          <w:color w:val="000000"/>
          <w:sz w:val="24"/>
        </w:rPr>
        <w:t xml:space="preserve">市</w:t>
      </w:r>
      <w:r>
        <w:rPr>
          <w:rFonts w:ascii="宋体" w:hAnsi="宋体"/>
          <w:bCs/>
          <w:color w:val="000000"/>
          <w:sz w:val="24"/>
        </w:rPr>
        <w:t xml:space="preserve">政府采购网</w:t>
      </w:r>
      <w:r>
        <w:rPr>
          <w:rFonts w:hint="eastAsia" w:ascii="宋体" w:hAnsi="宋体"/>
          <w:bCs/>
          <w:color w:val="000000"/>
          <w:sz w:val="24"/>
        </w:rPr>
        <w:t xml:space="preserve">发布。</w:t>
      </w:r>
      <w:r/>
    </w:p>
    <w:p>
      <w:pPr>
        <w:pStyle w:val="895"/>
        <w:spacing w:line="360" w:lineRule="auto"/>
        <w:shd w:val="clear" w:color="auto" w:fill="ffffff"/>
        <w:widowControl/>
        <w:rPr>
          <w:rFonts w:ascii="宋体" w:hAnsi="宋体" w:cs="宋体"/>
          <w:b/>
          <w:bCs/>
          <w:sz w:val="24"/>
        </w:rPr>
      </w:pPr>
      <w:r>
        <w:rPr>
          <w:rFonts w:hint="eastAsia" w:ascii="宋体" w:hAnsi="宋体" w:cs="宋体"/>
          <w:b/>
          <w:bCs/>
          <w:sz w:val="24"/>
        </w:rPr>
        <w:t xml:space="preserve">七、凡对本次采购提出询问，请按以下方式联系</w:t>
      </w:r>
      <w:r>
        <w:rPr>
          <w:rFonts w:ascii="宋体" w:hAnsi="宋体" w:cs="宋体"/>
          <w:b/>
          <w:bCs/>
          <w:sz w:val="24"/>
        </w:rPr>
      </w:r>
      <w:r/>
    </w:p>
    <w:p>
      <w:pPr>
        <w:pStyle w:val="895"/>
        <w:spacing w:line="360" w:lineRule="auto"/>
        <w:rPr>
          <w:rFonts w:hint="eastAsia" w:ascii="宋体" w:hAnsi="宋体"/>
          <w:bCs/>
          <w:sz w:val="24"/>
        </w:rPr>
      </w:pPr>
      <w:r>
        <w:rPr>
          <w:rFonts w:hint="eastAsia" w:ascii="宋体" w:hAnsi="宋体"/>
          <w:bCs/>
          <w:sz w:val="24"/>
        </w:rPr>
        <w:t xml:space="preserve">1.采购单位：苏州市相城生态环境局</w:t>
      </w:r>
      <w:r/>
    </w:p>
    <w:p>
      <w:pPr>
        <w:pStyle w:val="895"/>
        <w:spacing w:line="360" w:lineRule="auto"/>
        <w:rPr>
          <w:rFonts w:hint="eastAsia" w:ascii="宋体" w:hAnsi="宋体"/>
          <w:sz w:val="24"/>
        </w:rPr>
      </w:pPr>
      <w:r>
        <w:rPr>
          <w:rFonts w:hint="eastAsia" w:ascii="宋体" w:hAnsi="宋体"/>
          <w:sz w:val="24"/>
        </w:rPr>
        <w:t xml:space="preserve">地址：苏州市相城区阳澄湖东路8号</w:t>
      </w:r>
      <w:r/>
    </w:p>
    <w:p>
      <w:pPr>
        <w:pStyle w:val="895"/>
        <w:spacing w:line="360" w:lineRule="auto"/>
        <w:rPr>
          <w:rFonts w:hint="eastAsia" w:ascii="宋体" w:hAnsi="宋体"/>
          <w:sz w:val="24"/>
        </w:rPr>
      </w:pPr>
      <w:r>
        <w:rPr>
          <w:rFonts w:hint="eastAsia" w:ascii="宋体" w:hAnsi="宋体"/>
          <w:bCs/>
          <w:sz w:val="24"/>
        </w:rPr>
        <w:t xml:space="preserve">联系人：张丽君   联系电话：</w:t>
      </w:r>
      <w:r>
        <w:rPr>
          <w:rFonts w:ascii="宋体" w:hAnsi="宋体"/>
          <w:sz w:val="24"/>
        </w:rPr>
        <w:t xml:space="preserve">0512-6615615</w:t>
      </w:r>
      <w:r>
        <w:rPr>
          <w:rFonts w:hint="eastAsia" w:ascii="宋体" w:hAnsi="宋体"/>
          <w:sz w:val="24"/>
        </w:rPr>
        <w:t xml:space="preserve">9</w:t>
      </w:r>
      <w:r/>
    </w:p>
    <w:p>
      <w:pPr>
        <w:pStyle w:val="895"/>
        <w:spacing w:line="360" w:lineRule="auto"/>
        <w:rPr>
          <w:rFonts w:hint="eastAsia" w:ascii="宋体" w:hAnsi="宋体"/>
          <w:sz w:val="24"/>
        </w:rPr>
      </w:pPr>
      <w:r>
        <w:rPr>
          <w:rFonts w:hint="eastAsia" w:ascii="宋体" w:hAnsi="宋体"/>
          <w:sz w:val="24"/>
        </w:rPr>
        <w:t xml:space="preserve">2.招标代理：苏州市营财招投标咨询服务有限公司</w:t>
      </w:r>
      <w:r/>
    </w:p>
    <w:p>
      <w:pPr>
        <w:pStyle w:val="895"/>
        <w:spacing w:line="360" w:lineRule="auto"/>
        <w:rPr>
          <w:rFonts w:hint="eastAsia" w:ascii="宋体" w:hAnsi="宋体"/>
          <w:sz w:val="24"/>
        </w:rPr>
      </w:pPr>
      <w:r>
        <w:rPr>
          <w:rFonts w:hint="eastAsia" w:ascii="宋体" w:hAnsi="宋体"/>
          <w:sz w:val="24"/>
        </w:rPr>
        <w:t xml:space="preserve">地址：苏州市人民路905号</w:t>
      </w:r>
      <w:r/>
    </w:p>
    <w:p>
      <w:pPr>
        <w:pStyle w:val="895"/>
        <w:spacing w:line="360" w:lineRule="auto"/>
        <w:rPr>
          <w:rFonts w:hint="eastAsia" w:ascii="宋体" w:hAnsi="宋体"/>
          <w:sz w:val="24"/>
        </w:rPr>
      </w:pPr>
      <w:r>
        <w:rPr>
          <w:rFonts w:hint="eastAsia" w:ascii="宋体" w:hAnsi="宋体"/>
          <w:sz w:val="24"/>
        </w:rPr>
        <w:t xml:space="preserve">电话：（0512）65159202，65158669</w:t>
      </w:r>
      <w:r/>
    </w:p>
    <w:p>
      <w:pPr>
        <w:pStyle w:val="895"/>
        <w:spacing w:line="360" w:lineRule="auto"/>
        <w:rPr>
          <w:rFonts w:hint="eastAsia" w:ascii="宋体" w:hAnsi="宋体"/>
          <w:sz w:val="24"/>
        </w:rPr>
      </w:pPr>
      <w:r>
        <w:rPr>
          <w:rFonts w:hint="eastAsia" w:ascii="宋体" w:hAnsi="宋体"/>
          <w:sz w:val="24"/>
        </w:rPr>
        <w:t xml:space="preserve">3.项目联系方式：</w:t>
      </w:r>
      <w:r/>
    </w:p>
    <w:p>
      <w:pPr>
        <w:pStyle w:val="895"/>
        <w:spacing w:line="360" w:lineRule="auto"/>
        <w:rPr>
          <w:rFonts w:hint="eastAsia" w:ascii="宋体" w:hAnsi="宋体"/>
          <w:sz w:val="24"/>
        </w:rPr>
      </w:pPr>
      <w:r>
        <w:rPr>
          <w:rFonts w:hint="eastAsia" w:ascii="宋体" w:hAnsi="宋体"/>
          <w:sz w:val="24"/>
        </w:rPr>
        <w:t xml:space="preserve">项目联系人：陶元倩，陈莉</w:t>
      </w:r>
      <w:r/>
    </w:p>
    <w:p>
      <w:pPr>
        <w:pStyle w:val="895"/>
        <w:spacing w:line="360" w:lineRule="auto"/>
        <w:rPr>
          <w:rFonts w:hint="eastAsia" w:ascii="宋体" w:hAnsi="宋体"/>
          <w:sz w:val="24"/>
        </w:rPr>
      </w:pPr>
      <w:r>
        <w:rPr>
          <w:rFonts w:hint="eastAsia" w:ascii="宋体" w:hAnsi="宋体"/>
          <w:sz w:val="24"/>
        </w:rPr>
        <w:t xml:space="preserve">电话：（0512）65159202，65158669</w:t>
      </w:r>
      <w:r/>
    </w:p>
    <w:p>
      <w:pPr>
        <w:pStyle w:val="895"/>
        <w:spacing w:line="360" w:lineRule="auto"/>
        <w:rPr>
          <w:rFonts w:hint="eastAsia"/>
          <w:sz w:val="24"/>
        </w:rPr>
      </w:pPr>
      <w:r>
        <w:rPr>
          <w:rFonts w:hint="eastAsia"/>
          <w:sz w:val="24"/>
        </w:rPr>
      </w:r>
      <w:r/>
    </w:p>
    <w:p>
      <w:pPr>
        <w:pStyle w:val="895"/>
        <w:spacing w:line="360" w:lineRule="auto"/>
        <w:rPr>
          <w:rFonts w:hAnsi="宋体"/>
          <w:sz w:val="24"/>
        </w:rPr>
      </w:pPr>
      <w:r>
        <w:rPr>
          <w:rFonts w:hAnsi="宋体"/>
          <w:sz w:val="24"/>
        </w:rPr>
      </w:r>
      <w:r/>
    </w:p>
    <w:p>
      <w:pPr>
        <w:pStyle w:val="895"/>
        <w:spacing w:line="360" w:lineRule="auto"/>
        <w:rPr>
          <w:rFonts w:hAnsi="宋体"/>
          <w:sz w:val="24"/>
        </w:rPr>
      </w:pPr>
      <w:r>
        <w:rPr>
          <w:rFonts w:hAnsi="宋体"/>
          <w:sz w:val="24"/>
        </w:rPr>
      </w:r>
      <w:r/>
    </w:p>
    <w:p>
      <w:pPr>
        <w:pStyle w:val="895"/>
        <w:spacing w:line="360" w:lineRule="auto"/>
        <w:rPr>
          <w:rFonts w:hAnsi="宋体"/>
          <w:sz w:val="24"/>
        </w:rPr>
      </w:pPr>
      <w:r>
        <w:rPr>
          <w:rFonts w:hAnsi="宋体"/>
          <w:sz w:val="24"/>
        </w:rPr>
      </w:r>
      <w:r/>
    </w:p>
    <w:p>
      <w:pPr>
        <w:pStyle w:val="895"/>
        <w:spacing w:line="360" w:lineRule="auto"/>
        <w:rPr>
          <w:rFonts w:hAnsi="宋体"/>
          <w:sz w:val="24"/>
        </w:rPr>
      </w:pPr>
      <w:r>
        <w:rPr>
          <w:rFonts w:hAnsi="宋体"/>
          <w:sz w:val="24"/>
        </w:rPr>
      </w:r>
      <w:r/>
    </w:p>
    <w:p>
      <w:pPr>
        <w:pStyle w:val="895"/>
        <w:spacing w:line="360" w:lineRule="auto"/>
        <w:rPr>
          <w:rFonts w:hAnsi="宋体"/>
          <w:sz w:val="24"/>
        </w:rPr>
      </w:pPr>
      <w:r>
        <w:rPr>
          <w:rFonts w:hAnsi="宋体"/>
          <w:sz w:val="24"/>
        </w:rPr>
      </w:r>
      <w:r/>
    </w:p>
    <w:p>
      <w:pPr>
        <w:pStyle w:val="895"/>
        <w:spacing w:line="360" w:lineRule="auto"/>
        <w:rPr>
          <w:rFonts w:hAnsi="宋体"/>
          <w:sz w:val="24"/>
        </w:rPr>
      </w:pPr>
      <w:r>
        <w:rPr>
          <w:rFonts w:hAnsi="宋体"/>
          <w:sz w:val="24"/>
        </w:rPr>
      </w:r>
      <w:r/>
    </w:p>
    <w:p>
      <w:pPr>
        <w:pStyle w:val="895"/>
        <w:spacing w:line="360" w:lineRule="auto"/>
        <w:rPr>
          <w:rFonts w:hAnsi="宋体"/>
          <w:sz w:val="24"/>
        </w:rPr>
      </w:pPr>
      <w:r>
        <w:rPr>
          <w:rFonts w:hAnsi="宋体"/>
          <w:sz w:val="24"/>
        </w:rPr>
      </w:r>
      <w:r/>
    </w:p>
    <w:p>
      <w:pPr>
        <w:pStyle w:val="895"/>
        <w:spacing w:line="360" w:lineRule="auto"/>
        <w:rPr>
          <w:rFonts w:hAnsi="宋体"/>
          <w:sz w:val="24"/>
        </w:rPr>
      </w:pPr>
      <w:r>
        <w:rPr>
          <w:rFonts w:hAnsi="宋体"/>
          <w:sz w:val="24"/>
        </w:rPr>
      </w:r>
      <w:r/>
    </w:p>
    <w:p>
      <w:pPr>
        <w:pStyle w:val="895"/>
        <w:spacing w:line="360" w:lineRule="auto"/>
        <w:rPr>
          <w:rFonts w:hAnsi="宋体"/>
          <w:sz w:val="24"/>
        </w:rPr>
      </w:pPr>
      <w:r>
        <w:rPr>
          <w:rFonts w:hAnsi="宋体"/>
          <w:sz w:val="24"/>
        </w:rPr>
      </w:r>
      <w:r/>
    </w:p>
    <w:p>
      <w:pPr>
        <w:pStyle w:val="895"/>
        <w:spacing w:line="360" w:lineRule="auto"/>
        <w:rPr>
          <w:rFonts w:hAnsi="宋体"/>
          <w:sz w:val="24"/>
        </w:rPr>
      </w:pPr>
      <w:r>
        <w:rPr>
          <w:rFonts w:hAnsi="宋体"/>
          <w:sz w:val="24"/>
        </w:rPr>
      </w:r>
      <w:r/>
    </w:p>
    <w:p>
      <w:pPr>
        <w:pStyle w:val="895"/>
        <w:spacing w:line="360" w:lineRule="auto"/>
        <w:rPr>
          <w:rFonts w:hAnsi="宋体"/>
          <w:sz w:val="24"/>
        </w:rPr>
      </w:pPr>
      <w:r>
        <w:rPr>
          <w:rFonts w:hAnsi="宋体"/>
          <w:sz w:val="24"/>
        </w:rPr>
      </w:r>
      <w:r/>
    </w:p>
    <w:p>
      <w:pPr>
        <w:pStyle w:val="895"/>
        <w:spacing w:line="360" w:lineRule="auto"/>
        <w:rPr>
          <w:rFonts w:hAnsi="宋体"/>
          <w:sz w:val="24"/>
        </w:rPr>
      </w:pPr>
      <w:r>
        <w:rPr>
          <w:rFonts w:hAnsi="宋体"/>
          <w:sz w:val="24"/>
        </w:rPr>
      </w:r>
      <w:r/>
    </w:p>
    <w:p>
      <w:pPr>
        <w:pStyle w:val="895"/>
        <w:spacing w:line="360" w:lineRule="auto"/>
        <w:rPr>
          <w:rFonts w:hAnsi="宋体"/>
          <w:sz w:val="24"/>
        </w:rPr>
      </w:pPr>
      <w:r>
        <w:rPr>
          <w:rFonts w:hAnsi="宋体"/>
          <w:sz w:val="24"/>
        </w:rPr>
      </w:r>
      <w:r/>
    </w:p>
    <w:p>
      <w:pPr>
        <w:pStyle w:val="895"/>
        <w:spacing w:line="360" w:lineRule="auto"/>
        <w:rPr>
          <w:rFonts w:hAnsi="宋体"/>
          <w:sz w:val="24"/>
        </w:rPr>
      </w:pPr>
      <w:r>
        <w:rPr>
          <w:rFonts w:hAnsi="宋体"/>
          <w:sz w:val="24"/>
        </w:rPr>
      </w:r>
      <w:r/>
    </w:p>
    <w:p>
      <w:pPr>
        <w:pStyle w:val="895"/>
        <w:spacing w:line="360" w:lineRule="auto"/>
        <w:rPr>
          <w:rFonts w:hAnsi="宋体"/>
          <w:sz w:val="24"/>
        </w:rPr>
      </w:pPr>
      <w:r>
        <w:rPr>
          <w:rFonts w:hAnsi="宋体"/>
          <w:sz w:val="24"/>
        </w:rPr>
      </w:r>
      <w:r/>
    </w:p>
    <w:p>
      <w:pPr>
        <w:pStyle w:val="895"/>
        <w:spacing w:line="360" w:lineRule="auto"/>
        <w:rPr>
          <w:rFonts w:hAnsi="宋体"/>
          <w:sz w:val="24"/>
        </w:rPr>
      </w:pPr>
      <w:r>
        <w:rPr>
          <w:rFonts w:hAnsi="宋体"/>
          <w:sz w:val="24"/>
        </w:rPr>
      </w:r>
      <w:r/>
    </w:p>
    <w:p>
      <w:pPr>
        <w:pStyle w:val="895"/>
        <w:spacing w:line="360" w:lineRule="auto"/>
        <w:rPr>
          <w:rFonts w:hAnsi="宋体"/>
          <w:sz w:val="24"/>
        </w:rPr>
      </w:pPr>
      <w:r>
        <w:rPr>
          <w:rFonts w:hAnsi="宋体"/>
          <w:sz w:val="24"/>
        </w:rPr>
      </w:r>
      <w:r/>
    </w:p>
    <w:p>
      <w:pPr>
        <w:pStyle w:val="895"/>
        <w:spacing w:line="360" w:lineRule="auto"/>
        <w:rPr>
          <w:rFonts w:hAnsi="宋体"/>
          <w:sz w:val="24"/>
        </w:rPr>
      </w:pPr>
      <w:r>
        <w:rPr>
          <w:rFonts w:hAnsi="宋体"/>
          <w:sz w:val="24"/>
        </w:rPr>
      </w:r>
      <w:r/>
    </w:p>
    <w:p>
      <w:pPr>
        <w:pStyle w:val="895"/>
        <w:spacing w:line="360" w:lineRule="auto"/>
        <w:rPr>
          <w:rFonts w:hAnsi="宋体"/>
          <w:sz w:val="24"/>
        </w:rPr>
      </w:pPr>
      <w:r>
        <w:rPr>
          <w:rFonts w:hAnsi="宋体"/>
          <w:sz w:val="24"/>
        </w:rPr>
      </w:r>
      <w:r/>
    </w:p>
    <w:p>
      <w:pPr>
        <w:pStyle w:val="895"/>
        <w:spacing w:line="360" w:lineRule="auto"/>
        <w:rPr>
          <w:rFonts w:hAnsi="宋体"/>
          <w:sz w:val="24"/>
        </w:rPr>
      </w:pPr>
      <w:r>
        <w:rPr>
          <w:rFonts w:hAnsi="宋体"/>
          <w:sz w:val="24"/>
        </w:rPr>
      </w:r>
      <w:r/>
    </w:p>
    <w:p>
      <w:pPr>
        <w:pStyle w:val="895"/>
        <w:spacing w:line="360" w:lineRule="auto"/>
        <w:rPr>
          <w:rFonts w:hAnsi="宋体"/>
          <w:sz w:val="24"/>
        </w:rPr>
      </w:pPr>
      <w:r>
        <w:rPr>
          <w:rFonts w:hAnsi="宋体"/>
          <w:sz w:val="24"/>
        </w:rPr>
      </w:r>
      <w:r/>
    </w:p>
    <w:p>
      <w:pPr>
        <w:pStyle w:val="895"/>
        <w:spacing w:line="360" w:lineRule="auto"/>
        <w:rPr>
          <w:rFonts w:hint="eastAsia" w:ascii="宋体" w:hAnsi="宋体"/>
          <w:b/>
          <w:sz w:val="24"/>
          <w:szCs w:val="20"/>
        </w:rPr>
      </w:pPr>
      <w:r>
        <w:rPr>
          <w:rFonts w:hint="eastAsia" w:ascii="宋体" w:hAnsi="宋体"/>
          <w:b/>
          <w:sz w:val="24"/>
          <w:szCs w:val="20"/>
        </w:rPr>
      </w:r>
      <w:r/>
    </w:p>
    <w:p>
      <w:pPr>
        <w:pStyle w:val="895"/>
        <w:jc w:val="center"/>
        <w:spacing w:line="360" w:lineRule="auto"/>
        <w:rPr>
          <w:rFonts w:hint="eastAsia" w:ascii="宋体" w:hAnsi="宋体" w:cs="宋体"/>
          <w:b/>
          <w:bCs/>
          <w:sz w:val="32"/>
          <w:szCs w:val="32"/>
        </w:rPr>
      </w:pPr>
      <w:r>
        <w:rPr>
          <w:rFonts w:hint="eastAsia" w:ascii="宋体" w:hAnsi="宋体" w:cs="宋体"/>
          <w:b/>
          <w:bCs/>
          <w:sz w:val="32"/>
          <w:szCs w:val="32"/>
        </w:rPr>
        <w:t xml:space="preserve">第二章  投标人须知</w:t>
      </w:r>
      <w:r/>
    </w:p>
    <w:p>
      <w:pPr>
        <w:pStyle w:val="895"/>
        <w:spacing w:line="360" w:lineRule="auto"/>
        <w:rPr>
          <w:rFonts w:ascii="宋体" w:hAnsi="宋体"/>
          <w:b/>
          <w:sz w:val="24"/>
          <w:szCs w:val="20"/>
        </w:rPr>
      </w:pPr>
      <w:r>
        <w:rPr>
          <w:rFonts w:hint="eastAsia" w:ascii="宋体" w:hAnsi="宋体"/>
          <w:b/>
          <w:sz w:val="24"/>
        </w:rPr>
        <w:t xml:space="preserve">一、说明和释义</w:t>
      </w:r>
      <w:r>
        <w:rPr>
          <w:rFonts w:ascii="宋体" w:hAnsi="宋体"/>
          <w:b/>
          <w:sz w:val="24"/>
          <w:szCs w:val="20"/>
        </w:rPr>
      </w:r>
      <w:r/>
    </w:p>
    <w:p>
      <w:pPr>
        <w:pStyle w:val="895"/>
        <w:rPr>
          <w:rFonts w:ascii="宋体" w:hAnsi="宋体"/>
          <w:b/>
          <w:sz w:val="24"/>
          <w:szCs w:val="20"/>
        </w:rPr>
      </w:pPr>
      <w:r>
        <w:rPr>
          <w:rFonts w:hint="eastAsia" w:ascii="宋体" w:hAnsi="宋体"/>
          <w:b/>
          <w:sz w:val="24"/>
        </w:rPr>
        <w:t xml:space="preserve">1. 说明</w:t>
      </w:r>
      <w:r>
        <w:rPr>
          <w:rFonts w:ascii="宋体" w:hAnsi="宋体"/>
          <w:b/>
          <w:sz w:val="24"/>
          <w:szCs w:val="20"/>
        </w:rPr>
      </w:r>
      <w:r/>
    </w:p>
    <w:p>
      <w:pPr>
        <w:pStyle w:val="908"/>
        <w:ind w:firstLine="0"/>
        <w:spacing w:line="360" w:lineRule="auto"/>
        <w:rPr>
          <w:rFonts w:hint="eastAsia" w:ascii="宋体" w:hAnsi="宋体" w:eastAsia="宋体"/>
        </w:rPr>
      </w:pPr>
      <w:r>
        <w:rPr>
          <w:rFonts w:hint="eastAsia" w:ascii="宋体" w:hAnsi="宋体" w:eastAsia="宋体"/>
        </w:rPr>
        <w:t xml:space="preserve">1.1 本招标文件仅适用于苏州市营财招投标咨询服务有限公司组织的招标活动。</w:t>
      </w:r>
      <w:r/>
    </w:p>
    <w:p>
      <w:pPr>
        <w:pStyle w:val="908"/>
        <w:ind w:firstLine="0"/>
        <w:spacing w:line="360" w:lineRule="auto"/>
        <w:rPr>
          <w:rFonts w:hint="eastAsia" w:ascii="宋体" w:hAnsi="宋体" w:eastAsia="宋体"/>
        </w:rPr>
      </w:pPr>
      <w:r>
        <w:rPr>
          <w:rFonts w:hint="eastAsia" w:ascii="宋体" w:hAnsi="宋体" w:eastAsia="宋体"/>
        </w:rPr>
        <w:t xml:space="preserve">1.2 本次招标活动及因本次招标产生的合同受中国法律制约和保护。</w:t>
      </w:r>
      <w:r/>
    </w:p>
    <w:p>
      <w:pPr>
        <w:pStyle w:val="908"/>
        <w:ind w:firstLine="0"/>
        <w:spacing w:line="360" w:lineRule="auto"/>
        <w:rPr>
          <w:rFonts w:hint="eastAsia" w:ascii="宋体" w:hAnsi="宋体" w:eastAsia="宋体"/>
        </w:rPr>
      </w:pPr>
      <w:r>
        <w:rPr>
          <w:rFonts w:hint="eastAsia" w:ascii="宋体" w:hAnsi="宋体" w:eastAsia="宋体"/>
        </w:rPr>
        <w:t xml:space="preserve">1.3 在本项目政府采购活动过程中，如果所执行的标准有更新的，按照最新标准执行。</w:t>
      </w:r>
      <w:r/>
    </w:p>
    <w:p>
      <w:pPr>
        <w:pStyle w:val="908"/>
        <w:ind w:firstLine="0"/>
        <w:spacing w:line="360" w:lineRule="auto"/>
        <w:rPr>
          <w:rFonts w:ascii="宋体" w:hAnsi="宋体" w:eastAsia="宋体"/>
        </w:rPr>
      </w:pPr>
      <w:r>
        <w:rPr>
          <w:rFonts w:hint="eastAsia" w:ascii="宋体" w:hAnsi="宋体" w:eastAsia="宋体"/>
        </w:rPr>
        <w:t xml:space="preserve">1.4本招标文件的解释权属于苏州市营财招投标咨询服务有限公司。  </w:t>
      </w:r>
      <w:r>
        <w:rPr>
          <w:rFonts w:ascii="宋体" w:hAnsi="宋体" w:eastAsia="宋体"/>
        </w:rPr>
        <w:t xml:space="preserve">                                             </w:t>
      </w:r>
      <w:r/>
    </w:p>
    <w:p>
      <w:pPr>
        <w:pStyle w:val="895"/>
        <w:rPr>
          <w:rFonts w:ascii="宋体" w:hAnsi="宋体"/>
          <w:b/>
          <w:sz w:val="24"/>
          <w:szCs w:val="20"/>
        </w:rPr>
      </w:pPr>
      <w:r>
        <w:rPr>
          <w:rFonts w:hint="eastAsia" w:ascii="宋体" w:hAnsi="宋体"/>
          <w:b/>
          <w:sz w:val="24"/>
        </w:rPr>
        <w:t xml:space="preserve">2. 词语释义</w:t>
      </w:r>
      <w:r>
        <w:rPr>
          <w:rFonts w:ascii="宋体" w:hAnsi="宋体"/>
          <w:b/>
          <w:sz w:val="24"/>
          <w:szCs w:val="20"/>
        </w:rPr>
      </w:r>
      <w:r/>
    </w:p>
    <w:p>
      <w:pPr>
        <w:pStyle w:val="895"/>
        <w:spacing w:line="360" w:lineRule="auto"/>
        <w:rPr>
          <w:rFonts w:hint="eastAsia" w:ascii="宋体" w:hAnsi="宋体"/>
          <w:sz w:val="24"/>
          <w:szCs w:val="20"/>
        </w:rPr>
      </w:pPr>
      <w:r>
        <w:rPr>
          <w:rFonts w:hint="eastAsia" w:ascii="宋体" w:hAnsi="宋体"/>
          <w:sz w:val="24"/>
          <w:szCs w:val="20"/>
        </w:rPr>
        <w:t xml:space="preserve">2.1采购人（招标人/采购单位）：指依法进行政府采购的国家机关、事业单位、团体组织。</w:t>
      </w:r>
      <w:r/>
    </w:p>
    <w:p>
      <w:pPr>
        <w:pStyle w:val="895"/>
        <w:spacing w:line="360" w:lineRule="auto"/>
        <w:rPr>
          <w:rFonts w:hint="eastAsia" w:ascii="宋体" w:hAnsi="宋体"/>
          <w:sz w:val="24"/>
          <w:szCs w:val="20"/>
        </w:rPr>
      </w:pPr>
      <w:r>
        <w:rPr>
          <w:rFonts w:hint="eastAsia" w:ascii="宋体" w:hAnsi="宋体"/>
          <w:sz w:val="24"/>
          <w:szCs w:val="20"/>
        </w:rPr>
        <w:t xml:space="preserve">2.2 供应商：指可以向采购人提供货物、工程或者服务的法人、其他组织或者自然人。</w:t>
      </w:r>
      <w:r/>
    </w:p>
    <w:p>
      <w:pPr>
        <w:pStyle w:val="895"/>
        <w:spacing w:line="360" w:lineRule="auto"/>
        <w:rPr>
          <w:rFonts w:hint="eastAsia" w:ascii="宋体" w:hAnsi="宋体"/>
          <w:sz w:val="24"/>
          <w:szCs w:val="20"/>
        </w:rPr>
      </w:pPr>
      <w:r>
        <w:rPr>
          <w:rFonts w:hint="eastAsia" w:ascii="宋体" w:hAnsi="宋体"/>
          <w:sz w:val="24"/>
          <w:szCs w:val="20"/>
        </w:rPr>
        <w:t xml:space="preserve">2.3 投标人（投标单位）：指响应招标、参加投标竞争的供应商。</w:t>
      </w:r>
      <w:r/>
    </w:p>
    <w:p>
      <w:pPr>
        <w:pStyle w:val="895"/>
        <w:spacing w:line="360" w:lineRule="auto"/>
        <w:rPr>
          <w:rFonts w:hint="eastAsia" w:ascii="宋体" w:hAnsi="宋体"/>
          <w:sz w:val="24"/>
          <w:szCs w:val="20"/>
        </w:rPr>
      </w:pPr>
      <w:r>
        <w:rPr>
          <w:rFonts w:hint="eastAsia" w:ascii="宋体" w:hAnsi="宋体"/>
          <w:sz w:val="24"/>
          <w:szCs w:val="20"/>
        </w:rPr>
        <w:t xml:space="preserve">2.4 招标代理机构：指依法接受采购人委托，代为组织招标活动并提供相关服务的社会中介组织。</w:t>
      </w:r>
      <w:r/>
    </w:p>
    <w:p>
      <w:pPr>
        <w:pStyle w:val="895"/>
        <w:spacing w:line="360" w:lineRule="auto"/>
        <w:rPr>
          <w:rFonts w:hint="eastAsia" w:ascii="宋体" w:hAnsi="宋体"/>
          <w:sz w:val="24"/>
          <w:szCs w:val="20"/>
        </w:rPr>
      </w:pPr>
      <w:r>
        <w:rPr>
          <w:rFonts w:hint="eastAsia" w:ascii="宋体" w:hAnsi="宋体"/>
          <w:sz w:val="24"/>
          <w:szCs w:val="20"/>
        </w:rPr>
        <w:t xml:space="preserve">2.5 响应：投标人根据招标人或招标人发布的招标文件，编制投标文件并按规定投标的行为。</w:t>
      </w:r>
      <w:r/>
    </w:p>
    <w:p>
      <w:pPr>
        <w:pStyle w:val="895"/>
        <w:spacing w:line="360" w:lineRule="auto"/>
        <w:rPr>
          <w:rFonts w:hint="eastAsia" w:ascii="宋体" w:hAnsi="宋体"/>
          <w:sz w:val="24"/>
          <w:szCs w:val="20"/>
        </w:rPr>
      </w:pPr>
      <w:r>
        <w:rPr>
          <w:rFonts w:hint="eastAsia" w:ascii="宋体" w:hAnsi="宋体"/>
          <w:sz w:val="24"/>
          <w:szCs w:val="20"/>
        </w:rPr>
        <w:t xml:space="preserve">2.6 合同：采供双方根据招标文件和中标的投标文件及中标通知书规定的内容签署的以书面形式所达成的协议，包括所有的附件、附录和构成协议的所有文件。</w:t>
      </w:r>
      <w:r/>
    </w:p>
    <w:p>
      <w:pPr>
        <w:pStyle w:val="895"/>
        <w:spacing w:line="360" w:lineRule="auto"/>
        <w:rPr>
          <w:rFonts w:hint="eastAsia" w:ascii="宋体" w:hAnsi="宋体"/>
          <w:sz w:val="24"/>
          <w:szCs w:val="20"/>
        </w:rPr>
      </w:pPr>
      <w:r>
        <w:rPr>
          <w:rFonts w:hint="eastAsia" w:ascii="宋体" w:hAnsi="宋体"/>
          <w:sz w:val="24"/>
          <w:szCs w:val="20"/>
        </w:rPr>
        <w:t xml:space="preserve">2.7 甲方（采购方）：合同中明确规定的实际购买货物和服务的法人、行政事业单位、团体组织。</w:t>
      </w:r>
      <w:r/>
    </w:p>
    <w:p>
      <w:pPr>
        <w:pStyle w:val="895"/>
        <w:spacing w:line="360" w:lineRule="auto"/>
        <w:rPr>
          <w:rFonts w:hint="eastAsia" w:ascii="宋体" w:hAnsi="宋体"/>
          <w:sz w:val="24"/>
          <w:szCs w:val="20"/>
        </w:rPr>
      </w:pPr>
      <w:r>
        <w:rPr>
          <w:rFonts w:hint="eastAsia" w:ascii="宋体" w:hAnsi="宋体"/>
          <w:sz w:val="24"/>
          <w:szCs w:val="20"/>
        </w:rPr>
        <w:t xml:space="preserve">2.8 乙方（供应商）：合同中规定的向采购方提供货物和服务的独立法人、其他组织或者自然人。</w:t>
      </w:r>
      <w:r/>
    </w:p>
    <w:p>
      <w:pPr>
        <w:pStyle w:val="895"/>
        <w:spacing w:line="360" w:lineRule="auto"/>
        <w:rPr>
          <w:rFonts w:hint="eastAsia" w:ascii="宋体" w:hAnsi="宋体"/>
          <w:sz w:val="24"/>
          <w:szCs w:val="20"/>
        </w:rPr>
      </w:pPr>
      <w:r>
        <w:rPr>
          <w:rFonts w:hint="eastAsia" w:ascii="宋体" w:hAnsi="宋体"/>
          <w:sz w:val="24"/>
          <w:szCs w:val="20"/>
        </w:rPr>
        <w:t xml:space="preserve">2.9 伴随服务：根据合同规定乙方应承担的与提供货物和服务有关的辅助服务，比如运输、保险、安装、调试、提供技术援助、培训、配合措施、维修响应及合同中规定乙方应承担的其它义务。</w:t>
      </w:r>
      <w:r/>
    </w:p>
    <w:p>
      <w:pPr>
        <w:pStyle w:val="895"/>
        <w:spacing w:line="360" w:lineRule="auto"/>
        <w:rPr>
          <w:rFonts w:hint="eastAsia" w:ascii="宋体" w:hAnsi="宋体"/>
          <w:sz w:val="24"/>
          <w:szCs w:val="20"/>
        </w:rPr>
      </w:pPr>
      <w:r>
        <w:rPr>
          <w:rFonts w:hint="eastAsia" w:ascii="宋体" w:hAnsi="宋体"/>
          <w:sz w:val="24"/>
          <w:szCs w:val="20"/>
        </w:rPr>
        <w:t xml:space="preserve">2.10 知识产权：指专利权、商标权、著作权等无形财产专有权的统称。</w:t>
      </w:r>
      <w:r/>
    </w:p>
    <w:p>
      <w:pPr>
        <w:pStyle w:val="895"/>
        <w:spacing w:line="360" w:lineRule="auto"/>
        <w:rPr>
          <w:rFonts w:hint="eastAsia" w:ascii="宋体" w:hAnsi="宋体"/>
          <w:sz w:val="24"/>
          <w:szCs w:val="20"/>
        </w:rPr>
      </w:pPr>
      <w:r>
        <w:rPr>
          <w:rFonts w:hint="eastAsia" w:ascii="宋体" w:hAnsi="宋体"/>
          <w:sz w:val="24"/>
          <w:szCs w:val="20"/>
        </w:rPr>
        <w:t xml:space="preserve">2.11 天：日历日。</w:t>
      </w:r>
      <w:r/>
    </w:p>
    <w:p>
      <w:pPr>
        <w:pStyle w:val="895"/>
        <w:spacing w:line="360" w:lineRule="auto"/>
        <w:rPr>
          <w:rFonts w:hint="eastAsia" w:ascii="宋体" w:hAnsi="宋体"/>
          <w:sz w:val="24"/>
          <w:szCs w:val="20"/>
        </w:rPr>
      </w:pPr>
      <w:r>
        <w:rPr>
          <w:rFonts w:hint="eastAsia" w:ascii="宋体" w:hAnsi="宋体"/>
          <w:sz w:val="24"/>
          <w:szCs w:val="20"/>
        </w:rPr>
        <w:t xml:space="preserve">2.12 交货地点：合同中明确约定的乙方提交的货物和服务最终到达地点。</w:t>
      </w:r>
      <w:r/>
    </w:p>
    <w:p>
      <w:pPr>
        <w:pStyle w:val="895"/>
        <w:spacing w:line="360" w:lineRule="auto"/>
        <w:rPr>
          <w:rFonts w:hint="eastAsia" w:ascii="宋体" w:hAnsi="宋体"/>
          <w:sz w:val="24"/>
          <w:szCs w:val="20"/>
        </w:rPr>
      </w:pPr>
      <w:r>
        <w:rPr>
          <w:rFonts w:hint="eastAsia" w:ascii="宋体" w:hAnsi="宋体"/>
          <w:sz w:val="24"/>
          <w:szCs w:val="20"/>
        </w:rPr>
        <w:t xml:space="preserve">2.13合同价款：根据合同规定，乙方在正确地履行合同义务后甲方应支付乙方的价款。</w:t>
      </w:r>
      <w:r/>
    </w:p>
    <w:p>
      <w:pPr>
        <w:pStyle w:val="895"/>
        <w:spacing w:line="360" w:lineRule="auto"/>
        <w:rPr>
          <w:rFonts w:hint="eastAsia" w:ascii="宋体" w:hAnsi="宋体"/>
          <w:sz w:val="24"/>
          <w:szCs w:val="20"/>
        </w:rPr>
      </w:pPr>
      <w:r>
        <w:rPr>
          <w:rFonts w:hint="eastAsia" w:ascii="宋体" w:hAnsi="宋体"/>
          <w:sz w:val="24"/>
          <w:szCs w:val="20"/>
        </w:rPr>
        <w:t xml:space="preserve">2.14 产地：货物开采、生长、生产、最终制造、加工或提供服务的来源地。</w:t>
      </w:r>
      <w:r/>
    </w:p>
    <w:p>
      <w:pPr>
        <w:pStyle w:val="895"/>
        <w:spacing w:line="360" w:lineRule="auto"/>
        <w:rPr>
          <w:rFonts w:hint="eastAsia" w:ascii="宋体" w:hAnsi="宋体"/>
          <w:sz w:val="24"/>
          <w:szCs w:val="20"/>
        </w:rPr>
      </w:pPr>
      <w:r>
        <w:rPr>
          <w:rFonts w:hint="eastAsia" w:ascii="宋体" w:hAnsi="宋体"/>
          <w:sz w:val="24"/>
          <w:szCs w:val="20"/>
        </w:rPr>
        <w:t xml:space="preserve">2.15不可抗力：不能预见、不能避免并且不能克服的客观情况。</w:t>
      </w:r>
      <w:r/>
    </w:p>
    <w:p>
      <w:pPr>
        <w:pStyle w:val="895"/>
        <w:spacing w:line="360" w:lineRule="auto"/>
        <w:rPr>
          <w:rFonts w:ascii="宋体" w:hAnsi="宋体"/>
          <w:b/>
          <w:sz w:val="24"/>
          <w:szCs w:val="20"/>
        </w:rPr>
      </w:pPr>
      <w:r>
        <w:rPr>
          <w:rFonts w:hint="eastAsia" w:ascii="宋体" w:hAnsi="宋体"/>
          <w:b/>
          <w:sz w:val="24"/>
        </w:rPr>
        <w:t xml:space="preserve">二、投标人</w:t>
      </w:r>
      <w:r>
        <w:rPr>
          <w:rFonts w:ascii="宋体" w:hAnsi="宋体"/>
          <w:b/>
          <w:sz w:val="24"/>
          <w:szCs w:val="20"/>
        </w:rPr>
      </w:r>
      <w:r/>
    </w:p>
    <w:p>
      <w:pPr>
        <w:pStyle w:val="895"/>
        <w:spacing w:line="360" w:lineRule="auto"/>
        <w:rPr>
          <w:rFonts w:ascii="宋体" w:hAnsi="宋体"/>
          <w:b/>
          <w:sz w:val="24"/>
          <w:szCs w:val="20"/>
        </w:rPr>
      </w:pPr>
      <w:r>
        <w:rPr>
          <w:rFonts w:hint="eastAsia" w:ascii="宋体" w:hAnsi="宋体"/>
          <w:b/>
          <w:sz w:val="24"/>
        </w:rPr>
        <w:t xml:space="preserve">3. 合格投标人的范围</w:t>
      </w:r>
      <w:r>
        <w:rPr>
          <w:rFonts w:ascii="宋体" w:hAnsi="宋体"/>
          <w:b/>
          <w:sz w:val="24"/>
          <w:szCs w:val="20"/>
        </w:rPr>
      </w:r>
      <w:r/>
    </w:p>
    <w:p>
      <w:pPr>
        <w:pStyle w:val="895"/>
        <w:spacing w:line="360" w:lineRule="auto"/>
        <w:rPr>
          <w:rFonts w:ascii="宋体" w:hAnsi="宋体"/>
          <w:sz w:val="24"/>
          <w:szCs w:val="20"/>
        </w:rPr>
      </w:pPr>
      <w:r>
        <w:rPr>
          <w:rFonts w:hint="eastAsia" w:ascii="宋体" w:hAnsi="宋体"/>
          <w:sz w:val="24"/>
        </w:rPr>
        <w:t xml:space="preserve">3.1满足招标公告中“申请人资格条件”。</w:t>
      </w:r>
      <w:r>
        <w:rPr>
          <w:rFonts w:ascii="宋体" w:hAnsi="宋体"/>
          <w:sz w:val="24"/>
          <w:szCs w:val="20"/>
        </w:rPr>
      </w:r>
      <w:r/>
    </w:p>
    <w:p>
      <w:pPr>
        <w:pStyle w:val="895"/>
        <w:spacing w:line="360" w:lineRule="auto"/>
        <w:rPr>
          <w:rFonts w:ascii="宋体" w:hAnsi="宋体"/>
          <w:sz w:val="24"/>
          <w:szCs w:val="20"/>
        </w:rPr>
      </w:pPr>
      <w:r>
        <w:rPr>
          <w:rFonts w:hint="eastAsia" w:ascii="宋体" w:hAnsi="宋体"/>
          <w:sz w:val="24"/>
        </w:rPr>
        <w:t xml:space="preserve">3.2 依法报名，完全满足招标文件的实质性要求。</w:t>
      </w:r>
      <w:r>
        <w:rPr>
          <w:rFonts w:ascii="宋体" w:hAnsi="宋体"/>
          <w:sz w:val="24"/>
          <w:szCs w:val="20"/>
        </w:rPr>
      </w:r>
      <w:r/>
    </w:p>
    <w:p>
      <w:pPr>
        <w:pStyle w:val="895"/>
        <w:spacing w:line="360" w:lineRule="auto"/>
        <w:rPr>
          <w:rFonts w:ascii="宋体" w:hAnsi="宋体"/>
          <w:sz w:val="24"/>
          <w:szCs w:val="20"/>
        </w:rPr>
      </w:pPr>
      <w:r>
        <w:rPr>
          <w:rFonts w:hint="eastAsia" w:ascii="宋体" w:hAnsi="宋体"/>
          <w:sz w:val="24"/>
        </w:rPr>
        <w:t xml:space="preserve">3.3 投标人应遵守有关的国家法律、法令和条例。</w:t>
      </w:r>
      <w:r>
        <w:rPr>
          <w:rFonts w:ascii="宋体" w:hAnsi="宋体"/>
          <w:sz w:val="24"/>
          <w:szCs w:val="20"/>
        </w:rPr>
      </w:r>
      <w:r/>
    </w:p>
    <w:p>
      <w:pPr>
        <w:pStyle w:val="895"/>
        <w:spacing w:line="360" w:lineRule="auto"/>
        <w:rPr>
          <w:rFonts w:hint="eastAsia" w:ascii="宋体" w:hAnsi="宋体"/>
          <w:b/>
          <w:sz w:val="24"/>
        </w:rPr>
      </w:pPr>
      <w:r>
        <w:rPr>
          <w:rFonts w:hint="eastAsia" w:ascii="宋体" w:hAnsi="宋体"/>
          <w:b/>
          <w:sz w:val="24"/>
        </w:rPr>
        <w:t xml:space="preserve">4. 投标委托</w:t>
      </w:r>
      <w:r/>
    </w:p>
    <w:p>
      <w:pPr>
        <w:pStyle w:val="895"/>
        <w:spacing w:line="360" w:lineRule="auto"/>
        <w:rPr>
          <w:rFonts w:ascii="宋体" w:hAnsi="宋体"/>
          <w:b/>
          <w:sz w:val="24"/>
          <w:szCs w:val="20"/>
        </w:rPr>
      </w:pPr>
      <w:r>
        <w:rPr>
          <w:rFonts w:hint="eastAsia" w:ascii="宋体" w:hAnsi="宋体"/>
          <w:sz w:val="24"/>
        </w:rPr>
        <w:t xml:space="preserve">4.1如投标人代表不是法定代表人，须持有《法定代表人授权委托书》（格式见附件）。</w:t>
      </w:r>
      <w:r>
        <w:rPr>
          <w:rFonts w:hint="eastAsia" w:ascii="宋体" w:hAnsi="宋体"/>
          <w:b/>
          <w:sz w:val="24"/>
        </w:rPr>
        <w:t xml:space="preserve">授权投标人必须为投标单位正式员工，并在投标文件中提供投标人授权代表的社保证明材料。</w:t>
      </w:r>
      <w:r>
        <w:rPr>
          <w:rFonts w:ascii="宋体" w:hAnsi="宋体"/>
          <w:b/>
          <w:sz w:val="24"/>
          <w:szCs w:val="20"/>
        </w:rPr>
      </w:r>
      <w:r/>
    </w:p>
    <w:p>
      <w:pPr>
        <w:pStyle w:val="895"/>
        <w:spacing w:line="360" w:lineRule="auto"/>
        <w:rPr>
          <w:rFonts w:ascii="宋体" w:hAnsi="宋体"/>
          <w:sz w:val="24"/>
          <w:szCs w:val="20"/>
        </w:rPr>
      </w:pPr>
      <w:r>
        <w:rPr>
          <w:rFonts w:hint="eastAsia" w:ascii="宋体" w:hAnsi="宋体"/>
          <w:sz w:val="24"/>
        </w:rPr>
        <w:t xml:space="preserve">4.2接受联合投标的项目，如果投标人是联合投标，须持有《联合投标授权委托书》（格式见附件）。</w:t>
      </w:r>
      <w:r>
        <w:rPr>
          <w:rFonts w:ascii="宋体" w:hAnsi="宋体"/>
          <w:sz w:val="24"/>
        </w:rPr>
        <w:t xml:space="preserve"> </w:t>
      </w:r>
      <w:r>
        <w:rPr>
          <w:rFonts w:ascii="宋体" w:hAnsi="宋体"/>
          <w:sz w:val="24"/>
          <w:szCs w:val="20"/>
        </w:rPr>
      </w:r>
      <w:r/>
    </w:p>
    <w:p>
      <w:pPr>
        <w:pStyle w:val="895"/>
        <w:spacing w:line="360" w:lineRule="auto"/>
        <w:rPr>
          <w:rFonts w:ascii="宋体" w:hAnsi="宋体"/>
          <w:b/>
          <w:sz w:val="24"/>
          <w:szCs w:val="20"/>
        </w:rPr>
      </w:pPr>
      <w:r>
        <w:rPr>
          <w:rFonts w:hint="eastAsia" w:ascii="宋体" w:hAnsi="宋体"/>
          <w:b/>
          <w:sz w:val="24"/>
        </w:rPr>
        <w:t xml:space="preserve">5. 投标费用</w:t>
      </w:r>
      <w:r>
        <w:rPr>
          <w:rFonts w:ascii="宋体" w:hAnsi="宋体"/>
          <w:b/>
          <w:sz w:val="24"/>
        </w:rPr>
        <w:t xml:space="preserve"> </w:t>
      </w:r>
      <w:r>
        <w:rPr>
          <w:rFonts w:ascii="宋体" w:hAnsi="宋体"/>
          <w:b/>
          <w:sz w:val="24"/>
          <w:szCs w:val="20"/>
        </w:rPr>
      </w:r>
      <w:r/>
    </w:p>
    <w:p>
      <w:pPr>
        <w:pStyle w:val="895"/>
        <w:spacing w:line="360" w:lineRule="auto"/>
        <w:rPr>
          <w:rFonts w:ascii="宋体" w:hAnsi="宋体"/>
          <w:sz w:val="24"/>
          <w:szCs w:val="20"/>
        </w:rPr>
      </w:pPr>
      <w:r>
        <w:rPr>
          <w:rFonts w:ascii="宋体" w:hAnsi="宋体"/>
          <w:sz w:val="24"/>
        </w:rPr>
        <w:t xml:space="preserve">5.1 </w:t>
      </w:r>
      <w:r>
        <w:rPr>
          <w:rFonts w:hint="eastAsia" w:ascii="宋体" w:hAnsi="宋体"/>
          <w:sz w:val="24"/>
        </w:rPr>
        <w:t xml:space="preserve">无论投标过程中的做法和结果如何，投标人自行承担所有与参加投标有关的全部费用。</w:t>
      </w:r>
      <w:r>
        <w:rPr>
          <w:rFonts w:ascii="宋体" w:hAnsi="宋体"/>
          <w:sz w:val="24"/>
          <w:szCs w:val="20"/>
        </w:rPr>
      </w:r>
      <w:r/>
    </w:p>
    <w:p>
      <w:pPr>
        <w:pStyle w:val="895"/>
        <w:spacing w:line="360" w:lineRule="auto"/>
        <w:rPr>
          <w:rFonts w:ascii="宋体" w:hAnsi="宋体"/>
          <w:sz w:val="24"/>
          <w:szCs w:val="20"/>
        </w:rPr>
      </w:pPr>
      <w:r>
        <w:rPr>
          <w:rFonts w:hint="eastAsia" w:ascii="宋体" w:hAnsi="宋体"/>
          <w:b/>
          <w:sz w:val="24"/>
        </w:rPr>
        <w:t xml:space="preserve">6. 联合投标</w:t>
      </w:r>
      <w:r>
        <w:rPr>
          <w:rFonts w:ascii="宋体" w:hAnsi="宋体"/>
          <w:sz w:val="24"/>
          <w:szCs w:val="20"/>
        </w:rPr>
      </w:r>
      <w:r/>
    </w:p>
    <w:p>
      <w:pPr>
        <w:pStyle w:val="908"/>
        <w:ind w:firstLine="0"/>
        <w:spacing w:line="360" w:lineRule="auto"/>
        <w:rPr>
          <w:rFonts w:ascii="宋体" w:hAnsi="宋体" w:eastAsia="宋体"/>
        </w:rPr>
      </w:pPr>
      <w:r>
        <w:rPr>
          <w:rFonts w:ascii="宋体" w:hAnsi="宋体" w:eastAsia="宋体"/>
        </w:rPr>
        <w:t xml:space="preserve">6.1</w:t>
      </w:r>
      <w:r>
        <w:rPr>
          <w:rFonts w:hint="eastAsia" w:ascii="宋体" w:hAnsi="宋体" w:eastAsia="宋体"/>
          <w:szCs w:val="24"/>
        </w:rPr>
        <w:t xml:space="preserve">本项目不接受联合投标。</w:t>
      </w:r>
      <w:r>
        <w:rPr>
          <w:rFonts w:ascii="宋体" w:hAnsi="宋体" w:eastAsia="宋体"/>
        </w:rPr>
      </w:r>
      <w:r/>
    </w:p>
    <w:p>
      <w:pPr>
        <w:pStyle w:val="895"/>
        <w:spacing w:line="360" w:lineRule="auto"/>
        <w:rPr>
          <w:rFonts w:ascii="宋体" w:hAnsi="宋体"/>
          <w:b/>
          <w:sz w:val="24"/>
          <w:szCs w:val="20"/>
        </w:rPr>
      </w:pPr>
      <w:r>
        <w:rPr>
          <w:rFonts w:hint="eastAsia" w:ascii="宋体" w:hAnsi="宋体"/>
          <w:b/>
          <w:sz w:val="24"/>
        </w:rPr>
        <w:t xml:space="preserve">三、招标文件的说明</w:t>
      </w:r>
      <w:r>
        <w:rPr>
          <w:rFonts w:ascii="宋体" w:hAnsi="宋体"/>
          <w:b/>
          <w:sz w:val="24"/>
          <w:szCs w:val="20"/>
        </w:rPr>
      </w:r>
      <w:r/>
    </w:p>
    <w:p>
      <w:pPr>
        <w:pStyle w:val="895"/>
        <w:spacing w:line="360" w:lineRule="auto"/>
        <w:rPr>
          <w:rFonts w:ascii="宋体" w:hAnsi="宋体"/>
          <w:b/>
          <w:sz w:val="24"/>
          <w:szCs w:val="20"/>
        </w:rPr>
      </w:pPr>
      <w:r>
        <w:rPr>
          <w:rFonts w:hint="eastAsia" w:ascii="宋体" w:hAnsi="宋体"/>
          <w:b/>
          <w:sz w:val="24"/>
        </w:rPr>
        <w:t xml:space="preserve">7. 招标文件</w:t>
      </w:r>
      <w:r>
        <w:rPr>
          <w:rFonts w:ascii="宋体" w:hAnsi="宋体"/>
          <w:b/>
          <w:sz w:val="24"/>
          <w:szCs w:val="20"/>
        </w:rPr>
      </w:r>
      <w:r/>
    </w:p>
    <w:p>
      <w:pPr>
        <w:pStyle w:val="895"/>
        <w:spacing w:line="360" w:lineRule="auto"/>
        <w:rPr>
          <w:rFonts w:ascii="宋体" w:hAnsi="宋体"/>
          <w:sz w:val="24"/>
          <w:szCs w:val="20"/>
        </w:rPr>
      </w:pPr>
      <w:r>
        <w:rPr>
          <w:rFonts w:ascii="宋体" w:hAnsi="宋体"/>
          <w:sz w:val="24"/>
        </w:rPr>
        <w:t xml:space="preserve">7.1 </w:t>
      </w:r>
      <w:r>
        <w:rPr>
          <w:rFonts w:hint="eastAsia" w:ascii="宋体" w:hAnsi="宋体"/>
          <w:sz w:val="24"/>
        </w:rPr>
        <w:t xml:space="preserve">招标文件由招标文件总目录所列内容组成。投标人应详细阅读招标文件的全部内容。不按招标文件的要求提供的投标文件和资料，可能导致投标被拒绝。</w:t>
      </w:r>
      <w:r>
        <w:rPr>
          <w:rFonts w:ascii="宋体" w:hAnsi="宋体"/>
          <w:sz w:val="24"/>
          <w:szCs w:val="20"/>
        </w:rPr>
      </w:r>
      <w:r/>
    </w:p>
    <w:p>
      <w:pPr>
        <w:pStyle w:val="895"/>
        <w:spacing w:line="360" w:lineRule="auto"/>
        <w:rPr>
          <w:rFonts w:ascii="宋体" w:hAnsi="宋体"/>
          <w:b/>
          <w:sz w:val="24"/>
          <w:szCs w:val="20"/>
        </w:rPr>
      </w:pPr>
      <w:r>
        <w:rPr>
          <w:rFonts w:hint="eastAsia" w:ascii="宋体" w:hAnsi="宋体"/>
          <w:b/>
          <w:sz w:val="24"/>
        </w:rPr>
        <w:t xml:space="preserve">8. 招标文件的澄清</w:t>
      </w:r>
      <w:r>
        <w:rPr>
          <w:rFonts w:ascii="宋体" w:hAnsi="宋体"/>
          <w:b/>
          <w:sz w:val="24"/>
          <w:szCs w:val="20"/>
        </w:rPr>
      </w:r>
      <w:r/>
    </w:p>
    <w:p>
      <w:pPr>
        <w:pStyle w:val="976"/>
        <w:ind w:firstLine="0"/>
        <w:spacing w:line="360" w:lineRule="auto"/>
      </w:pPr>
      <w:r>
        <w:rPr>
          <w:rFonts w:ascii="宋体" w:hAnsi="宋体" w:eastAsia="宋体" w:cs="宋体"/>
        </w:rPr>
        <w:t xml:space="preserve">8.1 </w:t>
      </w:r>
      <w:r>
        <w:rPr>
          <w:rFonts w:hint="eastAsia" w:ascii="宋体" w:hAnsi="宋体" w:eastAsia="宋体" w:cs="宋体"/>
        </w:rPr>
        <w:t xml:space="preserve">投标人在收到招标文件后，若有问题需要澄清，应以询问形式向招标代理人提出，招标代理人将予以解答。</w:t>
      </w:r>
      <w:r/>
    </w:p>
    <w:p>
      <w:pPr>
        <w:pStyle w:val="895"/>
        <w:spacing w:line="360" w:lineRule="auto"/>
        <w:rPr>
          <w:rFonts w:ascii="宋体" w:hAnsi="宋体"/>
        </w:rPr>
      </w:pPr>
      <w:r>
        <w:rPr>
          <w:rFonts w:hint="eastAsia" w:ascii="宋体" w:hAnsi="宋体" w:cs="宋体"/>
          <w:b/>
          <w:sz w:val="24"/>
        </w:rPr>
        <w:t xml:space="preserve">9.</w:t>
      </w:r>
      <w:r>
        <w:rPr>
          <w:rFonts w:hint="eastAsia" w:ascii="宋体" w:hAnsi="宋体"/>
          <w:b/>
          <w:sz w:val="24"/>
        </w:rPr>
        <w:t xml:space="preserve">投标人询问和质疑等</w:t>
      </w:r>
      <w:r>
        <w:rPr>
          <w:rFonts w:ascii="宋体" w:hAnsi="宋体"/>
        </w:rPr>
      </w:r>
      <w:r/>
    </w:p>
    <w:p>
      <w:pPr>
        <w:pStyle w:val="895"/>
        <w:spacing w:line="360" w:lineRule="auto"/>
      </w:pPr>
      <w:r>
        <w:rPr>
          <w:rFonts w:hint="eastAsia" w:ascii="宋体" w:hAnsi="宋体" w:cs="宋体"/>
          <w:sz w:val="24"/>
        </w:rPr>
        <w:t xml:space="preserve">9</w:t>
      </w:r>
      <w:r>
        <w:rPr>
          <w:rFonts w:ascii="宋体" w:hAnsi="宋体" w:cs="宋体"/>
          <w:sz w:val="24"/>
        </w:rPr>
        <w:t xml:space="preserve">.</w:t>
      </w:r>
      <w:r>
        <w:rPr>
          <w:rFonts w:hint="eastAsia" w:ascii="宋体" w:hAnsi="宋体" w:cs="宋体"/>
          <w:sz w:val="24"/>
        </w:rPr>
        <w:t xml:space="preserve">1</w:t>
      </w:r>
      <w:r>
        <w:rPr>
          <w:rFonts w:ascii="宋体" w:hAnsi="宋体" w:cs="宋体"/>
          <w:sz w:val="24"/>
        </w:rPr>
        <w:t xml:space="preserve"> </w:t>
      </w:r>
      <w:r>
        <w:rPr>
          <w:rFonts w:hint="eastAsia" w:ascii="宋体" w:hAnsi="宋体" w:cs="宋体"/>
          <w:sz w:val="24"/>
        </w:rPr>
        <w:t xml:space="preserve">投标人的询问通知不得迟于规定的截止日期</w:t>
      </w:r>
      <w:r>
        <w:rPr>
          <w:rFonts w:ascii="宋体" w:hAnsi="宋体" w:cs="宋体"/>
          <w:sz w:val="24"/>
        </w:rPr>
        <w:t xml:space="preserve">使招标</w:t>
      </w:r>
      <w:r>
        <w:rPr>
          <w:rFonts w:hint="eastAsia" w:ascii="宋体" w:hAnsi="宋体" w:cs="宋体"/>
          <w:sz w:val="24"/>
        </w:rPr>
        <w:t xml:space="preserve">代理</w:t>
      </w:r>
      <w:r>
        <w:rPr>
          <w:rFonts w:ascii="宋体" w:hAnsi="宋体" w:cs="宋体"/>
          <w:sz w:val="24"/>
        </w:rPr>
        <w:t xml:space="preserve">人收到，如有投标答疑会，应不得迟于投标答疑会前使招标</w:t>
      </w:r>
      <w:r>
        <w:rPr>
          <w:rFonts w:hint="eastAsia" w:ascii="宋体" w:hAnsi="宋体" w:cs="宋体"/>
          <w:sz w:val="24"/>
        </w:rPr>
        <w:t xml:space="preserve">代理</w:t>
      </w:r>
      <w:r>
        <w:rPr>
          <w:rFonts w:ascii="宋体" w:hAnsi="宋体" w:cs="宋体"/>
          <w:sz w:val="24"/>
        </w:rPr>
        <w:t xml:space="preserve">人收到。</w:t>
      </w:r>
      <w:r/>
    </w:p>
    <w:p>
      <w:pPr>
        <w:pStyle w:val="976"/>
        <w:ind w:firstLine="0"/>
        <w:spacing w:line="360" w:lineRule="auto"/>
        <w:rPr>
          <w:rFonts w:ascii="宋体" w:hAnsi="宋体" w:eastAsia="宋体"/>
        </w:rPr>
      </w:pPr>
      <w:r>
        <w:rPr>
          <w:rFonts w:hint="eastAsia" w:ascii="宋体" w:hAnsi="宋体" w:eastAsia="宋体" w:cs="宋体"/>
        </w:rPr>
        <w:t xml:space="preserve">9</w:t>
      </w:r>
      <w:r>
        <w:rPr>
          <w:rFonts w:ascii="宋体" w:hAnsi="宋体" w:eastAsia="宋体" w:cs="宋体"/>
        </w:rPr>
        <w:t xml:space="preserve">.</w:t>
      </w:r>
      <w:r>
        <w:rPr>
          <w:rFonts w:hint="eastAsia" w:ascii="宋体" w:hAnsi="宋体" w:eastAsia="宋体" w:cs="宋体"/>
        </w:rPr>
        <w:t xml:space="preserve">2</w:t>
      </w:r>
      <w:r>
        <w:rPr>
          <w:rFonts w:ascii="宋体" w:hAnsi="宋体" w:eastAsia="宋体" w:cs="宋体"/>
        </w:rPr>
        <w:t xml:space="preserve">投标人认为本招标文件含有标明特定的生产供应者、含有倾向性或排斥潜在投标人的条款而使自己的权益受到损害的，应在</w:t>
      </w:r>
      <w:r>
        <w:rPr>
          <w:rFonts w:hint="eastAsia" w:ascii="宋体" w:hAnsi="宋体" w:eastAsia="宋体" w:cs="宋体"/>
        </w:rPr>
        <w:t xml:space="preserve">应知自己权益受到损害之</w:t>
      </w:r>
      <w:r>
        <w:rPr>
          <w:rFonts w:ascii="宋体" w:hAnsi="宋体" w:eastAsia="宋体" w:cs="宋体"/>
        </w:rPr>
        <w:t xml:space="preserve">日起七个工作日内，以书面形式向招标</w:t>
      </w:r>
      <w:r>
        <w:rPr>
          <w:rFonts w:hint="eastAsia" w:ascii="宋体" w:hAnsi="宋体" w:eastAsia="宋体" w:cs="宋体"/>
        </w:rPr>
        <w:t xml:space="preserve">代理</w:t>
      </w:r>
      <w:r>
        <w:rPr>
          <w:rFonts w:ascii="宋体" w:hAnsi="宋体" w:eastAsia="宋体" w:cs="宋体"/>
        </w:rPr>
        <w:t xml:space="preserve">人提出质疑。招标</w:t>
      </w:r>
      <w:r>
        <w:rPr>
          <w:rFonts w:hint="eastAsia" w:ascii="宋体" w:hAnsi="宋体" w:eastAsia="宋体" w:cs="宋体"/>
        </w:rPr>
        <w:t xml:space="preserve">代理</w:t>
      </w:r>
      <w:r>
        <w:rPr>
          <w:rFonts w:ascii="宋体" w:hAnsi="宋体" w:eastAsia="宋体" w:cs="宋体"/>
        </w:rPr>
        <w:t xml:space="preserve">人应当在收到供应商书面质疑后七个工作日内作出答复，并以书面形式通知质疑供应商和其他相关供应商</w:t>
      </w:r>
      <w:r>
        <w:rPr>
          <w:rFonts w:hint="eastAsia" w:ascii="宋体" w:hAnsi="宋体" w:eastAsia="宋体" w:cs="宋体"/>
        </w:rPr>
        <w:t xml:space="preserve">，过期不予受理</w:t>
      </w:r>
      <w:r>
        <w:rPr>
          <w:rFonts w:ascii="宋体" w:hAnsi="宋体" w:eastAsia="宋体" w:cs="宋体"/>
        </w:rPr>
        <w:t xml:space="preserve">。</w:t>
      </w:r>
      <w:r>
        <w:rPr>
          <w:rFonts w:ascii="宋体" w:hAnsi="宋体" w:eastAsia="宋体"/>
        </w:rPr>
      </w:r>
      <w:r/>
    </w:p>
    <w:p>
      <w:pPr>
        <w:pStyle w:val="895"/>
        <w:spacing w:line="360" w:lineRule="auto"/>
      </w:pPr>
      <w:r>
        <w:rPr>
          <w:rFonts w:hint="eastAsia" w:ascii="宋体" w:hAnsi="宋体" w:cs="宋体"/>
          <w:sz w:val="24"/>
        </w:rPr>
        <w:t xml:space="preserve">9</w:t>
      </w: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 </w:t>
      </w:r>
      <w:r>
        <w:rPr>
          <w:rFonts w:hint="eastAsia" w:ascii="宋体" w:hAnsi="宋体" w:cs="宋体"/>
          <w:sz w:val="24"/>
        </w:rPr>
        <w:t xml:space="preserve">勘察现场</w:t>
      </w:r>
      <w:r/>
    </w:p>
    <w:p>
      <w:pPr>
        <w:pStyle w:val="895"/>
        <w:spacing w:line="360" w:lineRule="auto"/>
      </w:pPr>
      <w:r>
        <w:rPr>
          <w:rFonts w:hint="eastAsia" w:ascii="宋体" w:hAnsi="宋体" w:cs="宋体"/>
          <w:sz w:val="24"/>
        </w:rPr>
        <w:t xml:space="preserve">9</w:t>
      </w: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.1 </w:t>
      </w:r>
      <w:r>
        <w:rPr>
          <w:rFonts w:hint="eastAsia" w:ascii="宋体" w:hAnsi="宋体" w:cs="宋体"/>
          <w:sz w:val="24"/>
        </w:rPr>
        <w:t xml:space="preserve">根据需要，投标人将被邀请对有关现场和周围环境进行勘察，以获取编制投标文件和签署合同所需的资料。勘察现场所发生的费用由投标人自己承担（但招标文件如不特别注明，则项目不进行勘察现场）。</w:t>
      </w:r>
      <w:r/>
    </w:p>
    <w:p>
      <w:pPr>
        <w:pStyle w:val="976"/>
        <w:ind w:firstLine="0"/>
        <w:spacing w:line="360" w:lineRule="auto"/>
        <w:rPr>
          <w:rFonts w:ascii="宋体" w:hAnsi="宋体" w:cs="宋体"/>
        </w:rPr>
      </w:pPr>
      <w:r>
        <w:rPr>
          <w:rFonts w:hint="eastAsia" w:ascii="宋体" w:hAnsi="宋体" w:eastAsia="宋体" w:cs="宋体"/>
        </w:rPr>
        <w:t xml:space="preserve">9.3</w:t>
      </w:r>
      <w:r>
        <w:rPr>
          <w:rFonts w:ascii="宋体" w:hAnsi="宋体" w:eastAsia="宋体" w:cs="宋体"/>
        </w:rPr>
        <w:t xml:space="preserve">.2 </w:t>
      </w:r>
      <w:r>
        <w:rPr>
          <w:rFonts w:hint="eastAsia" w:ascii="宋体" w:hAnsi="宋体" w:eastAsia="宋体" w:cs="宋体"/>
        </w:rPr>
        <w:t xml:space="preserve">招标代理人向投标人提供的有关现场的资料和数据，是招标代理人现有的能使投标人利用的资料。招标代理人对投标人由此而做出的推论、理解和结论概不负责。</w:t>
      </w:r>
      <w:r>
        <w:rPr>
          <w:rFonts w:ascii="宋体" w:hAnsi="宋体" w:cs="宋体"/>
        </w:rPr>
      </w:r>
      <w:r/>
    </w:p>
    <w:p>
      <w:pPr>
        <w:pStyle w:val="895"/>
        <w:spacing w:line="360" w:lineRule="auto"/>
      </w:pPr>
      <w:r>
        <w:rPr>
          <w:rFonts w:hint="eastAsia" w:ascii="宋体" w:hAnsi="宋体" w:cs="宋体"/>
          <w:b/>
          <w:sz w:val="24"/>
        </w:rPr>
        <w:t xml:space="preserve">10. 招标文件的修改</w:t>
      </w:r>
      <w:r/>
    </w:p>
    <w:p>
      <w:pPr>
        <w:pStyle w:val="895"/>
        <w:spacing w:line="360" w:lineRule="auto"/>
      </w:pPr>
      <w:r>
        <w:rPr>
          <w:rFonts w:hint="eastAsia" w:ascii="宋体" w:hAnsi="宋体" w:cs="宋体"/>
          <w:sz w:val="24"/>
        </w:rPr>
        <w:t xml:space="preserve">10</w:t>
      </w:r>
      <w:r>
        <w:rPr>
          <w:rFonts w:ascii="宋体" w:hAnsi="宋体" w:cs="宋体"/>
          <w:sz w:val="24"/>
        </w:rPr>
        <w:t xml:space="preserve">.1 </w:t>
      </w:r>
      <w:r>
        <w:rPr>
          <w:rFonts w:hint="eastAsia" w:ascii="宋体" w:hAnsi="宋体" w:cs="宋体"/>
          <w:sz w:val="24"/>
        </w:rPr>
        <w:t xml:space="preserve">在投标截止时间</w:t>
      </w:r>
      <w:r>
        <w:rPr>
          <w:rFonts w:ascii="宋体" w:hAnsi="宋体" w:cs="宋体"/>
          <w:sz w:val="24"/>
        </w:rPr>
        <w:t xml:space="preserve">1</w:t>
      </w:r>
      <w:r>
        <w:rPr>
          <w:rFonts w:hint="eastAsia" w:ascii="宋体" w:hAnsi="宋体" w:cs="宋体"/>
          <w:sz w:val="24"/>
        </w:rPr>
        <w:t xml:space="preserve">5</w:t>
      </w:r>
      <w:r>
        <w:rPr>
          <w:rFonts w:ascii="宋体" w:hAnsi="宋体" w:cs="宋体"/>
          <w:sz w:val="24"/>
        </w:rPr>
        <w:t xml:space="preserve">日前，招标</w:t>
      </w:r>
      <w:r>
        <w:rPr>
          <w:rFonts w:hint="eastAsia" w:ascii="宋体" w:hAnsi="宋体" w:cs="宋体"/>
          <w:sz w:val="24"/>
        </w:rPr>
        <w:t xml:space="preserve">代理</w:t>
      </w:r>
      <w:r>
        <w:rPr>
          <w:rFonts w:ascii="宋体" w:hAnsi="宋体" w:cs="宋体"/>
          <w:sz w:val="24"/>
        </w:rPr>
        <w:t xml:space="preserve">人无论出于自己的考虑，还是出于对投标人提问的澄清，均可对招标文件用</w:t>
      </w:r>
      <w:r>
        <w:rPr>
          <w:rFonts w:hint="eastAsia" w:ascii="宋体" w:hAnsi="宋体" w:cs="宋体"/>
          <w:sz w:val="24"/>
        </w:rPr>
        <w:t xml:space="preserve">更正公告或变更公告</w:t>
      </w:r>
      <w:r>
        <w:rPr>
          <w:rFonts w:ascii="宋体" w:hAnsi="宋体" w:cs="宋体"/>
          <w:sz w:val="24"/>
        </w:rPr>
        <w:t xml:space="preserve">的方式进行修改。</w:t>
      </w:r>
      <w:r/>
    </w:p>
    <w:p>
      <w:pPr>
        <w:pStyle w:val="895"/>
        <w:spacing w:line="360" w:lineRule="auto"/>
        <w:rPr>
          <w:rFonts w:ascii="宋体" w:hAnsi="宋体" w:cs="宋体"/>
          <w:sz w:val="24"/>
        </w:rPr>
      </w:pPr>
      <w:r>
        <w:rPr>
          <w:rFonts w:hint="eastAsia" w:ascii="宋体" w:hAnsi="宋体" w:cs="宋体"/>
          <w:sz w:val="24"/>
        </w:rPr>
        <w:t xml:space="preserve">10</w:t>
      </w:r>
      <w:r>
        <w:rPr>
          <w:rFonts w:ascii="宋体" w:hAnsi="宋体" w:cs="宋体"/>
          <w:sz w:val="24"/>
        </w:rPr>
        <w:t xml:space="preserve">.2 </w:t>
      </w:r>
      <w:r>
        <w:rPr>
          <w:rFonts w:hint="eastAsia" w:ascii="宋体" w:hAnsi="宋体" w:cs="宋体"/>
          <w:sz w:val="24"/>
        </w:rPr>
        <w:t xml:space="preserve">招标代理人对招标文件的修改，将在政府采购信息发布媒体上“补充通知”栏目发布更正公告。招标文件的更正（含澄清、修改等）内容与原招标文件在同一内容上表述不一致时，以发出日期最接近开标时间的公告为准。补充文件即更正公告将作为招标文件的组成部分，对所有投标人有约束力。</w:t>
      </w:r>
      <w:r>
        <w:rPr>
          <w:rFonts w:ascii="宋体" w:hAnsi="宋体" w:cs="宋体"/>
          <w:sz w:val="24"/>
        </w:rPr>
      </w:r>
      <w:r/>
    </w:p>
    <w:p>
      <w:pPr>
        <w:pStyle w:val="895"/>
        <w:spacing w:line="360" w:lineRule="auto"/>
        <w:rPr>
          <w:rFonts w:hint="eastAsia" w:ascii="宋体" w:hAnsi="宋体" w:cs="宋体"/>
          <w:sz w:val="24"/>
        </w:rPr>
      </w:pPr>
      <w:r>
        <w:rPr>
          <w:rFonts w:hint="eastAsia" w:ascii="宋体" w:hAnsi="宋体" w:cs="宋体"/>
          <w:sz w:val="24"/>
        </w:rPr>
        <w:t xml:space="preserve">10</w:t>
      </w:r>
      <w:r>
        <w:rPr>
          <w:rFonts w:ascii="宋体" w:hAnsi="宋体" w:cs="宋体"/>
          <w:sz w:val="24"/>
        </w:rPr>
        <w:t xml:space="preserve">.3 </w:t>
      </w:r>
      <w:r>
        <w:rPr>
          <w:rFonts w:hint="eastAsia" w:ascii="宋体" w:hAnsi="宋体" w:cs="宋体"/>
          <w:sz w:val="24"/>
        </w:rPr>
        <w:t xml:space="preserve">为使投标人有足够的时间按招标文件的修改要求考虑修正投标文件，或出于其他原因，招标代理人可酌情推迟投标截止日期和开标日期，并于原定投标时间前将此变更在政府采购信息发布媒体上发布变更公告。</w:t>
      </w:r>
      <w:r/>
    </w:p>
    <w:p>
      <w:pPr>
        <w:pStyle w:val="895"/>
        <w:spacing w:line="360" w:lineRule="auto"/>
        <w:rPr>
          <w:rFonts w:ascii="宋体" w:hAnsi="宋体" w:cs="宋体"/>
          <w:sz w:val="24"/>
        </w:rPr>
      </w:pPr>
      <w:r>
        <w:rPr>
          <w:rFonts w:hint="eastAsia" w:ascii="宋体" w:hAnsi="宋体" w:cs="宋体"/>
          <w:sz w:val="24"/>
        </w:rPr>
        <w:t xml:space="preserve">10.4供应商应在提交投标文件截止时间前关注原采购信息发布媒体上有无本项目的补充公告。</w:t>
      </w:r>
      <w:r>
        <w:rPr>
          <w:rFonts w:ascii="宋体" w:hAnsi="宋体" w:cs="宋体"/>
          <w:sz w:val="24"/>
        </w:rPr>
      </w:r>
      <w:r/>
    </w:p>
    <w:p>
      <w:pPr>
        <w:pStyle w:val="895"/>
        <w:spacing w:line="360" w:lineRule="auto"/>
        <w:rPr>
          <w:rFonts w:ascii="宋体" w:hAnsi="宋体"/>
          <w:b/>
          <w:sz w:val="24"/>
          <w:szCs w:val="20"/>
        </w:rPr>
      </w:pPr>
      <w:r>
        <w:rPr>
          <w:rFonts w:hint="eastAsia" w:ascii="宋体" w:hAnsi="宋体"/>
          <w:b/>
          <w:sz w:val="24"/>
        </w:rPr>
        <w:t xml:space="preserve">四、投标文件说明</w:t>
      </w:r>
      <w:r>
        <w:rPr>
          <w:rFonts w:ascii="宋体" w:hAnsi="宋体"/>
          <w:b/>
          <w:sz w:val="24"/>
          <w:szCs w:val="20"/>
        </w:rPr>
      </w:r>
      <w:r/>
    </w:p>
    <w:p>
      <w:pPr>
        <w:pStyle w:val="895"/>
        <w:spacing w:line="360" w:lineRule="auto"/>
        <w:rPr>
          <w:rFonts w:ascii="宋体" w:hAnsi="宋体"/>
          <w:b/>
          <w:sz w:val="24"/>
          <w:szCs w:val="20"/>
        </w:rPr>
      </w:pPr>
      <w:r>
        <w:rPr>
          <w:rFonts w:hint="eastAsia" w:ascii="宋体" w:hAnsi="宋体"/>
          <w:b/>
          <w:sz w:val="24"/>
        </w:rPr>
        <w:t xml:space="preserve">11. 投标文件计量单位和使用文字</w:t>
      </w:r>
      <w:r>
        <w:rPr>
          <w:rFonts w:ascii="宋体" w:hAnsi="宋体"/>
          <w:b/>
          <w:sz w:val="24"/>
          <w:szCs w:val="20"/>
        </w:rPr>
      </w:r>
      <w:r/>
    </w:p>
    <w:p>
      <w:pPr>
        <w:pStyle w:val="908"/>
        <w:ind w:firstLine="0"/>
        <w:spacing w:line="360" w:lineRule="auto"/>
        <w:rPr>
          <w:rFonts w:ascii="宋体" w:hAnsi="宋体" w:eastAsia="宋体"/>
        </w:rPr>
      </w:pPr>
      <w:r>
        <w:rPr>
          <w:rFonts w:hint="eastAsia" w:ascii="宋体" w:hAnsi="宋体" w:eastAsia="宋体"/>
        </w:rPr>
        <w:t xml:space="preserve">11.1投标文件中所使用的计量单位，除招标文件中有特殊要求外，应采用我国国家法定计量单位。</w:t>
      </w:r>
      <w:r>
        <w:rPr>
          <w:rFonts w:ascii="宋体" w:hAnsi="宋体" w:eastAsia="宋体"/>
        </w:rPr>
      </w:r>
      <w:r/>
    </w:p>
    <w:p>
      <w:pPr>
        <w:pStyle w:val="895"/>
        <w:spacing w:line="360" w:lineRule="auto"/>
        <w:rPr>
          <w:rFonts w:ascii="宋体" w:hAnsi="宋体"/>
          <w:sz w:val="24"/>
          <w:szCs w:val="20"/>
        </w:rPr>
      </w:pPr>
      <w:r>
        <w:rPr>
          <w:rFonts w:hint="eastAsia" w:ascii="宋体" w:hAnsi="宋体"/>
          <w:sz w:val="24"/>
        </w:rPr>
        <w:t xml:space="preserve">11.2投标文件应使用中文编制，投标文件中必须使用其他文字的，必须附有中文译本。对于未附有中文译本和中文译本不准确的投标文件，由此引起的对投标人不利后果的，招标代理人概不负责。</w:t>
      </w:r>
      <w:r>
        <w:rPr>
          <w:rFonts w:ascii="宋体" w:hAnsi="宋体"/>
          <w:sz w:val="24"/>
          <w:szCs w:val="20"/>
        </w:rPr>
      </w:r>
      <w:r/>
    </w:p>
    <w:p>
      <w:pPr>
        <w:pStyle w:val="895"/>
        <w:spacing w:line="360" w:lineRule="auto"/>
        <w:rPr>
          <w:rFonts w:ascii="宋体" w:hAnsi="宋体"/>
          <w:b/>
          <w:sz w:val="24"/>
          <w:szCs w:val="20"/>
        </w:rPr>
      </w:pPr>
      <w:r>
        <w:rPr>
          <w:rFonts w:hint="eastAsia" w:ascii="宋体" w:hAnsi="宋体"/>
          <w:b/>
          <w:sz w:val="24"/>
        </w:rPr>
        <w:t xml:space="preserve">12. 投标文件的组成</w:t>
      </w:r>
      <w:r>
        <w:rPr>
          <w:rFonts w:ascii="宋体" w:hAnsi="宋体"/>
          <w:b/>
          <w:sz w:val="24"/>
          <w:szCs w:val="20"/>
        </w:rPr>
      </w:r>
      <w:r/>
    </w:p>
    <w:p>
      <w:pPr>
        <w:pStyle w:val="895"/>
        <w:spacing w:line="360" w:lineRule="auto"/>
        <w:rPr>
          <w:rFonts w:ascii="宋体" w:hAnsi="宋体"/>
          <w:sz w:val="24"/>
          <w:szCs w:val="20"/>
        </w:rPr>
      </w:pPr>
      <w:r>
        <w:rPr>
          <w:rFonts w:ascii="宋体" w:hAnsi="宋体"/>
          <w:b/>
          <w:sz w:val="24"/>
        </w:rPr>
        <w:t xml:space="preserve">12.1 </w:t>
      </w:r>
      <w:r>
        <w:rPr>
          <w:rFonts w:hint="eastAsia" w:ascii="宋体" w:hAnsi="宋体"/>
          <w:b/>
          <w:sz w:val="24"/>
        </w:rPr>
        <w:t xml:space="preserve">投标报价和资格文件</w:t>
      </w:r>
      <w:r>
        <w:rPr>
          <w:rFonts w:ascii="宋体" w:hAnsi="宋体"/>
          <w:sz w:val="24"/>
          <w:szCs w:val="20"/>
        </w:rPr>
      </w:r>
      <w:r/>
    </w:p>
    <w:p>
      <w:pPr>
        <w:pStyle w:val="895"/>
        <w:spacing w:line="360" w:lineRule="auto"/>
        <w:rPr>
          <w:rFonts w:hint="eastAsia" w:ascii="宋体" w:hAnsi="宋体"/>
          <w:bCs/>
          <w:sz w:val="24"/>
        </w:rPr>
      </w:pPr>
      <w:r>
        <w:rPr>
          <w:rFonts w:ascii="宋体" w:hAnsi="宋体"/>
          <w:bCs/>
          <w:sz w:val="24"/>
        </w:rPr>
        <w:t xml:space="preserve">12.</w:t>
      </w:r>
      <w:r>
        <w:rPr>
          <w:rFonts w:hint="eastAsia" w:ascii="宋体" w:hAnsi="宋体"/>
          <w:bCs/>
          <w:sz w:val="24"/>
        </w:rPr>
        <w:t xml:space="preserve">1.1</w:t>
      </w:r>
      <w:r>
        <w:rPr>
          <w:rFonts w:ascii="宋体" w:hAnsi="宋体"/>
          <w:bCs/>
          <w:sz w:val="24"/>
        </w:rPr>
        <w:t xml:space="preserve"> </w:t>
      </w:r>
      <w:r>
        <w:rPr>
          <w:rFonts w:hint="eastAsia" w:ascii="宋体" w:hAnsi="宋体"/>
          <w:bCs/>
          <w:sz w:val="24"/>
        </w:rPr>
        <w:t xml:space="preserve">投标文件封面</w:t>
      </w:r>
      <w:r/>
    </w:p>
    <w:p>
      <w:pPr>
        <w:pStyle w:val="895"/>
        <w:spacing w:line="360" w:lineRule="auto"/>
        <w:rPr>
          <w:rFonts w:ascii="宋体" w:hAnsi="宋体"/>
          <w:sz w:val="24"/>
        </w:rPr>
      </w:pPr>
      <w:r>
        <w:rPr>
          <w:rFonts w:hint="eastAsia" w:ascii="宋体" w:hAnsi="宋体"/>
          <w:sz w:val="24"/>
        </w:rPr>
        <w:t xml:space="preserve">12.1.2</w:t>
      </w:r>
      <w:r>
        <w:rPr>
          <w:rFonts w:ascii="宋体" w:hAnsi="宋体"/>
          <w:sz w:val="24"/>
        </w:rPr>
        <w:t xml:space="preserve">开标一览表(统一格式，用于唱标</w:t>
      </w:r>
      <w:r>
        <w:rPr>
          <w:rFonts w:hint="eastAsia" w:ascii="宋体" w:hAnsi="宋体"/>
          <w:sz w:val="24"/>
        </w:rPr>
        <w:t xml:space="preserve">,格式见第三章</w:t>
      </w:r>
      <w:r>
        <w:rPr>
          <w:rFonts w:ascii="宋体" w:hAnsi="宋体"/>
          <w:sz w:val="24"/>
        </w:rPr>
        <w:t xml:space="preserve">)；</w:t>
      </w:r>
      <w:r/>
    </w:p>
    <w:p>
      <w:pPr>
        <w:pStyle w:val="895"/>
        <w:spacing w:line="360" w:lineRule="auto"/>
        <w:rPr>
          <w:rFonts w:hint="eastAsia" w:ascii="宋体" w:hAnsi="宋体"/>
          <w:sz w:val="24"/>
        </w:rPr>
      </w:pPr>
      <w:r>
        <w:rPr>
          <w:rFonts w:ascii="宋体" w:hAnsi="宋体"/>
          <w:sz w:val="24"/>
        </w:rPr>
        <w:t xml:space="preserve">12.</w:t>
      </w:r>
      <w:r>
        <w:rPr>
          <w:rFonts w:hint="eastAsia" w:ascii="宋体" w:hAnsi="宋体"/>
          <w:sz w:val="24"/>
        </w:rPr>
        <w:t xml:space="preserve">1</w:t>
      </w:r>
      <w:r>
        <w:rPr>
          <w:rFonts w:ascii="宋体" w:hAnsi="宋体"/>
          <w:sz w:val="24"/>
        </w:rPr>
        <w:t xml:space="preserve">.</w:t>
      </w:r>
      <w:r>
        <w:rPr>
          <w:rFonts w:hint="eastAsia" w:ascii="宋体" w:hAnsi="宋体"/>
          <w:sz w:val="24"/>
        </w:rPr>
        <w:t xml:space="preserve">3</w:t>
      </w:r>
      <w:r>
        <w:rPr>
          <w:rFonts w:ascii="宋体" w:hAnsi="宋体"/>
          <w:sz w:val="24"/>
        </w:rPr>
        <w:t xml:space="preserve">投标</w:t>
      </w:r>
      <w:r>
        <w:rPr>
          <w:rFonts w:hint="eastAsia" w:ascii="宋体" w:hAnsi="宋体"/>
          <w:sz w:val="24"/>
        </w:rPr>
        <w:t xml:space="preserve">分项</w:t>
      </w:r>
      <w:r>
        <w:rPr>
          <w:rFonts w:ascii="宋体" w:hAnsi="宋体"/>
          <w:sz w:val="24"/>
        </w:rPr>
        <w:t xml:space="preserve">报价</w:t>
      </w:r>
      <w:r>
        <w:rPr>
          <w:rFonts w:hint="eastAsia" w:ascii="宋体" w:hAnsi="宋体"/>
          <w:sz w:val="24"/>
        </w:rPr>
        <w:t xml:space="preserve">明细</w:t>
      </w:r>
      <w:r>
        <w:rPr>
          <w:rFonts w:ascii="宋体" w:hAnsi="宋体"/>
          <w:sz w:val="24"/>
        </w:rPr>
        <w:t xml:space="preserve">表</w:t>
      </w:r>
      <w:r>
        <w:rPr>
          <w:rFonts w:hint="eastAsia" w:ascii="宋体" w:hAnsi="宋体"/>
          <w:sz w:val="24"/>
        </w:rPr>
        <w:t xml:space="preserve">（格式见第三章）。</w:t>
      </w:r>
      <w:r/>
    </w:p>
    <w:p>
      <w:pPr>
        <w:pStyle w:val="895"/>
        <w:spacing w:line="360" w:lineRule="auto"/>
        <w:rPr>
          <w:rFonts w:hint="eastAsia" w:ascii="宋体" w:hAnsi="宋体"/>
          <w:b/>
          <w:bCs/>
          <w:sz w:val="24"/>
        </w:rPr>
      </w:pPr>
      <w:r>
        <w:rPr>
          <w:rFonts w:ascii="宋体" w:hAnsi="宋体"/>
          <w:b/>
          <w:bCs/>
          <w:sz w:val="24"/>
        </w:rPr>
        <w:t xml:space="preserve">12.1.4</w:t>
      </w:r>
      <w:r>
        <w:rPr>
          <w:rFonts w:hint="eastAsia" w:ascii="宋体" w:hAnsi="宋体"/>
          <w:b/>
          <w:bCs/>
          <w:sz w:val="24"/>
        </w:rPr>
        <w:t xml:space="preserve">资格证明文件：</w:t>
      </w:r>
      <w:r/>
    </w:p>
    <w:p>
      <w:pPr>
        <w:pStyle w:val="895"/>
        <w:spacing w:line="360" w:lineRule="auto"/>
        <w:rPr>
          <w:rFonts w:ascii="宋体" w:hAnsi="宋体"/>
          <w:sz w:val="24"/>
        </w:rPr>
      </w:pPr>
      <w:r>
        <w:rPr>
          <w:rFonts w:hint="eastAsia" w:ascii="宋体" w:hAnsi="宋体"/>
          <w:b/>
          <w:bCs/>
          <w:sz w:val="24"/>
        </w:rPr>
        <w:t xml:space="preserve">12.1.4.1基本资格证明文件：</w:t>
      </w:r>
      <w:r>
        <w:rPr>
          <w:rFonts w:ascii="宋体" w:hAnsi="宋体"/>
          <w:sz w:val="24"/>
        </w:rPr>
      </w:r>
      <w:r/>
    </w:p>
    <w:p>
      <w:pPr>
        <w:pStyle w:val="895"/>
        <w:spacing w:line="360" w:lineRule="auto"/>
        <w:rPr>
          <w:rFonts w:hint="eastAsia" w:ascii="宋体" w:hAnsi="宋体"/>
          <w:sz w:val="24"/>
        </w:rPr>
      </w:pPr>
      <w:r>
        <w:rPr>
          <w:rFonts w:hint="eastAsia" w:ascii="宋体" w:hAnsi="宋体"/>
          <w:sz w:val="24"/>
        </w:rPr>
        <w:t xml:space="preserve">（1）具有独立承担民事责任的能力（</w:t>
      </w:r>
      <w:bookmarkStart w:id="34" w:name="OLE_LINK100"/>
      <w:r>
        <w:rPr>
          <w:rFonts w:hint="eastAsia" w:ascii="宋体" w:hAnsi="宋体"/>
          <w:sz w:val="24"/>
        </w:rPr>
        <w:t xml:space="preserve">提供法人或者其他组织的营业执照等证明文件、自然人的身份证明</w:t>
      </w:r>
      <w:bookmarkEnd w:id="34"/>
      <w:r>
        <w:rPr>
          <w:rFonts w:hint="eastAsia" w:ascii="宋体" w:hAnsi="宋体"/>
          <w:sz w:val="24"/>
        </w:rPr>
        <w:t xml:space="preserve">）；</w:t>
      </w:r>
      <w:r/>
    </w:p>
    <w:p>
      <w:pPr>
        <w:pStyle w:val="895"/>
        <w:spacing w:line="360" w:lineRule="auto"/>
        <w:rPr>
          <w:rFonts w:hint="eastAsia" w:ascii="宋体" w:hAnsi="宋体"/>
          <w:sz w:val="24"/>
        </w:rPr>
      </w:pPr>
      <w:r>
        <w:rPr>
          <w:rFonts w:hint="eastAsia" w:ascii="宋体" w:hAnsi="宋体"/>
          <w:sz w:val="24"/>
        </w:rPr>
        <w:t xml:space="preserve">（2）具有良好的商业信誉和健全的财务会计制度（</w:t>
      </w:r>
      <w:bookmarkStart w:id="35" w:name="OLE_LINK101"/>
      <w:r/>
      <w:bookmarkStart w:id="36" w:name="OLE_LINK110"/>
      <w:r>
        <w:rPr>
          <w:rFonts w:hint="eastAsia" w:ascii="宋体" w:hAnsi="宋体"/>
          <w:sz w:val="24"/>
        </w:rPr>
        <w:t xml:space="preserve">提供近期一</w:t>
      </w:r>
      <w:r>
        <w:rPr>
          <w:rFonts w:hint="eastAsia" w:ascii="宋体" w:hAnsi="宋体"/>
          <w:sz w:val="24"/>
        </w:rPr>
        <w:t xml:space="preserve">个</w:t>
      </w:r>
      <w:r>
        <w:rPr>
          <w:rFonts w:hint="eastAsia" w:ascii="宋体" w:hAnsi="宋体"/>
          <w:sz w:val="24"/>
        </w:rPr>
        <w:t xml:space="preserve">月度财务报表或银行资信等相应证明材料</w:t>
      </w:r>
      <w:bookmarkEnd w:id="35"/>
      <w:r/>
      <w:bookmarkEnd w:id="36"/>
      <w:r>
        <w:rPr>
          <w:rFonts w:hint="eastAsia" w:ascii="宋体" w:hAnsi="宋体"/>
          <w:sz w:val="24"/>
        </w:rPr>
        <w:t xml:space="preserve">）；</w:t>
      </w:r>
      <w:r/>
    </w:p>
    <w:p>
      <w:pPr>
        <w:pStyle w:val="895"/>
        <w:spacing w:line="360" w:lineRule="auto"/>
        <w:rPr>
          <w:rFonts w:hint="eastAsia" w:ascii="宋体" w:hAnsi="宋体"/>
          <w:sz w:val="24"/>
        </w:rPr>
      </w:pPr>
      <w:r>
        <w:rPr>
          <w:rFonts w:hint="eastAsia" w:ascii="宋体" w:hAnsi="宋体"/>
          <w:sz w:val="24"/>
        </w:rPr>
        <w:t xml:space="preserve">（3）具有履行合同所必需的设备和专业技术能力（</w:t>
      </w:r>
      <w:bookmarkStart w:id="37" w:name="OLE_LINK108"/>
      <w:r/>
      <w:bookmarkStart w:id="38" w:name="OLE_LINK109"/>
      <w:r>
        <w:rPr>
          <w:rFonts w:hint="eastAsia" w:ascii="宋体" w:hAnsi="宋体"/>
          <w:sz w:val="24"/>
        </w:rPr>
        <w:t xml:space="preserve">提供相应证明或说明材料</w:t>
      </w:r>
      <w:bookmarkEnd w:id="37"/>
      <w:r/>
      <w:bookmarkEnd w:id="38"/>
      <w:r>
        <w:rPr>
          <w:rFonts w:hint="eastAsia" w:ascii="宋体" w:hAnsi="宋体"/>
          <w:sz w:val="24"/>
        </w:rPr>
        <w:t xml:space="preserve">）；</w:t>
      </w:r>
      <w:r/>
    </w:p>
    <w:p>
      <w:pPr>
        <w:pStyle w:val="895"/>
        <w:spacing w:line="360" w:lineRule="auto"/>
        <w:rPr>
          <w:rFonts w:hint="eastAsia" w:ascii="宋体" w:hAnsi="宋体"/>
          <w:sz w:val="24"/>
        </w:rPr>
      </w:pPr>
      <w:r>
        <w:rPr>
          <w:rFonts w:hint="eastAsia" w:ascii="宋体" w:hAnsi="宋体"/>
          <w:sz w:val="24"/>
        </w:rPr>
        <w:t xml:space="preserve">（4）具有依法缴纳税收和社会保障资金的良好记录（</w:t>
      </w:r>
      <w:bookmarkStart w:id="39" w:name="OLE_LINK102"/>
      <w:r/>
      <w:bookmarkStart w:id="40" w:name="OLE_LINK105"/>
      <w:r>
        <w:rPr>
          <w:rFonts w:hint="eastAsia" w:ascii="宋体" w:hAnsi="宋体"/>
          <w:sz w:val="24"/>
        </w:rPr>
        <w:t xml:space="preserve">提供近期不少于一个月度的缴纳证明材料</w:t>
      </w:r>
      <w:bookmarkEnd w:id="39"/>
      <w:r/>
      <w:bookmarkEnd w:id="40"/>
      <w:r>
        <w:rPr>
          <w:rFonts w:hint="eastAsia" w:ascii="宋体" w:hAnsi="宋体"/>
          <w:sz w:val="24"/>
        </w:rPr>
        <w:t xml:space="preserve">）；</w:t>
      </w:r>
      <w:r/>
    </w:p>
    <w:p>
      <w:pPr>
        <w:pStyle w:val="895"/>
        <w:spacing w:line="360" w:lineRule="auto"/>
        <w:rPr>
          <w:rFonts w:hint="eastAsia" w:ascii="宋体" w:hAnsi="宋体"/>
          <w:sz w:val="24"/>
        </w:rPr>
      </w:pPr>
      <w:r>
        <w:rPr>
          <w:rFonts w:hint="eastAsia" w:ascii="宋体" w:hAnsi="宋体"/>
          <w:sz w:val="24"/>
        </w:rPr>
        <w:t xml:space="preserve">（5）参加政府采购活动前三年内，在经营活动中没有重大违法记录（</w:t>
      </w:r>
      <w:bookmarkStart w:id="41" w:name="OLE_LINK111"/>
      <w:r/>
      <w:bookmarkStart w:id="42" w:name="OLE_LINK119"/>
      <w:r>
        <w:rPr>
          <w:rFonts w:hint="eastAsia" w:ascii="宋体" w:hAnsi="宋体"/>
          <w:sz w:val="24"/>
        </w:rPr>
        <w:t xml:space="preserve">提供信用中国等信息网站查询截图或相关说明材料</w:t>
      </w:r>
      <w:bookmarkEnd w:id="41"/>
      <w:r/>
      <w:bookmarkEnd w:id="42"/>
      <w:r>
        <w:rPr>
          <w:rFonts w:hint="eastAsia" w:ascii="宋体" w:hAnsi="宋体"/>
          <w:sz w:val="24"/>
        </w:rPr>
        <w:t xml:space="preserve">）；</w:t>
      </w:r>
      <w:r/>
    </w:p>
    <w:p>
      <w:pPr>
        <w:pStyle w:val="895"/>
        <w:spacing w:line="360" w:lineRule="auto"/>
        <w:rPr>
          <w:rFonts w:hint="eastAsia"/>
          <w:b/>
          <w:sz w:val="24"/>
        </w:rPr>
      </w:pPr>
      <w:r>
        <w:rPr>
          <w:rFonts w:hint="eastAsia" w:ascii="宋体" w:hAnsi="宋体"/>
          <w:b/>
          <w:sz w:val="24"/>
        </w:rPr>
        <w:t xml:space="preserve">（6）</w:t>
      </w:r>
      <w:bookmarkStart w:id="43" w:name="OLE_LINK120"/>
      <w:r/>
      <w:bookmarkStart w:id="44" w:name="OLE_LINK121"/>
      <w:r/>
      <w:bookmarkStart w:id="45" w:name="OLE_LINK124"/>
      <w:r>
        <w:rPr>
          <w:rFonts w:hint="eastAsia" w:ascii="宋体" w:hAnsi="宋体"/>
          <w:b/>
          <w:sz w:val="24"/>
        </w:rPr>
        <w:t xml:space="preserve">供应商需具备</w:t>
      </w:r>
      <w:bookmarkStart w:id="46" w:name="OLE_LINK122"/>
      <w:r/>
      <w:bookmarkStart w:id="47" w:name="OLE_LINK123"/>
      <w:r>
        <w:rPr>
          <w:rFonts w:hint="eastAsia" w:ascii="宋体" w:hAnsi="宋体"/>
          <w:b/>
          <w:sz w:val="24"/>
        </w:rPr>
        <w:t xml:space="preserve">检验检测机构资质认定证书（环境检测CMA证书）</w:t>
      </w:r>
      <w:bookmarkEnd w:id="43"/>
      <w:r/>
      <w:bookmarkEnd w:id="44"/>
      <w:r/>
      <w:bookmarkEnd w:id="45"/>
      <w:r/>
      <w:bookmarkEnd w:id="46"/>
      <w:r/>
      <w:bookmarkEnd w:id="47"/>
      <w:r>
        <w:rPr>
          <w:rFonts w:hint="eastAsia"/>
          <w:b/>
          <w:sz w:val="24"/>
        </w:rPr>
        <w:t xml:space="preserve">。</w:t>
      </w:r>
      <w:r/>
    </w:p>
    <w:p>
      <w:pPr>
        <w:pStyle w:val="895"/>
        <w:spacing w:line="360" w:lineRule="auto"/>
        <w:rPr>
          <w:rFonts w:hint="eastAsia"/>
        </w:rPr>
      </w:pPr>
      <w:r>
        <w:rPr>
          <w:rFonts w:hint="eastAsia" w:ascii="宋体" w:hAnsi="宋体"/>
          <w:bCs/>
          <w:sz w:val="24"/>
        </w:rPr>
        <w:t xml:space="preserve">12.1.4.2 投标单位情况表、存在管理或控股关系单位情况表（格式见第三章）</w:t>
      </w:r>
      <w:r>
        <w:rPr>
          <w:rFonts w:hint="eastAsia" w:ascii="宋体" w:hAnsi="宋体"/>
          <w:sz w:val="24"/>
        </w:rPr>
        <w:t xml:space="preserve">。</w:t>
      </w:r>
      <w:r>
        <w:rPr>
          <w:rFonts w:hint="eastAsia"/>
        </w:rPr>
      </w:r>
      <w:r/>
    </w:p>
    <w:p>
      <w:pPr>
        <w:pStyle w:val="895"/>
        <w:spacing w:line="360" w:lineRule="auto"/>
        <w:rPr>
          <w:rFonts w:hint="eastAsia" w:ascii="宋体" w:hAnsi="宋体"/>
          <w:b/>
          <w:sz w:val="24"/>
        </w:rPr>
      </w:pPr>
      <w:r>
        <w:rPr>
          <w:rFonts w:hint="eastAsia" w:ascii="宋体" w:hAnsi="宋体"/>
          <w:b/>
          <w:sz w:val="24"/>
        </w:rPr>
        <w:t xml:space="preserve">12.1.5投标人符合相关扶持政策的证明材料（供应商据实提供）：</w:t>
      </w:r>
      <w:r/>
    </w:p>
    <w:p>
      <w:pPr>
        <w:pStyle w:val="895"/>
        <w:spacing w:line="360" w:lineRule="auto"/>
        <w:rPr>
          <w:rFonts w:hint="eastAsia" w:ascii="宋体" w:hAnsi="宋体"/>
          <w:sz w:val="24"/>
        </w:rPr>
      </w:pPr>
      <w:r>
        <w:rPr>
          <w:rFonts w:hint="eastAsia" w:ascii="宋体" w:hAnsi="宋体"/>
          <w:sz w:val="24"/>
        </w:rPr>
        <w:t xml:space="preserve">（1）中小企业声明函（格式见第三章）；</w:t>
      </w:r>
      <w:r/>
    </w:p>
    <w:p>
      <w:pPr>
        <w:pStyle w:val="895"/>
        <w:spacing w:line="360" w:lineRule="auto"/>
        <w:rPr>
          <w:rFonts w:hint="eastAsia" w:ascii="宋体" w:hAnsi="宋体"/>
          <w:sz w:val="24"/>
        </w:rPr>
      </w:pPr>
      <w:r>
        <w:rPr>
          <w:rFonts w:hint="eastAsia" w:ascii="宋体" w:hAnsi="宋体"/>
          <w:sz w:val="24"/>
        </w:rPr>
        <w:t xml:space="preserve">（2）残疾人福利性单位声明函（</w:t>
      </w:r>
      <w:bookmarkStart w:id="48" w:name="OLE_LINK104"/>
      <w:r/>
      <w:bookmarkStart w:id="49" w:name="OLE_LINK103"/>
      <w:r>
        <w:rPr>
          <w:rFonts w:hint="eastAsia" w:ascii="宋体" w:hAnsi="宋体"/>
          <w:sz w:val="24"/>
        </w:rPr>
        <w:t xml:space="preserve">格式见第三章</w:t>
      </w:r>
      <w:bookmarkEnd w:id="48"/>
      <w:r/>
      <w:bookmarkEnd w:id="49"/>
      <w:r>
        <w:rPr>
          <w:rFonts w:hint="eastAsia" w:ascii="宋体" w:hAnsi="宋体"/>
          <w:sz w:val="24"/>
        </w:rPr>
        <w:t xml:space="preserve">）；</w:t>
      </w:r>
      <w:r/>
    </w:p>
    <w:p>
      <w:pPr>
        <w:pStyle w:val="895"/>
        <w:spacing w:line="360" w:lineRule="auto"/>
        <w:rPr>
          <w:rFonts w:hint="eastAsia" w:ascii="宋体" w:hAnsi="宋体"/>
          <w:sz w:val="24"/>
        </w:rPr>
      </w:pPr>
      <w:r>
        <w:rPr>
          <w:rFonts w:hint="eastAsia" w:ascii="宋体" w:hAnsi="宋体"/>
          <w:sz w:val="24"/>
        </w:rPr>
        <w:t xml:space="preserve">（3）监狱企业证明文件。</w:t>
      </w:r>
      <w:r/>
    </w:p>
    <w:p>
      <w:pPr>
        <w:pStyle w:val="895"/>
        <w:spacing w:line="360" w:lineRule="auto"/>
        <w:rPr>
          <w:rFonts w:ascii="宋体" w:hAnsi="宋体" w:cs="宋体"/>
          <w:b/>
          <w:bCs/>
          <w:sz w:val="24"/>
        </w:rPr>
      </w:pPr>
      <w:r>
        <w:rPr>
          <w:rFonts w:hint="eastAsia" w:ascii="宋体" w:hAnsi="宋体"/>
          <w:b/>
          <w:sz w:val="24"/>
        </w:rPr>
        <w:t xml:space="preserve">12.1.6投标</w:t>
      </w:r>
      <w:r>
        <w:rPr>
          <w:rFonts w:hint="eastAsia" w:ascii="宋体" w:hAnsi="宋体"/>
          <w:b/>
          <w:bCs/>
          <w:sz w:val="24"/>
        </w:rPr>
        <w:t xml:space="preserve">人</w:t>
      </w:r>
      <w:r>
        <w:rPr>
          <w:rFonts w:hint="eastAsia" w:ascii="宋体" w:hAnsi="宋体"/>
          <w:b/>
          <w:sz w:val="24"/>
        </w:rPr>
        <w:t xml:space="preserve">必须提交“12.</w:t>
      </w:r>
      <w:r>
        <w:rPr>
          <w:rFonts w:ascii="宋体" w:hAnsi="宋体"/>
          <w:b/>
          <w:sz w:val="24"/>
        </w:rPr>
        <w:t xml:space="preserve">1.</w:t>
      </w:r>
      <w:r>
        <w:rPr>
          <w:rFonts w:hint="eastAsia" w:ascii="宋体" w:hAnsi="宋体"/>
          <w:b/>
          <w:sz w:val="24"/>
        </w:rPr>
        <w:t xml:space="preserve">4”款规定的资料，</w:t>
      </w:r>
      <w:r>
        <w:rPr>
          <w:rFonts w:hint="eastAsia" w:ascii="宋体" w:hAnsi="宋体" w:cs="宋体"/>
          <w:b/>
          <w:bCs/>
          <w:sz w:val="24"/>
        </w:rPr>
        <w:t xml:space="preserve">并加盖电子公章，</w:t>
      </w:r>
      <w:r>
        <w:rPr>
          <w:rFonts w:hint="eastAsia" w:ascii="宋体" w:hAnsi="宋体"/>
          <w:b/>
          <w:sz w:val="24"/>
        </w:rPr>
        <w:t xml:space="preserve">否则，将被认定为未实质性响应招标文件要求，</w:t>
      </w:r>
      <w:r>
        <w:rPr>
          <w:rFonts w:hint="eastAsia" w:ascii="宋体" w:hAnsi="宋体" w:cs="宋体"/>
          <w:b/>
          <w:bCs/>
          <w:sz w:val="24"/>
        </w:rPr>
        <w:t xml:space="preserve">不能通过资格审查。</w:t>
      </w:r>
      <w:r>
        <w:rPr>
          <w:rFonts w:ascii="宋体" w:hAnsi="宋体" w:cs="宋体"/>
          <w:b/>
          <w:bCs/>
          <w:sz w:val="24"/>
        </w:rPr>
      </w:r>
      <w:r/>
    </w:p>
    <w:p>
      <w:pPr>
        <w:pStyle w:val="895"/>
        <w:spacing w:line="360" w:lineRule="auto"/>
        <w:rPr>
          <w:rFonts w:hint="eastAsia" w:ascii="宋体" w:hAnsi="宋体" w:cs="宋体"/>
          <w:b/>
          <w:sz w:val="24"/>
        </w:rPr>
      </w:pPr>
      <w:r>
        <w:rPr>
          <w:rFonts w:hint="eastAsia" w:ascii="宋体" w:hAnsi="宋体" w:cs="宋体"/>
          <w:b/>
          <w:sz w:val="24"/>
        </w:rPr>
        <w:t xml:space="preserve">12.2符合性审查</w:t>
      </w:r>
      <w:r/>
    </w:p>
    <w:p>
      <w:pPr>
        <w:pStyle w:val="895"/>
        <w:spacing w:line="360" w:lineRule="auto"/>
        <w:rPr>
          <w:rFonts w:hint="eastAsia" w:ascii="宋体" w:hAnsi="宋体"/>
          <w:sz w:val="24"/>
        </w:rPr>
      </w:pPr>
      <w:r>
        <w:rPr>
          <w:rFonts w:ascii="宋体" w:hAnsi="宋体"/>
          <w:sz w:val="24"/>
        </w:rPr>
        <w:t xml:space="preserve">12.</w:t>
      </w:r>
      <w:r>
        <w:rPr>
          <w:rFonts w:hint="eastAsia" w:ascii="宋体" w:hAnsi="宋体"/>
          <w:sz w:val="24"/>
        </w:rPr>
        <w:t xml:space="preserve">2.1</w:t>
      </w:r>
      <w:bookmarkStart w:id="50" w:name="OLE_LINK132"/>
      <w:r/>
      <w:bookmarkStart w:id="51" w:name="OLE_LINK133"/>
      <w:r>
        <w:rPr>
          <w:rFonts w:hint="eastAsia" w:ascii="宋体" w:hAnsi="宋体"/>
          <w:sz w:val="24"/>
        </w:rPr>
        <w:t xml:space="preserve">投标人法定代表人身份证复印件</w:t>
      </w:r>
      <w:bookmarkEnd w:id="50"/>
      <w:r/>
      <w:bookmarkEnd w:id="51"/>
      <w:r>
        <w:rPr>
          <w:rFonts w:ascii="宋体" w:hAnsi="宋体"/>
          <w:sz w:val="24"/>
        </w:rPr>
        <w:t xml:space="preserve">；</w:t>
      </w:r>
      <w:r>
        <w:rPr>
          <w:rFonts w:hint="eastAsia" w:ascii="宋体" w:hAnsi="宋体"/>
          <w:sz w:val="24"/>
        </w:rPr>
      </w:r>
      <w:r/>
    </w:p>
    <w:p>
      <w:pPr>
        <w:pStyle w:val="895"/>
        <w:spacing w:line="360" w:lineRule="auto"/>
        <w:rPr>
          <w:rFonts w:ascii="宋体" w:hAnsi="宋体" w:cs="宋体"/>
          <w:b/>
          <w:color w:val="000000"/>
          <w:sz w:val="24"/>
        </w:rPr>
      </w:pPr>
      <w:r>
        <w:rPr>
          <w:rFonts w:hint="eastAsia" w:ascii="宋体" w:hAnsi="宋体"/>
          <w:sz w:val="24"/>
        </w:rPr>
        <w:t xml:space="preserve">12.2.2</w:t>
      </w:r>
      <w:bookmarkStart w:id="52" w:name="OLE_LINK90"/>
      <w:r/>
      <w:bookmarkStart w:id="53" w:name="_Hlk227935932"/>
      <w:r/>
      <w:bookmarkStart w:id="54" w:name="OLE_LINK89"/>
      <w:r/>
      <w:bookmarkStart w:id="55" w:name="OLE_LINK134"/>
      <w:r/>
      <w:bookmarkStart w:id="56" w:name="OLE_LINK139"/>
      <w:r>
        <w:rPr>
          <w:rFonts w:ascii="宋体" w:hAnsi="宋体"/>
          <w:color w:val="000000"/>
          <w:sz w:val="24"/>
        </w:rPr>
        <w:t xml:space="preserve">法定代表人授权委托书</w:t>
      </w:r>
      <w:bookmarkStart w:id="57" w:name="OLE_LINK135"/>
      <w:r/>
      <w:bookmarkStart w:id="58" w:name="OLE_LINK136"/>
      <w:r>
        <w:rPr>
          <w:rFonts w:hint="eastAsia" w:ascii="宋体" w:hAnsi="宋体"/>
          <w:color w:val="000000"/>
          <w:sz w:val="24"/>
        </w:rPr>
        <w:t xml:space="preserve">（格式见第三章）</w:t>
      </w:r>
      <w:bookmarkEnd w:id="57"/>
      <w:r/>
      <w:bookmarkEnd w:id="58"/>
      <w:r>
        <w:rPr>
          <w:rFonts w:ascii="宋体" w:hAnsi="宋体"/>
          <w:color w:val="000000"/>
          <w:sz w:val="24"/>
        </w:rPr>
        <w:t xml:space="preserve">、投标人</w:t>
      </w:r>
      <w:r>
        <w:rPr>
          <w:rFonts w:hint="eastAsia" w:ascii="宋体" w:hAnsi="宋体"/>
          <w:color w:val="000000"/>
          <w:sz w:val="24"/>
        </w:rPr>
        <w:t xml:space="preserve">委托</w:t>
      </w:r>
      <w:r>
        <w:rPr>
          <w:rFonts w:ascii="宋体" w:hAnsi="宋体"/>
          <w:color w:val="000000"/>
          <w:sz w:val="24"/>
        </w:rPr>
        <w:t xml:space="preserve">代理人身份证</w:t>
      </w:r>
      <w:r>
        <w:rPr>
          <w:rFonts w:hint="eastAsia" w:ascii="宋体" w:hAnsi="宋体"/>
          <w:color w:val="000000"/>
          <w:sz w:val="24"/>
        </w:rPr>
        <w:t xml:space="preserve">明（</w:t>
      </w:r>
      <w:r>
        <w:rPr>
          <w:rFonts w:hint="eastAsia" w:ascii="宋体" w:hAnsi="宋体"/>
          <w:color w:val="000000"/>
          <w:sz w:val="24"/>
          <w:szCs w:val="20"/>
        </w:rPr>
        <w:t xml:space="preserve">如法人自己投标，则无须提供授权委托书和代理人身份证明）</w:t>
      </w:r>
      <w:bookmarkEnd w:id="55"/>
      <w:r/>
      <w:bookmarkEnd w:id="56"/>
      <w:r>
        <w:rPr>
          <w:rFonts w:ascii="宋体" w:hAnsi="宋体"/>
          <w:color w:val="000000"/>
          <w:sz w:val="24"/>
        </w:rPr>
        <w:t xml:space="preserve">；</w:t>
      </w:r>
      <w:bookmarkEnd w:id="52"/>
      <w:r/>
      <w:bookmarkEnd w:id="54"/>
      <w:r>
        <w:rPr>
          <w:rFonts w:ascii="宋体" w:hAnsi="宋体" w:cs="宋体"/>
          <w:b/>
          <w:color w:val="000000"/>
          <w:sz w:val="24"/>
        </w:rPr>
      </w:r>
      <w:r/>
    </w:p>
    <w:p>
      <w:pPr>
        <w:pStyle w:val="895"/>
        <w:spacing w:line="360" w:lineRule="auto"/>
        <w:rPr>
          <w:rFonts w:hint="eastAsia" w:ascii="宋体" w:hAnsi="宋体"/>
          <w:sz w:val="24"/>
        </w:rPr>
      </w:pPr>
      <w:r/>
      <w:bookmarkEnd w:id="53"/>
      <w:r>
        <w:rPr>
          <w:rFonts w:ascii="宋体" w:hAnsi="宋体"/>
          <w:sz w:val="24"/>
        </w:rPr>
        <w:t xml:space="preserve">12.</w:t>
      </w:r>
      <w:r>
        <w:rPr>
          <w:rFonts w:hint="eastAsia" w:ascii="宋体" w:hAnsi="宋体"/>
          <w:sz w:val="24"/>
        </w:rPr>
        <w:t xml:space="preserve">2.3</w:t>
      </w:r>
      <w:r>
        <w:rPr>
          <w:rFonts w:ascii="宋体" w:hAnsi="宋体"/>
          <w:sz w:val="24"/>
        </w:rPr>
        <w:t xml:space="preserve"> </w:t>
      </w:r>
      <w:bookmarkStart w:id="59" w:name="OLE_LINK140"/>
      <w:r/>
      <w:bookmarkStart w:id="60" w:name="OLE_LINK143"/>
      <w:r>
        <w:rPr>
          <w:rFonts w:ascii="宋体" w:hAnsi="宋体"/>
          <w:sz w:val="24"/>
        </w:rPr>
        <w:t xml:space="preserve">投标函</w:t>
      </w:r>
      <w:r>
        <w:rPr>
          <w:rFonts w:hint="eastAsia" w:ascii="宋体" w:hAnsi="宋体"/>
          <w:sz w:val="24"/>
        </w:rPr>
        <w:t xml:space="preserve">和投标承诺函</w:t>
      </w:r>
      <w:bookmarkEnd w:id="59"/>
      <w:r/>
      <w:bookmarkEnd w:id="60"/>
      <w:r>
        <w:rPr>
          <w:rFonts w:ascii="宋体" w:hAnsi="宋体"/>
          <w:sz w:val="24"/>
        </w:rPr>
        <w:t xml:space="preserve">；</w:t>
      </w:r>
      <w:r>
        <w:rPr>
          <w:rFonts w:hint="eastAsia" w:ascii="宋体" w:hAnsi="宋体"/>
          <w:sz w:val="24"/>
        </w:rPr>
      </w:r>
      <w:r/>
    </w:p>
    <w:p>
      <w:pPr>
        <w:pStyle w:val="895"/>
        <w:spacing w:line="360" w:lineRule="auto"/>
        <w:rPr>
          <w:rFonts w:hint="eastAsia" w:ascii="宋体" w:hAnsi="宋体"/>
          <w:color w:val="000000"/>
          <w:sz w:val="24"/>
        </w:rPr>
      </w:pPr>
      <w:r/>
      <w:bookmarkStart w:id="61" w:name="OLE_LINK137"/>
      <w:r/>
      <w:bookmarkStart w:id="62" w:name="OLE_LINK138"/>
      <w:r>
        <w:rPr>
          <w:rFonts w:hint="eastAsia" w:ascii="宋体" w:hAnsi="宋体"/>
          <w:sz w:val="24"/>
        </w:rPr>
        <w:t xml:space="preserve">12.2.4.</w:t>
      </w:r>
      <w:bookmarkEnd w:id="61"/>
      <w:r/>
      <w:bookmarkEnd w:id="62"/>
      <w:r/>
      <w:bookmarkStart w:id="63" w:name="OLE_LINK144"/>
      <w:r/>
      <w:bookmarkStart w:id="64" w:name="OLE_LINK145"/>
      <w:r>
        <w:rPr>
          <w:rFonts w:hint="eastAsia" w:ascii="宋体" w:hAnsi="宋体"/>
          <w:sz w:val="24"/>
        </w:rPr>
        <w:t xml:space="preserve">技术要求（指标）对照表</w:t>
      </w:r>
      <w:bookmarkEnd w:id="63"/>
      <w:r/>
      <w:bookmarkEnd w:id="64"/>
      <w:r/>
      <w:bookmarkStart w:id="65" w:name="OLE_LINK141"/>
      <w:r/>
      <w:bookmarkStart w:id="66" w:name="OLE_LINK142"/>
      <w:r>
        <w:rPr>
          <w:rFonts w:hint="eastAsia" w:ascii="宋体" w:hAnsi="宋体"/>
          <w:color w:val="000000"/>
          <w:sz w:val="24"/>
        </w:rPr>
        <w:t xml:space="preserve">（格式见第三章）</w:t>
      </w:r>
      <w:bookmarkEnd w:id="65"/>
      <w:r/>
      <w:bookmarkEnd w:id="66"/>
      <w:r>
        <w:rPr>
          <w:rFonts w:hint="eastAsia" w:ascii="宋体" w:hAnsi="宋体"/>
          <w:color w:val="000000"/>
          <w:sz w:val="24"/>
        </w:rPr>
      </w:r>
      <w:r/>
    </w:p>
    <w:p>
      <w:pPr>
        <w:pStyle w:val="895"/>
        <w:spacing w:line="360" w:lineRule="auto"/>
        <w:rPr>
          <w:rFonts w:hint="eastAsia" w:ascii="宋体" w:hAnsi="宋体"/>
          <w:sz w:val="24"/>
        </w:rPr>
      </w:pPr>
      <w:r>
        <w:rPr>
          <w:rFonts w:hint="eastAsia" w:ascii="宋体" w:hAnsi="宋体"/>
          <w:sz w:val="24"/>
        </w:rPr>
        <w:t xml:space="preserve">12.2.5.</w:t>
      </w:r>
      <w:bookmarkStart w:id="67" w:name="OLE_LINK146"/>
      <w:r/>
      <w:bookmarkStart w:id="68" w:name="OLE_LINK147"/>
      <w:r>
        <w:rPr>
          <w:rFonts w:hint="eastAsia" w:ascii="宋体" w:hAnsi="宋体"/>
          <w:sz w:val="24"/>
        </w:rPr>
        <w:t xml:space="preserve">商务条款偏离表</w:t>
      </w:r>
      <w:bookmarkEnd w:id="67"/>
      <w:r/>
      <w:bookmarkEnd w:id="68"/>
      <w:r>
        <w:rPr>
          <w:rFonts w:hint="eastAsia" w:ascii="宋体" w:hAnsi="宋体"/>
          <w:color w:val="000000"/>
          <w:sz w:val="24"/>
        </w:rPr>
        <w:t xml:space="preserve">（格式见第三章）</w:t>
      </w:r>
      <w:r>
        <w:rPr>
          <w:rFonts w:hint="eastAsia" w:ascii="宋体" w:hAnsi="宋体"/>
          <w:sz w:val="24"/>
        </w:rPr>
      </w:r>
      <w:r/>
    </w:p>
    <w:p>
      <w:pPr>
        <w:pStyle w:val="895"/>
        <w:spacing w:line="360" w:lineRule="auto"/>
        <w:rPr>
          <w:rFonts w:ascii="宋体" w:hAnsi="宋体"/>
          <w:sz w:val="24"/>
        </w:rPr>
      </w:pPr>
      <w:r>
        <w:rPr>
          <w:rFonts w:hint="eastAsia" w:ascii="宋体" w:hAnsi="宋体"/>
          <w:b/>
          <w:sz w:val="24"/>
        </w:rPr>
        <w:t xml:space="preserve">12.2.</w:t>
      </w:r>
      <w:r>
        <w:rPr>
          <w:rFonts w:hint="eastAsia" w:ascii="宋体" w:hAnsi="宋体"/>
          <w:b/>
          <w:sz w:val="24"/>
        </w:rPr>
        <w:t xml:space="preserve">6 </w:t>
      </w:r>
      <w:bookmarkStart w:id="69" w:name="OLE_LINK148"/>
      <w:r/>
      <w:bookmarkStart w:id="70" w:name="OLE_LINK149"/>
      <w:r>
        <w:rPr>
          <w:rFonts w:hint="eastAsia" w:cs="宋体"/>
          <w:b/>
          <w:bCs/>
          <w:color w:val="000000"/>
          <w:sz w:val="24"/>
        </w:rPr>
        <w:t xml:space="preserve">提供合同履行期内严格执行回避制度的承诺函</w:t>
      </w:r>
      <w:bookmarkEnd w:id="69"/>
      <w:r/>
      <w:bookmarkEnd w:id="70"/>
      <w:r>
        <w:rPr>
          <w:rFonts w:hint="eastAsia" w:cs="宋体"/>
          <w:b/>
          <w:bCs/>
          <w:color w:val="000000"/>
          <w:sz w:val="24"/>
        </w:rPr>
        <w:t xml:space="preserve">（格式见第三章）；</w:t>
      </w:r>
      <w:r>
        <w:rPr>
          <w:rFonts w:ascii="宋体" w:hAnsi="宋体"/>
          <w:sz w:val="24"/>
        </w:rPr>
      </w:r>
      <w:r/>
    </w:p>
    <w:p>
      <w:pPr>
        <w:pStyle w:val="895"/>
        <w:contextualSpacing/>
        <w:spacing w:line="360" w:lineRule="auto"/>
        <w:rPr>
          <w:rFonts w:hint="eastAsia" w:ascii="宋体" w:hAnsi="宋体"/>
          <w:sz w:val="24"/>
        </w:rPr>
      </w:pPr>
      <w:r>
        <w:rPr>
          <w:rFonts w:ascii="宋体" w:hAnsi="宋体"/>
          <w:sz w:val="24"/>
        </w:rPr>
        <w:t xml:space="preserve">12.</w:t>
      </w:r>
      <w:r>
        <w:rPr>
          <w:rFonts w:hint="eastAsia" w:ascii="宋体" w:hAnsi="宋体"/>
          <w:sz w:val="24"/>
        </w:rPr>
        <w:t xml:space="preserve">2.</w:t>
      </w:r>
      <w:r>
        <w:rPr>
          <w:rFonts w:hint="eastAsia" w:ascii="宋体" w:hAnsi="宋体"/>
          <w:sz w:val="24"/>
        </w:rPr>
        <w:t xml:space="preserve">7</w:t>
      </w:r>
      <w:bookmarkStart w:id="71" w:name="OLE_LINK150"/>
      <w:r>
        <w:rPr>
          <w:rFonts w:hint="eastAsia" w:ascii="宋体" w:hAnsi="宋体"/>
          <w:sz w:val="24"/>
        </w:rPr>
        <w:t xml:space="preserve">其他有关符合性证明的文件或内容</w:t>
      </w:r>
      <w:bookmarkEnd w:id="71"/>
      <w:r>
        <w:rPr>
          <w:rFonts w:hint="eastAsia" w:ascii="宋体" w:hAnsi="宋体"/>
          <w:sz w:val="24"/>
        </w:rPr>
        <w:t xml:space="preserve">。</w:t>
      </w:r>
      <w:r/>
    </w:p>
    <w:p>
      <w:pPr>
        <w:pStyle w:val="895"/>
        <w:contextualSpacing/>
        <w:spacing w:line="360" w:lineRule="auto"/>
        <w:rPr>
          <w:rFonts w:hint="eastAsia" w:ascii="宋体" w:hAnsi="宋体"/>
          <w:b/>
          <w:sz w:val="24"/>
        </w:rPr>
      </w:pPr>
      <w:r>
        <w:rPr>
          <w:rFonts w:hint="eastAsia" w:ascii="宋体" w:hAnsi="宋体"/>
          <w:b/>
          <w:sz w:val="24"/>
        </w:rPr>
        <w:t xml:space="preserve">12.2.</w:t>
      </w:r>
      <w:r>
        <w:rPr>
          <w:rFonts w:hint="eastAsia" w:ascii="宋体" w:hAnsi="宋体"/>
          <w:b/>
          <w:sz w:val="24"/>
        </w:rPr>
        <w:t xml:space="preserve">8</w:t>
      </w:r>
      <w:r>
        <w:rPr>
          <w:rFonts w:hint="eastAsia" w:ascii="宋体" w:hAnsi="宋体"/>
          <w:b/>
          <w:sz w:val="24"/>
        </w:rPr>
        <w:t xml:space="preserve">以上“12.2.1-12.2.</w:t>
      </w:r>
      <w:r>
        <w:rPr>
          <w:rFonts w:hint="eastAsia" w:ascii="宋体" w:hAnsi="宋体"/>
          <w:b/>
          <w:sz w:val="24"/>
        </w:rPr>
        <w:t xml:space="preserve">7</w:t>
      </w:r>
      <w:r>
        <w:rPr>
          <w:rFonts w:hint="eastAsia" w:ascii="宋体" w:hAnsi="宋体"/>
          <w:b/>
          <w:sz w:val="24"/>
        </w:rPr>
        <w:t xml:space="preserve">”为符合性审查须提供的资料，投标人必须提供并加盖电子公章。否则，投标文件将被认定为未实质性响应。</w:t>
      </w:r>
      <w:r/>
    </w:p>
    <w:p>
      <w:pPr>
        <w:pStyle w:val="903"/>
        <w:contextualSpacing/>
        <w:ind w:left="0" w:firstLine="0"/>
        <w:spacing w:after="0" w:line="360" w:lineRule="auto"/>
        <w:rPr>
          <w:rFonts w:ascii="宋体" w:hAnsi="宋体"/>
          <w:sz w:val="24"/>
          <w:szCs w:val="24"/>
        </w:rPr>
      </w:pPr>
      <w:r>
        <w:rPr>
          <w:rFonts w:hint="eastAsia" w:ascii="宋体" w:hAnsi="宋体"/>
          <w:sz w:val="24"/>
          <w:szCs w:val="24"/>
        </w:rPr>
        <w:t xml:space="preserve">12.2.</w:t>
      </w:r>
      <w:r>
        <w:rPr>
          <w:rFonts w:hint="eastAsia" w:ascii="宋体" w:hAnsi="宋体"/>
          <w:sz w:val="24"/>
          <w:szCs w:val="24"/>
        </w:rPr>
        <w:t xml:space="preserve">9</w:t>
      </w:r>
      <w:r>
        <w:rPr>
          <w:rFonts w:hint="eastAsia" w:ascii="宋体" w:hAnsi="宋体"/>
          <w:sz w:val="24"/>
          <w:szCs w:val="24"/>
        </w:rPr>
        <w:t xml:space="preserve"> 提供“2025年以来是否被行业主管部门或市场监督管理部门处以警告、暂停、取消经营资格、罚款等行政处罚或擅自变更、转让、租借定点资格。”的书面声明函；</w:t>
      </w:r>
      <w:r>
        <w:rPr>
          <w:rFonts w:ascii="宋体" w:hAnsi="宋体"/>
          <w:sz w:val="24"/>
          <w:szCs w:val="24"/>
        </w:rPr>
      </w:r>
      <w:r/>
    </w:p>
    <w:p>
      <w:pPr>
        <w:pStyle w:val="895"/>
        <w:contextualSpacing/>
        <w:spacing w:line="360" w:lineRule="auto"/>
        <w:rPr>
          <w:rFonts w:hint="eastAsia" w:ascii="宋体" w:hAnsi="宋体" w:cs="宋体"/>
          <w:b/>
          <w:sz w:val="24"/>
        </w:rPr>
      </w:pPr>
      <w:r>
        <w:rPr>
          <w:rFonts w:hint="eastAsia" w:ascii="宋体" w:hAnsi="宋体" w:cs="宋体"/>
          <w:b/>
          <w:sz w:val="24"/>
        </w:rPr>
        <w:t xml:space="preserve">12.3</w:t>
      </w:r>
      <w:r>
        <w:rPr>
          <w:rFonts w:ascii="宋体" w:hAnsi="宋体"/>
          <w:b/>
          <w:bCs/>
          <w:sz w:val="24"/>
        </w:rPr>
        <w:t xml:space="preserve">技术</w:t>
      </w:r>
      <w:r>
        <w:rPr>
          <w:rFonts w:hint="eastAsia" w:ascii="宋体" w:hAnsi="宋体"/>
          <w:b/>
          <w:bCs/>
          <w:sz w:val="24"/>
        </w:rPr>
        <w:t xml:space="preserve">及履约能力</w:t>
      </w:r>
      <w:r>
        <w:rPr>
          <w:rFonts w:ascii="宋体" w:hAnsi="宋体"/>
          <w:b/>
          <w:bCs/>
          <w:sz w:val="24"/>
        </w:rPr>
        <w:t xml:space="preserve">部分</w:t>
      </w:r>
      <w:r>
        <w:rPr>
          <w:rFonts w:hint="eastAsia" w:ascii="宋体" w:hAnsi="宋体" w:cs="宋体"/>
          <w:b/>
          <w:sz w:val="24"/>
        </w:rPr>
      </w:r>
      <w:r/>
    </w:p>
    <w:p>
      <w:pPr>
        <w:pStyle w:val="895"/>
        <w:contextualSpacing/>
        <w:spacing w:line="360" w:lineRule="auto"/>
        <w:rPr>
          <w:rFonts w:hint="eastAsia" w:ascii="宋体" w:hAnsi="宋体"/>
          <w:sz w:val="24"/>
        </w:rPr>
      </w:pPr>
      <w:r>
        <w:rPr>
          <w:rFonts w:hint="eastAsia" w:ascii="宋体" w:hAnsi="宋体"/>
          <w:sz w:val="24"/>
        </w:rPr>
        <w:t xml:space="preserve">12.3.1关于资格的声明函（格式见附件）</w:t>
      </w:r>
      <w:r/>
    </w:p>
    <w:p>
      <w:pPr>
        <w:pStyle w:val="895"/>
        <w:contextualSpacing/>
        <w:spacing w:line="360" w:lineRule="auto"/>
        <w:rPr>
          <w:rFonts w:ascii="宋体" w:hAnsi="宋体"/>
          <w:sz w:val="24"/>
          <w:szCs w:val="20"/>
        </w:rPr>
      </w:pPr>
      <w:r>
        <w:rPr>
          <w:rFonts w:ascii="宋体" w:hAnsi="宋体"/>
          <w:sz w:val="24"/>
        </w:rPr>
        <w:t xml:space="preserve">12.</w:t>
      </w:r>
      <w:r>
        <w:rPr>
          <w:rFonts w:hint="eastAsia" w:ascii="宋体" w:hAnsi="宋体"/>
          <w:sz w:val="24"/>
        </w:rPr>
        <w:t xml:space="preserve">3</w:t>
      </w:r>
      <w:r>
        <w:rPr>
          <w:rFonts w:ascii="宋体" w:hAnsi="宋体"/>
          <w:sz w:val="24"/>
        </w:rPr>
        <w:t xml:space="preserve">.</w:t>
      </w:r>
      <w:r>
        <w:rPr>
          <w:rFonts w:hint="eastAsia" w:ascii="宋体" w:hAnsi="宋体"/>
          <w:sz w:val="24"/>
        </w:rPr>
        <w:t xml:space="preserve">2</w:t>
      </w:r>
      <w:r>
        <w:rPr>
          <w:rFonts w:ascii="宋体" w:hAnsi="宋体"/>
          <w:sz w:val="24"/>
        </w:rPr>
        <w:t xml:space="preserve"> </w:t>
      </w:r>
      <w:r>
        <w:rPr>
          <w:rFonts w:ascii="宋体" w:hAnsi="宋体"/>
          <w:bCs/>
          <w:sz w:val="24"/>
        </w:rPr>
        <w:t xml:space="preserve">投标服务</w:t>
      </w:r>
      <w:r>
        <w:rPr>
          <w:rFonts w:hint="eastAsia" w:ascii="宋体" w:hAnsi="宋体"/>
          <w:bCs/>
          <w:sz w:val="24"/>
        </w:rPr>
        <w:t xml:space="preserve">方案偏离表（本表不得出现价格）</w:t>
      </w:r>
      <w:r>
        <w:rPr>
          <w:rFonts w:hint="eastAsia" w:ascii="宋体" w:hAnsi="宋体"/>
          <w:sz w:val="24"/>
        </w:rPr>
        <w:t xml:space="preserve">；</w:t>
      </w:r>
      <w:r>
        <w:rPr>
          <w:rFonts w:ascii="宋体" w:hAnsi="宋体"/>
          <w:sz w:val="24"/>
          <w:szCs w:val="20"/>
        </w:rPr>
      </w:r>
      <w:r/>
    </w:p>
    <w:p>
      <w:pPr>
        <w:pStyle w:val="895"/>
        <w:contextualSpacing/>
        <w:spacing w:line="360" w:lineRule="auto"/>
        <w:rPr>
          <w:rFonts w:ascii="宋体" w:hAnsi="宋体"/>
          <w:sz w:val="24"/>
          <w:szCs w:val="20"/>
        </w:rPr>
      </w:pPr>
      <w:r>
        <w:rPr>
          <w:rFonts w:ascii="宋体" w:hAnsi="宋体"/>
          <w:sz w:val="24"/>
        </w:rPr>
        <w:t xml:space="preserve">12.</w:t>
      </w:r>
      <w:r>
        <w:rPr>
          <w:rFonts w:hint="eastAsia" w:ascii="宋体" w:hAnsi="宋体"/>
          <w:sz w:val="24"/>
        </w:rPr>
        <w:t xml:space="preserve">3</w:t>
      </w:r>
      <w:r>
        <w:rPr>
          <w:rFonts w:ascii="宋体" w:hAnsi="宋体"/>
          <w:sz w:val="24"/>
        </w:rPr>
        <w:t xml:space="preserve">.</w:t>
      </w:r>
      <w:r>
        <w:rPr>
          <w:rFonts w:hint="eastAsia" w:ascii="宋体" w:hAnsi="宋体"/>
          <w:sz w:val="24"/>
        </w:rPr>
        <w:t xml:space="preserve">3</w:t>
      </w:r>
      <w:r>
        <w:rPr>
          <w:rFonts w:ascii="宋体" w:hAnsi="宋体"/>
          <w:sz w:val="24"/>
        </w:rPr>
        <w:t xml:space="preserve">对本次投标的详细说明(</w:t>
      </w:r>
      <w:r>
        <w:rPr>
          <w:rFonts w:hint="eastAsia" w:ascii="宋体" w:hAnsi="宋体"/>
          <w:sz w:val="24"/>
        </w:rPr>
        <w:t xml:space="preserve">含服务管理工作的组织设计及达到的标准</w:t>
      </w:r>
      <w:r>
        <w:rPr>
          <w:rFonts w:ascii="宋体" w:hAnsi="宋体"/>
          <w:sz w:val="24"/>
        </w:rPr>
        <w:t xml:space="preserve">详细说明</w:t>
      </w:r>
      <w:r>
        <w:rPr>
          <w:rFonts w:hint="eastAsia" w:ascii="宋体" w:hAnsi="宋体"/>
          <w:sz w:val="24"/>
        </w:rPr>
        <w:t xml:space="preserve">、应急处理预案、人员配备方案等，</w:t>
      </w:r>
      <w:r>
        <w:rPr>
          <w:rFonts w:ascii="宋体" w:hAnsi="宋体"/>
          <w:sz w:val="24"/>
        </w:rPr>
        <w:t xml:space="preserve">投标人视需要自行编写)</w:t>
      </w:r>
      <w:r>
        <w:rPr>
          <w:rFonts w:hint="eastAsia" w:ascii="宋体" w:hAnsi="宋体"/>
          <w:sz w:val="24"/>
        </w:rPr>
        <w:t xml:space="preserve">；</w:t>
      </w:r>
      <w:r>
        <w:rPr>
          <w:rFonts w:ascii="宋体" w:hAnsi="宋体"/>
          <w:sz w:val="24"/>
          <w:szCs w:val="20"/>
        </w:rPr>
      </w:r>
      <w:r/>
    </w:p>
    <w:p>
      <w:pPr>
        <w:pStyle w:val="895"/>
        <w:spacing w:line="360" w:lineRule="auto"/>
        <w:rPr>
          <w:rFonts w:hint="eastAsia" w:ascii="宋体" w:hAnsi="宋体"/>
          <w:sz w:val="24"/>
          <w:szCs w:val="20"/>
        </w:rPr>
      </w:pPr>
      <w:r>
        <w:rPr>
          <w:rFonts w:ascii="宋体" w:hAnsi="宋体"/>
          <w:sz w:val="24"/>
        </w:rPr>
        <w:t xml:space="preserve">12.</w:t>
      </w:r>
      <w:r>
        <w:rPr>
          <w:rFonts w:hint="eastAsia" w:ascii="宋体" w:hAnsi="宋体"/>
          <w:sz w:val="24"/>
        </w:rPr>
        <w:t xml:space="preserve">3</w:t>
      </w:r>
      <w:r>
        <w:rPr>
          <w:rFonts w:ascii="宋体" w:hAnsi="宋体"/>
          <w:sz w:val="24"/>
        </w:rPr>
        <w:t xml:space="preserve">.</w:t>
      </w:r>
      <w:r>
        <w:rPr>
          <w:rFonts w:hint="eastAsia" w:ascii="宋体" w:hAnsi="宋体"/>
          <w:sz w:val="24"/>
        </w:rPr>
        <w:t xml:space="preserve">4</w:t>
      </w:r>
      <w:r>
        <w:rPr>
          <w:rFonts w:ascii="宋体" w:hAnsi="宋体"/>
          <w:sz w:val="24"/>
        </w:rPr>
        <w:t xml:space="preserve"> </w:t>
      </w:r>
      <w:r>
        <w:rPr>
          <w:rFonts w:hint="eastAsia" w:ascii="宋体" w:hAnsi="宋体"/>
          <w:sz w:val="24"/>
        </w:rPr>
        <w:t xml:space="preserve">投标服务的质量保障（证）及技术支持等；</w:t>
      </w:r>
      <w:r>
        <w:rPr>
          <w:rFonts w:hint="eastAsia" w:ascii="宋体" w:hAnsi="宋体"/>
          <w:sz w:val="24"/>
          <w:szCs w:val="20"/>
        </w:rPr>
      </w:r>
      <w:r/>
    </w:p>
    <w:p>
      <w:pPr>
        <w:pStyle w:val="895"/>
        <w:spacing w:line="360" w:lineRule="auto"/>
        <w:rPr>
          <w:rFonts w:hint="eastAsia" w:ascii="宋体" w:hAnsi="宋体"/>
          <w:sz w:val="24"/>
        </w:rPr>
      </w:pPr>
      <w:r>
        <w:rPr>
          <w:rFonts w:hint="eastAsia" w:ascii="宋体" w:hAnsi="宋体"/>
          <w:sz w:val="24"/>
        </w:rPr>
        <w:t xml:space="preserve">12.3.5 </w:t>
      </w:r>
      <w:r>
        <w:rPr>
          <w:rFonts w:ascii="宋体" w:hAnsi="宋体"/>
          <w:sz w:val="24"/>
        </w:rPr>
        <w:t xml:space="preserve">招标</w:t>
      </w:r>
      <w:r>
        <w:rPr>
          <w:rFonts w:hint="eastAsia" w:ascii="宋体" w:hAnsi="宋体"/>
          <w:sz w:val="24"/>
        </w:rPr>
        <w:t xml:space="preserve">代理</w:t>
      </w:r>
      <w:r>
        <w:rPr>
          <w:rFonts w:ascii="宋体" w:hAnsi="宋体"/>
          <w:sz w:val="24"/>
        </w:rPr>
        <w:t xml:space="preserve">人在招标书中要求的</w:t>
      </w:r>
      <w:r>
        <w:rPr>
          <w:rFonts w:hint="eastAsia" w:ascii="宋体" w:hAnsi="宋体"/>
          <w:sz w:val="24"/>
        </w:rPr>
        <w:t xml:space="preserve">相关</w:t>
      </w:r>
      <w:r>
        <w:rPr>
          <w:rFonts w:ascii="宋体" w:hAnsi="宋体"/>
          <w:sz w:val="24"/>
        </w:rPr>
        <w:t xml:space="preserve">证书、文件</w:t>
      </w:r>
      <w:r>
        <w:rPr>
          <w:rFonts w:hint="eastAsia" w:ascii="宋体" w:hAnsi="宋体"/>
          <w:sz w:val="24"/>
        </w:rPr>
        <w:t xml:space="preserve">；</w:t>
      </w:r>
      <w:r/>
    </w:p>
    <w:p>
      <w:pPr>
        <w:pStyle w:val="908"/>
        <w:ind w:firstLine="0"/>
        <w:spacing w:line="360" w:lineRule="auto"/>
        <w:rPr>
          <w:rFonts w:hint="eastAsia" w:ascii="宋体" w:hAnsi="宋体" w:eastAsia="宋体"/>
        </w:rPr>
      </w:pPr>
      <w:r>
        <w:rPr>
          <w:rFonts w:ascii="宋体" w:hAnsi="宋体" w:eastAsia="宋体"/>
        </w:rPr>
        <w:t xml:space="preserve">12.</w:t>
      </w:r>
      <w:r>
        <w:rPr>
          <w:rFonts w:hint="eastAsia" w:ascii="宋体" w:hAnsi="宋体" w:eastAsia="宋体"/>
        </w:rPr>
        <w:t xml:space="preserve">3</w:t>
      </w:r>
      <w:r>
        <w:rPr>
          <w:rFonts w:ascii="宋体" w:hAnsi="宋体" w:eastAsia="宋体"/>
        </w:rPr>
        <w:t xml:space="preserve">.</w:t>
      </w:r>
      <w:r>
        <w:rPr>
          <w:rFonts w:hint="eastAsia" w:ascii="宋体" w:hAnsi="宋体" w:eastAsia="宋体"/>
        </w:rPr>
        <w:t xml:space="preserve">6</w:t>
      </w:r>
      <w:r>
        <w:rPr>
          <w:rFonts w:ascii="宋体" w:hAnsi="宋体" w:eastAsia="宋体"/>
        </w:rPr>
        <w:t xml:space="preserve">其他</w:t>
      </w:r>
      <w:r>
        <w:rPr>
          <w:rFonts w:hint="eastAsia" w:ascii="宋体" w:hAnsi="宋体" w:eastAsia="宋体"/>
        </w:rPr>
        <w:t xml:space="preserve">根据评分标准要求或认为需要提供的</w:t>
      </w:r>
      <w:r>
        <w:rPr>
          <w:rFonts w:ascii="宋体" w:hAnsi="宋体" w:eastAsia="宋体"/>
        </w:rPr>
        <w:t xml:space="preserve">可以证明投标人货物、服务质量</w:t>
      </w:r>
      <w:r>
        <w:rPr>
          <w:rFonts w:hint="eastAsia" w:ascii="宋体" w:hAnsi="宋体" w:eastAsia="宋体"/>
        </w:rPr>
        <w:t xml:space="preserve">、履约能力等</w:t>
      </w:r>
      <w:r>
        <w:rPr>
          <w:rFonts w:ascii="宋体" w:hAnsi="宋体" w:eastAsia="宋体"/>
        </w:rPr>
        <w:t xml:space="preserve">的资料</w:t>
      </w:r>
      <w:r>
        <w:rPr>
          <w:rFonts w:hint="eastAsia" w:ascii="宋体" w:hAnsi="宋体" w:eastAsia="宋体"/>
        </w:rPr>
        <w:t xml:space="preserve">；</w:t>
      </w:r>
      <w:r/>
    </w:p>
    <w:p>
      <w:pPr>
        <w:pStyle w:val="908"/>
        <w:ind w:firstLine="0"/>
        <w:spacing w:line="360" w:lineRule="auto"/>
        <w:rPr>
          <w:rFonts w:hint="eastAsia" w:ascii="宋体" w:hAnsi="宋体" w:cs="宋体"/>
          <w:b/>
        </w:rPr>
      </w:pPr>
      <w:r>
        <w:rPr>
          <w:rFonts w:hint="eastAsia" w:ascii="宋体" w:hAnsi="宋体" w:eastAsia="宋体"/>
        </w:rPr>
        <w:t xml:space="preserve">12.3.7</w:t>
      </w:r>
      <w:r>
        <w:rPr>
          <w:rFonts w:hint="eastAsia" w:ascii="宋体" w:hAnsi="宋体" w:eastAsia="宋体"/>
          <w:bCs/>
        </w:rPr>
        <w:t xml:space="preserve">根据《评标方法、评分标准》编制的“评标索引”</w:t>
      </w:r>
      <w:r>
        <w:rPr>
          <w:rFonts w:hint="eastAsia" w:ascii="宋体" w:hAnsi="宋体" w:eastAsia="宋体"/>
          <w:b/>
        </w:rPr>
        <w:t xml:space="preserve">。</w:t>
      </w:r>
      <w:r>
        <w:rPr>
          <w:rFonts w:hint="eastAsia" w:ascii="宋体" w:hAnsi="宋体" w:cs="宋体"/>
          <w:b/>
        </w:rPr>
      </w:r>
      <w:r/>
    </w:p>
    <w:p>
      <w:pPr>
        <w:pStyle w:val="895"/>
        <w:spacing w:line="360" w:lineRule="auto"/>
        <w:rPr>
          <w:rFonts w:hint="eastAsia" w:ascii="宋体" w:hAnsi="宋体" w:cs="宋体"/>
          <w:b/>
          <w:sz w:val="24"/>
        </w:rPr>
      </w:pPr>
      <w:r>
        <w:rPr>
          <w:rFonts w:ascii="宋体" w:hAnsi="宋体"/>
          <w:b/>
          <w:sz w:val="24"/>
          <w:szCs w:val="20"/>
        </w:rPr>
        <w:t xml:space="preserve">12.</w:t>
      </w:r>
      <w:r>
        <w:rPr>
          <w:rFonts w:hint="eastAsia" w:ascii="宋体" w:hAnsi="宋体"/>
          <w:b/>
          <w:sz w:val="24"/>
          <w:szCs w:val="20"/>
        </w:rPr>
        <w:t xml:space="preserve">3</w:t>
      </w:r>
      <w:r>
        <w:rPr>
          <w:rFonts w:ascii="宋体" w:hAnsi="宋体"/>
          <w:b/>
          <w:sz w:val="24"/>
          <w:szCs w:val="20"/>
        </w:rPr>
        <w:t xml:space="preserve">.</w:t>
      </w:r>
      <w:r>
        <w:rPr>
          <w:rFonts w:hint="eastAsia" w:ascii="宋体" w:hAnsi="宋体"/>
          <w:b/>
          <w:sz w:val="24"/>
          <w:szCs w:val="20"/>
        </w:rPr>
        <w:t xml:space="preserve">8</w:t>
      </w:r>
      <w:r>
        <w:rPr>
          <w:rFonts w:ascii="宋体" w:hAnsi="宋体"/>
          <w:b/>
          <w:sz w:val="24"/>
          <w:szCs w:val="20"/>
        </w:rPr>
        <w:t xml:space="preserve">投标人必须提交</w:t>
      </w:r>
      <w:r>
        <w:rPr>
          <w:rFonts w:hint="eastAsia" w:ascii="宋体" w:hAnsi="宋体"/>
          <w:b/>
          <w:sz w:val="24"/>
          <w:szCs w:val="20"/>
        </w:rPr>
        <w:t xml:space="preserve"> “12.3.1-</w:t>
      </w:r>
      <w:r>
        <w:rPr>
          <w:rFonts w:ascii="宋体" w:hAnsi="宋体"/>
          <w:b/>
          <w:sz w:val="24"/>
          <w:szCs w:val="20"/>
        </w:rPr>
        <w:t xml:space="preserve">12.</w:t>
      </w:r>
      <w:r>
        <w:rPr>
          <w:rFonts w:hint="eastAsia" w:ascii="宋体" w:hAnsi="宋体"/>
          <w:b/>
          <w:sz w:val="24"/>
          <w:szCs w:val="20"/>
        </w:rPr>
        <w:t xml:space="preserve">3</w:t>
      </w:r>
      <w:r>
        <w:rPr>
          <w:rFonts w:ascii="宋体" w:hAnsi="宋体"/>
          <w:b/>
          <w:sz w:val="24"/>
          <w:szCs w:val="20"/>
        </w:rPr>
        <w:t xml:space="preserve">.</w:t>
      </w:r>
      <w:r>
        <w:rPr>
          <w:rFonts w:hint="eastAsia" w:ascii="宋体" w:hAnsi="宋体"/>
          <w:b/>
          <w:sz w:val="24"/>
          <w:szCs w:val="20"/>
        </w:rPr>
        <w:t xml:space="preserve">2</w:t>
      </w:r>
      <w:r>
        <w:rPr>
          <w:rFonts w:ascii="宋体" w:hAnsi="宋体"/>
          <w:b/>
          <w:sz w:val="24"/>
          <w:szCs w:val="20"/>
        </w:rPr>
        <w:t xml:space="preserve">”款规定的资料，</w:t>
      </w:r>
      <w:r>
        <w:rPr>
          <w:rFonts w:hint="eastAsia" w:ascii="宋体" w:hAnsi="宋体"/>
          <w:b/>
          <w:sz w:val="24"/>
          <w:szCs w:val="20"/>
        </w:rPr>
        <w:t xml:space="preserve">否则，将被认定为未实质性投标招标文件要求。</w:t>
      </w:r>
      <w:r>
        <w:rPr>
          <w:rFonts w:hint="eastAsia" w:ascii="宋体" w:hAnsi="宋体" w:cs="宋体"/>
          <w:b/>
          <w:sz w:val="24"/>
        </w:rPr>
      </w:r>
      <w:r/>
    </w:p>
    <w:p>
      <w:pPr>
        <w:pStyle w:val="908"/>
        <w:ind w:left="1" w:firstLine="0"/>
        <w:spacing w:line="360" w:lineRule="auto"/>
        <w:rPr>
          <w:rFonts w:hint="eastAsia" w:ascii="宋体" w:hAnsi="宋体" w:eastAsia="宋体"/>
        </w:rPr>
      </w:pPr>
      <w:r>
        <w:rPr>
          <w:rFonts w:ascii="宋体" w:hAnsi="宋体" w:eastAsia="宋体"/>
        </w:rPr>
        <w:t xml:space="preserve">12.</w:t>
      </w:r>
      <w:r>
        <w:rPr>
          <w:rFonts w:hint="eastAsia" w:ascii="宋体" w:hAnsi="宋体" w:eastAsia="宋体"/>
        </w:rPr>
        <w:t xml:space="preserve">3</w:t>
      </w:r>
      <w:r>
        <w:rPr>
          <w:rFonts w:ascii="宋体" w:hAnsi="宋体" w:eastAsia="宋体"/>
        </w:rPr>
        <w:t xml:space="preserve">.</w:t>
      </w:r>
      <w:r>
        <w:rPr>
          <w:rFonts w:hint="eastAsia" w:ascii="宋体" w:hAnsi="宋体" w:eastAsia="宋体"/>
        </w:rPr>
        <w:t xml:space="preserve">9投标文件由“</w:t>
      </w:r>
      <w:r>
        <w:rPr>
          <w:rFonts w:ascii="宋体" w:hAnsi="宋体" w:eastAsia="宋体"/>
        </w:rPr>
        <w:t xml:space="preserve">12.1</w:t>
      </w:r>
      <w:r>
        <w:rPr>
          <w:rFonts w:hint="eastAsia" w:ascii="宋体" w:hAnsi="宋体" w:eastAsia="宋体"/>
        </w:rPr>
        <w:t xml:space="preserve">”</w:t>
      </w:r>
      <w:r>
        <w:rPr>
          <w:rFonts w:ascii="宋体" w:hAnsi="宋体" w:eastAsia="宋体"/>
        </w:rPr>
        <w:t xml:space="preserve">、</w:t>
      </w:r>
      <w:r>
        <w:rPr>
          <w:rFonts w:hint="eastAsia" w:ascii="宋体" w:hAnsi="宋体" w:eastAsia="宋体"/>
        </w:rPr>
        <w:t xml:space="preserve">“</w:t>
      </w:r>
      <w:r>
        <w:rPr>
          <w:rFonts w:ascii="宋体" w:hAnsi="宋体" w:eastAsia="宋体"/>
        </w:rPr>
        <w:t xml:space="preserve">12.2</w:t>
      </w:r>
      <w:r>
        <w:rPr>
          <w:rFonts w:hint="eastAsia" w:ascii="宋体" w:hAnsi="宋体" w:eastAsia="宋体"/>
        </w:rPr>
        <w:t xml:space="preserve">”、“</w:t>
      </w:r>
      <w:r>
        <w:rPr>
          <w:rFonts w:ascii="宋体" w:hAnsi="宋体" w:eastAsia="宋体"/>
        </w:rPr>
        <w:t xml:space="preserve">12.</w:t>
      </w:r>
      <w:r>
        <w:rPr>
          <w:rFonts w:hint="eastAsia" w:ascii="宋体" w:hAnsi="宋体" w:eastAsia="宋体"/>
        </w:rPr>
        <w:t xml:space="preserve">3”</w:t>
      </w:r>
      <w:r>
        <w:rPr>
          <w:rFonts w:ascii="宋体" w:hAnsi="宋体" w:eastAsia="宋体"/>
        </w:rPr>
        <w:t xml:space="preserve">款规定的内容共同组成</w:t>
      </w:r>
      <w:r>
        <w:rPr>
          <w:rFonts w:hint="eastAsia" w:ascii="宋体" w:hAnsi="宋体" w:eastAsia="宋体"/>
        </w:rPr>
        <w:t xml:space="preserve">，其中，必须提交的资料不可缺少，否则，将被认定为未实质性响应招标文件要求。投标人所提交的文件完整与否，将直接影响投标人的评分。</w:t>
      </w:r>
      <w:r/>
    </w:p>
    <w:p>
      <w:pPr>
        <w:pStyle w:val="895"/>
        <w:spacing w:line="360" w:lineRule="auto"/>
        <w:rPr>
          <w:rFonts w:hint="eastAsia" w:ascii="宋体" w:hAnsi="宋体" w:cs="宋体"/>
          <w:b/>
          <w:sz w:val="24"/>
        </w:rPr>
      </w:pPr>
      <w:r>
        <w:rPr>
          <w:rFonts w:hint="eastAsia" w:ascii="宋体" w:hAnsi="宋体" w:cs="宋体"/>
          <w:b/>
          <w:sz w:val="24"/>
        </w:rPr>
        <w:t xml:space="preserve">12.4制作电子投标文件时请与投标文件制作软件目录一 一对应，将相关资料上传至相应模块。投标人应保证上传的投标文件完整、清晰可辨认，若因上传资料过小或模糊不清等无法辨认的都视为该资料未提供。</w:t>
      </w:r>
      <w:r/>
    </w:p>
    <w:p>
      <w:pPr>
        <w:pStyle w:val="895"/>
        <w:spacing w:line="360" w:lineRule="auto"/>
        <w:rPr>
          <w:rFonts w:ascii="宋体" w:hAnsi="宋体"/>
          <w:b/>
          <w:sz w:val="24"/>
          <w:szCs w:val="20"/>
        </w:rPr>
      </w:pPr>
      <w:r>
        <w:rPr>
          <w:rFonts w:hint="eastAsia" w:ascii="宋体" w:hAnsi="宋体"/>
          <w:b/>
          <w:sz w:val="24"/>
        </w:rPr>
        <w:t xml:space="preserve">13. 投标文件编制说明</w:t>
      </w:r>
      <w:r>
        <w:rPr>
          <w:rFonts w:ascii="宋体" w:hAnsi="宋体"/>
          <w:b/>
          <w:sz w:val="24"/>
          <w:szCs w:val="20"/>
        </w:rPr>
      </w:r>
      <w:r/>
    </w:p>
    <w:p>
      <w:pPr>
        <w:pStyle w:val="895"/>
        <w:spacing w:line="360" w:lineRule="auto"/>
        <w:rPr>
          <w:rFonts w:ascii="宋体" w:hAnsi="宋体"/>
          <w:sz w:val="24"/>
          <w:szCs w:val="20"/>
        </w:rPr>
      </w:pPr>
      <w:r>
        <w:rPr>
          <w:rFonts w:ascii="宋体" w:hAnsi="宋体"/>
          <w:sz w:val="24"/>
        </w:rPr>
        <w:t xml:space="preserve">13.1  </w:t>
      </w:r>
      <w:r>
        <w:rPr>
          <w:rFonts w:hint="eastAsia" w:ascii="宋体" w:hAnsi="宋体"/>
          <w:sz w:val="24"/>
        </w:rPr>
        <w:t xml:space="preserve">投标文件按序编写。</w:t>
      </w:r>
      <w:r>
        <w:rPr>
          <w:rFonts w:ascii="宋体" w:hAnsi="宋体"/>
          <w:sz w:val="24"/>
          <w:szCs w:val="20"/>
        </w:rPr>
      </w:r>
      <w:r/>
    </w:p>
    <w:p>
      <w:pPr>
        <w:pStyle w:val="895"/>
        <w:spacing w:line="360" w:lineRule="auto"/>
        <w:rPr>
          <w:rFonts w:ascii="宋体" w:hAnsi="宋体"/>
          <w:sz w:val="24"/>
          <w:szCs w:val="20"/>
        </w:rPr>
      </w:pPr>
      <w:r>
        <w:rPr>
          <w:rFonts w:ascii="宋体" w:hAnsi="宋体"/>
          <w:sz w:val="24"/>
        </w:rPr>
        <w:t xml:space="preserve">13.2  </w:t>
      </w:r>
      <w:r>
        <w:rPr>
          <w:rFonts w:hint="eastAsia" w:ascii="宋体" w:hAnsi="宋体"/>
          <w:sz w:val="24"/>
        </w:rPr>
        <w:t xml:space="preserve">开标一览表为在开标仪式上唱标的内容，要求按格式填写，统一规范，不得自行增减内容。</w:t>
      </w:r>
      <w:r>
        <w:rPr>
          <w:rFonts w:ascii="宋体" w:hAnsi="宋体"/>
          <w:sz w:val="24"/>
          <w:szCs w:val="20"/>
        </w:rPr>
      </w:r>
      <w:r/>
    </w:p>
    <w:p>
      <w:pPr>
        <w:pStyle w:val="895"/>
        <w:spacing w:line="360" w:lineRule="auto"/>
        <w:rPr>
          <w:rFonts w:ascii="宋体" w:hAnsi="宋体"/>
          <w:b/>
          <w:sz w:val="24"/>
          <w:szCs w:val="20"/>
        </w:rPr>
      </w:pPr>
      <w:r>
        <w:rPr>
          <w:rFonts w:hint="eastAsia" w:ascii="宋体" w:hAnsi="宋体"/>
          <w:b/>
          <w:sz w:val="24"/>
        </w:rPr>
        <w:t xml:space="preserve">14. </w:t>
      </w:r>
      <w:r>
        <w:rPr>
          <w:rFonts w:hint="eastAsia" w:ascii="宋体" w:hAnsi="宋体" w:cs="宋体"/>
          <w:b/>
          <w:sz w:val="24"/>
        </w:rPr>
        <w:t xml:space="preserve">投标文件的制作、签署、上传</w:t>
      </w:r>
      <w:r>
        <w:rPr>
          <w:rFonts w:ascii="宋体" w:hAnsi="宋体"/>
          <w:b/>
          <w:sz w:val="24"/>
        </w:rPr>
        <w:t xml:space="preserve"> </w:t>
      </w:r>
      <w:r>
        <w:rPr>
          <w:rFonts w:ascii="宋体" w:hAnsi="宋体"/>
          <w:b/>
          <w:sz w:val="24"/>
          <w:szCs w:val="20"/>
        </w:rPr>
      </w:r>
      <w:r/>
    </w:p>
    <w:p>
      <w:pPr>
        <w:pStyle w:val="895"/>
        <w:spacing w:line="360" w:lineRule="auto"/>
        <w:rPr>
          <w:rFonts w:hint="eastAsia" w:ascii="宋体" w:hAnsi="宋体"/>
          <w:sz w:val="24"/>
        </w:rPr>
      </w:pPr>
      <w:r>
        <w:rPr>
          <w:rFonts w:ascii="宋体" w:hAnsi="宋体"/>
          <w:sz w:val="24"/>
        </w:rPr>
        <w:t xml:space="preserve">14.1  </w:t>
      </w:r>
      <w:r>
        <w:rPr>
          <w:rFonts w:hint="eastAsia" w:ascii="宋体" w:hAnsi="宋体"/>
          <w:sz w:val="24"/>
        </w:rPr>
        <w:t xml:space="preserve">对本次投标的详细说明由投标人视各自的情况自行编制，相关证明材料，附于正文之后，编目编码上传。</w:t>
      </w:r>
      <w:r/>
    </w:p>
    <w:p>
      <w:pPr>
        <w:pStyle w:val="895"/>
        <w:spacing w:line="360" w:lineRule="auto"/>
        <w:rPr>
          <w:rFonts w:hint="eastAsia" w:ascii="宋体" w:hAnsi="宋体" w:cs="宋体"/>
          <w:sz w:val="24"/>
        </w:rPr>
      </w:pPr>
      <w:r>
        <w:rPr>
          <w:rFonts w:hint="eastAsia" w:ascii="宋体" w:hAnsi="宋体" w:cs="宋体"/>
          <w:bCs/>
          <w:sz w:val="24"/>
        </w:rPr>
        <w:t xml:space="preserve">14.2</w:t>
      </w:r>
      <w:r>
        <w:rPr>
          <w:rFonts w:hint="eastAsia" w:ascii="宋体" w:hAnsi="宋体" w:cs="宋体"/>
          <w:sz w:val="24"/>
        </w:rPr>
        <w:t xml:space="preserve">本项目采用电子招投标形式，请供应商按照《苏采云系统供应商操作手册》进行制作、上传电子投标文件。</w:t>
      </w:r>
      <w:r/>
    </w:p>
    <w:p>
      <w:pPr>
        <w:pStyle w:val="895"/>
        <w:spacing w:line="360" w:lineRule="auto"/>
        <w:rPr>
          <w:rFonts w:hint="eastAsia" w:ascii="宋体" w:hAnsi="宋体" w:cs="宋体"/>
          <w:sz w:val="24"/>
        </w:rPr>
      </w:pPr>
      <w:r>
        <w:rPr>
          <w:rFonts w:hint="eastAsia" w:ascii="宋体" w:hAnsi="宋体" w:cs="宋体"/>
          <w:sz w:val="24"/>
        </w:rPr>
        <w:t xml:space="preserve">14.3制作电子投标文件时，应按照招标文件要求加盖投标人电子公章。</w:t>
      </w:r>
      <w:r>
        <w:rPr>
          <w:rFonts w:hint="eastAsia" w:ascii="宋体" w:hAnsi="宋体" w:cs="宋体"/>
          <w:sz w:val="24"/>
          <w:lang w:val="zh-CN"/>
        </w:rPr>
        <w:t xml:space="preserve">需要法定代表人或代理人盖章或签名的文件必须按要求</w:t>
      </w:r>
      <w:r>
        <w:rPr>
          <w:rFonts w:hint="eastAsia" w:ascii="宋体" w:hAnsi="宋体" w:cs="宋体"/>
          <w:sz w:val="24"/>
        </w:rPr>
        <w:t xml:space="preserve">进行</w:t>
      </w:r>
      <w:r>
        <w:rPr>
          <w:rFonts w:hint="eastAsia" w:ascii="宋体" w:hAnsi="宋体" w:cs="宋体"/>
          <w:sz w:val="24"/>
          <w:lang w:val="zh-CN"/>
        </w:rPr>
        <w:t xml:space="preserve">电子签章或签名。</w:t>
      </w:r>
      <w:r>
        <w:rPr>
          <w:rFonts w:hint="eastAsia" w:ascii="宋体" w:hAnsi="宋体" w:cs="宋体"/>
          <w:sz w:val="24"/>
        </w:rPr>
      </w:r>
      <w:r/>
    </w:p>
    <w:p>
      <w:pPr>
        <w:pStyle w:val="895"/>
        <w:spacing w:line="360" w:lineRule="auto"/>
        <w:rPr>
          <w:rFonts w:hint="eastAsia" w:ascii="宋体" w:hAnsi="宋体" w:cs="宋体"/>
          <w:sz w:val="24"/>
        </w:rPr>
      </w:pPr>
      <w:r>
        <w:rPr>
          <w:rFonts w:hint="eastAsia" w:ascii="宋体" w:hAnsi="宋体" w:cs="宋体"/>
          <w:sz w:val="24"/>
        </w:rPr>
        <w:t xml:space="preserve">14.4电子投标文件制作完成后请于投标文件网上提交截止时间前成功上传至“苏采云”系统，否则视为放弃参加该采购项目。</w:t>
      </w:r>
      <w:bookmarkStart w:id="72" w:name="_Toc31150"/>
      <w:r/>
      <w:bookmarkStart w:id="73" w:name="_Toc25608"/>
      <w:r>
        <w:rPr>
          <w:rFonts w:hint="eastAsia" w:ascii="宋体" w:hAnsi="宋体" w:cs="宋体"/>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72"/>
      <w:r/>
      <w:bookmarkEnd w:id="73"/>
      <w:r>
        <w:rPr>
          <w:rFonts w:hint="eastAsia" w:ascii="宋体" w:hAnsi="宋体" w:cs="宋体"/>
          <w:sz w:val="24"/>
        </w:rPr>
      </w:r>
      <w:r/>
    </w:p>
    <w:p>
      <w:pPr>
        <w:pStyle w:val="895"/>
        <w:spacing w:line="360" w:lineRule="auto"/>
        <w:rPr>
          <w:rFonts w:hint="eastAsia" w:ascii="宋体" w:hAnsi="宋体" w:cs="宋体"/>
          <w:sz w:val="24"/>
        </w:rPr>
      </w:pPr>
      <w:r>
        <w:rPr>
          <w:rFonts w:hint="eastAsia" w:ascii="宋体" w:hAnsi="宋体" w:cs="宋体"/>
          <w:sz w:val="24"/>
        </w:rPr>
        <w:t xml:space="preserve">14.5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895"/>
        <w:spacing w:line="360" w:lineRule="auto"/>
        <w:rPr>
          <w:rFonts w:hint="eastAsia" w:ascii="宋体" w:hAnsi="宋体" w:cs="宋体"/>
          <w:sz w:val="24"/>
        </w:rPr>
      </w:pPr>
      <w:r>
        <w:rPr>
          <w:rFonts w:hint="eastAsia" w:ascii="宋体" w:hAnsi="宋体" w:cs="宋体"/>
          <w:sz w:val="24"/>
        </w:rPr>
        <w:t xml:space="preserve">14.6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pStyle w:val="895"/>
        <w:spacing w:line="360" w:lineRule="auto"/>
        <w:rPr>
          <w:rFonts w:ascii="宋体" w:hAnsi="宋体"/>
          <w:b/>
          <w:sz w:val="24"/>
          <w:szCs w:val="20"/>
        </w:rPr>
      </w:pPr>
      <w:r>
        <w:rPr>
          <w:rFonts w:hint="eastAsia" w:ascii="宋体" w:hAnsi="宋体"/>
          <w:b/>
          <w:sz w:val="24"/>
        </w:rPr>
        <w:t xml:space="preserve">15. 投标报价</w:t>
      </w:r>
      <w:r>
        <w:rPr>
          <w:rFonts w:ascii="宋体" w:hAnsi="宋体"/>
          <w:b/>
          <w:sz w:val="24"/>
          <w:szCs w:val="20"/>
        </w:rPr>
      </w:r>
      <w:r/>
    </w:p>
    <w:p>
      <w:pPr>
        <w:pStyle w:val="908"/>
        <w:ind w:firstLine="0"/>
        <w:spacing w:line="360" w:lineRule="auto"/>
        <w:rPr>
          <w:rFonts w:ascii="宋体" w:hAnsi="宋体" w:eastAsia="宋体"/>
        </w:rPr>
      </w:pPr>
      <w:r>
        <w:rPr>
          <w:rFonts w:ascii="宋体" w:hAnsi="宋体" w:eastAsia="宋体"/>
        </w:rPr>
        <w:t xml:space="preserve">15.1  </w:t>
      </w:r>
      <w:r>
        <w:rPr>
          <w:rFonts w:hint="eastAsia" w:ascii="宋体" w:hAnsi="宋体" w:eastAsia="宋体"/>
        </w:rPr>
        <w:t xml:space="preserve">除非合同中另有规定，投标人对本次招标的全部货物和服务进行报价，应包括货物或劳务、运输、管理、安装、维护、保险、利润、税金、招标代理服务费、政策性文件规定及合同包含的所有风险、责任等各项应有费用。</w:t>
      </w:r>
      <w:r>
        <w:rPr>
          <w:rFonts w:ascii="宋体" w:hAnsi="宋体" w:eastAsia="宋体"/>
        </w:rPr>
      </w:r>
      <w:r/>
    </w:p>
    <w:p>
      <w:pPr>
        <w:pStyle w:val="908"/>
        <w:ind w:firstLine="0"/>
        <w:spacing w:line="360" w:lineRule="auto"/>
        <w:rPr>
          <w:rFonts w:ascii="宋体" w:hAnsi="宋体" w:eastAsia="宋体"/>
        </w:rPr>
      </w:pPr>
      <w:r>
        <w:rPr>
          <w:rFonts w:ascii="宋体" w:hAnsi="宋体" w:eastAsia="宋体"/>
        </w:rPr>
        <w:t xml:space="preserve">15.2  </w:t>
      </w:r>
      <w:r>
        <w:rPr>
          <w:rFonts w:hint="eastAsia" w:ascii="宋体" w:hAnsi="宋体" w:eastAsia="宋体"/>
        </w:rPr>
        <w:t xml:space="preserve">投标人应按《投标分项报价明细表》</w:t>
      </w:r>
      <w:r>
        <w:rPr>
          <w:rFonts w:ascii="宋体" w:hAnsi="宋体" w:eastAsia="宋体"/>
        </w:rPr>
        <w:t xml:space="preserve"> </w:t>
      </w:r>
      <w:r>
        <w:rPr>
          <w:rFonts w:hint="eastAsia" w:ascii="宋体" w:hAnsi="宋体" w:eastAsia="宋体"/>
        </w:rPr>
        <w:t xml:space="preserve">中的全部货物和服务计算单价和总价。《投标分项报价明细表》</w:t>
      </w:r>
      <w:r>
        <w:rPr>
          <w:rFonts w:ascii="宋体" w:hAnsi="宋体" w:eastAsia="宋体"/>
        </w:rPr>
        <w:t xml:space="preserve">中的每一单项均应计算并填写单价和总价，</w:t>
      </w:r>
      <w:r>
        <w:rPr>
          <w:rFonts w:hint="eastAsia" w:ascii="宋体" w:hAnsi="宋体" w:eastAsia="宋体"/>
        </w:rPr>
        <w:t xml:space="preserve">且总价应和《开标一览表》一致，并由法定代表人或被授权人签署。</w:t>
      </w:r>
      <w:r>
        <w:rPr>
          <w:rFonts w:ascii="宋体" w:hAnsi="宋体" w:eastAsia="宋体"/>
        </w:rPr>
      </w:r>
      <w:r/>
    </w:p>
    <w:p>
      <w:pPr>
        <w:pStyle w:val="908"/>
        <w:ind w:firstLine="0"/>
        <w:spacing w:line="360" w:lineRule="auto"/>
        <w:rPr>
          <w:rFonts w:ascii="宋体" w:hAnsi="宋体" w:eastAsia="宋体"/>
        </w:rPr>
      </w:pPr>
      <w:r>
        <w:rPr>
          <w:rFonts w:ascii="宋体" w:hAnsi="宋体" w:eastAsia="宋体"/>
        </w:rPr>
        <w:t xml:space="preserve">15.3  </w:t>
      </w:r>
      <w:r>
        <w:rPr>
          <w:rFonts w:hint="eastAsia" w:ascii="宋体" w:hAnsi="宋体" w:eastAsia="宋体"/>
        </w:rPr>
        <w:t xml:space="preserve">投标人应对招标文件内所要采购的全部内容进行报价，只投其中部分内容者，其标书将被拒绝。但如果招标文件要求分标段投标的，则投标人可以根据自己经营许可内容有选择地只投其中一个或几个标段，也可以投全部标段，但各标段应分别计算填写单价和总价。</w:t>
      </w:r>
      <w:r>
        <w:rPr>
          <w:rFonts w:ascii="宋体" w:hAnsi="宋体" w:eastAsia="宋体"/>
        </w:rPr>
      </w:r>
      <w:r/>
    </w:p>
    <w:p>
      <w:pPr>
        <w:pStyle w:val="908"/>
        <w:ind w:firstLine="0"/>
        <w:spacing w:line="360" w:lineRule="auto"/>
        <w:rPr>
          <w:rFonts w:ascii="宋体" w:hAnsi="宋体" w:eastAsia="宋体"/>
        </w:rPr>
      </w:pPr>
      <w:r>
        <w:rPr>
          <w:rFonts w:ascii="宋体" w:hAnsi="宋体" w:eastAsia="宋体"/>
        </w:rPr>
        <w:t xml:space="preserve">15.4 一项投标内容只允许一个报价，招标</w:t>
      </w:r>
      <w:r>
        <w:rPr>
          <w:rFonts w:hint="eastAsia" w:ascii="宋体" w:hAnsi="宋体" w:eastAsia="宋体"/>
        </w:rPr>
        <w:t xml:space="preserve">代理</w:t>
      </w:r>
      <w:r>
        <w:rPr>
          <w:rFonts w:ascii="宋体" w:hAnsi="宋体" w:eastAsia="宋体"/>
        </w:rPr>
        <w:t xml:space="preserve">人不接受任何有选择性的投标报价。</w:t>
      </w:r>
      <w:r/>
    </w:p>
    <w:p>
      <w:pPr>
        <w:pStyle w:val="908"/>
        <w:ind w:firstLine="0"/>
        <w:spacing w:line="360" w:lineRule="auto"/>
        <w:rPr>
          <w:rFonts w:ascii="宋体" w:hAnsi="宋体" w:eastAsia="宋体"/>
        </w:rPr>
      </w:pPr>
      <w:r>
        <w:rPr>
          <w:rFonts w:hint="eastAsia" w:ascii="宋体" w:hAnsi="宋体" w:eastAsia="宋体"/>
        </w:rPr>
        <w:t xml:space="preserve">15.5投标文件报价中的单价和总价全部采用人民币表示，除非合同的特殊条款另有规定。</w:t>
      </w:r>
      <w:r>
        <w:rPr>
          <w:rFonts w:ascii="宋体" w:hAnsi="宋体" w:eastAsia="宋体"/>
        </w:rPr>
      </w:r>
      <w:r/>
    </w:p>
    <w:p>
      <w:pPr>
        <w:pStyle w:val="908"/>
        <w:ind w:firstLine="0"/>
        <w:spacing w:line="360" w:lineRule="auto"/>
        <w:rPr>
          <w:rFonts w:ascii="宋体" w:hAnsi="宋体" w:eastAsia="宋体"/>
        </w:rPr>
      </w:pPr>
      <w:r>
        <w:rPr>
          <w:rFonts w:hint="eastAsia" w:ascii="宋体" w:hAnsi="宋体" w:eastAsia="宋体"/>
        </w:rPr>
        <w:t xml:space="preserve">15.6最低报价不能作为中标的保证。</w:t>
      </w:r>
      <w:r>
        <w:rPr>
          <w:rFonts w:ascii="宋体" w:hAnsi="宋体" w:eastAsia="宋体"/>
        </w:rPr>
      </w:r>
      <w:r/>
    </w:p>
    <w:p>
      <w:pPr>
        <w:pStyle w:val="895"/>
        <w:spacing w:line="360" w:lineRule="auto"/>
        <w:rPr>
          <w:rFonts w:ascii="宋体" w:hAnsi="宋体"/>
          <w:b/>
          <w:sz w:val="24"/>
          <w:szCs w:val="20"/>
        </w:rPr>
      </w:pPr>
      <w:r>
        <w:rPr>
          <w:rFonts w:hint="eastAsia" w:ascii="宋体" w:hAnsi="宋体"/>
          <w:b/>
          <w:sz w:val="24"/>
        </w:rPr>
        <w:t xml:space="preserve">16. 投标保证金</w:t>
      </w:r>
      <w:r>
        <w:rPr>
          <w:rFonts w:ascii="宋体" w:hAnsi="宋体"/>
          <w:b/>
          <w:sz w:val="24"/>
          <w:szCs w:val="20"/>
        </w:rPr>
      </w:r>
      <w:r/>
    </w:p>
    <w:p>
      <w:pPr>
        <w:pStyle w:val="895"/>
        <w:spacing w:line="360" w:lineRule="auto"/>
      </w:pPr>
      <w:r>
        <w:rPr>
          <w:rFonts w:ascii="宋体" w:hAnsi="宋体" w:cs="宋体"/>
          <w:sz w:val="24"/>
        </w:rPr>
        <w:t xml:space="preserve">16.1 </w:t>
      </w:r>
      <w:r>
        <w:rPr>
          <w:rFonts w:hint="eastAsia" w:ascii="宋体" w:hAnsi="宋体" w:cs="宋体"/>
          <w:sz w:val="24"/>
        </w:rPr>
        <w:t xml:space="preserve">本项目不收取投标保证金，但需提供《</w:t>
      </w:r>
      <w:r>
        <w:rPr>
          <w:rFonts w:hint="eastAsia" w:ascii="宋体" w:hAnsi="宋体"/>
          <w:bCs/>
          <w:sz w:val="24"/>
        </w:rPr>
        <w:t xml:space="preserve">投标承诺函》（格式见附件）</w:t>
      </w:r>
      <w:r>
        <w:rPr>
          <w:rFonts w:hint="eastAsia" w:ascii="宋体" w:hAnsi="宋体" w:cs="宋体"/>
          <w:sz w:val="24"/>
        </w:rPr>
        <w:t xml:space="preserve">。</w:t>
      </w:r>
      <w:r>
        <w:rPr>
          <w:rFonts w:ascii="宋体" w:hAnsi="宋体" w:cs="宋体"/>
          <w:sz w:val="24"/>
        </w:rPr>
        <w:t xml:space="preserve"> </w:t>
      </w:r>
      <w:r/>
    </w:p>
    <w:p>
      <w:pPr>
        <w:pStyle w:val="895"/>
        <w:spacing w:line="360" w:lineRule="auto"/>
        <w:rPr>
          <w:rFonts w:ascii="宋体" w:hAnsi="宋体"/>
          <w:b/>
          <w:sz w:val="24"/>
          <w:szCs w:val="20"/>
        </w:rPr>
      </w:pPr>
      <w:r>
        <w:rPr>
          <w:rFonts w:hint="eastAsia" w:ascii="宋体" w:hAnsi="宋体"/>
          <w:b/>
          <w:sz w:val="24"/>
        </w:rPr>
        <w:t xml:space="preserve">17. 投标文件的有效期</w:t>
      </w:r>
      <w:r>
        <w:rPr>
          <w:rFonts w:ascii="宋体" w:hAnsi="宋体"/>
          <w:b/>
          <w:sz w:val="24"/>
          <w:szCs w:val="20"/>
        </w:rPr>
      </w:r>
      <w:r/>
    </w:p>
    <w:p>
      <w:pPr>
        <w:pStyle w:val="895"/>
        <w:spacing w:line="360" w:lineRule="auto"/>
        <w:rPr>
          <w:rFonts w:ascii="宋体" w:hAnsi="宋体"/>
          <w:sz w:val="24"/>
          <w:szCs w:val="20"/>
        </w:rPr>
      </w:pPr>
      <w:r>
        <w:rPr>
          <w:rFonts w:ascii="宋体" w:hAnsi="宋体"/>
          <w:b/>
          <w:sz w:val="24"/>
        </w:rPr>
        <w:t xml:space="preserve">17.1  </w:t>
      </w:r>
      <w:r>
        <w:rPr>
          <w:rFonts w:hint="eastAsia" w:ascii="宋体" w:hAnsi="宋体"/>
          <w:b/>
          <w:sz w:val="24"/>
        </w:rPr>
        <w:t xml:space="preserve">自开标日起90天，投标书应保持有效。有效期短于这个规定期限的投标，将被拒绝</w:t>
      </w:r>
      <w:r>
        <w:rPr>
          <w:rFonts w:hint="eastAsia" w:ascii="宋体" w:hAnsi="宋体"/>
          <w:sz w:val="24"/>
        </w:rPr>
        <w:t xml:space="preserve">。</w:t>
      </w:r>
      <w:r>
        <w:rPr>
          <w:rFonts w:ascii="宋体" w:hAnsi="宋体"/>
          <w:sz w:val="24"/>
          <w:szCs w:val="20"/>
        </w:rPr>
      </w:r>
      <w:r/>
    </w:p>
    <w:p>
      <w:pPr>
        <w:pStyle w:val="895"/>
        <w:spacing w:line="360" w:lineRule="auto"/>
        <w:rPr>
          <w:rFonts w:ascii="宋体" w:hAnsi="宋体"/>
          <w:sz w:val="24"/>
          <w:szCs w:val="20"/>
        </w:rPr>
      </w:pPr>
      <w:r>
        <w:rPr>
          <w:rFonts w:ascii="宋体" w:hAnsi="宋体"/>
          <w:sz w:val="24"/>
        </w:rPr>
        <w:t xml:space="preserve">17.2  </w:t>
      </w:r>
      <w:r>
        <w:rPr>
          <w:rFonts w:hint="eastAsia" w:ascii="宋体" w:hAnsi="宋体"/>
          <w:sz w:val="24"/>
        </w:rPr>
        <w:t xml:space="preserve">在特殊情况下，招标代理人可与投标人协商延长投标书的有效期。这种要求和答复都应以书面、传真、或邮件的形式进行。同意延长有效期的投标人不能修改投标文件，拒绝接受延期要求的投标人的投标将被拒绝。</w:t>
      </w:r>
      <w:r>
        <w:rPr>
          <w:rFonts w:ascii="宋体" w:hAnsi="宋体"/>
          <w:sz w:val="24"/>
          <w:szCs w:val="20"/>
        </w:rPr>
      </w:r>
      <w:r/>
    </w:p>
    <w:p>
      <w:pPr>
        <w:pStyle w:val="895"/>
        <w:spacing w:line="360" w:lineRule="auto"/>
        <w:rPr>
          <w:rFonts w:ascii="宋体" w:hAnsi="宋体"/>
          <w:b/>
          <w:sz w:val="24"/>
          <w:szCs w:val="20"/>
        </w:rPr>
      </w:pPr>
      <w:r>
        <w:rPr>
          <w:rFonts w:hint="eastAsia" w:ascii="宋体" w:hAnsi="宋体"/>
          <w:b/>
          <w:sz w:val="24"/>
        </w:rPr>
        <w:t xml:space="preserve">五、投标文件的提交</w:t>
      </w:r>
      <w:r>
        <w:rPr>
          <w:rFonts w:hint="eastAsia" w:ascii="宋体" w:hAnsi="宋体" w:cs="宋体"/>
          <w:b/>
          <w:sz w:val="24"/>
        </w:rPr>
        <w:t xml:space="preserve">、撤回和修改</w:t>
      </w:r>
      <w:r>
        <w:rPr>
          <w:rFonts w:ascii="宋体" w:hAnsi="宋体"/>
          <w:b/>
          <w:sz w:val="24"/>
          <w:szCs w:val="20"/>
        </w:rPr>
      </w:r>
      <w:r/>
    </w:p>
    <w:p>
      <w:pPr>
        <w:pStyle w:val="895"/>
        <w:spacing w:line="360" w:lineRule="auto"/>
        <w:rPr>
          <w:rFonts w:hint="eastAsia" w:ascii="宋体" w:hAnsi="宋体"/>
          <w:bCs/>
          <w:sz w:val="24"/>
        </w:rPr>
      </w:pPr>
      <w:r>
        <w:rPr>
          <w:rFonts w:hint="eastAsia" w:ascii="宋体" w:hAnsi="宋体"/>
          <w:bCs/>
          <w:sz w:val="24"/>
        </w:rPr>
        <w:t xml:space="preserve">18. </w:t>
      </w:r>
      <w:r>
        <w:rPr>
          <w:rFonts w:hint="eastAsia" w:ascii="宋体" w:hAnsi="宋体" w:cs="宋体"/>
          <w:bCs/>
          <w:sz w:val="24"/>
        </w:rPr>
        <w:t xml:space="preserve">投标文件的提交</w:t>
      </w:r>
      <w:r>
        <w:rPr>
          <w:rFonts w:hint="eastAsia" w:ascii="宋体" w:hAnsi="宋体"/>
          <w:bCs/>
          <w:sz w:val="24"/>
        </w:rPr>
      </w:r>
      <w:r/>
    </w:p>
    <w:p>
      <w:pPr>
        <w:pStyle w:val="895"/>
        <w:jc w:val="left"/>
        <w:spacing w:line="360" w:lineRule="auto"/>
        <w:rPr>
          <w:rFonts w:ascii="宋体" w:hAnsi="宋体"/>
          <w:bCs/>
          <w:sz w:val="24"/>
        </w:rPr>
      </w:pPr>
      <w:r>
        <w:rPr>
          <w:rFonts w:hint="eastAsia" w:ascii="宋体" w:hAnsi="宋体"/>
          <w:bCs/>
          <w:sz w:val="24"/>
        </w:rPr>
        <w:t xml:space="preserve">18.1 电子投标文件的提交</w:t>
      </w:r>
      <w:bookmarkStart w:id="74" w:name="_Toc16938542"/>
      <w:r/>
      <w:bookmarkStart w:id="75" w:name="_Toc513029226"/>
      <w:r/>
      <w:bookmarkStart w:id="76" w:name="_Toc20823298"/>
      <w:r>
        <w:rPr>
          <w:rFonts w:hint="eastAsia" w:ascii="宋体" w:hAnsi="宋体"/>
          <w:bCs/>
          <w:sz w:val="24"/>
        </w:rPr>
        <w:t xml:space="preserve">：投标人应当在在投标截止时间前制作并上传电子投标文件。</w:t>
      </w:r>
      <w:r>
        <w:rPr>
          <w:rFonts w:ascii="宋体" w:hAnsi="宋体"/>
          <w:bCs/>
          <w:sz w:val="24"/>
        </w:rPr>
      </w:r>
      <w:r/>
    </w:p>
    <w:p>
      <w:pPr>
        <w:pStyle w:val="895"/>
        <w:spacing w:line="360" w:lineRule="auto"/>
        <w:rPr>
          <w:rFonts w:hint="eastAsia" w:ascii="宋体" w:hAnsi="宋体"/>
          <w:bCs/>
          <w:sz w:val="24"/>
        </w:rPr>
      </w:pPr>
      <w:r>
        <w:rPr>
          <w:rFonts w:hint="eastAsia" w:ascii="宋体" w:hAnsi="宋体"/>
          <w:bCs/>
          <w:sz w:val="24"/>
        </w:rPr>
        <w:t xml:space="preserve">18.2</w:t>
      </w:r>
      <w:bookmarkEnd w:id="74"/>
      <w:r/>
      <w:bookmarkEnd w:id="75"/>
      <w:r/>
      <w:bookmarkEnd w:id="76"/>
      <w:r>
        <w:rPr>
          <w:rFonts w:hint="eastAsia" w:ascii="宋体" w:hAnsi="宋体"/>
          <w:bCs/>
          <w:sz w:val="24"/>
        </w:rPr>
        <w:t xml:space="preserve">投标人上传电子投标文件的时间不得迟于招标公告中规定的投标截止时间。投标人应充分考虑到网络环境、网络带宽等风险因素，如因投标人自身原因造成的电子投标文件上传不成功的按照本招标文件无效条款相关规定做无效投标处理。</w:t>
      </w:r>
      <w:r/>
    </w:p>
    <w:p>
      <w:pPr>
        <w:pStyle w:val="895"/>
        <w:spacing w:line="360" w:lineRule="auto"/>
        <w:rPr>
          <w:rFonts w:hint="eastAsia" w:ascii="宋体" w:hAnsi="宋体"/>
          <w:b/>
          <w:sz w:val="24"/>
        </w:rPr>
      </w:pPr>
      <w:r/>
      <w:bookmarkStart w:id="77" w:name="_Toc16938544"/>
      <w:r/>
      <w:bookmarkStart w:id="78" w:name="_Toc20823300"/>
      <w:r/>
      <w:bookmarkStart w:id="79" w:name="_Toc513029228"/>
      <w:r>
        <w:rPr>
          <w:rFonts w:hint="eastAsia" w:ascii="宋体" w:hAnsi="宋体"/>
          <w:b/>
          <w:sz w:val="24"/>
        </w:rPr>
        <w:t xml:space="preserve">19．投标文件的撤回和修改</w:t>
      </w:r>
      <w:bookmarkEnd w:id="77"/>
      <w:r/>
      <w:bookmarkEnd w:id="78"/>
      <w:r/>
      <w:bookmarkEnd w:id="79"/>
      <w:r>
        <w:rPr>
          <w:rFonts w:hint="eastAsia" w:ascii="宋体" w:hAnsi="宋体"/>
          <w:b/>
          <w:sz w:val="24"/>
        </w:rPr>
      </w:r>
      <w:r/>
    </w:p>
    <w:p>
      <w:pPr>
        <w:pStyle w:val="895"/>
        <w:spacing w:line="360" w:lineRule="auto"/>
        <w:rPr>
          <w:rFonts w:ascii="宋体" w:hAnsi="宋体"/>
          <w:bCs/>
          <w:color w:val="000000"/>
          <w:sz w:val="24"/>
        </w:rPr>
      </w:pPr>
      <w:r>
        <w:rPr>
          <w:rFonts w:hint="eastAsia" w:ascii="宋体" w:hAnsi="宋体"/>
          <w:color w:val="000000"/>
          <w:sz w:val="24"/>
        </w:rPr>
        <w:t xml:space="preserve">19.1投标人在提交投标文件截止时间前，可以对其电子投标文件进行补充、修改，具体操作方法见《苏采云系统供应商操作手册》。在提交投标文件截止时间之后，投标人不得对其电子投标文件作任何修改。</w:t>
      </w:r>
      <w:r>
        <w:rPr>
          <w:rFonts w:ascii="宋体" w:hAnsi="宋体"/>
          <w:bCs/>
          <w:color w:val="000000"/>
          <w:sz w:val="24"/>
        </w:rPr>
      </w:r>
      <w:r/>
    </w:p>
    <w:p>
      <w:pPr>
        <w:pStyle w:val="895"/>
        <w:spacing w:line="360" w:lineRule="auto"/>
        <w:rPr>
          <w:rFonts w:ascii="宋体" w:hAnsi="宋体"/>
          <w:bCs/>
          <w:color w:val="000000"/>
          <w:sz w:val="24"/>
        </w:rPr>
      </w:pPr>
      <w:r>
        <w:rPr>
          <w:rFonts w:hint="eastAsia" w:ascii="宋体" w:hAnsi="宋体"/>
          <w:color w:val="000000"/>
          <w:sz w:val="24"/>
        </w:rPr>
        <w:t xml:space="preserve">19.2</w:t>
      </w:r>
      <w:bookmarkStart w:id="80" w:name="OLE_LINK64"/>
      <w:r/>
      <w:bookmarkStart w:id="81" w:name="OLE_LINK63"/>
      <w:r>
        <w:rPr>
          <w:rFonts w:hint="eastAsia" w:ascii="宋体" w:hAnsi="宋体"/>
          <w:color w:val="000000"/>
          <w:sz w:val="24"/>
        </w:rPr>
        <w:t xml:space="preserve">投标人在提交投标文件截止时间前，可以撤回其电子投标文件，具体操作方法见《苏采云系统供应商操作手册》。投标人撤回电子投标文件，则认为其不再参与本项目投标。开标后投标人不得修改或撤回投标。</w:t>
      </w:r>
      <w:bookmarkEnd w:id="80"/>
      <w:r/>
      <w:bookmarkEnd w:id="81"/>
      <w:r>
        <w:rPr>
          <w:rFonts w:ascii="宋体" w:hAnsi="宋体"/>
          <w:bCs/>
          <w:color w:val="000000"/>
          <w:sz w:val="24"/>
        </w:rPr>
      </w:r>
      <w:r/>
    </w:p>
    <w:p>
      <w:pPr>
        <w:pStyle w:val="895"/>
        <w:spacing w:line="360" w:lineRule="auto"/>
        <w:rPr>
          <w:rFonts w:ascii="宋体" w:hAnsi="宋体"/>
          <w:b/>
          <w:sz w:val="24"/>
          <w:szCs w:val="20"/>
        </w:rPr>
      </w:pPr>
      <w:r>
        <w:rPr>
          <w:rFonts w:hint="eastAsia" w:ascii="宋体" w:hAnsi="宋体"/>
          <w:b/>
          <w:sz w:val="24"/>
        </w:rPr>
        <w:t xml:space="preserve">20. 投标截止时间</w:t>
      </w:r>
      <w:r>
        <w:rPr>
          <w:rFonts w:ascii="宋体" w:hAnsi="宋体"/>
          <w:b/>
          <w:sz w:val="24"/>
          <w:szCs w:val="20"/>
        </w:rPr>
      </w:r>
      <w:r/>
    </w:p>
    <w:p>
      <w:pPr>
        <w:pStyle w:val="895"/>
        <w:spacing w:line="360" w:lineRule="auto"/>
        <w:rPr>
          <w:rFonts w:ascii="宋体" w:hAnsi="宋体"/>
          <w:sz w:val="24"/>
          <w:szCs w:val="20"/>
        </w:rPr>
      </w:pPr>
      <w:r>
        <w:rPr>
          <w:rFonts w:ascii="宋体" w:hAnsi="宋体"/>
          <w:sz w:val="24"/>
        </w:rPr>
        <w:t xml:space="preserve">2</w:t>
      </w:r>
      <w:r>
        <w:rPr>
          <w:rFonts w:hint="eastAsia" w:ascii="宋体" w:hAnsi="宋体"/>
          <w:sz w:val="24"/>
        </w:rPr>
        <w:t xml:space="preserve">0</w:t>
      </w:r>
      <w:r>
        <w:rPr>
          <w:rFonts w:ascii="宋体" w:hAnsi="宋体"/>
          <w:sz w:val="24"/>
        </w:rPr>
        <w:t xml:space="preserve">.1  </w:t>
      </w:r>
      <w:r>
        <w:rPr>
          <w:rFonts w:hint="eastAsia" w:ascii="宋体" w:hAnsi="宋体"/>
          <w:sz w:val="24"/>
        </w:rPr>
        <w:t xml:space="preserve">投标文件必须在投标截止时间前上传到网上上传到系统</w:t>
      </w:r>
      <w:r>
        <w:rPr>
          <w:rFonts w:ascii="宋体" w:hAnsi="宋体"/>
          <w:sz w:val="24"/>
        </w:rPr>
        <w:t xml:space="preserve">。</w:t>
      </w:r>
      <w:r>
        <w:rPr>
          <w:rFonts w:ascii="宋体" w:hAnsi="宋体"/>
          <w:sz w:val="24"/>
          <w:szCs w:val="20"/>
        </w:rPr>
      </w:r>
      <w:r/>
    </w:p>
    <w:p>
      <w:pPr>
        <w:pStyle w:val="895"/>
        <w:spacing w:line="360" w:lineRule="auto"/>
        <w:rPr>
          <w:rFonts w:ascii="宋体" w:hAnsi="宋体"/>
          <w:sz w:val="24"/>
          <w:szCs w:val="20"/>
        </w:rPr>
      </w:pPr>
      <w:r>
        <w:rPr>
          <w:rFonts w:ascii="宋体" w:hAnsi="宋体"/>
          <w:sz w:val="24"/>
        </w:rPr>
        <w:t xml:space="preserve">2</w:t>
      </w:r>
      <w:r>
        <w:rPr>
          <w:rFonts w:hint="eastAsia" w:ascii="宋体" w:hAnsi="宋体"/>
          <w:sz w:val="24"/>
        </w:rPr>
        <w:t xml:space="preserve">0</w:t>
      </w:r>
      <w:r>
        <w:rPr>
          <w:rFonts w:ascii="宋体" w:hAnsi="宋体"/>
          <w:sz w:val="24"/>
        </w:rPr>
        <w:t xml:space="preserve">.2  </w:t>
      </w:r>
      <w:r>
        <w:rPr>
          <w:rFonts w:hint="eastAsia" w:ascii="宋体" w:hAnsi="宋体"/>
          <w:bCs/>
          <w:sz w:val="24"/>
        </w:rPr>
        <w:t xml:space="preserve">采购人和采购代理机构如推迟投标截止时间时，将按更正公告的方式发布公告。在这种情况下，采购人、采购代理机构和投标人的权利和义务将受到新的截止期的约束</w:t>
      </w:r>
      <w:r>
        <w:rPr>
          <w:rFonts w:ascii="宋体" w:hAnsi="宋体"/>
          <w:sz w:val="24"/>
        </w:rPr>
        <w:t xml:space="preserve">。所有投标人</w:t>
      </w:r>
      <w:r>
        <w:rPr>
          <w:rFonts w:hint="eastAsia" w:ascii="宋体" w:hAnsi="宋体"/>
          <w:sz w:val="24"/>
        </w:rPr>
        <w:t xml:space="preserve">应及时关注本项目相关公告</w:t>
      </w:r>
      <w:r>
        <w:rPr>
          <w:rFonts w:ascii="宋体" w:hAnsi="宋体"/>
          <w:sz w:val="24"/>
        </w:rPr>
        <w:t xml:space="preserve">。</w:t>
      </w:r>
      <w:r>
        <w:rPr>
          <w:rFonts w:ascii="宋体" w:hAnsi="宋体"/>
          <w:sz w:val="24"/>
          <w:szCs w:val="20"/>
        </w:rPr>
      </w:r>
      <w:r/>
    </w:p>
    <w:p>
      <w:pPr>
        <w:pStyle w:val="895"/>
        <w:spacing w:line="360" w:lineRule="auto"/>
        <w:rPr>
          <w:rFonts w:ascii="宋体" w:hAnsi="宋体"/>
          <w:sz w:val="24"/>
          <w:szCs w:val="20"/>
        </w:rPr>
      </w:pPr>
      <w:r>
        <w:rPr>
          <w:rFonts w:ascii="宋体" w:hAnsi="宋体"/>
          <w:sz w:val="24"/>
        </w:rPr>
        <w:t xml:space="preserve">2</w:t>
      </w:r>
      <w:r>
        <w:rPr>
          <w:rFonts w:hint="eastAsia" w:ascii="宋体" w:hAnsi="宋体"/>
          <w:sz w:val="24"/>
        </w:rPr>
        <w:t xml:space="preserve">0</w:t>
      </w:r>
      <w:r>
        <w:rPr>
          <w:rFonts w:ascii="宋体" w:hAnsi="宋体"/>
          <w:sz w:val="24"/>
        </w:rPr>
        <w:t xml:space="preserve">.3  </w:t>
      </w:r>
      <w:r>
        <w:rPr>
          <w:rFonts w:hint="eastAsia" w:ascii="宋体" w:hAnsi="宋体"/>
          <w:sz w:val="24"/>
        </w:rPr>
        <w:t xml:space="preserve">在投标截止时间以后将无法上传投标文件。</w:t>
      </w:r>
      <w:r>
        <w:rPr>
          <w:rFonts w:ascii="宋体" w:hAnsi="宋体"/>
          <w:sz w:val="24"/>
          <w:szCs w:val="20"/>
        </w:rPr>
      </w:r>
      <w:r/>
    </w:p>
    <w:p>
      <w:pPr>
        <w:pStyle w:val="895"/>
        <w:spacing w:line="360" w:lineRule="auto"/>
        <w:rPr>
          <w:rFonts w:hint="eastAsia" w:ascii="宋体" w:hAnsi="宋体"/>
          <w:b/>
          <w:sz w:val="24"/>
        </w:rPr>
      </w:pPr>
      <w:r>
        <w:rPr>
          <w:rFonts w:hint="eastAsia" w:ascii="宋体" w:hAnsi="宋体"/>
          <w:b/>
          <w:sz w:val="24"/>
        </w:rPr>
        <w:t xml:space="preserve">六、开标和评标</w:t>
      </w:r>
      <w:r/>
    </w:p>
    <w:p>
      <w:pPr>
        <w:pStyle w:val="895"/>
        <w:spacing w:line="360" w:lineRule="auto"/>
        <w:rPr>
          <w:rFonts w:ascii="宋体" w:hAnsi="宋体"/>
          <w:sz w:val="24"/>
        </w:rPr>
      </w:pPr>
      <w:r>
        <w:rPr>
          <w:rFonts w:hint="eastAsia" w:ascii="宋体" w:hAnsi="宋体"/>
          <w:sz w:val="24"/>
        </w:rPr>
        <w:t xml:space="preserve">21.</w:t>
      </w:r>
      <w:r>
        <w:rPr>
          <w:rFonts w:hint="eastAsia" w:ascii="宋体" w:hAnsi="宋体"/>
          <w:b/>
          <w:bCs/>
          <w:sz w:val="24"/>
        </w:rPr>
        <w:t xml:space="preserve">开标</w:t>
      </w:r>
      <w:r>
        <w:rPr>
          <w:rFonts w:hint="eastAsia" w:ascii="宋体" w:hAnsi="宋体"/>
          <w:b/>
          <w:sz w:val="24"/>
        </w:rPr>
        <w:t xml:space="preserve">和评标</w:t>
      </w:r>
      <w:r>
        <w:rPr>
          <w:rFonts w:ascii="宋体" w:hAnsi="宋体"/>
          <w:sz w:val="24"/>
        </w:rPr>
      </w:r>
      <w:r/>
    </w:p>
    <w:p>
      <w:pPr>
        <w:pStyle w:val="895"/>
        <w:spacing w:line="360" w:lineRule="auto"/>
        <w:rPr>
          <w:rFonts w:ascii="宋体" w:hAnsi="宋体"/>
          <w:bCs/>
          <w:color w:val="000000"/>
          <w:sz w:val="24"/>
        </w:rPr>
      </w:pPr>
      <w:r/>
      <w:bookmarkStart w:id="82" w:name="OLE_LINK106"/>
      <w:r/>
      <w:bookmarkStart w:id="83" w:name="OLE_LINK107"/>
      <w:r>
        <w:rPr>
          <w:rFonts w:hint="eastAsia" w:ascii="宋体" w:hAnsi="宋体"/>
          <w:color w:val="000000"/>
          <w:sz w:val="24"/>
        </w:rPr>
        <w:t xml:space="preserve">21.1</w:t>
      </w:r>
      <w:r>
        <w:rPr>
          <w:rFonts w:hint="eastAsia" w:ascii="宋体;SimSun" w:hAnsi="宋体;SimSun" w:cs="宋体;SimSun"/>
          <w:color w:val="000000"/>
          <w:sz w:val="24"/>
        </w:rPr>
        <w:t xml:space="preserve">开标由招标代理机构在线主持，按《招标公告》规定的时间、地点进行公开开标。投标人远程参加，评标委员会成员不得参加开标活动。单个标段投标人不足3家的，该标段不得开标。</w:t>
      </w:r>
      <w:r>
        <w:rPr>
          <w:rFonts w:ascii="宋体" w:hAnsi="宋体"/>
          <w:bCs/>
          <w:color w:val="000000"/>
          <w:sz w:val="24"/>
        </w:rPr>
      </w:r>
      <w:r/>
    </w:p>
    <w:p>
      <w:pPr>
        <w:pStyle w:val="895"/>
        <w:spacing w:line="360" w:lineRule="auto"/>
        <w:rPr>
          <w:rFonts w:ascii="宋体" w:hAnsi="宋体"/>
          <w:color w:val="000000"/>
          <w:sz w:val="24"/>
          <w:szCs w:val="20"/>
        </w:rPr>
      </w:pPr>
      <w:r>
        <w:rPr>
          <w:rFonts w:hint="eastAsia" w:ascii="宋体" w:hAnsi="宋体"/>
          <w:color w:val="000000"/>
          <w:sz w:val="24"/>
        </w:rPr>
        <w:t xml:space="preserve">21.2 投标人通过“苏采云”系统不见面开标大厅在线参与开标活动。（具体操作详见《苏采云系统供应商操作手册》）。参加投标的单位应在项目开标前30分钟提前进入不见面开标大厅，做好相关准备工作。</w:t>
      </w:r>
      <w:r>
        <w:rPr>
          <w:rFonts w:ascii="宋体" w:hAnsi="宋体"/>
          <w:color w:val="000000"/>
          <w:sz w:val="24"/>
          <w:szCs w:val="20"/>
        </w:rPr>
      </w:r>
      <w:r/>
    </w:p>
    <w:p>
      <w:pPr>
        <w:pStyle w:val="895"/>
        <w:spacing w:line="360" w:lineRule="auto"/>
        <w:rPr>
          <w:rFonts w:ascii="宋体" w:hAnsi="宋体" w:cs="宋体"/>
          <w:b/>
          <w:color w:val="000000"/>
          <w:sz w:val="24"/>
        </w:rPr>
      </w:pPr>
      <w:r/>
      <w:bookmarkEnd w:id="82"/>
      <w:r>
        <w:rPr>
          <w:rFonts w:hint="eastAsia" w:ascii="宋体" w:hAnsi="宋体"/>
          <w:b/>
          <w:color w:val="000000"/>
          <w:sz w:val="24"/>
        </w:rPr>
        <w:t xml:space="preserve">21.3 </w:t>
      </w:r>
      <w:r>
        <w:rPr>
          <w:rFonts w:hint="eastAsia" w:ascii="宋体" w:hAnsi="宋体" w:cs="宋体"/>
          <w:b/>
          <w:color w:val="000000"/>
          <w:sz w:val="24"/>
        </w:rPr>
        <w:t xml:space="preserve">开标阶段，投标人在【解密】环节必须使用CA证书解密电子投标文件，如在系统规定的解密时间内未能完成解密的视为放弃投标。开标时投标人应始终保持在线状态，关注解密时间。</w:t>
      </w:r>
      <w:r>
        <w:rPr>
          <w:rFonts w:hint="eastAsia" w:ascii="宋体" w:hAnsi="宋体"/>
          <w:b/>
          <w:color w:val="000000"/>
          <w:sz w:val="24"/>
        </w:rPr>
        <w:t xml:space="preserve">如果有多标段的项目，投多标段的单位，请仔细查看每个标段的操作情况。</w:t>
      </w:r>
      <w:r>
        <w:rPr>
          <w:rFonts w:ascii="宋体" w:hAnsi="宋体" w:cs="宋体"/>
          <w:b/>
          <w:color w:val="000000"/>
          <w:sz w:val="24"/>
        </w:rPr>
      </w:r>
      <w:r/>
    </w:p>
    <w:p>
      <w:pPr>
        <w:pStyle w:val="993"/>
        <w:contextualSpacing/>
        <w:ind w:firstLine="0"/>
        <w:spacing w:line="360" w:lineRule="auto"/>
        <w:rPr>
          <w:rFonts w:hint="eastAsia" w:ascii="宋体" w:hAnsi="宋体" w:eastAsia="宋体" w:cs="宋体"/>
          <w:szCs w:val="24"/>
        </w:rPr>
      </w:pPr>
      <w:r/>
      <w:bookmarkEnd w:id="83"/>
      <w:r>
        <w:rPr>
          <w:rFonts w:hint="eastAsia" w:ascii="宋体" w:hAnsi="宋体" w:eastAsia="宋体" w:cs="宋体"/>
          <w:szCs w:val="24"/>
        </w:rPr>
        <w:t xml:space="preserve">21.4开标时，由采购代理机构通过“苏采云”系统在线宣布投标人名称、投标价格和招标文件规定的需要宣布的其他内容。</w:t>
      </w:r>
      <w:r/>
    </w:p>
    <w:p>
      <w:pPr>
        <w:pStyle w:val="993"/>
        <w:contextualSpacing/>
        <w:ind w:firstLine="0"/>
        <w:spacing w:before="120" w:line="360" w:lineRule="auto"/>
        <w:rPr>
          <w:rFonts w:hint="eastAsia" w:ascii="宋体" w:hAnsi="宋体" w:eastAsia="宋体" w:cs="宋体"/>
          <w:szCs w:val="24"/>
        </w:rPr>
      </w:pPr>
      <w:r>
        <w:rPr>
          <w:rFonts w:ascii="宋体" w:hAnsi="宋体" w:cs="宋体;SimSun"/>
        </w:rPr>
        <w:t xml:space="preserve">2</w:t>
      </w:r>
      <w:r>
        <w:rPr>
          <w:rFonts w:hint="eastAsia" w:ascii="宋体" w:hAnsi="宋体" w:cs="宋体;SimSun"/>
        </w:rPr>
        <w:t xml:space="preserve">1</w:t>
      </w:r>
      <w:r>
        <w:rPr>
          <w:rFonts w:ascii="宋体" w:hAnsi="宋体" w:cs="宋体;SimSun"/>
        </w:rPr>
        <w:t xml:space="preserve">.5</w:t>
      </w:r>
      <w:r>
        <w:rPr>
          <w:rFonts w:hint="eastAsia" w:ascii="宋体" w:hAnsi="宋体" w:eastAsia="宋体" w:cs="宋体"/>
          <w:szCs w:val="24"/>
        </w:rPr>
        <w:t xml:space="preserve">投标人在不见面开标系统中确认投标价格，如投标人未在线参加开标或未在规定时间内确认价格，均视同认可开标结果。</w:t>
      </w:r>
      <w:r/>
    </w:p>
    <w:p>
      <w:pPr>
        <w:pStyle w:val="993"/>
        <w:ind w:firstLine="0"/>
        <w:spacing w:line="360" w:lineRule="auto"/>
        <w:rPr>
          <w:rFonts w:ascii="宋体" w:hAnsi="宋体" w:eastAsia="宋体" w:cs="宋体"/>
          <w:color w:val="000000"/>
          <w:szCs w:val="24"/>
        </w:rPr>
      </w:pPr>
      <w:r>
        <w:rPr>
          <w:rFonts w:hint="eastAsia" w:ascii="宋体" w:hAnsi="宋体" w:eastAsia="宋体" w:cs="宋体"/>
          <w:color w:val="000000"/>
          <w:szCs w:val="24"/>
        </w:rPr>
        <w:t xml:space="preserve">21.6开评标过程中如有问题招标代理机构工作人员会及时通过投标人投标时留存的手机号与其联系。请投标人确保该手机号通讯畅通，否则导致的不利后果由投标人自行承担。</w:t>
      </w:r>
      <w:r>
        <w:rPr>
          <w:rFonts w:ascii="宋体" w:hAnsi="宋体" w:eastAsia="宋体" w:cs="宋体"/>
          <w:color w:val="000000"/>
          <w:szCs w:val="24"/>
        </w:rPr>
      </w:r>
      <w:r/>
    </w:p>
    <w:p>
      <w:pPr>
        <w:pStyle w:val="962"/>
        <w:ind w:firstLine="0"/>
        <w:spacing w:line="360" w:lineRule="auto"/>
        <w:rPr>
          <w:rFonts w:hint="eastAsia" w:ascii="宋体" w:hAnsi="宋体" w:eastAsia="宋体"/>
          <w:color w:val="000000"/>
        </w:rPr>
      </w:pPr>
      <w:r>
        <w:rPr>
          <w:rFonts w:hint="eastAsia" w:ascii="宋体" w:hAnsi="宋体" w:eastAsia="宋体" w:cs="宋体;SimSun"/>
          <w:b/>
          <w:color w:val="000000"/>
        </w:rPr>
        <w:t xml:space="preserve">21.7</w:t>
      </w:r>
      <w:r>
        <w:rPr>
          <w:rFonts w:hint="eastAsia" w:ascii="宋体" w:hAnsi="宋体" w:eastAsia="宋体" w:cs="宋体;SimSun"/>
          <w:b/>
          <w:bCs/>
          <w:color w:val="000000"/>
        </w:rPr>
        <w:t xml:space="preserve">在开标时，投标文件有下列情况之一者将视为投标无效：</w:t>
      </w:r>
      <w:r>
        <w:rPr>
          <w:rFonts w:hint="eastAsia" w:ascii="宋体" w:hAnsi="宋体" w:eastAsia="宋体"/>
          <w:color w:val="000000"/>
        </w:rPr>
      </w:r>
      <w:r/>
    </w:p>
    <w:p>
      <w:pPr>
        <w:pStyle w:val="962"/>
        <w:ind w:firstLine="0"/>
        <w:spacing w:line="360" w:lineRule="auto"/>
        <w:rPr>
          <w:rFonts w:hint="eastAsia" w:ascii="宋体" w:hAnsi="宋体" w:cs="宋体"/>
          <w:b/>
          <w:bCs/>
          <w:color w:val="000000"/>
        </w:rPr>
      </w:pPr>
      <w:r>
        <w:rPr>
          <w:rFonts w:hint="eastAsia" w:ascii="宋体" w:hAnsi="宋体" w:eastAsia="宋体" w:cs="宋体"/>
          <w:b/>
          <w:bCs/>
          <w:color w:val="000000"/>
        </w:rPr>
        <w:t xml:space="preserve">21.7.1报价超过招标文件中规定的预算金额或最高限价的；</w:t>
      </w:r>
      <w:r>
        <w:rPr>
          <w:rFonts w:hint="eastAsia" w:ascii="宋体" w:hAnsi="宋体" w:cs="宋体"/>
          <w:b/>
          <w:bCs/>
          <w:color w:val="000000"/>
        </w:rPr>
      </w:r>
      <w:r/>
    </w:p>
    <w:p>
      <w:pPr>
        <w:pStyle w:val="895"/>
        <w:spacing w:line="360" w:lineRule="auto"/>
        <w:rPr>
          <w:rFonts w:hint="eastAsia" w:ascii="宋体" w:hAnsi="宋体" w:cs="宋体;SimSun"/>
          <w:b/>
          <w:bCs/>
          <w:color w:val="000000"/>
          <w:sz w:val="24"/>
          <w:szCs w:val="20"/>
        </w:rPr>
      </w:pPr>
      <w:r>
        <w:rPr>
          <w:rFonts w:hint="eastAsia" w:ascii="宋体" w:hAnsi="宋体" w:cs="宋体;SimSun"/>
          <w:b/>
          <w:bCs/>
          <w:color w:val="000000"/>
          <w:sz w:val="24"/>
          <w:szCs w:val="20"/>
        </w:rPr>
        <w:t xml:space="preserve">21.7.2投标人在苏采云系统规定的时间内未成功解密电子投标文件的；</w:t>
      </w:r>
      <w:r/>
    </w:p>
    <w:p>
      <w:pPr>
        <w:pStyle w:val="895"/>
        <w:spacing w:line="360" w:lineRule="auto"/>
        <w:rPr>
          <w:rFonts w:hint="eastAsia" w:ascii="宋体" w:hAnsi="宋体"/>
          <w:b/>
          <w:bCs/>
          <w:color w:val="000000"/>
          <w:sz w:val="24"/>
        </w:rPr>
      </w:pPr>
      <w:r>
        <w:rPr>
          <w:rFonts w:hint="eastAsia" w:ascii="宋体" w:hAnsi="宋体"/>
          <w:b/>
          <w:bCs/>
          <w:color w:val="000000"/>
          <w:sz w:val="24"/>
        </w:rPr>
        <w:t xml:space="preserve">21.7.3 投标人未按照招标文件要求上传电子投标文件的；</w:t>
      </w:r>
      <w:r/>
    </w:p>
    <w:p>
      <w:pPr>
        <w:pStyle w:val="895"/>
        <w:spacing w:line="360" w:lineRule="auto"/>
        <w:rPr>
          <w:rFonts w:hint="eastAsia" w:ascii="宋体" w:hAnsi="宋体"/>
          <w:b/>
          <w:bCs/>
          <w:color w:val="000000"/>
          <w:sz w:val="24"/>
        </w:rPr>
      </w:pPr>
      <w:r>
        <w:rPr>
          <w:rFonts w:hint="eastAsia" w:ascii="宋体" w:hAnsi="宋体"/>
          <w:b/>
          <w:bCs/>
          <w:color w:val="000000"/>
          <w:sz w:val="24"/>
        </w:rPr>
        <w:t xml:space="preserve">21.7.4同一投标人提交两个（含两个）以上不同的投标报价的。</w:t>
      </w:r>
      <w:r/>
    </w:p>
    <w:p>
      <w:pPr>
        <w:pStyle w:val="895"/>
        <w:spacing w:line="360" w:lineRule="auto"/>
        <w:rPr>
          <w:rFonts w:ascii="宋体;SimSun" w:hAnsi="宋体;SimSun" w:cs="宋体;SimSun"/>
          <w:b/>
          <w:color w:val="000000"/>
          <w:sz w:val="24"/>
        </w:rPr>
      </w:pPr>
      <w:r>
        <w:rPr>
          <w:rFonts w:hint="eastAsia" w:ascii="宋体;SimSun" w:hAnsi="宋体;SimSun" w:cs="宋体;SimSun"/>
          <w:b/>
          <w:color w:val="000000"/>
          <w:sz w:val="24"/>
        </w:rPr>
        <w:t xml:space="preserve">22.资格审查</w:t>
      </w:r>
      <w:r>
        <w:rPr>
          <w:rFonts w:ascii="宋体;SimSun" w:hAnsi="宋体;SimSun" w:cs="宋体;SimSun"/>
          <w:b/>
          <w:color w:val="000000"/>
          <w:sz w:val="24"/>
        </w:rPr>
      </w:r>
      <w:r/>
    </w:p>
    <w:p>
      <w:pPr>
        <w:pStyle w:val="895"/>
        <w:spacing w:line="360" w:lineRule="auto"/>
        <w:rPr>
          <w:rFonts w:ascii="宋体" w:hAnsi="宋体"/>
          <w:bCs/>
          <w:color w:val="000000"/>
          <w:sz w:val="24"/>
        </w:rPr>
      </w:pPr>
      <w:r/>
      <w:bookmarkStart w:id="84" w:name="OLE_LINK74"/>
      <w:r/>
      <w:bookmarkStart w:id="85" w:name="OLE_LINK73"/>
      <w:r>
        <w:rPr>
          <w:rFonts w:hint="eastAsia" w:ascii="宋体" w:hAnsi="宋体"/>
          <w:bCs/>
          <w:color w:val="000000"/>
          <w:sz w:val="24"/>
        </w:rPr>
        <w:t xml:space="preserve">22.1开标结束后，采购人应当依法对投标人的资格进行审查，未通过资格审查的视为无效投标。</w:t>
      </w:r>
      <w:r>
        <w:rPr>
          <w:rFonts w:ascii="宋体" w:hAnsi="宋体"/>
          <w:bCs/>
          <w:color w:val="000000"/>
          <w:sz w:val="24"/>
        </w:rPr>
      </w:r>
      <w:r/>
    </w:p>
    <w:p>
      <w:pPr>
        <w:pStyle w:val="895"/>
        <w:spacing w:line="360" w:lineRule="auto"/>
        <w:rPr>
          <w:rFonts w:ascii="宋体" w:hAnsi="宋体"/>
          <w:bCs/>
          <w:color w:val="000000"/>
          <w:sz w:val="24"/>
        </w:rPr>
      </w:pPr>
      <w:r>
        <w:rPr>
          <w:rFonts w:hint="eastAsia" w:ascii="宋体" w:hAnsi="宋体"/>
          <w:bCs/>
          <w:color w:val="000000"/>
          <w:sz w:val="24"/>
        </w:rPr>
        <w:t xml:space="preserve">22.2如供应商</w:t>
      </w:r>
      <w:bookmarkStart w:id="86" w:name="OLE_LINK66"/>
      <w:r>
        <w:rPr>
          <w:rFonts w:hint="eastAsia" w:ascii="宋体" w:hAnsi="宋体"/>
          <w:bCs/>
          <w:color w:val="000000"/>
          <w:sz w:val="24"/>
        </w:rPr>
        <w:t xml:space="preserve">单位负责人为同一人或者存在直接控股、管理关系的</w:t>
      </w:r>
      <w:bookmarkEnd w:id="86"/>
      <w:r>
        <w:rPr>
          <w:rFonts w:hint="eastAsia" w:ascii="宋体" w:hAnsi="宋体"/>
          <w:bCs/>
          <w:color w:val="000000"/>
          <w:sz w:val="24"/>
        </w:rPr>
        <w:t xml:space="preserve">不同供应商，同时参加同一标段投标，且均未在前面标段中标，其他各项资格审查也都能通过的，仅其中投标报价最低（如报价相同的，由评委抽签确定）的供应商进入后续评审程序，与其单位负责人为同一人或者存在直接控股、管理关系的其他供应商不得通过此项资格审查，其投标无效。</w:t>
      </w:r>
      <w:r>
        <w:rPr>
          <w:rFonts w:ascii="宋体" w:hAnsi="宋体"/>
          <w:bCs/>
          <w:color w:val="000000"/>
          <w:sz w:val="24"/>
        </w:rPr>
      </w:r>
      <w:r/>
    </w:p>
    <w:p>
      <w:pPr>
        <w:pStyle w:val="895"/>
        <w:spacing w:line="360" w:lineRule="auto"/>
        <w:rPr>
          <w:rFonts w:ascii="Calibri" w:hAnsi="Calibri"/>
          <w:b/>
          <w:bCs/>
          <w:color w:val="000000"/>
        </w:rPr>
      </w:pPr>
      <w:r/>
      <w:bookmarkEnd w:id="84"/>
      <w:r/>
      <w:bookmarkEnd w:id="85"/>
      <w:r>
        <w:rPr>
          <w:rFonts w:hint="eastAsia" w:ascii="宋体;SimSun" w:hAnsi="宋体;SimSun" w:cs="宋体;SimSun"/>
          <w:b/>
          <w:color w:val="000000"/>
          <w:sz w:val="24"/>
        </w:rPr>
        <w:t xml:space="preserve">22.3</w:t>
      </w:r>
      <w:r>
        <w:rPr>
          <w:rFonts w:hint="eastAsia" w:ascii="宋体;SimSun" w:hAnsi="宋体;SimSun" w:cs="宋体;SimSun"/>
          <w:b/>
          <w:bCs/>
          <w:color w:val="000000"/>
          <w:sz w:val="24"/>
        </w:rPr>
        <w:t xml:space="preserve">投标人信用信息查询</w:t>
      </w:r>
      <w:r>
        <w:rPr>
          <w:rFonts w:ascii="Calibri" w:hAnsi="Calibri"/>
          <w:b/>
          <w:bCs/>
          <w:color w:val="000000"/>
        </w:rPr>
      </w:r>
      <w:r/>
    </w:p>
    <w:p>
      <w:pPr>
        <w:pStyle w:val="895"/>
        <w:spacing w:line="360" w:lineRule="auto"/>
        <w:rPr>
          <w:rFonts w:ascii="宋体" w:hAnsi="宋体" w:cs="Arial"/>
          <w:color w:val="000000"/>
          <w:sz w:val="24"/>
        </w:rPr>
      </w:pPr>
      <w:r>
        <w:rPr>
          <w:rFonts w:hint="eastAsia" w:ascii="宋体;SimSun" w:hAnsi="宋体;SimSun" w:cs="宋体;SimSun"/>
          <w:color w:val="000000"/>
          <w:sz w:val="24"/>
        </w:rPr>
        <w:t xml:space="preserve">22.3.1根据政府采购法及相关法规，以及苏州市财政局《关于印发苏州市市级政府采购信用记录查询和使用工作试行办法的通知》（苏财购（2017）11号）文件的规定，招标代理机构将对供应商进行信用查询。对列入失信被执行人、重大税收违法案件当事人名单、政府采购严重违法失信行为记录名单的供应商，拒绝其参与政府采购活动</w:t>
      </w:r>
      <w:r>
        <w:rPr>
          <w:rFonts w:hint="eastAsia" w:ascii="宋体" w:hAnsi="宋体" w:cs="Arial"/>
          <w:color w:val="000000"/>
          <w:sz w:val="24"/>
        </w:rPr>
        <w:t xml:space="preserve">。</w:t>
      </w:r>
      <w:r>
        <w:rPr>
          <w:rFonts w:ascii="宋体" w:hAnsi="宋体" w:cs="Arial"/>
          <w:color w:val="000000"/>
          <w:sz w:val="24"/>
        </w:rPr>
      </w:r>
      <w:r/>
    </w:p>
    <w:p>
      <w:pPr>
        <w:pStyle w:val="895"/>
        <w:spacing w:line="360" w:lineRule="auto"/>
        <w:rPr>
          <w:rFonts w:ascii="宋体" w:hAnsi="宋体" w:cs="Arial"/>
          <w:color w:val="000000"/>
          <w:sz w:val="24"/>
        </w:rPr>
      </w:pPr>
      <w:r>
        <w:rPr>
          <w:rFonts w:hint="eastAsia" w:ascii="宋体" w:hAnsi="宋体" w:cs="Arial"/>
          <w:color w:val="000000"/>
          <w:sz w:val="24"/>
        </w:rPr>
        <w:t xml:space="preserve">查询时间：开标</w:t>
      </w:r>
      <w:r>
        <w:rPr>
          <w:rFonts w:hint="eastAsia" w:ascii="宋体;SimSun" w:hAnsi="宋体;SimSun" w:cs="宋体;SimSun"/>
          <w:color w:val="000000"/>
          <w:sz w:val="24"/>
        </w:rPr>
        <w:t xml:space="preserve">当天</w:t>
      </w:r>
      <w:r>
        <w:rPr>
          <w:rFonts w:hint="eastAsia" w:ascii="宋体" w:hAnsi="宋体" w:cs="Arial"/>
          <w:color w:val="000000"/>
          <w:sz w:val="24"/>
        </w:rPr>
        <w:t xml:space="preserve">。</w:t>
      </w:r>
      <w:r>
        <w:rPr>
          <w:rFonts w:ascii="宋体" w:hAnsi="宋体" w:cs="Arial"/>
          <w:color w:val="000000"/>
          <w:sz w:val="24"/>
        </w:rPr>
      </w:r>
      <w:r/>
    </w:p>
    <w:p>
      <w:pPr>
        <w:pStyle w:val="895"/>
        <w:spacing w:line="360" w:lineRule="auto"/>
        <w:rPr>
          <w:rFonts w:ascii="宋体" w:hAnsi="宋体" w:cs="宋体"/>
          <w:b/>
          <w:color w:val="000000"/>
          <w:sz w:val="24"/>
        </w:rPr>
      </w:pPr>
      <w:r>
        <w:rPr>
          <w:rFonts w:hint="eastAsia" w:ascii="宋体" w:hAnsi="宋体" w:cs="Arial"/>
          <w:color w:val="000000"/>
          <w:sz w:val="24"/>
        </w:rPr>
        <w:t xml:space="preserve">查询渠道：</w:t>
      </w:r>
      <w:bookmarkStart w:id="87" w:name="OLE_LINK72"/>
      <w:r>
        <w:rPr>
          <w:rFonts w:hint="eastAsia" w:ascii="宋体" w:hAnsi="宋体"/>
          <w:bCs/>
          <w:color w:val="000000"/>
          <w:sz w:val="24"/>
          <w:szCs w:val="21"/>
        </w:rPr>
        <w:t xml:space="preserve">“信用中国”网站。</w:t>
      </w:r>
      <w:r>
        <w:rPr>
          <w:rFonts w:hint="eastAsia" w:ascii="宋体" w:hAnsi="宋体"/>
          <w:b/>
          <w:bCs/>
          <w:color w:val="000000"/>
          <w:sz w:val="24"/>
          <w:szCs w:val="21"/>
        </w:rPr>
        <w:t xml:space="preserve">为防止网络问题等原因无法查询，供应商应自行将“信用中国”网站信用查询记录截图或信用报告放入响应文件。</w:t>
      </w:r>
      <w:r>
        <w:rPr>
          <w:rFonts w:ascii="宋体" w:hAnsi="宋体" w:cs="宋体"/>
          <w:b/>
          <w:color w:val="000000"/>
          <w:sz w:val="24"/>
        </w:rPr>
      </w:r>
      <w:r/>
    </w:p>
    <w:p>
      <w:pPr>
        <w:pStyle w:val="895"/>
        <w:spacing w:line="360" w:lineRule="auto"/>
        <w:rPr>
          <w:rFonts w:ascii="宋体" w:hAnsi="宋体" w:cs="宋体"/>
          <w:color w:val="000000"/>
          <w:sz w:val="24"/>
        </w:rPr>
      </w:pPr>
      <w:r/>
      <w:bookmarkEnd w:id="87"/>
      <w:r>
        <w:rPr>
          <w:rFonts w:hint="eastAsia" w:ascii="宋体" w:hAnsi="宋体" w:cs="宋体"/>
          <w:color w:val="000000"/>
          <w:sz w:val="24"/>
        </w:rPr>
        <w:t xml:space="preserve">22.3.2评审小组在对供应商进行审查时，应根据《搜索结果》对供应商的不良信用记录逐项甄别确认。按照《中华人民共和国政府采购法》第二十二条规定，下列信用记录属于应依法拒绝供应商参加政府采购的失信信息：</w:t>
      </w:r>
      <w:r>
        <w:rPr>
          <w:rFonts w:ascii="宋体" w:hAnsi="宋体" w:cs="宋体"/>
          <w:color w:val="000000"/>
          <w:sz w:val="24"/>
        </w:rPr>
      </w:r>
      <w:r/>
    </w:p>
    <w:p>
      <w:pPr>
        <w:pStyle w:val="895"/>
        <w:spacing w:line="360" w:lineRule="auto"/>
        <w:rPr>
          <w:rFonts w:ascii="宋体" w:hAnsi="宋体" w:cs="宋体"/>
          <w:color w:val="000000"/>
          <w:sz w:val="24"/>
        </w:rPr>
      </w:pPr>
      <w:r>
        <w:rPr>
          <w:rFonts w:hint="eastAsia" w:ascii="宋体" w:hAnsi="宋体" w:cs="宋体"/>
          <w:color w:val="000000"/>
          <w:sz w:val="24"/>
        </w:rPr>
        <w:t xml:space="preserve">（一）政府采购严重违法记录，即供应商被全国各级财政部门列入“政府采购严重违法失信行为记录名单”，且在处罚有效期内的。</w:t>
      </w:r>
      <w:r>
        <w:rPr>
          <w:rFonts w:ascii="宋体" w:hAnsi="宋体" w:cs="宋体"/>
          <w:color w:val="000000"/>
          <w:sz w:val="24"/>
        </w:rPr>
      </w:r>
      <w:r/>
    </w:p>
    <w:p>
      <w:pPr>
        <w:pStyle w:val="895"/>
        <w:spacing w:line="360" w:lineRule="auto"/>
        <w:rPr>
          <w:rFonts w:ascii="宋体" w:hAnsi="宋体" w:cs="宋体"/>
          <w:color w:val="000000"/>
          <w:sz w:val="24"/>
        </w:rPr>
      </w:pPr>
      <w:r>
        <w:rPr>
          <w:rFonts w:hint="eastAsia" w:ascii="宋体" w:hAnsi="宋体" w:cs="宋体"/>
          <w:color w:val="000000"/>
          <w:sz w:val="24"/>
        </w:rPr>
        <w:t xml:space="preserve">（二）财政部门与法院、工商、税务等部门联合惩戒的失信信息，包括：</w:t>
      </w:r>
      <w:r>
        <w:rPr>
          <w:rFonts w:ascii="宋体" w:hAnsi="宋体" w:cs="宋体"/>
          <w:color w:val="000000"/>
          <w:sz w:val="24"/>
        </w:rPr>
      </w:r>
      <w:r/>
    </w:p>
    <w:p>
      <w:pPr>
        <w:pStyle w:val="895"/>
        <w:spacing w:line="360" w:lineRule="auto"/>
        <w:rPr>
          <w:rFonts w:ascii="宋体" w:hAnsi="宋体" w:cs="宋体"/>
          <w:color w:val="000000"/>
          <w:sz w:val="24"/>
        </w:rPr>
      </w:pPr>
      <w:r>
        <w:rPr>
          <w:rFonts w:hint="eastAsia" w:ascii="宋体" w:hAnsi="宋体" w:cs="宋体"/>
          <w:color w:val="000000"/>
          <w:sz w:val="24"/>
        </w:rPr>
        <w:t xml:space="preserve">（1）被列入失信被执行人名单；</w:t>
      </w:r>
      <w:r>
        <w:rPr>
          <w:rFonts w:ascii="宋体" w:hAnsi="宋体" w:cs="宋体"/>
          <w:color w:val="000000"/>
          <w:sz w:val="24"/>
        </w:rPr>
      </w:r>
      <w:r/>
    </w:p>
    <w:p>
      <w:pPr>
        <w:pStyle w:val="895"/>
        <w:spacing w:line="360" w:lineRule="auto"/>
        <w:rPr>
          <w:rFonts w:ascii="宋体" w:hAnsi="宋体" w:cs="宋体"/>
          <w:color w:val="000000"/>
          <w:sz w:val="24"/>
        </w:rPr>
      </w:pPr>
      <w:r>
        <w:rPr>
          <w:rFonts w:hint="eastAsia" w:ascii="宋体" w:hAnsi="宋体" w:cs="宋体"/>
          <w:color w:val="000000"/>
          <w:sz w:val="24"/>
        </w:rPr>
        <w:t xml:space="preserve">（2）被列入重大税收违法案件当事人名单；</w:t>
      </w:r>
      <w:r>
        <w:rPr>
          <w:rFonts w:ascii="宋体" w:hAnsi="宋体" w:cs="宋体"/>
          <w:color w:val="000000"/>
          <w:sz w:val="24"/>
        </w:rPr>
      </w:r>
      <w:r/>
    </w:p>
    <w:p>
      <w:pPr>
        <w:pStyle w:val="895"/>
        <w:spacing w:line="360" w:lineRule="auto"/>
        <w:rPr>
          <w:rFonts w:ascii="宋体" w:hAnsi="宋体" w:cs="宋体"/>
          <w:color w:val="000000"/>
          <w:sz w:val="24"/>
        </w:rPr>
      </w:pPr>
      <w:r>
        <w:rPr>
          <w:rFonts w:hint="eastAsia" w:ascii="宋体" w:hAnsi="宋体" w:cs="宋体"/>
          <w:color w:val="000000"/>
          <w:sz w:val="24"/>
        </w:rPr>
        <w:t xml:space="preserve">（3）企业经营异常名录中被责令停产停业、暂扣或者吊销许可证或者执照，或者对经营活动中的违法行为处以200万元以上数额罚款的信用记录。处罚生效日至递交（响应）文件日未满三年的。</w:t>
      </w:r>
      <w:r>
        <w:rPr>
          <w:rFonts w:ascii="宋体" w:hAnsi="宋体" w:cs="宋体"/>
          <w:color w:val="000000"/>
          <w:sz w:val="24"/>
        </w:rPr>
      </w:r>
      <w:r/>
    </w:p>
    <w:p>
      <w:pPr>
        <w:pStyle w:val="895"/>
        <w:spacing w:line="360" w:lineRule="auto"/>
        <w:rPr>
          <w:rFonts w:hint="eastAsia" w:ascii="宋体" w:hAnsi="宋体"/>
          <w:b/>
          <w:bCs/>
          <w:color w:val="000000"/>
          <w:sz w:val="24"/>
        </w:rPr>
      </w:pPr>
      <w:r>
        <w:rPr>
          <w:rFonts w:hint="eastAsia" w:ascii="宋体" w:hAnsi="宋体" w:cs="宋体"/>
          <w:color w:val="000000"/>
          <w:sz w:val="24"/>
        </w:rPr>
        <w:t xml:space="preserve">22.3.3查询证据留存方式：对存在失信信息的供应商，采购代理机构应</w:t>
      </w:r>
      <w:r>
        <w:rPr>
          <w:rFonts w:hint="eastAsia" w:ascii="宋体" w:hAnsi="宋体"/>
          <w:color w:val="000000"/>
          <w:sz w:val="24"/>
        </w:rPr>
        <w:t xml:space="preserve">打印查询的信用报告，由评标委员会进行认定</w:t>
      </w:r>
      <w:r>
        <w:rPr>
          <w:rFonts w:hint="eastAsia" w:ascii="宋体" w:hAnsi="宋体" w:cs="宋体"/>
          <w:color w:val="000000"/>
          <w:sz w:val="24"/>
        </w:rPr>
        <w:t xml:space="preserve">。</w:t>
      </w:r>
      <w:r>
        <w:rPr>
          <w:rFonts w:hint="eastAsia" w:ascii="宋体" w:hAnsi="宋体"/>
          <w:b/>
          <w:bCs/>
          <w:color w:val="000000"/>
          <w:sz w:val="24"/>
        </w:rPr>
      </w:r>
      <w:r/>
    </w:p>
    <w:p>
      <w:pPr>
        <w:pStyle w:val="895"/>
        <w:spacing w:line="360" w:lineRule="auto"/>
        <w:rPr>
          <w:rFonts w:ascii="宋体" w:hAnsi="宋体"/>
          <w:b/>
          <w:sz w:val="24"/>
          <w:szCs w:val="20"/>
        </w:rPr>
      </w:pPr>
      <w:r>
        <w:rPr>
          <w:rFonts w:hint="eastAsia" w:ascii="宋体" w:hAnsi="宋体"/>
          <w:b/>
          <w:sz w:val="24"/>
        </w:rPr>
        <w:t xml:space="preserve">23. 评标委员会或评标小组</w:t>
      </w:r>
      <w:r>
        <w:rPr>
          <w:rFonts w:ascii="宋体" w:hAnsi="宋体"/>
          <w:b/>
          <w:sz w:val="24"/>
          <w:szCs w:val="20"/>
        </w:rPr>
      </w:r>
      <w:r/>
    </w:p>
    <w:p>
      <w:pPr>
        <w:pStyle w:val="908"/>
        <w:ind w:firstLine="0"/>
        <w:spacing w:line="360" w:lineRule="auto"/>
        <w:rPr>
          <w:rFonts w:hint="eastAsia" w:ascii="宋体" w:hAnsi="宋体" w:eastAsia="宋体" w:cs="宋体"/>
          <w:color w:val="000000"/>
          <w:szCs w:val="24"/>
        </w:rPr>
      </w:pPr>
      <w:r>
        <w:rPr>
          <w:rFonts w:ascii="宋体" w:hAnsi="宋体" w:eastAsia="宋体"/>
        </w:rPr>
        <w:t xml:space="preserve">23.1 </w:t>
      </w:r>
      <w:r>
        <w:rPr>
          <w:rFonts w:hint="eastAsia" w:ascii="宋体" w:hAnsi="宋体" w:eastAsia="宋体"/>
        </w:rPr>
        <w:t xml:space="preserve">评</w:t>
      </w:r>
      <w:r>
        <w:rPr>
          <w:rFonts w:hint="eastAsia" w:ascii="宋体" w:hAnsi="宋体" w:eastAsia="宋体" w:cs="宋体"/>
          <w:color w:val="000000"/>
          <w:szCs w:val="24"/>
        </w:rPr>
        <w:t xml:space="preserve">标委员会或评标小组（以下简称评标委员会）依法组建，负责本项目的评标事务。</w:t>
      </w:r>
      <w:r/>
    </w:p>
    <w:p>
      <w:pPr>
        <w:pStyle w:val="895"/>
        <w:spacing w:line="360" w:lineRule="auto"/>
        <w:rPr>
          <w:rFonts w:ascii="宋体" w:hAnsi="宋体"/>
          <w:b/>
          <w:sz w:val="24"/>
          <w:szCs w:val="20"/>
        </w:rPr>
      </w:pPr>
      <w:r>
        <w:rPr>
          <w:rFonts w:hint="eastAsia" w:ascii="宋体" w:hAnsi="宋体"/>
          <w:b/>
          <w:sz w:val="24"/>
        </w:rPr>
        <w:t xml:space="preserve">24. 评标内容的保密</w:t>
      </w:r>
      <w:r>
        <w:rPr>
          <w:rFonts w:ascii="宋体" w:hAnsi="宋体"/>
          <w:b/>
          <w:sz w:val="24"/>
          <w:szCs w:val="20"/>
        </w:rPr>
      </w:r>
      <w:r/>
    </w:p>
    <w:p>
      <w:pPr>
        <w:pStyle w:val="908"/>
        <w:ind w:firstLine="0"/>
        <w:spacing w:line="360" w:lineRule="auto"/>
        <w:rPr>
          <w:rFonts w:ascii="宋体" w:hAnsi="宋体" w:eastAsia="宋体"/>
        </w:rPr>
      </w:pPr>
      <w:r>
        <w:rPr>
          <w:rFonts w:ascii="宋体" w:hAnsi="宋体" w:eastAsia="宋体"/>
        </w:rPr>
        <w:t xml:space="preserve">24.1 </w:t>
      </w:r>
      <w:r>
        <w:rPr>
          <w:rFonts w:hint="eastAsia" w:ascii="宋体" w:hAnsi="宋体" w:eastAsia="宋体"/>
        </w:rPr>
        <w:t xml:space="preserve">公开开标后，直到宣布授予中标单位中标为止，凡属于审查、澄清、评价和比较投标的所有资料，有关授予中标的信息都不应向投标人或与评标无关的其他人泄露。</w:t>
      </w:r>
      <w:r>
        <w:rPr>
          <w:rFonts w:ascii="宋体" w:hAnsi="宋体" w:eastAsia="宋体"/>
        </w:rPr>
      </w:r>
      <w:r/>
    </w:p>
    <w:p>
      <w:pPr>
        <w:pStyle w:val="908"/>
        <w:ind w:firstLine="0"/>
        <w:spacing w:line="360" w:lineRule="auto"/>
        <w:rPr>
          <w:rFonts w:ascii="宋体" w:hAnsi="宋体" w:eastAsia="宋体"/>
        </w:rPr>
      </w:pPr>
      <w:r>
        <w:rPr>
          <w:rFonts w:ascii="宋体" w:hAnsi="宋体" w:eastAsia="宋体"/>
        </w:rPr>
        <w:t xml:space="preserve">24.2  </w:t>
      </w:r>
      <w:r>
        <w:rPr>
          <w:rFonts w:hint="eastAsia" w:ascii="宋体" w:hAnsi="宋体" w:eastAsia="宋体"/>
        </w:rPr>
        <w:t xml:space="preserve">在投标文件的审查、澄清、评价和比较以及授予中标的过程中，投标人对招标代理人和评标委员会成员施加影响的任何行为，都将取消其投标资格。</w:t>
      </w:r>
      <w:r>
        <w:rPr>
          <w:rFonts w:ascii="宋体" w:hAnsi="宋体" w:eastAsia="宋体"/>
        </w:rPr>
      </w:r>
      <w:r/>
    </w:p>
    <w:p>
      <w:pPr>
        <w:pStyle w:val="895"/>
        <w:spacing w:line="360" w:lineRule="auto"/>
        <w:rPr>
          <w:rFonts w:ascii="宋体" w:hAnsi="宋体"/>
          <w:b/>
          <w:sz w:val="24"/>
          <w:szCs w:val="20"/>
        </w:rPr>
      </w:pPr>
      <w:r>
        <w:rPr>
          <w:rFonts w:hint="eastAsia" w:ascii="宋体" w:hAnsi="宋体"/>
          <w:b/>
          <w:sz w:val="24"/>
        </w:rPr>
        <w:t xml:space="preserve">25. 对投标文件初审</w:t>
      </w:r>
      <w:r>
        <w:rPr>
          <w:rFonts w:ascii="宋体" w:hAnsi="宋体"/>
          <w:b/>
          <w:sz w:val="24"/>
          <w:szCs w:val="20"/>
        </w:rPr>
      </w:r>
      <w:r/>
    </w:p>
    <w:p>
      <w:pPr>
        <w:pStyle w:val="895"/>
        <w:spacing w:line="360" w:lineRule="auto"/>
      </w:pPr>
      <w:r>
        <w:rPr>
          <w:rFonts w:ascii="宋体" w:hAnsi="宋体" w:cs="宋体"/>
          <w:sz w:val="24"/>
        </w:rPr>
        <w:t xml:space="preserve">25.1 </w:t>
      </w:r>
      <w:r>
        <w:rPr>
          <w:rFonts w:hint="eastAsia" w:ascii="宋体" w:hAnsi="宋体" w:cs="宋体"/>
          <w:sz w:val="24"/>
        </w:rPr>
        <w:t xml:space="preserve">初审内容为投标文件是否实质性响应招标文件的要求、内容是否完整、价格构成有无计算错误、文件签署是否齐全。</w:t>
      </w:r>
      <w:r/>
    </w:p>
    <w:p>
      <w:pPr>
        <w:pStyle w:val="895"/>
        <w:spacing w:line="360" w:lineRule="auto"/>
        <w:rPr>
          <w:rFonts w:ascii="宋体" w:hAnsi="宋体"/>
          <w:sz w:val="24"/>
        </w:rPr>
      </w:pPr>
      <w:r>
        <w:rPr>
          <w:rFonts w:ascii="宋体" w:hAnsi="宋体"/>
          <w:sz w:val="24"/>
        </w:rPr>
        <w:t xml:space="preserve">25.2 </w:t>
      </w:r>
      <w:r>
        <w:rPr>
          <w:rFonts w:hint="eastAsia" w:ascii="宋体" w:hAnsi="宋体"/>
          <w:sz w:val="24"/>
        </w:rPr>
        <w:t xml:space="preserve">初审中，投标文件报价出现前后不一致的，按下述规定修正：</w:t>
      </w:r>
      <w:r>
        <w:rPr>
          <w:rFonts w:ascii="宋体" w:hAnsi="宋体"/>
          <w:sz w:val="24"/>
        </w:rPr>
      </w:r>
      <w:r/>
    </w:p>
    <w:p>
      <w:pPr>
        <w:pStyle w:val="895"/>
        <w:spacing w:line="360" w:lineRule="auto"/>
        <w:rPr>
          <w:rFonts w:hint="eastAsia" w:ascii="宋体" w:hAnsi="宋体"/>
          <w:sz w:val="24"/>
        </w:rPr>
      </w:pPr>
      <w:r>
        <w:rPr>
          <w:rFonts w:ascii="宋体" w:hAnsi="宋体"/>
          <w:sz w:val="24"/>
        </w:rPr>
        <w:t xml:space="preserve">25.2.1 </w:t>
      </w:r>
      <w:r>
        <w:rPr>
          <w:rFonts w:hint="eastAsia" w:ascii="宋体" w:hAnsi="宋体"/>
          <w:sz w:val="24"/>
        </w:rPr>
        <w:t xml:space="preserve">投标文件中开标一览表（报价表）内容与投标文件中相应内容不一致的，以开标一览表（报价表）为准。</w:t>
      </w:r>
      <w:r/>
    </w:p>
    <w:p>
      <w:pPr>
        <w:pStyle w:val="895"/>
        <w:spacing w:line="360" w:lineRule="auto"/>
        <w:rPr>
          <w:rFonts w:hint="eastAsia" w:ascii="宋体" w:hAnsi="宋体"/>
          <w:sz w:val="24"/>
        </w:rPr>
      </w:pPr>
      <w:r>
        <w:rPr>
          <w:rFonts w:hint="eastAsia" w:ascii="宋体" w:hAnsi="宋体"/>
          <w:sz w:val="24"/>
        </w:rPr>
        <w:t xml:space="preserve">25.2.2大写金额与小写金额不一致的，以大写金额为准。</w:t>
      </w:r>
      <w:r/>
    </w:p>
    <w:p>
      <w:pPr>
        <w:pStyle w:val="895"/>
        <w:spacing w:line="360" w:lineRule="auto"/>
        <w:rPr>
          <w:rFonts w:hint="eastAsia" w:ascii="宋体" w:hAnsi="宋体"/>
          <w:sz w:val="24"/>
        </w:rPr>
      </w:pPr>
      <w:r>
        <w:rPr>
          <w:rFonts w:hint="eastAsia" w:ascii="宋体" w:hAnsi="宋体"/>
          <w:sz w:val="24"/>
        </w:rPr>
        <w:t xml:space="preserve">25.2.3单价金额小数点或者百分比有明显错位的，以开标一览表的总价为准，并修改单价。</w:t>
      </w:r>
      <w:r/>
    </w:p>
    <w:p>
      <w:pPr>
        <w:pStyle w:val="895"/>
        <w:spacing w:line="360" w:lineRule="auto"/>
        <w:rPr>
          <w:rFonts w:hint="eastAsia" w:ascii="宋体" w:hAnsi="宋体"/>
          <w:sz w:val="24"/>
        </w:rPr>
      </w:pPr>
      <w:r>
        <w:rPr>
          <w:rFonts w:hint="eastAsia" w:ascii="宋体" w:hAnsi="宋体"/>
          <w:sz w:val="24"/>
        </w:rPr>
        <w:t xml:space="preserve">25.2.4总价金额与按单价汇总金额不一致的，以单价金额计算结果为准。</w:t>
      </w:r>
      <w:r/>
    </w:p>
    <w:p>
      <w:pPr>
        <w:pStyle w:val="895"/>
        <w:spacing w:line="360" w:lineRule="auto"/>
        <w:rPr>
          <w:rFonts w:ascii="宋体" w:hAnsi="宋体"/>
          <w:sz w:val="24"/>
        </w:rPr>
      </w:pPr>
      <w:r>
        <w:rPr>
          <w:rFonts w:ascii="宋体" w:hAnsi="宋体"/>
          <w:sz w:val="24"/>
        </w:rPr>
        <w:t xml:space="preserve">25.2.</w:t>
      </w:r>
      <w:r>
        <w:rPr>
          <w:rFonts w:hint="eastAsia" w:ascii="宋体" w:hAnsi="宋体"/>
          <w:sz w:val="24"/>
        </w:rPr>
        <w:t xml:space="preserve">5同时出现2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rPr>
          <w:rFonts w:ascii="宋体" w:hAnsi="宋体"/>
          <w:sz w:val="24"/>
        </w:rPr>
      </w:r>
      <w:r/>
    </w:p>
    <w:p>
      <w:pPr>
        <w:pStyle w:val="895"/>
        <w:spacing w:line="360" w:lineRule="auto"/>
        <w:rPr>
          <w:rFonts w:hint="eastAsia" w:ascii="宋体" w:hAnsi="宋体" w:cs="宋体"/>
          <w:sz w:val="24"/>
        </w:rPr>
      </w:pPr>
      <w:r>
        <w:rPr>
          <w:rFonts w:ascii="宋体" w:hAnsi="宋体" w:cs="宋体"/>
          <w:sz w:val="24"/>
        </w:rPr>
        <w:t xml:space="preserve">25.3 </w:t>
      </w:r>
      <w:r>
        <w:rPr>
          <w:rFonts w:hint="eastAsia" w:ascii="宋体" w:hAnsi="宋体" w:cs="宋体"/>
          <w:sz w:val="24"/>
        </w:rPr>
        <w:t xml:space="preserve">与招标文件有重大偏离的投标文件将被拒绝。重大偏离系指服务的质量、内容、标准、数量及期限等明显不能满足招标文件的要求。这些偏离不允许在开标后修正。但招标代理人将允许修改投标中不构成重大偏离的微小的、非正规、不一致或不规则的地方。</w:t>
      </w:r>
      <w:r/>
    </w:p>
    <w:p>
      <w:pPr>
        <w:pStyle w:val="895"/>
        <w:spacing w:line="360" w:lineRule="auto"/>
        <w:rPr>
          <w:rFonts w:ascii="宋体" w:hAnsi="宋体" w:cs="宋体"/>
          <w:b/>
          <w:color w:val="000000"/>
          <w:sz w:val="24"/>
        </w:rPr>
      </w:pPr>
      <w:r>
        <w:rPr>
          <w:rFonts w:hint="eastAsia" w:ascii="宋体" w:hAnsi="宋体" w:eastAsia="仿宋" w:cs="宋体"/>
          <w:b/>
          <w:color w:val="000000"/>
          <w:sz w:val="24"/>
          <w:szCs w:val="20"/>
        </w:rPr>
        <w:t xml:space="preserve">25.4</w:t>
      </w:r>
      <w:r>
        <w:rPr>
          <w:rFonts w:hint="eastAsia" w:ascii="宋体" w:hAnsi="宋体" w:cs="宋体"/>
          <w:b/>
          <w:color w:val="000000"/>
          <w:sz w:val="24"/>
        </w:rPr>
        <w:t xml:space="preserve">供应商</w:t>
      </w:r>
      <w:r>
        <w:rPr>
          <w:rFonts w:ascii="宋体" w:hAnsi="宋体" w:cs="宋体"/>
          <w:b/>
          <w:color w:val="000000"/>
          <w:sz w:val="24"/>
        </w:rPr>
        <w:t xml:space="preserve">的报价出现下列情形之一的，</w:t>
      </w:r>
      <w:r>
        <w:rPr>
          <w:rFonts w:hint="eastAsia" w:ascii="宋体" w:hAnsi="宋体" w:cs="宋体"/>
          <w:b/>
          <w:color w:val="000000"/>
          <w:sz w:val="24"/>
        </w:rPr>
        <w:t xml:space="preserve">评标</w:t>
      </w:r>
      <w:r>
        <w:rPr>
          <w:rFonts w:ascii="宋体" w:hAnsi="宋体" w:cs="宋体"/>
          <w:b/>
          <w:color w:val="000000"/>
          <w:sz w:val="24"/>
        </w:rPr>
        <w:t xml:space="preserve">委员会启动异常低价投标</w:t>
      </w:r>
      <w:r>
        <w:rPr>
          <w:rFonts w:hint="eastAsia" w:ascii="宋体" w:hAnsi="宋体" w:cs="宋体"/>
          <w:b/>
          <w:color w:val="000000"/>
          <w:sz w:val="24"/>
        </w:rPr>
        <w:t xml:space="preserve">（响应）</w:t>
      </w:r>
      <w:r>
        <w:rPr>
          <w:rFonts w:ascii="宋体" w:hAnsi="宋体" w:cs="宋体"/>
          <w:b/>
          <w:color w:val="000000"/>
          <w:sz w:val="24"/>
        </w:rPr>
        <w:t xml:space="preserve">审查程序：</w:t>
      </w:r>
      <w:r/>
    </w:p>
    <w:p>
      <w:pPr>
        <w:pStyle w:val="895"/>
        <w:spacing w:line="360" w:lineRule="auto"/>
        <w:rPr>
          <w:rFonts w:ascii="宋体" w:hAnsi="宋体" w:cs="宋体"/>
          <w:color w:val="000000"/>
          <w:sz w:val="24"/>
        </w:rPr>
      </w:pPr>
      <w:r/>
      <w:bookmarkStart w:id="88" w:name="OLE_LINK80"/>
      <w:r/>
      <w:bookmarkStart w:id="89" w:name="OLE_LINK81"/>
      <w:r>
        <w:rPr>
          <w:rFonts w:hint="eastAsia" w:ascii="宋体" w:hAnsi="宋体" w:cs="宋体"/>
          <w:color w:val="000000"/>
          <w:sz w:val="24"/>
        </w:rPr>
        <w:t xml:space="preserve">（1）</w:t>
      </w:r>
      <w:bookmarkEnd w:id="88"/>
      <w:r/>
      <w:bookmarkEnd w:id="89"/>
      <w:r>
        <w:rPr>
          <w:rFonts w:hint="eastAsia" w:ascii="宋体" w:hAnsi="宋体" w:cs="宋体"/>
          <w:color w:val="000000"/>
          <w:sz w:val="24"/>
        </w:rPr>
        <w:t xml:space="preserve">投标</w:t>
      </w:r>
      <w:bookmarkStart w:id="90" w:name="OLE_LINK79"/>
      <w:r/>
      <w:bookmarkStart w:id="91" w:name="OLE_LINK78"/>
      <w:r>
        <w:rPr>
          <w:rFonts w:hint="eastAsia" w:ascii="宋体" w:hAnsi="宋体" w:cs="宋体"/>
          <w:color w:val="000000"/>
          <w:sz w:val="24"/>
        </w:rPr>
        <w:t xml:space="preserve">（响应）</w:t>
      </w:r>
      <w:bookmarkEnd w:id="90"/>
      <w:r/>
      <w:bookmarkEnd w:id="91"/>
      <w:r>
        <w:rPr>
          <w:rFonts w:hint="eastAsia" w:ascii="宋体" w:hAnsi="宋体" w:cs="宋体"/>
          <w:color w:val="000000"/>
          <w:sz w:val="24"/>
        </w:rPr>
        <w:t xml:space="preserve">报价低于全部通过符合性审查供应商投标（响应）报价平均值50%的，即投标（响应）报价&lt;全部通过符合性审查供应商投标（响应）报价平均值×50%；</w:t>
      </w:r>
      <w:r>
        <w:rPr>
          <w:rFonts w:ascii="宋体" w:hAnsi="宋体" w:cs="宋体"/>
          <w:color w:val="000000"/>
          <w:sz w:val="24"/>
        </w:rPr>
      </w:r>
      <w:r/>
    </w:p>
    <w:p>
      <w:pPr>
        <w:pStyle w:val="895"/>
        <w:spacing w:line="360" w:lineRule="auto"/>
        <w:rPr>
          <w:rFonts w:ascii="宋体" w:hAnsi="宋体" w:cs="宋体"/>
          <w:color w:val="000000"/>
          <w:sz w:val="24"/>
        </w:rPr>
      </w:pPr>
      <w:r>
        <w:rPr>
          <w:rFonts w:hint="eastAsia" w:ascii="宋体" w:hAnsi="宋体" w:cs="宋体"/>
          <w:color w:val="000000"/>
          <w:sz w:val="24"/>
        </w:rPr>
        <w:t xml:space="preserve">（2）投标（响应）报价低于通过符合性审查的次低报价供应商投标（响应）报价50%的，即投标（响应）报价&lt;通过符合性审查的次低报价供应商投标（响应）报价×50%；</w:t>
      </w:r>
      <w:r>
        <w:rPr>
          <w:rFonts w:ascii="宋体" w:hAnsi="宋体" w:cs="宋体"/>
          <w:color w:val="000000"/>
          <w:sz w:val="24"/>
        </w:rPr>
      </w:r>
      <w:r/>
    </w:p>
    <w:p>
      <w:pPr>
        <w:pStyle w:val="895"/>
        <w:spacing w:line="360" w:lineRule="auto"/>
        <w:rPr>
          <w:rFonts w:ascii="宋体" w:hAnsi="宋体" w:cs="宋体"/>
          <w:color w:val="000000"/>
          <w:sz w:val="24"/>
        </w:rPr>
      </w:pPr>
      <w:r>
        <w:rPr>
          <w:rFonts w:hint="eastAsia" w:ascii="宋体" w:hAnsi="宋体" w:cs="宋体"/>
          <w:color w:val="000000"/>
          <w:sz w:val="24"/>
        </w:rPr>
        <w:t xml:space="preserve">（3）投标（响应）报价低于采购项目最高限价45%的，即投标（响应）报价&lt;采购项目最高限价×45%；</w:t>
      </w:r>
      <w:r>
        <w:rPr>
          <w:rFonts w:ascii="宋体" w:hAnsi="宋体" w:cs="宋体"/>
          <w:color w:val="000000"/>
          <w:sz w:val="24"/>
        </w:rPr>
      </w:r>
      <w:r/>
    </w:p>
    <w:p>
      <w:pPr>
        <w:pStyle w:val="895"/>
        <w:spacing w:line="360" w:lineRule="auto"/>
        <w:rPr>
          <w:rFonts w:ascii="宋体" w:hAnsi="宋体" w:cs="宋体"/>
          <w:color w:val="000000"/>
          <w:sz w:val="24"/>
        </w:rPr>
      </w:pPr>
      <w:r>
        <w:rPr>
          <w:rFonts w:hint="eastAsia" w:ascii="宋体" w:hAnsi="宋体" w:cs="宋体"/>
          <w:color w:val="000000"/>
          <w:sz w:val="24"/>
        </w:rPr>
        <w:t xml:space="preserve">（4）评审委员会基于专业判断，认为供应商报价过低，有可能影响产品质量或者不能诚信履约的其他情形。</w:t>
      </w:r>
      <w:r>
        <w:rPr>
          <w:rFonts w:ascii="宋体" w:hAnsi="宋体" w:cs="宋体"/>
          <w:color w:val="000000"/>
          <w:sz w:val="24"/>
        </w:rPr>
      </w:r>
      <w:r/>
    </w:p>
    <w:p>
      <w:pPr>
        <w:pStyle w:val="895"/>
        <w:spacing w:line="360" w:lineRule="auto"/>
        <w:rPr>
          <w:rFonts w:ascii="宋体" w:hAnsi="宋体" w:cs="宋体"/>
          <w:color w:val="000000"/>
          <w:sz w:val="24"/>
        </w:rPr>
      </w:pPr>
      <w:r>
        <w:rPr>
          <w:rFonts w:hint="eastAsia" w:ascii="宋体" w:hAnsi="宋体" w:cs="宋体"/>
          <w:color w:val="000000"/>
          <w:sz w:val="24"/>
        </w:rPr>
        <w:t xml:space="preserve">评审委员会启动异常低价投标</w:t>
      </w:r>
      <w:bookmarkStart w:id="92" w:name="OLE_LINK83"/>
      <w:r/>
      <w:bookmarkStart w:id="93" w:name="OLE_LINK82"/>
      <w:r>
        <w:rPr>
          <w:rFonts w:hint="eastAsia" w:ascii="宋体" w:hAnsi="宋体" w:cs="宋体"/>
          <w:color w:val="000000"/>
          <w:sz w:val="24"/>
        </w:rPr>
        <w:t xml:space="preserve">（响应）</w:t>
      </w:r>
      <w:bookmarkEnd w:id="92"/>
      <w:r/>
      <w:bookmarkEnd w:id="93"/>
      <w:r>
        <w:rPr>
          <w:rFonts w:hint="eastAsia" w:ascii="宋体" w:hAnsi="宋体" w:cs="宋体"/>
          <w:color w:val="000000"/>
          <w:sz w:val="24"/>
        </w:rPr>
        <w:t xml:space="preserve">审查后，应当要求相关供应商在评审现场合理的时间内对投标</w:t>
      </w:r>
      <w:bookmarkStart w:id="94" w:name="OLE_LINK85"/>
      <w:r/>
      <w:bookmarkStart w:id="95" w:name="OLE_LINK84"/>
      <w:r>
        <w:rPr>
          <w:rFonts w:hint="eastAsia" w:ascii="宋体" w:hAnsi="宋体" w:cs="宋体"/>
          <w:color w:val="000000"/>
          <w:sz w:val="24"/>
        </w:rPr>
        <w:t xml:space="preserve">（响应）</w:t>
      </w:r>
      <w:bookmarkEnd w:id="94"/>
      <w:r/>
      <w:bookmarkEnd w:id="95"/>
      <w:r>
        <w:rPr>
          <w:rFonts w:hint="eastAsia" w:ascii="宋体" w:hAnsi="宋体" w:cs="宋体"/>
          <w:color w:val="000000"/>
          <w:sz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color w:val="000000"/>
          <w:sz w:val="24"/>
        </w:rPr>
      </w:r>
      <w:r/>
    </w:p>
    <w:p>
      <w:pPr>
        <w:pStyle w:val="895"/>
        <w:spacing w:line="360" w:lineRule="auto"/>
        <w:rPr>
          <w:rFonts w:ascii="宋体" w:hAnsi="宋体" w:cs="宋体"/>
          <w:color w:val="000000"/>
          <w:sz w:val="24"/>
        </w:rPr>
      </w:pPr>
      <w:r>
        <w:rPr>
          <w:rFonts w:hint="eastAsia" w:ascii="宋体" w:hAnsi="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color w:val="000000"/>
          <w:sz w:val="24"/>
        </w:rPr>
      </w:r>
      <w:r/>
    </w:p>
    <w:p>
      <w:pPr>
        <w:pStyle w:val="895"/>
        <w:spacing w:line="360" w:lineRule="auto"/>
        <w:rPr>
          <w:rFonts w:ascii="宋体" w:hAnsi="宋体"/>
          <w:color w:val="000000"/>
          <w:sz w:val="24"/>
          <w:szCs w:val="20"/>
        </w:rPr>
      </w:pPr>
      <w:r>
        <w:rPr>
          <w:rFonts w:ascii="宋体" w:hAnsi="宋体"/>
          <w:color w:val="000000"/>
          <w:sz w:val="24"/>
        </w:rPr>
        <w:t xml:space="preserve">25.</w:t>
      </w:r>
      <w:r>
        <w:rPr>
          <w:rFonts w:hint="eastAsia" w:ascii="宋体" w:hAnsi="宋体"/>
          <w:color w:val="000000"/>
          <w:sz w:val="24"/>
        </w:rPr>
        <w:t xml:space="preserve">5</w:t>
      </w:r>
      <w:r>
        <w:rPr>
          <w:rFonts w:ascii="宋体" w:hAnsi="宋体"/>
          <w:color w:val="000000"/>
          <w:sz w:val="24"/>
        </w:rPr>
        <w:t xml:space="preserve"> </w:t>
      </w:r>
      <w:r>
        <w:rPr>
          <w:rFonts w:hint="eastAsia" w:ascii="宋体" w:hAnsi="宋体"/>
          <w:color w:val="000000"/>
          <w:sz w:val="24"/>
        </w:rPr>
        <w:t xml:space="preserve">招标代理机构对投标文件的判定，只依据投标内容本身，不依靠开标后的任何外来证明。</w:t>
      </w:r>
      <w:r>
        <w:rPr>
          <w:rFonts w:ascii="宋体" w:hAnsi="宋体"/>
          <w:color w:val="000000"/>
          <w:sz w:val="24"/>
          <w:szCs w:val="20"/>
        </w:rPr>
      </w:r>
      <w:r/>
    </w:p>
    <w:p>
      <w:pPr>
        <w:pStyle w:val="895"/>
        <w:spacing w:line="360" w:lineRule="auto"/>
        <w:rPr>
          <w:rFonts w:ascii="宋体" w:hAnsi="宋体"/>
          <w:b/>
          <w:color w:val="000000"/>
          <w:sz w:val="24"/>
          <w:szCs w:val="20"/>
        </w:rPr>
      </w:pPr>
      <w:r>
        <w:rPr>
          <w:rFonts w:hint="eastAsia" w:ascii="宋体" w:hAnsi="宋体"/>
          <w:b/>
          <w:color w:val="000000"/>
          <w:sz w:val="24"/>
        </w:rPr>
        <w:t xml:space="preserve">26. 投标的澄清</w:t>
      </w:r>
      <w:r>
        <w:rPr>
          <w:rFonts w:ascii="宋体" w:hAnsi="宋体"/>
          <w:b/>
          <w:color w:val="000000"/>
          <w:sz w:val="24"/>
          <w:szCs w:val="20"/>
        </w:rPr>
      </w:r>
      <w:r/>
    </w:p>
    <w:p>
      <w:pPr>
        <w:pStyle w:val="895"/>
        <w:spacing w:line="360" w:lineRule="auto"/>
        <w:rPr>
          <w:rFonts w:ascii="宋体" w:hAnsi="宋体" w:cs="宋体"/>
          <w:color w:val="000000"/>
          <w:sz w:val="24"/>
        </w:rPr>
      </w:pPr>
      <w:r>
        <w:rPr>
          <w:rFonts w:ascii="宋体" w:hAnsi="宋体" w:cs="宋体"/>
          <w:color w:val="000000"/>
          <w:sz w:val="24"/>
        </w:rPr>
        <w:t xml:space="preserve">26.1 </w:t>
      </w:r>
      <w:r>
        <w:rPr>
          <w:rFonts w:hint="eastAsia" w:ascii="宋体" w:hAnsi="宋体" w:cs="宋体"/>
          <w:color w:val="000000"/>
          <w:sz w:val="24"/>
        </w:rPr>
        <w:t xml:space="preserve">评标期间，评委会对投标文件中含义不明确、同类问题表述不一致或者有明显文字和计算错误的内容</w:t>
      </w:r>
      <w:r>
        <w:rPr>
          <w:rFonts w:ascii="宋体" w:hAnsi="宋体" w:cs="宋体"/>
          <w:color w:val="000000"/>
          <w:sz w:val="24"/>
        </w:rPr>
        <w:t xml:space="preserve"> </w:t>
      </w:r>
      <w:r>
        <w:rPr>
          <w:rFonts w:hint="eastAsia" w:ascii="宋体" w:hAnsi="宋体" w:cs="宋体"/>
          <w:color w:val="000000"/>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投标人的澄清、说明或者补正不得超出投标文件的范围或者改变投标文件的价格及实质性内容，并将作为投标内容的一部分。</w:t>
      </w:r>
      <w:r>
        <w:rPr>
          <w:rFonts w:ascii="宋体" w:hAnsi="宋体" w:cs="宋体"/>
          <w:color w:val="000000"/>
          <w:sz w:val="24"/>
        </w:rPr>
      </w:r>
      <w:r/>
    </w:p>
    <w:p>
      <w:pPr>
        <w:pStyle w:val="895"/>
        <w:spacing w:line="360" w:lineRule="auto"/>
        <w:rPr>
          <w:rFonts w:ascii="宋体" w:hAnsi="宋体"/>
          <w:color w:val="000000"/>
        </w:rPr>
      </w:pPr>
      <w:r>
        <w:rPr>
          <w:rFonts w:ascii="宋体" w:hAnsi="宋体" w:cs="宋体"/>
          <w:color w:val="000000"/>
          <w:sz w:val="24"/>
        </w:rPr>
        <w:t xml:space="preserve">26.2 </w:t>
      </w:r>
      <w:r>
        <w:rPr>
          <w:rFonts w:hint="eastAsia" w:ascii="宋体" w:hAnsi="宋体" w:cs="宋体"/>
          <w:color w:val="000000"/>
          <w:sz w:val="24"/>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r>
        <w:rPr>
          <w:rFonts w:ascii="宋体" w:hAnsi="宋体"/>
          <w:color w:val="000000"/>
        </w:rPr>
      </w:r>
      <w:r/>
    </w:p>
    <w:p>
      <w:pPr>
        <w:pStyle w:val="895"/>
        <w:spacing w:line="360" w:lineRule="auto"/>
        <w:widowControl/>
        <w:rPr>
          <w:rFonts w:ascii="宋体" w:hAnsi="宋体"/>
          <w:color w:val="000000"/>
          <w:sz w:val="20"/>
          <w:szCs w:val="20"/>
        </w:rPr>
      </w:pPr>
      <w:r>
        <w:rPr>
          <w:rFonts w:ascii="宋体" w:hAnsi="宋体" w:cs="宋体"/>
          <w:color w:val="000000"/>
          <w:sz w:val="24"/>
        </w:rPr>
        <w:t xml:space="preserve">26.3</w:t>
      </w:r>
      <w:r>
        <w:rPr>
          <w:rFonts w:hint="eastAsia" w:ascii="宋体" w:hAnsi="宋体" w:cs="宋体"/>
          <w:color w:val="000000"/>
          <w:sz w:val="24"/>
        </w:rPr>
        <w:t xml:space="preserve">接到评委会澄清、说明和补正要求的投标人如未按规定做出澄清、说明和补正，其风险由投标人自行承担。</w:t>
      </w: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rPr>
          <w:rFonts w:ascii="宋体" w:hAnsi="宋体"/>
          <w:color w:val="000000"/>
          <w:sz w:val="20"/>
          <w:szCs w:val="20"/>
        </w:rPr>
      </w:r>
      <w:r/>
    </w:p>
    <w:p>
      <w:pPr>
        <w:pStyle w:val="895"/>
        <w:spacing w:line="360" w:lineRule="auto"/>
        <w:rPr>
          <w:rFonts w:ascii="宋体" w:hAnsi="宋体"/>
          <w:b/>
          <w:color w:val="000000"/>
          <w:sz w:val="24"/>
          <w:szCs w:val="20"/>
        </w:rPr>
      </w:pPr>
      <w:r>
        <w:rPr>
          <w:rFonts w:hint="eastAsia" w:ascii="宋体" w:hAnsi="宋体"/>
          <w:b/>
          <w:color w:val="000000"/>
          <w:sz w:val="24"/>
        </w:rPr>
        <w:t xml:space="preserve">27．投标无效和废标</w:t>
      </w:r>
      <w:r>
        <w:rPr>
          <w:rFonts w:ascii="宋体" w:hAnsi="宋体"/>
          <w:b/>
          <w:color w:val="000000"/>
          <w:sz w:val="24"/>
          <w:szCs w:val="20"/>
        </w:rPr>
      </w:r>
      <w:r/>
    </w:p>
    <w:p>
      <w:pPr>
        <w:pStyle w:val="895"/>
        <w:spacing w:line="360" w:lineRule="auto"/>
        <w:rPr>
          <w:rFonts w:ascii="宋体" w:hAnsi="宋体"/>
          <w:b/>
          <w:color w:val="000000"/>
          <w:sz w:val="24"/>
          <w:szCs w:val="20"/>
        </w:rPr>
      </w:pPr>
      <w:r>
        <w:rPr>
          <w:rFonts w:ascii="宋体" w:hAnsi="宋体"/>
          <w:b/>
          <w:color w:val="000000"/>
          <w:sz w:val="24"/>
        </w:rPr>
        <w:t xml:space="preserve">2</w:t>
      </w:r>
      <w:r>
        <w:rPr>
          <w:rFonts w:hint="eastAsia" w:ascii="宋体" w:hAnsi="宋体"/>
          <w:b/>
          <w:color w:val="000000"/>
          <w:sz w:val="24"/>
        </w:rPr>
        <w:t xml:space="preserve">7</w:t>
      </w:r>
      <w:r>
        <w:rPr>
          <w:rFonts w:ascii="宋体" w:hAnsi="宋体"/>
          <w:b/>
          <w:color w:val="000000"/>
          <w:sz w:val="24"/>
        </w:rPr>
        <w:t xml:space="preserve">.</w:t>
      </w:r>
      <w:r>
        <w:rPr>
          <w:rFonts w:hint="eastAsia" w:ascii="宋体" w:hAnsi="宋体"/>
          <w:b/>
          <w:color w:val="000000"/>
          <w:sz w:val="24"/>
        </w:rPr>
        <w:t xml:space="preserve">1</w:t>
      </w:r>
      <w:r>
        <w:rPr>
          <w:rFonts w:hint="eastAsia" w:ascii="宋体" w:hAnsi="宋体"/>
          <w:b/>
          <w:bCs/>
          <w:color w:val="000000"/>
          <w:sz w:val="24"/>
        </w:rPr>
        <w:t xml:space="preserve">投标人存在下列情况之一的，投标无效</w:t>
      </w:r>
      <w:r>
        <w:rPr>
          <w:rFonts w:hint="eastAsia" w:ascii="宋体" w:hAnsi="宋体"/>
          <w:b/>
          <w:color w:val="000000"/>
          <w:sz w:val="24"/>
        </w:rPr>
        <w:t xml:space="preserve">：</w:t>
      </w:r>
      <w:r>
        <w:rPr>
          <w:rFonts w:ascii="宋体" w:hAnsi="宋体"/>
          <w:b/>
          <w:color w:val="000000"/>
          <w:sz w:val="24"/>
          <w:szCs w:val="20"/>
        </w:rPr>
      </w:r>
      <w:r/>
    </w:p>
    <w:p>
      <w:pPr>
        <w:pStyle w:val="895"/>
        <w:spacing w:line="360" w:lineRule="auto"/>
        <w:rPr>
          <w:rFonts w:ascii="宋体" w:hAnsi="宋体"/>
          <w:b/>
          <w:color w:val="000000"/>
          <w:sz w:val="24"/>
          <w:szCs w:val="20"/>
        </w:rPr>
      </w:pPr>
      <w:r>
        <w:rPr>
          <w:rFonts w:ascii="宋体" w:hAnsi="宋体"/>
          <w:b/>
          <w:color w:val="000000"/>
          <w:sz w:val="24"/>
        </w:rPr>
        <w:t xml:space="preserve">27.1.1 </w:t>
      </w:r>
      <w:r>
        <w:rPr>
          <w:rFonts w:hint="eastAsia" w:ascii="宋体" w:hAnsi="宋体"/>
          <w:b/>
          <w:color w:val="000000"/>
          <w:sz w:val="24"/>
        </w:rPr>
        <w:t xml:space="preserve">投标文件未按照本须知</w:t>
      </w:r>
      <w:r>
        <w:rPr>
          <w:rFonts w:ascii="宋体" w:hAnsi="宋体"/>
          <w:b/>
          <w:color w:val="000000"/>
          <w:sz w:val="24"/>
        </w:rPr>
        <w:t xml:space="preserve">规定签署和盖章</w:t>
      </w:r>
      <w:r>
        <w:rPr>
          <w:rFonts w:hint="eastAsia" w:ascii="宋体" w:hAnsi="宋体"/>
          <w:b/>
          <w:color w:val="000000"/>
          <w:sz w:val="24"/>
        </w:rPr>
        <w:t xml:space="preserve">；</w:t>
      </w:r>
      <w:r>
        <w:rPr>
          <w:rFonts w:ascii="宋体" w:hAnsi="宋体"/>
          <w:b/>
          <w:color w:val="000000"/>
          <w:sz w:val="24"/>
          <w:szCs w:val="20"/>
        </w:rPr>
      </w:r>
      <w:r/>
    </w:p>
    <w:p>
      <w:pPr>
        <w:pStyle w:val="895"/>
        <w:spacing w:line="360" w:lineRule="auto"/>
        <w:rPr>
          <w:rFonts w:ascii="宋体" w:hAnsi="宋体"/>
          <w:b/>
          <w:color w:val="000000"/>
          <w:sz w:val="24"/>
          <w:szCs w:val="20"/>
        </w:rPr>
      </w:pPr>
      <w:r>
        <w:rPr>
          <w:rFonts w:ascii="宋体" w:hAnsi="宋体"/>
          <w:b/>
          <w:color w:val="000000"/>
          <w:sz w:val="24"/>
        </w:rPr>
        <w:t xml:space="preserve">27.1.2 </w:t>
      </w:r>
      <w:r>
        <w:rPr>
          <w:rFonts w:hint="eastAsia" w:ascii="宋体" w:hAnsi="宋体"/>
          <w:b/>
          <w:color w:val="000000"/>
          <w:sz w:val="24"/>
        </w:rPr>
        <w:t xml:space="preserve">未按</w:t>
      </w:r>
      <w:r>
        <w:rPr>
          <w:rFonts w:ascii="宋体" w:hAnsi="宋体"/>
          <w:b/>
          <w:color w:val="000000"/>
          <w:sz w:val="24"/>
        </w:rPr>
        <w:t xml:space="preserve">规定提交资格文件</w:t>
      </w:r>
      <w:r>
        <w:rPr>
          <w:rFonts w:hint="eastAsia" w:ascii="宋体" w:hAnsi="宋体"/>
          <w:b/>
          <w:color w:val="000000"/>
          <w:sz w:val="24"/>
        </w:rPr>
        <w:t xml:space="preserve">或资格文件不符合招标要求的；</w:t>
      </w:r>
      <w:r>
        <w:rPr>
          <w:rFonts w:ascii="宋体" w:hAnsi="宋体"/>
          <w:b/>
          <w:color w:val="000000"/>
          <w:sz w:val="24"/>
          <w:szCs w:val="20"/>
        </w:rPr>
      </w:r>
      <w:r/>
    </w:p>
    <w:p>
      <w:pPr>
        <w:pStyle w:val="895"/>
        <w:spacing w:line="360" w:lineRule="auto"/>
        <w:rPr>
          <w:rFonts w:ascii="宋体" w:hAnsi="宋体"/>
          <w:b/>
          <w:color w:val="000000"/>
          <w:sz w:val="24"/>
          <w:szCs w:val="20"/>
        </w:rPr>
      </w:pPr>
      <w:r>
        <w:rPr>
          <w:rFonts w:ascii="宋体" w:hAnsi="宋体"/>
          <w:b/>
          <w:color w:val="000000"/>
          <w:sz w:val="24"/>
        </w:rPr>
        <w:t xml:space="preserve">27.1.3 </w:t>
      </w:r>
      <w:r>
        <w:rPr>
          <w:rFonts w:hint="eastAsia" w:ascii="宋体" w:hAnsi="宋体"/>
          <w:b/>
          <w:color w:val="000000"/>
          <w:sz w:val="24"/>
        </w:rPr>
        <w:t xml:space="preserve">与招标文件有重大偏离；</w:t>
      </w:r>
      <w:r>
        <w:rPr>
          <w:rFonts w:ascii="宋体" w:hAnsi="宋体"/>
          <w:b/>
          <w:color w:val="000000"/>
          <w:sz w:val="24"/>
          <w:szCs w:val="20"/>
        </w:rPr>
      </w:r>
      <w:r/>
    </w:p>
    <w:p>
      <w:pPr>
        <w:pStyle w:val="895"/>
        <w:spacing w:line="360" w:lineRule="auto"/>
        <w:rPr>
          <w:rFonts w:ascii="宋体" w:hAnsi="宋体"/>
          <w:b/>
          <w:color w:val="000000"/>
          <w:sz w:val="24"/>
          <w:szCs w:val="20"/>
        </w:rPr>
      </w:pPr>
      <w:r>
        <w:rPr>
          <w:rFonts w:ascii="宋体" w:hAnsi="宋体"/>
          <w:b/>
          <w:color w:val="000000"/>
          <w:sz w:val="24"/>
        </w:rPr>
        <w:t xml:space="preserve">27.1.4 </w:t>
      </w:r>
      <w:r>
        <w:rPr>
          <w:rFonts w:hint="eastAsia" w:ascii="宋体" w:hAnsi="宋体"/>
          <w:b/>
          <w:color w:val="000000"/>
          <w:sz w:val="24"/>
        </w:rPr>
        <w:t xml:space="preserve">投标人拒绝修正错误；</w:t>
      </w:r>
      <w:r>
        <w:rPr>
          <w:rFonts w:ascii="宋体" w:hAnsi="宋体"/>
          <w:b/>
          <w:color w:val="000000"/>
          <w:sz w:val="24"/>
          <w:szCs w:val="20"/>
        </w:rPr>
      </w:r>
      <w:r/>
    </w:p>
    <w:p>
      <w:pPr>
        <w:pStyle w:val="895"/>
        <w:spacing w:line="360" w:lineRule="auto"/>
        <w:rPr>
          <w:rFonts w:ascii="宋体" w:hAnsi="宋体"/>
          <w:b/>
          <w:color w:val="000000"/>
          <w:sz w:val="24"/>
          <w:szCs w:val="20"/>
        </w:rPr>
      </w:pPr>
      <w:r>
        <w:rPr>
          <w:rFonts w:ascii="宋体" w:hAnsi="宋体"/>
          <w:b/>
          <w:color w:val="000000"/>
          <w:sz w:val="24"/>
        </w:rPr>
        <w:t xml:space="preserve">27.1.5 </w:t>
      </w:r>
      <w:r>
        <w:rPr>
          <w:rFonts w:hint="eastAsia" w:ascii="宋体" w:hAnsi="宋体"/>
          <w:b/>
          <w:color w:val="000000"/>
          <w:sz w:val="24"/>
        </w:rPr>
        <w:t xml:space="preserve">投标人的报价是选择性的；</w:t>
      </w:r>
      <w:r>
        <w:rPr>
          <w:rFonts w:ascii="宋体" w:hAnsi="宋体"/>
          <w:b/>
          <w:color w:val="000000"/>
          <w:sz w:val="24"/>
          <w:szCs w:val="20"/>
        </w:rPr>
      </w:r>
      <w:r/>
    </w:p>
    <w:p>
      <w:pPr>
        <w:pStyle w:val="895"/>
        <w:spacing w:line="360" w:lineRule="auto"/>
        <w:rPr>
          <w:rFonts w:ascii="宋体" w:hAnsi="宋体"/>
          <w:b/>
          <w:color w:val="000000"/>
          <w:sz w:val="24"/>
        </w:rPr>
      </w:pPr>
      <w:r>
        <w:rPr>
          <w:rFonts w:hint="eastAsia" w:ascii="宋体" w:hAnsi="宋体"/>
          <w:b/>
          <w:color w:val="000000"/>
          <w:sz w:val="24"/>
        </w:rPr>
        <w:t xml:space="preserve">27.1.6 投标人的报价只投了部分内容；</w:t>
      </w:r>
      <w:r>
        <w:rPr>
          <w:rFonts w:ascii="宋体" w:hAnsi="宋体"/>
          <w:b/>
          <w:color w:val="000000"/>
          <w:sz w:val="24"/>
        </w:rPr>
      </w:r>
      <w:r/>
    </w:p>
    <w:p>
      <w:pPr>
        <w:pStyle w:val="895"/>
        <w:spacing w:line="360" w:lineRule="auto"/>
        <w:rPr>
          <w:rFonts w:ascii="宋体" w:hAnsi="宋体"/>
          <w:b/>
          <w:color w:val="000000"/>
          <w:sz w:val="24"/>
          <w:szCs w:val="20"/>
        </w:rPr>
      </w:pPr>
      <w:r>
        <w:rPr>
          <w:rFonts w:hint="eastAsia" w:ascii="宋体" w:hAnsi="宋体"/>
          <w:b/>
          <w:color w:val="000000"/>
          <w:sz w:val="24"/>
          <w:szCs w:val="20"/>
        </w:rPr>
        <w:t xml:space="preserve">27.1.7 投标报价超过预算或限价的；</w:t>
      </w:r>
      <w:r>
        <w:rPr>
          <w:rFonts w:ascii="宋体" w:hAnsi="宋体"/>
          <w:b/>
          <w:color w:val="000000"/>
          <w:sz w:val="24"/>
          <w:szCs w:val="20"/>
        </w:rPr>
      </w:r>
      <w:r/>
    </w:p>
    <w:p>
      <w:pPr>
        <w:pStyle w:val="895"/>
        <w:spacing w:line="360" w:lineRule="auto"/>
        <w:rPr>
          <w:rFonts w:ascii="宋体" w:hAnsi="宋体"/>
          <w:b/>
          <w:color w:val="000000"/>
          <w:sz w:val="24"/>
        </w:rPr>
      </w:pPr>
      <w:r>
        <w:rPr>
          <w:rFonts w:hint="eastAsia" w:ascii="宋体" w:hAnsi="宋体"/>
          <w:b/>
          <w:color w:val="000000"/>
          <w:sz w:val="24"/>
        </w:rPr>
        <w:t xml:space="preserve">27.1.8投标文件含有采购人不能接受的附加条件的；</w:t>
      </w:r>
      <w:r>
        <w:rPr>
          <w:rFonts w:ascii="宋体" w:hAnsi="宋体"/>
          <w:b/>
          <w:color w:val="000000"/>
          <w:sz w:val="24"/>
        </w:rPr>
      </w:r>
      <w:r/>
    </w:p>
    <w:p>
      <w:pPr>
        <w:pStyle w:val="895"/>
        <w:spacing w:line="360" w:lineRule="auto"/>
        <w:rPr>
          <w:rFonts w:ascii="宋体" w:hAnsi="宋体"/>
          <w:b/>
          <w:color w:val="000000"/>
          <w:sz w:val="24"/>
        </w:rPr>
      </w:pPr>
      <w:r>
        <w:rPr>
          <w:rFonts w:hint="eastAsia" w:ascii="宋体" w:hAnsi="宋体"/>
          <w:b/>
          <w:color w:val="000000"/>
          <w:sz w:val="24"/>
        </w:rPr>
        <w:t xml:space="preserve">27.1.9不同投标人的标书制作工具客户端标识码一致的；</w:t>
      </w:r>
      <w:r>
        <w:rPr>
          <w:rFonts w:ascii="宋体" w:hAnsi="宋体"/>
          <w:b/>
          <w:color w:val="000000"/>
          <w:sz w:val="24"/>
        </w:rPr>
      </w:r>
      <w:r/>
    </w:p>
    <w:p>
      <w:pPr>
        <w:pStyle w:val="895"/>
        <w:spacing w:line="360" w:lineRule="auto"/>
        <w:rPr>
          <w:rFonts w:ascii="宋体" w:hAnsi="宋体"/>
          <w:b/>
          <w:color w:val="000000"/>
          <w:sz w:val="24"/>
        </w:rPr>
      </w:pPr>
      <w:r>
        <w:rPr>
          <w:rFonts w:hint="eastAsia" w:ascii="宋体" w:hAnsi="宋体"/>
          <w:b/>
          <w:color w:val="000000"/>
          <w:sz w:val="24"/>
        </w:rPr>
        <w:t xml:space="preserve">27.1.10投标文件出现了评标委员会认为不应当雷同的情况；</w:t>
      </w:r>
      <w:r>
        <w:rPr>
          <w:rFonts w:ascii="宋体" w:hAnsi="宋体"/>
          <w:b/>
          <w:color w:val="000000"/>
          <w:sz w:val="24"/>
        </w:rPr>
      </w:r>
      <w:r/>
    </w:p>
    <w:p>
      <w:pPr>
        <w:pStyle w:val="895"/>
        <w:spacing w:line="360" w:lineRule="auto"/>
        <w:rPr>
          <w:rFonts w:hint="eastAsia" w:ascii="宋体" w:hAnsi="宋体"/>
          <w:b/>
          <w:color w:val="ff0000"/>
          <w:sz w:val="24"/>
        </w:rPr>
      </w:pPr>
      <w:r>
        <w:rPr>
          <w:rFonts w:hint="eastAsia" w:ascii="宋体" w:hAnsi="宋体"/>
          <w:b/>
          <w:color w:val="000000"/>
          <w:sz w:val="24"/>
        </w:rPr>
        <w:t xml:space="preserve">27.1.11法律、法规及本招标文件规定的无效的情况</w:t>
      </w:r>
      <w:r>
        <w:rPr>
          <w:rFonts w:hint="eastAsia" w:ascii="宋体" w:hAnsi="宋体"/>
          <w:b/>
          <w:color w:val="ff0000"/>
          <w:sz w:val="24"/>
        </w:rPr>
        <w:t xml:space="preserve">。</w:t>
      </w:r>
      <w:r/>
    </w:p>
    <w:p>
      <w:pPr>
        <w:pStyle w:val="895"/>
        <w:spacing w:line="360" w:lineRule="auto"/>
        <w:rPr>
          <w:rFonts w:ascii="宋体" w:hAnsi="宋体" w:cs="宋体"/>
          <w:color w:val="000000"/>
          <w:sz w:val="24"/>
        </w:rPr>
      </w:pPr>
      <w:r>
        <w:rPr>
          <w:rFonts w:hint="eastAsia" w:ascii="宋体" w:hAnsi="宋体"/>
          <w:color w:val="000000"/>
          <w:sz w:val="24"/>
        </w:rPr>
        <w:t xml:space="preserve">27.2</w:t>
      </w:r>
      <w:r>
        <w:rPr>
          <w:rFonts w:hint="eastAsia" w:ascii="宋体" w:hAnsi="宋体" w:cs="宋体"/>
          <w:color w:val="000000"/>
          <w:sz w:val="24"/>
        </w:rPr>
        <w:t xml:space="preserve">投标人应当遵循公平竞争的原则，不得恶意串通，不得妨碍其他投标人的竞争行为，不得损害采购人或者其他投标人的合法权益。评标过程中发现投标人有下述情形的，评标小组应当认定其响应无效，并书面报告本级财政部门。</w:t>
      </w:r>
      <w:r>
        <w:rPr>
          <w:rFonts w:ascii="宋体" w:hAnsi="宋体" w:cs="宋体"/>
          <w:color w:val="000000"/>
          <w:sz w:val="24"/>
        </w:rPr>
      </w:r>
      <w:r/>
    </w:p>
    <w:p>
      <w:pPr>
        <w:pStyle w:val="895"/>
        <w:spacing w:line="360" w:lineRule="auto"/>
        <w:rPr>
          <w:rFonts w:ascii="宋体" w:hAnsi="宋体" w:cs="宋体"/>
          <w:b/>
          <w:bCs/>
          <w:color w:val="000000"/>
          <w:sz w:val="24"/>
        </w:rPr>
      </w:pPr>
      <w:r>
        <w:rPr>
          <w:rFonts w:hint="eastAsia" w:ascii="宋体" w:hAnsi="宋体" w:cs="宋体"/>
          <w:b/>
          <w:bCs/>
          <w:color w:val="000000"/>
          <w:sz w:val="24"/>
        </w:rPr>
        <w:t xml:space="preserve">有下列情形之一的，视为投标人恶意串通，其投标无效：</w:t>
      </w:r>
      <w:r>
        <w:rPr>
          <w:rFonts w:ascii="宋体" w:hAnsi="宋体" w:cs="宋体"/>
          <w:b/>
          <w:bCs/>
          <w:color w:val="000000"/>
          <w:sz w:val="24"/>
        </w:rPr>
      </w:r>
      <w:r/>
    </w:p>
    <w:p>
      <w:pPr>
        <w:pStyle w:val="895"/>
        <w:spacing w:line="360" w:lineRule="auto"/>
        <w:rPr>
          <w:rFonts w:ascii="宋体" w:hAnsi="宋体" w:cs="宋体"/>
          <w:b/>
          <w:bCs/>
          <w:color w:val="000000"/>
          <w:sz w:val="24"/>
        </w:rPr>
      </w:pPr>
      <w:r>
        <w:rPr>
          <w:rFonts w:hint="eastAsia" w:ascii="宋体" w:hAnsi="宋体" w:cs="宋体"/>
          <w:color w:val="000000"/>
          <w:sz w:val="24"/>
        </w:rPr>
        <w:t xml:space="preserve">（1）不同投标人的投标文件由同一单位或者个人编制；</w:t>
      </w:r>
      <w:r>
        <w:rPr>
          <w:rFonts w:ascii="宋体" w:hAnsi="宋体" w:cs="宋体"/>
          <w:b/>
          <w:bCs/>
          <w:color w:val="000000"/>
          <w:sz w:val="24"/>
        </w:rPr>
      </w:r>
      <w:r/>
    </w:p>
    <w:p>
      <w:pPr>
        <w:pStyle w:val="895"/>
        <w:spacing w:line="360" w:lineRule="auto"/>
        <w:rPr>
          <w:rFonts w:ascii="宋体" w:hAnsi="宋体" w:cs="宋体"/>
          <w:color w:val="000000"/>
          <w:sz w:val="24"/>
        </w:rPr>
      </w:pPr>
      <w:r>
        <w:rPr>
          <w:rFonts w:hint="eastAsia" w:ascii="宋体" w:hAnsi="宋体" w:cs="宋体"/>
          <w:color w:val="000000"/>
          <w:sz w:val="24"/>
        </w:rPr>
        <w:t xml:space="preserve">（2）不同投标人委托同一单位或者个人办理投标事宜；</w:t>
      </w:r>
      <w:r>
        <w:rPr>
          <w:rFonts w:ascii="宋体" w:hAnsi="宋体" w:cs="宋体"/>
          <w:color w:val="000000"/>
          <w:sz w:val="24"/>
        </w:rPr>
      </w:r>
      <w:r/>
    </w:p>
    <w:p>
      <w:pPr>
        <w:pStyle w:val="895"/>
        <w:spacing w:line="360" w:lineRule="auto"/>
        <w:rPr>
          <w:rFonts w:ascii="宋体" w:hAnsi="宋体" w:cs="宋体"/>
          <w:color w:val="000000"/>
          <w:sz w:val="24"/>
        </w:rPr>
      </w:pPr>
      <w:r>
        <w:rPr>
          <w:rFonts w:hint="eastAsia" w:ascii="宋体" w:hAnsi="宋体" w:cs="宋体"/>
          <w:color w:val="000000"/>
          <w:sz w:val="24"/>
        </w:rPr>
        <w:t xml:space="preserve">（3）不同投标人的投标文件载明的项目管理成员或者联系人员为同一人；</w:t>
      </w:r>
      <w:r>
        <w:rPr>
          <w:rFonts w:ascii="宋体" w:hAnsi="宋体" w:cs="宋体"/>
          <w:color w:val="000000"/>
          <w:sz w:val="24"/>
        </w:rPr>
      </w:r>
      <w:r/>
    </w:p>
    <w:p>
      <w:pPr>
        <w:pStyle w:val="895"/>
        <w:spacing w:line="360" w:lineRule="auto"/>
        <w:rPr>
          <w:rFonts w:ascii="宋体" w:hAnsi="宋体" w:cs="宋体"/>
          <w:color w:val="000000"/>
          <w:sz w:val="24"/>
        </w:rPr>
      </w:pPr>
      <w:r>
        <w:rPr>
          <w:rFonts w:hint="eastAsia" w:ascii="宋体" w:hAnsi="宋体" w:cs="宋体"/>
          <w:color w:val="000000"/>
          <w:sz w:val="24"/>
        </w:rPr>
        <w:t xml:space="preserve">（4）不同投标人的投标文件异常一致或者报价呈规律性差异；</w:t>
      </w:r>
      <w:r>
        <w:rPr>
          <w:rFonts w:ascii="宋体" w:hAnsi="宋体" w:cs="宋体"/>
          <w:color w:val="000000"/>
          <w:sz w:val="24"/>
        </w:rPr>
      </w:r>
      <w:r/>
    </w:p>
    <w:p>
      <w:pPr>
        <w:pStyle w:val="895"/>
        <w:spacing w:line="360" w:lineRule="auto"/>
        <w:rPr>
          <w:rFonts w:ascii="宋体" w:hAnsi="宋体" w:cs="宋体"/>
          <w:color w:val="000000"/>
          <w:sz w:val="24"/>
        </w:rPr>
      </w:pPr>
      <w:r>
        <w:rPr>
          <w:rFonts w:hint="eastAsia" w:ascii="宋体" w:hAnsi="宋体" w:cs="宋体"/>
          <w:color w:val="000000"/>
          <w:sz w:val="24"/>
        </w:rPr>
        <w:t xml:space="preserve">（5）不同投标人的投标文件相互混装。</w:t>
      </w:r>
      <w:r>
        <w:rPr>
          <w:rFonts w:ascii="宋体" w:hAnsi="宋体" w:cs="宋体"/>
          <w:color w:val="000000"/>
          <w:sz w:val="24"/>
        </w:rPr>
      </w:r>
      <w:r/>
    </w:p>
    <w:p>
      <w:pPr>
        <w:pStyle w:val="895"/>
        <w:spacing w:line="360" w:lineRule="auto"/>
        <w:rPr>
          <w:rFonts w:ascii="宋体" w:hAnsi="宋体"/>
          <w:color w:val="000000"/>
          <w:sz w:val="24"/>
          <w:szCs w:val="20"/>
        </w:rPr>
      </w:pPr>
      <w:r>
        <w:rPr>
          <w:rFonts w:ascii="宋体" w:hAnsi="宋体"/>
          <w:b/>
          <w:bCs/>
          <w:color w:val="000000"/>
          <w:sz w:val="24"/>
        </w:rPr>
        <w:t xml:space="preserve">27.</w:t>
      </w:r>
      <w:r>
        <w:rPr>
          <w:rFonts w:hint="eastAsia" w:ascii="宋体" w:hAnsi="宋体"/>
          <w:b/>
          <w:bCs/>
          <w:color w:val="000000"/>
          <w:sz w:val="24"/>
        </w:rPr>
        <w:t xml:space="preserve">3在招标过程中，出现下列情况之一的，应予废标：</w:t>
      </w:r>
      <w:r>
        <w:rPr>
          <w:rFonts w:ascii="宋体" w:hAnsi="宋体"/>
          <w:color w:val="000000"/>
          <w:sz w:val="24"/>
          <w:szCs w:val="20"/>
        </w:rPr>
      </w:r>
      <w:r/>
    </w:p>
    <w:p>
      <w:pPr>
        <w:pStyle w:val="895"/>
        <w:spacing w:line="360" w:lineRule="auto"/>
        <w:rPr>
          <w:rFonts w:ascii="宋体" w:hAnsi="宋体"/>
          <w:color w:val="000000"/>
          <w:sz w:val="24"/>
          <w:szCs w:val="20"/>
        </w:rPr>
      </w:pPr>
      <w:r>
        <w:rPr>
          <w:rFonts w:ascii="宋体" w:hAnsi="宋体"/>
          <w:color w:val="000000"/>
          <w:sz w:val="24"/>
        </w:rPr>
        <w:t xml:space="preserve">27.</w:t>
      </w:r>
      <w:r>
        <w:rPr>
          <w:rFonts w:hint="eastAsia" w:ascii="宋体" w:hAnsi="宋体"/>
          <w:color w:val="000000"/>
          <w:sz w:val="24"/>
        </w:rPr>
        <w:t xml:space="preserve">3</w:t>
      </w:r>
      <w:r>
        <w:rPr>
          <w:rFonts w:ascii="宋体" w:hAnsi="宋体"/>
          <w:color w:val="000000"/>
          <w:sz w:val="24"/>
        </w:rPr>
        <w:t xml:space="preserve">.1符合专业条件的供应商或者对招标文件作实质响应的供应商不足三家的；</w:t>
      </w:r>
      <w:r>
        <w:rPr>
          <w:rFonts w:ascii="宋体" w:hAnsi="宋体"/>
          <w:color w:val="000000"/>
          <w:sz w:val="24"/>
          <w:szCs w:val="20"/>
        </w:rPr>
      </w:r>
      <w:r/>
    </w:p>
    <w:p>
      <w:pPr>
        <w:pStyle w:val="895"/>
        <w:spacing w:line="360" w:lineRule="auto"/>
        <w:rPr>
          <w:rFonts w:ascii="宋体" w:hAnsi="宋体"/>
          <w:color w:val="000000"/>
          <w:sz w:val="24"/>
          <w:szCs w:val="20"/>
        </w:rPr>
      </w:pPr>
      <w:r>
        <w:rPr>
          <w:rFonts w:ascii="宋体" w:hAnsi="宋体"/>
          <w:color w:val="000000"/>
          <w:sz w:val="24"/>
        </w:rPr>
        <w:t xml:space="preserve">27.</w:t>
      </w:r>
      <w:r>
        <w:rPr>
          <w:rFonts w:hint="eastAsia" w:ascii="宋体" w:hAnsi="宋体"/>
          <w:color w:val="000000"/>
          <w:sz w:val="24"/>
        </w:rPr>
        <w:t xml:space="preserve">3</w:t>
      </w:r>
      <w:r>
        <w:rPr>
          <w:rFonts w:ascii="宋体" w:hAnsi="宋体"/>
          <w:color w:val="000000"/>
          <w:sz w:val="24"/>
        </w:rPr>
        <w:t xml:space="preserve">.2出现影响采购公正的违法、违规行为的；</w:t>
      </w:r>
      <w:r>
        <w:rPr>
          <w:rFonts w:ascii="宋体" w:hAnsi="宋体"/>
          <w:color w:val="000000"/>
          <w:sz w:val="24"/>
          <w:szCs w:val="20"/>
        </w:rPr>
      </w:r>
      <w:r/>
    </w:p>
    <w:p>
      <w:pPr>
        <w:pStyle w:val="895"/>
        <w:spacing w:line="360" w:lineRule="auto"/>
        <w:rPr>
          <w:rFonts w:ascii="宋体" w:hAnsi="宋体"/>
          <w:color w:val="000000"/>
          <w:sz w:val="24"/>
          <w:szCs w:val="20"/>
        </w:rPr>
      </w:pPr>
      <w:r>
        <w:rPr>
          <w:rFonts w:ascii="宋体" w:hAnsi="宋体"/>
          <w:color w:val="000000"/>
          <w:sz w:val="24"/>
        </w:rPr>
        <w:t xml:space="preserve">27.</w:t>
      </w:r>
      <w:r>
        <w:rPr>
          <w:rFonts w:hint="eastAsia" w:ascii="宋体" w:hAnsi="宋体"/>
          <w:color w:val="000000"/>
          <w:sz w:val="24"/>
        </w:rPr>
        <w:t xml:space="preserve">3</w:t>
      </w:r>
      <w:r>
        <w:rPr>
          <w:rFonts w:ascii="宋体" w:hAnsi="宋体"/>
          <w:color w:val="000000"/>
          <w:sz w:val="24"/>
        </w:rPr>
        <w:t xml:space="preserve">.3投标人的报价均超过了采购预算，采购方不能支付的；</w:t>
      </w:r>
      <w:r>
        <w:rPr>
          <w:rFonts w:ascii="宋体" w:hAnsi="宋体"/>
          <w:color w:val="000000"/>
          <w:sz w:val="24"/>
          <w:szCs w:val="20"/>
        </w:rPr>
      </w:r>
      <w:r/>
    </w:p>
    <w:p>
      <w:pPr>
        <w:pStyle w:val="895"/>
        <w:spacing w:line="360" w:lineRule="auto"/>
        <w:rPr>
          <w:rFonts w:ascii="宋体" w:hAnsi="宋体"/>
          <w:color w:val="000000"/>
          <w:sz w:val="24"/>
          <w:szCs w:val="20"/>
        </w:rPr>
      </w:pPr>
      <w:r>
        <w:rPr>
          <w:rFonts w:ascii="宋体" w:hAnsi="宋体"/>
          <w:color w:val="000000"/>
          <w:sz w:val="24"/>
        </w:rPr>
        <w:t xml:space="preserve">27.</w:t>
      </w:r>
      <w:r>
        <w:rPr>
          <w:rFonts w:hint="eastAsia" w:ascii="宋体" w:hAnsi="宋体"/>
          <w:color w:val="000000"/>
          <w:sz w:val="24"/>
        </w:rPr>
        <w:t xml:space="preserve">3</w:t>
      </w:r>
      <w:r>
        <w:rPr>
          <w:rFonts w:ascii="宋体" w:hAnsi="宋体"/>
          <w:color w:val="000000"/>
          <w:sz w:val="24"/>
        </w:rPr>
        <w:t xml:space="preserve">.4因重大变故，采购任务取消的。</w:t>
      </w:r>
      <w:r>
        <w:rPr>
          <w:rFonts w:ascii="宋体" w:hAnsi="宋体"/>
          <w:color w:val="000000"/>
          <w:sz w:val="24"/>
          <w:szCs w:val="20"/>
        </w:rPr>
      </w:r>
      <w:r/>
    </w:p>
    <w:p>
      <w:pPr>
        <w:pStyle w:val="895"/>
        <w:spacing w:line="360" w:lineRule="auto"/>
        <w:rPr>
          <w:rFonts w:ascii="宋体" w:hAnsi="宋体"/>
          <w:color w:val="000000"/>
          <w:sz w:val="24"/>
          <w:szCs w:val="20"/>
        </w:rPr>
      </w:pPr>
      <w:r>
        <w:rPr>
          <w:rFonts w:ascii="宋体" w:hAnsi="宋体"/>
          <w:color w:val="000000"/>
          <w:sz w:val="24"/>
        </w:rPr>
        <w:t xml:space="preserve">27.</w:t>
      </w:r>
      <w:r>
        <w:rPr>
          <w:rFonts w:hint="eastAsia" w:ascii="宋体" w:hAnsi="宋体"/>
          <w:color w:val="000000"/>
          <w:sz w:val="24"/>
        </w:rPr>
        <w:t xml:space="preserve">4</w:t>
      </w:r>
      <w:r>
        <w:rPr>
          <w:rFonts w:ascii="宋体" w:hAnsi="宋体"/>
          <w:color w:val="000000"/>
          <w:sz w:val="24"/>
        </w:rPr>
        <w:t xml:space="preserve"> </w:t>
      </w:r>
      <w:r>
        <w:rPr>
          <w:rFonts w:hint="eastAsia" w:ascii="宋体" w:hAnsi="宋体"/>
          <w:color w:val="000000"/>
          <w:sz w:val="24"/>
        </w:rPr>
        <w:t xml:space="preserve">废标后，招标代理机构将把废标的理由通知所有投标人</w:t>
      </w:r>
      <w:r>
        <w:rPr>
          <w:rFonts w:ascii="宋体" w:hAnsi="宋体"/>
          <w:color w:val="000000"/>
          <w:sz w:val="24"/>
        </w:rPr>
        <w:t xml:space="preserve">。</w:t>
      </w:r>
      <w:r>
        <w:rPr>
          <w:rFonts w:ascii="宋体" w:hAnsi="宋体"/>
          <w:color w:val="000000"/>
          <w:sz w:val="24"/>
          <w:szCs w:val="20"/>
        </w:rPr>
      </w:r>
      <w:r/>
    </w:p>
    <w:p>
      <w:pPr>
        <w:pStyle w:val="895"/>
        <w:spacing w:line="360" w:lineRule="auto"/>
        <w:rPr>
          <w:rFonts w:ascii="宋体" w:hAnsi="宋体"/>
          <w:b/>
          <w:color w:val="000000"/>
          <w:sz w:val="24"/>
          <w:szCs w:val="20"/>
        </w:rPr>
      </w:pPr>
      <w:r>
        <w:rPr>
          <w:rFonts w:hint="eastAsia" w:ascii="宋体" w:hAnsi="宋体"/>
          <w:b/>
          <w:color w:val="000000"/>
          <w:sz w:val="24"/>
        </w:rPr>
        <w:t xml:space="preserve">28. 投标文件的评价和比较</w:t>
      </w:r>
      <w:r>
        <w:rPr>
          <w:rFonts w:ascii="宋体" w:hAnsi="宋体"/>
          <w:b/>
          <w:color w:val="000000"/>
          <w:sz w:val="24"/>
          <w:szCs w:val="20"/>
        </w:rPr>
      </w:r>
      <w:r/>
    </w:p>
    <w:p>
      <w:pPr>
        <w:pStyle w:val="908"/>
        <w:ind w:firstLine="0"/>
        <w:spacing w:line="360" w:lineRule="auto"/>
        <w:rPr>
          <w:rFonts w:ascii="宋体" w:hAnsi="宋体" w:eastAsia="宋体"/>
          <w:color w:val="000000"/>
        </w:rPr>
      </w:pPr>
      <w:r>
        <w:rPr>
          <w:rFonts w:ascii="宋体" w:hAnsi="宋体" w:eastAsia="宋体"/>
          <w:color w:val="000000"/>
        </w:rPr>
        <w:t xml:space="preserve">28.1 </w:t>
      </w:r>
      <w:r>
        <w:rPr>
          <w:rFonts w:hint="eastAsia" w:ascii="宋体" w:hAnsi="宋体" w:eastAsia="宋体"/>
          <w:color w:val="000000"/>
        </w:rPr>
        <w:t xml:space="preserve">评标委员会将仅对</w:t>
      </w:r>
      <w:r>
        <w:rPr>
          <w:rFonts w:ascii="宋体" w:hAnsi="宋体" w:eastAsia="宋体"/>
          <w:color w:val="000000"/>
        </w:rPr>
        <w:t xml:space="preserve">确定为实质上响应招标文件要求的投标文件进行评价和比较。</w:t>
      </w:r>
      <w:r/>
    </w:p>
    <w:p>
      <w:pPr>
        <w:pStyle w:val="908"/>
        <w:ind w:firstLine="0"/>
        <w:spacing w:line="360" w:lineRule="auto"/>
        <w:rPr>
          <w:rFonts w:ascii="宋体" w:hAnsi="宋体" w:eastAsia="宋体"/>
          <w:color w:val="000000"/>
        </w:rPr>
      </w:pPr>
      <w:r>
        <w:rPr>
          <w:rFonts w:ascii="宋体" w:hAnsi="宋体" w:eastAsia="宋体"/>
          <w:color w:val="000000"/>
        </w:rPr>
        <w:t xml:space="preserve">28.2 </w:t>
      </w:r>
      <w:r>
        <w:rPr>
          <w:rFonts w:hint="eastAsia" w:ascii="宋体" w:hAnsi="宋体" w:eastAsia="宋体"/>
          <w:color w:val="000000"/>
        </w:rPr>
        <w:t xml:space="preserve">评价和比较采用综合评分法，评标委员会严格按照招标文件的要求、条件、评分标准，对投标人所作的实质性响应内容进行比较。具体评分方法和评分标准详见第六章。</w:t>
      </w:r>
      <w:r>
        <w:rPr>
          <w:rFonts w:ascii="宋体" w:hAnsi="宋体" w:eastAsia="宋体"/>
          <w:color w:val="000000"/>
        </w:rPr>
      </w:r>
      <w:r/>
    </w:p>
    <w:p>
      <w:pPr>
        <w:pStyle w:val="895"/>
        <w:spacing w:line="360" w:lineRule="auto"/>
        <w:rPr>
          <w:rFonts w:ascii="宋体" w:hAnsi="宋体"/>
          <w:color w:val="000000"/>
          <w:sz w:val="24"/>
          <w:szCs w:val="20"/>
        </w:rPr>
      </w:pPr>
      <w:r>
        <w:rPr>
          <w:rFonts w:hint="eastAsia" w:ascii="宋体" w:hAnsi="宋体"/>
          <w:color w:val="000000"/>
          <w:sz w:val="24"/>
          <w:szCs w:val="20"/>
        </w:rPr>
        <w:t xml:space="preserve">28.3评标委员会根据评审得分由高到低顺序排列，向采购人推荐中标候选人。</w:t>
      </w:r>
      <w:r>
        <w:rPr>
          <w:rFonts w:ascii="宋体" w:hAnsi="宋体"/>
          <w:color w:val="000000"/>
          <w:sz w:val="24"/>
          <w:szCs w:val="20"/>
        </w:rPr>
      </w:r>
      <w:r/>
    </w:p>
    <w:p>
      <w:pPr>
        <w:pStyle w:val="895"/>
        <w:spacing w:line="360" w:lineRule="auto"/>
        <w:rPr>
          <w:rFonts w:hint="eastAsia" w:ascii="宋体" w:hAnsi="宋体" w:cs="宋体"/>
          <w:sz w:val="24"/>
        </w:rPr>
      </w:pPr>
      <w:r>
        <w:rPr>
          <w:rFonts w:hint="eastAsia" w:ascii="宋体" w:hAnsi="宋体"/>
          <w:color w:val="000000"/>
          <w:sz w:val="24"/>
          <w:szCs w:val="20"/>
        </w:rPr>
        <w:t xml:space="preserve">28.4最低的投标报价或最高的折扣比例是中标的重要条件，但不是唯一条件。</w:t>
      </w:r>
      <w:r>
        <w:rPr>
          <w:rFonts w:hint="eastAsia" w:ascii="宋体" w:hAnsi="宋体" w:cs="宋体"/>
          <w:sz w:val="24"/>
        </w:rPr>
      </w:r>
      <w:r/>
    </w:p>
    <w:p>
      <w:pPr>
        <w:pStyle w:val="895"/>
        <w:spacing w:line="360" w:lineRule="auto"/>
        <w:rPr>
          <w:rFonts w:ascii="宋体" w:hAnsi="宋体"/>
          <w:b/>
          <w:sz w:val="24"/>
          <w:szCs w:val="20"/>
        </w:rPr>
      </w:pPr>
      <w:r>
        <w:rPr>
          <w:rFonts w:hint="eastAsia" w:ascii="宋体" w:hAnsi="宋体"/>
          <w:b/>
          <w:sz w:val="24"/>
        </w:rPr>
        <w:t xml:space="preserve">七、授标</w:t>
      </w:r>
      <w:r>
        <w:rPr>
          <w:rFonts w:ascii="宋体" w:hAnsi="宋体"/>
          <w:b/>
          <w:sz w:val="24"/>
          <w:szCs w:val="20"/>
        </w:rPr>
      </w:r>
      <w:r/>
    </w:p>
    <w:p>
      <w:pPr>
        <w:pStyle w:val="895"/>
        <w:spacing w:line="360" w:lineRule="auto"/>
        <w:rPr>
          <w:rFonts w:ascii="宋体" w:hAnsi="宋体"/>
          <w:b/>
          <w:sz w:val="24"/>
          <w:szCs w:val="20"/>
        </w:rPr>
      </w:pPr>
      <w:r>
        <w:rPr>
          <w:rFonts w:hint="eastAsia" w:ascii="宋体" w:hAnsi="宋体"/>
          <w:b/>
          <w:sz w:val="24"/>
        </w:rPr>
        <w:t xml:space="preserve">29. 中标单位的确认</w:t>
      </w:r>
      <w:r>
        <w:rPr>
          <w:rFonts w:ascii="宋体" w:hAnsi="宋体"/>
          <w:b/>
          <w:sz w:val="24"/>
          <w:szCs w:val="20"/>
        </w:rPr>
      </w:r>
      <w:r/>
    </w:p>
    <w:p>
      <w:pPr>
        <w:pStyle w:val="895"/>
        <w:spacing w:line="360" w:lineRule="auto"/>
        <w:rPr>
          <w:rFonts w:hint="eastAsia" w:ascii="宋体" w:hAnsi="宋体" w:cs="宋体"/>
          <w:sz w:val="24"/>
          <w:szCs w:val="20"/>
        </w:rPr>
      </w:pPr>
      <w:r>
        <w:rPr>
          <w:rFonts w:hint="eastAsia" w:ascii="宋体" w:hAnsi="宋体" w:cs="宋体"/>
          <w:sz w:val="24"/>
          <w:szCs w:val="20"/>
        </w:rPr>
        <w:t xml:space="preserve">29.1采购人应根据评标委员会在评标报告中确定的中标候选人名单按顺序确定中标人。</w:t>
      </w:r>
      <w:r/>
    </w:p>
    <w:p>
      <w:pPr>
        <w:pStyle w:val="895"/>
        <w:spacing w:line="360" w:lineRule="auto"/>
        <w:rPr>
          <w:rFonts w:hint="eastAsia" w:ascii="宋体" w:hAnsi="宋体" w:cs="宋体"/>
          <w:sz w:val="24"/>
          <w:szCs w:val="20"/>
        </w:rPr>
      </w:pPr>
      <w:r>
        <w:rPr>
          <w:rFonts w:hint="eastAsia" w:ascii="宋体" w:hAnsi="宋体" w:cs="宋体"/>
          <w:sz w:val="24"/>
          <w:szCs w:val="20"/>
        </w:rPr>
        <w:t xml:space="preserve">29.2确定中标单位后，招标代理机构将在本项目招标公告发布的媒体上发布中标公告，公告期限为1个工作日。</w:t>
      </w:r>
      <w:r/>
    </w:p>
    <w:p>
      <w:pPr>
        <w:pStyle w:val="895"/>
        <w:spacing w:line="360" w:lineRule="auto"/>
        <w:rPr>
          <w:rFonts w:hint="eastAsia" w:ascii="宋体" w:hAnsi="宋体" w:cs="宋体"/>
          <w:b/>
          <w:sz w:val="24"/>
          <w:szCs w:val="20"/>
        </w:rPr>
      </w:pPr>
      <w:r>
        <w:rPr>
          <w:rFonts w:hint="eastAsia" w:ascii="宋体" w:hAnsi="宋体" w:cs="宋体"/>
          <w:b/>
          <w:sz w:val="24"/>
          <w:szCs w:val="20"/>
        </w:rPr>
        <w:t xml:space="preserve">29.3若有充分证据证明，中标人出现下列情况之一的，一经查实，将被取消中标资格：</w:t>
      </w:r>
      <w:r/>
    </w:p>
    <w:p>
      <w:pPr>
        <w:pStyle w:val="895"/>
        <w:spacing w:line="360" w:lineRule="auto"/>
        <w:rPr>
          <w:rFonts w:hint="eastAsia" w:ascii="宋体" w:hAnsi="宋体" w:cs="宋体"/>
          <w:sz w:val="24"/>
          <w:szCs w:val="20"/>
        </w:rPr>
      </w:pPr>
      <w:r>
        <w:rPr>
          <w:rFonts w:hint="eastAsia" w:ascii="宋体" w:hAnsi="宋体" w:cs="宋体"/>
          <w:sz w:val="24"/>
          <w:szCs w:val="20"/>
        </w:rPr>
        <w:t xml:space="preserve">29.3.1提供虚假材料谋取中标的。</w:t>
      </w:r>
      <w:r/>
    </w:p>
    <w:p>
      <w:pPr>
        <w:pStyle w:val="895"/>
        <w:spacing w:line="360" w:lineRule="auto"/>
        <w:rPr>
          <w:rFonts w:hint="eastAsia" w:ascii="宋体" w:hAnsi="宋体" w:cs="宋体"/>
          <w:sz w:val="24"/>
          <w:szCs w:val="20"/>
        </w:rPr>
      </w:pPr>
      <w:r>
        <w:rPr>
          <w:rFonts w:hint="eastAsia" w:ascii="宋体" w:hAnsi="宋体" w:cs="宋体"/>
          <w:sz w:val="24"/>
          <w:szCs w:val="20"/>
        </w:rPr>
        <w:t xml:space="preserve">29.3.2向采购人、代理机构行贿或者提供其他不正当利益的。</w:t>
      </w:r>
      <w:r/>
    </w:p>
    <w:p>
      <w:pPr>
        <w:pStyle w:val="895"/>
        <w:spacing w:line="360" w:lineRule="auto"/>
        <w:rPr>
          <w:rFonts w:hint="eastAsia" w:ascii="宋体" w:hAnsi="宋体" w:cs="宋体"/>
          <w:sz w:val="24"/>
          <w:szCs w:val="20"/>
        </w:rPr>
      </w:pPr>
      <w:r>
        <w:rPr>
          <w:rFonts w:hint="eastAsia" w:ascii="宋体" w:hAnsi="宋体" w:cs="宋体"/>
          <w:sz w:val="24"/>
          <w:szCs w:val="20"/>
        </w:rPr>
        <w:t xml:space="preserve">29.3.3属于本文件规定的无效条件，但在评标过程中又未被评委会发现的。</w:t>
      </w:r>
      <w:r/>
    </w:p>
    <w:p>
      <w:pPr>
        <w:pStyle w:val="895"/>
        <w:spacing w:line="360" w:lineRule="auto"/>
        <w:rPr>
          <w:rFonts w:hint="eastAsia" w:ascii="宋体" w:hAnsi="宋体" w:cs="宋体"/>
          <w:sz w:val="24"/>
          <w:szCs w:val="20"/>
        </w:rPr>
      </w:pPr>
      <w:r>
        <w:rPr>
          <w:rFonts w:hint="eastAsia" w:ascii="宋体" w:hAnsi="宋体" w:cs="宋体"/>
          <w:sz w:val="24"/>
          <w:szCs w:val="20"/>
        </w:rPr>
        <w:t xml:space="preserve">29.3.4与采购人或者其他供应商恶意串通的。</w:t>
      </w:r>
      <w:r/>
    </w:p>
    <w:p>
      <w:pPr>
        <w:pStyle w:val="895"/>
        <w:spacing w:line="360" w:lineRule="auto"/>
        <w:rPr>
          <w:rFonts w:hint="eastAsia" w:ascii="宋体" w:hAnsi="宋体" w:cs="宋体"/>
          <w:sz w:val="24"/>
          <w:szCs w:val="20"/>
        </w:rPr>
      </w:pPr>
      <w:r>
        <w:rPr>
          <w:rFonts w:hint="eastAsia" w:ascii="宋体" w:hAnsi="宋体" w:cs="宋体"/>
          <w:sz w:val="24"/>
          <w:szCs w:val="20"/>
        </w:rPr>
        <w:t xml:space="preserve">29.3.5采取不正当手段诋毁、排挤其他供应商的。</w:t>
      </w:r>
      <w:r/>
    </w:p>
    <w:p>
      <w:pPr>
        <w:pStyle w:val="895"/>
        <w:spacing w:line="360" w:lineRule="auto"/>
        <w:rPr>
          <w:rFonts w:ascii="宋体" w:hAnsi="宋体"/>
          <w:b/>
          <w:sz w:val="24"/>
          <w:szCs w:val="20"/>
        </w:rPr>
      </w:pPr>
      <w:r>
        <w:rPr>
          <w:rFonts w:hint="eastAsia" w:ascii="宋体" w:hAnsi="宋体"/>
          <w:b/>
          <w:sz w:val="24"/>
        </w:rPr>
        <w:t xml:space="preserve">30. 中标人标准</w:t>
      </w:r>
      <w:r>
        <w:rPr>
          <w:rFonts w:ascii="宋体" w:hAnsi="宋体"/>
          <w:b/>
          <w:sz w:val="24"/>
          <w:szCs w:val="20"/>
        </w:rPr>
      </w:r>
      <w:r/>
    </w:p>
    <w:p>
      <w:pPr>
        <w:pStyle w:val="908"/>
        <w:ind w:firstLine="0"/>
        <w:spacing w:line="360" w:lineRule="auto"/>
        <w:rPr>
          <w:rFonts w:ascii="宋体" w:hAnsi="宋体" w:eastAsia="宋体"/>
        </w:rPr>
      </w:pPr>
      <w:r>
        <w:rPr>
          <w:rFonts w:ascii="宋体" w:hAnsi="宋体" w:eastAsia="宋体"/>
        </w:rPr>
        <w:t xml:space="preserve">30.1  确定为中标的投标人必须具有实施本合同的能力和资源。</w:t>
      </w:r>
      <w:r/>
    </w:p>
    <w:p>
      <w:pPr>
        <w:pStyle w:val="895"/>
        <w:spacing w:line="360" w:lineRule="auto"/>
        <w:rPr>
          <w:rFonts w:ascii="宋体" w:hAnsi="宋体"/>
          <w:sz w:val="24"/>
          <w:szCs w:val="20"/>
        </w:rPr>
      </w:pPr>
      <w:r>
        <w:rPr>
          <w:rFonts w:ascii="宋体" w:hAnsi="宋体"/>
          <w:sz w:val="24"/>
        </w:rPr>
        <w:t xml:space="preserve">30.2  </w:t>
      </w:r>
      <w:r>
        <w:rPr>
          <w:rFonts w:hint="eastAsia" w:ascii="宋体" w:hAnsi="宋体"/>
          <w:sz w:val="24"/>
        </w:rPr>
        <w:t xml:space="preserve">在合同签订之前，采购单位和招标代理人如发现中标单位提供的材料虚假或对标书所要求说明的情况故意隐瞒或虚报，则招标代理人有权取消其中标资格，如有投标保证金的项目，其投标保证金不予退回。</w:t>
      </w:r>
      <w:r>
        <w:rPr>
          <w:rFonts w:ascii="宋体" w:hAnsi="宋体"/>
          <w:sz w:val="24"/>
          <w:szCs w:val="20"/>
        </w:rPr>
      </w:r>
      <w:r/>
    </w:p>
    <w:p>
      <w:pPr>
        <w:pStyle w:val="895"/>
        <w:spacing w:line="360" w:lineRule="auto"/>
        <w:rPr>
          <w:rFonts w:ascii="宋体" w:hAnsi="宋体"/>
          <w:b/>
          <w:sz w:val="24"/>
          <w:szCs w:val="20"/>
        </w:rPr>
      </w:pPr>
      <w:r>
        <w:rPr>
          <w:rFonts w:hint="eastAsia" w:ascii="宋体" w:hAnsi="宋体"/>
          <w:b/>
          <w:sz w:val="24"/>
        </w:rPr>
        <w:t xml:space="preserve">31. 中标和未中标通知书</w:t>
      </w:r>
      <w:r>
        <w:rPr>
          <w:rFonts w:ascii="宋体" w:hAnsi="宋体"/>
          <w:b/>
          <w:sz w:val="24"/>
          <w:szCs w:val="20"/>
        </w:rPr>
      </w:r>
      <w:r/>
    </w:p>
    <w:p>
      <w:pPr>
        <w:pStyle w:val="895"/>
        <w:ind w:right="-252"/>
        <w:spacing w:line="360" w:lineRule="auto"/>
        <w:tabs>
          <w:tab w:val="left" w:pos="0" w:leader="none"/>
        </w:tabs>
        <w:rPr>
          <w:rFonts w:ascii="宋体" w:hAnsi="宋体"/>
          <w:sz w:val="24"/>
        </w:rPr>
      </w:pPr>
      <w:r>
        <w:rPr>
          <w:rFonts w:ascii="宋体" w:hAnsi="宋体"/>
          <w:sz w:val="24"/>
        </w:rPr>
        <w:t xml:space="preserve">31.1  </w:t>
      </w:r>
      <w:r>
        <w:rPr>
          <w:rFonts w:hint="eastAsia" w:ascii="宋体" w:hAnsi="宋体"/>
          <w:sz w:val="24"/>
        </w:rPr>
        <w:t xml:space="preserve">在公告中标结果的同时，招标代理人将向中标人发出中标通知书。</w:t>
      </w:r>
      <w:r>
        <w:rPr>
          <w:rFonts w:hint="eastAsia" w:ascii="宋体" w:hAnsi="宋体" w:cs="宋体"/>
          <w:sz w:val="24"/>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sz w:val="24"/>
        </w:rPr>
      </w:r>
      <w:r/>
    </w:p>
    <w:p>
      <w:pPr>
        <w:pStyle w:val="908"/>
        <w:ind w:firstLine="0"/>
        <w:spacing w:line="360" w:lineRule="auto"/>
        <w:rPr>
          <w:rFonts w:hint="eastAsia" w:ascii="宋体" w:hAnsi="宋体" w:eastAsia="宋体" w:cs="宋体"/>
          <w:szCs w:val="24"/>
        </w:rPr>
      </w:pPr>
      <w:r>
        <w:rPr>
          <w:rFonts w:ascii="宋体" w:hAnsi="宋体" w:eastAsia="宋体"/>
        </w:rPr>
        <w:t xml:space="preserve">31.2  </w:t>
      </w:r>
      <w:r>
        <w:rPr>
          <w:rFonts w:hint="eastAsia" w:ascii="宋体" w:hAnsi="宋体" w:eastAsia="宋体"/>
          <w:szCs w:val="24"/>
        </w:rPr>
        <w:t xml:space="preserve">中标通知书将成为合同的组成部分。</w:t>
      </w:r>
      <w:r>
        <w:rPr>
          <w:rFonts w:hint="eastAsia" w:ascii="宋体" w:hAnsi="宋体" w:eastAsia="宋体" w:cs="宋体"/>
          <w:szCs w:val="24"/>
        </w:rPr>
        <w:t xml:space="preserve">中标通知书发出后，采购人不得违法改变中标结果，中标人无正当理由不得放弃中标。</w:t>
      </w:r>
      <w:r/>
    </w:p>
    <w:p>
      <w:pPr>
        <w:pStyle w:val="908"/>
        <w:ind w:firstLine="0"/>
        <w:spacing w:line="360" w:lineRule="auto"/>
        <w:rPr>
          <w:rFonts w:hint="eastAsia" w:ascii="宋体" w:hAnsi="宋体" w:eastAsia="宋体"/>
        </w:rPr>
      </w:pPr>
      <w:r>
        <w:rPr>
          <w:rFonts w:ascii="宋体" w:hAnsi="宋体" w:eastAsia="宋体"/>
        </w:rPr>
        <w:t xml:space="preserve">31.</w:t>
      </w:r>
      <w:r>
        <w:rPr>
          <w:rFonts w:hint="eastAsia" w:ascii="宋体" w:hAnsi="宋体" w:eastAsia="宋体"/>
        </w:rPr>
        <w:t xml:space="preserve">3</w:t>
      </w:r>
      <w:r>
        <w:rPr>
          <w:rFonts w:ascii="宋体" w:hAnsi="宋体" w:eastAsia="宋体"/>
        </w:rPr>
        <w:t xml:space="preserve"> </w:t>
      </w:r>
      <w:r>
        <w:rPr>
          <w:rFonts w:hint="eastAsia" w:ascii="宋体" w:hAnsi="宋体" w:eastAsia="宋体"/>
        </w:rPr>
        <w:t xml:space="preserve">招标代理人对未中标单位不承担解释未中标原因的义务。评审结束后，供应商可在系统中自行查询评审结果或关注公告发布网站的中标公告，评审结果将载明未中标供应商的评审情况。</w:t>
      </w:r>
      <w:r/>
    </w:p>
    <w:p>
      <w:pPr>
        <w:pStyle w:val="895"/>
        <w:spacing w:line="360" w:lineRule="auto"/>
        <w:rPr>
          <w:rFonts w:ascii="宋体" w:hAnsi="宋体"/>
          <w:b/>
          <w:sz w:val="24"/>
          <w:szCs w:val="20"/>
        </w:rPr>
      </w:pPr>
      <w:r>
        <w:rPr>
          <w:rFonts w:hint="eastAsia" w:ascii="宋体" w:hAnsi="宋体"/>
          <w:b/>
          <w:sz w:val="24"/>
        </w:rPr>
        <w:t xml:space="preserve">32. 合同的签订</w:t>
      </w:r>
      <w:r>
        <w:rPr>
          <w:rFonts w:ascii="宋体" w:hAnsi="宋体"/>
          <w:b/>
          <w:sz w:val="24"/>
          <w:szCs w:val="20"/>
        </w:rPr>
      </w:r>
      <w:r/>
    </w:p>
    <w:p>
      <w:pPr>
        <w:pStyle w:val="895"/>
        <w:spacing w:line="360" w:lineRule="auto"/>
        <w:rPr>
          <w:rFonts w:hint="eastAsia" w:ascii="宋体" w:hAnsi="宋体"/>
          <w:sz w:val="24"/>
        </w:rPr>
      </w:pPr>
      <w:r>
        <w:rPr>
          <w:rFonts w:ascii="宋体" w:hAnsi="宋体"/>
          <w:sz w:val="24"/>
        </w:rPr>
        <w:t xml:space="preserve">32.1 </w:t>
      </w:r>
      <w:r>
        <w:rPr>
          <w:rFonts w:hint="eastAsia" w:ascii="宋体" w:hAnsi="宋体"/>
          <w:sz w:val="24"/>
        </w:rPr>
        <w:t xml:space="preserve">中标公告公示期满后，中标人可在“苏采云”系统内完成合同下载和签订，具体操作详见“苏采云”系统办事指南。</w:t>
      </w:r>
      <w:r/>
    </w:p>
    <w:p>
      <w:pPr>
        <w:pStyle w:val="908"/>
        <w:ind w:firstLine="0"/>
        <w:spacing w:line="360" w:lineRule="auto"/>
        <w:rPr>
          <w:rFonts w:ascii="宋体" w:hAnsi="宋体" w:eastAsia="宋体"/>
        </w:rPr>
      </w:pPr>
      <w:r>
        <w:rPr>
          <w:rFonts w:ascii="宋体" w:hAnsi="宋体" w:eastAsia="宋体"/>
        </w:rPr>
        <w:t xml:space="preserve">32.2  </w:t>
      </w:r>
      <w:r>
        <w:rPr>
          <w:rFonts w:hint="eastAsia" w:ascii="宋体" w:hAnsi="宋体" w:eastAsia="宋体"/>
        </w:rPr>
        <w:t xml:space="preserve">签订合同及合同条款应以招标文件和中标单位的投标文件为依据。</w:t>
      </w:r>
      <w:r>
        <w:rPr>
          <w:rFonts w:ascii="宋体" w:hAnsi="宋体" w:eastAsia="宋体"/>
        </w:rPr>
      </w:r>
      <w:r/>
    </w:p>
    <w:p>
      <w:pPr>
        <w:pStyle w:val="895"/>
        <w:spacing w:line="360" w:lineRule="auto"/>
        <w:rPr>
          <w:rFonts w:hint="eastAsia" w:ascii="宋体" w:hAnsi="宋体"/>
          <w:sz w:val="24"/>
        </w:rPr>
      </w:pPr>
      <w:r>
        <w:rPr>
          <w:rFonts w:hint="eastAsia" w:ascii="宋体" w:hAnsi="宋体"/>
          <w:sz w:val="24"/>
        </w:rPr>
        <w:t xml:space="preserve">32.3采购人在合同履行中，采购人需追加与合同标的物相同的货物、在不改变其他条件的前提下，可以与供应商协商签订补充合同，但所有补充合同的采购金额不得超过原合同采购金额的10%。</w:t>
      </w:r>
      <w:r>
        <w:rPr>
          <w:rFonts w:ascii="宋体" w:hAnsi="宋体"/>
          <w:sz w:val="24"/>
        </w:rPr>
        <w:t xml:space="preserve"> </w:t>
      </w:r>
      <w:r>
        <w:rPr>
          <w:rFonts w:hint="eastAsia" w:ascii="宋体" w:hAnsi="宋体"/>
          <w:sz w:val="24"/>
        </w:rPr>
      </w:r>
      <w:r/>
    </w:p>
    <w:p>
      <w:pPr>
        <w:pStyle w:val="895"/>
        <w:numPr>
          <w:ilvl w:val="0"/>
          <w:numId w:val="2"/>
        </w:numPr>
        <w:spacing w:line="360" w:lineRule="auto"/>
        <w:rPr>
          <w:rFonts w:hint="eastAsia" w:ascii="宋体" w:hAnsi="宋体"/>
          <w:b/>
          <w:sz w:val="24"/>
        </w:rPr>
      </w:pPr>
      <w:r>
        <w:rPr>
          <w:rFonts w:hint="eastAsia" w:ascii="宋体" w:hAnsi="宋体"/>
          <w:b/>
          <w:sz w:val="24"/>
        </w:rPr>
        <w:t xml:space="preserve">履约保证金：</w:t>
      </w:r>
      <w:r/>
    </w:p>
    <w:p>
      <w:pPr>
        <w:pStyle w:val="895"/>
        <w:spacing w:line="360" w:lineRule="auto"/>
        <w:rPr>
          <w:rFonts w:ascii="宋体" w:hAnsi="宋体"/>
          <w:sz w:val="24"/>
          <w:szCs w:val="20"/>
        </w:rPr>
      </w:pPr>
      <w:r>
        <w:rPr>
          <w:rFonts w:hint="eastAsia" w:ascii="宋体" w:hAnsi="宋体"/>
          <w:sz w:val="24"/>
        </w:rPr>
        <w:t xml:space="preserve">33.1本项目无需履约保证金。</w:t>
      </w:r>
      <w:r>
        <w:rPr>
          <w:rFonts w:ascii="宋体" w:hAnsi="宋体"/>
          <w:sz w:val="24"/>
          <w:szCs w:val="20"/>
        </w:rPr>
      </w:r>
      <w:r/>
    </w:p>
    <w:p>
      <w:pPr>
        <w:pStyle w:val="895"/>
        <w:spacing w:line="360" w:lineRule="auto"/>
        <w:rPr>
          <w:rFonts w:ascii="宋体" w:hAnsi="宋体"/>
          <w:b/>
          <w:bCs/>
          <w:color w:val="000000"/>
          <w:sz w:val="24"/>
          <w:szCs w:val="20"/>
        </w:rPr>
      </w:pPr>
      <w:r>
        <w:rPr>
          <w:rFonts w:hint="eastAsia" w:ascii="宋体" w:hAnsi="宋体"/>
          <w:b/>
          <w:sz w:val="24"/>
        </w:rPr>
        <w:t xml:space="preserve">八、</w:t>
      </w:r>
      <w:r>
        <w:rPr>
          <w:rFonts w:hint="eastAsia" w:ascii="宋体" w:hAnsi="宋体"/>
          <w:b/>
          <w:bCs/>
          <w:color w:val="000000"/>
          <w:sz w:val="24"/>
          <w:szCs w:val="20"/>
        </w:rPr>
        <w:t xml:space="preserve">政府采购政策：</w:t>
      </w:r>
      <w:r>
        <w:rPr>
          <w:rFonts w:ascii="宋体" w:hAnsi="宋体"/>
          <w:b/>
          <w:bCs/>
          <w:color w:val="000000"/>
          <w:sz w:val="24"/>
          <w:szCs w:val="20"/>
        </w:rPr>
      </w:r>
      <w:r/>
    </w:p>
    <w:p>
      <w:pPr>
        <w:pStyle w:val="895"/>
        <w:spacing w:line="360" w:lineRule="auto"/>
        <w:rPr>
          <w:rFonts w:hint="eastAsia" w:ascii="宋体" w:hAnsi="宋体"/>
          <w:b/>
          <w:sz w:val="24"/>
        </w:rPr>
      </w:pPr>
      <w:r>
        <w:rPr>
          <w:rFonts w:hint="eastAsia" w:ascii="宋体" w:hAnsi="宋体"/>
          <w:b/>
          <w:sz w:val="24"/>
        </w:rPr>
        <w:t xml:space="preserve">34.中小企业扶持政策：</w:t>
      </w:r>
      <w:r/>
    </w:p>
    <w:p>
      <w:pPr>
        <w:pStyle w:val="895"/>
        <w:spacing w:line="360" w:lineRule="auto"/>
        <w:rPr>
          <w:rFonts w:hint="eastAsia" w:ascii="宋体" w:hAnsi="宋体"/>
          <w:sz w:val="24"/>
        </w:rPr>
      </w:pPr>
      <w:r>
        <w:rPr>
          <w:rFonts w:hint="eastAsia" w:ascii="宋体" w:hAnsi="宋体"/>
          <w:sz w:val="24"/>
        </w:rPr>
        <w:t xml:space="preserve">34.1中、小、微及视同小微企业</w:t>
      </w:r>
      <w:r/>
    </w:p>
    <w:p>
      <w:pPr>
        <w:pStyle w:val="895"/>
        <w:ind w:firstLine="480"/>
        <w:spacing w:line="360" w:lineRule="auto"/>
        <w:tabs>
          <w:tab w:val="left" w:pos="851" w:leader="none"/>
        </w:tabs>
        <w:rPr>
          <w:rFonts w:ascii="宋体;SimSun" w:hAnsi="宋体;SimSun" w:cs="华文中宋"/>
          <w:sz w:val="24"/>
        </w:rPr>
      </w:pPr>
      <w:r>
        <w:rPr>
          <w:rFonts w:hint="eastAsia" w:ascii="宋体" w:hAnsi="宋体" w:cs="宋体"/>
          <w:bCs/>
          <w:sz w:val="24"/>
        </w:rPr>
        <w:t xml:space="preserve">根据《</w:t>
      </w:r>
      <w:r>
        <w:rPr>
          <w:rFonts w:hint="eastAsia" w:ascii="宋体" w:hAnsi="宋体" w:cs="宋体"/>
          <w:bCs/>
          <w:sz w:val="24"/>
        </w:rPr>
        <w:t xml:space="preserve">政府采购促进中小企业发展管理办法》、《关于促进残疾人就业政府采购政策的通知》（财库〔2017〕141号）、《关于政府采购支持监狱企业发展有关问题的通知》（财库〔2014〕68号）及《关于进一步加大政府采购支持中小企业力度的通知》 （财库〔2022〕19号）等文件的精神，对属于小微企业、监狱企业、残疾人企业给予价格评审加分。投标单位为小型或微型企业、残疾人企业或监狱企业的，其价格在评审时给予20%的扣除，用扣除后的价格参与评审。如扣除后的价格为最低价的，则作为评审基准价，若中标，中标价格则以实际投标报价为准。</w:t>
      </w:r>
      <w:bookmarkStart w:id="96" w:name="OLE_LINK20"/>
      <w:r/>
      <w:bookmarkStart w:id="97" w:name="OLE_LINK16"/>
      <w:r>
        <w:rPr>
          <w:rFonts w:hint="eastAsia" w:ascii="宋体" w:hAnsi="宋体" w:cs="宋体"/>
          <w:bCs/>
          <w:color w:val="000000"/>
          <w:sz w:val="24"/>
        </w:rPr>
        <w:t xml:space="preserve">专门面向中小企业采购的项目不执行价格优惠政策，</w:t>
      </w:r>
      <w:r>
        <w:rPr>
          <w:rFonts w:hint="eastAsia" w:ascii="宋体" w:hAnsi="宋体" w:cs="宋体"/>
          <w:b/>
          <w:color w:val="000000"/>
          <w:sz w:val="24"/>
        </w:rPr>
        <w:t xml:space="preserve">本项目非专门面向中小企业采购。</w:t>
      </w:r>
      <w:r>
        <w:rPr>
          <w:rFonts w:ascii="宋体;SimSun" w:hAnsi="宋体;SimSun" w:cs="华文中宋"/>
          <w:sz w:val="24"/>
        </w:rPr>
      </w:r>
      <w:r/>
    </w:p>
    <w:p>
      <w:pPr>
        <w:pStyle w:val="895"/>
        <w:spacing w:line="360" w:lineRule="auto"/>
        <w:rPr>
          <w:rFonts w:hint="eastAsia" w:ascii="Calibri" w:hAnsi="宋体"/>
          <w:b/>
          <w:bCs/>
          <w:color w:val="000000"/>
          <w:sz w:val="24"/>
        </w:rPr>
      </w:pPr>
      <w:r/>
      <w:bookmarkEnd w:id="96"/>
      <w:r/>
      <w:bookmarkEnd w:id="97"/>
      <w:r>
        <w:rPr>
          <w:rFonts w:hint="eastAsia" w:ascii="宋体" w:hAnsi="宋体"/>
          <w:sz w:val="24"/>
        </w:rPr>
        <w:t xml:space="preserve">34.1.1中小企业参加政府采购活动，应当出具《中小企业声明函》，否则不得享受相关中小企业扶持政策。</w:t>
      </w:r>
      <w:r>
        <w:rPr>
          <w:rFonts w:hint="eastAsia" w:ascii="Calibri" w:hAnsi="宋体"/>
          <w:color w:val="000000"/>
          <w:sz w:val="24"/>
        </w:rPr>
        <w:t xml:space="preserve">《中小企业声明函》</w:t>
      </w:r>
      <w:r>
        <w:rPr>
          <w:rFonts w:hint="eastAsia" w:ascii="宋体;SimSun" w:hAnsi="宋体;SimSun" w:cs="华文中宋"/>
          <w:color w:val="000000"/>
          <w:sz w:val="24"/>
        </w:rPr>
        <w:t xml:space="preserve">需根据《中小企业划型标准规定》（工信部联企业〔</w:t>
      </w:r>
      <w:r>
        <w:rPr>
          <w:rFonts w:ascii="宋体;SimSun" w:hAnsi="宋体;SimSun" w:cs="华文中宋"/>
          <w:color w:val="000000"/>
          <w:sz w:val="24"/>
        </w:rPr>
        <w:t xml:space="preserve">2011</w:t>
      </w:r>
      <w:r>
        <w:rPr>
          <w:rFonts w:hint="eastAsia" w:ascii="宋体;SimSun" w:hAnsi="宋体;SimSun" w:cs="华文中宋"/>
          <w:color w:val="000000"/>
          <w:sz w:val="24"/>
        </w:rPr>
        <w:t xml:space="preserve">〕</w:t>
      </w:r>
      <w:r>
        <w:rPr>
          <w:rFonts w:ascii="宋体;SimSun" w:hAnsi="宋体;SimSun" w:cs="华文中宋"/>
          <w:color w:val="000000"/>
          <w:sz w:val="24"/>
        </w:rPr>
        <w:t xml:space="preserve">300</w:t>
      </w:r>
      <w:r>
        <w:rPr>
          <w:rFonts w:hint="eastAsia" w:ascii="宋体;SimSun" w:hAnsi="宋体;SimSun" w:cs="华文中宋"/>
          <w:color w:val="000000"/>
          <w:sz w:val="24"/>
        </w:rPr>
        <w:t xml:space="preserve">号）填报</w:t>
      </w:r>
      <w:r>
        <w:rPr>
          <w:rFonts w:hint="eastAsia" w:ascii="宋体" w:hAnsi="宋体" w:cs="宋体"/>
          <w:color w:val="000000"/>
          <w:sz w:val="24"/>
        </w:rPr>
        <w:t xml:space="preserve">，</w:t>
      </w:r>
      <w:r>
        <w:rPr>
          <w:rFonts w:hint="eastAsia" w:ascii="宋体" w:hAnsi="宋体"/>
          <w:sz w:val="24"/>
        </w:rPr>
        <w:t xml:space="preserve">本次采购标的对应的中小企业划分标准所属行业为</w:t>
      </w:r>
      <w:r>
        <w:rPr>
          <w:rFonts w:hint="eastAsia" w:ascii="宋体" w:hAnsi="宋体"/>
          <w:b/>
          <w:bCs/>
          <w:sz w:val="24"/>
        </w:rPr>
        <w:t xml:space="preserve">其他</w:t>
      </w:r>
      <w:r>
        <w:rPr>
          <w:rFonts w:hint="eastAsia" w:ascii="宋体" w:hAnsi="宋体"/>
          <w:b/>
          <w:bCs/>
          <w:sz w:val="24"/>
          <w:u w:val="single"/>
        </w:rPr>
        <w:t xml:space="preserve">未列明行业</w:t>
      </w:r>
      <w:r>
        <w:rPr>
          <w:rFonts w:hint="eastAsia" w:ascii="宋体" w:hAnsi="宋体"/>
          <w:b/>
          <w:sz w:val="24"/>
        </w:rPr>
        <w:t xml:space="preserve">。</w:t>
      </w:r>
      <w:r>
        <w:rPr>
          <w:rFonts w:hint="eastAsia" w:ascii="Calibri" w:hAnsi="宋体"/>
          <w:b/>
          <w:bCs/>
          <w:color w:val="000000"/>
          <w:sz w:val="24"/>
        </w:rPr>
        <w:t xml:space="preserve">加盖公章后的《中小企业声明函》须放置于</w:t>
      </w:r>
      <w:bookmarkStart w:id="98" w:name="OLE_LINK21"/>
      <w:r>
        <w:rPr>
          <w:rFonts w:hint="eastAsia" w:ascii="Calibri" w:hAnsi="宋体"/>
          <w:b/>
          <w:bCs/>
          <w:color w:val="000000"/>
          <w:sz w:val="24"/>
        </w:rPr>
        <w:t xml:space="preserve">响应</w:t>
      </w:r>
      <w:bookmarkEnd w:id="98"/>
      <w:r>
        <w:rPr>
          <w:rFonts w:hint="eastAsia" w:ascii="Calibri" w:hAnsi="宋体"/>
          <w:b/>
          <w:bCs/>
          <w:color w:val="000000"/>
          <w:sz w:val="24"/>
        </w:rPr>
        <w:t xml:space="preserve">文件中提交。</w:t>
      </w:r>
      <w:r/>
    </w:p>
    <w:p>
      <w:pPr>
        <w:pStyle w:val="895"/>
        <w:ind w:firstLine="480"/>
        <w:spacing w:line="360" w:lineRule="auto"/>
        <w:rPr>
          <w:rFonts w:hint="eastAsia" w:ascii="宋体;SimSun" w:hAnsi="宋体;SimSun" w:cs="华文中宋"/>
          <w:sz w:val="24"/>
        </w:rPr>
      </w:pPr>
      <w:r>
        <w:rPr>
          <w:rFonts w:hint="eastAsia" w:ascii="宋体;SimSun" w:hAnsi="宋体;SimSun" w:cs="华文中宋"/>
          <w:sz w:val="24"/>
        </w:rPr>
        <w:t xml:space="preserve">（1）本文所称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95"/>
        <w:ind w:firstLine="480"/>
        <w:jc w:val="left"/>
        <w:spacing w:line="360" w:lineRule="auto"/>
        <w:rPr>
          <w:rFonts w:hint="eastAsia" w:ascii="宋体" w:hAnsi="宋体"/>
          <w:bCs/>
          <w:sz w:val="24"/>
        </w:rPr>
      </w:pPr>
      <w:r>
        <w:rPr>
          <w:rFonts w:hint="eastAsia" w:ascii="宋体" w:hAnsi="宋体"/>
          <w:bCs/>
          <w:sz w:val="24"/>
        </w:rPr>
        <w:t xml:space="preserve">（2）在服务采购项目中，服务由中小企业承接，即提供服务的人员为中小企业依照《中华人民共和国劳动合同法》订立劳动合同的从业人员</w:t>
      </w:r>
      <w:r>
        <w:rPr>
          <w:rFonts w:hint="eastAsia" w:ascii="宋体" w:hAnsi="宋体"/>
          <w:sz w:val="24"/>
        </w:rPr>
        <w:t xml:space="preserve">，才可享受规定的中小企业扶持政策。</w:t>
      </w:r>
      <w:bookmarkStart w:id="99" w:name="OLE_LINK241"/>
      <w:r/>
      <w:bookmarkStart w:id="100" w:name="OLE_LINK242"/>
      <w:r>
        <w:rPr>
          <w:rFonts w:hint="eastAsia" w:ascii="宋体" w:hAnsi="宋体"/>
          <w:b/>
          <w:bCs/>
          <w:sz w:val="24"/>
        </w:rPr>
        <w:t xml:space="preserve">服务类项目中供应商若使用退休人员，将不享受相应扶持政策。</w:t>
      </w:r>
      <w:bookmarkEnd w:id="99"/>
      <w:r/>
      <w:bookmarkEnd w:id="100"/>
      <w:r>
        <w:rPr>
          <w:rFonts w:hint="eastAsia" w:ascii="宋体" w:hAnsi="宋体"/>
          <w:bCs/>
          <w:sz w:val="24"/>
        </w:rPr>
      </w:r>
      <w:r/>
    </w:p>
    <w:p>
      <w:pPr>
        <w:pStyle w:val="895"/>
        <w:ind w:firstLine="480"/>
        <w:spacing w:line="360" w:lineRule="auto"/>
        <w:rPr>
          <w:rFonts w:ascii="宋体" w:hAnsi="宋体"/>
          <w:sz w:val="24"/>
        </w:rPr>
      </w:pPr>
      <w:r>
        <w:rPr>
          <w:rFonts w:hint="eastAsia" w:ascii="宋体" w:hAnsi="宋体"/>
          <w:sz w:val="24"/>
        </w:rPr>
        <w:t xml:space="preserve">（3）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w:t>
      </w:r>
      <w:r>
        <w:rPr>
          <w:rFonts w:ascii="宋体" w:hAnsi="宋体"/>
          <w:sz w:val="24"/>
        </w:rPr>
      </w:r>
      <w:r/>
    </w:p>
    <w:p>
      <w:pPr>
        <w:pStyle w:val="895"/>
        <w:spacing w:line="360" w:lineRule="auto"/>
        <w:tabs>
          <w:tab w:val="left" w:pos="2870" w:leader="none"/>
        </w:tabs>
        <w:rPr>
          <w:rFonts w:ascii="宋体" w:hAnsi="宋体"/>
          <w:color w:val="000000"/>
          <w:sz w:val="24"/>
        </w:rPr>
      </w:pPr>
      <w:r>
        <w:rPr>
          <w:rFonts w:hint="eastAsia" w:ascii="宋体" w:hAnsi="宋体"/>
          <w:sz w:val="24"/>
        </w:rPr>
        <w:t xml:space="preserve">34.1.2</w:t>
      </w:r>
      <w:r>
        <w:rPr>
          <w:rFonts w:hint="eastAsia" w:ascii="宋体;SimSun" w:hAnsi="宋体;SimSun" w:cs="宋体;SimSun"/>
          <w:color w:val="000000"/>
          <w:sz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w:t>
      </w:r>
      <w:r>
        <w:rPr>
          <w:rFonts w:ascii="宋体" w:hAnsi="宋体"/>
          <w:color w:val="000000"/>
          <w:sz w:val="24"/>
        </w:rPr>
      </w:r>
      <w:r/>
    </w:p>
    <w:p>
      <w:pPr>
        <w:pStyle w:val="895"/>
        <w:ind w:firstLine="480"/>
        <w:spacing w:line="360" w:lineRule="auto"/>
        <w:tabs>
          <w:tab w:val="left" w:pos="2870" w:leader="none"/>
        </w:tabs>
        <w:rPr>
          <w:rFonts w:ascii="宋体" w:hAnsi="宋体"/>
          <w:color w:val="000000"/>
          <w:sz w:val="24"/>
        </w:rPr>
      </w:pPr>
      <w:r>
        <w:rPr>
          <w:rFonts w:hint="eastAsia" w:ascii="宋体" w:hAnsi="宋体" w:cs="宋体"/>
          <w:bCs/>
          <w:color w:val="000000"/>
          <w:sz w:val="24"/>
        </w:rPr>
        <w:t xml:space="preserve">符合条件的残疾人福利性单位在参加政府采购活动时，应当提供《残疾人福利性单位声明函》。</w:t>
      </w:r>
      <w:r>
        <w:rPr>
          <w:rFonts w:hint="eastAsia" w:ascii="宋体" w:hAnsi="宋体" w:cs="宋体"/>
          <w:b/>
          <w:bCs/>
          <w:color w:val="000000"/>
          <w:sz w:val="24"/>
        </w:rPr>
        <w:t xml:space="preserve">加盖公章后的《残疾人福利性单位声明函》</w:t>
      </w:r>
      <w:r>
        <w:rPr>
          <w:rFonts w:hint="eastAsia" w:ascii="Calibri" w:hAnsi="宋体"/>
          <w:b/>
          <w:bCs/>
          <w:color w:val="000000"/>
          <w:sz w:val="24"/>
        </w:rPr>
        <w:t xml:space="preserve">放置于</w:t>
      </w:r>
      <w:r>
        <w:rPr>
          <w:rFonts w:hint="eastAsia" w:ascii="Calibri" w:hAnsi="宋体"/>
          <w:b/>
          <w:bCs/>
          <w:color w:val="000000"/>
          <w:sz w:val="24"/>
        </w:rPr>
        <w:t xml:space="preserve">响应</w:t>
      </w:r>
      <w:r>
        <w:rPr>
          <w:rFonts w:hint="eastAsia" w:ascii="Calibri" w:hAnsi="宋体"/>
          <w:b/>
          <w:bCs/>
          <w:color w:val="000000"/>
          <w:sz w:val="24"/>
        </w:rPr>
        <w:t xml:space="preserve">文件中提交，未提交则不享受促进中小微企业发展的相关政府采购政策。</w:t>
      </w:r>
      <w:r>
        <w:rPr>
          <w:rFonts w:ascii="宋体" w:hAnsi="宋体"/>
          <w:color w:val="000000"/>
          <w:sz w:val="24"/>
        </w:rPr>
      </w:r>
      <w:r/>
    </w:p>
    <w:p>
      <w:pPr>
        <w:pStyle w:val="895"/>
        <w:spacing w:line="360" w:lineRule="auto"/>
        <w:tabs>
          <w:tab w:val="left" w:pos="2870" w:leader="none"/>
        </w:tabs>
        <w:rPr>
          <w:rFonts w:ascii="宋体" w:hAnsi="宋体"/>
          <w:color w:val="000000"/>
          <w:sz w:val="24"/>
        </w:rPr>
      </w:pPr>
      <w:r>
        <w:rPr>
          <w:rFonts w:hint="eastAsia" w:ascii="宋体" w:hAnsi="宋体" w:cs="宋体"/>
          <w:color w:val="000000"/>
          <w:sz w:val="24"/>
        </w:rPr>
        <w:t xml:space="preserve">34.1.3</w:t>
      </w:r>
      <w:r>
        <w:rPr>
          <w:rFonts w:hint="eastAsia" w:ascii="宋体;SimSun" w:hAnsi="宋体;SimSun" w:cs="宋体;SimSun"/>
          <w:color w:val="000000"/>
          <w:sz w:val="24"/>
        </w:rPr>
        <w:t xml:space="preserve">根据</w:t>
      </w:r>
      <w:r>
        <w:rPr>
          <w:rFonts w:hint="eastAsia" w:ascii="宋体" w:hAnsi="宋体" w:cs="宋体"/>
          <w:color w:val="000000"/>
          <w:sz w:val="24"/>
        </w:rPr>
        <w:t xml:space="preserve">《关于政府采购支持监狱企业发展有关问题的通知》（财库〔2014〕68号）</w:t>
      </w:r>
      <w:r>
        <w:rPr>
          <w:rFonts w:hint="eastAsia" w:ascii="宋体;SimSun" w:hAnsi="宋体;SimSun" w:cs="宋体;SimSun"/>
          <w:color w:val="000000"/>
          <w:sz w:val="24"/>
        </w:rPr>
        <w:t xml:space="preserve">的相关规定，在政府采购活动中，监狱企业视同小型、微型企业，享受预留份额、评审中价格扣除等促进中小企业发展的政府采购政策。监狱企业属于小型、微型企业的，不重复享受政策。</w:t>
      </w:r>
      <w:r>
        <w:rPr>
          <w:rFonts w:ascii="宋体" w:hAnsi="宋体"/>
          <w:color w:val="000000"/>
          <w:sz w:val="24"/>
        </w:rPr>
      </w:r>
      <w:r/>
    </w:p>
    <w:p>
      <w:pPr>
        <w:pStyle w:val="895"/>
        <w:ind w:firstLine="480"/>
        <w:spacing w:line="360" w:lineRule="auto"/>
        <w:rPr>
          <w:rFonts w:ascii="宋体;SimSun" w:hAnsi="宋体;SimSun" w:cs="宋体;SimSun"/>
          <w:color w:val="000000"/>
          <w:sz w:val="24"/>
        </w:rPr>
      </w:pPr>
      <w:r>
        <w:rPr>
          <w:rFonts w:ascii="宋体" w:hAnsi="宋体" w:cs="宋体"/>
          <w:color w:val="000000"/>
          <w:sz w:val="24"/>
        </w:rPr>
        <w:t xml:space="preserve">符合条件的监狱企业参加政府采购活动时，应当提供由省级以上监狱管理局、戒毒管理局(含</w:t>
      </w:r>
      <w:r>
        <w:rPr>
          <w:rFonts w:ascii="宋体" w:hAnsi="宋体" w:cs="宋体"/>
          <w:color w:val="000000"/>
          <w:sz w:val="24"/>
        </w:rPr>
        <w:fldChar w:fldCharType="begin"/>
      </w:r>
      <w:r>
        <w:rPr>
          <w:rFonts w:ascii="宋体" w:hAnsi="宋体" w:cs="宋体"/>
          <w:color w:val="000000"/>
          <w:sz w:val="24"/>
        </w:rPr>
        <w:instrText xml:space="preserve"> HYPERLINK "https://baike.baidu.com/item/%E6%96%B0%E7%96%86%E7%94%9F%E4%BA%A7%E5%BB%BA%E8%AE%BE%E5%85%B5%E5%9B%A2/710933?fromModule=lemma_inlink" \t "_blank" </w:instrText>
      </w:r>
      <w:r>
        <w:rPr>
          <w:rFonts w:ascii="宋体" w:hAnsi="宋体" w:cs="宋体"/>
          <w:color w:val="000000"/>
          <w:sz w:val="24"/>
        </w:rPr>
        <w:fldChar w:fldCharType="separate"/>
      </w:r>
      <w:r>
        <w:rPr>
          <w:rFonts w:ascii="宋体" w:hAnsi="宋体" w:cs="宋体"/>
          <w:color w:val="000000"/>
          <w:sz w:val="24"/>
        </w:rPr>
        <w:t xml:space="preserve">新疆生产建设兵团</w:t>
      </w:r>
      <w:r>
        <w:rPr>
          <w:rFonts w:ascii="宋体" w:hAnsi="宋体" w:cs="宋体"/>
          <w:color w:val="000000"/>
          <w:sz w:val="24"/>
        </w:rPr>
        <w:fldChar w:fldCharType="end"/>
      </w:r>
      <w:r>
        <w:rPr>
          <w:rFonts w:ascii="宋体" w:hAnsi="宋体" w:cs="宋体"/>
          <w:color w:val="000000"/>
          <w:sz w:val="24"/>
        </w:rPr>
        <w:t xml:space="preserve">)出具的属于监狱企业的证明文件。</w:t>
      </w:r>
      <w:r>
        <w:rPr>
          <w:rFonts w:hint="eastAsia" w:ascii="宋体" w:hAnsi="宋体" w:cs="宋体"/>
          <w:b/>
          <w:bCs/>
          <w:color w:val="000000"/>
          <w:sz w:val="24"/>
        </w:rPr>
        <w:t xml:space="preserve">证明文件放置于</w:t>
      </w:r>
      <w:r>
        <w:rPr>
          <w:rFonts w:hint="eastAsia" w:ascii="Calibri" w:hAnsi="宋体"/>
          <w:b/>
          <w:bCs/>
          <w:color w:val="000000"/>
          <w:sz w:val="24"/>
        </w:rPr>
        <w:t xml:space="preserve">响应</w:t>
      </w:r>
      <w:r>
        <w:rPr>
          <w:rFonts w:hint="eastAsia" w:ascii="宋体" w:hAnsi="宋体" w:cs="宋体"/>
          <w:b/>
          <w:bCs/>
          <w:color w:val="000000"/>
          <w:sz w:val="24"/>
        </w:rPr>
        <w:t xml:space="preserve">文件中提交，未提交则不享受促进中小微企业发展的相关政府采购政策。</w:t>
      </w:r>
      <w:r>
        <w:rPr>
          <w:rFonts w:ascii="宋体;SimSun" w:hAnsi="宋体;SimSun" w:cs="宋体;SimSun"/>
          <w:color w:val="000000"/>
          <w:sz w:val="24"/>
        </w:rPr>
      </w:r>
      <w:r/>
    </w:p>
    <w:p>
      <w:pPr>
        <w:pStyle w:val="895"/>
        <w:spacing w:line="360" w:lineRule="auto"/>
        <w:rPr>
          <w:rFonts w:hint="eastAsia" w:ascii="宋体" w:hAnsi="宋体"/>
          <w:color w:val="000000"/>
          <w:sz w:val="24"/>
        </w:rPr>
      </w:pPr>
      <w:r>
        <w:rPr>
          <w:rFonts w:hint="eastAsia" w:ascii="宋体" w:hAnsi="宋体"/>
          <w:color w:val="000000"/>
          <w:sz w:val="24"/>
        </w:rPr>
        <w:t xml:space="preserve">34.1.4供应商对提供的《中小企业声明函》 、《残疾人福利性单位声明函》及监狱企业认定证明的真实性负责，若其提供虚假材料的，按《中华人民共和国政府采购法》相关规定处理并报请政府采购监管部门给予行政处罚。</w:t>
      </w:r>
      <w:r/>
    </w:p>
    <w:p>
      <w:pPr>
        <w:pStyle w:val="895"/>
        <w:spacing w:line="348" w:lineRule="auto"/>
        <w:rPr>
          <w:rFonts w:hint="eastAsia" w:ascii="宋体" w:hAnsi="宋体"/>
          <w:b/>
          <w:sz w:val="24"/>
        </w:rPr>
      </w:pPr>
      <w:r>
        <w:rPr>
          <w:rFonts w:hint="eastAsia" w:ascii="宋体" w:hAnsi="宋体"/>
          <w:b/>
          <w:sz w:val="24"/>
        </w:rPr>
        <w:t xml:space="preserve">34.2绿色采购</w:t>
      </w:r>
      <w:r>
        <w:rPr>
          <w:rFonts w:hint="eastAsia" w:ascii="宋体" w:hAnsi="宋体"/>
          <w:sz w:val="24"/>
        </w:rPr>
        <w:t xml:space="preserve">（本项目不涉及）</w:t>
      </w:r>
      <w:r>
        <w:rPr>
          <w:rFonts w:hint="eastAsia" w:ascii="宋体" w:hAnsi="宋体"/>
          <w:b/>
          <w:sz w:val="24"/>
        </w:rPr>
      </w:r>
      <w:r/>
    </w:p>
    <w:p>
      <w:pPr>
        <w:pStyle w:val="895"/>
        <w:ind w:firstLine="480"/>
        <w:spacing w:line="348" w:lineRule="auto"/>
        <w:rPr>
          <w:rFonts w:hint="eastAsia" w:ascii="宋体" w:hAnsi="宋体" w:cs="宋体"/>
          <w:b/>
          <w:bCs/>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rPr>
          <w:rFonts w:hint="eastAsia" w:ascii="宋体" w:hAnsi="宋体" w:cs="宋体"/>
          <w:b/>
          <w:bCs/>
          <w:sz w:val="24"/>
        </w:rPr>
      </w:r>
      <w:r/>
    </w:p>
    <w:p>
      <w:pPr>
        <w:pStyle w:val="895"/>
        <w:spacing w:line="360" w:lineRule="auto"/>
        <w:rPr>
          <w:rFonts w:hint="eastAsia" w:ascii="宋体" w:hAnsi="宋体"/>
          <w:b/>
          <w:sz w:val="24"/>
        </w:rPr>
      </w:pPr>
      <w:r>
        <w:rPr>
          <w:rFonts w:hint="eastAsia" w:ascii="宋体" w:hAnsi="宋体"/>
          <w:b/>
          <w:sz w:val="24"/>
        </w:rPr>
        <w:t xml:space="preserve">34.3本国产品标准及相关政策</w:t>
      </w:r>
      <w:r>
        <w:rPr>
          <w:rFonts w:hint="eastAsia" w:ascii="宋体" w:hAnsi="宋体"/>
          <w:sz w:val="24"/>
        </w:rPr>
        <w:t xml:space="preserve">（本项目不涉及）</w:t>
      </w:r>
      <w:r>
        <w:rPr>
          <w:rFonts w:hint="eastAsia" w:ascii="宋体" w:hAnsi="宋体"/>
          <w:b/>
          <w:sz w:val="24"/>
        </w:rPr>
      </w:r>
      <w:r/>
    </w:p>
    <w:p>
      <w:pPr>
        <w:pStyle w:val="895"/>
        <w:ind w:firstLine="480"/>
        <w:spacing w:line="348"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根据《国务院办公厅关于在政府采购中实施本国产品标准及相关政策的通知》（国办发〔2025〕34号）等相关文件规定，对符合该文件适用范围的政府采购项目，执行本国产品相关政策。</w:t>
      </w:r>
      <w:r/>
    </w:p>
    <w:p>
      <w:pPr>
        <w:pStyle w:val="895"/>
        <w:spacing w:line="348" w:lineRule="auto"/>
        <w:rPr>
          <w:rFonts w:hint="eastAsia" w:ascii="宋体" w:hAnsi="宋体"/>
          <w:sz w:val="24"/>
        </w:rPr>
      </w:pPr>
      <w:r>
        <w:rPr>
          <w:rFonts w:hint="eastAsia" w:ascii="宋体" w:hAnsi="宋体"/>
          <w:sz w:val="24"/>
        </w:rPr>
        <w:t xml:space="preserve">34.3.1本国产品标准：</w:t>
      </w:r>
      <w:r/>
    </w:p>
    <w:p>
      <w:pPr>
        <w:pStyle w:val="895"/>
        <w:ind w:firstLine="480"/>
        <w:spacing w:line="348" w:lineRule="auto"/>
        <w:rPr>
          <w:rFonts w:hint="eastAsia" w:ascii="宋体" w:hAnsi="宋体"/>
          <w:sz w:val="24"/>
        </w:rPr>
      </w:pPr>
      <w:r>
        <w:rPr>
          <w:rFonts w:hint="eastAsia" w:ascii="宋体" w:hAnsi="宋体"/>
          <w:sz w:val="24"/>
        </w:rPr>
        <w:t xml:space="preserve">详见《国务院办公厅关于在政府采购中实施本国产品标准及相关政策的通知》（国办发〔2025〕34号）。</w:t>
      </w:r>
      <w:r/>
    </w:p>
    <w:p>
      <w:pPr>
        <w:pStyle w:val="895"/>
        <w:spacing w:line="348" w:lineRule="auto"/>
        <w:rPr>
          <w:rFonts w:hint="eastAsia" w:ascii="宋体" w:hAnsi="宋体"/>
          <w:sz w:val="24"/>
        </w:rPr>
      </w:pPr>
      <w:r>
        <w:rPr>
          <w:rFonts w:hint="eastAsia" w:ascii="宋体" w:hAnsi="宋体"/>
          <w:sz w:val="24"/>
        </w:rPr>
        <w:t xml:space="preserve">34.3.2适用范围：</w:t>
      </w:r>
      <w:r/>
    </w:p>
    <w:p>
      <w:pPr>
        <w:pStyle w:val="895"/>
        <w:ind w:firstLine="480"/>
        <w:spacing w:line="348" w:lineRule="auto"/>
        <w:rPr>
          <w:rFonts w:hint="eastAsia" w:ascii="宋体" w:hAnsi="宋体"/>
          <w:sz w:val="24"/>
        </w:rPr>
      </w:pPr>
      <w:r>
        <w:rPr>
          <w:rFonts w:hint="eastAsia" w:ascii="宋体" w:hAnsi="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5"/>
        <w:spacing w:line="348" w:lineRule="auto"/>
        <w:rPr>
          <w:rFonts w:hint="eastAsia" w:ascii="宋体" w:hAnsi="宋体"/>
          <w:sz w:val="24"/>
        </w:rPr>
      </w:pPr>
      <w:r>
        <w:rPr>
          <w:rFonts w:hint="eastAsia" w:ascii="宋体" w:hAnsi="宋体"/>
          <w:sz w:val="24"/>
        </w:rPr>
        <w:t xml:space="preserve">34.3.3对本国产品的支持政策：</w:t>
      </w:r>
      <w:r/>
    </w:p>
    <w:p>
      <w:pPr>
        <w:pStyle w:val="895"/>
        <w:ind w:firstLine="480"/>
        <w:spacing w:line="348" w:lineRule="auto"/>
        <w:rPr>
          <w:rFonts w:hint="eastAsia" w:ascii="宋体" w:hAnsi="宋体"/>
          <w:b/>
          <w:sz w:val="24"/>
        </w:rPr>
      </w:pPr>
      <w:r>
        <w:rPr>
          <w:rFonts w:hint="eastAsia" w:ascii="宋体" w:hAnsi="宋体"/>
          <w:sz w:val="24"/>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b/>
          <w:sz w:val="24"/>
        </w:rPr>
      </w:r>
      <w:r/>
    </w:p>
    <w:p>
      <w:pPr>
        <w:pStyle w:val="895"/>
        <w:ind w:firstLine="480"/>
        <w:spacing w:line="348" w:lineRule="auto"/>
        <w:rPr>
          <w:rFonts w:hint="eastAsia" w:ascii="宋体" w:hAnsi="宋体"/>
          <w:sz w:val="24"/>
        </w:rPr>
      </w:pP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95"/>
        <w:spacing w:line="348" w:lineRule="auto"/>
        <w:rPr>
          <w:rFonts w:hint="eastAsia" w:ascii="宋体" w:hAnsi="宋体"/>
          <w:sz w:val="24"/>
        </w:rPr>
      </w:pPr>
      <w:r>
        <w:rPr>
          <w:rFonts w:hint="eastAsia" w:ascii="宋体" w:hAnsi="宋体"/>
          <w:sz w:val="24"/>
        </w:rPr>
        <w:t xml:space="preserve">34.3.4供应商对其提供的产品出具《关于符合本国产品标准的声明函》（格式见第六章，以下简称《声明函》）或财政部会同有关部门规定的有关证明文件。供应商响应文件中未提供符合要求的《声明函》或有关证明文件的，不享受对本国产品的支持政策。</w:t>
      </w:r>
      <w:r/>
    </w:p>
    <w:p>
      <w:pPr>
        <w:pStyle w:val="895"/>
        <w:spacing w:line="348" w:lineRule="auto"/>
        <w:rPr>
          <w:rFonts w:hint="eastAsia" w:ascii="宋体" w:hAnsi="宋体"/>
          <w:sz w:val="24"/>
        </w:rPr>
      </w:pPr>
      <w:r>
        <w:rPr>
          <w:rFonts w:hint="eastAsia" w:ascii="宋体" w:hAnsi="宋体"/>
          <w:sz w:val="24"/>
        </w:rPr>
        <w:t xml:space="preserve">34.3.5供应商提供虚假《声明函》、虚假证明文件谋取中标、成交的，依照《中华</w:t>
      </w:r>
      <w:r>
        <w:rPr>
          <w:rFonts w:hint="eastAsia" w:ascii="宋体" w:hAnsi="宋体"/>
          <w:sz w:val="24"/>
        </w:rPr>
        <w:t xml:space="preserve">人民共和国政府采购法》等法律法规规定追究相应责任。</w:t>
      </w:r>
      <w:r/>
    </w:p>
    <w:p>
      <w:pPr>
        <w:pStyle w:val="895"/>
        <w:spacing w:line="348" w:lineRule="auto"/>
        <w:rPr>
          <w:rFonts w:hint="eastAsia" w:ascii="宋体" w:hAnsi="宋体"/>
          <w:sz w:val="24"/>
        </w:rPr>
      </w:pPr>
      <w:r>
        <w:rPr>
          <w:rFonts w:hint="eastAsia" w:ascii="宋体" w:hAnsi="宋体"/>
          <w:sz w:val="24"/>
        </w:rPr>
        <w:t xml:space="preserve">34.3.6评审中发现《关于符合本国产品标准的声明函》（以下简称《声明函》内容含义不明确、同类事项与投标（响应）文件表述不一致或者有明显文字错误等情况的，评标委员会有权以书面形式要求供应商作出必要的澄清、说明或者补正。经澄清、说明或者补正的《声明函》仍然不符合《通知》规定要求的，供应商提供的相关产品视为不符合本国产品标准。</w:t>
      </w:r>
      <w:r/>
    </w:p>
    <w:p>
      <w:pPr>
        <w:pStyle w:val="895"/>
        <w:spacing w:line="360" w:lineRule="auto"/>
        <w:rPr>
          <w:rFonts w:ascii="宋体" w:hAnsi="宋体"/>
          <w:b/>
          <w:sz w:val="24"/>
          <w:szCs w:val="20"/>
        </w:rPr>
      </w:pPr>
      <w:r>
        <w:rPr>
          <w:rFonts w:hint="eastAsia" w:ascii="宋体" w:hAnsi="宋体"/>
          <w:b/>
          <w:sz w:val="24"/>
        </w:rPr>
        <w:t xml:space="preserve">九、其他事项</w:t>
      </w:r>
      <w:r>
        <w:rPr>
          <w:rFonts w:ascii="宋体" w:hAnsi="宋体"/>
          <w:b/>
          <w:sz w:val="24"/>
          <w:szCs w:val="20"/>
        </w:rPr>
      </w:r>
      <w:r/>
    </w:p>
    <w:p>
      <w:pPr>
        <w:pStyle w:val="895"/>
        <w:spacing w:line="360" w:lineRule="auto"/>
      </w:pPr>
      <w:r>
        <w:rPr>
          <w:rFonts w:hint="eastAsia" w:ascii="宋体" w:hAnsi="宋体" w:cs="宋体"/>
          <w:b/>
          <w:sz w:val="24"/>
          <w:szCs w:val="20"/>
        </w:rPr>
        <w:t xml:space="preserve">35. 中标服务费和质疑</w:t>
      </w:r>
      <w:r/>
    </w:p>
    <w:p>
      <w:pPr>
        <w:pStyle w:val="976"/>
        <w:ind w:firstLine="0"/>
        <w:spacing w:line="360" w:lineRule="auto"/>
        <w:rPr>
          <w:rFonts w:eastAsia="宋体"/>
        </w:rPr>
      </w:pPr>
      <w:r>
        <w:rPr>
          <w:rFonts w:ascii="宋体" w:hAnsi="宋体" w:eastAsia="宋体" w:cs="宋体"/>
        </w:rPr>
        <w:t xml:space="preserve">3</w:t>
      </w:r>
      <w:r>
        <w:rPr>
          <w:rFonts w:hint="eastAsia" w:ascii="宋体" w:hAnsi="宋体" w:eastAsia="宋体" w:cs="宋体"/>
        </w:rPr>
        <w:t xml:space="preserve">5</w:t>
      </w:r>
      <w:r>
        <w:rPr>
          <w:rFonts w:ascii="宋体" w:hAnsi="宋体" w:eastAsia="宋体" w:cs="宋体"/>
        </w:rPr>
        <w:t xml:space="preserve">.1</w:t>
      </w:r>
      <w:r>
        <w:rPr>
          <w:rFonts w:hint="eastAsia" w:ascii="宋体" w:hAnsi="宋体" w:eastAsia="宋体" w:cs="宋体"/>
        </w:rPr>
        <w:t xml:space="preserve">中标服务费按苏财购告【2016】31号公示执行，即：以预算</w:t>
      </w:r>
      <w:r>
        <w:rPr>
          <w:rFonts w:ascii="宋体" w:hAnsi="宋体" w:eastAsia="宋体" w:cs="宋体"/>
        </w:rPr>
        <w:t xml:space="preserve">金额</w:t>
      </w:r>
      <w:r>
        <w:rPr>
          <w:rFonts w:hint="eastAsia" w:ascii="宋体" w:hAnsi="宋体" w:eastAsia="宋体" w:cs="宋体"/>
        </w:rPr>
        <w:t xml:space="preserve">为基数，100万元以内部分1.5%、100～500万元部分1.1%、500～1000万元部分0.8%，1000万以上部分0.5%的差额定率累进法</w:t>
      </w:r>
      <w:r>
        <w:rPr>
          <w:rFonts w:ascii="宋体" w:hAnsi="宋体" w:eastAsia="宋体" w:cs="宋体"/>
        </w:rPr>
        <w:t xml:space="preserve">计算</w:t>
      </w:r>
      <w:r>
        <w:rPr>
          <w:rFonts w:hint="eastAsia" w:ascii="宋体" w:hAnsi="宋体" w:eastAsia="宋体" w:cs="宋体"/>
        </w:rPr>
        <w:t xml:space="preserve">，但单项收费不低于3000元。在领取中标通知时由中标单位</w:t>
      </w:r>
      <w:r>
        <w:rPr>
          <w:rFonts w:ascii="宋体" w:hAnsi="宋体" w:eastAsia="宋体" w:cs="宋体"/>
        </w:rPr>
        <w:t xml:space="preserve">向采购代理机构支付。</w:t>
      </w:r>
      <w:r>
        <w:rPr>
          <w:rFonts w:hint="eastAsia" w:ascii="宋体" w:hAnsi="宋体" w:eastAsia="宋体" w:cs="宋体"/>
        </w:rPr>
        <w:t xml:space="preserve">本项目第一标段：26000元，第二标段：24900元，第三标段：19950元，第四标段：18850元。</w:t>
      </w:r>
      <w:r>
        <w:rPr>
          <w:rFonts w:eastAsia="宋体"/>
        </w:rPr>
      </w:r>
      <w:r/>
    </w:p>
    <w:p>
      <w:pPr>
        <w:pStyle w:val="976"/>
        <w:ind w:firstLine="0"/>
        <w:spacing w:line="360" w:lineRule="auto"/>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5</w:t>
      </w:r>
      <w:r>
        <w:rPr>
          <w:rFonts w:ascii="宋体" w:hAnsi="宋体" w:eastAsia="宋体" w:cs="宋体"/>
        </w:rPr>
        <w:t xml:space="preserve">.2中标单位如果未按规定缴纳中标服务费，招标</w:t>
      </w:r>
      <w:r>
        <w:rPr>
          <w:rFonts w:hint="eastAsia" w:ascii="宋体" w:hAnsi="宋体" w:eastAsia="宋体" w:cs="宋体"/>
        </w:rPr>
        <w:t xml:space="preserve">代理</w:t>
      </w:r>
      <w:r>
        <w:rPr>
          <w:rFonts w:ascii="宋体" w:hAnsi="宋体" w:eastAsia="宋体" w:cs="宋体"/>
        </w:rPr>
        <w:t xml:space="preserve">人将保留诉讼的权利。</w:t>
      </w:r>
      <w:r/>
    </w:p>
    <w:p>
      <w:pPr>
        <w:pStyle w:val="976"/>
        <w:ind w:firstLine="0"/>
        <w:spacing w:line="360" w:lineRule="auto"/>
        <w:rPr>
          <w:rFonts w:ascii="宋体" w:hAnsi="宋体" w:eastAsia="宋体" w:cs="宋体"/>
        </w:rPr>
      </w:pPr>
      <w:r>
        <w:rPr>
          <w:rFonts w:hint="eastAsia" w:ascii="宋体" w:hAnsi="宋体" w:eastAsia="宋体" w:cs="宋体"/>
        </w:rPr>
        <w:t xml:space="preserve">35.3质疑接收方式：按相关规定接收书面质疑，供应商应一次性提出针对同一采购程序环节的质疑。投标人需打印保留“网上报名截图”，质疑时与质疑函一并提交。如对《招标文件》提出质疑的，请提交资格审查内容的相关文件(但只对“投标人资格要求</w:t>
      </w:r>
      <w:r>
        <w:rPr>
          <w:rFonts w:ascii="宋体" w:hAnsi="宋体" w:eastAsia="宋体" w:cs="宋体"/>
        </w:rPr>
        <w:t xml:space="preserve">”</w:t>
      </w:r>
      <w:r>
        <w:rPr>
          <w:rFonts w:hint="eastAsia" w:ascii="宋体" w:hAnsi="宋体" w:eastAsia="宋体" w:cs="宋体"/>
        </w:rPr>
        <w:t xml:space="preserve">质疑的除外)。</w:t>
      </w:r>
      <w:r>
        <w:rPr>
          <w:rFonts w:ascii="宋体" w:hAnsi="宋体" w:eastAsia="宋体" w:cs="宋体"/>
        </w:rPr>
      </w:r>
      <w:r/>
    </w:p>
    <w:p>
      <w:pPr>
        <w:pStyle w:val="908"/>
        <w:ind w:firstLine="0"/>
        <w:spacing w:line="360" w:lineRule="auto"/>
        <w:rPr>
          <w:rFonts w:hint="eastAsia" w:ascii="宋体" w:hAnsi="宋体" w:eastAsia="宋体"/>
        </w:rPr>
      </w:pPr>
      <w:r>
        <w:rPr>
          <w:rFonts w:hint="eastAsia" w:ascii="宋体" w:hAnsi="宋体" w:eastAsia="宋体"/>
        </w:rPr>
        <w:t xml:space="preserve">联系部门：苏州市营财招投标咨询服务有限公司招标一部，电话：0512-65159202，65158110，地址：苏州市人民路905号二楼。联系人：陶元倩 李佰通。</w:t>
      </w:r>
      <w:r/>
    </w:p>
    <w:p>
      <w:pPr>
        <w:pStyle w:val="895"/>
        <w:spacing w:line="360" w:lineRule="auto"/>
        <w:rPr>
          <w:rFonts w:ascii="宋体" w:hAnsi="宋体"/>
          <w:b/>
          <w:sz w:val="24"/>
          <w:szCs w:val="20"/>
        </w:rPr>
      </w:pPr>
      <w:r>
        <w:rPr>
          <w:rFonts w:hint="eastAsia" w:ascii="宋体" w:hAnsi="宋体"/>
          <w:b/>
          <w:sz w:val="24"/>
        </w:rPr>
        <w:t xml:space="preserve">36. 监督</w:t>
      </w:r>
      <w:r>
        <w:rPr>
          <w:rFonts w:ascii="宋体" w:hAnsi="宋体"/>
          <w:b/>
          <w:sz w:val="24"/>
          <w:szCs w:val="20"/>
        </w:rPr>
      </w:r>
      <w:r/>
    </w:p>
    <w:p>
      <w:pPr>
        <w:pStyle w:val="895"/>
        <w:spacing w:line="360" w:lineRule="auto"/>
        <w:rPr>
          <w:rFonts w:ascii="宋体" w:hAnsi="宋体"/>
          <w:sz w:val="24"/>
          <w:szCs w:val="20"/>
        </w:rPr>
      </w:pPr>
      <w:r>
        <w:rPr>
          <w:rFonts w:ascii="宋体" w:hAnsi="宋体"/>
          <w:sz w:val="24"/>
        </w:rPr>
        <w:t xml:space="preserve">3</w:t>
      </w:r>
      <w:r>
        <w:rPr>
          <w:rFonts w:hint="eastAsia" w:ascii="宋体" w:hAnsi="宋体"/>
          <w:sz w:val="24"/>
        </w:rPr>
        <w:t xml:space="preserve">6</w:t>
      </w:r>
      <w:r>
        <w:rPr>
          <w:rFonts w:ascii="宋体" w:hAnsi="宋体"/>
          <w:sz w:val="24"/>
        </w:rPr>
        <w:t xml:space="preserve">.1政府有关</w:t>
      </w:r>
      <w:r>
        <w:rPr>
          <w:rFonts w:hint="eastAsia" w:ascii="宋体" w:hAnsi="宋体"/>
          <w:sz w:val="24"/>
        </w:rPr>
        <w:t xml:space="preserve">管理</w:t>
      </w:r>
      <w:r>
        <w:rPr>
          <w:rFonts w:ascii="宋体" w:hAnsi="宋体"/>
          <w:sz w:val="24"/>
        </w:rPr>
        <w:t xml:space="preserve">部门将对招投标全过程进行监督。</w:t>
      </w:r>
      <w:r>
        <w:rPr>
          <w:rFonts w:ascii="宋体" w:hAnsi="宋体"/>
          <w:sz w:val="24"/>
          <w:szCs w:val="20"/>
        </w:rPr>
      </w:r>
      <w:r/>
    </w:p>
    <w:p>
      <w:pPr>
        <w:pStyle w:val="895"/>
        <w:spacing w:line="360" w:lineRule="auto"/>
        <w:rPr>
          <w:rFonts w:ascii="宋体" w:hAnsi="宋体"/>
          <w:b/>
          <w:sz w:val="24"/>
          <w:szCs w:val="20"/>
        </w:rPr>
      </w:pPr>
      <w:r>
        <w:rPr>
          <w:rFonts w:hint="eastAsia" w:ascii="宋体" w:hAnsi="宋体"/>
          <w:b/>
          <w:sz w:val="24"/>
        </w:rPr>
        <w:t xml:space="preserve">37</w:t>
      </w:r>
      <w:r>
        <w:rPr>
          <w:rFonts w:ascii="宋体" w:hAnsi="宋体"/>
          <w:b/>
          <w:sz w:val="24"/>
        </w:rPr>
        <w:t xml:space="preserve">.  </w:t>
      </w:r>
      <w:r>
        <w:rPr>
          <w:rFonts w:hint="eastAsia" w:ascii="宋体" w:hAnsi="宋体"/>
          <w:b/>
          <w:sz w:val="24"/>
        </w:rPr>
        <w:t xml:space="preserve">未尽事宜</w:t>
      </w:r>
      <w:r>
        <w:rPr>
          <w:rFonts w:ascii="宋体" w:hAnsi="宋体"/>
          <w:b/>
          <w:sz w:val="24"/>
          <w:szCs w:val="20"/>
        </w:rPr>
      </w:r>
      <w:r/>
    </w:p>
    <w:p>
      <w:pPr>
        <w:pStyle w:val="895"/>
        <w:spacing w:line="360" w:lineRule="auto"/>
        <w:rPr>
          <w:rFonts w:hint="eastAsia" w:ascii="宋体" w:hAnsi="宋体"/>
          <w:bCs/>
          <w:sz w:val="24"/>
          <w:szCs w:val="20"/>
        </w:rPr>
      </w:pPr>
      <w:r>
        <w:rPr>
          <w:rFonts w:hint="eastAsia" w:ascii="宋体" w:hAnsi="宋体"/>
          <w:bCs/>
          <w:sz w:val="24"/>
          <w:szCs w:val="20"/>
        </w:rPr>
        <w:t xml:space="preserve">37.1凡涉及招标文件的补充说明和修改、中标公告等，</w:t>
      </w:r>
      <w:r>
        <w:rPr>
          <w:rFonts w:hint="eastAsia" w:ascii="宋体"/>
          <w:sz w:val="24"/>
        </w:rPr>
        <w:t xml:space="preserve">均以苏州市营财招投标咨询服务有限公司在苏州市政府采购网等信息发布网站上发布的公告为准</w:t>
      </w:r>
      <w:r>
        <w:rPr>
          <w:rFonts w:hint="eastAsia" w:ascii="宋体" w:hAnsi="宋体"/>
          <w:bCs/>
          <w:sz w:val="24"/>
          <w:szCs w:val="20"/>
        </w:rPr>
        <w:t xml:space="preserve">。</w:t>
      </w:r>
      <w:r/>
    </w:p>
    <w:p>
      <w:pPr>
        <w:pStyle w:val="895"/>
        <w:rPr>
          <w:rFonts w:hint="eastAsia" w:ascii="宋体" w:hAnsi="宋体"/>
          <w:sz w:val="24"/>
          <w:szCs w:val="20"/>
        </w:rPr>
      </w:pPr>
      <w:r>
        <w:rPr>
          <w:rFonts w:hint="eastAsia" w:ascii="宋体" w:hAnsi="宋体"/>
          <w:sz w:val="24"/>
          <w:szCs w:val="20"/>
        </w:rPr>
      </w:r>
      <w:r/>
    </w:p>
    <w:p>
      <w:pPr>
        <w:pStyle w:val="895"/>
        <w:rPr>
          <w:rFonts w:hint="eastAsia" w:ascii="宋体" w:hAnsi="宋体"/>
          <w:sz w:val="24"/>
          <w:szCs w:val="20"/>
        </w:rPr>
      </w:pPr>
      <w:r>
        <w:rPr>
          <w:rFonts w:hint="eastAsia" w:ascii="宋体" w:hAnsi="宋体"/>
          <w:sz w:val="24"/>
          <w:szCs w:val="20"/>
        </w:rPr>
      </w:r>
      <w:r/>
    </w:p>
    <w:p>
      <w:pPr>
        <w:pStyle w:val="895"/>
        <w:rPr>
          <w:rFonts w:hint="eastAsia" w:ascii="宋体" w:hAnsi="宋体"/>
          <w:sz w:val="24"/>
          <w:szCs w:val="20"/>
        </w:rPr>
      </w:pPr>
      <w:r>
        <w:rPr>
          <w:rFonts w:hint="eastAsia" w:ascii="宋体" w:hAnsi="宋体"/>
          <w:sz w:val="24"/>
          <w:szCs w:val="20"/>
        </w:rPr>
      </w:r>
      <w:r/>
    </w:p>
    <w:p>
      <w:pPr>
        <w:pStyle w:val="895"/>
        <w:jc w:val="center"/>
        <w:rPr>
          <w:rFonts w:hint="eastAsia" w:ascii="宋体" w:hAnsi="宋体"/>
          <w:sz w:val="24"/>
          <w:szCs w:val="20"/>
        </w:rPr>
      </w:pPr>
      <w:r>
        <w:rPr>
          <w:rFonts w:ascii="宋体" w:hAnsi="宋体"/>
          <w:sz w:val="24"/>
          <w:szCs w:val="20"/>
        </w:rPr>
        <w:br w:type="page" w:clear="all"/>
      </w:r>
      <w:r>
        <w:rPr>
          <w:rFonts w:hint="eastAsia" w:ascii="宋体" w:hAnsi="宋体"/>
          <w:sz w:val="24"/>
          <w:szCs w:val="20"/>
        </w:rPr>
      </w:r>
      <w:r/>
    </w:p>
    <w:p>
      <w:pPr>
        <w:pStyle w:val="896"/>
        <w:jc w:val="center"/>
        <w:rPr>
          <w:rFonts w:hint="eastAsia"/>
        </w:rPr>
      </w:pPr>
      <w:r>
        <w:rPr>
          <w:rFonts w:hint="eastAsia"/>
        </w:rPr>
        <w:t xml:space="preserve">第三章  投标文件格式</w:t>
      </w:r>
      <w:bookmarkStart w:id="101" w:name="gpcItem_SubmitDocStruct"/>
      <w:r/>
      <w:bookmarkEnd w:id="101"/>
      <w:r>
        <w:rPr>
          <w:rFonts w:hint="eastAsia"/>
        </w:rPr>
      </w:r>
      <w:r/>
    </w:p>
    <w:p>
      <w:pPr>
        <w:pStyle w:val="908"/>
        <w:ind w:firstLine="0"/>
        <w:spacing w:line="360" w:lineRule="auto"/>
        <w:rPr>
          <w:rFonts w:ascii="宋体" w:hAnsi="宋体" w:eastAsia="宋体"/>
          <w:b/>
        </w:rPr>
      </w:pPr>
      <w:r>
        <w:rPr>
          <w:rFonts w:hint="eastAsia" w:ascii="宋体" w:hAnsi="宋体" w:eastAsia="宋体"/>
          <w:b/>
        </w:rPr>
        <w:t xml:space="preserve">说明：</w:t>
      </w:r>
      <w:r>
        <w:rPr>
          <w:rFonts w:ascii="宋体" w:hAnsi="宋体" w:eastAsia="宋体"/>
          <w:b/>
        </w:rPr>
      </w:r>
      <w:r/>
    </w:p>
    <w:p>
      <w:pPr>
        <w:pStyle w:val="908"/>
        <w:ind w:firstLine="0"/>
        <w:spacing w:line="360" w:lineRule="auto"/>
        <w:rPr>
          <w:rFonts w:ascii="宋体" w:hAnsi="宋体" w:eastAsia="宋体"/>
          <w:b/>
        </w:rPr>
      </w:pPr>
      <w:r>
        <w:rPr>
          <w:rFonts w:ascii="宋体" w:hAnsi="宋体" w:eastAsia="宋体"/>
          <w:b/>
        </w:rPr>
        <w:t xml:space="preserve">    </w:t>
      </w:r>
      <w:r>
        <w:rPr>
          <w:rFonts w:hint="eastAsia" w:ascii="宋体" w:hAnsi="宋体" w:eastAsia="宋体"/>
          <w:b/>
        </w:rPr>
        <w:t xml:space="preserve">对本章所有的投标书格式</w:t>
      </w:r>
      <w:r>
        <w:rPr>
          <w:rFonts w:ascii="宋体" w:hAnsi="宋体" w:eastAsia="宋体"/>
          <w:b/>
        </w:rPr>
        <w:t xml:space="preserve"> ，投标方可根据自身情况进行补充和修改，但补充和修改不得造成与本格式内容有实质性的违背。</w:t>
      </w:r>
      <w:r/>
    </w:p>
    <w:p>
      <w:pPr>
        <w:pStyle w:val="908"/>
        <w:ind w:firstLine="0"/>
        <w:rPr>
          <w:rFonts w:ascii="宋体" w:hAnsi="宋体" w:eastAsia="宋体"/>
          <w:b/>
          <w:sz w:val="28"/>
        </w:rPr>
      </w:pPr>
      <w:r>
        <w:rPr>
          <w:rFonts w:ascii="宋体" w:hAnsi="宋体" w:eastAsia="宋体"/>
          <w:b/>
          <w:sz w:val="28"/>
        </w:rPr>
      </w:r>
      <w:r/>
    </w:p>
    <w:p>
      <w:pPr>
        <w:pStyle w:val="908"/>
        <w:ind w:firstLine="0"/>
        <w:rPr>
          <w:rFonts w:ascii="宋体" w:hAnsi="宋体" w:eastAsia="宋体"/>
        </w:rPr>
      </w:pPr>
      <w:r>
        <w:rPr>
          <w:rFonts w:ascii="宋体" w:hAnsi="宋体" w:eastAsia="宋体"/>
        </w:rPr>
      </w:r>
      <w:r/>
    </w:p>
    <w:p>
      <w:pPr>
        <w:pStyle w:val="908"/>
        <w:ind w:firstLine="0"/>
        <w:rPr>
          <w:rFonts w:ascii="宋体" w:hAnsi="宋体" w:eastAsia="宋体"/>
        </w:rPr>
      </w:pPr>
      <w:r>
        <w:rPr>
          <w:rFonts w:ascii="宋体" w:hAnsi="宋体" w:eastAsia="宋体"/>
        </w:rPr>
      </w:r>
      <w:r/>
    </w:p>
    <w:p>
      <w:pPr>
        <w:pStyle w:val="908"/>
        <w:ind w:firstLine="0"/>
        <w:rPr>
          <w:rFonts w:ascii="宋体" w:hAnsi="宋体" w:eastAsia="宋体"/>
        </w:rPr>
      </w:pPr>
      <w:r>
        <w:rPr>
          <w:rFonts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ascii="宋体" w:hAnsi="宋体" w:eastAsia="宋体"/>
        </w:rPr>
      </w:pPr>
      <w:r>
        <w:rPr>
          <w:rFonts w:ascii="宋体" w:hAnsi="宋体" w:eastAsia="宋体"/>
        </w:rPr>
      </w:r>
      <w:r/>
    </w:p>
    <w:p>
      <w:pPr>
        <w:pStyle w:val="897"/>
      </w:pPr>
      <w:r/>
      <w:bookmarkStart w:id="102" w:name="_Ref367200252"/>
      <w:r>
        <w:t xml:space="preserve">1</w:t>
      </w:r>
      <w:r>
        <w:rPr>
          <w:rFonts w:hint="eastAsia"/>
        </w:rPr>
        <w:t xml:space="preserve">、（投标方）法定代表人授权委托书</w:t>
      </w:r>
      <w:bookmarkEnd w:id="102"/>
      <w:r/>
      <w:r/>
    </w:p>
    <w:p>
      <w:pPr>
        <w:pStyle w:val="908"/>
        <w:ind w:firstLine="0"/>
        <w:rPr>
          <w:rFonts w:ascii="宋体" w:hAnsi="宋体" w:eastAsia="宋体"/>
        </w:rPr>
      </w:pPr>
      <w:r>
        <w:rPr>
          <w:rFonts w:ascii="宋体" w:hAnsi="宋体" w:eastAsia="宋体"/>
        </w:rPr>
      </w:r>
      <w:r/>
    </w:p>
    <w:p>
      <w:pPr>
        <w:pStyle w:val="908"/>
        <w:jc w:val="center"/>
        <w:rPr>
          <w:rFonts w:ascii="宋体" w:hAnsi="宋体" w:eastAsia="宋体"/>
        </w:rPr>
      </w:pPr>
      <w:r>
        <w:rPr>
          <w:rFonts w:ascii="宋体" w:hAnsi="宋体" w:eastAsia="宋体"/>
        </w:rPr>
      </w:r>
      <w:r/>
    </w:p>
    <w:p>
      <w:pPr>
        <w:pStyle w:val="908"/>
        <w:jc w:val="center"/>
        <w:spacing w:line="360" w:lineRule="auto"/>
        <w:rPr>
          <w:rFonts w:ascii="宋体" w:hAnsi="宋体" w:eastAsia="宋体"/>
          <w:b/>
          <w:sz w:val="28"/>
          <w:szCs w:val="28"/>
        </w:rPr>
      </w:pPr>
      <w:r>
        <w:rPr>
          <w:rFonts w:hint="eastAsia" w:ascii="宋体" w:hAnsi="宋体" w:eastAsia="宋体"/>
          <w:b/>
          <w:sz w:val="28"/>
          <w:szCs w:val="28"/>
        </w:rPr>
        <w:t xml:space="preserve">授权委托书</w:t>
      </w:r>
      <w:r>
        <w:rPr>
          <w:rFonts w:ascii="宋体" w:hAnsi="宋体" w:eastAsia="宋体"/>
          <w:b/>
          <w:sz w:val="28"/>
          <w:szCs w:val="28"/>
        </w:rPr>
      </w:r>
      <w:r/>
    </w:p>
    <w:p>
      <w:pPr>
        <w:pStyle w:val="908"/>
        <w:spacing w:line="360" w:lineRule="auto"/>
        <w:rPr>
          <w:rFonts w:ascii="宋体" w:hAnsi="宋体" w:eastAsia="宋体"/>
        </w:rPr>
      </w:pPr>
      <w:r>
        <w:rPr>
          <w:rFonts w:ascii="宋体" w:hAnsi="宋体" w:eastAsia="宋体"/>
        </w:rPr>
      </w:r>
      <w:r/>
    </w:p>
    <w:p>
      <w:pPr>
        <w:pStyle w:val="908"/>
        <w:spacing w:line="360" w:lineRule="auto"/>
        <w:rPr>
          <w:rFonts w:ascii="宋体" w:hAnsi="宋体" w:eastAsia="宋体"/>
        </w:rPr>
      </w:pPr>
      <w:r>
        <w:rPr>
          <w:rFonts w:ascii="宋体" w:hAnsi="宋体" w:eastAsia="宋体"/>
        </w:rPr>
      </w:r>
      <w:r/>
    </w:p>
    <w:p>
      <w:pPr>
        <w:pStyle w:val="908"/>
        <w:spacing w:line="360" w:lineRule="auto"/>
        <w:rPr>
          <w:rFonts w:ascii="宋体" w:hAnsi="宋体" w:eastAsia="宋体"/>
        </w:rPr>
      </w:pPr>
      <w:r>
        <w:rPr>
          <w:rFonts w:hint="eastAsia" w:ascii="宋体" w:hAnsi="宋体" w:eastAsia="宋体"/>
        </w:rPr>
        <w:t xml:space="preserve">本授权委托书声明：</w:t>
      </w:r>
      <w:r>
        <w:rPr>
          <w:rFonts w:ascii="宋体" w:hAnsi="宋体" w:eastAsia="宋体"/>
        </w:rPr>
        <w:t xml:space="preserve">  我 </w:t>
      </w:r>
      <w:r>
        <w:rPr>
          <w:rFonts w:ascii="宋体" w:hAnsi="宋体" w:eastAsia="宋体"/>
          <w:u w:val="single"/>
        </w:rPr>
        <w:t xml:space="preserve">          </w:t>
      </w:r>
      <w:r>
        <w:rPr>
          <w:rFonts w:ascii="宋体" w:hAnsi="宋体" w:eastAsia="宋体"/>
        </w:rPr>
        <w:t xml:space="preserve">（姓名）系</w:t>
      </w:r>
      <w:r>
        <w:rPr>
          <w:rFonts w:ascii="宋体" w:hAnsi="宋体" w:eastAsia="宋体"/>
          <w:u w:val="single"/>
        </w:rPr>
        <w:t xml:space="preserve">             </w:t>
      </w:r>
      <w:r>
        <w:rPr>
          <w:rFonts w:ascii="宋体" w:hAnsi="宋体" w:eastAsia="宋体"/>
        </w:rPr>
        <w:t xml:space="preserve">（投标单位名称）的法定代表人，现授权委托</w:t>
      </w:r>
      <w:r>
        <w:rPr>
          <w:rFonts w:ascii="宋体" w:hAnsi="宋体" w:eastAsia="宋体"/>
          <w:u w:val="single"/>
        </w:rPr>
        <w:t xml:space="preserve">              （</w:t>
      </w:r>
      <w:r>
        <w:rPr>
          <w:rFonts w:ascii="宋体" w:hAnsi="宋体" w:eastAsia="宋体"/>
        </w:rPr>
        <w:t xml:space="preserve">单位名称）的</w:t>
      </w:r>
      <w:r>
        <w:rPr>
          <w:rFonts w:ascii="宋体" w:hAnsi="宋体" w:eastAsia="宋体"/>
          <w:u w:val="single"/>
        </w:rPr>
        <w:t xml:space="preserve">         </w:t>
      </w:r>
      <w:r>
        <w:rPr>
          <w:rFonts w:ascii="宋体" w:hAnsi="宋体" w:eastAsia="宋体"/>
        </w:rPr>
        <w:t xml:space="preserve">（姓名</w:t>
      </w:r>
      <w:r>
        <w:rPr>
          <w:rFonts w:hint="eastAsia" w:ascii="宋体" w:hAnsi="宋体" w:eastAsia="宋体"/>
        </w:rPr>
        <w:t xml:space="preserve">，身份证号</w:t>
      </w:r>
      <w:r>
        <w:rPr>
          <w:rFonts w:ascii="宋体" w:hAnsi="宋体" w:eastAsia="宋体"/>
        </w:rPr>
        <w:t xml:space="preserve">）为我公司代理人，以本公司的名义参加苏州市营财招投标咨询服务有限公司组织实施的编号为</w:t>
      </w:r>
      <w:r>
        <w:rPr>
          <w:rFonts w:ascii="宋体" w:hAnsi="宋体" w:eastAsia="宋体"/>
          <w:u w:val="single"/>
        </w:rPr>
        <w:t xml:space="preserve">           </w:t>
      </w:r>
      <w:r>
        <w:rPr>
          <w:rFonts w:ascii="宋体" w:hAnsi="宋体" w:eastAsia="宋体"/>
        </w:rPr>
        <w:t xml:space="preserve">号的招标活动。代理人在开标、评标、合同谈判过程中所签署的一切文件和处理与这有关的一切事务，我均予以承认。</w:t>
      </w:r>
      <w:r/>
    </w:p>
    <w:p>
      <w:pPr>
        <w:pStyle w:val="908"/>
        <w:spacing w:line="360" w:lineRule="auto"/>
        <w:rPr>
          <w:rFonts w:ascii="宋体" w:hAnsi="宋体" w:eastAsia="宋体"/>
        </w:rPr>
      </w:pPr>
      <w:r>
        <w:rPr>
          <w:rFonts w:hint="eastAsia" w:ascii="宋体" w:hAnsi="宋体" w:eastAsia="宋体"/>
        </w:rPr>
        <w:t xml:space="preserve">代理人在授权委托书有效期内签署的所有文件不因授权委托的撤销而失效，除非有撤销授权委托的书面通知，本授权委托书自投标开始至合同履行完毕止。</w:t>
      </w:r>
      <w:r>
        <w:rPr>
          <w:rFonts w:ascii="宋体" w:hAnsi="宋体" w:eastAsia="宋体"/>
        </w:rPr>
      </w:r>
      <w:r/>
    </w:p>
    <w:p>
      <w:pPr>
        <w:pStyle w:val="908"/>
        <w:spacing w:line="360" w:lineRule="auto"/>
        <w:rPr>
          <w:rFonts w:ascii="宋体" w:hAnsi="宋体" w:eastAsia="宋体"/>
        </w:rPr>
      </w:pPr>
      <w:r>
        <w:rPr>
          <w:rFonts w:hint="eastAsia" w:ascii="宋体" w:hAnsi="宋体" w:eastAsia="宋体"/>
        </w:rPr>
        <w:t xml:space="preserve">代理人无转委托权。特此委托。</w:t>
      </w:r>
      <w:r>
        <w:rPr>
          <w:rFonts w:ascii="宋体" w:hAnsi="宋体" w:eastAsia="宋体"/>
        </w:rPr>
      </w:r>
      <w:r/>
    </w:p>
    <w:p>
      <w:pPr>
        <w:pStyle w:val="908"/>
        <w:spacing w:line="360" w:lineRule="auto"/>
        <w:rPr>
          <w:rFonts w:ascii="宋体" w:hAnsi="宋体" w:eastAsia="宋体"/>
        </w:rPr>
      </w:pPr>
      <w:r>
        <w:rPr>
          <w:rFonts w:ascii="宋体" w:hAnsi="宋体" w:eastAsia="宋体"/>
        </w:rPr>
        <w:t xml:space="preserve">    </w:t>
      </w:r>
      <w:r/>
    </w:p>
    <w:p>
      <w:pPr>
        <w:pStyle w:val="908"/>
        <w:spacing w:line="360" w:lineRule="auto"/>
        <w:rPr>
          <w:rFonts w:ascii="宋体" w:hAnsi="宋体" w:eastAsia="宋体"/>
        </w:rPr>
      </w:pPr>
      <w:r>
        <w:rPr>
          <w:rFonts w:hint="eastAsia" w:ascii="宋体" w:hAnsi="宋体" w:eastAsia="宋体"/>
        </w:rPr>
        <w:t xml:space="preserve">投标单位：（盖章）</w:t>
      </w:r>
      <w:r>
        <w:rPr>
          <w:rFonts w:ascii="宋体" w:hAnsi="宋体" w:eastAsia="宋体"/>
        </w:rPr>
      </w:r>
      <w:r/>
    </w:p>
    <w:p>
      <w:pPr>
        <w:pStyle w:val="908"/>
        <w:spacing w:line="360" w:lineRule="auto"/>
        <w:rPr>
          <w:rFonts w:ascii="宋体" w:hAnsi="宋体" w:eastAsia="宋体"/>
        </w:rPr>
      </w:pPr>
      <w:r>
        <w:rPr>
          <w:rFonts w:hint="eastAsia" w:ascii="宋体" w:hAnsi="宋体" w:eastAsia="宋体"/>
        </w:rPr>
        <w:t xml:space="preserve">法定代表人：（签字或签章）</w:t>
      </w:r>
      <w:r>
        <w:rPr>
          <w:rFonts w:ascii="宋体" w:hAnsi="宋体" w:eastAsia="宋体"/>
        </w:rPr>
      </w:r>
      <w:r/>
    </w:p>
    <w:p>
      <w:pPr>
        <w:pStyle w:val="908"/>
        <w:spacing w:line="360" w:lineRule="auto"/>
        <w:rPr>
          <w:rFonts w:hint="eastAsia" w:ascii="宋体" w:hAnsi="宋体" w:eastAsia="宋体"/>
        </w:rPr>
      </w:pPr>
      <w:r>
        <w:rPr>
          <w:rFonts w:hint="eastAsia" w:ascii="宋体" w:hAnsi="宋体" w:eastAsia="宋体"/>
        </w:rPr>
        <w:t xml:space="preserve">代理人：（签字）</w:t>
      </w:r>
      <w:r/>
    </w:p>
    <w:p>
      <w:pPr>
        <w:pStyle w:val="895"/>
        <w:ind w:firstLine="480"/>
        <w:spacing w:line="360" w:lineRule="auto"/>
        <w:rPr>
          <w:rFonts w:ascii="宋体" w:hAnsi="宋体" w:cs="宋体"/>
          <w:sz w:val="24"/>
        </w:rPr>
      </w:pPr>
      <w:r>
        <w:rPr>
          <w:rFonts w:ascii="宋体" w:hAnsi="宋体" w:cs="宋体"/>
          <w:sz w:val="24"/>
        </w:rPr>
        <w:t xml:space="preserve">日</w:t>
      </w:r>
      <w:r>
        <w:rPr>
          <w:rFonts w:hint="eastAsia" w:ascii="宋体" w:hAnsi="宋体" w:cs="宋体"/>
          <w:sz w:val="24"/>
        </w:rPr>
        <w:t xml:space="preserve">  </w:t>
      </w:r>
      <w:r>
        <w:rPr>
          <w:rFonts w:ascii="宋体" w:hAnsi="宋体" w:cs="宋体"/>
          <w:sz w:val="24"/>
        </w:rPr>
        <w:t xml:space="preserve">期：    年    月    日</w:t>
      </w:r>
      <w:r/>
    </w:p>
    <w:p>
      <w:pPr>
        <w:pStyle w:val="908"/>
        <w:spacing w:line="360" w:lineRule="auto"/>
        <w:rPr>
          <w:rFonts w:ascii="宋体" w:hAnsi="宋体" w:eastAsia="宋体"/>
        </w:rPr>
      </w:pPr>
      <w:r>
        <w:rPr>
          <w:rFonts w:ascii="宋体" w:hAnsi="宋体" w:eastAsia="宋体"/>
        </w:rPr>
      </w:r>
      <w:r/>
    </w:p>
    <w:p>
      <w:pPr>
        <w:pStyle w:val="908"/>
        <w:ind w:firstLine="0"/>
        <w:rPr>
          <w:rFonts w:ascii="宋体" w:hAnsi="宋体" w:eastAsia="宋体"/>
        </w:rPr>
      </w:pPr>
      <w:r>
        <w:rPr>
          <w:rFonts w:ascii="宋体" w:hAnsi="宋体" w:eastAsia="宋体"/>
        </w:rPr>
      </w:r>
      <w:r/>
    </w:p>
    <w:p>
      <w:pPr>
        <w:pStyle w:val="897"/>
        <w:rPr>
          <w:rFonts w:hint="eastAsia"/>
        </w:rPr>
      </w:pPr>
      <w:r>
        <w:br w:type="page" w:clear="all"/>
      </w:r>
      <w:bookmarkStart w:id="103" w:name="_Ref367200253"/>
      <w:r>
        <w:t xml:space="preserve">2、</w:t>
      </w:r>
      <w:bookmarkEnd w:id="103"/>
      <w:r/>
      <w:bookmarkStart w:id="104" w:name="_Ref367200254"/>
      <w:r>
        <w:rPr>
          <w:rFonts w:hint="eastAsia"/>
        </w:rPr>
        <w:t xml:space="preserve">开标一览表</w:t>
      </w:r>
      <w:bookmarkEnd w:id="104"/>
      <w:r>
        <w:rPr>
          <w:rFonts w:hint="eastAsia"/>
        </w:rPr>
      </w:r>
      <w:r/>
    </w:p>
    <w:p>
      <w:pPr>
        <w:pStyle w:val="917"/>
        <w:jc w:val="center"/>
        <w:rPr>
          <w:rFonts w:hint="eastAsia" w:hAnsi="宋体" w:eastAsia="宋体"/>
          <w:b/>
          <w:szCs w:val="28"/>
        </w:rPr>
      </w:pPr>
      <w:r>
        <w:rPr>
          <w:rFonts w:hint="eastAsia" w:hAnsi="宋体" w:eastAsia="宋体"/>
          <w:b/>
          <w:szCs w:val="28"/>
        </w:rPr>
        <w:t xml:space="preserve">开标一览表</w:t>
      </w:r>
      <w:r/>
    </w:p>
    <w:p>
      <w:pPr>
        <w:pStyle w:val="895"/>
        <w:ind w:firstLine="480"/>
        <w:spacing w:line="440" w:lineRule="exact"/>
        <w:rPr>
          <w:rFonts w:ascii="宋体" w:hAnsi="宋体"/>
          <w:sz w:val="24"/>
          <w:lang w:val="zh-CN"/>
        </w:rPr>
      </w:pPr>
      <w:r>
        <w:rPr>
          <w:rFonts w:hint="eastAsia" w:ascii="宋体" w:hAnsi="宋体"/>
          <w:sz w:val="24"/>
          <w:lang w:val="zh-CN"/>
        </w:rPr>
        <w:t xml:space="preserve">投标单位全称（盖章）：</w:t>
      </w:r>
      <w:bookmarkStart w:id="105" w:name="TBR"/>
      <w:r/>
      <w:bookmarkEnd w:id="105"/>
      <w:r>
        <w:rPr>
          <w:rFonts w:ascii="宋体" w:hAnsi="宋体"/>
          <w:sz w:val="24"/>
          <w:lang w:val="zh-CN"/>
        </w:rPr>
      </w:r>
      <w:r/>
    </w:p>
    <w:p>
      <w:pPr>
        <w:pStyle w:val="895"/>
        <w:ind w:firstLine="480"/>
        <w:spacing w:line="440" w:lineRule="exact"/>
        <w:rPr>
          <w:rFonts w:ascii="宋体" w:hAnsi="宋体"/>
          <w:sz w:val="24"/>
          <w:lang w:val="zh-CN"/>
        </w:rPr>
      </w:pPr>
      <w:r>
        <w:rPr>
          <w:rFonts w:hint="eastAsia" w:ascii="宋体" w:hAnsi="宋体"/>
          <w:sz w:val="24"/>
          <w:lang w:val="zh-CN"/>
        </w:rPr>
        <w:t xml:space="preserve">项目编号：  </w:t>
      </w:r>
      <w:bookmarkStart w:id="106" w:name="XMBH"/>
      <w:r/>
      <w:bookmarkEnd w:id="106"/>
      <w:r>
        <w:rPr>
          <w:rFonts w:ascii="宋体" w:hAnsi="宋体"/>
          <w:sz w:val="24"/>
          <w:lang w:val="zh-CN"/>
        </w:rPr>
      </w:r>
      <w:r/>
    </w:p>
    <w:p>
      <w:pPr>
        <w:pStyle w:val="895"/>
        <w:ind w:firstLine="480"/>
        <w:spacing w:line="440" w:lineRule="exact"/>
        <w:rPr>
          <w:rFonts w:ascii="宋体" w:hAnsi="宋体"/>
          <w:sz w:val="24"/>
          <w:lang w:val="zh-CN"/>
        </w:rPr>
      </w:pPr>
      <w:r>
        <w:rPr>
          <w:rFonts w:hint="eastAsia" w:ascii="宋体" w:hAnsi="宋体"/>
          <w:sz w:val="24"/>
        </w:rPr>
        <w:t xml:space="preserve">分包</w:t>
      </w:r>
      <w:r>
        <w:rPr>
          <w:rFonts w:hint="eastAsia" w:ascii="宋体" w:hAnsi="宋体"/>
          <w:sz w:val="24"/>
          <w:lang w:val="zh-CN"/>
        </w:rPr>
        <w:t xml:space="preserve">号：</w:t>
      </w:r>
      <w:bookmarkStart w:id="107" w:name="FBH"/>
      <w:r/>
      <w:bookmarkEnd w:id="107"/>
      <w:r>
        <w:rPr>
          <w:rFonts w:ascii="宋体" w:hAnsi="宋体"/>
          <w:sz w:val="24"/>
          <w:lang w:val="zh-CN"/>
        </w:rPr>
      </w:r>
      <w:r/>
    </w:p>
    <w:tbl>
      <w:tblPr>
        <w:tblW w:w="5126" w:type="pct"/>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4"/>
        <w:gridCol w:w="4307"/>
        <w:gridCol w:w="2799"/>
      </w:tblGrid>
      <w:tr>
        <w:trPr>
          <w:cantSplit/>
          <w:trHeight w:val="840"/>
        </w:trPr>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pStyle w:val="895"/>
              <w:jc w:val="center"/>
              <w:spacing w:line="600" w:lineRule="exact"/>
              <w:rPr>
                <w:rFonts w:ascii="宋体" w:hAnsi="宋体"/>
                <w:sz w:val="24"/>
              </w:rPr>
            </w:pPr>
            <w:r>
              <w:rPr>
                <w:rFonts w:hint="eastAsia" w:ascii="宋体" w:hAnsi="宋体"/>
                <w:sz w:val="24"/>
              </w:rPr>
              <w:t xml:space="preserve">项目名称</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333" w:type="pct"/>
            <w:vAlign w:val="center"/>
            <w:textDirection w:val="lrTb"/>
            <w:noWrap w:val="false"/>
          </w:tcPr>
          <w:p>
            <w:pPr>
              <w:pStyle w:val="895"/>
              <w:jc w:val="center"/>
              <w:spacing w:line="600" w:lineRule="exact"/>
              <w:rPr>
                <w:rFonts w:hint="eastAsia" w:ascii="宋体" w:hAnsi="宋体"/>
                <w:sz w:val="24"/>
              </w:rPr>
            </w:pPr>
            <w:r>
              <w:rPr>
                <w:rFonts w:hint="eastAsia" w:ascii="宋体" w:hAnsi="宋体"/>
                <w:sz w:val="24"/>
              </w:rPr>
              <w:t xml:space="preserve">投标报价（折扣率%）</w:t>
            </w:r>
            <w:r/>
          </w:p>
        </w:tc>
        <w:tc>
          <w:tcPr>
            <w:tcBorders>
              <w:top w:val="single" w:color="000000" w:sz="4" w:space="0"/>
              <w:left w:val="single" w:color="000000" w:sz="4" w:space="0"/>
              <w:bottom w:val="single" w:color="000000" w:sz="4" w:space="0"/>
              <w:right w:val="single" w:color="000000" w:sz="4" w:space="0"/>
            </w:tcBorders>
            <w:tcW w:w="1517" w:type="pct"/>
            <w:vAlign w:val="top"/>
            <w:textDirection w:val="lrTb"/>
            <w:noWrap w:val="false"/>
          </w:tcPr>
          <w:p>
            <w:pPr>
              <w:pStyle w:val="895"/>
              <w:jc w:val="center"/>
              <w:spacing w:line="600" w:lineRule="exact"/>
              <w:rPr>
                <w:rFonts w:hint="eastAsia" w:ascii="宋体" w:hAnsi="宋体"/>
                <w:sz w:val="24"/>
              </w:rPr>
            </w:pPr>
            <w:r>
              <w:rPr>
                <w:rFonts w:hint="eastAsia" w:ascii="宋体" w:hAnsi="宋体"/>
                <w:sz w:val="24"/>
              </w:rPr>
              <w:t xml:space="preserve">备注</w:t>
            </w:r>
            <w:r/>
          </w:p>
        </w:tc>
      </w:tr>
      <w:tr>
        <w:trPr>
          <w:cantSplit/>
          <w:trHeight w:val="1154"/>
        </w:trPr>
        <w:tc>
          <w:tcPr>
            <w:tcBorders>
              <w:top w:val="single" w:color="000000" w:sz="4" w:space="0"/>
              <w:left w:val="single" w:color="000000" w:sz="4" w:space="0"/>
              <w:bottom w:val="single" w:color="000000" w:sz="4" w:space="0"/>
              <w:right w:val="single" w:color="000000" w:sz="4" w:space="0"/>
            </w:tcBorders>
            <w:tcW w:w="1151" w:type="pct"/>
            <w:vAlign w:val="center"/>
            <w:textDirection w:val="lrTb"/>
            <w:noWrap w:val="false"/>
          </w:tcPr>
          <w:p>
            <w:pPr>
              <w:pStyle w:val="895"/>
              <w:jc w:val="center"/>
              <w:spacing w:line="600" w:lineRule="exact"/>
              <w:rPr>
                <w:rFonts w:ascii="宋体" w:hAnsi="宋体"/>
                <w:sz w:val="24"/>
              </w:rPr>
            </w:pPr>
            <w:r/>
            <w:bookmarkStart w:id="108" w:name="XMMC"/>
            <w:r/>
            <w:bookmarkEnd w:id="108"/>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333" w:type="pct"/>
            <w:vAlign w:val="center"/>
            <w:textDirection w:val="lrTb"/>
            <w:noWrap w:val="false"/>
          </w:tcPr>
          <w:p>
            <w:pPr>
              <w:pStyle w:val="895"/>
              <w:spacing w:line="600" w:lineRule="exact"/>
              <w:rPr>
                <w:rFonts w:ascii="宋体" w:hAnsi="宋体"/>
                <w:sz w:val="24"/>
              </w:rPr>
            </w:pPr>
            <w:r/>
            <w:bookmarkStart w:id="109" w:name="JEXX"/>
            <w:r/>
            <w:bookmarkEnd w:id="109"/>
            <w:r>
              <w:rPr>
                <w:rFonts w:hint="eastAsia" w:ascii="宋体" w:hAnsi="宋体"/>
                <w:sz w:val="24"/>
              </w:rPr>
              <w:t xml:space="preserve">                     </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17" w:type="pct"/>
            <w:vAlign w:val="top"/>
            <w:textDirection w:val="lrTb"/>
            <w:noWrap w:val="false"/>
          </w:tcPr>
          <w:p>
            <w:pPr>
              <w:pStyle w:val="895"/>
              <w:spacing w:line="600" w:lineRule="exact"/>
              <w:rPr>
                <w:rFonts w:hint="eastAsia" w:ascii="宋体" w:hAnsi="宋体"/>
                <w:sz w:val="24"/>
              </w:rPr>
            </w:pPr>
            <w:r>
              <w:rPr>
                <w:rFonts w:hint="eastAsia" w:ascii="宋体" w:hAnsi="宋体"/>
                <w:sz w:val="24"/>
              </w:rPr>
            </w:r>
            <w:r/>
          </w:p>
        </w:tc>
      </w:tr>
    </w:tbl>
    <w:p>
      <w:pPr>
        <w:pStyle w:val="895"/>
        <w:jc w:val="left"/>
        <w:spacing w:line="360" w:lineRule="auto"/>
        <w:rPr>
          <w:rFonts w:ascii="宋体" w:hAnsi="宋体"/>
          <w:sz w:val="24"/>
          <w:lang w:val="zh-CN"/>
        </w:rPr>
      </w:pPr>
      <w:r>
        <w:rPr>
          <w:rFonts w:hint="eastAsia" w:ascii="宋体" w:hAnsi="宋体"/>
          <w:sz w:val="24"/>
        </w:rPr>
        <w:t xml:space="preserve">   </w:t>
      </w:r>
      <w:r>
        <w:rPr>
          <w:rFonts w:hint="eastAsia" w:ascii="宋体" w:hAnsi="宋体"/>
          <w:b/>
          <w:sz w:val="24"/>
        </w:rPr>
        <w:t xml:space="preserve"> </w:t>
      </w:r>
      <w:r>
        <w:rPr>
          <w:rFonts w:hint="eastAsia" w:ascii="宋体" w:hAnsi="宋体"/>
          <w:sz w:val="24"/>
          <w:lang w:val="zh-CN"/>
        </w:rPr>
        <w:t xml:space="preserve">填写说明：</w:t>
      </w:r>
      <w:r>
        <w:rPr>
          <w:rFonts w:ascii="宋体" w:hAnsi="宋体"/>
          <w:sz w:val="24"/>
          <w:lang w:val="zh-CN"/>
        </w:rPr>
      </w:r>
      <w:r/>
    </w:p>
    <w:p>
      <w:pPr>
        <w:pStyle w:val="895"/>
        <w:numPr>
          <w:ilvl w:val="0"/>
          <w:numId w:val="3"/>
        </w:numPr>
        <w:ind w:firstLine="480"/>
        <w:spacing w:line="440" w:lineRule="exact"/>
        <w:rPr>
          <w:rFonts w:hint="eastAsia" w:ascii="宋体" w:hAnsi="宋体"/>
          <w:sz w:val="24"/>
          <w:lang w:val="zh-CN"/>
        </w:rPr>
      </w:pPr>
      <w:r>
        <w:rPr>
          <w:rFonts w:hint="eastAsia" w:ascii="宋体" w:hAnsi="宋体"/>
          <w:sz w:val="24"/>
          <w:lang w:val="zh-CN"/>
        </w:rPr>
        <w:t xml:space="preserve">开标一览表必须加盖投标人公章（复印件无效）。</w:t>
      </w:r>
      <w:r/>
    </w:p>
    <w:p>
      <w:pPr>
        <w:pStyle w:val="895"/>
        <w:numPr>
          <w:ilvl w:val="0"/>
          <w:numId w:val="3"/>
        </w:numPr>
        <w:ind w:firstLine="480"/>
        <w:spacing w:line="440" w:lineRule="exact"/>
        <w:rPr>
          <w:rFonts w:ascii="宋体" w:hAnsi="宋体"/>
          <w:sz w:val="24"/>
          <w:lang w:val="zh-CN"/>
        </w:rPr>
      </w:pPr>
      <w:r>
        <w:rPr>
          <w:rFonts w:hint="eastAsia" w:ascii="宋体" w:hAnsi="宋体"/>
          <w:sz w:val="24"/>
          <w:lang w:val="zh-CN"/>
        </w:rPr>
        <w:t xml:space="preserve">如有分包，投标人投任何一个包的标的，都需单独填写《开标一览表》。</w:t>
      </w:r>
      <w:r>
        <w:rPr>
          <w:rFonts w:hint="eastAsia" w:ascii="宋体" w:hAnsi="宋体"/>
          <w:bCs/>
          <w:sz w:val="24"/>
        </w:rPr>
        <w:t xml:space="preserve">一至四标段按监测服务固定折扣率报价，且每个标段折扣率均必须小于60%，否则投标无效。</w:t>
      </w:r>
      <w:r>
        <w:rPr>
          <w:rFonts w:ascii="宋体" w:hAnsi="宋体"/>
          <w:sz w:val="24"/>
          <w:lang w:val="zh-CN"/>
        </w:rPr>
      </w:r>
      <w:r/>
    </w:p>
    <w:p>
      <w:pPr>
        <w:pStyle w:val="895"/>
        <w:ind w:firstLine="480"/>
        <w:spacing w:line="440" w:lineRule="exact"/>
        <w:rPr>
          <w:rFonts w:hint="eastAsia" w:ascii="宋体" w:hAnsi="宋体"/>
          <w:sz w:val="24"/>
          <w:lang w:val="zh-CN"/>
        </w:rPr>
      </w:pPr>
      <w:r>
        <w:rPr>
          <w:rFonts w:hint="eastAsia" w:ascii="宋体" w:hAnsi="宋体"/>
          <w:sz w:val="24"/>
          <w:lang w:val="zh-CN"/>
        </w:rPr>
        <w:t xml:space="preserve">3、以上《开标一览表》为参考格式，具体以苏采云系统格式为准。</w:t>
      </w:r>
      <w:r/>
    </w:p>
    <w:p>
      <w:pPr>
        <w:pStyle w:val="947"/>
        <w:ind w:firstLine="480"/>
        <w:spacing w:line="360" w:lineRule="auto"/>
        <w:rPr>
          <w:rFonts w:hint="eastAsia" w:eastAsia="宋体"/>
          <w:sz w:val="24"/>
          <w:szCs w:val="24"/>
          <w:lang w:val="zh-CN"/>
        </w:rPr>
      </w:pPr>
      <w:r>
        <w:rPr>
          <w:rFonts w:hint="eastAsia" w:eastAsia="宋体"/>
          <w:sz w:val="24"/>
          <w:szCs w:val="24"/>
          <w:lang w:val="zh-CN"/>
        </w:rPr>
        <w:t xml:space="preserve">4、本项目采购用折扣率报价，报价单位均为%。报价折扣率栏内请直接填数值，不必填%号。例如：折扣率（%）为55%，报价栏内填55即可。因苏采云系统无法设置折扣率，“苏采云”系统中《开标一览表》的“投标优惠率”等同于本表中“投标报价（</w:t>
      </w:r>
      <w:r>
        <w:rPr>
          <w:rFonts w:hint="eastAsia" w:eastAsia="宋体"/>
          <w:sz w:val="24"/>
          <w:szCs w:val="24"/>
        </w:rPr>
        <w:t xml:space="preserve">折扣率%</w:t>
      </w:r>
      <w:r>
        <w:rPr>
          <w:rFonts w:hint="eastAsia" w:eastAsia="宋体"/>
          <w:sz w:val="24"/>
          <w:szCs w:val="24"/>
          <w:lang w:val="zh-CN"/>
        </w:rPr>
        <w:t xml:space="preserve">）”。</w:t>
      </w:r>
      <w:r/>
    </w:p>
    <w:p>
      <w:pPr>
        <w:pStyle w:val="895"/>
        <w:ind w:firstLine="480"/>
        <w:spacing w:line="360" w:lineRule="auto"/>
        <w:rPr>
          <w:rFonts w:hint="eastAsia" w:ascii="宋体" w:hAnsi="宋体"/>
          <w:sz w:val="24"/>
        </w:rPr>
      </w:pPr>
      <w:r>
        <w:rPr>
          <w:rFonts w:hint="eastAsia" w:ascii="宋体" w:hAnsi="宋体"/>
          <w:sz w:val="24"/>
        </w:rPr>
        <w:t xml:space="preserve">5、下列情形，</w:t>
      </w:r>
      <w:r>
        <w:rPr>
          <w:rFonts w:hint="eastAsia" w:ascii="宋体" w:hAnsi="宋体" w:cs="宋体"/>
          <w:sz w:val="24"/>
        </w:rPr>
        <w:t xml:space="preserve">评审委员会基于专业判断，认为供应商报价过低，有可能影响产品质量或者不能诚信履约的其他情形</w:t>
      </w:r>
      <w:r>
        <w:rPr>
          <w:rFonts w:hint="eastAsia" w:ascii="宋体" w:hAnsi="宋体"/>
          <w:sz w:val="24"/>
        </w:rPr>
        <w:t xml:space="preserve">：</w:t>
      </w:r>
      <w:r/>
    </w:p>
    <w:p>
      <w:pPr>
        <w:pStyle w:val="895"/>
        <w:ind w:firstLine="480"/>
        <w:spacing w:line="360" w:lineRule="auto"/>
        <w:rPr>
          <w:rFonts w:hint="eastAsia" w:ascii="宋体" w:hAnsi="宋体" w:cs="宋体"/>
          <w:sz w:val="24"/>
        </w:rPr>
      </w:pPr>
      <w:r>
        <w:rPr>
          <w:rFonts w:hint="eastAsia" w:ascii="宋体" w:hAnsi="宋体" w:cs="宋体"/>
          <w:sz w:val="24"/>
        </w:rPr>
        <w:t xml:space="preserve">（1）投标（响应）报价低于全部通过符合性审查供应商投标（响应）报价平均值50%的；</w:t>
      </w:r>
      <w:r/>
    </w:p>
    <w:p>
      <w:pPr>
        <w:pStyle w:val="895"/>
        <w:ind w:firstLine="480"/>
        <w:spacing w:line="360" w:lineRule="auto"/>
        <w:rPr>
          <w:rFonts w:hint="eastAsia" w:ascii="宋体" w:hAnsi="宋体" w:cs="宋体"/>
          <w:sz w:val="24"/>
        </w:rPr>
      </w:pPr>
      <w:r>
        <w:rPr>
          <w:rFonts w:hint="eastAsia" w:ascii="宋体" w:hAnsi="宋体" w:cs="宋体"/>
          <w:sz w:val="24"/>
        </w:rPr>
        <w:t xml:space="preserve">（2）投标（响应）报价低于通过符合性审查的次低报价供应商投标（响应）报价50%的；</w:t>
      </w:r>
      <w:r/>
    </w:p>
    <w:p>
      <w:pPr>
        <w:pStyle w:val="895"/>
        <w:ind w:firstLine="480"/>
        <w:spacing w:line="360" w:lineRule="auto"/>
        <w:rPr>
          <w:rFonts w:ascii="宋体" w:hAnsi="宋体" w:cs="宋体"/>
          <w:sz w:val="24"/>
        </w:rPr>
      </w:pPr>
      <w:r>
        <w:rPr>
          <w:rFonts w:hint="eastAsia" w:ascii="宋体" w:hAnsi="宋体" w:cs="宋体"/>
          <w:sz w:val="24"/>
        </w:rPr>
        <w:t xml:space="preserve">（3）投标（响应）报价低于采购项目最高限价45%的（即低于60*45%=27%）。</w:t>
      </w:r>
      <w:r>
        <w:rPr>
          <w:rFonts w:ascii="宋体" w:hAnsi="宋体" w:cs="宋体"/>
          <w:sz w:val="24"/>
        </w:rPr>
      </w:r>
      <w:r/>
    </w:p>
    <w:p>
      <w:pPr>
        <w:pStyle w:val="895"/>
        <w:ind w:firstLine="480"/>
        <w:spacing w:line="440" w:lineRule="exact"/>
        <w:rPr>
          <w:rFonts w:ascii="宋体" w:hAnsi="宋体"/>
          <w:sz w:val="24"/>
        </w:rPr>
      </w:pPr>
      <w:r>
        <w:rPr>
          <w:rFonts w:ascii="宋体" w:hAnsi="宋体"/>
          <w:sz w:val="24"/>
        </w:rPr>
      </w:r>
      <w:r/>
    </w:p>
    <w:p>
      <w:pPr>
        <w:pStyle w:val="950"/>
        <w:spacing w:line="360" w:lineRule="auto"/>
      </w:pPr>
      <w:r>
        <w:rPr>
          <w:rFonts w:hint="eastAsia" w:hAnsi="宋体" w:eastAsia="宋体"/>
          <w:sz w:val="24"/>
          <w:szCs w:val="24"/>
          <w:lang w:val="zh-CN"/>
        </w:rPr>
        <w:br w:type="page" w:clear="all"/>
      </w:r>
      <w:bookmarkStart w:id="110" w:name="_Ref367200256"/>
      <w:r>
        <w:rPr>
          <w:rFonts w:hint="eastAsia" w:ascii="Cambria" w:hAnsi="Cambria" w:eastAsia="宋体"/>
          <w:b/>
          <w:bCs/>
          <w:sz w:val="32"/>
          <w:szCs w:val="32"/>
        </w:rPr>
        <w:t xml:space="preserve">3</w:t>
      </w:r>
      <w:r>
        <w:rPr>
          <w:rFonts w:ascii="Cambria" w:hAnsi="Cambria" w:eastAsia="宋体"/>
          <w:b/>
          <w:bCs/>
          <w:sz w:val="32"/>
          <w:szCs w:val="32"/>
        </w:rPr>
        <w:t xml:space="preserve">、投标函</w:t>
      </w:r>
      <w:bookmarkEnd w:id="110"/>
      <w:r/>
      <w:r/>
    </w:p>
    <w:p>
      <w:pPr>
        <w:pStyle w:val="950"/>
        <w:jc w:val="center"/>
        <w:rPr>
          <w:rFonts w:hint="eastAsia" w:hAnsi="宋体" w:eastAsia="宋体"/>
          <w:b/>
          <w:szCs w:val="28"/>
        </w:rPr>
      </w:pPr>
      <w:r>
        <w:rPr>
          <w:rFonts w:hint="eastAsia" w:hAnsi="宋体" w:eastAsia="宋体"/>
          <w:b/>
          <w:szCs w:val="28"/>
        </w:rPr>
        <w:t xml:space="preserve">1）</w:t>
      </w:r>
      <w:r>
        <w:rPr>
          <w:rFonts w:hAnsi="宋体" w:eastAsia="宋体"/>
          <w:b/>
          <w:szCs w:val="28"/>
        </w:rPr>
        <w:t xml:space="preserve">投标</w:t>
      </w:r>
      <w:r>
        <w:rPr>
          <w:rFonts w:hint="eastAsia" w:hAnsi="宋体" w:eastAsia="宋体"/>
          <w:b/>
          <w:szCs w:val="28"/>
        </w:rPr>
        <w:t xml:space="preserve">函</w:t>
      </w:r>
      <w:r/>
    </w:p>
    <w:p>
      <w:pPr>
        <w:pStyle w:val="950"/>
        <w:spacing w:line="400" w:lineRule="exact"/>
        <w:rPr>
          <w:rFonts w:hAnsi="宋体" w:eastAsia="宋体"/>
          <w:sz w:val="24"/>
        </w:rPr>
      </w:pPr>
      <w:r>
        <w:rPr>
          <w:rFonts w:hAnsi="宋体" w:eastAsia="宋体"/>
          <w:sz w:val="24"/>
        </w:rPr>
        <w:t xml:space="preserve"> </w:t>
      </w:r>
      <w:r>
        <w:rPr>
          <w:rFonts w:hAnsi="宋体" w:eastAsia="宋体"/>
          <w:sz w:val="24"/>
          <w:u w:val="single"/>
        </w:rPr>
        <w:t xml:space="preserve">                             </w:t>
      </w:r>
      <w:r>
        <w:rPr>
          <w:rFonts w:hAnsi="宋体" w:eastAsia="宋体"/>
          <w:sz w:val="24"/>
        </w:rPr>
        <w:t xml:space="preserve">：</w:t>
      </w:r>
      <w:r/>
    </w:p>
    <w:p>
      <w:pPr>
        <w:pStyle w:val="950"/>
        <w:spacing w:line="400" w:lineRule="exact"/>
        <w:rPr>
          <w:rFonts w:hAnsi="宋体" w:eastAsia="宋体"/>
          <w:sz w:val="24"/>
        </w:rPr>
      </w:pPr>
      <w:r>
        <w:rPr>
          <w:rFonts w:hAnsi="宋体" w:eastAsia="宋体"/>
          <w:sz w:val="24"/>
        </w:rPr>
        <w:t xml:space="preserve">    我们收到贵公司 </w:t>
      </w:r>
      <w:r>
        <w:rPr>
          <w:rFonts w:hAnsi="宋体" w:eastAsia="宋体"/>
          <w:sz w:val="24"/>
          <w:u w:val="single"/>
        </w:rPr>
        <w:t xml:space="preserve">           </w:t>
      </w:r>
      <w:r>
        <w:rPr>
          <w:rFonts w:hAnsi="宋体" w:eastAsia="宋体"/>
          <w:sz w:val="24"/>
        </w:rPr>
        <w:t xml:space="preserve">号招标文件，经仔细阅读和研究，我们决定参加投标</w:t>
      </w:r>
      <w:r>
        <w:rPr>
          <w:rFonts w:hint="eastAsia" w:hAnsi="宋体" w:eastAsia="宋体"/>
          <w:sz w:val="24"/>
        </w:rPr>
        <w:t xml:space="preserve">（第  标段） )</w:t>
      </w:r>
      <w:r>
        <w:rPr>
          <w:rFonts w:hAnsi="宋体" w:eastAsia="宋体"/>
          <w:sz w:val="24"/>
        </w:rPr>
        <w:t xml:space="preserve">。</w:t>
      </w:r>
      <w:r/>
    </w:p>
    <w:p>
      <w:pPr>
        <w:pStyle w:val="895"/>
        <w:ind w:firstLine="240"/>
        <w:spacing w:line="400" w:lineRule="exact"/>
        <w:rPr>
          <w:rFonts w:ascii="宋体" w:hAnsi="宋体"/>
          <w:sz w:val="24"/>
          <w:szCs w:val="20"/>
        </w:rPr>
      </w:pPr>
      <w:r>
        <w:rPr>
          <w:rFonts w:ascii="宋体" w:hAnsi="宋体"/>
          <w:sz w:val="24"/>
        </w:rPr>
        <w:t xml:space="preserve">  </w:t>
      </w:r>
      <w:r>
        <w:rPr>
          <w:rFonts w:hint="eastAsia" w:ascii="宋体" w:hAnsi="宋体"/>
          <w:sz w:val="24"/>
        </w:rPr>
        <w:t xml:space="preserve">1、我们愿意按照招标文件的一切要求，提供包括招标书中要求的全部服务人工、保险、劳保、各种税费以及质保期间的一切费用。明细见《投标报价表》。</w:t>
      </w:r>
      <w:r>
        <w:rPr>
          <w:rFonts w:ascii="宋体" w:hAnsi="宋体"/>
          <w:sz w:val="24"/>
          <w:szCs w:val="20"/>
        </w:rPr>
      </w:r>
      <w:r/>
    </w:p>
    <w:p>
      <w:pPr>
        <w:pStyle w:val="950"/>
        <w:spacing w:line="400" w:lineRule="exact"/>
        <w:rPr>
          <w:rFonts w:hAnsi="宋体" w:eastAsia="宋体"/>
          <w:sz w:val="24"/>
        </w:rPr>
      </w:pPr>
      <w:r>
        <w:rPr>
          <w:rFonts w:hAnsi="宋体" w:eastAsia="宋体"/>
          <w:sz w:val="24"/>
        </w:rPr>
        <w:t xml:space="preserve">    2、如果我们的投标书被接受，我们将严格履行招标文件中规定的每一项要求，按期、按质、按量履行合同的义务。</w:t>
      </w:r>
      <w:r/>
    </w:p>
    <w:p>
      <w:pPr>
        <w:pStyle w:val="950"/>
        <w:spacing w:line="400" w:lineRule="exact"/>
        <w:rPr>
          <w:rFonts w:hAnsi="宋体" w:eastAsia="宋体"/>
          <w:sz w:val="24"/>
        </w:rPr>
      </w:pPr>
      <w:r>
        <w:rPr>
          <w:rFonts w:hAnsi="宋体" w:eastAsia="宋体"/>
          <w:sz w:val="24"/>
        </w:rPr>
        <w:t xml:space="preserve">    3、我们同意按招标文件中的规定，本投标书的有效期限为开标后</w:t>
      </w:r>
      <w:r>
        <w:rPr>
          <w:rFonts w:hAnsi="宋体" w:eastAsia="宋体"/>
          <w:b/>
          <w:sz w:val="24"/>
          <w:u w:val="single"/>
        </w:rPr>
        <w:t xml:space="preserve"> </w:t>
      </w:r>
      <w:r>
        <w:rPr>
          <w:rFonts w:hint="eastAsia" w:hAnsi="宋体" w:eastAsia="宋体"/>
          <w:b/>
          <w:sz w:val="24"/>
          <w:u w:val="single"/>
        </w:rPr>
        <w:t xml:space="preserve">9</w:t>
      </w:r>
      <w:r>
        <w:rPr>
          <w:rFonts w:hAnsi="宋体" w:eastAsia="宋体"/>
          <w:b/>
          <w:sz w:val="24"/>
          <w:u w:val="single"/>
        </w:rPr>
        <w:t xml:space="preserve">0</w:t>
      </w:r>
      <w:r>
        <w:rPr>
          <w:rFonts w:hAnsi="宋体" w:eastAsia="宋体"/>
          <w:b/>
          <w:sz w:val="24"/>
        </w:rPr>
        <w:t xml:space="preserve">天</w:t>
      </w:r>
      <w:r>
        <w:rPr>
          <w:rFonts w:hAnsi="宋体" w:eastAsia="宋体"/>
          <w:sz w:val="24"/>
        </w:rPr>
        <w:t xml:space="preserve">。</w:t>
      </w:r>
      <w:r/>
    </w:p>
    <w:p>
      <w:pPr>
        <w:pStyle w:val="950"/>
        <w:spacing w:line="400" w:lineRule="exact"/>
        <w:rPr>
          <w:rFonts w:hAnsi="宋体" w:eastAsia="宋体"/>
          <w:sz w:val="24"/>
        </w:rPr>
      </w:pPr>
      <w:r>
        <w:rPr>
          <w:rFonts w:hAnsi="宋体" w:eastAsia="宋体"/>
          <w:sz w:val="24"/>
        </w:rPr>
        <w:t xml:space="preserve">    4、我们愿意提供招标代理方在招标文件中要求的所有资料。</w:t>
      </w:r>
      <w:r/>
    </w:p>
    <w:p>
      <w:pPr>
        <w:pStyle w:val="950"/>
        <w:spacing w:line="400" w:lineRule="exact"/>
        <w:rPr>
          <w:rFonts w:hAnsi="宋体" w:eastAsia="宋体"/>
          <w:sz w:val="24"/>
        </w:rPr>
      </w:pPr>
      <w:r>
        <w:rPr>
          <w:rFonts w:hAnsi="宋体" w:eastAsia="宋体"/>
          <w:sz w:val="24"/>
        </w:rPr>
        <w:t xml:space="preserve">    5、我们认为你们有权按规定决定中标者，还认为你们有权按规定接受或拒绝所有的投标者。</w:t>
      </w:r>
      <w:r/>
    </w:p>
    <w:p>
      <w:pPr>
        <w:pStyle w:val="950"/>
        <w:spacing w:line="400" w:lineRule="exact"/>
        <w:rPr>
          <w:rFonts w:hAnsi="宋体" w:eastAsia="宋体"/>
          <w:sz w:val="24"/>
        </w:rPr>
      </w:pPr>
      <w:r>
        <w:rPr>
          <w:rFonts w:hAnsi="宋体" w:eastAsia="宋体"/>
          <w:sz w:val="24"/>
        </w:rPr>
        <w:t xml:space="preserve">    6、我们愿意遵守招标通告及招标文件中所列的收费标准。</w:t>
      </w:r>
      <w:r/>
    </w:p>
    <w:p>
      <w:pPr>
        <w:pStyle w:val="950"/>
        <w:spacing w:line="400" w:lineRule="exact"/>
        <w:rPr>
          <w:rFonts w:hAnsi="宋体" w:eastAsia="宋体"/>
          <w:sz w:val="24"/>
        </w:rPr>
      </w:pPr>
      <w:r>
        <w:rPr>
          <w:rFonts w:hAnsi="宋体" w:eastAsia="宋体"/>
          <w:sz w:val="24"/>
        </w:rPr>
        <w:t xml:space="preserve">    7、我们承诺该项投标在开标后的全过程中保持有效，不作任何更改和变动。</w:t>
      </w:r>
      <w:r/>
    </w:p>
    <w:p>
      <w:pPr>
        <w:pStyle w:val="895"/>
        <w:rPr>
          <w:rFonts w:ascii="宋体" w:hAnsi="宋体"/>
          <w:sz w:val="24"/>
        </w:rPr>
      </w:pPr>
      <w:r>
        <w:rPr>
          <w:rFonts w:hint="eastAsia" w:ascii="宋体" w:hAnsi="宋体"/>
          <w:sz w:val="24"/>
        </w:rPr>
        <w:t xml:space="preserve">    </w:t>
      </w:r>
      <w:r>
        <w:rPr>
          <w:rFonts w:ascii="宋体" w:hAnsi="宋体"/>
          <w:sz w:val="24"/>
        </w:rPr>
        <w:t xml:space="preserve">8、我们愿意按招标文件的规定交纳</w:t>
      </w:r>
      <w:r>
        <w:rPr>
          <w:rFonts w:hint="eastAsia" w:ascii="宋体" w:hAnsi="宋体"/>
          <w:sz w:val="24"/>
        </w:rPr>
        <w:t xml:space="preserve">相关</w:t>
      </w:r>
      <w:r>
        <w:rPr>
          <w:rFonts w:ascii="宋体" w:hAnsi="宋体"/>
          <w:sz w:val="24"/>
        </w:rPr>
        <w:t xml:space="preserve">保证金；</w:t>
      </w:r>
      <w:r/>
    </w:p>
    <w:p>
      <w:pPr>
        <w:pStyle w:val="950"/>
        <w:ind w:firstLine="480"/>
        <w:spacing w:line="400" w:lineRule="exact"/>
        <w:rPr>
          <w:rFonts w:hint="eastAsia" w:hAnsi="宋体" w:eastAsia="宋体"/>
          <w:sz w:val="24"/>
        </w:rPr>
      </w:pPr>
      <w:r>
        <w:rPr>
          <w:rFonts w:hAnsi="宋体" w:eastAsia="宋体"/>
          <w:sz w:val="24"/>
        </w:rPr>
        <w:t xml:space="preserve">9、如果我们中标，我们将</w:t>
      </w:r>
      <w:r>
        <w:rPr>
          <w:rFonts w:hint="eastAsia" w:hAnsi="宋体" w:eastAsia="宋体"/>
          <w:sz w:val="24"/>
          <w:szCs w:val="24"/>
        </w:rPr>
        <w:t xml:space="preserve">向代理机构以下账户(账户：苏州市营财招投标咨询服务有限公司，账号：1102020209000342238，开户行：苏州工行道前支行）领取《中标通知书》时支付中标服务；</w:t>
      </w:r>
      <w:r>
        <w:rPr>
          <w:rFonts w:hAnsi="宋体" w:eastAsia="宋体"/>
          <w:sz w:val="24"/>
        </w:rPr>
        <w:t xml:space="preserve">按中标通知书时间要求签订合同书；</w:t>
      </w:r>
      <w:r>
        <w:rPr>
          <w:rFonts w:hint="eastAsia" w:hAnsi="宋体" w:eastAsia="宋体"/>
          <w:sz w:val="24"/>
        </w:rPr>
      </w:r>
      <w:r/>
    </w:p>
    <w:p>
      <w:pPr>
        <w:pStyle w:val="950"/>
        <w:ind w:firstLine="420"/>
        <w:spacing w:line="400" w:lineRule="exact"/>
        <w:rPr>
          <w:rFonts w:hAnsi="宋体" w:eastAsia="宋体"/>
          <w:sz w:val="24"/>
        </w:rPr>
      </w:pPr>
      <w:r>
        <w:rPr>
          <w:rFonts w:hAnsi="宋体" w:eastAsia="宋体"/>
          <w:sz w:val="24"/>
        </w:rPr>
        <w:t xml:space="preserve">10、综合说明：</w:t>
      </w:r>
      <w:r/>
    </w:p>
    <w:p>
      <w:pPr>
        <w:pStyle w:val="950"/>
        <w:ind w:firstLine="420"/>
        <w:spacing w:line="400" w:lineRule="exact"/>
        <w:rPr>
          <w:rFonts w:hAnsi="宋体" w:eastAsia="宋体"/>
          <w:sz w:val="24"/>
        </w:rPr>
      </w:pPr>
      <w:r>
        <w:rPr>
          <w:rFonts w:hAnsi="宋体" w:eastAsia="宋体"/>
          <w:sz w:val="24"/>
        </w:rPr>
        <w:t xml:space="preserve">（1）伴随服务及配合措施；</w:t>
      </w:r>
      <w:r/>
    </w:p>
    <w:p>
      <w:pPr>
        <w:pStyle w:val="950"/>
        <w:ind w:firstLine="420"/>
        <w:spacing w:line="400" w:lineRule="exact"/>
        <w:rPr>
          <w:rFonts w:hAnsi="宋体" w:eastAsia="宋体"/>
          <w:sz w:val="24"/>
        </w:rPr>
      </w:pPr>
      <w:r>
        <w:rPr>
          <w:rFonts w:hAnsi="宋体" w:eastAsia="宋体"/>
          <w:sz w:val="24"/>
        </w:rPr>
        <w:t xml:space="preserve">（2）要求甲方提供的配合；</w:t>
      </w:r>
      <w:r/>
    </w:p>
    <w:p>
      <w:pPr>
        <w:pStyle w:val="950"/>
        <w:ind w:firstLine="420"/>
        <w:spacing w:line="400" w:lineRule="exact"/>
        <w:rPr>
          <w:rFonts w:hAnsi="宋体" w:eastAsia="宋体"/>
          <w:sz w:val="24"/>
        </w:rPr>
      </w:pPr>
      <w:r>
        <w:rPr>
          <w:rFonts w:hAnsi="宋体" w:eastAsia="宋体"/>
          <w:sz w:val="24"/>
        </w:rPr>
        <w:t xml:space="preserve">（3）对招标文件有不同意见的偏离说明；</w:t>
      </w:r>
      <w:r/>
    </w:p>
    <w:p>
      <w:pPr>
        <w:pStyle w:val="950"/>
        <w:ind w:firstLine="420"/>
        <w:spacing w:line="400" w:lineRule="exact"/>
        <w:rPr>
          <w:rFonts w:hAnsi="宋体" w:eastAsia="宋体"/>
          <w:sz w:val="24"/>
        </w:rPr>
      </w:pPr>
      <w:r>
        <w:rPr>
          <w:rFonts w:hAnsi="宋体" w:eastAsia="宋体"/>
          <w:sz w:val="24"/>
        </w:rPr>
        <w:t xml:space="preserve">（4）其它说明。</w:t>
      </w:r>
      <w:r/>
    </w:p>
    <w:p>
      <w:pPr>
        <w:pStyle w:val="947"/>
        <w:ind w:firstLine="240"/>
        <w:rPr>
          <w:rFonts w:eastAsia="宋体"/>
          <w:sz w:val="24"/>
          <w:szCs w:val="24"/>
        </w:rPr>
      </w:pPr>
      <w:r>
        <w:rPr>
          <w:rFonts w:eastAsia="宋体"/>
          <w:sz w:val="24"/>
        </w:rPr>
        <w:t xml:space="preserve"> </w:t>
      </w:r>
      <w:r>
        <w:rPr>
          <w:rFonts w:hint="eastAsia" w:eastAsia="宋体"/>
          <w:sz w:val="24"/>
          <w:szCs w:val="24"/>
        </w:rPr>
        <w:t xml:space="preserve">11、如中标，中标服务费需开具增值税专用发票，开票信息如下：</w:t>
      </w:r>
      <w:r>
        <w:rPr>
          <w:rFonts w:eastAsia="宋体"/>
          <w:sz w:val="24"/>
          <w:szCs w:val="24"/>
        </w:rPr>
      </w:r>
      <w:r/>
    </w:p>
    <w:p>
      <w:pPr>
        <w:pStyle w:val="947"/>
        <w:ind w:firstLine="480"/>
        <w:rPr>
          <w:rFonts w:eastAsia="宋体"/>
          <w:sz w:val="24"/>
          <w:szCs w:val="24"/>
        </w:rPr>
      </w:pPr>
      <w:r>
        <w:rPr>
          <w:rFonts w:hint="eastAsia" w:eastAsia="宋体"/>
          <w:sz w:val="24"/>
          <w:szCs w:val="24"/>
        </w:rPr>
        <w:t xml:space="preserve">单位全称：</w:t>
      </w:r>
      <w:r>
        <w:rPr>
          <w:rFonts w:eastAsia="宋体"/>
          <w:sz w:val="24"/>
          <w:szCs w:val="24"/>
        </w:rPr>
      </w:r>
      <w:r/>
    </w:p>
    <w:p>
      <w:pPr>
        <w:pStyle w:val="947"/>
        <w:ind w:firstLine="480"/>
        <w:rPr>
          <w:rFonts w:eastAsia="宋体"/>
          <w:sz w:val="24"/>
          <w:szCs w:val="24"/>
        </w:rPr>
      </w:pPr>
      <w:r>
        <w:rPr>
          <w:rFonts w:hint="eastAsia" w:eastAsia="宋体"/>
          <w:sz w:val="24"/>
          <w:szCs w:val="24"/>
        </w:rPr>
        <w:t xml:space="preserve">税号：</w:t>
      </w:r>
      <w:r>
        <w:rPr>
          <w:rFonts w:eastAsia="宋体"/>
          <w:sz w:val="24"/>
          <w:szCs w:val="24"/>
        </w:rPr>
      </w:r>
      <w:r/>
    </w:p>
    <w:p>
      <w:pPr>
        <w:pStyle w:val="947"/>
        <w:ind w:firstLine="480"/>
        <w:rPr>
          <w:rFonts w:eastAsia="宋体"/>
          <w:sz w:val="24"/>
          <w:szCs w:val="24"/>
        </w:rPr>
      </w:pPr>
      <w:r>
        <w:rPr>
          <w:rFonts w:hint="eastAsia" w:eastAsia="宋体"/>
          <w:sz w:val="24"/>
          <w:szCs w:val="24"/>
        </w:rPr>
        <w:t xml:space="preserve">地址：</w:t>
      </w:r>
      <w:r>
        <w:rPr>
          <w:rFonts w:eastAsia="宋体"/>
          <w:sz w:val="24"/>
          <w:szCs w:val="24"/>
        </w:rPr>
      </w:r>
      <w:r/>
    </w:p>
    <w:p>
      <w:pPr>
        <w:pStyle w:val="947"/>
        <w:ind w:firstLine="480"/>
        <w:rPr>
          <w:rFonts w:eastAsia="宋体"/>
          <w:sz w:val="24"/>
          <w:szCs w:val="24"/>
        </w:rPr>
      </w:pPr>
      <w:r>
        <w:rPr>
          <w:rFonts w:hint="eastAsia" w:eastAsia="宋体"/>
          <w:sz w:val="24"/>
          <w:szCs w:val="24"/>
        </w:rPr>
        <w:t xml:space="preserve">联系电话：</w:t>
      </w:r>
      <w:r>
        <w:rPr>
          <w:rFonts w:eastAsia="宋体"/>
          <w:sz w:val="24"/>
          <w:szCs w:val="24"/>
        </w:rPr>
      </w:r>
      <w:r/>
    </w:p>
    <w:p>
      <w:pPr>
        <w:pStyle w:val="947"/>
        <w:ind w:firstLine="480"/>
        <w:rPr>
          <w:rFonts w:eastAsia="宋体"/>
          <w:sz w:val="24"/>
          <w:szCs w:val="24"/>
        </w:rPr>
      </w:pPr>
      <w:r>
        <w:rPr>
          <w:rFonts w:hint="eastAsia" w:eastAsia="宋体"/>
          <w:sz w:val="24"/>
          <w:szCs w:val="24"/>
        </w:rPr>
        <w:t xml:space="preserve">开户行：</w:t>
      </w:r>
      <w:r>
        <w:rPr>
          <w:rFonts w:eastAsia="宋体"/>
          <w:sz w:val="24"/>
          <w:szCs w:val="24"/>
        </w:rPr>
      </w:r>
      <w:r/>
    </w:p>
    <w:p>
      <w:pPr>
        <w:pStyle w:val="947"/>
        <w:ind w:firstLine="480"/>
        <w:rPr>
          <w:rFonts w:eastAsia="宋体"/>
          <w:sz w:val="24"/>
          <w:szCs w:val="24"/>
        </w:rPr>
      </w:pPr>
      <w:r>
        <w:rPr>
          <w:rFonts w:hint="eastAsia" w:eastAsia="宋体"/>
          <w:sz w:val="24"/>
          <w:szCs w:val="24"/>
        </w:rPr>
        <w:t xml:space="preserve">银行帐号：</w:t>
      </w:r>
      <w:r>
        <w:rPr>
          <w:rFonts w:eastAsia="宋体"/>
          <w:sz w:val="24"/>
          <w:szCs w:val="24"/>
        </w:rPr>
      </w:r>
      <w:r/>
    </w:p>
    <w:p>
      <w:pPr>
        <w:pStyle w:val="950"/>
        <w:ind w:firstLine="420"/>
        <w:spacing w:line="400" w:lineRule="exact"/>
        <w:rPr>
          <w:rFonts w:hAnsi="宋体" w:eastAsia="宋体"/>
          <w:sz w:val="24"/>
        </w:rPr>
      </w:pPr>
      <w:r>
        <w:rPr>
          <w:rFonts w:hint="eastAsia" w:hAnsi="宋体" w:eastAsia="宋体"/>
          <w:sz w:val="24"/>
        </w:rPr>
        <w:t xml:space="preserve">12、</w:t>
      </w:r>
      <w:r>
        <w:rPr>
          <w:rFonts w:hAnsi="宋体" w:eastAsia="宋体"/>
          <w:sz w:val="24"/>
        </w:rPr>
        <w:t xml:space="preserve"> 所有有关标书的函电，请按下列地址联系：</w:t>
      </w:r>
      <w:r/>
    </w:p>
    <w:p>
      <w:pPr>
        <w:pStyle w:val="950"/>
        <w:spacing w:line="400" w:lineRule="exact"/>
        <w:rPr>
          <w:rFonts w:hAnsi="宋体" w:eastAsia="宋体"/>
          <w:sz w:val="24"/>
        </w:rPr>
      </w:pPr>
      <w:r>
        <w:rPr>
          <w:rFonts w:hAnsi="宋体" w:eastAsia="宋体"/>
          <w:sz w:val="24"/>
        </w:rPr>
        <w:t xml:space="preserve">单位：</w:t>
      </w:r>
      <w:r/>
    </w:p>
    <w:p>
      <w:pPr>
        <w:pStyle w:val="950"/>
        <w:spacing w:line="400" w:lineRule="exact"/>
        <w:rPr>
          <w:rFonts w:hAnsi="宋体" w:eastAsia="宋体"/>
          <w:sz w:val="24"/>
        </w:rPr>
      </w:pPr>
      <w:r>
        <w:rPr>
          <w:rFonts w:hAnsi="宋体" w:eastAsia="宋体"/>
          <w:sz w:val="24"/>
        </w:rPr>
        <w:t xml:space="preserve">联系人：</w:t>
      </w:r>
      <w:r/>
    </w:p>
    <w:p>
      <w:pPr>
        <w:pStyle w:val="950"/>
        <w:spacing w:line="400" w:lineRule="exact"/>
        <w:rPr>
          <w:rFonts w:hAnsi="宋体" w:eastAsia="宋体"/>
          <w:sz w:val="24"/>
        </w:rPr>
      </w:pPr>
      <w:r>
        <w:rPr>
          <w:rFonts w:hAnsi="宋体" w:eastAsia="宋体"/>
          <w:sz w:val="24"/>
        </w:rPr>
        <w:t xml:space="preserve">地址：                            邮政编码：</w:t>
      </w:r>
      <w:r/>
    </w:p>
    <w:p>
      <w:pPr>
        <w:pStyle w:val="950"/>
        <w:spacing w:line="400" w:lineRule="exact"/>
        <w:rPr>
          <w:rFonts w:hAnsi="宋体" w:eastAsia="宋体"/>
          <w:sz w:val="24"/>
        </w:rPr>
      </w:pPr>
      <w:r>
        <w:rPr>
          <w:rFonts w:hAnsi="宋体" w:eastAsia="宋体"/>
          <w:sz w:val="24"/>
        </w:rPr>
        <w:t xml:space="preserve">联系电话：       </w:t>
      </w:r>
      <w:r/>
    </w:p>
    <w:p>
      <w:pPr>
        <w:pStyle w:val="950"/>
        <w:spacing w:line="400" w:lineRule="exact"/>
        <w:rPr>
          <w:rFonts w:hAnsi="宋体" w:eastAsia="宋体"/>
          <w:sz w:val="24"/>
        </w:rPr>
      </w:pPr>
      <w:r>
        <w:rPr>
          <w:rFonts w:hint="eastAsia" w:hAnsi="宋体" w:eastAsia="宋体"/>
          <w:sz w:val="24"/>
        </w:rPr>
        <w:t xml:space="preserve">邮箱</w:t>
      </w:r>
      <w:r>
        <w:rPr>
          <w:rFonts w:hAnsi="宋体" w:eastAsia="宋体"/>
          <w:sz w:val="24"/>
        </w:rPr>
        <w:t xml:space="preserve">：</w:t>
      </w:r>
      <w:r/>
    </w:p>
    <w:p>
      <w:pPr>
        <w:pStyle w:val="950"/>
        <w:ind w:left="3400" w:firstLine="425"/>
        <w:spacing w:line="400" w:lineRule="exact"/>
        <w:rPr>
          <w:rFonts w:hAnsi="宋体" w:eastAsia="宋体"/>
          <w:sz w:val="24"/>
        </w:rPr>
      </w:pPr>
      <w:r>
        <w:rPr>
          <w:rFonts w:hAnsi="宋体" w:eastAsia="宋体"/>
          <w:sz w:val="24"/>
        </w:rPr>
        <w:t xml:space="preserve">投标</w:t>
      </w:r>
      <w:r>
        <w:rPr>
          <w:rFonts w:hint="eastAsia" w:hAnsi="宋体" w:eastAsia="宋体"/>
          <w:sz w:val="24"/>
        </w:rPr>
        <w:t xml:space="preserve">单位</w:t>
      </w:r>
      <w:r>
        <w:rPr>
          <w:rFonts w:hAnsi="宋体" w:eastAsia="宋体"/>
          <w:sz w:val="24"/>
        </w:rPr>
        <w:t xml:space="preserve">：（盖章）</w:t>
      </w:r>
      <w:r/>
    </w:p>
    <w:p>
      <w:pPr>
        <w:pStyle w:val="950"/>
        <w:ind w:left="3825"/>
        <w:spacing w:line="400" w:lineRule="exact"/>
        <w:rPr>
          <w:rFonts w:hAnsi="宋体" w:eastAsia="宋体"/>
          <w:sz w:val="24"/>
        </w:rPr>
      </w:pPr>
      <w:r>
        <w:rPr>
          <w:rFonts w:hAnsi="宋体" w:eastAsia="宋体"/>
          <w:sz w:val="24"/>
        </w:rPr>
        <w:t xml:space="preserve">法定代表人或被授权人：（签字或</w:t>
      </w:r>
      <w:r>
        <w:rPr>
          <w:rFonts w:hint="eastAsia" w:hAnsi="宋体" w:eastAsia="宋体"/>
          <w:sz w:val="24"/>
        </w:rPr>
        <w:t xml:space="preserve">签章</w:t>
      </w:r>
      <w:r>
        <w:rPr>
          <w:rFonts w:hAnsi="宋体" w:eastAsia="宋体"/>
          <w:sz w:val="24"/>
        </w:rPr>
        <w:t xml:space="preserve">）</w:t>
      </w:r>
      <w:r/>
    </w:p>
    <w:p>
      <w:pPr>
        <w:pStyle w:val="950"/>
        <w:ind w:firstLine="4620"/>
        <w:spacing w:line="400" w:lineRule="exact"/>
        <w:rPr>
          <w:rFonts w:hAnsi="宋体" w:eastAsia="宋体"/>
          <w:sz w:val="24"/>
        </w:rPr>
      </w:pPr>
      <w:r>
        <w:rPr>
          <w:rFonts w:hAnsi="宋体" w:eastAsia="宋体"/>
          <w:sz w:val="24"/>
        </w:rPr>
        <w:t xml:space="preserve">年     月     日</w:t>
      </w:r>
      <w:r/>
    </w:p>
    <w:p>
      <w:pPr>
        <w:pStyle w:val="895"/>
        <w:jc w:val="center"/>
        <w:rPr>
          <w:rFonts w:hint="eastAsia" w:ascii="宋体" w:hAnsi="宋体"/>
          <w:b/>
          <w:sz w:val="28"/>
          <w:szCs w:val="28"/>
        </w:rPr>
      </w:pPr>
      <w:r>
        <w:rPr>
          <w:rFonts w:hAnsi="宋体"/>
          <w:sz w:val="24"/>
        </w:rPr>
        <w:br w:type="page" w:clear="all"/>
      </w:r>
      <w:r>
        <w:rPr>
          <w:rFonts w:hint="eastAsia" w:ascii="宋体" w:hAnsi="宋体"/>
          <w:b/>
          <w:sz w:val="28"/>
          <w:szCs w:val="28"/>
        </w:rPr>
        <w:t xml:space="preserve">2）投标承诺函</w:t>
      </w:r>
      <w:r/>
    </w:p>
    <w:p>
      <w:pPr>
        <w:pStyle w:val="895"/>
        <w:spacing w:line="360" w:lineRule="auto"/>
        <w:rPr>
          <w:rFonts w:hint="eastAsia" w:ascii="宋体" w:hAnsi="宋体"/>
          <w:sz w:val="24"/>
        </w:rPr>
      </w:pPr>
      <w:r>
        <w:rPr>
          <w:rFonts w:hint="eastAsia" w:ascii="宋体" w:hAnsi="宋体"/>
          <w:sz w:val="24"/>
        </w:rPr>
        <w:t xml:space="preserve">致：___________________________(采购人名称）</w:t>
      </w:r>
      <w:r/>
    </w:p>
    <w:p>
      <w:pPr>
        <w:pStyle w:val="895"/>
        <w:ind w:firstLine="480"/>
        <w:spacing w:line="360" w:lineRule="auto"/>
        <w:rPr>
          <w:rFonts w:ascii="宋体" w:hAnsi="宋体"/>
          <w:sz w:val="24"/>
        </w:rPr>
      </w:pPr>
      <w:r>
        <w:rPr>
          <w:rFonts w:hint="eastAsia" w:ascii="宋体" w:hAnsi="宋体"/>
          <w:sz w:val="24"/>
        </w:rPr>
        <w:t xml:space="preserve">苏州市营财招投标咨询服务有限公司：</w:t>
      </w:r>
      <w:r>
        <w:rPr>
          <w:rFonts w:ascii="宋体" w:hAnsi="宋体"/>
          <w:sz w:val="24"/>
        </w:rPr>
      </w:r>
      <w:r/>
    </w:p>
    <w:p>
      <w:pPr>
        <w:pStyle w:val="895"/>
        <w:spacing w:line="360" w:lineRule="auto"/>
        <w:rPr>
          <w:rFonts w:hint="eastAsia" w:ascii="宋体" w:hAnsi="宋体"/>
          <w:sz w:val="24"/>
        </w:rPr>
      </w:pPr>
      <w:r>
        <w:rPr>
          <w:rFonts w:hint="eastAsia" w:ascii="宋体" w:hAnsi="宋体"/>
          <w:sz w:val="24"/>
        </w:rPr>
        <w:t xml:space="preserve">    经仔细阅读和研究，我方同意招标文件</w:t>
      </w:r>
      <w:r>
        <w:rPr>
          <w:rFonts w:hint="eastAsia"/>
          <w:sz w:val="24"/>
          <w:lang w:val="zh-CN"/>
        </w:rPr>
        <w:t xml:space="preserve">（包括补充文件）</w:t>
      </w:r>
      <w:r>
        <w:rPr>
          <w:rFonts w:hint="eastAsia" w:ascii="宋体" w:hAnsi="宋体"/>
          <w:sz w:val="24"/>
        </w:rPr>
        <w:t xml:space="preserve">的各条款要求，我单位自愿参加编号：JSZC-320507-SZYC-G2026-0007 ___________________（项目名称）的投标，并做出如下承诺：</w:t>
      </w:r>
      <w:r/>
    </w:p>
    <w:p>
      <w:pPr>
        <w:pStyle w:val="895"/>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w:t>
      </w:r>
      <w:r>
        <w:rPr>
          <w:rFonts w:hint="eastAsia"/>
          <w:sz w:val="24"/>
          <w:lang w:val="zh-CN"/>
        </w:rPr>
        <w:t xml:space="preserve">我方</w:t>
      </w:r>
      <w:r>
        <w:rPr>
          <w:sz w:val="24"/>
          <w:lang w:val="zh-CN"/>
        </w:rPr>
        <w:t xml:space="preserve">同意提供与投标有关的一切数据或资料，并保证所提供的投标文件及相关资料均真实有效</w:t>
      </w:r>
      <w:r>
        <w:rPr>
          <w:rFonts w:hint="eastAsia"/>
          <w:sz w:val="24"/>
          <w:lang w:val="zh-CN"/>
        </w:rPr>
        <w:t xml:space="preserve">，</w:t>
      </w:r>
      <w:r>
        <w:rPr>
          <w:sz w:val="24"/>
          <w:lang w:val="zh-CN"/>
        </w:rPr>
        <w:t xml:space="preserve">若有</w:t>
      </w:r>
      <w:r>
        <w:rPr>
          <w:rFonts w:hint="eastAsia"/>
          <w:sz w:val="24"/>
          <w:lang w:val="zh-CN"/>
        </w:rPr>
        <w:t xml:space="preserve">不实</w:t>
      </w:r>
      <w:r>
        <w:rPr>
          <w:sz w:val="24"/>
          <w:lang w:val="zh-CN"/>
        </w:rPr>
        <w:t xml:space="preserve">，</w:t>
      </w:r>
      <w:r>
        <w:rPr>
          <w:rFonts w:hint="eastAsia"/>
          <w:sz w:val="24"/>
          <w:lang w:val="zh-CN"/>
        </w:rPr>
        <w:t xml:space="preserve">由此产生的后果由我</w:t>
      </w:r>
      <w:r>
        <w:rPr>
          <w:sz w:val="24"/>
          <w:lang w:val="zh-CN"/>
        </w:rPr>
        <w:t xml:space="preserve">方承担</w:t>
      </w:r>
      <w:r>
        <w:rPr>
          <w:rFonts w:hint="eastAsia"/>
          <w:sz w:val="24"/>
          <w:lang w:val="zh-CN"/>
        </w:rPr>
        <w:t xml:space="preserve">；</w:t>
      </w:r>
      <w:r>
        <w:rPr>
          <w:rFonts w:ascii="宋体" w:hAnsi="宋体"/>
          <w:sz w:val="24"/>
        </w:rPr>
      </w:r>
      <w:r/>
    </w:p>
    <w:p>
      <w:pPr>
        <w:pStyle w:val="895"/>
        <w:ind w:firstLine="42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我方具有良好的商业信誉和健全的财务会计制度；</w:t>
      </w:r>
      <w:r>
        <w:rPr>
          <w:rFonts w:ascii="宋体" w:hAnsi="宋体"/>
          <w:sz w:val="24"/>
        </w:rPr>
      </w:r>
      <w:r/>
    </w:p>
    <w:p>
      <w:pPr>
        <w:pStyle w:val="895"/>
        <w:ind w:firstLine="42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我方具有依法缴纳税收和社会保障资金的良好记录；</w:t>
      </w:r>
      <w:r>
        <w:rPr>
          <w:rFonts w:ascii="宋体" w:hAnsi="宋体"/>
          <w:sz w:val="24"/>
        </w:rPr>
      </w:r>
      <w:r/>
    </w:p>
    <w:p>
      <w:pPr>
        <w:pStyle w:val="895"/>
        <w:ind w:firstLine="42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我方具有履行合同所必需的设备和专业技术能力；</w:t>
      </w:r>
      <w:r>
        <w:rPr>
          <w:rFonts w:ascii="宋体" w:hAnsi="宋体"/>
          <w:sz w:val="24"/>
        </w:rPr>
      </w:r>
      <w:r/>
    </w:p>
    <w:p>
      <w:pPr>
        <w:pStyle w:val="895"/>
        <w:ind w:firstLine="480"/>
        <w:spacing w:line="360" w:lineRule="auto"/>
        <w:rPr>
          <w:rFonts w:ascii="宋体" w:hAnsi="宋体"/>
          <w:sz w:val="24"/>
        </w:rPr>
      </w:pPr>
      <w:r>
        <w:rPr>
          <w:rFonts w:ascii="宋体" w:hAnsi="宋体"/>
          <w:sz w:val="24"/>
        </w:rPr>
        <w:t xml:space="preserve">5.</w:t>
      </w:r>
      <w:r>
        <w:rPr>
          <w:rFonts w:hint="eastAsia" w:ascii="宋体" w:hAnsi="宋体"/>
          <w:sz w:val="24"/>
        </w:rPr>
        <w:t xml:space="preserve">我方参加本次政府采购活动前3年内在经营活动中无重大违法记录；</w:t>
      </w:r>
      <w:r>
        <w:rPr>
          <w:rFonts w:ascii="宋体" w:hAnsi="宋体"/>
          <w:sz w:val="24"/>
        </w:rPr>
      </w:r>
      <w:r/>
    </w:p>
    <w:p>
      <w:pPr>
        <w:pStyle w:val="895"/>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我方同意按</w:t>
      </w:r>
      <w:r>
        <w:rPr>
          <w:rFonts w:hint="eastAsia" w:ascii="宋体" w:hAnsi="宋体"/>
          <w:sz w:val="24"/>
        </w:rPr>
        <w:t xml:space="preserve">采购人</w:t>
      </w:r>
      <w:r>
        <w:rPr>
          <w:rFonts w:ascii="宋体" w:hAnsi="宋体"/>
          <w:sz w:val="24"/>
        </w:rPr>
        <w:t xml:space="preserve">确定的</w:t>
      </w:r>
      <w:r>
        <w:rPr>
          <w:rFonts w:hint="eastAsia" w:ascii="宋体" w:hAnsi="宋体"/>
          <w:sz w:val="24"/>
        </w:rPr>
        <w:t xml:space="preserve">评标办法及评标标准，由评标专家进行评审；</w:t>
      </w:r>
      <w:r>
        <w:rPr>
          <w:rFonts w:ascii="宋体" w:hAnsi="宋体"/>
          <w:sz w:val="24"/>
        </w:rPr>
      </w:r>
      <w:r/>
    </w:p>
    <w:p>
      <w:pPr>
        <w:pStyle w:val="895"/>
        <w:ind w:firstLine="480"/>
        <w:spacing w:line="360" w:lineRule="auto"/>
        <w:rPr>
          <w:rFonts w:ascii="宋体" w:hAnsi="宋体"/>
          <w:sz w:val="24"/>
        </w:rPr>
      </w:pPr>
      <w:r>
        <w:rPr>
          <w:rFonts w:ascii="宋体" w:hAnsi="宋体"/>
          <w:sz w:val="24"/>
        </w:rPr>
        <w:t xml:space="preserve">7.我方同意按</w:t>
      </w:r>
      <w:r>
        <w:rPr>
          <w:rFonts w:hint="eastAsia" w:ascii="宋体" w:hAnsi="宋体"/>
          <w:sz w:val="24"/>
        </w:rPr>
        <w:t xml:space="preserve">招标</w:t>
      </w:r>
      <w:r>
        <w:rPr>
          <w:rFonts w:ascii="宋体" w:hAnsi="宋体"/>
          <w:sz w:val="24"/>
        </w:rPr>
        <w:t xml:space="preserve">文件中的规定，</w:t>
      </w:r>
      <w:r>
        <w:rPr>
          <w:rFonts w:hint="eastAsia" w:ascii="宋体" w:hAnsi="宋体"/>
          <w:sz w:val="24"/>
        </w:rPr>
        <w:t xml:space="preserve">投标文件</w:t>
      </w:r>
      <w:r>
        <w:rPr>
          <w:rFonts w:ascii="宋体" w:hAnsi="宋体"/>
          <w:sz w:val="24"/>
        </w:rPr>
        <w:t xml:space="preserve">的有效期限为开标后三个月</w:t>
      </w:r>
      <w:r>
        <w:rPr>
          <w:rFonts w:hint="eastAsia" w:ascii="宋体" w:hAnsi="宋体"/>
          <w:sz w:val="24"/>
        </w:rPr>
        <w:t xml:space="preserve">；</w:t>
      </w:r>
      <w:r>
        <w:rPr>
          <w:rFonts w:ascii="宋体" w:hAnsi="宋体"/>
          <w:sz w:val="24"/>
        </w:rPr>
      </w:r>
      <w:r/>
    </w:p>
    <w:p>
      <w:pPr>
        <w:pStyle w:val="895"/>
        <w:ind w:firstLine="480"/>
        <w:spacing w:line="360" w:lineRule="auto"/>
        <w:rPr>
          <w:rFonts w:ascii="宋体" w:hAnsi="宋体"/>
          <w:sz w:val="24"/>
        </w:rPr>
      </w:pPr>
      <w:r>
        <w:rPr>
          <w:rFonts w:ascii="宋体" w:hAnsi="宋体"/>
          <w:sz w:val="24"/>
        </w:rPr>
        <w:t xml:space="preserve">8.我方同意</w:t>
      </w:r>
      <w:r>
        <w:rPr>
          <w:rFonts w:hint="eastAsia" w:ascii="宋体" w:hAnsi="宋体"/>
          <w:sz w:val="24"/>
        </w:rPr>
        <w:t xml:space="preserve">采购人</w:t>
      </w:r>
      <w:r>
        <w:rPr>
          <w:rFonts w:ascii="宋体" w:hAnsi="宋体"/>
          <w:sz w:val="24"/>
        </w:rPr>
        <w:t xml:space="preserve">关于违约责任的认定方式和对违约责任的处罚；在</w:t>
      </w:r>
      <w:r>
        <w:rPr>
          <w:rFonts w:hint="eastAsia" w:ascii="宋体" w:hAnsi="宋体"/>
          <w:sz w:val="24"/>
        </w:rPr>
        <w:t xml:space="preserve">履约</w:t>
      </w:r>
      <w:r>
        <w:rPr>
          <w:rFonts w:ascii="宋体" w:hAnsi="宋体"/>
          <w:sz w:val="24"/>
        </w:rPr>
        <w:t xml:space="preserve">过程中，如我方违约，我方愿意承担相应违约责任</w:t>
      </w:r>
      <w:r>
        <w:rPr>
          <w:rFonts w:hint="eastAsia" w:ascii="宋体" w:hAnsi="宋体"/>
          <w:sz w:val="24"/>
        </w:rPr>
        <w:t xml:space="preserve">。</w:t>
      </w:r>
      <w:r>
        <w:rPr>
          <w:rFonts w:ascii="宋体" w:hAnsi="宋体"/>
          <w:sz w:val="24"/>
        </w:rPr>
      </w:r>
      <w:r/>
    </w:p>
    <w:p>
      <w:pPr>
        <w:pStyle w:val="895"/>
        <w:ind w:firstLine="480"/>
        <w:jc w:val="left"/>
        <w:spacing w:line="360" w:lineRule="auto"/>
        <w:rPr>
          <w:rFonts w:ascii="宋体" w:hAnsi="宋体"/>
          <w:sz w:val="24"/>
        </w:rPr>
      </w:pPr>
      <w:r>
        <w:rPr>
          <w:rFonts w:ascii="宋体" w:hAnsi="宋体"/>
          <w:sz w:val="24"/>
        </w:rPr>
        <w:t xml:space="preserve">9.</w:t>
      </w:r>
      <w:r>
        <w:rPr>
          <w:rFonts w:hint="eastAsia" w:ascii="宋体" w:hAnsi="宋体"/>
          <w:sz w:val="24"/>
        </w:rPr>
        <w:t xml:space="preserve">除不可抗力外，我方如果在招标文件规定的投标有效期内进行实质上修改或撤回投标，将在行为发生的10个工作日内，向采购人支付本招标文件公布的预算价的2%作为违约赔偿金。</w:t>
      </w:r>
      <w:r>
        <w:rPr>
          <w:rFonts w:ascii="宋体" w:hAnsi="宋体"/>
          <w:sz w:val="24"/>
        </w:rPr>
      </w:r>
      <w:r/>
    </w:p>
    <w:p>
      <w:pPr>
        <w:pStyle w:val="895"/>
        <w:ind w:firstLine="480"/>
        <w:spacing w:line="360" w:lineRule="auto"/>
        <w:rPr>
          <w:rFonts w:ascii="宋体" w:hAnsi="宋体"/>
          <w:sz w:val="24"/>
        </w:rPr>
      </w:pPr>
      <w:r>
        <w:rPr>
          <w:rFonts w:ascii="宋体" w:hAnsi="宋体"/>
          <w:sz w:val="24"/>
        </w:rPr>
        <w:t xml:space="preserve">10</w:t>
      </w:r>
      <w:r>
        <w:rPr>
          <w:rFonts w:hint="eastAsia" w:ascii="宋体" w:hAnsi="宋体"/>
          <w:sz w:val="24"/>
        </w:rPr>
        <w:t xml:space="preserve">.我方知晓上述行为的法律后果，并认可本承诺函作为采购人要求我方履行违约赔偿的依据。</w:t>
      </w:r>
      <w:r>
        <w:rPr>
          <w:rFonts w:ascii="宋体" w:hAnsi="宋体"/>
          <w:sz w:val="24"/>
        </w:rPr>
      </w:r>
      <w:r/>
    </w:p>
    <w:p>
      <w:pPr>
        <w:pStyle w:val="895"/>
        <w:ind w:firstLine="480"/>
        <w:spacing w:line="360" w:lineRule="auto"/>
        <w:rPr>
          <w:rFonts w:ascii="宋体" w:hAnsi="宋体"/>
          <w:sz w:val="24"/>
        </w:rPr>
      </w:pPr>
      <w:r>
        <w:rPr>
          <w:rFonts w:ascii="宋体" w:hAnsi="宋体"/>
          <w:sz w:val="24"/>
        </w:rPr>
      </w:r>
      <w:r/>
    </w:p>
    <w:p>
      <w:pPr>
        <w:pStyle w:val="895"/>
        <w:ind w:right="420"/>
        <w:jc w:val="right"/>
        <w:spacing w:line="360" w:lineRule="auto"/>
        <w:rPr>
          <w:rFonts w:ascii="宋体" w:hAnsi="宋体"/>
          <w:sz w:val="24"/>
        </w:rPr>
      </w:pPr>
      <w:r>
        <w:rPr>
          <w:rFonts w:hint="eastAsia" w:ascii="宋体" w:hAnsi="宋体"/>
          <w:sz w:val="24"/>
        </w:rPr>
        <w:t xml:space="preserve">投标单位</w:t>
      </w:r>
      <w:r>
        <w:rPr>
          <w:rFonts w:ascii="宋体" w:hAnsi="宋体"/>
          <w:sz w:val="24"/>
        </w:rPr>
        <w:t xml:space="preserve">：（</w:t>
      </w:r>
      <w:r>
        <w:rPr>
          <w:rFonts w:hint="eastAsia" w:ascii="宋体" w:hAnsi="宋体"/>
          <w:sz w:val="24"/>
        </w:rPr>
        <w:t xml:space="preserve">公章</w:t>
      </w:r>
      <w:r>
        <w:rPr>
          <w:rFonts w:ascii="宋体" w:hAnsi="宋体"/>
          <w:sz w:val="24"/>
        </w:rPr>
        <w:t xml:space="preserve">）</w:t>
      </w:r>
      <w:r/>
    </w:p>
    <w:p>
      <w:pPr>
        <w:pStyle w:val="895"/>
        <w:ind w:firstLine="480"/>
        <w:jc w:val="right"/>
        <w:spacing w:line="360" w:lineRule="auto"/>
        <w:rPr>
          <w:rFonts w:ascii="宋体" w:hAnsi="宋体"/>
          <w:sz w:val="24"/>
        </w:rPr>
      </w:pPr>
      <w:r>
        <w:rPr>
          <w:rFonts w:hint="eastAsia" w:ascii="宋体" w:hAnsi="宋体"/>
          <w:sz w:val="24"/>
        </w:rPr>
        <w:t xml:space="preserve"> </w:t>
      </w:r>
      <w:r>
        <w:rPr>
          <w:rFonts w:ascii="宋体" w:hAnsi="宋体"/>
          <w:sz w:val="24"/>
        </w:rPr>
        <w:t xml:space="preserve">法定代表人</w:t>
      </w:r>
      <w:r>
        <w:rPr>
          <w:rFonts w:hAnsi="宋体"/>
          <w:sz w:val="24"/>
        </w:rPr>
        <w:t xml:space="preserve">或被授权人</w:t>
      </w:r>
      <w:r>
        <w:rPr>
          <w:rFonts w:ascii="宋体" w:hAnsi="宋体"/>
          <w:sz w:val="24"/>
        </w:rPr>
        <w:t xml:space="preserve">：（签字或</w:t>
      </w:r>
      <w:r>
        <w:rPr>
          <w:rFonts w:hint="eastAsia" w:ascii="宋体" w:hAnsi="宋体"/>
          <w:sz w:val="24"/>
        </w:rPr>
        <w:t xml:space="preserve">签章</w:t>
      </w:r>
      <w:r>
        <w:rPr>
          <w:rFonts w:ascii="宋体" w:hAnsi="宋体"/>
          <w:sz w:val="24"/>
        </w:rPr>
        <w:t xml:space="preserve">）</w:t>
      </w:r>
      <w:r/>
    </w:p>
    <w:p>
      <w:pPr>
        <w:pStyle w:val="895"/>
        <w:jc w:val="right"/>
        <w:spacing w:line="360" w:lineRule="auto"/>
        <w:rPr>
          <w:rFonts w:ascii="宋体" w:hAnsi="宋体"/>
          <w:sz w:val="24"/>
        </w:rPr>
      </w:pPr>
      <w:r>
        <w:rPr>
          <w:rFonts w:hint="eastAsia" w:ascii="宋体" w:hAnsi="宋体"/>
          <w:sz w:val="24"/>
        </w:rPr>
        <w:t xml:space="preserve"> 日期：    </w:t>
      </w:r>
      <w:r>
        <w:rPr>
          <w:rFonts w:ascii="宋体" w:hAnsi="宋体"/>
          <w:sz w:val="24"/>
        </w:rPr>
        <w:t xml:space="preserve">年</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日</w:t>
      </w:r>
      <w:r/>
    </w:p>
    <w:p>
      <w:pPr>
        <w:pStyle w:val="950"/>
      </w:pPr>
      <w:r/>
      <w:r/>
    </w:p>
    <w:p>
      <w:pPr>
        <w:pStyle w:val="950"/>
      </w:pPr>
      <w:r/>
      <w:r/>
    </w:p>
    <w:p>
      <w:pPr>
        <w:pStyle w:val="950"/>
        <w:rPr>
          <w:rFonts w:hAnsi="宋体" w:eastAsia="宋体"/>
          <w:sz w:val="24"/>
          <w:szCs w:val="24"/>
        </w:rPr>
      </w:pPr>
      <w:r>
        <w:rPr>
          <w:rFonts w:hAnsi="宋体" w:eastAsia="宋体"/>
          <w:sz w:val="24"/>
          <w:szCs w:val="24"/>
        </w:rPr>
      </w:r>
      <w:r/>
    </w:p>
    <w:p>
      <w:pPr>
        <w:pStyle w:val="897"/>
      </w:pPr>
      <w:r/>
      <w:bookmarkStart w:id="111" w:name="_Ref367200257"/>
      <w:r>
        <w:rPr>
          <w:rFonts w:hint="eastAsia"/>
        </w:rPr>
        <w:t xml:space="preserve">4</w:t>
      </w:r>
      <w:r>
        <w:t xml:space="preserve">、</w:t>
      </w:r>
      <w:bookmarkEnd w:id="111"/>
      <w:r>
        <w:rPr>
          <w:rFonts w:hint="eastAsia"/>
        </w:rPr>
        <w:t xml:space="preserve">技术要求对照表</w:t>
      </w:r>
      <w:r/>
    </w:p>
    <w:p>
      <w:pPr>
        <w:pStyle w:val="950"/>
        <w:rPr>
          <w:rFonts w:hAnsi="宋体" w:eastAsia="宋体"/>
          <w:b/>
          <w:sz w:val="24"/>
        </w:rPr>
      </w:pPr>
      <w:r>
        <w:rPr>
          <w:rFonts w:hAnsi="宋体" w:eastAsia="宋体"/>
          <w:b/>
          <w:sz w:val="24"/>
        </w:rPr>
      </w:r>
      <w:r/>
    </w:p>
    <w:p>
      <w:pPr>
        <w:pStyle w:val="950"/>
        <w:jc w:val="center"/>
        <w:rPr>
          <w:rFonts w:hint="eastAsia" w:hAnsi="宋体" w:eastAsia="宋体"/>
          <w:b/>
          <w:szCs w:val="28"/>
        </w:rPr>
      </w:pPr>
      <w:r>
        <w:rPr>
          <w:rFonts w:hint="eastAsia" w:hAnsi="宋体" w:eastAsia="宋体"/>
          <w:b/>
          <w:szCs w:val="28"/>
        </w:rPr>
        <w:t xml:space="preserve">技术要求对照表</w:t>
      </w:r>
      <w:r/>
    </w:p>
    <w:p>
      <w:pPr>
        <w:pStyle w:val="950"/>
        <w:jc w:val="center"/>
        <w:rPr>
          <w:rFonts w:hAnsi="宋体" w:eastAsia="宋体"/>
          <w:b/>
          <w:sz w:val="24"/>
        </w:rPr>
      </w:pPr>
      <w:r>
        <w:rPr>
          <w:rFonts w:hAnsi="宋体" w:eastAsia="宋体"/>
          <w:b/>
          <w:sz w:val="24"/>
        </w:rPr>
      </w:r>
      <w:r/>
    </w:p>
    <w:p>
      <w:pPr>
        <w:pStyle w:val="950"/>
        <w:spacing w:line="360" w:lineRule="auto"/>
        <w:rPr>
          <w:rFonts w:hAnsi="宋体" w:eastAsia="宋体"/>
          <w:sz w:val="24"/>
        </w:rPr>
      </w:pPr>
      <w:r>
        <w:rPr>
          <w:rFonts w:hint="eastAsia" w:hAnsi="宋体" w:eastAsia="宋体"/>
          <w:sz w:val="24"/>
        </w:rPr>
        <w:t xml:space="preserve">项目编号：</w:t>
      </w:r>
      <w:r>
        <w:rPr>
          <w:rFonts w:hAnsi="宋体" w:eastAsia="宋体"/>
          <w:sz w:val="24"/>
        </w:rPr>
        <w:t xml:space="preserve">JSZC-320507-SZYC-G2026-0007</w:t>
      </w:r>
      <w:r/>
    </w:p>
    <w:p>
      <w:pPr>
        <w:pStyle w:val="950"/>
        <w:spacing w:line="360" w:lineRule="auto"/>
        <w:rPr>
          <w:rFonts w:hAnsi="宋体" w:eastAsia="宋体"/>
          <w:b/>
          <w:sz w:val="24"/>
          <w:u w:val="single"/>
        </w:rPr>
      </w:pPr>
      <w:r>
        <w:rPr>
          <w:rFonts w:hAnsi="宋体" w:eastAsia="宋体"/>
          <w:b/>
          <w:sz w:val="24"/>
        </w:rPr>
        <w:t xml:space="preserve">第 </w:t>
      </w:r>
      <w:r>
        <w:rPr>
          <w:rFonts w:hAnsi="宋体" w:eastAsia="宋体"/>
          <w:b/>
          <w:sz w:val="24"/>
          <w:u w:val="single"/>
        </w:rPr>
        <w:t xml:space="preserve">     </w:t>
      </w:r>
      <w:r>
        <w:rPr>
          <w:rFonts w:hAnsi="宋体" w:eastAsia="宋体"/>
          <w:b/>
          <w:sz w:val="24"/>
        </w:rPr>
        <w:t xml:space="preserve">标段：</w:t>
      </w:r>
      <w:r>
        <w:rPr>
          <w:rFonts w:hAnsi="宋体" w:eastAsia="宋体"/>
          <w:b/>
          <w:sz w:val="24"/>
          <w:u w:val="single"/>
        </w:rPr>
      </w:r>
      <w:r/>
    </w:p>
    <w:tbl>
      <w:tblPr>
        <w:tblW w:w="890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909"/>
        <w:gridCol w:w="1560"/>
        <w:gridCol w:w="1984"/>
        <w:gridCol w:w="1701"/>
        <w:gridCol w:w="984"/>
      </w:tblGrid>
      <w:tr>
        <w:trPr>
          <w:trHeight w:val="581"/>
        </w:trPr>
        <w:tc>
          <w:tcPr>
            <w:tcW w:w="769"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t xml:space="preserve">序号</w:t>
            </w:r>
            <w:r/>
          </w:p>
        </w:tc>
        <w:tc>
          <w:tcPr>
            <w:tcW w:w="1909"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t xml:space="preserve">名称</w:t>
            </w:r>
            <w:r/>
          </w:p>
        </w:tc>
        <w:tc>
          <w:tcPr>
            <w:tcW w:w="1560"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t xml:space="preserve">招标需求</w:t>
            </w:r>
            <w:r/>
          </w:p>
        </w:tc>
        <w:tc>
          <w:tcPr>
            <w:tcW w:w="1984"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t xml:space="preserve">响应内容</w:t>
            </w:r>
            <w:r/>
          </w:p>
        </w:tc>
        <w:tc>
          <w:tcPr>
            <w:tcW w:w="1701"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t xml:space="preserve">偏离情况</w:t>
            </w:r>
            <w:r/>
          </w:p>
        </w:tc>
        <w:tc>
          <w:tcPr>
            <w:tcW w:w="984"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t xml:space="preserve">说明</w:t>
            </w:r>
            <w:r/>
          </w:p>
        </w:tc>
      </w:tr>
      <w:tr>
        <w:trPr>
          <w:trHeight w:val="581"/>
        </w:trPr>
        <w:tc>
          <w:tcPr>
            <w:tcW w:w="769"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c>
          <w:tcPr>
            <w:tcW w:w="1909"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c>
          <w:tcPr>
            <w:tcW w:w="1560"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c>
          <w:tcPr>
            <w:tcW w:w="1984"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c>
          <w:tcPr>
            <w:tcW w:w="1701"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c>
          <w:tcPr>
            <w:tcW w:w="984"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r>
      <w:tr>
        <w:trPr>
          <w:trHeight w:val="581"/>
        </w:trPr>
        <w:tc>
          <w:tcPr>
            <w:tcW w:w="769"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c>
          <w:tcPr>
            <w:tcW w:w="1909"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c>
          <w:tcPr>
            <w:tcW w:w="1560"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c>
          <w:tcPr>
            <w:tcW w:w="1984"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c>
          <w:tcPr>
            <w:tcW w:w="1701"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c>
          <w:tcPr>
            <w:tcW w:w="984"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r>
      <w:tr>
        <w:trPr>
          <w:trHeight w:val="581"/>
        </w:trPr>
        <w:tc>
          <w:tcPr>
            <w:tcW w:w="769"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c>
          <w:tcPr>
            <w:tcW w:w="1909"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c>
          <w:tcPr>
            <w:tcW w:w="1560"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c>
          <w:tcPr>
            <w:tcW w:w="1984"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c>
          <w:tcPr>
            <w:tcW w:w="1701"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c>
          <w:tcPr>
            <w:tcW w:w="984"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r>
      <w:tr>
        <w:trPr>
          <w:trHeight w:val="581"/>
        </w:trPr>
        <w:tc>
          <w:tcPr>
            <w:tcW w:w="769"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c>
          <w:tcPr>
            <w:tcW w:w="1909"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c>
          <w:tcPr>
            <w:tcW w:w="1560"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c>
          <w:tcPr>
            <w:tcW w:w="1984"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c>
          <w:tcPr>
            <w:tcW w:w="1701"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c>
          <w:tcPr>
            <w:tcW w:w="984" w:type="dxa"/>
            <w:vAlign w:val="center"/>
            <w:textDirection w:val="lrTb"/>
            <w:noWrap w:val="false"/>
          </w:tcPr>
          <w:p>
            <w:pPr>
              <w:pStyle w:val="895"/>
              <w:rPr>
                <w:rFonts w:hint="eastAsia" w:ascii="宋体" w:hAnsi="宋体" w:cs="宋体"/>
                <w:color w:val="000000"/>
                <w:sz w:val="24"/>
              </w:rPr>
            </w:pPr>
            <w:r>
              <w:rPr>
                <w:rFonts w:hint="eastAsia" w:ascii="宋体" w:hAnsi="宋体" w:cs="宋体"/>
                <w:color w:val="000000"/>
                <w:sz w:val="24"/>
              </w:rPr>
            </w:r>
            <w:r/>
          </w:p>
        </w:tc>
      </w:tr>
    </w:tbl>
    <w:p>
      <w:pPr>
        <w:pStyle w:val="895"/>
        <w:spacing w:line="400" w:lineRule="exact"/>
        <w:rPr>
          <w:rFonts w:hint="eastAsia" w:ascii="宋体" w:hAnsi="宋体" w:cs="宋体"/>
          <w:color w:val="000000"/>
          <w:sz w:val="24"/>
        </w:rPr>
      </w:pPr>
      <w:r>
        <w:rPr>
          <w:rFonts w:hint="eastAsia" w:ascii="宋体" w:hAnsi="宋体" w:cs="宋体"/>
          <w:color w:val="000000"/>
          <w:sz w:val="24"/>
        </w:rPr>
      </w:r>
      <w:r/>
    </w:p>
    <w:p>
      <w:pPr>
        <w:pStyle w:val="895"/>
        <w:spacing w:line="400" w:lineRule="exact"/>
        <w:rPr>
          <w:rFonts w:hint="eastAsia" w:ascii="宋体" w:hAnsi="宋体" w:cs="宋体"/>
          <w:color w:val="000000"/>
          <w:sz w:val="24"/>
        </w:rPr>
      </w:pPr>
      <w:r>
        <w:rPr>
          <w:rFonts w:hint="eastAsia" w:ascii="宋体" w:hAnsi="宋体" w:cs="宋体"/>
          <w:color w:val="000000"/>
          <w:sz w:val="24"/>
        </w:rPr>
        <w:t xml:space="preserve">注：1、投标供应商应对照招标文件要求等进行响应说明，所响应标的物与招标文件的规定有偏离的，应在此表中申明与招标要求条文的偏差和例外。</w:t>
      </w:r>
      <w:r/>
    </w:p>
    <w:p>
      <w:pPr>
        <w:pStyle w:val="895"/>
        <w:spacing w:line="400" w:lineRule="exact"/>
        <w:rPr>
          <w:rFonts w:hint="eastAsia" w:ascii="宋体" w:hAnsi="宋体" w:cs="宋体"/>
          <w:color w:val="000000"/>
          <w:sz w:val="24"/>
        </w:rPr>
      </w:pPr>
      <w:r>
        <w:rPr>
          <w:rFonts w:hint="eastAsia" w:ascii="宋体" w:hAnsi="宋体" w:cs="宋体"/>
          <w:color w:val="000000"/>
          <w:sz w:val="24"/>
        </w:rPr>
        <w:t xml:space="preserve">2、未在上表中说明的，如在投标文件其他内容中已有文字说明的，则以已有文字说明为准，否则，将被认为完全响应招标文件的规定。</w:t>
      </w:r>
      <w:r/>
    </w:p>
    <w:p>
      <w:pPr>
        <w:pStyle w:val="950"/>
        <w:spacing w:line="360" w:lineRule="auto"/>
        <w:rPr>
          <w:rFonts w:hint="eastAsia" w:hAnsi="宋体" w:eastAsia="宋体"/>
          <w:sz w:val="24"/>
        </w:rPr>
      </w:pPr>
      <w:r>
        <w:rPr>
          <w:rFonts w:hint="eastAsia" w:hAnsi="宋体" w:eastAsia="宋体"/>
          <w:sz w:val="24"/>
        </w:rPr>
      </w:r>
      <w:r/>
    </w:p>
    <w:p>
      <w:pPr>
        <w:pStyle w:val="950"/>
        <w:spacing w:line="360" w:lineRule="auto"/>
        <w:rPr>
          <w:rFonts w:hAnsi="宋体" w:eastAsia="宋体"/>
          <w:sz w:val="24"/>
        </w:rPr>
      </w:pPr>
      <w:r>
        <w:rPr>
          <w:rFonts w:hAnsi="宋体" w:eastAsia="宋体"/>
          <w:sz w:val="24"/>
        </w:rPr>
        <w:t xml:space="preserve">投标</w:t>
      </w:r>
      <w:r>
        <w:rPr>
          <w:rFonts w:hint="eastAsia" w:hAnsi="宋体" w:eastAsia="宋体"/>
          <w:sz w:val="24"/>
        </w:rPr>
        <w:t xml:space="preserve">单位</w:t>
      </w:r>
      <w:r>
        <w:rPr>
          <w:rFonts w:hAnsi="宋体" w:eastAsia="宋体"/>
          <w:sz w:val="24"/>
        </w:rPr>
        <w:t xml:space="preserve">：（</w:t>
      </w:r>
      <w:r>
        <w:rPr>
          <w:rFonts w:hint="eastAsia" w:hAnsi="宋体" w:eastAsia="宋体"/>
          <w:sz w:val="24"/>
        </w:rPr>
        <w:t xml:space="preserve">盖</w:t>
      </w:r>
      <w:r>
        <w:rPr>
          <w:rFonts w:hint="eastAsia" w:hAnsi="宋体" w:eastAsia="宋体"/>
          <w:sz w:val="24"/>
          <w:szCs w:val="24"/>
        </w:rPr>
        <w:t xml:space="preserve">章</w:t>
      </w:r>
      <w:r>
        <w:rPr>
          <w:rFonts w:hAnsi="宋体" w:eastAsia="宋体"/>
          <w:sz w:val="24"/>
        </w:rPr>
        <w:t xml:space="preserve">）</w:t>
      </w:r>
      <w:r/>
    </w:p>
    <w:p>
      <w:pPr>
        <w:pStyle w:val="950"/>
        <w:spacing w:line="360" w:lineRule="auto"/>
        <w:rPr>
          <w:rFonts w:hAnsi="宋体" w:eastAsia="宋体"/>
          <w:sz w:val="24"/>
        </w:rPr>
      </w:pPr>
      <w:r>
        <w:rPr>
          <w:rFonts w:hAnsi="宋体" w:eastAsia="宋体"/>
          <w:sz w:val="24"/>
        </w:rPr>
        <w:t xml:space="preserve">法定代表人或被授权人：（签字</w:t>
      </w:r>
      <w:r>
        <w:rPr>
          <w:rFonts w:hint="eastAsia" w:hAnsi="宋体" w:eastAsia="宋体"/>
          <w:sz w:val="24"/>
        </w:rPr>
        <w:t xml:space="preserve">或</w:t>
      </w:r>
      <w:bookmarkStart w:id="112" w:name="OLE_LINK8"/>
      <w:r>
        <w:rPr>
          <w:rFonts w:hint="eastAsia" w:hAnsi="宋体" w:eastAsia="宋体"/>
          <w:sz w:val="24"/>
        </w:rPr>
        <w:t xml:space="preserve">签章</w:t>
      </w:r>
      <w:bookmarkEnd w:id="112"/>
      <w:r>
        <w:rPr>
          <w:rFonts w:hAnsi="宋体" w:eastAsia="宋体"/>
          <w:sz w:val="24"/>
        </w:rPr>
        <w:t xml:space="preserve">）</w:t>
      </w:r>
      <w:r/>
    </w:p>
    <w:p>
      <w:pPr>
        <w:pStyle w:val="950"/>
        <w:spacing w:line="360" w:lineRule="auto"/>
        <w:rPr>
          <w:rFonts w:hAnsi="宋体" w:eastAsia="宋体"/>
          <w:sz w:val="24"/>
        </w:rPr>
      </w:pPr>
      <w:r>
        <w:rPr>
          <w:rFonts w:hAnsi="宋体" w:eastAsia="宋体"/>
          <w:sz w:val="24"/>
        </w:rPr>
        <w:t xml:space="preserve">日期：   年   月  日</w:t>
      </w:r>
      <w:r/>
    </w:p>
    <w:p>
      <w:pPr>
        <w:pStyle w:val="950"/>
        <w:spacing w:line="360" w:lineRule="auto"/>
        <w:rPr>
          <w:rFonts w:hint="eastAsia" w:hAnsi="宋体" w:eastAsia="宋体"/>
          <w:b/>
          <w:sz w:val="24"/>
          <w:szCs w:val="24"/>
        </w:rPr>
      </w:pPr>
      <w:r>
        <w:rPr>
          <w:rFonts w:hint="eastAsia" w:hAnsi="宋体" w:eastAsia="宋体"/>
          <w:b/>
          <w:sz w:val="24"/>
          <w:szCs w:val="24"/>
        </w:rPr>
      </w:r>
      <w:r/>
    </w:p>
    <w:p>
      <w:pPr>
        <w:pStyle w:val="950"/>
        <w:spacing w:line="360" w:lineRule="auto"/>
        <w:rPr>
          <w:rFonts w:hint="eastAsia" w:hAnsi="宋体" w:eastAsia="宋体"/>
          <w:b/>
          <w:sz w:val="24"/>
          <w:szCs w:val="24"/>
        </w:rPr>
      </w:pPr>
      <w:r>
        <w:rPr>
          <w:rFonts w:hint="eastAsia" w:hAnsi="宋体" w:eastAsia="宋体"/>
          <w:b/>
          <w:sz w:val="24"/>
          <w:szCs w:val="24"/>
        </w:rPr>
      </w:r>
      <w:r/>
    </w:p>
    <w:p>
      <w:pPr>
        <w:pStyle w:val="950"/>
        <w:spacing w:line="360" w:lineRule="auto"/>
        <w:rPr>
          <w:rFonts w:hint="eastAsia" w:hAnsi="宋体" w:eastAsia="宋体"/>
          <w:b/>
          <w:sz w:val="24"/>
          <w:szCs w:val="24"/>
        </w:rPr>
      </w:pPr>
      <w:r>
        <w:rPr>
          <w:rFonts w:hint="eastAsia" w:hAnsi="宋体" w:eastAsia="宋体"/>
          <w:b/>
          <w:sz w:val="24"/>
          <w:szCs w:val="24"/>
        </w:rPr>
      </w:r>
      <w:r/>
    </w:p>
    <w:p>
      <w:pPr>
        <w:pStyle w:val="950"/>
        <w:spacing w:line="360" w:lineRule="auto"/>
        <w:rPr>
          <w:rFonts w:hint="eastAsia" w:hAnsi="宋体" w:eastAsia="宋体"/>
          <w:b/>
          <w:sz w:val="24"/>
          <w:szCs w:val="24"/>
        </w:rPr>
      </w:pPr>
      <w:r>
        <w:rPr>
          <w:rFonts w:hint="eastAsia" w:hAnsi="宋体" w:eastAsia="宋体"/>
          <w:b/>
          <w:sz w:val="24"/>
          <w:szCs w:val="24"/>
        </w:rPr>
      </w:r>
      <w:r/>
    </w:p>
    <w:p>
      <w:pPr>
        <w:pStyle w:val="950"/>
        <w:spacing w:line="360" w:lineRule="auto"/>
        <w:rPr>
          <w:rFonts w:hint="eastAsia" w:hAnsi="宋体" w:eastAsia="宋体"/>
          <w:b/>
          <w:sz w:val="24"/>
          <w:szCs w:val="24"/>
        </w:rPr>
      </w:pPr>
      <w:r>
        <w:rPr>
          <w:rFonts w:hint="eastAsia" w:hAnsi="宋体" w:eastAsia="宋体"/>
          <w:b/>
          <w:sz w:val="24"/>
          <w:szCs w:val="24"/>
        </w:rPr>
      </w:r>
      <w:r/>
    </w:p>
    <w:p>
      <w:pPr>
        <w:pStyle w:val="950"/>
        <w:spacing w:line="360" w:lineRule="auto"/>
        <w:rPr>
          <w:rFonts w:hint="eastAsia" w:hAnsi="宋体" w:eastAsia="宋体"/>
          <w:b/>
          <w:bCs/>
          <w:sz w:val="24"/>
          <w:szCs w:val="24"/>
        </w:rPr>
      </w:pPr>
      <w:r>
        <w:rPr>
          <w:rFonts w:hint="eastAsia" w:hAnsi="宋体" w:eastAsia="宋体"/>
          <w:b/>
          <w:sz w:val="24"/>
          <w:szCs w:val="24"/>
        </w:rPr>
      </w:r>
      <w:r>
        <w:rPr>
          <w:rFonts w:hint="eastAsia" w:hAnsi="宋体" w:eastAsia="宋体"/>
          <w:b/>
          <w:sz w:val="24"/>
          <w:szCs w:val="24"/>
        </w:rPr>
      </w:r>
      <w:r/>
    </w:p>
    <w:p>
      <w:pPr>
        <w:pStyle w:val="950"/>
        <w:spacing w:line="360" w:lineRule="auto"/>
        <w:rPr>
          <w:rFonts w:hint="eastAsia" w:hAnsi="宋体" w:eastAsia="宋体"/>
          <w:b/>
          <w:bCs/>
          <w:sz w:val="24"/>
          <w:szCs w:val="24"/>
        </w:rPr>
      </w:pPr>
      <w:r>
        <w:rPr>
          <w:rFonts w:hint="eastAsia" w:hAnsi="宋体" w:eastAsia="宋体"/>
          <w:b/>
          <w:sz w:val="24"/>
          <w:szCs w:val="24"/>
        </w:rPr>
      </w:r>
      <w:r/>
    </w:p>
    <w:p>
      <w:pPr>
        <w:pStyle w:val="950"/>
        <w:spacing w:line="360" w:lineRule="auto"/>
        <w:rPr>
          <w:rFonts w:hint="eastAsia" w:hAnsi="宋体" w:eastAsia="宋体"/>
          <w:b/>
          <w:sz w:val="24"/>
          <w:szCs w:val="24"/>
        </w:rPr>
      </w:pPr>
      <w:r>
        <w:rPr>
          <w:rFonts w:hint="eastAsia" w:hAnsi="宋体" w:eastAsia="宋体"/>
          <w:b/>
          <w:sz w:val="24"/>
          <w:szCs w:val="24"/>
        </w:rPr>
      </w:r>
      <w:r/>
    </w:p>
    <w:p>
      <w:pPr>
        <w:pStyle w:val="950"/>
        <w:spacing w:line="360" w:lineRule="auto"/>
        <w:rPr>
          <w:rFonts w:hint="eastAsia" w:hAnsi="宋体" w:eastAsia="宋体"/>
          <w:b/>
          <w:sz w:val="24"/>
          <w:szCs w:val="24"/>
        </w:rPr>
      </w:pPr>
      <w:r>
        <w:rPr>
          <w:rFonts w:hint="eastAsia" w:hAnsi="宋体" w:eastAsia="宋体"/>
          <w:b/>
          <w:sz w:val="24"/>
          <w:szCs w:val="24"/>
        </w:rPr>
      </w:r>
      <w:r/>
    </w:p>
    <w:p>
      <w:pPr>
        <w:pStyle w:val="897"/>
        <w:rPr>
          <w:rFonts w:hint="eastAsia" w:ascii="宋体" w:hAnsi="宋体"/>
        </w:rPr>
      </w:pPr>
      <w:r/>
      <w:bookmarkStart w:id="113" w:name="_Ref62136792"/>
      <w:r/>
      <w:bookmarkStart w:id="114" w:name="_Ref367200258"/>
      <w:r>
        <w:rPr>
          <w:rFonts w:hint="eastAsia" w:ascii="宋体" w:hAnsi="宋体"/>
        </w:rPr>
        <w:t xml:space="preserve">5、</w:t>
      </w:r>
      <w:bookmarkEnd w:id="113"/>
      <w:r>
        <w:rPr>
          <w:rFonts w:hint="eastAsia" w:ascii="宋体" w:hAnsi="宋体"/>
        </w:rPr>
        <w:t xml:space="preserve">商务条款偏离表</w:t>
      </w:r>
      <w:r/>
    </w:p>
    <w:p>
      <w:pPr>
        <w:pStyle w:val="895"/>
        <w:rPr>
          <w:rFonts w:hint="eastAsia"/>
        </w:rPr>
      </w:pPr>
      <w:r>
        <w:rPr>
          <w:rFonts w:hint="eastAsia"/>
        </w:rPr>
      </w:r>
      <w:r/>
    </w:p>
    <w:p>
      <w:pPr>
        <w:pStyle w:val="895"/>
        <w:jc w:val="center"/>
        <w:rPr>
          <w:rFonts w:hint="eastAsia"/>
          <w:b/>
          <w:sz w:val="28"/>
          <w:szCs w:val="28"/>
        </w:rPr>
      </w:pPr>
      <w:r>
        <w:rPr>
          <w:rFonts w:hint="eastAsia"/>
          <w:b/>
          <w:sz w:val="28"/>
          <w:szCs w:val="28"/>
        </w:rPr>
        <w:t xml:space="preserve">商务条款偏离表</w:t>
      </w:r>
      <w:r/>
    </w:p>
    <w:p>
      <w:pPr>
        <w:pStyle w:val="895"/>
        <w:jc w:val="left"/>
        <w:rPr>
          <w:rFonts w:hint="eastAsia" w:ascii="宋体" w:hAnsi="宋体"/>
          <w:sz w:val="24"/>
        </w:rPr>
      </w:pPr>
      <w:r>
        <w:rPr>
          <w:rFonts w:hint="eastAsia" w:ascii="宋体" w:hAnsi="宋体"/>
          <w:sz w:val="24"/>
        </w:rPr>
        <w:t xml:space="preserve">项目编号：JSZC-320507-SZYC-G2026-0007</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126"/>
        <w:gridCol w:w="2552"/>
        <w:gridCol w:w="2572"/>
        <w:gridCol w:w="1540"/>
      </w:tblGrid>
      <w:tr>
        <w:trPr/>
        <w:tc>
          <w:tcPr>
            <w:tcW w:w="922" w:type="dxa"/>
            <w:vAlign w:val="center"/>
            <w:textDirection w:val="lrTb"/>
            <w:noWrap w:val="false"/>
          </w:tcPr>
          <w:p>
            <w:pPr>
              <w:pStyle w:val="895"/>
              <w:jc w:val="center"/>
              <w:spacing w:line="480" w:lineRule="exact"/>
              <w:rPr>
                <w:rFonts w:hint="eastAsia" w:ascii="宋体" w:hAnsi="宋体" w:cs="宋体"/>
                <w:color w:val="000000"/>
                <w:sz w:val="24"/>
              </w:rPr>
            </w:pPr>
            <w:r>
              <w:rPr>
                <w:rFonts w:hint="eastAsia" w:ascii="宋体" w:hAnsi="宋体" w:cs="宋体"/>
                <w:color w:val="000000"/>
                <w:sz w:val="24"/>
              </w:rPr>
              <w:t xml:space="preserve">序号</w:t>
            </w:r>
            <w:r/>
          </w:p>
        </w:tc>
        <w:tc>
          <w:tcPr>
            <w:tcW w:w="2126" w:type="dxa"/>
            <w:vAlign w:val="center"/>
            <w:textDirection w:val="lrTb"/>
            <w:noWrap w:val="false"/>
          </w:tcPr>
          <w:p>
            <w:pPr>
              <w:pStyle w:val="895"/>
              <w:jc w:val="center"/>
              <w:spacing w:line="480" w:lineRule="exact"/>
              <w:rPr>
                <w:rFonts w:hint="eastAsia" w:ascii="宋体" w:hAnsi="宋体" w:cs="宋体"/>
                <w:color w:val="000000"/>
                <w:sz w:val="24"/>
              </w:rPr>
            </w:pPr>
            <w:r>
              <w:rPr>
                <w:rFonts w:hint="eastAsia" w:ascii="宋体" w:hAnsi="宋体" w:cs="宋体"/>
                <w:color w:val="000000"/>
                <w:sz w:val="24"/>
              </w:rPr>
              <w:t xml:space="preserve">招标文件条目</w:t>
            </w:r>
            <w:r/>
          </w:p>
        </w:tc>
        <w:tc>
          <w:tcPr>
            <w:tcW w:w="2552" w:type="dxa"/>
            <w:vAlign w:val="center"/>
            <w:textDirection w:val="lrTb"/>
            <w:noWrap w:val="false"/>
          </w:tcPr>
          <w:p>
            <w:pPr>
              <w:pStyle w:val="895"/>
              <w:jc w:val="center"/>
              <w:spacing w:line="480" w:lineRule="exact"/>
              <w:rPr>
                <w:rFonts w:hint="eastAsia" w:ascii="宋体" w:hAnsi="宋体" w:cs="宋体"/>
                <w:color w:val="000000"/>
                <w:sz w:val="24"/>
              </w:rPr>
            </w:pPr>
            <w:r>
              <w:rPr>
                <w:rFonts w:hint="eastAsia" w:ascii="宋体" w:hAnsi="宋体" w:cs="宋体"/>
                <w:color w:val="000000"/>
                <w:sz w:val="24"/>
              </w:rPr>
              <w:t xml:space="preserve">招标文件的商务条款</w:t>
            </w:r>
            <w:r/>
          </w:p>
        </w:tc>
        <w:tc>
          <w:tcPr>
            <w:tcW w:w="2572" w:type="dxa"/>
            <w:vAlign w:val="center"/>
            <w:textDirection w:val="lrTb"/>
            <w:noWrap w:val="false"/>
          </w:tcPr>
          <w:p>
            <w:pPr>
              <w:pStyle w:val="895"/>
              <w:jc w:val="center"/>
              <w:spacing w:line="480" w:lineRule="exact"/>
              <w:rPr>
                <w:rFonts w:hint="eastAsia" w:ascii="宋体" w:hAnsi="宋体" w:cs="宋体"/>
                <w:color w:val="000000"/>
                <w:sz w:val="24"/>
              </w:rPr>
            </w:pPr>
            <w:r>
              <w:rPr>
                <w:rFonts w:hint="eastAsia" w:ascii="宋体" w:hAnsi="宋体" w:cs="宋体"/>
                <w:color w:val="000000"/>
                <w:sz w:val="24"/>
              </w:rPr>
              <w:t xml:space="preserve">投标文件的商务条款</w:t>
            </w:r>
            <w:r/>
          </w:p>
        </w:tc>
        <w:tc>
          <w:tcPr>
            <w:tcW w:w="1540" w:type="dxa"/>
            <w:vAlign w:val="center"/>
            <w:textDirection w:val="lrTb"/>
            <w:noWrap w:val="false"/>
          </w:tcPr>
          <w:p>
            <w:pPr>
              <w:pStyle w:val="895"/>
              <w:jc w:val="center"/>
              <w:spacing w:line="480" w:lineRule="exact"/>
              <w:rPr>
                <w:rFonts w:hint="eastAsia" w:ascii="宋体" w:hAnsi="宋体" w:cs="宋体"/>
                <w:color w:val="000000"/>
                <w:sz w:val="24"/>
              </w:rPr>
            </w:pPr>
            <w:r>
              <w:rPr>
                <w:rFonts w:hint="eastAsia" w:ascii="宋体" w:hAnsi="宋体" w:cs="宋体"/>
                <w:color w:val="000000"/>
                <w:sz w:val="24"/>
              </w:rPr>
              <w:t xml:space="preserve">说明</w:t>
            </w:r>
            <w:r/>
          </w:p>
        </w:tc>
      </w:tr>
      <w:tr>
        <w:trPr/>
        <w:tc>
          <w:tcPr>
            <w:tcW w:w="922" w:type="dxa"/>
            <w:vAlign w:val="center"/>
            <w:textDirection w:val="lrTb"/>
            <w:noWrap w:val="false"/>
          </w:tcPr>
          <w:p>
            <w:pPr>
              <w:pStyle w:val="895"/>
              <w:jc w:val="center"/>
              <w:spacing w:line="480" w:lineRule="exact"/>
              <w:rPr>
                <w:rFonts w:hint="eastAsia" w:ascii="宋体" w:hAnsi="宋体" w:cs="宋体"/>
                <w:color w:val="000000"/>
                <w:sz w:val="24"/>
              </w:rPr>
            </w:pPr>
            <w:r>
              <w:rPr>
                <w:rFonts w:hint="eastAsia" w:ascii="宋体" w:hAnsi="宋体" w:cs="宋体"/>
                <w:color w:val="000000"/>
                <w:sz w:val="24"/>
              </w:rPr>
              <w:t xml:space="preserve">1</w:t>
            </w:r>
            <w:r/>
          </w:p>
        </w:tc>
        <w:tc>
          <w:tcPr>
            <w:tcW w:w="2126"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t xml:space="preserve">服务期限</w:t>
            </w:r>
            <w:r/>
          </w:p>
        </w:tc>
        <w:tc>
          <w:tcPr>
            <w:tcW w:w="2552" w:type="dxa"/>
            <w:vAlign w:val="center"/>
            <w:textDirection w:val="lrTb"/>
            <w:noWrap w:val="false"/>
          </w:tcPr>
          <w:p>
            <w:pPr>
              <w:pStyle w:val="895"/>
              <w:spacing w:line="480" w:lineRule="exact"/>
              <w:rPr>
                <w:rFonts w:hint="eastAsia" w:ascii="宋体" w:hAnsi="宋体" w:cs="宋体"/>
                <w:color w:val="000000"/>
                <w:sz w:val="24"/>
              </w:rPr>
            </w:pPr>
            <w:r>
              <w:rPr>
                <w:rFonts w:hint="eastAsia" w:ascii="宋体" w:hAnsi="宋体" w:cs="宋体"/>
                <w:color w:val="000000"/>
                <w:sz w:val="24"/>
              </w:rPr>
            </w:r>
            <w:r/>
          </w:p>
        </w:tc>
        <w:tc>
          <w:tcPr>
            <w:tcW w:w="2572" w:type="dxa"/>
            <w:vAlign w:val="center"/>
            <w:textDirection w:val="lrTb"/>
            <w:noWrap w:val="false"/>
          </w:tcPr>
          <w:p>
            <w:pPr>
              <w:pStyle w:val="895"/>
              <w:spacing w:line="480" w:lineRule="exact"/>
              <w:rPr>
                <w:rFonts w:hint="eastAsia" w:ascii="宋体" w:hAnsi="宋体" w:cs="宋体"/>
                <w:color w:val="000000"/>
                <w:sz w:val="24"/>
              </w:rPr>
            </w:pPr>
            <w:r>
              <w:rPr>
                <w:rFonts w:hint="eastAsia" w:ascii="宋体" w:hAnsi="宋体" w:cs="宋体"/>
                <w:color w:val="000000"/>
                <w:sz w:val="24"/>
              </w:rPr>
            </w:r>
            <w:r/>
          </w:p>
        </w:tc>
        <w:tc>
          <w:tcPr>
            <w:tcW w:w="1540" w:type="dxa"/>
            <w:vAlign w:val="center"/>
            <w:textDirection w:val="lrTb"/>
            <w:noWrap w:val="false"/>
          </w:tcPr>
          <w:p>
            <w:pPr>
              <w:pStyle w:val="895"/>
              <w:spacing w:line="480" w:lineRule="exact"/>
              <w:rPr>
                <w:rFonts w:hint="eastAsia" w:ascii="宋体" w:hAnsi="宋体" w:cs="宋体"/>
                <w:color w:val="000000"/>
                <w:sz w:val="24"/>
              </w:rPr>
            </w:pPr>
            <w:r>
              <w:rPr>
                <w:rFonts w:hint="eastAsia" w:ascii="宋体" w:hAnsi="宋体" w:cs="宋体"/>
                <w:color w:val="000000"/>
                <w:sz w:val="24"/>
              </w:rPr>
            </w:r>
            <w:r/>
          </w:p>
        </w:tc>
      </w:tr>
      <w:tr>
        <w:trPr/>
        <w:tc>
          <w:tcPr>
            <w:tcW w:w="922" w:type="dxa"/>
            <w:vAlign w:val="center"/>
            <w:textDirection w:val="lrTb"/>
            <w:noWrap w:val="false"/>
          </w:tcPr>
          <w:p>
            <w:pPr>
              <w:pStyle w:val="895"/>
              <w:jc w:val="center"/>
              <w:spacing w:line="480" w:lineRule="exact"/>
              <w:rPr>
                <w:rFonts w:hint="eastAsia" w:ascii="宋体" w:hAnsi="宋体" w:cs="宋体"/>
                <w:color w:val="000000"/>
                <w:sz w:val="24"/>
              </w:rPr>
            </w:pPr>
            <w:r>
              <w:rPr>
                <w:rFonts w:hint="eastAsia" w:ascii="宋体" w:hAnsi="宋体" w:cs="宋体"/>
                <w:color w:val="000000"/>
                <w:sz w:val="24"/>
              </w:rPr>
              <w:t xml:space="preserve">2</w:t>
            </w:r>
            <w:r/>
          </w:p>
        </w:tc>
        <w:tc>
          <w:tcPr>
            <w:tcW w:w="2126"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t xml:space="preserve">服务</w:t>
            </w:r>
            <w:r>
              <w:rPr>
                <w:rFonts w:hint="eastAsia" w:ascii="宋体" w:hAnsi="宋体" w:cs="宋体"/>
                <w:color w:val="000000"/>
                <w:sz w:val="24"/>
                <w:lang w:val="zh-CN"/>
              </w:rPr>
              <w:t xml:space="preserve">地点</w:t>
            </w:r>
            <w:r>
              <w:rPr>
                <w:rFonts w:hint="eastAsia" w:ascii="宋体" w:hAnsi="宋体" w:cs="宋体"/>
                <w:color w:val="000000"/>
                <w:sz w:val="24"/>
              </w:rPr>
            </w:r>
            <w:r/>
          </w:p>
        </w:tc>
        <w:tc>
          <w:tcPr>
            <w:tcW w:w="2552" w:type="dxa"/>
            <w:vAlign w:val="center"/>
            <w:textDirection w:val="lrTb"/>
            <w:noWrap w:val="false"/>
          </w:tcPr>
          <w:p>
            <w:pPr>
              <w:pStyle w:val="895"/>
              <w:spacing w:line="480" w:lineRule="exact"/>
              <w:rPr>
                <w:rFonts w:hint="eastAsia" w:ascii="宋体" w:hAnsi="宋体" w:cs="宋体"/>
                <w:color w:val="000000"/>
                <w:sz w:val="24"/>
              </w:rPr>
            </w:pPr>
            <w:r>
              <w:rPr>
                <w:rFonts w:hint="eastAsia" w:ascii="宋体" w:hAnsi="宋体" w:cs="宋体"/>
                <w:color w:val="000000"/>
                <w:sz w:val="24"/>
              </w:rPr>
            </w:r>
            <w:r/>
          </w:p>
        </w:tc>
        <w:tc>
          <w:tcPr>
            <w:tcW w:w="2572" w:type="dxa"/>
            <w:vAlign w:val="center"/>
            <w:textDirection w:val="lrTb"/>
            <w:noWrap w:val="false"/>
          </w:tcPr>
          <w:p>
            <w:pPr>
              <w:pStyle w:val="895"/>
              <w:spacing w:line="480" w:lineRule="exact"/>
              <w:rPr>
                <w:rFonts w:hint="eastAsia" w:ascii="宋体" w:hAnsi="宋体" w:cs="宋体"/>
                <w:color w:val="000000"/>
                <w:sz w:val="24"/>
              </w:rPr>
            </w:pPr>
            <w:r>
              <w:rPr>
                <w:rFonts w:hint="eastAsia" w:ascii="宋体" w:hAnsi="宋体" w:cs="宋体"/>
                <w:color w:val="000000"/>
                <w:sz w:val="24"/>
              </w:rPr>
            </w:r>
            <w:r/>
          </w:p>
        </w:tc>
        <w:tc>
          <w:tcPr>
            <w:tcW w:w="1540" w:type="dxa"/>
            <w:vAlign w:val="center"/>
            <w:textDirection w:val="lrTb"/>
            <w:noWrap w:val="false"/>
          </w:tcPr>
          <w:p>
            <w:pPr>
              <w:pStyle w:val="895"/>
              <w:spacing w:line="480" w:lineRule="exact"/>
              <w:rPr>
                <w:rFonts w:hint="eastAsia" w:ascii="宋体" w:hAnsi="宋体" w:cs="宋体"/>
                <w:color w:val="000000"/>
                <w:sz w:val="24"/>
              </w:rPr>
            </w:pPr>
            <w:r>
              <w:rPr>
                <w:rFonts w:hint="eastAsia" w:ascii="宋体" w:hAnsi="宋体" w:cs="宋体"/>
                <w:color w:val="000000"/>
                <w:sz w:val="24"/>
              </w:rPr>
            </w:r>
            <w:r/>
          </w:p>
        </w:tc>
      </w:tr>
      <w:tr>
        <w:trPr/>
        <w:tc>
          <w:tcPr>
            <w:tcW w:w="922" w:type="dxa"/>
            <w:vAlign w:val="center"/>
            <w:textDirection w:val="lrTb"/>
            <w:noWrap w:val="false"/>
          </w:tcPr>
          <w:p>
            <w:pPr>
              <w:pStyle w:val="895"/>
              <w:jc w:val="center"/>
              <w:spacing w:line="480" w:lineRule="exact"/>
              <w:rPr>
                <w:rFonts w:hint="eastAsia" w:ascii="宋体" w:hAnsi="宋体" w:cs="宋体"/>
                <w:color w:val="000000"/>
                <w:sz w:val="24"/>
              </w:rPr>
            </w:pPr>
            <w:r>
              <w:rPr>
                <w:rFonts w:hint="eastAsia" w:ascii="宋体" w:hAnsi="宋体" w:cs="宋体"/>
                <w:color w:val="000000"/>
                <w:sz w:val="24"/>
              </w:rPr>
              <w:t xml:space="preserve">3</w:t>
            </w:r>
            <w:r/>
          </w:p>
        </w:tc>
        <w:tc>
          <w:tcPr>
            <w:tcW w:w="2126"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lang w:val="zh-CN"/>
              </w:rPr>
              <w:t xml:space="preserve">付款方式</w:t>
            </w:r>
            <w:r>
              <w:rPr>
                <w:rFonts w:hint="eastAsia" w:ascii="宋体" w:hAnsi="宋体" w:cs="宋体"/>
                <w:color w:val="000000"/>
                <w:sz w:val="24"/>
              </w:rPr>
            </w:r>
            <w:r/>
          </w:p>
        </w:tc>
        <w:tc>
          <w:tcPr>
            <w:tcW w:w="2552" w:type="dxa"/>
            <w:vAlign w:val="center"/>
            <w:textDirection w:val="lrTb"/>
            <w:noWrap w:val="false"/>
          </w:tcPr>
          <w:p>
            <w:pPr>
              <w:pStyle w:val="895"/>
              <w:spacing w:line="480" w:lineRule="exact"/>
              <w:rPr>
                <w:rFonts w:hint="eastAsia" w:ascii="宋体" w:hAnsi="宋体" w:cs="宋体"/>
                <w:color w:val="000000"/>
                <w:sz w:val="24"/>
              </w:rPr>
            </w:pPr>
            <w:r>
              <w:rPr>
                <w:rFonts w:hint="eastAsia" w:ascii="宋体" w:hAnsi="宋体" w:cs="宋体"/>
                <w:color w:val="000000"/>
                <w:sz w:val="24"/>
              </w:rPr>
            </w:r>
            <w:r/>
          </w:p>
        </w:tc>
        <w:tc>
          <w:tcPr>
            <w:tcW w:w="2572" w:type="dxa"/>
            <w:vAlign w:val="center"/>
            <w:textDirection w:val="lrTb"/>
            <w:noWrap w:val="false"/>
          </w:tcPr>
          <w:p>
            <w:pPr>
              <w:pStyle w:val="895"/>
              <w:spacing w:line="480" w:lineRule="exact"/>
              <w:rPr>
                <w:rFonts w:hint="eastAsia" w:ascii="宋体" w:hAnsi="宋体" w:cs="宋体"/>
                <w:color w:val="000000"/>
                <w:sz w:val="24"/>
              </w:rPr>
            </w:pPr>
            <w:r>
              <w:rPr>
                <w:rFonts w:hint="eastAsia" w:ascii="宋体" w:hAnsi="宋体" w:cs="宋体"/>
                <w:color w:val="000000"/>
                <w:sz w:val="24"/>
              </w:rPr>
            </w:r>
            <w:r/>
          </w:p>
        </w:tc>
        <w:tc>
          <w:tcPr>
            <w:tcW w:w="1540" w:type="dxa"/>
            <w:vAlign w:val="center"/>
            <w:textDirection w:val="lrTb"/>
            <w:noWrap w:val="false"/>
          </w:tcPr>
          <w:p>
            <w:pPr>
              <w:pStyle w:val="895"/>
              <w:spacing w:line="480" w:lineRule="exact"/>
              <w:rPr>
                <w:rFonts w:hint="eastAsia" w:ascii="宋体" w:hAnsi="宋体" w:cs="宋体"/>
                <w:color w:val="000000"/>
                <w:sz w:val="24"/>
              </w:rPr>
            </w:pPr>
            <w:r>
              <w:rPr>
                <w:rFonts w:hint="eastAsia" w:ascii="宋体" w:hAnsi="宋体" w:cs="宋体"/>
                <w:color w:val="000000"/>
                <w:sz w:val="24"/>
              </w:rPr>
            </w:r>
            <w:r/>
          </w:p>
        </w:tc>
      </w:tr>
      <w:tr>
        <w:trPr/>
        <w:tc>
          <w:tcPr>
            <w:tcW w:w="922" w:type="dxa"/>
            <w:vAlign w:val="center"/>
            <w:textDirection w:val="lrTb"/>
            <w:noWrap w:val="false"/>
          </w:tcPr>
          <w:p>
            <w:pPr>
              <w:pStyle w:val="895"/>
              <w:jc w:val="center"/>
              <w:spacing w:line="480" w:lineRule="exact"/>
              <w:rPr>
                <w:rFonts w:hint="eastAsia" w:ascii="宋体" w:hAnsi="宋体" w:cs="宋体"/>
                <w:color w:val="000000"/>
                <w:sz w:val="24"/>
              </w:rPr>
            </w:pPr>
            <w:r>
              <w:rPr>
                <w:rFonts w:hint="eastAsia" w:ascii="宋体" w:hAnsi="宋体" w:cs="宋体"/>
                <w:color w:val="000000"/>
                <w:sz w:val="24"/>
              </w:rPr>
              <w:t xml:space="preserve">4</w:t>
            </w:r>
            <w:r/>
          </w:p>
        </w:tc>
        <w:tc>
          <w:tcPr>
            <w:tcW w:w="2126"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lang w:val="zh-CN"/>
              </w:rPr>
              <w:t xml:space="preserve">服务承诺</w:t>
            </w:r>
            <w:r>
              <w:rPr>
                <w:rFonts w:hint="eastAsia" w:ascii="宋体" w:hAnsi="宋体" w:cs="宋体"/>
                <w:color w:val="000000"/>
                <w:sz w:val="24"/>
              </w:rPr>
            </w:r>
            <w:r/>
          </w:p>
        </w:tc>
        <w:tc>
          <w:tcPr>
            <w:tcW w:w="2552" w:type="dxa"/>
            <w:vAlign w:val="center"/>
            <w:textDirection w:val="lrTb"/>
            <w:noWrap w:val="false"/>
          </w:tcPr>
          <w:p>
            <w:pPr>
              <w:pStyle w:val="895"/>
              <w:spacing w:line="480" w:lineRule="exact"/>
              <w:rPr>
                <w:rFonts w:hint="eastAsia" w:ascii="宋体" w:hAnsi="宋体" w:cs="宋体"/>
                <w:color w:val="000000"/>
                <w:sz w:val="24"/>
              </w:rPr>
            </w:pPr>
            <w:r>
              <w:rPr>
                <w:rFonts w:hint="eastAsia" w:ascii="宋体" w:hAnsi="宋体" w:cs="宋体"/>
                <w:color w:val="000000"/>
                <w:sz w:val="24"/>
              </w:rPr>
            </w:r>
            <w:r/>
          </w:p>
        </w:tc>
        <w:tc>
          <w:tcPr>
            <w:tcW w:w="2572" w:type="dxa"/>
            <w:vAlign w:val="center"/>
            <w:textDirection w:val="lrTb"/>
            <w:noWrap w:val="false"/>
          </w:tcPr>
          <w:p>
            <w:pPr>
              <w:pStyle w:val="895"/>
              <w:spacing w:line="480" w:lineRule="exact"/>
              <w:rPr>
                <w:rFonts w:hint="eastAsia" w:ascii="宋体" w:hAnsi="宋体" w:cs="宋体"/>
                <w:color w:val="000000"/>
                <w:sz w:val="24"/>
              </w:rPr>
            </w:pPr>
            <w:r>
              <w:rPr>
                <w:rFonts w:hint="eastAsia" w:ascii="宋体" w:hAnsi="宋体" w:cs="宋体"/>
                <w:color w:val="000000"/>
                <w:sz w:val="24"/>
              </w:rPr>
            </w:r>
            <w:r/>
          </w:p>
        </w:tc>
        <w:tc>
          <w:tcPr>
            <w:tcW w:w="1540" w:type="dxa"/>
            <w:vAlign w:val="center"/>
            <w:textDirection w:val="lrTb"/>
            <w:noWrap w:val="false"/>
          </w:tcPr>
          <w:p>
            <w:pPr>
              <w:pStyle w:val="895"/>
              <w:spacing w:line="480" w:lineRule="exact"/>
              <w:rPr>
                <w:rFonts w:hint="eastAsia" w:ascii="宋体" w:hAnsi="宋体" w:cs="宋体"/>
                <w:color w:val="000000"/>
                <w:sz w:val="24"/>
              </w:rPr>
            </w:pPr>
            <w:r>
              <w:rPr>
                <w:rFonts w:hint="eastAsia" w:ascii="宋体" w:hAnsi="宋体" w:cs="宋体"/>
                <w:color w:val="000000"/>
                <w:sz w:val="24"/>
              </w:rPr>
            </w:r>
            <w:r/>
          </w:p>
        </w:tc>
      </w:tr>
      <w:tr>
        <w:trPr/>
        <w:tc>
          <w:tcPr>
            <w:tcW w:w="922" w:type="dxa"/>
            <w:vAlign w:val="center"/>
            <w:textDirection w:val="lrTb"/>
            <w:noWrap w:val="false"/>
          </w:tcPr>
          <w:p>
            <w:pPr>
              <w:pStyle w:val="895"/>
              <w:jc w:val="center"/>
              <w:spacing w:line="480" w:lineRule="exact"/>
              <w:rPr>
                <w:rFonts w:hint="eastAsia" w:ascii="宋体" w:hAnsi="宋体" w:cs="宋体"/>
                <w:color w:val="000000"/>
                <w:sz w:val="24"/>
              </w:rPr>
            </w:pPr>
            <w:r>
              <w:rPr>
                <w:rFonts w:hint="eastAsia" w:ascii="宋体" w:hAnsi="宋体" w:cs="宋体"/>
                <w:color w:val="000000"/>
                <w:sz w:val="24"/>
              </w:rPr>
              <w:t xml:space="preserve">5</w:t>
            </w:r>
            <w:r/>
          </w:p>
        </w:tc>
        <w:tc>
          <w:tcPr>
            <w:tcW w:w="2126"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lang w:val="zh-CN"/>
              </w:rPr>
              <w:t xml:space="preserve">其他商务要求</w:t>
            </w:r>
            <w:r>
              <w:rPr>
                <w:rFonts w:hint="eastAsia" w:ascii="宋体" w:hAnsi="宋体" w:cs="宋体"/>
                <w:color w:val="000000"/>
                <w:sz w:val="24"/>
              </w:rPr>
            </w:r>
            <w:r/>
          </w:p>
        </w:tc>
        <w:tc>
          <w:tcPr>
            <w:tcW w:w="2552" w:type="dxa"/>
            <w:vAlign w:val="center"/>
            <w:textDirection w:val="lrTb"/>
            <w:noWrap w:val="false"/>
          </w:tcPr>
          <w:p>
            <w:pPr>
              <w:pStyle w:val="895"/>
              <w:spacing w:line="480" w:lineRule="exact"/>
              <w:rPr>
                <w:rFonts w:hint="eastAsia" w:ascii="宋体" w:hAnsi="宋体" w:cs="宋体"/>
                <w:color w:val="000000"/>
                <w:sz w:val="24"/>
              </w:rPr>
            </w:pPr>
            <w:r>
              <w:rPr>
                <w:rFonts w:hint="eastAsia" w:ascii="宋体" w:hAnsi="宋体" w:cs="宋体"/>
                <w:color w:val="000000"/>
                <w:sz w:val="24"/>
              </w:rPr>
            </w:r>
            <w:r/>
          </w:p>
        </w:tc>
        <w:tc>
          <w:tcPr>
            <w:tcW w:w="2572" w:type="dxa"/>
            <w:vAlign w:val="center"/>
            <w:textDirection w:val="lrTb"/>
            <w:noWrap w:val="false"/>
          </w:tcPr>
          <w:p>
            <w:pPr>
              <w:pStyle w:val="895"/>
              <w:spacing w:line="480" w:lineRule="exact"/>
              <w:rPr>
                <w:rFonts w:hint="eastAsia" w:ascii="宋体" w:hAnsi="宋体" w:cs="宋体"/>
                <w:color w:val="000000"/>
                <w:sz w:val="24"/>
              </w:rPr>
            </w:pPr>
            <w:r>
              <w:rPr>
                <w:rFonts w:hint="eastAsia" w:ascii="宋体" w:hAnsi="宋体" w:cs="宋体"/>
                <w:color w:val="000000"/>
                <w:sz w:val="24"/>
              </w:rPr>
            </w:r>
            <w:r/>
          </w:p>
        </w:tc>
        <w:tc>
          <w:tcPr>
            <w:tcW w:w="1540" w:type="dxa"/>
            <w:vAlign w:val="center"/>
            <w:textDirection w:val="lrTb"/>
            <w:noWrap w:val="false"/>
          </w:tcPr>
          <w:p>
            <w:pPr>
              <w:pStyle w:val="895"/>
              <w:spacing w:line="480" w:lineRule="exact"/>
              <w:rPr>
                <w:rFonts w:hint="eastAsia" w:ascii="宋体" w:hAnsi="宋体" w:cs="宋体"/>
                <w:color w:val="000000"/>
                <w:sz w:val="24"/>
              </w:rPr>
            </w:pPr>
            <w:r>
              <w:rPr>
                <w:rFonts w:hint="eastAsia" w:ascii="宋体" w:hAnsi="宋体" w:cs="宋体"/>
                <w:color w:val="000000"/>
                <w:sz w:val="24"/>
              </w:rPr>
            </w:r>
            <w:r/>
          </w:p>
        </w:tc>
      </w:tr>
    </w:tbl>
    <w:p>
      <w:pPr>
        <w:pStyle w:val="895"/>
        <w:rPr>
          <w:rFonts w:hint="eastAsia"/>
        </w:rPr>
      </w:pPr>
      <w:r>
        <w:rPr>
          <w:rFonts w:hint="eastAsia"/>
        </w:rPr>
      </w:r>
      <w:r/>
    </w:p>
    <w:p>
      <w:pPr>
        <w:pStyle w:val="895"/>
        <w:spacing w:line="400" w:lineRule="exact"/>
        <w:rPr>
          <w:rFonts w:hint="eastAsia" w:ascii="宋体" w:hAnsi="宋体" w:cs="宋体"/>
          <w:color w:val="000000"/>
          <w:sz w:val="24"/>
          <w:lang w:val="zh-CN"/>
        </w:rPr>
      </w:pPr>
      <w:r/>
      <w:bookmarkStart w:id="115" w:name="_Hlk227940460"/>
      <w:r>
        <w:rPr>
          <w:rFonts w:hint="eastAsia" w:ascii="宋体" w:hAnsi="宋体" w:cs="宋体"/>
          <w:color w:val="000000"/>
          <w:sz w:val="24"/>
        </w:rPr>
        <w:t xml:space="preserve">注：1.投标人的投标文件（除技术规格部分）与招标文件规定的有偏离的，应在此表中说明。未在上表中说明的，将被认为完全响应招标文件的规定。</w:t>
      </w:r>
      <w:r>
        <w:rPr>
          <w:rFonts w:hint="eastAsia" w:ascii="宋体" w:hAnsi="宋体" w:cs="宋体"/>
          <w:color w:val="000000"/>
          <w:sz w:val="24"/>
          <w:lang w:val="zh-CN"/>
        </w:rPr>
      </w:r>
      <w:r/>
    </w:p>
    <w:p>
      <w:pPr>
        <w:pStyle w:val="895"/>
        <w:ind w:firstLine="420"/>
        <w:jc w:val="left"/>
        <w:spacing w:line="400" w:lineRule="exact"/>
        <w:rPr>
          <w:rFonts w:hint="eastAsia" w:ascii="宋体" w:hAnsi="宋体" w:cs="宋体"/>
          <w:color w:val="000000"/>
          <w:sz w:val="24"/>
        </w:rPr>
      </w:pPr>
      <w:r>
        <w:rPr>
          <w:rFonts w:hint="eastAsia" w:ascii="宋体" w:hAnsi="宋体" w:cs="宋体"/>
          <w:color w:val="000000"/>
          <w:sz w:val="24"/>
        </w:rPr>
        <w:t xml:space="preserve">2.若事项较多，投标人可根据投标内容的实际情况另纸说明。</w:t>
      </w:r>
      <w:r/>
    </w:p>
    <w:p>
      <w:pPr>
        <w:pStyle w:val="895"/>
        <w:ind w:firstLine="420"/>
        <w:jc w:val="left"/>
        <w:spacing w:line="400" w:lineRule="exact"/>
        <w:rPr>
          <w:rFonts w:hint="eastAsia" w:ascii="宋体" w:hAnsi="宋体" w:cs="宋体"/>
          <w:color w:val="000000"/>
          <w:sz w:val="24"/>
        </w:rPr>
      </w:pPr>
      <w:r>
        <w:rPr>
          <w:rFonts w:hint="eastAsia" w:ascii="宋体" w:hAnsi="宋体" w:cs="宋体"/>
          <w:color w:val="000000"/>
          <w:sz w:val="24"/>
        </w:rPr>
      </w:r>
      <w:r/>
    </w:p>
    <w:p>
      <w:pPr>
        <w:pStyle w:val="950"/>
        <w:spacing w:line="360" w:lineRule="auto"/>
        <w:rPr>
          <w:rFonts w:hAnsi="宋体" w:eastAsia="宋体"/>
          <w:sz w:val="24"/>
        </w:rPr>
      </w:pPr>
      <w:r/>
      <w:bookmarkStart w:id="116" w:name="OLE_LINK158"/>
      <w:r/>
      <w:bookmarkStart w:id="117" w:name="OLE_LINK159"/>
      <w:r>
        <w:rPr>
          <w:rFonts w:hAnsi="宋体" w:eastAsia="宋体"/>
          <w:sz w:val="24"/>
        </w:rPr>
        <w:t xml:space="preserve">投标</w:t>
      </w:r>
      <w:r>
        <w:rPr>
          <w:rFonts w:hint="eastAsia" w:hAnsi="宋体" w:eastAsia="宋体"/>
          <w:sz w:val="24"/>
        </w:rPr>
        <w:t xml:space="preserve">单位</w:t>
      </w:r>
      <w:r>
        <w:rPr>
          <w:rFonts w:hAnsi="宋体" w:eastAsia="宋体"/>
          <w:sz w:val="24"/>
        </w:rPr>
        <w:t xml:space="preserve">：（</w:t>
      </w:r>
      <w:r>
        <w:rPr>
          <w:rFonts w:hint="eastAsia" w:hAnsi="宋体" w:eastAsia="宋体"/>
          <w:sz w:val="24"/>
        </w:rPr>
        <w:t xml:space="preserve">盖</w:t>
      </w:r>
      <w:r>
        <w:rPr>
          <w:rFonts w:hint="eastAsia" w:hAnsi="宋体" w:eastAsia="宋体"/>
          <w:sz w:val="24"/>
          <w:szCs w:val="24"/>
        </w:rPr>
        <w:t xml:space="preserve">章</w:t>
      </w:r>
      <w:r>
        <w:rPr>
          <w:rFonts w:hAnsi="宋体" w:eastAsia="宋体"/>
          <w:sz w:val="24"/>
        </w:rPr>
        <w:t xml:space="preserve">）</w:t>
      </w:r>
      <w:r/>
    </w:p>
    <w:p>
      <w:pPr>
        <w:pStyle w:val="950"/>
        <w:spacing w:line="360" w:lineRule="auto"/>
        <w:rPr>
          <w:rFonts w:hAnsi="宋体" w:eastAsia="宋体"/>
          <w:sz w:val="24"/>
        </w:rPr>
      </w:pPr>
      <w:r>
        <w:rPr>
          <w:rFonts w:hAnsi="宋体" w:eastAsia="宋体"/>
          <w:sz w:val="24"/>
        </w:rPr>
        <w:t xml:space="preserve">法定代表人或被授权人：（签字</w:t>
      </w:r>
      <w:r>
        <w:rPr>
          <w:rFonts w:hint="eastAsia" w:hAnsi="宋体" w:eastAsia="宋体"/>
          <w:sz w:val="24"/>
        </w:rPr>
        <w:t xml:space="preserve">或签章</w:t>
      </w:r>
      <w:r>
        <w:rPr>
          <w:rFonts w:hAnsi="宋体" w:eastAsia="宋体"/>
          <w:sz w:val="24"/>
        </w:rPr>
        <w:t xml:space="preserve">）</w:t>
      </w:r>
      <w:r/>
    </w:p>
    <w:p>
      <w:pPr>
        <w:pStyle w:val="950"/>
        <w:spacing w:line="360" w:lineRule="auto"/>
        <w:rPr>
          <w:rFonts w:hAnsi="宋体" w:eastAsia="宋体"/>
          <w:sz w:val="24"/>
        </w:rPr>
      </w:pPr>
      <w:r>
        <w:rPr>
          <w:rFonts w:hAnsi="宋体" w:eastAsia="宋体"/>
          <w:sz w:val="24"/>
        </w:rPr>
        <w:t xml:space="preserve">日期：   年   月  日</w:t>
      </w:r>
      <w:r/>
    </w:p>
    <w:p>
      <w:pPr>
        <w:pStyle w:val="895"/>
        <w:jc w:val="left"/>
        <w:spacing w:line="400" w:lineRule="exact"/>
        <w:rPr>
          <w:rFonts w:hint="eastAsia" w:ascii="宋体" w:hAnsi="宋体"/>
          <w:b/>
          <w:sz w:val="32"/>
          <w:szCs w:val="32"/>
        </w:rPr>
      </w:pPr>
      <w:r/>
      <w:bookmarkEnd w:id="116"/>
      <w:r/>
      <w:bookmarkEnd w:id="117"/>
      <w:r>
        <w:rPr>
          <w:rFonts w:ascii="宋体" w:hAnsi="宋体" w:cs="宋体"/>
          <w:color w:val="000000"/>
          <w:sz w:val="24"/>
        </w:rPr>
        <w:br w:type="page" w:clear="all"/>
      </w:r>
      <w:bookmarkEnd w:id="115"/>
      <w:r/>
      <w:bookmarkStart w:id="118" w:name="_Ref62136798"/>
      <w:r>
        <w:rPr>
          <w:rFonts w:hint="eastAsia" w:ascii="宋体" w:hAnsi="宋体"/>
          <w:b/>
          <w:sz w:val="32"/>
          <w:szCs w:val="32"/>
        </w:rPr>
        <w:t xml:space="preserve">6、</w:t>
      </w:r>
      <w:bookmarkEnd w:id="114"/>
      <w:r/>
      <w:bookmarkEnd w:id="118"/>
      <w:r/>
      <w:bookmarkStart w:id="119" w:name="OLE_LINK170"/>
      <w:r/>
      <w:bookmarkStart w:id="120" w:name="OLE_LINK169"/>
      <w:r>
        <w:rPr>
          <w:rFonts w:hint="eastAsia" w:ascii="宋体" w:hAnsi="宋体"/>
          <w:b/>
          <w:sz w:val="32"/>
          <w:szCs w:val="32"/>
        </w:rPr>
        <w:t xml:space="preserve">从事环境检测的相关业务汇总表</w:t>
      </w:r>
      <w:bookmarkEnd w:id="119"/>
      <w:r/>
      <w:bookmarkEnd w:id="120"/>
      <w:r>
        <w:rPr>
          <w:rFonts w:hint="eastAsia" w:ascii="宋体" w:hAnsi="宋体"/>
          <w:b/>
          <w:sz w:val="32"/>
          <w:szCs w:val="32"/>
        </w:rPr>
      </w:r>
      <w:r/>
    </w:p>
    <w:p>
      <w:pPr>
        <w:pStyle w:val="895"/>
        <w:jc w:val="left"/>
        <w:spacing w:line="400" w:lineRule="exact"/>
        <w:rPr>
          <w:rFonts w:hint="eastAsia" w:ascii="宋体" w:hAnsi="宋体"/>
          <w:b/>
          <w:sz w:val="24"/>
        </w:rPr>
      </w:pPr>
      <w:r>
        <w:rPr>
          <w:rFonts w:hint="eastAsia" w:ascii="宋体" w:hAnsi="宋体"/>
          <w:b/>
          <w:sz w:val="24"/>
        </w:rPr>
      </w:r>
      <w:r/>
    </w:p>
    <w:p>
      <w:pPr>
        <w:pStyle w:val="895"/>
        <w:jc w:val="center"/>
        <w:rPr>
          <w:rFonts w:hint="eastAsia"/>
          <w:b/>
          <w:sz w:val="28"/>
          <w:szCs w:val="28"/>
        </w:rPr>
      </w:pPr>
      <w:r>
        <w:rPr>
          <w:rFonts w:hint="eastAsia" w:ascii="宋体" w:hAnsi="宋体"/>
          <w:b/>
          <w:sz w:val="28"/>
          <w:szCs w:val="28"/>
        </w:rPr>
        <w:t xml:space="preserve">从事环境检测的相关业务汇总表</w:t>
      </w:r>
      <w:r>
        <w:rPr>
          <w:rFonts w:hint="eastAsia"/>
          <w:b/>
          <w:sz w:val="28"/>
          <w:szCs w:val="28"/>
        </w:rPr>
      </w:r>
      <w:r/>
    </w:p>
    <w:p>
      <w:pPr>
        <w:pStyle w:val="895"/>
        <w:jc w:val="left"/>
        <w:spacing w:line="360" w:lineRule="auto"/>
        <w:rPr>
          <w:rFonts w:hint="eastAsia" w:ascii="宋体" w:hAnsi="宋体"/>
          <w:sz w:val="24"/>
        </w:rPr>
      </w:pPr>
      <w:r>
        <w:rPr>
          <w:rFonts w:hint="eastAsia" w:ascii="宋体" w:hAnsi="宋体"/>
          <w:sz w:val="24"/>
        </w:rPr>
        <w:t xml:space="preserve">项目编号：</w:t>
      </w:r>
      <w:r/>
    </w:p>
    <w:tbl>
      <w:tblPr>
        <w:tblW w:w="9408" w:type="dxa"/>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992"/>
        <w:gridCol w:w="992"/>
        <w:gridCol w:w="993"/>
        <w:gridCol w:w="1523"/>
        <w:gridCol w:w="1118"/>
        <w:gridCol w:w="1895"/>
        <w:gridCol w:w="708"/>
      </w:tblGrid>
      <w:tr>
        <w:trPr>
          <w:trHeight w:val="642"/>
        </w:trPr>
        <w:tc>
          <w:tcPr>
            <w:tcW w:w="1187"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t xml:space="preserve">年度</w:t>
            </w:r>
            <w:r/>
          </w:p>
        </w:tc>
        <w:tc>
          <w:tcPr>
            <w:tcW w:w="992"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t xml:space="preserve">委托方名称</w:t>
            </w:r>
            <w:r/>
          </w:p>
        </w:tc>
        <w:tc>
          <w:tcPr>
            <w:tcW w:w="992"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t xml:space="preserve">项目名称</w:t>
            </w:r>
            <w:r/>
          </w:p>
        </w:tc>
        <w:tc>
          <w:tcPr>
            <w:tcW w:w="993"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t xml:space="preserve">类别</w:t>
            </w:r>
            <w:r/>
          </w:p>
        </w:tc>
        <w:tc>
          <w:tcPr>
            <w:tcW w:w="1523"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t xml:space="preserve">检测参数/项目参数</w:t>
            </w:r>
            <w:r/>
          </w:p>
        </w:tc>
        <w:tc>
          <w:tcPr>
            <w:tcW w:w="1118"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t xml:space="preserve">检测性质</w:t>
            </w:r>
            <w:r/>
          </w:p>
        </w:tc>
        <w:tc>
          <w:tcPr>
            <w:tcW w:w="1895"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t xml:space="preserve">项目金额（万元）</w:t>
            </w:r>
            <w:r>
              <w:rPr>
                <w:rFonts w:hint="eastAsia" w:ascii="宋体" w:hAnsi="宋体" w:cs="宋体"/>
                <w:color w:val="000000"/>
                <w:sz w:val="24"/>
              </w:rPr>
              <w:br w:type="textWrapping" w:clear="all"/>
            </w:r>
            <w:r>
              <w:rPr>
                <w:rFonts w:hint="eastAsia" w:ascii="宋体" w:hAnsi="宋体" w:cs="宋体"/>
                <w:color w:val="000000"/>
                <w:sz w:val="24"/>
              </w:rPr>
              <w:t xml:space="preserve">（以合同金额为准）</w:t>
            </w:r>
            <w:r/>
          </w:p>
        </w:tc>
        <w:tc>
          <w:tcPr>
            <w:tcW w:w="708"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t xml:space="preserve">备注</w:t>
            </w:r>
            <w:r/>
          </w:p>
        </w:tc>
      </w:tr>
      <w:tr>
        <w:trPr>
          <w:trHeight w:val="1298"/>
        </w:trPr>
        <w:tc>
          <w:tcPr>
            <w:tcW w:w="1187"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t xml:space="preserve">20</w:t>
            </w:r>
            <w:r>
              <w:rPr>
                <w:rFonts w:hint="eastAsia" w:ascii="宋体" w:hAnsi="宋体" w:cs="宋体"/>
                <w:color w:val="000000"/>
                <w:sz w:val="24"/>
                <w:u w:val="single"/>
              </w:rPr>
              <w:t xml:space="preserve">   </w:t>
            </w:r>
            <w:r>
              <w:rPr>
                <w:rFonts w:hint="eastAsia" w:ascii="宋体" w:hAnsi="宋体" w:cs="宋体"/>
                <w:color w:val="000000"/>
                <w:sz w:val="24"/>
              </w:rPr>
              <w:t xml:space="preserve">年</w:t>
            </w:r>
            <w:r/>
          </w:p>
        </w:tc>
        <w:tc>
          <w:tcPr>
            <w:tcW w:w="992"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992"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993"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1523"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1118"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1895"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708"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r>
      <w:tr>
        <w:trPr>
          <w:trHeight w:val="1298"/>
        </w:trPr>
        <w:tc>
          <w:tcPr>
            <w:tcW w:w="1187"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t xml:space="preserve">20</w:t>
            </w:r>
            <w:r>
              <w:rPr>
                <w:rFonts w:hint="eastAsia" w:ascii="宋体" w:hAnsi="宋体" w:cs="宋体"/>
                <w:color w:val="000000"/>
                <w:sz w:val="24"/>
                <w:u w:val="single"/>
              </w:rPr>
              <w:t xml:space="preserve">  </w:t>
            </w:r>
            <w:r>
              <w:rPr>
                <w:rFonts w:hint="eastAsia" w:ascii="宋体" w:hAnsi="宋体" w:cs="宋体"/>
                <w:color w:val="000000"/>
                <w:sz w:val="24"/>
              </w:rPr>
              <w:t xml:space="preserve">年</w:t>
            </w:r>
            <w:r/>
          </w:p>
        </w:tc>
        <w:tc>
          <w:tcPr>
            <w:tcW w:w="992"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992"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993"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1523"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1118"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1895"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708"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r>
      <w:tr>
        <w:trPr>
          <w:trHeight w:val="1298"/>
        </w:trPr>
        <w:tc>
          <w:tcPr>
            <w:tcW w:w="1187"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t xml:space="preserve">20</w:t>
            </w:r>
            <w:r>
              <w:rPr>
                <w:rFonts w:hint="eastAsia" w:ascii="宋体" w:hAnsi="宋体" w:cs="宋体"/>
                <w:color w:val="000000"/>
                <w:sz w:val="24"/>
                <w:u w:val="single"/>
              </w:rPr>
              <w:t xml:space="preserve">   </w:t>
            </w:r>
            <w:r>
              <w:rPr>
                <w:rFonts w:hint="eastAsia" w:ascii="宋体" w:hAnsi="宋体" w:cs="宋体"/>
                <w:color w:val="000000"/>
                <w:sz w:val="24"/>
              </w:rPr>
              <w:t xml:space="preserve">年</w:t>
            </w:r>
            <w:r/>
          </w:p>
        </w:tc>
        <w:tc>
          <w:tcPr>
            <w:tcW w:w="992"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992"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993" w:type="dxa"/>
            <w:vAlign w:val="center"/>
            <w:textDirection w:val="lrTb"/>
            <w:noWrap w:val="false"/>
          </w:tcPr>
          <w:p>
            <w:pPr>
              <w:pStyle w:val="895"/>
              <w:jc w:val="center"/>
            </w:pPr>
            <w:r>
              <w:rPr>
                <w:rFonts w:hint="eastAsia" w:ascii="宋体" w:hAnsi="宋体" w:cs="宋体"/>
                <w:color w:val="000000"/>
                <w:sz w:val="24"/>
              </w:rPr>
            </w:r>
            <w:r/>
          </w:p>
        </w:tc>
        <w:tc>
          <w:tcPr>
            <w:tcW w:w="1523"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1118"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1895"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708"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r>
      <w:tr>
        <w:trPr>
          <w:trHeight w:val="1298"/>
        </w:trPr>
        <w:tc>
          <w:tcPr>
            <w:tcW w:w="1187"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t xml:space="preserve">合计</w:t>
            </w:r>
            <w:r/>
          </w:p>
        </w:tc>
        <w:tc>
          <w:tcPr>
            <w:tcW w:w="992"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992"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993"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1523"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1118"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1895"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c>
          <w:tcPr>
            <w:tcW w:w="708" w:type="dxa"/>
            <w:vAlign w:val="center"/>
            <w:textDirection w:val="lrTb"/>
            <w:noWrap w:val="false"/>
          </w:tcPr>
          <w:p>
            <w:pPr>
              <w:pStyle w:val="895"/>
              <w:jc w:val="center"/>
              <w:rPr>
                <w:rFonts w:hint="eastAsia" w:ascii="宋体" w:hAnsi="宋体" w:cs="宋体"/>
                <w:color w:val="000000"/>
                <w:sz w:val="24"/>
              </w:rPr>
            </w:pPr>
            <w:r>
              <w:rPr>
                <w:rFonts w:hint="eastAsia" w:ascii="宋体" w:hAnsi="宋体" w:cs="宋体"/>
                <w:color w:val="000000"/>
                <w:sz w:val="24"/>
              </w:rPr>
            </w:r>
            <w:r/>
          </w:p>
        </w:tc>
      </w:tr>
    </w:tbl>
    <w:p>
      <w:pPr>
        <w:pStyle w:val="895"/>
        <w:spacing w:line="360" w:lineRule="auto"/>
        <w:rPr>
          <w:rFonts w:hint="eastAsia" w:ascii="宋体" w:hAnsi="宋体"/>
          <w:sz w:val="24"/>
        </w:rPr>
      </w:pPr>
      <w:r>
        <w:rPr>
          <w:rFonts w:hint="eastAsia" w:ascii="宋体" w:hAnsi="宋体"/>
          <w:sz w:val="24"/>
        </w:rPr>
      </w:r>
      <w:r/>
    </w:p>
    <w:p>
      <w:pPr>
        <w:pStyle w:val="950"/>
        <w:spacing w:line="360" w:lineRule="auto"/>
        <w:rPr>
          <w:rFonts w:hAnsi="宋体" w:eastAsia="宋体"/>
          <w:sz w:val="24"/>
        </w:rPr>
      </w:pPr>
      <w:r/>
      <w:bookmarkStart w:id="121" w:name="OLE_LINK165"/>
      <w:r/>
      <w:bookmarkStart w:id="122" w:name="OLE_LINK166"/>
      <w:r/>
      <w:bookmarkStart w:id="123" w:name="OLE_LINK9"/>
      <w:r>
        <w:rPr>
          <w:rFonts w:hint="eastAsia" w:hAnsi="宋体" w:eastAsia="宋体"/>
          <w:sz w:val="24"/>
        </w:rPr>
        <w:t xml:space="preserve">投标单位：（盖</w:t>
      </w:r>
      <w:r>
        <w:rPr>
          <w:rFonts w:hint="eastAsia" w:hAnsi="宋体" w:eastAsia="宋体"/>
          <w:sz w:val="24"/>
          <w:szCs w:val="24"/>
        </w:rPr>
        <w:t xml:space="preserve">章</w:t>
      </w:r>
      <w:r>
        <w:rPr>
          <w:rFonts w:hint="eastAsia" w:hAnsi="宋体" w:eastAsia="宋体"/>
          <w:sz w:val="24"/>
        </w:rPr>
        <w:t xml:space="preserve">）</w:t>
      </w:r>
      <w:r>
        <w:rPr>
          <w:rFonts w:hAnsi="宋体" w:eastAsia="宋体"/>
          <w:sz w:val="24"/>
        </w:rPr>
      </w:r>
      <w:r/>
    </w:p>
    <w:p>
      <w:pPr>
        <w:pStyle w:val="950"/>
        <w:spacing w:line="360" w:lineRule="auto"/>
        <w:rPr>
          <w:rFonts w:hint="eastAsia" w:hAnsi="宋体" w:eastAsia="宋体"/>
          <w:sz w:val="24"/>
        </w:rPr>
      </w:pPr>
      <w:r>
        <w:rPr>
          <w:rFonts w:hint="eastAsia" w:hAnsi="宋体" w:eastAsia="宋体"/>
          <w:sz w:val="24"/>
        </w:rPr>
        <w:t xml:space="preserve">法定代表人或被授权人：（签字或签章）</w:t>
      </w:r>
      <w:r/>
    </w:p>
    <w:p>
      <w:pPr>
        <w:pStyle w:val="950"/>
        <w:spacing w:line="360" w:lineRule="auto"/>
        <w:rPr>
          <w:rFonts w:hint="eastAsia" w:hAnsi="宋体" w:eastAsia="宋体"/>
          <w:sz w:val="24"/>
        </w:rPr>
      </w:pPr>
      <w:r>
        <w:rPr>
          <w:rFonts w:hint="eastAsia" w:hAnsi="宋体" w:eastAsia="宋体"/>
          <w:sz w:val="24"/>
        </w:rPr>
        <w:t xml:space="preserve">日期：   年   月  日</w:t>
      </w:r>
      <w:r/>
    </w:p>
    <w:p>
      <w:pPr>
        <w:pStyle w:val="908"/>
        <w:ind w:firstLine="0"/>
        <w:rPr>
          <w:rFonts w:hint="eastAsia" w:ascii="宋体" w:hAnsi="宋体" w:eastAsia="宋体"/>
        </w:rPr>
      </w:pPr>
      <w:r/>
      <w:bookmarkEnd w:id="121"/>
      <w:r/>
      <w:bookmarkEnd w:id="122"/>
      <w:r/>
      <w:bookmarkEnd w:id="123"/>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908"/>
        <w:ind w:firstLine="0"/>
        <w:rPr>
          <w:rFonts w:hint="eastAsia" w:ascii="宋体" w:hAnsi="宋体" w:eastAsia="宋体"/>
        </w:rPr>
      </w:pPr>
      <w:r>
        <w:rPr>
          <w:rFonts w:hint="eastAsia" w:ascii="宋体" w:hAnsi="宋体" w:eastAsia="宋体"/>
        </w:rPr>
      </w:r>
      <w:r/>
    </w:p>
    <w:p>
      <w:pPr>
        <w:pStyle w:val="895"/>
        <w:spacing w:line="360" w:lineRule="auto"/>
        <w:rPr>
          <w:rFonts w:hint="eastAsia"/>
          <w:szCs w:val="21"/>
        </w:rPr>
      </w:pPr>
      <w:r/>
      <w:bookmarkStart w:id="124" w:name="_Ref367200259"/>
      <w:r>
        <w:rPr>
          <w:rFonts w:hint="eastAsia"/>
          <w:szCs w:val="21"/>
        </w:rPr>
      </w:r>
      <w:r/>
    </w:p>
    <w:p>
      <w:pPr>
        <w:pStyle w:val="895"/>
        <w:spacing w:line="400" w:lineRule="exact"/>
        <w:rPr>
          <w:rFonts w:hint="eastAsia" w:ascii="Cambria" w:hAnsi="Cambria"/>
          <w:b/>
          <w:bCs/>
          <w:sz w:val="32"/>
          <w:szCs w:val="32"/>
        </w:rPr>
      </w:pPr>
      <w:r/>
      <w:bookmarkStart w:id="125" w:name="_Ref62136818"/>
      <w:r>
        <w:rPr>
          <w:rFonts w:hint="eastAsia" w:ascii="Cambria" w:hAnsi="Cambria"/>
          <w:b/>
          <w:bCs/>
          <w:sz w:val="32"/>
          <w:szCs w:val="32"/>
        </w:rPr>
      </w:r>
      <w:r/>
    </w:p>
    <w:p>
      <w:pPr>
        <w:pStyle w:val="895"/>
        <w:spacing w:line="400" w:lineRule="exact"/>
        <w:rPr>
          <w:rFonts w:hint="eastAsia" w:ascii="Cambria" w:hAnsi="Cambria"/>
          <w:b/>
          <w:bCs/>
          <w:sz w:val="32"/>
          <w:szCs w:val="32"/>
        </w:rPr>
      </w:pPr>
      <w:r>
        <w:rPr>
          <w:rFonts w:hint="eastAsia" w:ascii="Cambria" w:hAnsi="Cambria"/>
          <w:b/>
          <w:bCs/>
          <w:sz w:val="32"/>
          <w:szCs w:val="32"/>
        </w:rPr>
        <w:t xml:space="preserve">7、盲样考核结果报告</w:t>
      </w:r>
      <w:r/>
    </w:p>
    <w:p>
      <w:pPr>
        <w:pStyle w:val="895"/>
        <w:jc w:val="center"/>
        <w:spacing w:line="400" w:lineRule="exact"/>
        <w:rPr>
          <w:rFonts w:ascii="宋体" w:hAnsi="宋体" w:cs="宋体"/>
          <w:b/>
          <w:bCs/>
          <w:sz w:val="24"/>
        </w:rPr>
      </w:pPr>
      <w:r>
        <w:rPr>
          <w:rFonts w:hint="eastAsia" w:ascii="宋体" w:hAnsi="宋体" w:cs="宋体"/>
          <w:b/>
          <w:bCs/>
          <w:sz w:val="24"/>
        </w:rPr>
        <w:t xml:space="preserve">盲样考核结果报告</w:t>
      </w:r>
      <w:r>
        <w:rPr>
          <w:rFonts w:ascii="宋体" w:hAnsi="宋体" w:cs="宋体"/>
          <w:b/>
          <w:bCs/>
          <w:sz w:val="24"/>
        </w:rPr>
      </w:r>
      <w:r/>
    </w:p>
    <w:p>
      <w:pPr>
        <w:pStyle w:val="895"/>
        <w:spacing w:line="400" w:lineRule="exact"/>
        <w:rPr>
          <w:rFonts w:ascii="宋体" w:hAnsi="宋体" w:cs="宋体"/>
          <w:sz w:val="24"/>
        </w:rPr>
      </w:pPr>
      <w:r>
        <w:rPr>
          <w:rFonts w:hint="eastAsia" w:ascii="宋体" w:hAnsi="宋体" w:cs="宋体"/>
          <w:sz w:val="24"/>
        </w:rPr>
        <w:t xml:space="preserve">投标单位：（公章）                                           </w:t>
      </w:r>
      <w:r>
        <w:rPr>
          <w:rFonts w:ascii="宋体" w:hAnsi="宋体" w:cs="宋体"/>
          <w:sz w:val="24"/>
        </w:rPr>
      </w:r>
      <w:r/>
    </w:p>
    <w:tbl>
      <w:tblPr>
        <w:tblW w:w="9351" w:type="dxa"/>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4"/>
        <w:gridCol w:w="2179"/>
        <w:gridCol w:w="2722"/>
        <w:gridCol w:w="2126"/>
      </w:tblGrid>
      <w:tr>
        <w:trPr>
          <w:trHeight w:val="625"/>
        </w:trPr>
        <w:tc>
          <w:tcPr>
            <w:tcW w:w="2324" w:type="dxa"/>
            <w:vAlign w:val="center"/>
            <w:textDirection w:val="lrTb"/>
            <w:noWrap w:val="false"/>
          </w:tcPr>
          <w:p>
            <w:pPr>
              <w:pStyle w:val="895"/>
              <w:jc w:val="center"/>
              <w:spacing w:line="400" w:lineRule="exact"/>
              <w:rPr>
                <w:rFonts w:ascii="宋体" w:hAnsi="宋体" w:cs="宋体"/>
                <w:sz w:val="24"/>
              </w:rPr>
            </w:pPr>
            <w:r>
              <w:rPr>
                <w:rFonts w:hint="eastAsia" w:ascii="宋体" w:hAnsi="宋体" w:cs="宋体"/>
                <w:sz w:val="24"/>
              </w:rPr>
              <w:t xml:space="preserve">考核内容</w:t>
            </w:r>
            <w:r>
              <w:rPr>
                <w:rFonts w:ascii="宋体" w:hAnsi="宋体" w:cs="宋体"/>
                <w:sz w:val="24"/>
              </w:rPr>
            </w:r>
            <w:r/>
          </w:p>
        </w:tc>
        <w:tc>
          <w:tcPr>
            <w:tcW w:w="2179" w:type="dxa"/>
            <w:vAlign w:val="center"/>
            <w:textDirection w:val="lrTb"/>
            <w:noWrap w:val="false"/>
          </w:tcPr>
          <w:p>
            <w:pPr>
              <w:pStyle w:val="895"/>
              <w:jc w:val="center"/>
              <w:spacing w:line="400" w:lineRule="exact"/>
              <w:rPr>
                <w:rFonts w:ascii="宋体" w:hAnsi="宋体" w:cs="宋体"/>
                <w:sz w:val="24"/>
              </w:rPr>
            </w:pPr>
            <w:r>
              <w:rPr>
                <w:rFonts w:hint="eastAsia" w:ascii="宋体" w:hAnsi="宋体" w:cs="宋体"/>
                <w:sz w:val="24"/>
              </w:rPr>
              <w:t xml:space="preserve">考核项目</w:t>
            </w:r>
            <w:r>
              <w:rPr>
                <w:rFonts w:ascii="宋体" w:hAnsi="宋体" w:cs="宋体"/>
                <w:sz w:val="24"/>
              </w:rPr>
            </w:r>
            <w:r/>
          </w:p>
        </w:tc>
        <w:tc>
          <w:tcPr>
            <w:tcW w:w="2722" w:type="dxa"/>
            <w:vAlign w:val="center"/>
            <w:textDirection w:val="lrTb"/>
            <w:noWrap w:val="false"/>
          </w:tcPr>
          <w:p>
            <w:pPr>
              <w:pStyle w:val="895"/>
              <w:jc w:val="center"/>
              <w:spacing w:line="400" w:lineRule="exact"/>
              <w:rPr>
                <w:rFonts w:ascii="宋体" w:hAnsi="宋体" w:cs="宋体"/>
                <w:sz w:val="24"/>
              </w:rPr>
            </w:pPr>
            <w:r>
              <w:rPr>
                <w:rFonts w:hint="eastAsia" w:ascii="宋体" w:hAnsi="宋体" w:cs="宋体"/>
                <w:sz w:val="24"/>
              </w:rPr>
              <w:t xml:space="preserve">考核值</w:t>
            </w:r>
            <w:r>
              <w:rPr>
                <w:rFonts w:ascii="宋体" w:hAnsi="宋体" w:cs="宋体"/>
                <w:sz w:val="24"/>
              </w:rPr>
            </w:r>
            <w:r/>
          </w:p>
        </w:tc>
        <w:tc>
          <w:tcPr>
            <w:tcW w:w="2126" w:type="dxa"/>
            <w:vAlign w:val="center"/>
            <w:textDirection w:val="lrTb"/>
            <w:noWrap w:val="false"/>
          </w:tcPr>
          <w:p>
            <w:pPr>
              <w:pStyle w:val="895"/>
              <w:jc w:val="center"/>
              <w:spacing w:line="400" w:lineRule="exact"/>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cantSplit/>
          <w:trHeight w:val="397"/>
        </w:trPr>
        <w:tc>
          <w:tcPr>
            <w:tcW w:w="2324" w:type="dxa"/>
            <w:vAlign w:val="center"/>
            <w:vMerge w:val="restart"/>
            <w:textDirection w:val="lrTb"/>
            <w:noWrap w:val="false"/>
          </w:tcPr>
          <w:p>
            <w:pPr>
              <w:pStyle w:val="895"/>
              <w:jc w:val="center"/>
              <w:spacing w:line="400" w:lineRule="exact"/>
              <w:rPr>
                <w:rFonts w:ascii="宋体" w:hAnsi="宋体" w:cs="宋体"/>
                <w:sz w:val="24"/>
              </w:rPr>
            </w:pPr>
            <w:r>
              <w:rPr>
                <w:rFonts w:ascii="宋体" w:hAnsi="宋体" w:cs="宋体"/>
                <w:sz w:val="24"/>
              </w:rPr>
            </w:r>
            <w:r/>
          </w:p>
        </w:tc>
        <w:tc>
          <w:tcPr>
            <w:tcW w:w="2179" w:type="dxa"/>
            <w:vAlign w:val="center"/>
            <w:textDirection w:val="lrTb"/>
            <w:noWrap w:val="false"/>
          </w:tcPr>
          <w:p>
            <w:pPr>
              <w:pStyle w:val="895"/>
              <w:spacing w:line="400" w:lineRule="exact"/>
              <w:rPr>
                <w:rFonts w:ascii="宋体" w:hAnsi="宋体" w:cs="宋体"/>
                <w:sz w:val="24"/>
              </w:rPr>
            </w:pPr>
            <w:r>
              <w:rPr>
                <w:rFonts w:ascii="宋体" w:hAnsi="宋体" w:cs="宋体"/>
                <w:sz w:val="24"/>
              </w:rPr>
            </w:r>
            <w:r/>
          </w:p>
        </w:tc>
        <w:tc>
          <w:tcPr>
            <w:tcW w:w="2722" w:type="dxa"/>
            <w:vAlign w:val="center"/>
            <w:textDirection w:val="lrTb"/>
            <w:noWrap w:val="false"/>
          </w:tcPr>
          <w:p>
            <w:pPr>
              <w:pStyle w:val="895"/>
              <w:spacing w:line="400" w:lineRule="exact"/>
              <w:rPr>
                <w:rFonts w:ascii="宋体" w:hAnsi="宋体" w:cs="宋体"/>
                <w:sz w:val="24"/>
              </w:rPr>
            </w:pPr>
            <w:r>
              <w:rPr>
                <w:rFonts w:ascii="宋体" w:hAnsi="宋体" w:cs="宋体"/>
                <w:sz w:val="24"/>
              </w:rPr>
            </w:r>
            <w:r/>
          </w:p>
        </w:tc>
        <w:tc>
          <w:tcPr>
            <w:tcW w:w="2126" w:type="dxa"/>
            <w:vAlign w:val="center"/>
            <w:textDirection w:val="lrTb"/>
            <w:noWrap w:val="false"/>
          </w:tcPr>
          <w:p>
            <w:pPr>
              <w:pStyle w:val="895"/>
              <w:spacing w:line="400" w:lineRule="exact"/>
              <w:rPr>
                <w:rFonts w:ascii="宋体" w:hAnsi="宋体" w:cs="宋体"/>
                <w:sz w:val="24"/>
              </w:rPr>
            </w:pPr>
            <w:r>
              <w:rPr>
                <w:rFonts w:ascii="宋体" w:hAnsi="宋体" w:cs="宋体"/>
                <w:sz w:val="24"/>
              </w:rPr>
            </w:r>
            <w:r/>
          </w:p>
        </w:tc>
      </w:tr>
      <w:tr>
        <w:trPr>
          <w:cantSplit/>
          <w:trHeight w:val="397"/>
        </w:trPr>
        <w:tc>
          <w:tcPr>
            <w:tcW w:w="2324" w:type="dxa"/>
            <w:vAlign w:val="center"/>
            <w:vMerge w:val="continue"/>
            <w:textDirection w:val="lrTb"/>
            <w:noWrap w:val="false"/>
          </w:tcPr>
          <w:p>
            <w:pPr>
              <w:pStyle w:val="895"/>
              <w:jc w:val="center"/>
              <w:spacing w:line="400" w:lineRule="exact"/>
              <w:rPr>
                <w:rFonts w:ascii="宋体" w:hAnsi="宋体" w:cs="宋体"/>
                <w:sz w:val="24"/>
              </w:rPr>
            </w:pPr>
            <w:r>
              <w:rPr>
                <w:rFonts w:ascii="宋体" w:hAnsi="宋体" w:cs="宋体"/>
                <w:sz w:val="24"/>
              </w:rPr>
            </w:r>
            <w:r/>
          </w:p>
        </w:tc>
        <w:tc>
          <w:tcPr>
            <w:tcW w:w="2179" w:type="dxa"/>
            <w:vAlign w:val="center"/>
            <w:textDirection w:val="lrTb"/>
            <w:noWrap w:val="false"/>
          </w:tcPr>
          <w:p>
            <w:pPr>
              <w:pStyle w:val="895"/>
              <w:spacing w:line="400" w:lineRule="exact"/>
              <w:rPr>
                <w:rFonts w:ascii="宋体" w:hAnsi="宋体" w:cs="宋体"/>
                <w:sz w:val="24"/>
              </w:rPr>
            </w:pPr>
            <w:r>
              <w:rPr>
                <w:rFonts w:ascii="宋体" w:hAnsi="宋体" w:cs="宋体"/>
                <w:sz w:val="24"/>
              </w:rPr>
            </w:r>
            <w:r/>
          </w:p>
        </w:tc>
        <w:tc>
          <w:tcPr>
            <w:tcW w:w="2722" w:type="dxa"/>
            <w:vAlign w:val="center"/>
            <w:textDirection w:val="lrTb"/>
            <w:noWrap w:val="false"/>
          </w:tcPr>
          <w:p>
            <w:pPr>
              <w:pStyle w:val="895"/>
              <w:spacing w:line="400" w:lineRule="exact"/>
              <w:rPr>
                <w:rFonts w:ascii="宋体" w:hAnsi="宋体" w:cs="宋体"/>
                <w:sz w:val="24"/>
              </w:rPr>
            </w:pPr>
            <w:r>
              <w:rPr>
                <w:rFonts w:ascii="宋体" w:hAnsi="宋体" w:cs="宋体"/>
                <w:sz w:val="24"/>
              </w:rPr>
            </w:r>
            <w:r/>
          </w:p>
        </w:tc>
        <w:tc>
          <w:tcPr>
            <w:tcW w:w="2126" w:type="dxa"/>
            <w:vAlign w:val="center"/>
            <w:textDirection w:val="lrTb"/>
            <w:noWrap w:val="false"/>
          </w:tcPr>
          <w:p>
            <w:pPr>
              <w:pStyle w:val="895"/>
              <w:spacing w:line="400" w:lineRule="exact"/>
              <w:rPr>
                <w:rFonts w:ascii="宋体" w:hAnsi="宋体" w:cs="宋体"/>
                <w:sz w:val="24"/>
              </w:rPr>
            </w:pPr>
            <w:r>
              <w:rPr>
                <w:rFonts w:ascii="宋体" w:hAnsi="宋体" w:cs="宋体"/>
                <w:sz w:val="24"/>
              </w:rPr>
            </w:r>
            <w:r/>
          </w:p>
        </w:tc>
      </w:tr>
      <w:tr>
        <w:trPr>
          <w:cantSplit/>
          <w:trHeight w:val="397"/>
        </w:trPr>
        <w:tc>
          <w:tcPr>
            <w:tcW w:w="2324" w:type="dxa"/>
            <w:vAlign w:val="center"/>
            <w:vMerge w:val="continue"/>
            <w:textDirection w:val="lrTb"/>
            <w:noWrap w:val="false"/>
          </w:tcPr>
          <w:p>
            <w:pPr>
              <w:pStyle w:val="895"/>
              <w:jc w:val="center"/>
              <w:spacing w:line="400" w:lineRule="exact"/>
              <w:rPr>
                <w:rFonts w:ascii="宋体" w:hAnsi="宋体" w:cs="宋体"/>
                <w:sz w:val="24"/>
              </w:rPr>
            </w:pPr>
            <w:r>
              <w:rPr>
                <w:rFonts w:ascii="宋体" w:hAnsi="宋体" w:cs="宋体"/>
                <w:sz w:val="24"/>
              </w:rPr>
            </w:r>
            <w:r/>
          </w:p>
        </w:tc>
        <w:tc>
          <w:tcPr>
            <w:tcW w:w="2179" w:type="dxa"/>
            <w:vAlign w:val="center"/>
            <w:textDirection w:val="lrTb"/>
            <w:noWrap w:val="false"/>
          </w:tcPr>
          <w:p>
            <w:pPr>
              <w:pStyle w:val="895"/>
              <w:spacing w:line="400" w:lineRule="exact"/>
              <w:rPr>
                <w:rFonts w:ascii="宋体" w:hAnsi="宋体" w:cs="宋体"/>
                <w:sz w:val="24"/>
              </w:rPr>
            </w:pPr>
            <w:r>
              <w:rPr>
                <w:rFonts w:ascii="宋体" w:hAnsi="宋体" w:cs="宋体"/>
                <w:sz w:val="24"/>
              </w:rPr>
            </w:r>
            <w:r/>
          </w:p>
        </w:tc>
        <w:tc>
          <w:tcPr>
            <w:tcW w:w="2722" w:type="dxa"/>
            <w:vAlign w:val="center"/>
            <w:textDirection w:val="lrTb"/>
            <w:noWrap w:val="false"/>
          </w:tcPr>
          <w:p>
            <w:pPr>
              <w:pStyle w:val="895"/>
              <w:spacing w:line="400" w:lineRule="exact"/>
              <w:rPr>
                <w:rFonts w:ascii="宋体" w:hAnsi="宋体" w:cs="宋体"/>
                <w:sz w:val="24"/>
              </w:rPr>
            </w:pPr>
            <w:r>
              <w:rPr>
                <w:rFonts w:ascii="宋体" w:hAnsi="宋体" w:cs="宋体"/>
                <w:sz w:val="24"/>
              </w:rPr>
            </w:r>
            <w:r/>
          </w:p>
        </w:tc>
        <w:tc>
          <w:tcPr>
            <w:tcW w:w="2126" w:type="dxa"/>
            <w:vAlign w:val="center"/>
            <w:textDirection w:val="lrTb"/>
            <w:noWrap w:val="false"/>
          </w:tcPr>
          <w:p>
            <w:pPr>
              <w:pStyle w:val="895"/>
              <w:spacing w:line="400" w:lineRule="exact"/>
              <w:rPr>
                <w:rFonts w:ascii="宋体" w:hAnsi="宋体" w:cs="宋体"/>
                <w:sz w:val="24"/>
              </w:rPr>
            </w:pPr>
            <w:r>
              <w:rPr>
                <w:rFonts w:ascii="宋体" w:hAnsi="宋体" w:cs="宋体"/>
                <w:sz w:val="24"/>
              </w:rPr>
            </w:r>
            <w:r/>
          </w:p>
        </w:tc>
      </w:tr>
      <w:tr>
        <w:trPr>
          <w:cantSplit/>
          <w:trHeight w:val="397"/>
        </w:trPr>
        <w:tc>
          <w:tcPr>
            <w:tcW w:w="2324" w:type="dxa"/>
            <w:vAlign w:val="center"/>
            <w:vMerge w:val="continue"/>
            <w:textDirection w:val="lrTb"/>
            <w:noWrap w:val="false"/>
          </w:tcPr>
          <w:p>
            <w:pPr>
              <w:pStyle w:val="895"/>
              <w:jc w:val="center"/>
              <w:spacing w:line="400" w:lineRule="exact"/>
              <w:rPr>
                <w:rFonts w:ascii="宋体" w:hAnsi="宋体" w:cs="宋体"/>
                <w:sz w:val="24"/>
              </w:rPr>
            </w:pPr>
            <w:r>
              <w:rPr>
                <w:rFonts w:ascii="宋体" w:hAnsi="宋体" w:cs="宋体"/>
                <w:sz w:val="24"/>
              </w:rPr>
            </w:r>
            <w:r/>
          </w:p>
        </w:tc>
        <w:tc>
          <w:tcPr>
            <w:tcW w:w="2179" w:type="dxa"/>
            <w:vAlign w:val="center"/>
            <w:textDirection w:val="lrTb"/>
            <w:noWrap w:val="false"/>
          </w:tcPr>
          <w:p>
            <w:pPr>
              <w:pStyle w:val="895"/>
              <w:jc w:val="center"/>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r>
            <w:r/>
          </w:p>
        </w:tc>
        <w:tc>
          <w:tcPr>
            <w:tcW w:w="2722" w:type="dxa"/>
            <w:vAlign w:val="center"/>
            <w:textDirection w:val="lrTb"/>
            <w:noWrap w:val="false"/>
          </w:tcPr>
          <w:p>
            <w:pPr>
              <w:pStyle w:val="895"/>
              <w:jc w:val="center"/>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r>
            <w:r/>
          </w:p>
        </w:tc>
        <w:tc>
          <w:tcPr>
            <w:tcW w:w="2126" w:type="dxa"/>
            <w:vAlign w:val="center"/>
            <w:textDirection w:val="lrTb"/>
            <w:noWrap w:val="false"/>
          </w:tcPr>
          <w:p>
            <w:pPr>
              <w:pStyle w:val="895"/>
              <w:jc w:val="center"/>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r>
            <w:r/>
          </w:p>
        </w:tc>
      </w:tr>
      <w:tr>
        <w:trPr>
          <w:cantSplit/>
          <w:trHeight w:val="397"/>
        </w:trPr>
        <w:tc>
          <w:tcPr>
            <w:tcW w:w="2324" w:type="dxa"/>
            <w:vAlign w:val="center"/>
            <w:vMerge w:val="restart"/>
            <w:textDirection w:val="lrTb"/>
            <w:noWrap w:val="false"/>
          </w:tcPr>
          <w:p>
            <w:pPr>
              <w:pStyle w:val="895"/>
              <w:jc w:val="center"/>
              <w:spacing w:line="400" w:lineRule="exact"/>
              <w:rPr>
                <w:rFonts w:ascii="宋体" w:hAnsi="宋体" w:cs="宋体"/>
                <w:sz w:val="24"/>
              </w:rPr>
            </w:pPr>
            <w:r>
              <w:rPr>
                <w:rFonts w:ascii="宋体" w:hAnsi="宋体" w:cs="宋体"/>
                <w:sz w:val="24"/>
              </w:rPr>
            </w:r>
            <w:r/>
          </w:p>
        </w:tc>
        <w:tc>
          <w:tcPr>
            <w:tcW w:w="2179" w:type="dxa"/>
            <w:vAlign w:val="center"/>
            <w:textDirection w:val="lrTb"/>
            <w:noWrap w:val="false"/>
          </w:tcPr>
          <w:p>
            <w:pPr>
              <w:pStyle w:val="895"/>
              <w:spacing w:line="400" w:lineRule="exact"/>
              <w:rPr>
                <w:rFonts w:ascii="宋体" w:hAnsi="宋体" w:cs="宋体"/>
                <w:sz w:val="24"/>
              </w:rPr>
            </w:pPr>
            <w:r>
              <w:rPr>
                <w:rFonts w:ascii="宋体" w:hAnsi="宋体" w:cs="宋体"/>
                <w:sz w:val="24"/>
              </w:rPr>
            </w:r>
            <w:r/>
          </w:p>
        </w:tc>
        <w:tc>
          <w:tcPr>
            <w:tcW w:w="2722" w:type="dxa"/>
            <w:vAlign w:val="center"/>
            <w:textDirection w:val="lrTb"/>
            <w:noWrap w:val="false"/>
          </w:tcPr>
          <w:p>
            <w:pPr>
              <w:pStyle w:val="895"/>
              <w:jc w:val="center"/>
              <w:spacing w:line="400" w:lineRule="exact"/>
              <w:rPr>
                <w:rFonts w:ascii="宋体" w:hAnsi="宋体" w:cs="宋体"/>
                <w:sz w:val="24"/>
              </w:rPr>
            </w:pPr>
            <w:r>
              <w:rPr>
                <w:rFonts w:ascii="宋体" w:hAnsi="宋体" w:cs="宋体"/>
                <w:sz w:val="24"/>
              </w:rPr>
            </w:r>
            <w:r/>
          </w:p>
        </w:tc>
        <w:tc>
          <w:tcPr>
            <w:tcW w:w="2126" w:type="dxa"/>
            <w:vAlign w:val="center"/>
            <w:textDirection w:val="lrTb"/>
            <w:noWrap w:val="false"/>
          </w:tcPr>
          <w:p>
            <w:pPr>
              <w:pStyle w:val="895"/>
              <w:jc w:val="center"/>
              <w:spacing w:line="400" w:lineRule="exact"/>
              <w:rPr>
                <w:rFonts w:ascii="宋体" w:hAnsi="宋体" w:cs="宋体"/>
                <w:sz w:val="24"/>
              </w:rPr>
            </w:pPr>
            <w:r>
              <w:rPr>
                <w:rFonts w:ascii="宋体" w:hAnsi="宋体" w:cs="宋体"/>
                <w:sz w:val="24"/>
              </w:rPr>
            </w:r>
            <w:r/>
          </w:p>
        </w:tc>
      </w:tr>
      <w:tr>
        <w:trPr>
          <w:cantSplit/>
          <w:trHeight w:val="397"/>
        </w:trPr>
        <w:tc>
          <w:tcPr>
            <w:tcW w:w="2324" w:type="dxa"/>
            <w:vAlign w:val="center"/>
            <w:vMerge w:val="continue"/>
            <w:textDirection w:val="lrTb"/>
            <w:noWrap w:val="false"/>
          </w:tcPr>
          <w:p>
            <w:pPr>
              <w:pStyle w:val="895"/>
              <w:jc w:val="center"/>
              <w:spacing w:line="400" w:lineRule="exact"/>
              <w:rPr>
                <w:rFonts w:ascii="宋体" w:hAnsi="宋体" w:cs="宋体"/>
                <w:sz w:val="24"/>
              </w:rPr>
            </w:pPr>
            <w:r>
              <w:rPr>
                <w:rFonts w:ascii="宋体" w:hAnsi="宋体" w:cs="宋体"/>
                <w:sz w:val="24"/>
              </w:rPr>
            </w:r>
            <w:r/>
          </w:p>
        </w:tc>
        <w:tc>
          <w:tcPr>
            <w:tcW w:w="2179" w:type="dxa"/>
            <w:vAlign w:val="center"/>
            <w:textDirection w:val="lrTb"/>
            <w:noWrap w:val="false"/>
          </w:tcPr>
          <w:p>
            <w:pPr>
              <w:pStyle w:val="895"/>
              <w:spacing w:line="400" w:lineRule="exact"/>
              <w:rPr>
                <w:rFonts w:ascii="宋体" w:hAnsi="宋体" w:cs="宋体"/>
                <w:sz w:val="24"/>
              </w:rPr>
            </w:pPr>
            <w:r>
              <w:rPr>
                <w:rFonts w:ascii="宋体" w:hAnsi="宋体" w:cs="宋体"/>
                <w:sz w:val="24"/>
              </w:rPr>
            </w:r>
            <w:r/>
          </w:p>
        </w:tc>
        <w:tc>
          <w:tcPr>
            <w:tcW w:w="2722" w:type="dxa"/>
            <w:vAlign w:val="center"/>
            <w:textDirection w:val="lrTb"/>
            <w:noWrap w:val="false"/>
          </w:tcPr>
          <w:p>
            <w:pPr>
              <w:pStyle w:val="895"/>
              <w:jc w:val="center"/>
              <w:spacing w:line="400" w:lineRule="exact"/>
              <w:rPr>
                <w:rFonts w:ascii="宋体" w:hAnsi="宋体" w:cs="宋体"/>
                <w:sz w:val="24"/>
              </w:rPr>
            </w:pPr>
            <w:r>
              <w:rPr>
                <w:rFonts w:ascii="宋体" w:hAnsi="宋体" w:cs="宋体"/>
                <w:sz w:val="24"/>
              </w:rPr>
            </w:r>
            <w:r/>
          </w:p>
        </w:tc>
        <w:tc>
          <w:tcPr>
            <w:tcW w:w="2126" w:type="dxa"/>
            <w:vAlign w:val="center"/>
            <w:textDirection w:val="lrTb"/>
            <w:noWrap w:val="false"/>
          </w:tcPr>
          <w:p>
            <w:pPr>
              <w:pStyle w:val="895"/>
              <w:jc w:val="center"/>
              <w:spacing w:line="400" w:lineRule="exact"/>
              <w:rPr>
                <w:rFonts w:ascii="宋体" w:hAnsi="宋体" w:cs="宋体"/>
                <w:sz w:val="24"/>
              </w:rPr>
            </w:pPr>
            <w:r>
              <w:rPr>
                <w:rFonts w:ascii="宋体" w:hAnsi="宋体" w:cs="宋体"/>
                <w:sz w:val="24"/>
              </w:rPr>
            </w:r>
            <w:r/>
          </w:p>
        </w:tc>
      </w:tr>
      <w:tr>
        <w:trPr>
          <w:cantSplit/>
          <w:trHeight w:val="397"/>
        </w:trPr>
        <w:tc>
          <w:tcPr>
            <w:tcW w:w="2324" w:type="dxa"/>
            <w:vAlign w:val="center"/>
            <w:vMerge w:val="continue"/>
            <w:textDirection w:val="lrTb"/>
            <w:noWrap w:val="false"/>
          </w:tcPr>
          <w:p>
            <w:pPr>
              <w:pStyle w:val="895"/>
              <w:jc w:val="center"/>
              <w:spacing w:line="400" w:lineRule="exact"/>
              <w:rPr>
                <w:rFonts w:ascii="宋体" w:hAnsi="宋体" w:cs="宋体"/>
                <w:sz w:val="24"/>
              </w:rPr>
            </w:pPr>
            <w:r>
              <w:rPr>
                <w:rFonts w:ascii="宋体" w:hAnsi="宋体" w:cs="宋体"/>
                <w:sz w:val="24"/>
              </w:rPr>
            </w:r>
            <w:r/>
          </w:p>
        </w:tc>
        <w:tc>
          <w:tcPr>
            <w:tcW w:w="2179" w:type="dxa"/>
            <w:vAlign w:val="center"/>
            <w:textDirection w:val="lrTb"/>
            <w:noWrap w:val="false"/>
          </w:tcPr>
          <w:p>
            <w:pPr>
              <w:pStyle w:val="895"/>
              <w:spacing w:line="400" w:lineRule="exact"/>
              <w:rPr>
                <w:rFonts w:ascii="宋体" w:hAnsi="宋体" w:cs="宋体"/>
                <w:sz w:val="24"/>
              </w:rPr>
            </w:pPr>
            <w:r>
              <w:rPr>
                <w:rFonts w:ascii="宋体" w:hAnsi="宋体" w:cs="宋体"/>
                <w:sz w:val="24"/>
              </w:rPr>
            </w:r>
            <w:r/>
          </w:p>
        </w:tc>
        <w:tc>
          <w:tcPr>
            <w:tcW w:w="2722" w:type="dxa"/>
            <w:vAlign w:val="center"/>
            <w:textDirection w:val="lrTb"/>
            <w:noWrap w:val="false"/>
          </w:tcPr>
          <w:p>
            <w:pPr>
              <w:pStyle w:val="895"/>
              <w:jc w:val="center"/>
              <w:spacing w:line="400" w:lineRule="exact"/>
              <w:rPr>
                <w:rFonts w:ascii="宋体" w:hAnsi="宋体" w:cs="宋体"/>
                <w:sz w:val="24"/>
              </w:rPr>
            </w:pPr>
            <w:r>
              <w:rPr>
                <w:rFonts w:ascii="宋体" w:hAnsi="宋体" w:cs="宋体"/>
                <w:sz w:val="24"/>
              </w:rPr>
            </w:r>
            <w:r/>
          </w:p>
        </w:tc>
        <w:tc>
          <w:tcPr>
            <w:tcW w:w="2126" w:type="dxa"/>
            <w:vAlign w:val="center"/>
            <w:textDirection w:val="lrTb"/>
            <w:noWrap w:val="false"/>
          </w:tcPr>
          <w:p>
            <w:pPr>
              <w:pStyle w:val="895"/>
              <w:jc w:val="center"/>
              <w:spacing w:line="400" w:lineRule="exact"/>
              <w:rPr>
                <w:rFonts w:ascii="宋体" w:hAnsi="宋体" w:cs="宋体"/>
                <w:sz w:val="24"/>
              </w:rPr>
            </w:pPr>
            <w:r>
              <w:rPr>
                <w:rFonts w:ascii="宋体" w:hAnsi="宋体" w:cs="宋体"/>
                <w:sz w:val="24"/>
              </w:rPr>
            </w:r>
            <w:r/>
          </w:p>
        </w:tc>
      </w:tr>
      <w:tr>
        <w:trPr>
          <w:cantSplit/>
          <w:trHeight w:val="405"/>
        </w:trPr>
        <w:tc>
          <w:tcPr>
            <w:tcW w:w="2324" w:type="dxa"/>
            <w:vAlign w:val="center"/>
            <w:vMerge w:val="continue"/>
            <w:textDirection w:val="lrTb"/>
            <w:noWrap w:val="false"/>
          </w:tcPr>
          <w:p>
            <w:pPr>
              <w:pStyle w:val="895"/>
              <w:jc w:val="center"/>
              <w:spacing w:line="400" w:lineRule="exact"/>
              <w:rPr>
                <w:rFonts w:ascii="宋体" w:hAnsi="宋体" w:cs="宋体"/>
                <w:sz w:val="24"/>
              </w:rPr>
            </w:pPr>
            <w:r>
              <w:rPr>
                <w:rFonts w:ascii="宋体" w:hAnsi="宋体" w:cs="宋体"/>
                <w:sz w:val="24"/>
              </w:rPr>
            </w:r>
            <w:r/>
          </w:p>
        </w:tc>
        <w:tc>
          <w:tcPr>
            <w:tcW w:w="2179" w:type="dxa"/>
            <w:vAlign w:val="center"/>
            <w:textDirection w:val="lrTb"/>
            <w:noWrap w:val="false"/>
          </w:tcPr>
          <w:p>
            <w:pPr>
              <w:pStyle w:val="895"/>
              <w:jc w:val="center"/>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r>
            <w:r/>
          </w:p>
        </w:tc>
        <w:tc>
          <w:tcPr>
            <w:tcW w:w="2722" w:type="dxa"/>
            <w:vAlign w:val="center"/>
            <w:textDirection w:val="lrTb"/>
            <w:noWrap w:val="false"/>
          </w:tcPr>
          <w:p>
            <w:pPr>
              <w:pStyle w:val="895"/>
              <w:jc w:val="center"/>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r>
            <w:r/>
          </w:p>
        </w:tc>
        <w:tc>
          <w:tcPr>
            <w:tcW w:w="2126" w:type="dxa"/>
            <w:vAlign w:val="center"/>
            <w:textDirection w:val="lrTb"/>
            <w:noWrap w:val="false"/>
          </w:tcPr>
          <w:p>
            <w:pPr>
              <w:pStyle w:val="895"/>
              <w:jc w:val="center"/>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r>
            <w:r/>
          </w:p>
        </w:tc>
      </w:tr>
      <w:tr>
        <w:trPr>
          <w:cantSplit/>
          <w:trHeight w:val="397"/>
        </w:trPr>
        <w:tc>
          <w:tcPr>
            <w:tcW w:w="2324" w:type="dxa"/>
            <w:vAlign w:val="center"/>
            <w:vMerge w:val="restart"/>
            <w:textDirection w:val="lrTb"/>
            <w:noWrap w:val="false"/>
          </w:tcPr>
          <w:p>
            <w:pPr>
              <w:pStyle w:val="895"/>
              <w:jc w:val="center"/>
              <w:spacing w:line="400" w:lineRule="exact"/>
              <w:rPr>
                <w:rFonts w:ascii="宋体" w:hAnsi="宋体" w:cs="宋体"/>
                <w:sz w:val="24"/>
              </w:rPr>
            </w:pPr>
            <w:r>
              <w:rPr>
                <w:rFonts w:ascii="宋体" w:hAnsi="宋体" w:cs="宋体"/>
                <w:sz w:val="24"/>
              </w:rPr>
            </w:r>
            <w:r/>
          </w:p>
        </w:tc>
        <w:tc>
          <w:tcPr>
            <w:tcW w:w="2179" w:type="dxa"/>
            <w:vAlign w:val="center"/>
            <w:textDirection w:val="lrTb"/>
            <w:noWrap w:val="false"/>
          </w:tcPr>
          <w:p>
            <w:pPr>
              <w:pStyle w:val="895"/>
              <w:spacing w:line="400" w:lineRule="exact"/>
              <w:rPr>
                <w:rFonts w:ascii="宋体" w:hAnsi="宋体" w:cs="宋体"/>
                <w:sz w:val="24"/>
              </w:rPr>
            </w:pPr>
            <w:r>
              <w:rPr>
                <w:rFonts w:ascii="宋体" w:hAnsi="宋体" w:cs="宋体"/>
                <w:sz w:val="24"/>
              </w:rPr>
            </w:r>
            <w:r/>
          </w:p>
        </w:tc>
        <w:tc>
          <w:tcPr>
            <w:tcW w:w="2722" w:type="dxa"/>
            <w:vAlign w:val="center"/>
            <w:textDirection w:val="lrTb"/>
            <w:noWrap w:val="false"/>
          </w:tcPr>
          <w:p>
            <w:pPr>
              <w:pStyle w:val="895"/>
              <w:jc w:val="center"/>
              <w:spacing w:line="400" w:lineRule="exact"/>
              <w:rPr>
                <w:rFonts w:ascii="宋体" w:hAnsi="宋体" w:cs="宋体"/>
                <w:sz w:val="24"/>
              </w:rPr>
            </w:pPr>
            <w:r>
              <w:rPr>
                <w:rFonts w:ascii="宋体" w:hAnsi="宋体" w:cs="宋体"/>
                <w:sz w:val="24"/>
              </w:rPr>
            </w:r>
            <w:r/>
          </w:p>
        </w:tc>
        <w:tc>
          <w:tcPr>
            <w:tcW w:w="2126" w:type="dxa"/>
            <w:vAlign w:val="center"/>
            <w:textDirection w:val="lrTb"/>
            <w:noWrap w:val="false"/>
          </w:tcPr>
          <w:p>
            <w:pPr>
              <w:pStyle w:val="895"/>
              <w:jc w:val="center"/>
              <w:spacing w:line="400" w:lineRule="exact"/>
              <w:rPr>
                <w:rFonts w:ascii="宋体" w:hAnsi="宋体" w:cs="宋体"/>
                <w:sz w:val="24"/>
              </w:rPr>
            </w:pPr>
            <w:r>
              <w:rPr>
                <w:rFonts w:ascii="宋体" w:hAnsi="宋体" w:cs="宋体"/>
                <w:sz w:val="24"/>
              </w:rPr>
            </w:r>
            <w:r/>
          </w:p>
        </w:tc>
      </w:tr>
      <w:tr>
        <w:trPr>
          <w:cantSplit/>
          <w:trHeight w:val="397"/>
        </w:trPr>
        <w:tc>
          <w:tcPr>
            <w:tcW w:w="2324" w:type="dxa"/>
            <w:vAlign w:val="center"/>
            <w:vMerge w:val="continue"/>
            <w:textDirection w:val="lrTb"/>
            <w:noWrap w:val="false"/>
          </w:tcPr>
          <w:p>
            <w:pPr>
              <w:pStyle w:val="895"/>
              <w:spacing w:line="400" w:lineRule="exact"/>
              <w:rPr>
                <w:rFonts w:ascii="宋体" w:hAnsi="宋体" w:cs="宋体"/>
                <w:sz w:val="24"/>
              </w:rPr>
            </w:pPr>
            <w:r>
              <w:rPr>
                <w:rFonts w:ascii="宋体" w:hAnsi="宋体" w:cs="宋体"/>
                <w:sz w:val="24"/>
              </w:rPr>
            </w:r>
            <w:r/>
          </w:p>
        </w:tc>
        <w:tc>
          <w:tcPr>
            <w:tcW w:w="2179" w:type="dxa"/>
            <w:vAlign w:val="center"/>
            <w:textDirection w:val="lrTb"/>
            <w:noWrap w:val="false"/>
          </w:tcPr>
          <w:p>
            <w:pPr>
              <w:pStyle w:val="895"/>
              <w:spacing w:line="400" w:lineRule="exact"/>
              <w:rPr>
                <w:rFonts w:ascii="宋体" w:hAnsi="宋体" w:cs="宋体"/>
                <w:sz w:val="24"/>
              </w:rPr>
            </w:pPr>
            <w:r>
              <w:rPr>
                <w:rFonts w:ascii="宋体" w:hAnsi="宋体" w:cs="宋体"/>
                <w:sz w:val="24"/>
              </w:rPr>
            </w:r>
            <w:r/>
          </w:p>
        </w:tc>
        <w:tc>
          <w:tcPr>
            <w:tcW w:w="2722" w:type="dxa"/>
            <w:vAlign w:val="center"/>
            <w:textDirection w:val="lrTb"/>
            <w:noWrap w:val="false"/>
          </w:tcPr>
          <w:p>
            <w:pPr>
              <w:pStyle w:val="895"/>
              <w:jc w:val="center"/>
              <w:spacing w:line="400" w:lineRule="exact"/>
              <w:rPr>
                <w:rFonts w:ascii="宋体" w:hAnsi="宋体" w:cs="宋体"/>
                <w:sz w:val="24"/>
              </w:rPr>
            </w:pPr>
            <w:r>
              <w:rPr>
                <w:rFonts w:ascii="宋体" w:hAnsi="宋体" w:cs="宋体"/>
                <w:sz w:val="24"/>
              </w:rPr>
            </w:r>
            <w:r/>
          </w:p>
        </w:tc>
        <w:tc>
          <w:tcPr>
            <w:tcW w:w="2126" w:type="dxa"/>
            <w:vAlign w:val="center"/>
            <w:textDirection w:val="lrTb"/>
            <w:noWrap w:val="false"/>
          </w:tcPr>
          <w:p>
            <w:pPr>
              <w:pStyle w:val="895"/>
              <w:jc w:val="center"/>
              <w:spacing w:line="400" w:lineRule="exact"/>
              <w:rPr>
                <w:rFonts w:ascii="宋体" w:hAnsi="宋体" w:cs="宋体"/>
                <w:sz w:val="24"/>
              </w:rPr>
            </w:pPr>
            <w:r>
              <w:rPr>
                <w:rFonts w:ascii="宋体" w:hAnsi="宋体" w:cs="宋体"/>
                <w:sz w:val="24"/>
              </w:rPr>
            </w:r>
            <w:r/>
          </w:p>
        </w:tc>
      </w:tr>
      <w:tr>
        <w:trPr>
          <w:cantSplit/>
          <w:trHeight w:val="397"/>
        </w:trPr>
        <w:tc>
          <w:tcPr>
            <w:tcW w:w="2324" w:type="dxa"/>
            <w:vAlign w:val="center"/>
            <w:vMerge w:val="continue"/>
            <w:textDirection w:val="lrTb"/>
            <w:noWrap w:val="false"/>
          </w:tcPr>
          <w:p>
            <w:pPr>
              <w:pStyle w:val="895"/>
              <w:spacing w:line="400" w:lineRule="exact"/>
              <w:rPr>
                <w:rFonts w:ascii="宋体" w:hAnsi="宋体" w:cs="宋体"/>
                <w:sz w:val="24"/>
              </w:rPr>
            </w:pPr>
            <w:r>
              <w:rPr>
                <w:rFonts w:ascii="宋体" w:hAnsi="宋体" w:cs="宋体"/>
                <w:sz w:val="24"/>
              </w:rPr>
            </w:r>
            <w:r/>
          </w:p>
        </w:tc>
        <w:tc>
          <w:tcPr>
            <w:tcW w:w="2179" w:type="dxa"/>
            <w:vAlign w:val="center"/>
            <w:textDirection w:val="lrTb"/>
            <w:noWrap w:val="false"/>
          </w:tcPr>
          <w:p>
            <w:pPr>
              <w:pStyle w:val="895"/>
              <w:spacing w:line="400" w:lineRule="exact"/>
              <w:rPr>
                <w:rFonts w:ascii="宋体" w:hAnsi="宋体" w:cs="宋体"/>
                <w:sz w:val="24"/>
              </w:rPr>
            </w:pPr>
            <w:r>
              <w:rPr>
                <w:rFonts w:ascii="宋体" w:hAnsi="宋体" w:cs="宋体"/>
                <w:sz w:val="24"/>
              </w:rPr>
            </w:r>
            <w:r/>
          </w:p>
        </w:tc>
        <w:tc>
          <w:tcPr>
            <w:tcW w:w="2722" w:type="dxa"/>
            <w:vAlign w:val="center"/>
            <w:textDirection w:val="lrTb"/>
            <w:noWrap w:val="false"/>
          </w:tcPr>
          <w:p>
            <w:pPr>
              <w:pStyle w:val="895"/>
              <w:jc w:val="center"/>
              <w:spacing w:line="400" w:lineRule="exact"/>
              <w:rPr>
                <w:rFonts w:ascii="宋体" w:hAnsi="宋体" w:cs="宋体"/>
                <w:sz w:val="24"/>
              </w:rPr>
            </w:pPr>
            <w:r>
              <w:rPr>
                <w:rFonts w:ascii="宋体" w:hAnsi="宋体" w:cs="宋体"/>
                <w:sz w:val="24"/>
              </w:rPr>
            </w:r>
            <w:r/>
          </w:p>
        </w:tc>
        <w:tc>
          <w:tcPr>
            <w:tcW w:w="2126" w:type="dxa"/>
            <w:vAlign w:val="center"/>
            <w:textDirection w:val="lrTb"/>
            <w:noWrap w:val="false"/>
          </w:tcPr>
          <w:p>
            <w:pPr>
              <w:pStyle w:val="895"/>
              <w:jc w:val="center"/>
              <w:spacing w:line="400" w:lineRule="exact"/>
              <w:rPr>
                <w:rFonts w:ascii="宋体" w:hAnsi="宋体" w:cs="宋体"/>
                <w:sz w:val="24"/>
              </w:rPr>
            </w:pPr>
            <w:r>
              <w:rPr>
                <w:rFonts w:ascii="宋体" w:hAnsi="宋体" w:cs="宋体"/>
                <w:sz w:val="24"/>
              </w:rPr>
            </w:r>
            <w:r/>
          </w:p>
        </w:tc>
      </w:tr>
      <w:tr>
        <w:trPr>
          <w:cantSplit/>
          <w:trHeight w:val="397"/>
        </w:trPr>
        <w:tc>
          <w:tcPr>
            <w:tcW w:w="2324" w:type="dxa"/>
            <w:vAlign w:val="center"/>
            <w:vMerge w:val="continue"/>
            <w:textDirection w:val="lrTb"/>
            <w:noWrap w:val="false"/>
          </w:tcPr>
          <w:p>
            <w:pPr>
              <w:pStyle w:val="895"/>
              <w:spacing w:line="400" w:lineRule="exact"/>
              <w:rPr>
                <w:rFonts w:ascii="宋体" w:hAnsi="宋体" w:cs="宋体"/>
                <w:sz w:val="24"/>
              </w:rPr>
            </w:pPr>
            <w:r>
              <w:rPr>
                <w:rFonts w:ascii="宋体" w:hAnsi="宋体" w:cs="宋体"/>
                <w:sz w:val="24"/>
              </w:rPr>
            </w:r>
            <w:r/>
          </w:p>
        </w:tc>
        <w:tc>
          <w:tcPr>
            <w:tcW w:w="2179" w:type="dxa"/>
            <w:vAlign w:val="center"/>
            <w:textDirection w:val="lrTb"/>
            <w:noWrap w:val="false"/>
          </w:tcPr>
          <w:p>
            <w:pPr>
              <w:pStyle w:val="895"/>
              <w:jc w:val="center"/>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r>
            <w:r/>
          </w:p>
        </w:tc>
        <w:tc>
          <w:tcPr>
            <w:tcW w:w="2722" w:type="dxa"/>
            <w:vAlign w:val="center"/>
            <w:textDirection w:val="lrTb"/>
            <w:noWrap w:val="false"/>
          </w:tcPr>
          <w:p>
            <w:pPr>
              <w:pStyle w:val="895"/>
              <w:jc w:val="center"/>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r>
            <w:r/>
          </w:p>
        </w:tc>
        <w:tc>
          <w:tcPr>
            <w:tcW w:w="2126" w:type="dxa"/>
            <w:vAlign w:val="center"/>
            <w:textDirection w:val="lrTb"/>
            <w:noWrap w:val="false"/>
          </w:tcPr>
          <w:p>
            <w:pPr>
              <w:pStyle w:val="895"/>
              <w:jc w:val="center"/>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r>
            <w:r/>
          </w:p>
        </w:tc>
      </w:tr>
      <w:tr>
        <w:trPr>
          <w:cantSplit/>
          <w:trHeight w:val="397"/>
        </w:trPr>
        <w:tc>
          <w:tcPr>
            <w:tcW w:w="2324" w:type="dxa"/>
            <w:vAlign w:val="center"/>
            <w:vMerge w:val="restart"/>
            <w:textDirection w:val="lrTb"/>
            <w:noWrap w:val="false"/>
          </w:tcPr>
          <w:p>
            <w:pPr>
              <w:pStyle w:val="895"/>
              <w:jc w:val="center"/>
              <w:spacing w:line="400" w:lineRule="exact"/>
              <w:rPr>
                <w:rFonts w:ascii="宋体" w:hAnsi="宋体" w:cs="宋体"/>
                <w:sz w:val="24"/>
              </w:rPr>
            </w:pPr>
            <w:r>
              <w:rPr>
                <w:rFonts w:ascii="宋体" w:hAnsi="宋体" w:cs="宋体"/>
                <w:sz w:val="24"/>
              </w:rPr>
            </w:r>
            <w:r/>
          </w:p>
        </w:tc>
        <w:tc>
          <w:tcPr>
            <w:tcW w:w="2179" w:type="dxa"/>
            <w:vAlign w:val="center"/>
            <w:textDirection w:val="lrTb"/>
            <w:noWrap w:val="false"/>
          </w:tcPr>
          <w:p>
            <w:pPr>
              <w:pStyle w:val="895"/>
              <w:spacing w:line="400" w:lineRule="exact"/>
              <w:rPr>
                <w:rFonts w:ascii="宋体" w:hAnsi="宋体" w:cs="宋体"/>
                <w:sz w:val="24"/>
              </w:rPr>
            </w:pPr>
            <w:r>
              <w:rPr>
                <w:rFonts w:ascii="宋体" w:hAnsi="宋体" w:cs="宋体"/>
                <w:sz w:val="24"/>
              </w:rPr>
            </w:r>
            <w:r/>
          </w:p>
        </w:tc>
        <w:tc>
          <w:tcPr>
            <w:tcW w:w="2722" w:type="dxa"/>
            <w:vAlign w:val="center"/>
            <w:textDirection w:val="lrTb"/>
            <w:noWrap w:val="false"/>
          </w:tcPr>
          <w:p>
            <w:pPr>
              <w:pStyle w:val="895"/>
              <w:jc w:val="center"/>
              <w:spacing w:line="400" w:lineRule="exact"/>
              <w:rPr>
                <w:rFonts w:ascii="宋体" w:hAnsi="宋体" w:cs="宋体"/>
                <w:sz w:val="24"/>
              </w:rPr>
            </w:pPr>
            <w:r>
              <w:rPr>
                <w:rFonts w:ascii="宋体" w:hAnsi="宋体" w:cs="宋体"/>
                <w:sz w:val="24"/>
              </w:rPr>
            </w:r>
            <w:r/>
          </w:p>
        </w:tc>
        <w:tc>
          <w:tcPr>
            <w:tcW w:w="2126" w:type="dxa"/>
            <w:vAlign w:val="center"/>
            <w:textDirection w:val="lrTb"/>
            <w:noWrap w:val="false"/>
          </w:tcPr>
          <w:p>
            <w:pPr>
              <w:pStyle w:val="895"/>
              <w:jc w:val="center"/>
              <w:spacing w:line="400" w:lineRule="exact"/>
              <w:rPr>
                <w:rFonts w:ascii="宋体" w:hAnsi="宋体" w:cs="宋体"/>
                <w:sz w:val="24"/>
              </w:rPr>
            </w:pPr>
            <w:r>
              <w:rPr>
                <w:rFonts w:ascii="宋体" w:hAnsi="宋体" w:cs="宋体"/>
                <w:sz w:val="24"/>
              </w:rPr>
            </w:r>
            <w:r/>
          </w:p>
        </w:tc>
      </w:tr>
      <w:tr>
        <w:trPr>
          <w:cantSplit/>
          <w:trHeight w:val="397"/>
        </w:trPr>
        <w:tc>
          <w:tcPr>
            <w:tcW w:w="2324" w:type="dxa"/>
            <w:vAlign w:val="center"/>
            <w:vMerge w:val="continue"/>
            <w:textDirection w:val="lrTb"/>
            <w:noWrap w:val="false"/>
          </w:tcPr>
          <w:p>
            <w:pPr>
              <w:pStyle w:val="895"/>
              <w:spacing w:line="400" w:lineRule="exact"/>
              <w:rPr>
                <w:rFonts w:ascii="宋体" w:hAnsi="宋体" w:cs="宋体"/>
                <w:sz w:val="24"/>
              </w:rPr>
            </w:pPr>
            <w:r>
              <w:rPr>
                <w:rFonts w:ascii="宋体" w:hAnsi="宋体" w:cs="宋体"/>
                <w:sz w:val="24"/>
              </w:rPr>
            </w:r>
            <w:r/>
          </w:p>
        </w:tc>
        <w:tc>
          <w:tcPr>
            <w:tcW w:w="2179" w:type="dxa"/>
            <w:vAlign w:val="center"/>
            <w:textDirection w:val="lrTb"/>
            <w:noWrap w:val="false"/>
          </w:tcPr>
          <w:p>
            <w:pPr>
              <w:pStyle w:val="895"/>
              <w:spacing w:line="400" w:lineRule="exact"/>
              <w:rPr>
                <w:rFonts w:ascii="宋体" w:hAnsi="宋体" w:cs="宋体"/>
                <w:sz w:val="24"/>
              </w:rPr>
            </w:pPr>
            <w:r>
              <w:rPr>
                <w:rFonts w:ascii="宋体" w:hAnsi="宋体" w:cs="宋体"/>
                <w:sz w:val="24"/>
              </w:rPr>
            </w:r>
            <w:r/>
          </w:p>
        </w:tc>
        <w:tc>
          <w:tcPr>
            <w:tcW w:w="2722" w:type="dxa"/>
            <w:vAlign w:val="center"/>
            <w:textDirection w:val="lrTb"/>
            <w:noWrap w:val="false"/>
          </w:tcPr>
          <w:p>
            <w:pPr>
              <w:pStyle w:val="895"/>
              <w:jc w:val="center"/>
              <w:spacing w:line="400" w:lineRule="exact"/>
              <w:rPr>
                <w:rFonts w:ascii="宋体" w:hAnsi="宋体" w:cs="宋体"/>
                <w:sz w:val="24"/>
              </w:rPr>
            </w:pPr>
            <w:r>
              <w:rPr>
                <w:rFonts w:ascii="宋体" w:hAnsi="宋体" w:cs="宋体"/>
                <w:sz w:val="24"/>
              </w:rPr>
            </w:r>
            <w:r/>
          </w:p>
        </w:tc>
        <w:tc>
          <w:tcPr>
            <w:tcW w:w="2126" w:type="dxa"/>
            <w:vAlign w:val="center"/>
            <w:textDirection w:val="lrTb"/>
            <w:noWrap w:val="false"/>
          </w:tcPr>
          <w:p>
            <w:pPr>
              <w:pStyle w:val="895"/>
              <w:jc w:val="center"/>
              <w:spacing w:line="400" w:lineRule="exact"/>
              <w:rPr>
                <w:rFonts w:ascii="宋体" w:hAnsi="宋体" w:cs="宋体"/>
                <w:sz w:val="24"/>
              </w:rPr>
            </w:pPr>
            <w:r>
              <w:rPr>
                <w:rFonts w:ascii="宋体" w:hAnsi="宋体" w:cs="宋体"/>
                <w:sz w:val="24"/>
              </w:rPr>
            </w:r>
            <w:r/>
          </w:p>
        </w:tc>
      </w:tr>
      <w:tr>
        <w:trPr>
          <w:cantSplit/>
          <w:trHeight w:val="397"/>
        </w:trPr>
        <w:tc>
          <w:tcPr>
            <w:tcW w:w="2324" w:type="dxa"/>
            <w:vAlign w:val="center"/>
            <w:vMerge w:val="continue"/>
            <w:textDirection w:val="lrTb"/>
            <w:noWrap w:val="false"/>
          </w:tcPr>
          <w:p>
            <w:pPr>
              <w:pStyle w:val="895"/>
              <w:spacing w:line="400" w:lineRule="exact"/>
              <w:rPr>
                <w:rFonts w:ascii="宋体" w:hAnsi="宋体" w:cs="宋体"/>
                <w:sz w:val="24"/>
              </w:rPr>
            </w:pPr>
            <w:r>
              <w:rPr>
                <w:rFonts w:ascii="宋体" w:hAnsi="宋体" w:cs="宋体"/>
                <w:sz w:val="24"/>
              </w:rPr>
            </w:r>
            <w:r/>
          </w:p>
        </w:tc>
        <w:tc>
          <w:tcPr>
            <w:tcW w:w="2179" w:type="dxa"/>
            <w:vAlign w:val="center"/>
            <w:textDirection w:val="lrTb"/>
            <w:noWrap w:val="false"/>
          </w:tcPr>
          <w:p>
            <w:pPr>
              <w:pStyle w:val="895"/>
              <w:spacing w:line="400" w:lineRule="exact"/>
              <w:rPr>
                <w:rFonts w:ascii="宋体" w:hAnsi="宋体" w:cs="宋体"/>
                <w:sz w:val="24"/>
              </w:rPr>
            </w:pPr>
            <w:r>
              <w:rPr>
                <w:rFonts w:ascii="宋体" w:hAnsi="宋体" w:cs="宋体"/>
                <w:sz w:val="24"/>
              </w:rPr>
            </w:r>
            <w:r/>
          </w:p>
        </w:tc>
        <w:tc>
          <w:tcPr>
            <w:tcW w:w="2722" w:type="dxa"/>
            <w:vAlign w:val="center"/>
            <w:textDirection w:val="lrTb"/>
            <w:noWrap w:val="false"/>
          </w:tcPr>
          <w:p>
            <w:pPr>
              <w:pStyle w:val="895"/>
              <w:jc w:val="center"/>
              <w:spacing w:line="400" w:lineRule="exact"/>
              <w:rPr>
                <w:rFonts w:ascii="宋体" w:hAnsi="宋体" w:cs="宋体"/>
                <w:sz w:val="24"/>
              </w:rPr>
            </w:pPr>
            <w:r>
              <w:rPr>
                <w:rFonts w:ascii="宋体" w:hAnsi="宋体" w:cs="宋体"/>
                <w:sz w:val="24"/>
              </w:rPr>
            </w:r>
            <w:r/>
          </w:p>
        </w:tc>
        <w:tc>
          <w:tcPr>
            <w:tcW w:w="2126" w:type="dxa"/>
            <w:vAlign w:val="center"/>
            <w:textDirection w:val="lrTb"/>
            <w:noWrap w:val="false"/>
          </w:tcPr>
          <w:p>
            <w:pPr>
              <w:pStyle w:val="895"/>
              <w:jc w:val="center"/>
              <w:spacing w:line="400" w:lineRule="exact"/>
              <w:rPr>
                <w:rFonts w:ascii="宋体" w:hAnsi="宋体" w:cs="宋体"/>
                <w:sz w:val="24"/>
              </w:rPr>
            </w:pPr>
            <w:r>
              <w:rPr>
                <w:rFonts w:ascii="宋体" w:hAnsi="宋体" w:cs="宋体"/>
                <w:sz w:val="24"/>
              </w:rPr>
            </w:r>
            <w:r/>
          </w:p>
        </w:tc>
      </w:tr>
      <w:tr>
        <w:trPr>
          <w:cantSplit/>
          <w:trHeight w:val="397"/>
        </w:trPr>
        <w:tc>
          <w:tcPr>
            <w:tcW w:w="2324" w:type="dxa"/>
            <w:vAlign w:val="center"/>
            <w:vMerge w:val="continue"/>
            <w:textDirection w:val="lrTb"/>
            <w:noWrap w:val="false"/>
          </w:tcPr>
          <w:p>
            <w:pPr>
              <w:pStyle w:val="895"/>
              <w:spacing w:line="400" w:lineRule="exact"/>
              <w:rPr>
                <w:rFonts w:ascii="宋体" w:hAnsi="宋体" w:cs="宋体"/>
                <w:sz w:val="24"/>
              </w:rPr>
            </w:pPr>
            <w:r>
              <w:rPr>
                <w:rFonts w:ascii="宋体" w:hAnsi="宋体" w:cs="宋体"/>
                <w:sz w:val="24"/>
              </w:rPr>
            </w:r>
            <w:r/>
          </w:p>
        </w:tc>
        <w:tc>
          <w:tcPr>
            <w:tcW w:w="2179" w:type="dxa"/>
            <w:vAlign w:val="center"/>
            <w:textDirection w:val="lrTb"/>
            <w:noWrap w:val="false"/>
          </w:tcPr>
          <w:p>
            <w:pPr>
              <w:pStyle w:val="895"/>
              <w:jc w:val="center"/>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r>
            <w:r/>
          </w:p>
        </w:tc>
        <w:tc>
          <w:tcPr>
            <w:tcW w:w="2722" w:type="dxa"/>
            <w:vAlign w:val="center"/>
            <w:textDirection w:val="lrTb"/>
            <w:noWrap w:val="false"/>
          </w:tcPr>
          <w:p>
            <w:pPr>
              <w:pStyle w:val="895"/>
              <w:jc w:val="center"/>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r>
            <w:r/>
          </w:p>
        </w:tc>
        <w:tc>
          <w:tcPr>
            <w:tcW w:w="2126" w:type="dxa"/>
            <w:vAlign w:val="center"/>
            <w:textDirection w:val="lrTb"/>
            <w:noWrap w:val="false"/>
          </w:tcPr>
          <w:p>
            <w:pPr>
              <w:pStyle w:val="895"/>
              <w:jc w:val="center"/>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r>
            <w:r/>
          </w:p>
        </w:tc>
      </w:tr>
    </w:tbl>
    <w:p>
      <w:pPr>
        <w:pStyle w:val="895"/>
        <w:spacing w:line="400" w:lineRule="exact"/>
        <w:rPr>
          <w:rFonts w:ascii="宋体" w:hAnsi="宋体" w:cs="宋体"/>
          <w:sz w:val="24"/>
        </w:rPr>
      </w:pPr>
      <w:r>
        <w:rPr>
          <w:rFonts w:hint="eastAsia" w:ascii="宋体" w:hAnsi="宋体" w:cs="宋体"/>
          <w:sz w:val="24"/>
        </w:rPr>
        <w:t xml:space="preserve">备注：需附完整原始记录（包括原始记录、曲线、图谱等）及含日期时间的实验过程、实验人员、实验场所的现场照片，否则不得分。</w:t>
      </w:r>
      <w:r>
        <w:rPr>
          <w:rFonts w:ascii="宋体" w:hAnsi="宋体" w:cs="宋体"/>
          <w:sz w:val="24"/>
        </w:rPr>
      </w:r>
      <w:r/>
    </w:p>
    <w:p>
      <w:pPr>
        <w:pStyle w:val="895"/>
        <w:jc w:val="left"/>
        <w:widowControl/>
        <w:rPr>
          <w:rFonts w:cs="宋体"/>
          <w:b/>
          <w:szCs w:val="21"/>
        </w:rPr>
      </w:pPr>
      <w:r>
        <w:rPr>
          <w:rFonts w:cs="宋体"/>
          <w:b/>
          <w:szCs w:val="21"/>
        </w:rPr>
      </w:r>
      <w:r/>
    </w:p>
    <w:p>
      <w:pPr>
        <w:pStyle w:val="897"/>
        <w:rPr>
          <w:rFonts w:hint="eastAsia"/>
        </w:rPr>
      </w:pPr>
      <w:r>
        <w:rPr>
          <w:rFonts w:hint="eastAsia" w:ascii="宋体" w:hAnsi="宋体" w:cs="宋体"/>
          <w:sz w:val="24"/>
          <w:szCs w:val="21"/>
        </w:rPr>
        <w:br w:type="page" w:clear="all"/>
        <w:t xml:space="preserve">8</w:t>
      </w:r>
      <w:r>
        <w:rPr>
          <w:rFonts w:hint="eastAsia"/>
        </w:rPr>
        <w:t xml:space="preserve">、其他证明文件</w:t>
      </w:r>
      <w:bookmarkEnd w:id="124"/>
      <w:r/>
      <w:bookmarkEnd w:id="125"/>
      <w:r>
        <w:rPr>
          <w:rFonts w:hint="eastAsia"/>
        </w:rPr>
      </w:r>
      <w:r/>
    </w:p>
    <w:p>
      <w:pPr>
        <w:pStyle w:val="908"/>
        <w:ind w:firstLine="0"/>
        <w:rPr>
          <w:rFonts w:ascii="宋体" w:hAnsi="宋体" w:eastAsia="宋体"/>
          <w:b/>
        </w:rPr>
      </w:pPr>
      <w:r>
        <w:rPr>
          <w:rFonts w:ascii="宋体" w:hAnsi="宋体" w:eastAsia="宋体"/>
          <w:b/>
        </w:rPr>
      </w:r>
      <w:r/>
    </w:p>
    <w:p>
      <w:pPr>
        <w:pStyle w:val="908"/>
        <w:ind w:firstLine="0"/>
        <w:rPr>
          <w:rFonts w:ascii="宋体" w:hAnsi="宋体" w:eastAsia="宋体"/>
          <w:b/>
        </w:rPr>
      </w:pPr>
      <w:r>
        <w:rPr>
          <w:rFonts w:ascii="宋体" w:hAnsi="宋体" w:eastAsia="宋体"/>
          <w:b/>
        </w:rPr>
      </w:r>
      <w:r/>
    </w:p>
    <w:p>
      <w:pPr>
        <w:pStyle w:val="908"/>
        <w:ind w:firstLine="0"/>
        <w:jc w:val="both"/>
        <w:rPr>
          <w:rFonts w:ascii="宋体" w:hAnsi="宋体" w:eastAsia="宋体"/>
          <w:b/>
        </w:rPr>
      </w:pPr>
      <w:r>
        <w:rPr>
          <w:rFonts w:ascii="宋体" w:hAnsi="宋体" w:eastAsia="宋体"/>
          <w:b/>
        </w:rPr>
        <w:t xml:space="preserve">1</w:t>
      </w:r>
      <w:r>
        <w:rPr>
          <w:rFonts w:hint="eastAsia" w:ascii="宋体" w:hAnsi="宋体" w:eastAsia="宋体"/>
          <w:b/>
        </w:rPr>
        <w:t xml:space="preserve">）</w:t>
      </w:r>
      <w:r>
        <w:rPr>
          <w:rFonts w:ascii="宋体" w:hAnsi="宋体" w:eastAsia="宋体"/>
          <w:b/>
        </w:rPr>
        <w:t xml:space="preserve">关于资格文件的声明函</w:t>
      </w:r>
      <w:r/>
    </w:p>
    <w:p>
      <w:pPr>
        <w:pStyle w:val="908"/>
        <w:jc w:val="center"/>
        <w:spacing w:line="360" w:lineRule="auto"/>
        <w:rPr>
          <w:rFonts w:ascii="宋体" w:hAnsi="宋体" w:eastAsia="宋体"/>
          <w:b/>
          <w:sz w:val="28"/>
          <w:szCs w:val="28"/>
        </w:rPr>
      </w:pPr>
      <w:r>
        <w:rPr>
          <w:rFonts w:hint="eastAsia" w:ascii="宋体" w:hAnsi="宋体" w:eastAsia="宋体"/>
          <w:b/>
          <w:sz w:val="28"/>
          <w:szCs w:val="28"/>
        </w:rPr>
        <w:t xml:space="preserve">关于资格文件的声明函</w:t>
      </w:r>
      <w:r>
        <w:rPr>
          <w:rFonts w:ascii="宋体" w:hAnsi="宋体" w:eastAsia="宋体"/>
          <w:b/>
          <w:sz w:val="28"/>
          <w:szCs w:val="28"/>
        </w:rPr>
      </w:r>
      <w:r/>
    </w:p>
    <w:p>
      <w:pPr>
        <w:pStyle w:val="908"/>
        <w:jc w:val="center"/>
        <w:spacing w:line="360" w:lineRule="auto"/>
        <w:rPr>
          <w:rFonts w:ascii="宋体" w:hAnsi="宋体" w:eastAsia="宋体"/>
        </w:rPr>
      </w:pPr>
      <w:r>
        <w:rPr>
          <w:rFonts w:ascii="宋体" w:hAnsi="宋体" w:eastAsia="宋体"/>
        </w:rPr>
      </w:r>
      <w:r/>
    </w:p>
    <w:p>
      <w:pPr>
        <w:pStyle w:val="908"/>
        <w:ind w:firstLine="0"/>
        <w:spacing w:line="360" w:lineRule="auto"/>
        <w:rPr>
          <w:rFonts w:ascii="宋体" w:hAnsi="宋体" w:eastAsia="宋体"/>
        </w:rPr>
      </w:pPr>
      <w:r>
        <w:rPr>
          <w:rFonts w:ascii="宋体" w:hAnsi="宋体" w:eastAsia="宋体"/>
        </w:rPr>
        <w:t xml:space="preserve"> </w:t>
      </w:r>
      <w:r>
        <w:rPr>
          <w:rFonts w:ascii="宋体" w:hAnsi="宋体" w:eastAsia="宋体"/>
          <w:u w:val="single"/>
        </w:rPr>
        <w:t xml:space="preserve">  </w:t>
      </w:r>
      <w:r>
        <w:rPr>
          <w:rFonts w:hint="eastAsia" w:ascii="宋体" w:hAnsi="宋体" w:eastAsia="宋体"/>
          <w:u w:val="single"/>
        </w:rPr>
        <w:t xml:space="preserve">苏州市营财招投标咨询服务有限公司</w:t>
      </w:r>
      <w:r>
        <w:rPr>
          <w:rFonts w:ascii="宋体" w:hAnsi="宋体" w:eastAsia="宋体"/>
          <w:u w:val="single"/>
        </w:rPr>
        <w:t xml:space="preserve">  </w:t>
      </w:r>
      <w:r>
        <w:rPr>
          <w:rFonts w:hint="eastAsia" w:ascii="宋体" w:hAnsi="宋体" w:eastAsia="宋体"/>
        </w:rPr>
        <w:t xml:space="preserve">：</w:t>
      </w:r>
      <w:r>
        <w:rPr>
          <w:rFonts w:ascii="宋体" w:hAnsi="宋体" w:eastAsia="宋体"/>
        </w:rPr>
      </w:r>
      <w:r/>
    </w:p>
    <w:p>
      <w:pPr>
        <w:pStyle w:val="908"/>
        <w:spacing w:line="360" w:lineRule="auto"/>
        <w:rPr>
          <w:rFonts w:ascii="宋体" w:hAnsi="宋体" w:eastAsia="宋体"/>
        </w:rPr>
      </w:pPr>
      <w:r>
        <w:rPr>
          <w:rFonts w:ascii="宋体" w:hAnsi="宋体" w:eastAsia="宋体"/>
        </w:rPr>
        <w:t xml:space="preserve"> </w:t>
      </w:r>
      <w:r>
        <w:rPr>
          <w:rFonts w:hint="eastAsia" w:ascii="宋体" w:hAnsi="宋体" w:eastAsia="宋体"/>
        </w:rPr>
        <w:t xml:space="preserve">本公司愿就由贵公司组织实施的编号为</w:t>
      </w:r>
      <w:r>
        <w:rPr>
          <w:rFonts w:ascii="宋体" w:hAnsi="宋体" w:eastAsia="宋体"/>
          <w:u w:val="single"/>
        </w:rPr>
        <w:t xml:space="preserve">           </w:t>
      </w:r>
      <w:r>
        <w:rPr>
          <w:rFonts w:hint="eastAsia" w:ascii="宋体" w:hAnsi="宋体" w:eastAsia="宋体"/>
        </w:rPr>
        <w:t xml:space="preserve">号的招标活动进行投标。本公司所提交的投标文件中所有关于投标资格的文件、证明和陈述均是真实的、准确的、有效的。若与真实情况不符，本公司愿意承担由此而产生的一切后果。</w:t>
      </w:r>
      <w:r>
        <w:rPr>
          <w:rFonts w:ascii="宋体" w:hAnsi="宋体" w:eastAsia="宋体"/>
        </w:rPr>
      </w:r>
      <w:r/>
    </w:p>
    <w:p>
      <w:pPr>
        <w:pStyle w:val="908"/>
        <w:spacing w:line="360" w:lineRule="auto"/>
        <w:rPr>
          <w:rFonts w:ascii="宋体" w:hAnsi="宋体" w:eastAsia="宋体"/>
        </w:rPr>
      </w:pPr>
      <w:r>
        <w:rPr>
          <w:rFonts w:ascii="宋体" w:hAnsi="宋体" w:eastAsia="宋体"/>
        </w:rPr>
      </w:r>
      <w:r/>
    </w:p>
    <w:p>
      <w:pPr>
        <w:pStyle w:val="950"/>
        <w:jc w:val="center"/>
        <w:spacing w:line="360" w:lineRule="auto"/>
        <w:rPr>
          <w:rFonts w:hAnsi="宋体" w:eastAsia="宋体"/>
          <w:sz w:val="24"/>
        </w:rPr>
      </w:pPr>
      <w:r>
        <w:rPr>
          <w:rFonts w:hint="eastAsia" w:hAnsi="宋体" w:eastAsia="宋体"/>
          <w:sz w:val="24"/>
        </w:rPr>
        <w:t xml:space="preserve">  投标单位：（盖</w:t>
      </w:r>
      <w:r>
        <w:rPr>
          <w:rFonts w:hint="eastAsia" w:hAnsi="宋体" w:eastAsia="宋体"/>
          <w:sz w:val="24"/>
          <w:szCs w:val="24"/>
        </w:rPr>
        <w:t xml:space="preserve">章</w:t>
      </w:r>
      <w:r>
        <w:rPr>
          <w:rFonts w:hint="eastAsia" w:hAnsi="宋体" w:eastAsia="宋体"/>
          <w:sz w:val="24"/>
        </w:rPr>
        <w:t xml:space="preserve">）</w:t>
      </w:r>
      <w:r>
        <w:rPr>
          <w:rFonts w:hAnsi="宋体" w:eastAsia="宋体"/>
          <w:sz w:val="24"/>
        </w:rPr>
      </w:r>
      <w:r/>
    </w:p>
    <w:p>
      <w:pPr>
        <w:pStyle w:val="950"/>
        <w:jc w:val="center"/>
        <w:spacing w:line="360" w:lineRule="auto"/>
        <w:rPr>
          <w:rFonts w:hint="eastAsia" w:hAnsi="宋体" w:eastAsia="宋体"/>
          <w:sz w:val="24"/>
        </w:rPr>
      </w:pPr>
      <w:r>
        <w:rPr>
          <w:rFonts w:hint="eastAsia" w:hAnsi="宋体" w:eastAsia="宋体"/>
          <w:sz w:val="24"/>
        </w:rPr>
        <w:t xml:space="preserve">                   法定代表人或被授权人：（签字或签章）</w:t>
      </w:r>
      <w:r/>
    </w:p>
    <w:p>
      <w:pPr>
        <w:pStyle w:val="950"/>
        <w:jc w:val="center"/>
        <w:spacing w:line="360" w:lineRule="auto"/>
        <w:rPr>
          <w:rFonts w:hint="eastAsia" w:hAnsi="宋体" w:eastAsia="宋体"/>
          <w:sz w:val="24"/>
        </w:rPr>
      </w:pPr>
      <w:r>
        <w:rPr>
          <w:rFonts w:hint="eastAsia" w:hAnsi="宋体" w:eastAsia="宋体"/>
          <w:sz w:val="24"/>
        </w:rPr>
        <w:t xml:space="preserve">   日期：   年   月  日</w:t>
      </w:r>
      <w:r/>
    </w:p>
    <w:p>
      <w:pPr>
        <w:pStyle w:val="908"/>
        <w:spacing w:line="360" w:lineRule="auto"/>
        <w:rPr>
          <w:rFonts w:ascii="宋体" w:hAnsi="宋体" w:eastAsia="宋体"/>
          <w:b/>
        </w:rPr>
      </w:pPr>
      <w:r>
        <w:rPr>
          <w:rFonts w:ascii="宋体" w:hAnsi="宋体" w:eastAsia="宋体"/>
        </w:rPr>
        <w:br w:type="page" w:clear="all"/>
      </w:r>
      <w:r>
        <w:rPr>
          <w:rFonts w:ascii="宋体" w:hAnsi="宋体" w:eastAsia="宋体"/>
          <w:b/>
        </w:rPr>
        <w:t xml:space="preserve">2）投标单位情况表</w:t>
      </w:r>
      <w:r/>
    </w:p>
    <w:p>
      <w:pPr>
        <w:pStyle w:val="908"/>
        <w:ind w:firstLine="0"/>
        <w:rPr>
          <w:rFonts w:ascii="宋体" w:hAnsi="宋体" w:eastAsia="宋体"/>
        </w:rPr>
      </w:pPr>
      <w:r>
        <w:rPr>
          <w:rFonts w:ascii="宋体" w:hAnsi="宋体" w:eastAsia="宋体"/>
        </w:rPr>
      </w:r>
      <w:r/>
    </w:p>
    <w:p>
      <w:pPr>
        <w:pStyle w:val="908"/>
        <w:rPr>
          <w:rFonts w:ascii="宋体" w:hAnsi="宋体" w:eastAsia="宋体"/>
          <w:b/>
          <w:sz w:val="28"/>
          <w:szCs w:val="28"/>
        </w:rPr>
      </w:pPr>
      <w:r>
        <w:rPr>
          <w:rFonts w:ascii="宋体" w:hAnsi="宋体" w:eastAsia="宋体"/>
        </w:rPr>
        <w:t xml:space="preserve">                         </w:t>
      </w:r>
      <w:r>
        <w:rPr>
          <w:rFonts w:ascii="宋体" w:hAnsi="宋体" w:eastAsia="宋体"/>
          <w:b/>
          <w:sz w:val="28"/>
          <w:szCs w:val="28"/>
        </w:rPr>
        <w:t xml:space="preserve"> </w:t>
      </w:r>
      <w:r>
        <w:rPr>
          <w:rFonts w:hint="eastAsia" w:ascii="宋体" w:hAnsi="宋体" w:eastAsia="宋体"/>
          <w:b/>
          <w:sz w:val="28"/>
          <w:szCs w:val="28"/>
        </w:rPr>
        <w:t xml:space="preserve">投标单位情况表</w:t>
      </w:r>
      <w:r>
        <w:rPr>
          <w:rFonts w:ascii="宋体" w:hAnsi="宋体" w:eastAsia="宋体"/>
          <w:b/>
          <w:sz w:val="28"/>
          <w:szCs w:val="28"/>
        </w:rPr>
      </w:r>
      <w:r/>
    </w:p>
    <w:p>
      <w:pPr>
        <w:pStyle w:val="908"/>
        <w:rPr>
          <w:rFonts w:ascii="宋体" w:hAnsi="宋体" w:eastAsia="宋体"/>
          <w:szCs w:val="24"/>
        </w:rPr>
      </w:pPr>
      <w:r>
        <w:rPr>
          <w:rFonts w:hint="eastAsia" w:ascii="宋体" w:hAnsi="宋体" w:eastAsia="宋体"/>
          <w:szCs w:val="24"/>
        </w:rPr>
        <w:t xml:space="preserve">单位名称（盖章）</w:t>
      </w:r>
      <w:r>
        <w:rPr>
          <w:rFonts w:ascii="宋体" w:hAnsi="宋体" w:eastAsia="宋体"/>
          <w:szCs w:val="24"/>
        </w:rPr>
      </w:r>
      <w:r/>
    </w:p>
    <w:tbl>
      <w:tblPr>
        <w:tblW w:w="8931" w:type="dxa"/>
        <w:tblInd w:w="-34"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52"/>
        <w:gridCol w:w="2127"/>
        <w:gridCol w:w="1846"/>
        <w:gridCol w:w="615"/>
        <w:gridCol w:w="1791"/>
      </w:tblGrid>
      <w:tr>
        <w:trPr/>
        <w:tc>
          <w:tcPr>
            <w:tcBorders>
              <w:top w:val="single" w:color="000000" w:sz="6" w:space="0"/>
              <w:left w:val="single" w:color="000000" w:sz="6" w:space="0"/>
              <w:bottom w:val="single" w:color="000000" w:sz="6" w:space="0"/>
              <w:right w:val="single" w:color="000000" w:sz="6" w:space="0"/>
            </w:tcBorders>
            <w:tcW w:w="2552"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Borders>
              <w:top w:val="single" w:color="000000" w:sz="6" w:space="0"/>
              <w:left w:val="single" w:color="000000" w:sz="6" w:space="0"/>
              <w:bottom w:val="single" w:color="000000" w:sz="6" w:space="0"/>
              <w:right w:val="single" w:color="000000" w:sz="6" w:space="0"/>
            </w:tcBorders>
            <w:tcW w:w="2127" w:type="dxa"/>
            <w:vAlign w:val="top"/>
            <w:textDirection w:val="lrTb"/>
            <w:noWrap w:val="false"/>
          </w:tcPr>
          <w:p>
            <w:pPr>
              <w:pStyle w:val="908"/>
              <w:ind w:firstLine="0"/>
              <w:spacing w:line="400" w:lineRule="exact"/>
              <w:rPr>
                <w:rFonts w:ascii="宋体" w:hAnsi="宋体" w:eastAsia="宋体"/>
                <w:szCs w:val="24"/>
              </w:rPr>
            </w:pPr>
            <w:r>
              <w:rPr>
                <w:rFonts w:ascii="宋体" w:hAnsi="宋体" w:eastAsia="宋体"/>
                <w:szCs w:val="24"/>
              </w:rPr>
            </w:r>
            <w:r/>
          </w:p>
        </w:tc>
        <w:tc>
          <w:tcPr>
            <w:tcBorders>
              <w:top w:val="single" w:color="000000" w:sz="6" w:space="0"/>
              <w:left w:val="single" w:color="000000" w:sz="6" w:space="0"/>
              <w:bottom w:val="single" w:color="000000" w:sz="6" w:space="0"/>
              <w:right w:val="single" w:color="000000" w:sz="6" w:space="0"/>
            </w:tcBorders>
            <w:tcW w:w="1846"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Borders>
              <w:top w:val="single" w:color="000000" w:sz="6" w:space="0"/>
              <w:left w:val="single" w:color="000000" w:sz="6" w:space="0"/>
              <w:bottom w:val="single" w:color="000000" w:sz="6" w:space="0"/>
              <w:right w:val="single" w:color="000000" w:sz="6" w:space="0"/>
            </w:tcBorders>
            <w:tcW w:w="2406" w:type="dxa"/>
            <w:vAlign w:val="top"/>
            <w:textDirection w:val="lrTb"/>
            <w:noWrap w:val="false"/>
          </w:tcPr>
          <w:p>
            <w:pPr>
              <w:pStyle w:val="908"/>
              <w:ind w:firstLine="0"/>
              <w:spacing w:line="400" w:lineRule="exact"/>
              <w:rPr>
                <w:rFonts w:ascii="宋体" w:hAnsi="宋体" w:eastAsia="宋体"/>
                <w:szCs w:val="24"/>
              </w:rPr>
            </w:pPr>
            <w:r>
              <w:rPr>
                <w:rFonts w:ascii="宋体" w:hAnsi="宋体" w:eastAsia="宋体"/>
                <w:szCs w:val="24"/>
              </w:rPr>
            </w:r>
            <w:r/>
          </w:p>
        </w:tc>
      </w:tr>
      <w:tr>
        <w:trPr/>
        <w:tc>
          <w:tcPr>
            <w:tcBorders>
              <w:top w:val="single" w:color="000000" w:sz="6" w:space="0"/>
              <w:left w:val="single" w:color="000000" w:sz="6" w:space="0"/>
              <w:bottom w:val="single" w:color="000000" w:sz="6" w:space="0"/>
              <w:right w:val="single" w:color="000000" w:sz="6" w:space="0"/>
            </w:tcBorders>
            <w:tcW w:w="2552"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企业地址</w:t>
            </w:r>
            <w:r>
              <w:rPr>
                <w:rFonts w:ascii="宋体" w:hAnsi="宋体" w:eastAsia="宋体"/>
                <w:szCs w:val="24"/>
              </w:rPr>
            </w:r>
            <w:r/>
          </w:p>
        </w:tc>
        <w:tc>
          <w:tcPr>
            <w:tcBorders>
              <w:top w:val="single" w:color="000000" w:sz="6" w:space="0"/>
              <w:left w:val="single" w:color="000000" w:sz="6" w:space="0"/>
              <w:bottom w:val="single" w:color="000000" w:sz="6" w:space="0"/>
              <w:right w:val="single" w:color="000000" w:sz="6" w:space="0"/>
            </w:tcBorders>
            <w:tcW w:w="2127" w:type="dxa"/>
            <w:vAlign w:val="top"/>
            <w:textDirection w:val="lrTb"/>
            <w:noWrap w:val="false"/>
          </w:tcPr>
          <w:p>
            <w:pPr>
              <w:pStyle w:val="908"/>
              <w:ind w:firstLine="0"/>
              <w:spacing w:line="400" w:lineRule="exact"/>
              <w:rPr>
                <w:rFonts w:ascii="宋体" w:hAnsi="宋体" w:eastAsia="宋体"/>
                <w:szCs w:val="24"/>
              </w:rPr>
            </w:pPr>
            <w:r>
              <w:rPr>
                <w:rFonts w:ascii="宋体" w:hAnsi="宋体" w:eastAsia="宋体"/>
                <w:szCs w:val="24"/>
              </w:rPr>
            </w:r>
            <w:r/>
          </w:p>
        </w:tc>
        <w:tc>
          <w:tcPr>
            <w:tcBorders>
              <w:top w:val="single" w:color="000000" w:sz="6" w:space="0"/>
              <w:left w:val="single" w:color="000000" w:sz="6" w:space="0"/>
              <w:bottom w:val="single" w:color="000000" w:sz="6" w:space="0"/>
              <w:right w:val="single" w:color="000000" w:sz="6" w:space="0"/>
            </w:tcBorders>
            <w:tcW w:w="1846"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Borders>
              <w:top w:val="single" w:color="000000" w:sz="6" w:space="0"/>
              <w:left w:val="single" w:color="000000" w:sz="6" w:space="0"/>
              <w:bottom w:val="single" w:color="000000" w:sz="6" w:space="0"/>
              <w:right w:val="single" w:color="000000" w:sz="6" w:space="0"/>
            </w:tcBorders>
            <w:tcW w:w="2406" w:type="dxa"/>
            <w:vAlign w:val="top"/>
            <w:textDirection w:val="lrTb"/>
            <w:noWrap w:val="false"/>
          </w:tcPr>
          <w:p>
            <w:pPr>
              <w:pStyle w:val="908"/>
              <w:ind w:firstLine="1680"/>
              <w:spacing w:line="400" w:lineRule="exact"/>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tc>
          <w:tcPr>
            <w:tcBorders>
              <w:top w:val="single" w:color="000000" w:sz="6" w:space="0"/>
              <w:left w:val="single" w:color="000000" w:sz="6" w:space="0"/>
              <w:bottom w:val="single" w:color="000000" w:sz="6" w:space="0"/>
              <w:right w:val="single" w:color="000000" w:sz="6" w:space="0"/>
            </w:tcBorders>
            <w:tcW w:w="2552"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Borders>
              <w:top w:val="single" w:color="000000" w:sz="6" w:space="0"/>
              <w:left w:val="single" w:color="000000" w:sz="6" w:space="0"/>
              <w:bottom w:val="single" w:color="000000" w:sz="6" w:space="0"/>
              <w:right w:val="single" w:color="000000" w:sz="6" w:space="0"/>
            </w:tcBorders>
            <w:tcW w:w="6379" w:type="dxa"/>
            <w:vAlign w:val="top"/>
            <w:textDirection w:val="lrTb"/>
            <w:noWrap w:val="false"/>
          </w:tcPr>
          <w:p>
            <w:pPr>
              <w:pStyle w:val="908"/>
              <w:ind w:firstLine="0"/>
              <w:spacing w:line="400" w:lineRule="exact"/>
              <w:rPr>
                <w:rFonts w:ascii="宋体" w:hAnsi="宋体" w:eastAsia="宋体"/>
                <w:szCs w:val="24"/>
              </w:rPr>
            </w:pPr>
            <w:r>
              <w:rPr>
                <w:rFonts w:ascii="宋体" w:hAnsi="宋体" w:eastAsia="宋体"/>
                <w:szCs w:val="24"/>
              </w:rPr>
            </w:r>
            <w:r/>
          </w:p>
        </w:tc>
      </w:tr>
      <w:tr>
        <w:trPr/>
        <w:tc>
          <w:tcPr>
            <w:tcBorders>
              <w:top w:val="single" w:color="000000" w:sz="6" w:space="0"/>
              <w:left w:val="single" w:color="000000" w:sz="6" w:space="0"/>
              <w:bottom w:val="single" w:color="000000" w:sz="6" w:space="0"/>
              <w:right w:val="single" w:color="000000" w:sz="6" w:space="0"/>
            </w:tcBorders>
            <w:tcW w:w="2552"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Borders>
              <w:top w:val="single" w:color="000000" w:sz="6" w:space="0"/>
              <w:left w:val="single" w:color="000000" w:sz="6" w:space="0"/>
              <w:bottom w:val="single" w:color="000000" w:sz="6" w:space="0"/>
              <w:right w:val="single" w:color="000000" w:sz="6" w:space="0"/>
            </w:tcBorders>
            <w:tcW w:w="2127" w:type="dxa"/>
            <w:vAlign w:val="top"/>
            <w:textDirection w:val="lrTb"/>
            <w:noWrap w:val="false"/>
          </w:tcPr>
          <w:p>
            <w:pPr>
              <w:pStyle w:val="908"/>
              <w:ind w:firstLine="0"/>
              <w:spacing w:line="400" w:lineRule="exact"/>
              <w:rPr>
                <w:rFonts w:ascii="宋体" w:hAnsi="宋体" w:eastAsia="宋体"/>
                <w:szCs w:val="24"/>
              </w:rPr>
            </w:pPr>
            <w:r>
              <w:rPr>
                <w:rFonts w:ascii="宋体" w:hAnsi="宋体" w:eastAsia="宋体"/>
                <w:szCs w:val="24"/>
              </w:rPr>
            </w:r>
            <w:r/>
          </w:p>
        </w:tc>
        <w:tc>
          <w:tcPr>
            <w:gridSpan w:val="2"/>
            <w:tcBorders>
              <w:top w:val="single" w:color="000000" w:sz="6" w:space="0"/>
              <w:left w:val="single" w:color="000000" w:sz="6" w:space="0"/>
              <w:bottom w:val="single" w:color="000000" w:sz="6" w:space="0"/>
              <w:right w:val="single" w:color="000000" w:sz="6" w:space="0"/>
            </w:tcBorders>
            <w:tcW w:w="2461"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Borders>
              <w:top w:val="single" w:color="000000" w:sz="6" w:space="0"/>
              <w:left w:val="single" w:color="000000" w:sz="6" w:space="0"/>
              <w:bottom w:val="single" w:color="000000" w:sz="6" w:space="0"/>
              <w:right w:val="single" w:color="000000" w:sz="6" w:space="0"/>
            </w:tcBorders>
            <w:tcW w:w="1791" w:type="dxa"/>
            <w:vAlign w:val="top"/>
            <w:textDirection w:val="lrTb"/>
            <w:noWrap w:val="false"/>
          </w:tcPr>
          <w:p>
            <w:pPr>
              <w:pStyle w:val="908"/>
              <w:ind w:firstLine="0"/>
              <w:spacing w:line="400" w:lineRule="exact"/>
              <w:rPr>
                <w:rFonts w:ascii="宋体" w:hAnsi="宋体" w:eastAsia="宋体"/>
                <w:szCs w:val="24"/>
              </w:rPr>
            </w:pPr>
            <w:r>
              <w:rPr>
                <w:rFonts w:ascii="宋体" w:hAnsi="宋体" w:eastAsia="宋体"/>
                <w:szCs w:val="24"/>
              </w:rPr>
            </w:r>
            <w:r/>
          </w:p>
        </w:tc>
      </w:tr>
      <w:tr>
        <w:trPr/>
        <w:tc>
          <w:tcPr>
            <w:tcBorders>
              <w:top w:val="single" w:color="000000" w:sz="6" w:space="0"/>
              <w:left w:val="single" w:color="000000" w:sz="6" w:space="0"/>
              <w:bottom w:val="single" w:color="000000" w:sz="6" w:space="0"/>
              <w:right w:val="single" w:color="000000" w:sz="6" w:space="0"/>
            </w:tcBorders>
            <w:tcW w:w="2552"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Borders>
              <w:top w:val="single" w:color="000000" w:sz="6" w:space="0"/>
              <w:left w:val="single" w:color="000000" w:sz="6" w:space="0"/>
              <w:bottom w:val="single" w:color="000000" w:sz="6" w:space="0"/>
              <w:right w:val="single" w:color="000000" w:sz="6" w:space="0"/>
            </w:tcBorders>
            <w:tcW w:w="2127" w:type="dxa"/>
            <w:vAlign w:val="top"/>
            <w:textDirection w:val="lrTb"/>
            <w:noWrap w:val="false"/>
          </w:tcPr>
          <w:p>
            <w:pPr>
              <w:pStyle w:val="908"/>
              <w:ind w:firstLine="0"/>
              <w:spacing w:line="400" w:lineRule="exact"/>
              <w:rPr>
                <w:rFonts w:ascii="宋体" w:hAnsi="宋体" w:eastAsia="宋体"/>
                <w:szCs w:val="24"/>
              </w:rPr>
            </w:pPr>
            <w:r>
              <w:rPr>
                <w:rFonts w:ascii="宋体" w:hAnsi="宋体" w:eastAsia="宋体"/>
                <w:szCs w:val="24"/>
              </w:rPr>
              <w:t xml:space="preserve">          </w:t>
            </w:r>
            <w:r>
              <w:rPr>
                <w:rFonts w:hint="eastAsia" w:ascii="宋体" w:hAnsi="宋体" w:eastAsia="宋体"/>
                <w:szCs w:val="24"/>
              </w:rPr>
              <w:t xml:space="preserve">万元</w:t>
            </w:r>
            <w:r>
              <w:rPr>
                <w:rFonts w:ascii="宋体" w:hAnsi="宋体" w:eastAsia="宋体"/>
                <w:szCs w:val="24"/>
              </w:rPr>
            </w:r>
            <w:r/>
          </w:p>
        </w:tc>
        <w:tc>
          <w:tcPr>
            <w:tcBorders>
              <w:top w:val="single" w:color="000000" w:sz="6" w:space="0"/>
              <w:left w:val="single" w:color="000000" w:sz="6" w:space="0"/>
              <w:bottom w:val="single" w:color="000000" w:sz="6" w:space="0"/>
              <w:right w:val="single" w:color="000000" w:sz="6" w:space="0"/>
            </w:tcBorders>
            <w:tcW w:w="1846"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Borders>
              <w:top w:val="single" w:color="000000" w:sz="6" w:space="0"/>
              <w:left w:val="single" w:color="000000" w:sz="6" w:space="0"/>
              <w:bottom w:val="single" w:color="000000" w:sz="6" w:space="0"/>
              <w:right w:val="single" w:color="000000" w:sz="6" w:space="0"/>
            </w:tcBorders>
            <w:tcW w:w="2406" w:type="dxa"/>
            <w:vAlign w:val="top"/>
            <w:textDirection w:val="lrTb"/>
            <w:noWrap w:val="false"/>
          </w:tcPr>
          <w:p>
            <w:pPr>
              <w:pStyle w:val="908"/>
              <w:ind w:firstLine="0"/>
              <w:spacing w:line="400" w:lineRule="exact"/>
              <w:rPr>
                <w:rFonts w:ascii="宋体" w:hAnsi="宋体" w:eastAsia="宋体"/>
                <w:szCs w:val="24"/>
              </w:rPr>
            </w:pPr>
            <w:r>
              <w:rPr>
                <w:rFonts w:ascii="宋体" w:hAnsi="宋体" w:eastAsia="宋体"/>
                <w:szCs w:val="24"/>
              </w:rPr>
              <w:t xml:space="preserve">            </w:t>
            </w:r>
            <w:r>
              <w:rPr>
                <w:rFonts w:hint="eastAsia" w:ascii="宋体" w:hAnsi="宋体" w:eastAsia="宋体"/>
                <w:szCs w:val="24"/>
              </w:rPr>
              <w:t xml:space="preserve">万元</w:t>
            </w:r>
            <w:r>
              <w:rPr>
                <w:rFonts w:ascii="宋体" w:hAnsi="宋体" w:eastAsia="宋体"/>
                <w:szCs w:val="24"/>
              </w:rPr>
            </w:r>
            <w:r/>
          </w:p>
        </w:tc>
      </w:tr>
      <w:tr>
        <w:trPr/>
        <w:tc>
          <w:tcPr>
            <w:tcBorders>
              <w:top w:val="single" w:color="000000" w:sz="6" w:space="0"/>
              <w:left w:val="single" w:color="000000" w:sz="6" w:space="0"/>
              <w:bottom w:val="single" w:color="000000" w:sz="6" w:space="0"/>
              <w:right w:val="single" w:color="000000" w:sz="6" w:space="0"/>
            </w:tcBorders>
            <w:tcW w:w="2552"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Borders>
              <w:top w:val="single" w:color="000000" w:sz="6" w:space="0"/>
              <w:left w:val="single" w:color="000000" w:sz="6" w:space="0"/>
              <w:bottom w:val="single" w:color="000000" w:sz="6" w:space="0"/>
              <w:right w:val="single" w:color="000000" w:sz="6" w:space="0"/>
            </w:tcBorders>
            <w:tcW w:w="2127" w:type="dxa"/>
            <w:vAlign w:val="top"/>
            <w:textDirection w:val="lrTb"/>
            <w:noWrap w:val="false"/>
          </w:tcPr>
          <w:p>
            <w:pPr>
              <w:pStyle w:val="908"/>
              <w:ind w:firstLine="0"/>
              <w:spacing w:line="400" w:lineRule="exact"/>
              <w:rPr>
                <w:rFonts w:ascii="宋体" w:hAnsi="宋体" w:eastAsia="宋体"/>
                <w:szCs w:val="24"/>
              </w:rPr>
            </w:pPr>
            <w:r>
              <w:rPr>
                <w:rFonts w:ascii="宋体" w:hAnsi="宋体" w:eastAsia="宋体"/>
                <w:szCs w:val="24"/>
              </w:rPr>
              <w:t xml:space="preserve">          </w:t>
            </w:r>
            <w:r>
              <w:rPr>
                <w:rFonts w:hint="eastAsia" w:ascii="宋体" w:hAnsi="宋体" w:eastAsia="宋体"/>
                <w:szCs w:val="24"/>
              </w:rPr>
              <w:t xml:space="preserve">万元</w:t>
            </w:r>
            <w:r>
              <w:rPr>
                <w:rFonts w:ascii="宋体" w:hAnsi="宋体" w:eastAsia="宋体"/>
                <w:szCs w:val="24"/>
              </w:rPr>
            </w:r>
            <w:r/>
          </w:p>
        </w:tc>
        <w:tc>
          <w:tcPr>
            <w:tcBorders>
              <w:top w:val="single" w:color="000000" w:sz="6" w:space="0"/>
              <w:left w:val="single" w:color="000000" w:sz="6" w:space="0"/>
              <w:bottom w:val="single" w:color="000000" w:sz="6" w:space="0"/>
              <w:right w:val="single" w:color="000000" w:sz="6" w:space="0"/>
            </w:tcBorders>
            <w:tcW w:w="1846"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Borders>
              <w:top w:val="single" w:color="000000" w:sz="6" w:space="0"/>
              <w:left w:val="single" w:color="000000" w:sz="6" w:space="0"/>
              <w:bottom w:val="single" w:color="000000" w:sz="6" w:space="0"/>
              <w:right w:val="single" w:color="000000" w:sz="6" w:space="0"/>
            </w:tcBorders>
            <w:tcW w:w="2406"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2025年</w:t>
            </w:r>
            <w:r>
              <w:rPr>
                <w:rFonts w:ascii="宋体" w:hAnsi="宋体" w:eastAsia="宋体"/>
                <w:szCs w:val="24"/>
              </w:rPr>
              <w:t xml:space="preserve">      </w:t>
            </w:r>
            <w:r>
              <w:rPr>
                <w:rFonts w:hint="eastAsia" w:ascii="宋体" w:hAnsi="宋体" w:eastAsia="宋体"/>
                <w:szCs w:val="24"/>
              </w:rPr>
              <w:t xml:space="preserve">万元</w:t>
            </w:r>
            <w:r>
              <w:rPr>
                <w:rFonts w:ascii="宋体" w:hAnsi="宋体" w:eastAsia="宋体"/>
                <w:szCs w:val="24"/>
              </w:rPr>
            </w:r>
            <w:r/>
          </w:p>
        </w:tc>
      </w:tr>
      <w:tr>
        <w:trPr/>
        <w:tc>
          <w:tcPr>
            <w:tcBorders>
              <w:top w:val="single" w:color="000000" w:sz="6" w:space="0"/>
              <w:left w:val="single" w:color="000000" w:sz="6" w:space="0"/>
              <w:bottom w:val="single" w:color="000000" w:sz="6" w:space="0"/>
              <w:right w:val="single" w:color="000000" w:sz="6" w:space="0"/>
            </w:tcBorders>
            <w:tcW w:w="2552"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Borders>
              <w:top w:val="single" w:color="000000" w:sz="6" w:space="0"/>
              <w:left w:val="single" w:color="000000" w:sz="6" w:space="0"/>
              <w:bottom w:val="single" w:color="000000" w:sz="6" w:space="0"/>
              <w:right w:val="single" w:color="000000" w:sz="6" w:space="0"/>
            </w:tcBorders>
            <w:tcW w:w="2127"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2025年</w:t>
            </w:r>
            <w:r>
              <w:rPr>
                <w:rFonts w:ascii="宋体" w:hAnsi="宋体" w:eastAsia="宋体"/>
                <w:szCs w:val="24"/>
              </w:rPr>
              <w:t xml:space="preserve">  </w:t>
            </w:r>
            <w:r>
              <w:rPr>
                <w:rFonts w:hint="eastAsia" w:ascii="宋体" w:hAnsi="宋体" w:eastAsia="宋体"/>
                <w:szCs w:val="24"/>
              </w:rPr>
              <w:t xml:space="preserve"> 万元</w:t>
            </w:r>
            <w:r>
              <w:rPr>
                <w:rFonts w:ascii="宋体" w:hAnsi="宋体" w:eastAsia="宋体"/>
                <w:szCs w:val="24"/>
              </w:rPr>
            </w:r>
            <w:r/>
          </w:p>
        </w:tc>
        <w:tc>
          <w:tcPr>
            <w:tcBorders>
              <w:top w:val="single" w:color="000000" w:sz="6" w:space="0"/>
              <w:left w:val="single" w:color="000000" w:sz="6" w:space="0"/>
              <w:bottom w:val="single" w:color="000000" w:sz="6" w:space="0"/>
              <w:right w:val="single" w:color="000000" w:sz="6" w:space="0"/>
            </w:tcBorders>
            <w:tcW w:w="1846" w:type="dxa"/>
            <w:vAlign w:val="top"/>
            <w:textDirection w:val="lrTb"/>
            <w:noWrap w:val="false"/>
          </w:tcPr>
          <w:p>
            <w:pPr>
              <w:pStyle w:val="908"/>
              <w:ind w:firstLine="0"/>
              <w:spacing w:line="400" w:lineRule="exact"/>
              <w:rPr>
                <w:rFonts w:ascii="宋体" w:hAnsi="宋体" w:eastAsia="宋体"/>
                <w:szCs w:val="24"/>
              </w:rPr>
            </w:pPr>
            <w:r>
              <w:rPr>
                <w:rFonts w:ascii="宋体" w:hAnsi="宋体" w:eastAsia="宋体"/>
                <w:szCs w:val="24"/>
              </w:rPr>
            </w:r>
            <w:r/>
          </w:p>
        </w:tc>
        <w:tc>
          <w:tcPr>
            <w:gridSpan w:val="2"/>
            <w:tcBorders>
              <w:top w:val="single" w:color="000000" w:sz="6" w:space="0"/>
              <w:left w:val="single" w:color="000000" w:sz="6" w:space="0"/>
              <w:bottom w:val="single" w:color="000000" w:sz="6" w:space="0"/>
              <w:right w:val="single" w:color="000000" w:sz="6" w:space="0"/>
            </w:tcBorders>
            <w:tcW w:w="2406" w:type="dxa"/>
            <w:vAlign w:val="center"/>
            <w:textDirection w:val="lrTb"/>
            <w:noWrap w:val="false"/>
          </w:tcPr>
          <w:p>
            <w:pPr>
              <w:pStyle w:val="895"/>
              <w:rPr>
                <w:rFonts w:ascii="宋体" w:hAnsi="宋体"/>
                <w:sz w:val="24"/>
              </w:rPr>
            </w:pPr>
            <w:r>
              <w:rPr>
                <w:rFonts w:ascii="宋体" w:hAnsi="宋体"/>
                <w:sz w:val="24"/>
              </w:rPr>
            </w:r>
            <w:r/>
          </w:p>
        </w:tc>
      </w:tr>
      <w:tr>
        <w:trPr/>
        <w:tc>
          <w:tcPr>
            <w:gridSpan w:val="2"/>
            <w:tcBorders>
              <w:top w:val="single" w:color="000000" w:sz="6" w:space="0"/>
              <w:left w:val="single" w:color="000000" w:sz="6" w:space="0"/>
              <w:bottom w:val="single" w:color="000000" w:sz="6" w:space="0"/>
              <w:right w:val="single" w:color="000000" w:sz="6" w:space="0"/>
            </w:tcBorders>
            <w:tcW w:w="4679"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营业面积（含厂房面积）：</w:t>
            </w:r>
            <w:r>
              <w:rPr>
                <w:rFonts w:ascii="宋体" w:hAnsi="宋体" w:eastAsia="宋体"/>
                <w:szCs w:val="24"/>
              </w:rPr>
              <w:t xml:space="preserve">      </w:t>
            </w:r>
            <w:r>
              <w:rPr>
                <w:rFonts w:hint="eastAsia" w:ascii="宋体" w:hAnsi="宋体" w:eastAsia="宋体"/>
                <w:szCs w:val="24"/>
              </w:rPr>
              <w:t xml:space="preserve">平方米</w:t>
            </w:r>
            <w:r>
              <w:rPr>
                <w:rFonts w:ascii="宋体" w:hAnsi="宋体" w:eastAsia="宋体"/>
                <w:szCs w:val="24"/>
              </w:rPr>
            </w:r>
            <w:r/>
          </w:p>
        </w:tc>
        <w:tc>
          <w:tcPr>
            <w:tcBorders>
              <w:top w:val="single" w:color="000000" w:sz="6" w:space="0"/>
              <w:left w:val="single" w:color="000000" w:sz="6" w:space="0"/>
              <w:bottom w:val="single" w:color="000000" w:sz="6" w:space="0"/>
              <w:right w:val="single" w:color="000000" w:sz="6" w:space="0"/>
            </w:tcBorders>
            <w:tcW w:w="1846"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自有面积：</w:t>
            </w:r>
            <w:r>
              <w:rPr>
                <w:rFonts w:ascii="宋体" w:hAnsi="宋体" w:eastAsia="宋体"/>
                <w:szCs w:val="24"/>
              </w:rPr>
            </w:r>
            <w:r/>
          </w:p>
          <w:p>
            <w:pPr>
              <w:pStyle w:val="908"/>
              <w:ind w:firstLine="0"/>
              <w:spacing w:line="400" w:lineRule="exact"/>
              <w:rPr>
                <w:rFonts w:ascii="宋体" w:hAnsi="宋体" w:eastAsia="宋体"/>
                <w:szCs w:val="24"/>
              </w:rPr>
            </w:pPr>
            <w:r>
              <w:rPr>
                <w:rFonts w:hint="eastAsia" w:ascii="宋体" w:hAnsi="宋体" w:eastAsia="宋体"/>
                <w:szCs w:val="24"/>
              </w:rPr>
              <w:t xml:space="preserve">承租面积</w:t>
            </w:r>
            <w:r>
              <w:rPr>
                <w:rFonts w:ascii="宋体" w:hAnsi="宋体" w:eastAsia="宋体"/>
                <w:szCs w:val="24"/>
              </w:rPr>
              <w:t xml:space="preserve"> </w:t>
            </w:r>
            <w:r>
              <w:rPr>
                <w:rFonts w:hint="eastAsia" w:ascii="宋体" w:hAnsi="宋体" w:eastAsia="宋体"/>
                <w:szCs w:val="24"/>
              </w:rPr>
              <w:t xml:space="preserve">：</w:t>
            </w:r>
            <w:r>
              <w:rPr>
                <w:rFonts w:ascii="宋体" w:hAnsi="宋体" w:eastAsia="宋体"/>
                <w:szCs w:val="24"/>
              </w:rPr>
            </w:r>
            <w:r/>
          </w:p>
        </w:tc>
        <w:tc>
          <w:tcPr>
            <w:gridSpan w:val="2"/>
            <w:tcBorders>
              <w:top w:val="single" w:color="000000" w:sz="6" w:space="0"/>
              <w:left w:val="single" w:color="000000" w:sz="6" w:space="0"/>
              <w:bottom w:val="single" w:color="000000" w:sz="6" w:space="0"/>
              <w:right w:val="single" w:color="000000" w:sz="6" w:space="0"/>
            </w:tcBorders>
            <w:tcW w:w="2406" w:type="dxa"/>
            <w:vAlign w:val="top"/>
            <w:textDirection w:val="lrTb"/>
            <w:noWrap w:val="false"/>
          </w:tcPr>
          <w:p>
            <w:pPr>
              <w:pStyle w:val="908"/>
              <w:ind w:firstLine="0"/>
              <w:spacing w:line="400" w:lineRule="exact"/>
              <w:rPr>
                <w:rFonts w:hint="eastAsia" w:ascii="宋体" w:hAnsi="宋体" w:eastAsia="宋体" w:cs="宋体"/>
                <w:szCs w:val="24"/>
              </w:rPr>
            </w:pPr>
            <w:r>
              <w:rPr>
                <w:rFonts w:hint="eastAsia" w:ascii="宋体" w:hAnsi="宋体" w:eastAsia="宋体" w:cs="宋体"/>
                <w:szCs w:val="24"/>
              </w:rPr>
              <w:t xml:space="preserve">实验室面积：</w:t>
            </w:r>
            <w:r/>
          </w:p>
          <w:p>
            <w:pPr>
              <w:pStyle w:val="908"/>
              <w:ind w:firstLine="0"/>
              <w:spacing w:line="400" w:lineRule="exact"/>
              <w:rPr>
                <w:rFonts w:hint="eastAsia" w:ascii="宋体" w:hAnsi="宋体" w:eastAsia="宋体" w:cs="宋体"/>
                <w:szCs w:val="24"/>
              </w:rPr>
            </w:pPr>
            <w:r>
              <w:rPr>
                <w:rFonts w:hint="eastAsia" w:ascii="宋体" w:hAnsi="宋体" w:eastAsia="宋体" w:cs="宋体"/>
                <w:szCs w:val="24"/>
              </w:rPr>
              <w:t xml:space="preserve">办公面积：</w:t>
            </w:r>
            <w:r/>
          </w:p>
        </w:tc>
      </w:tr>
      <w:tr>
        <w:trPr/>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pStyle w:val="895"/>
              <w:jc w:val="left"/>
              <w:rPr>
                <w:rFonts w:hint="eastAsia" w:ascii="宋体" w:hAnsi="宋体" w:cs="宋体"/>
                <w:bCs/>
                <w:sz w:val="24"/>
              </w:rPr>
            </w:pPr>
            <w:r>
              <w:rPr>
                <w:rFonts w:hint="eastAsia" w:ascii="宋体" w:hAnsi="宋体" w:cs="宋体"/>
                <w:bCs/>
                <w:sz w:val="24"/>
              </w:rPr>
              <w:t xml:space="preserve">取得</w:t>
            </w:r>
            <w:r>
              <w:rPr>
                <w:rFonts w:hint="eastAsia" w:ascii="宋体" w:hAnsi="宋体" w:cs="宋体"/>
                <w:sz w:val="24"/>
              </w:rPr>
              <w:t xml:space="preserve">CMA认证</w:t>
            </w:r>
            <w:r>
              <w:rPr>
                <w:rFonts w:hint="eastAsia" w:ascii="宋体" w:hAnsi="宋体" w:cs="宋体"/>
                <w:bCs/>
                <w:sz w:val="24"/>
              </w:rPr>
              <w:t xml:space="preserve">时间</w:t>
            </w:r>
            <w:r/>
          </w:p>
          <w:p>
            <w:pPr>
              <w:pStyle w:val="895"/>
              <w:jc w:val="left"/>
              <w:rPr>
                <w:rFonts w:hint="eastAsia" w:ascii="宋体" w:hAnsi="宋体"/>
                <w:sz w:val="24"/>
              </w:rPr>
            </w:pPr>
            <w:r>
              <w:rPr>
                <w:rFonts w:hint="eastAsia" w:ascii="宋体" w:hAnsi="宋体" w:cs="宋体"/>
                <w:bCs/>
                <w:sz w:val="24"/>
              </w:rPr>
              <w:t xml:space="preserve">证书有效期</w:t>
            </w:r>
            <w:r>
              <w:rPr>
                <w:rFonts w:hint="eastAsia" w:ascii="宋体" w:hAnsi="宋体"/>
                <w:sz w:val="24"/>
              </w:rPr>
            </w:r>
            <w:r/>
          </w:p>
        </w:tc>
        <w:tc>
          <w:tcPr>
            <w:gridSpan w:val="4"/>
            <w:tcBorders>
              <w:top w:val="single" w:color="000000" w:sz="6" w:space="0"/>
              <w:left w:val="single" w:color="000000" w:sz="6" w:space="0"/>
              <w:bottom w:val="single" w:color="000000" w:sz="6" w:space="0"/>
              <w:right w:val="single" w:color="000000" w:sz="6" w:space="0"/>
            </w:tcBorders>
            <w:tcW w:w="6379" w:type="dxa"/>
            <w:vAlign w:val="top"/>
            <w:textDirection w:val="lrTb"/>
            <w:noWrap w:val="false"/>
          </w:tcPr>
          <w:p>
            <w:pPr>
              <w:pStyle w:val="908"/>
              <w:ind w:firstLine="0"/>
              <w:spacing w:line="400" w:lineRule="exact"/>
              <w:rPr>
                <w:rFonts w:hint="eastAsia" w:ascii="宋体" w:hAnsi="宋体" w:eastAsia="宋体"/>
                <w:szCs w:val="24"/>
              </w:rPr>
            </w:pPr>
            <w:r>
              <w:rPr>
                <w:rFonts w:hint="eastAsia" w:ascii="宋体" w:hAnsi="宋体" w:eastAsia="宋体"/>
                <w:szCs w:val="24"/>
              </w:rPr>
            </w:r>
            <w:r/>
          </w:p>
        </w:tc>
      </w:tr>
      <w:tr>
        <w:trPr/>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pStyle w:val="895"/>
              <w:jc w:val="left"/>
              <w:rPr>
                <w:rFonts w:hint="eastAsia" w:ascii="宋体" w:hAnsi="宋体" w:cs="宋体"/>
                <w:bCs/>
                <w:sz w:val="24"/>
              </w:rPr>
            </w:pPr>
            <w:r>
              <w:rPr>
                <w:rFonts w:hint="eastAsia" w:ascii="宋体" w:hAnsi="宋体" w:cs="宋体"/>
                <w:bCs/>
                <w:sz w:val="24"/>
              </w:rPr>
              <w:t xml:space="preserve">取得</w:t>
            </w:r>
            <w:r>
              <w:rPr>
                <w:rFonts w:hint="eastAsia" w:ascii="宋体" w:hAnsi="宋体" w:cs="宋体"/>
                <w:sz w:val="24"/>
              </w:rPr>
              <w:t xml:space="preserve">CNAL认证</w:t>
            </w:r>
            <w:r>
              <w:rPr>
                <w:rFonts w:hint="eastAsia" w:ascii="宋体" w:hAnsi="宋体" w:cs="宋体"/>
                <w:bCs/>
                <w:sz w:val="24"/>
              </w:rPr>
              <w:t xml:space="preserve">时间</w:t>
            </w:r>
            <w:r/>
          </w:p>
          <w:p>
            <w:pPr>
              <w:pStyle w:val="895"/>
              <w:jc w:val="left"/>
              <w:rPr>
                <w:rFonts w:hint="eastAsia" w:ascii="宋体" w:hAnsi="宋体"/>
                <w:sz w:val="24"/>
              </w:rPr>
            </w:pPr>
            <w:r>
              <w:rPr>
                <w:rFonts w:hint="eastAsia" w:ascii="宋体" w:hAnsi="宋体" w:cs="宋体"/>
                <w:bCs/>
                <w:sz w:val="24"/>
              </w:rPr>
              <w:t xml:space="preserve">证书有效期</w:t>
            </w:r>
            <w:r>
              <w:rPr>
                <w:rFonts w:hint="eastAsia" w:ascii="宋体" w:hAnsi="宋体"/>
                <w:sz w:val="24"/>
              </w:rPr>
            </w:r>
            <w:r/>
          </w:p>
        </w:tc>
        <w:tc>
          <w:tcPr>
            <w:gridSpan w:val="4"/>
            <w:tcBorders>
              <w:top w:val="single" w:color="000000" w:sz="6" w:space="0"/>
              <w:left w:val="single" w:color="000000" w:sz="6" w:space="0"/>
              <w:bottom w:val="single" w:color="000000" w:sz="6" w:space="0"/>
              <w:right w:val="single" w:color="000000" w:sz="6" w:space="0"/>
            </w:tcBorders>
            <w:tcW w:w="6379" w:type="dxa"/>
            <w:vAlign w:val="top"/>
            <w:textDirection w:val="lrTb"/>
            <w:noWrap w:val="false"/>
          </w:tcPr>
          <w:p>
            <w:pPr>
              <w:pStyle w:val="908"/>
              <w:ind w:firstLine="0"/>
              <w:spacing w:line="400" w:lineRule="exact"/>
              <w:rPr>
                <w:rFonts w:hint="eastAsia" w:ascii="宋体" w:hAnsi="宋体" w:eastAsia="宋体"/>
                <w:szCs w:val="24"/>
              </w:rPr>
            </w:pPr>
            <w:r>
              <w:rPr>
                <w:rFonts w:hint="eastAsia" w:ascii="宋体" w:hAnsi="宋体" w:eastAsia="宋体"/>
                <w:szCs w:val="24"/>
              </w:rPr>
            </w:r>
            <w:r/>
          </w:p>
        </w:tc>
      </w:tr>
      <w:tr>
        <w:trPr/>
        <w:tc>
          <w:tcPr>
            <w:tcBorders>
              <w:top w:val="single" w:color="000000" w:sz="6" w:space="0"/>
              <w:left w:val="single" w:color="000000" w:sz="6" w:space="0"/>
              <w:bottom w:val="single" w:color="000000" w:sz="6" w:space="0"/>
              <w:right w:val="single" w:color="000000" w:sz="6" w:space="0"/>
            </w:tcBorders>
            <w:tcW w:w="2552"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单位简历及内设机构情况</w:t>
            </w:r>
            <w:r>
              <w:rPr>
                <w:rFonts w:ascii="宋体" w:hAnsi="宋体" w:eastAsia="宋体"/>
                <w:szCs w:val="24"/>
              </w:rPr>
            </w:r>
            <w:r/>
          </w:p>
        </w:tc>
        <w:tc>
          <w:tcPr>
            <w:gridSpan w:val="4"/>
            <w:tcBorders>
              <w:top w:val="single" w:color="000000" w:sz="6" w:space="0"/>
              <w:left w:val="single" w:color="000000" w:sz="6" w:space="0"/>
              <w:bottom w:val="single" w:color="000000" w:sz="6" w:space="0"/>
              <w:right w:val="single" w:color="000000" w:sz="6" w:space="0"/>
            </w:tcBorders>
            <w:tcW w:w="6379" w:type="dxa"/>
            <w:vAlign w:val="top"/>
            <w:textDirection w:val="lrTb"/>
            <w:noWrap w:val="false"/>
          </w:tcPr>
          <w:p>
            <w:pPr>
              <w:pStyle w:val="908"/>
              <w:ind w:firstLine="0"/>
              <w:spacing w:line="400" w:lineRule="exact"/>
              <w:rPr>
                <w:rFonts w:hint="eastAsia" w:ascii="宋体" w:hAnsi="宋体" w:eastAsia="宋体"/>
                <w:szCs w:val="24"/>
              </w:rPr>
            </w:pPr>
            <w:r>
              <w:rPr>
                <w:rFonts w:hint="eastAsia" w:ascii="宋体" w:hAnsi="宋体" w:eastAsia="宋体"/>
                <w:szCs w:val="24"/>
              </w:rPr>
            </w:r>
            <w:r/>
          </w:p>
        </w:tc>
      </w:tr>
      <w:tr>
        <w:trPr/>
        <w:tc>
          <w:tcPr>
            <w:tcBorders>
              <w:top w:val="single" w:color="000000" w:sz="6" w:space="0"/>
              <w:left w:val="single" w:color="000000" w:sz="6" w:space="0"/>
              <w:bottom w:val="single" w:color="000000" w:sz="6" w:space="0"/>
              <w:right w:val="single" w:color="000000" w:sz="6" w:space="0"/>
            </w:tcBorders>
            <w:tcW w:w="2552"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tc>
        <w:tc>
          <w:tcPr>
            <w:gridSpan w:val="4"/>
            <w:tcBorders>
              <w:top w:val="single" w:color="000000" w:sz="6" w:space="0"/>
              <w:left w:val="single" w:color="000000" w:sz="6" w:space="0"/>
              <w:bottom w:val="single" w:color="000000" w:sz="6" w:space="0"/>
              <w:right w:val="single" w:color="000000" w:sz="6" w:space="0"/>
            </w:tcBorders>
            <w:tcW w:w="6379" w:type="dxa"/>
            <w:vAlign w:val="top"/>
            <w:textDirection w:val="lrTb"/>
            <w:noWrap w:val="false"/>
          </w:tcPr>
          <w:p>
            <w:pPr>
              <w:pStyle w:val="908"/>
              <w:ind w:firstLine="0"/>
              <w:spacing w:line="400" w:lineRule="exact"/>
              <w:rPr>
                <w:rFonts w:ascii="宋体" w:hAnsi="宋体" w:eastAsia="宋体"/>
                <w:szCs w:val="24"/>
              </w:rPr>
            </w:pPr>
            <w:r>
              <w:rPr>
                <w:rFonts w:ascii="宋体" w:hAnsi="宋体" w:eastAsia="宋体"/>
                <w:szCs w:val="24"/>
              </w:rPr>
            </w:r>
            <w:r/>
          </w:p>
        </w:tc>
      </w:tr>
      <w:tr>
        <w:trPr/>
        <w:tc>
          <w:tcPr>
            <w:tcBorders>
              <w:top w:val="single" w:color="000000" w:sz="6" w:space="0"/>
              <w:left w:val="single" w:color="000000" w:sz="6" w:space="0"/>
              <w:bottom w:val="single" w:color="000000" w:sz="6" w:space="0"/>
              <w:right w:val="single" w:color="000000" w:sz="6" w:space="0"/>
            </w:tcBorders>
            <w:tcW w:w="2552"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Borders>
              <w:top w:val="single" w:color="000000" w:sz="6" w:space="0"/>
              <w:left w:val="single" w:color="000000" w:sz="6" w:space="0"/>
              <w:bottom w:val="single" w:color="000000" w:sz="6" w:space="0"/>
              <w:right w:val="single" w:color="000000" w:sz="6" w:space="0"/>
            </w:tcBorders>
            <w:tcW w:w="6379" w:type="dxa"/>
            <w:vAlign w:val="top"/>
            <w:textDirection w:val="lrTb"/>
            <w:noWrap w:val="false"/>
          </w:tcPr>
          <w:p>
            <w:pPr>
              <w:pStyle w:val="908"/>
              <w:ind w:firstLine="0"/>
              <w:spacing w:line="400" w:lineRule="exact"/>
              <w:rPr>
                <w:rFonts w:ascii="宋体" w:hAnsi="宋体" w:eastAsia="宋体"/>
                <w:szCs w:val="24"/>
              </w:rPr>
            </w:pPr>
            <w:r>
              <w:rPr>
                <w:rFonts w:ascii="宋体" w:hAnsi="宋体" w:eastAsia="宋体"/>
                <w:szCs w:val="24"/>
              </w:rPr>
            </w:r>
            <w:r/>
          </w:p>
        </w:tc>
      </w:tr>
      <w:tr>
        <w:trPr/>
        <w:tc>
          <w:tcPr>
            <w:tcBorders>
              <w:top w:val="single" w:color="000000" w:sz="6" w:space="0"/>
              <w:left w:val="single" w:color="000000" w:sz="6" w:space="0"/>
              <w:bottom w:val="single" w:color="000000" w:sz="6" w:space="0"/>
              <w:right w:val="single" w:color="000000" w:sz="6" w:space="0"/>
            </w:tcBorders>
            <w:tcW w:w="2552"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W w:w="6379"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（包括解决方式和结果）</w:t>
            </w:r>
            <w:r>
              <w:rPr>
                <w:rFonts w:ascii="宋体" w:hAnsi="宋体" w:eastAsia="宋体"/>
                <w:szCs w:val="24"/>
              </w:rPr>
            </w:r>
            <w:r/>
          </w:p>
        </w:tc>
      </w:tr>
      <w:tr>
        <w:trPr/>
        <w:tc>
          <w:tcPr>
            <w:tcBorders>
              <w:top w:val="single" w:color="000000" w:sz="6" w:space="0"/>
              <w:left w:val="single" w:color="000000" w:sz="6" w:space="0"/>
              <w:bottom w:val="single" w:color="000000" w:sz="6" w:space="0"/>
              <w:right w:val="single" w:color="000000" w:sz="6" w:space="0"/>
            </w:tcBorders>
            <w:tcW w:w="2552"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379" w:type="dxa"/>
            <w:vAlign w:val="top"/>
            <w:textDirection w:val="lrTb"/>
            <w:noWrap w:val="false"/>
          </w:tcPr>
          <w:p>
            <w:pPr>
              <w:pStyle w:val="908"/>
              <w:ind w:firstLine="0"/>
              <w:spacing w:line="400" w:lineRule="exact"/>
              <w:rPr>
                <w:rFonts w:ascii="宋体" w:hAnsi="宋体" w:eastAsia="宋体"/>
                <w:szCs w:val="24"/>
              </w:rPr>
            </w:pPr>
            <w:r>
              <w:rPr>
                <w:rFonts w:ascii="宋体" w:hAnsi="宋体" w:eastAsia="宋体"/>
                <w:szCs w:val="24"/>
              </w:rPr>
            </w:r>
            <w:r/>
          </w:p>
        </w:tc>
      </w:tr>
      <w:tr>
        <w:trPr/>
        <w:tc>
          <w:tcPr>
            <w:tcBorders>
              <w:top w:val="single" w:color="000000" w:sz="6" w:space="0"/>
              <w:left w:val="single" w:color="000000" w:sz="6" w:space="0"/>
              <w:bottom w:val="single" w:color="000000" w:sz="6" w:space="0"/>
              <w:right w:val="single" w:color="000000" w:sz="6" w:space="0"/>
            </w:tcBorders>
            <w:tcW w:w="2552"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获得技术认证的工程师及简介</w:t>
            </w:r>
            <w:r>
              <w:rPr>
                <w:rFonts w:ascii="宋体" w:hAnsi="宋体" w:eastAsia="宋体"/>
                <w:szCs w:val="24"/>
              </w:rPr>
            </w:r>
            <w:r/>
          </w:p>
        </w:tc>
        <w:tc>
          <w:tcPr>
            <w:gridSpan w:val="4"/>
            <w:tcBorders>
              <w:top w:val="single" w:color="000000" w:sz="6" w:space="0"/>
              <w:left w:val="single" w:color="000000" w:sz="6" w:space="0"/>
              <w:bottom w:val="single" w:color="000000" w:sz="6" w:space="0"/>
              <w:right w:val="single" w:color="000000" w:sz="6" w:space="0"/>
            </w:tcBorders>
            <w:tcW w:w="6379" w:type="dxa"/>
            <w:vAlign w:val="top"/>
            <w:textDirection w:val="lrTb"/>
            <w:noWrap w:val="false"/>
          </w:tcPr>
          <w:p>
            <w:pPr>
              <w:pStyle w:val="908"/>
              <w:ind w:firstLine="0"/>
              <w:spacing w:line="400" w:lineRule="exact"/>
              <w:rPr>
                <w:rFonts w:ascii="宋体" w:hAnsi="宋体" w:eastAsia="宋体"/>
                <w:szCs w:val="24"/>
              </w:rPr>
            </w:pPr>
            <w:r>
              <w:rPr>
                <w:rFonts w:ascii="宋体" w:hAnsi="宋体" w:eastAsia="宋体"/>
                <w:szCs w:val="24"/>
              </w:rPr>
            </w:r>
            <w:r/>
          </w:p>
        </w:tc>
      </w:tr>
      <w:tr>
        <w:trPr>
          <w:trHeight w:val="510"/>
        </w:trPr>
        <w:tc>
          <w:tcPr>
            <w:tcBorders>
              <w:top w:val="single" w:color="000000" w:sz="6" w:space="0"/>
              <w:left w:val="single" w:color="000000" w:sz="6" w:space="0"/>
              <w:bottom w:val="single" w:color="000000" w:sz="6" w:space="0"/>
              <w:right w:val="single" w:color="000000" w:sz="6" w:space="0"/>
            </w:tcBorders>
            <w:tcW w:w="2552" w:type="dxa"/>
            <w:vAlign w:val="top"/>
            <w:textDirection w:val="lrTb"/>
            <w:noWrap w:val="false"/>
          </w:tcPr>
          <w:p>
            <w:pPr>
              <w:pStyle w:val="908"/>
              <w:ind w:firstLine="0"/>
              <w:spacing w:line="400" w:lineRule="exact"/>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Borders>
              <w:top w:val="single" w:color="000000" w:sz="6" w:space="0"/>
              <w:left w:val="single" w:color="000000" w:sz="6" w:space="0"/>
              <w:bottom w:val="single" w:color="000000" w:sz="6" w:space="0"/>
              <w:right w:val="single" w:color="000000" w:sz="6" w:space="0"/>
            </w:tcBorders>
            <w:tcW w:w="6379" w:type="dxa"/>
            <w:vAlign w:val="top"/>
            <w:textDirection w:val="lrTb"/>
            <w:noWrap w:val="false"/>
          </w:tcPr>
          <w:p>
            <w:pPr>
              <w:pStyle w:val="908"/>
              <w:ind w:firstLine="0"/>
              <w:spacing w:line="400" w:lineRule="exact"/>
              <w:rPr>
                <w:rFonts w:ascii="宋体" w:hAnsi="宋体" w:eastAsia="宋体"/>
                <w:szCs w:val="24"/>
              </w:rPr>
            </w:pPr>
            <w:r>
              <w:rPr>
                <w:rFonts w:ascii="宋体" w:hAnsi="宋体" w:eastAsia="宋体"/>
                <w:szCs w:val="24"/>
              </w:rPr>
            </w:r>
            <w:r/>
          </w:p>
        </w:tc>
      </w:tr>
    </w:tbl>
    <w:p>
      <w:pPr>
        <w:pStyle w:val="908"/>
        <w:ind w:firstLine="0"/>
        <w:rPr>
          <w:rFonts w:ascii="宋体" w:hAnsi="宋体" w:eastAsia="宋体"/>
          <w:b/>
          <w:szCs w:val="24"/>
        </w:rPr>
      </w:pPr>
      <w:r>
        <w:rPr>
          <w:rFonts w:ascii="宋体" w:hAnsi="宋体" w:eastAsia="宋体"/>
          <w:b/>
          <w:sz w:val="21"/>
          <w:szCs w:val="21"/>
        </w:rPr>
        <w:br w:type="page" w:clear="all"/>
      </w:r>
      <w:r>
        <w:rPr>
          <w:rFonts w:hint="eastAsia" w:ascii="宋体" w:hAnsi="宋体" w:eastAsia="宋体"/>
          <w:b/>
        </w:rPr>
        <w:t xml:space="preserve">3）</w:t>
      </w:r>
      <w:r>
        <w:rPr>
          <w:rFonts w:ascii="宋体" w:hAnsi="宋体" w:eastAsia="宋体"/>
          <w:b/>
          <w:szCs w:val="24"/>
        </w:rPr>
        <w:t xml:space="preserve">中小企业声明函</w:t>
      </w:r>
      <w:r/>
    </w:p>
    <w:p>
      <w:pPr>
        <w:pStyle w:val="895"/>
        <w:jc w:val="center"/>
        <w:spacing w:line="400" w:lineRule="exact"/>
        <w:shd w:val="clear" w:color="auto" w:fill="ffffff"/>
        <w:rPr>
          <w:rFonts w:ascii="宋体" w:hAnsi="宋体"/>
          <w:b/>
          <w:sz w:val="28"/>
          <w:szCs w:val="28"/>
        </w:rPr>
      </w:pPr>
      <w:r>
        <w:rPr>
          <w:rFonts w:hint="eastAsia" w:ascii="宋体" w:hAnsi="宋体"/>
          <w:b/>
          <w:sz w:val="28"/>
          <w:szCs w:val="28"/>
        </w:rPr>
        <w:t xml:space="preserve">中小企业声明函（服务）</w:t>
      </w:r>
      <w:r>
        <w:rPr>
          <w:rFonts w:ascii="宋体" w:hAnsi="宋体"/>
          <w:b/>
          <w:sz w:val="28"/>
          <w:szCs w:val="28"/>
        </w:rPr>
      </w:r>
      <w:r/>
    </w:p>
    <w:p>
      <w:pPr>
        <w:pStyle w:val="979"/>
        <w:spacing w:line="400" w:lineRule="exact"/>
        <w:shd w:val="clear" w:color="auto" w:fill="ffffff"/>
        <w:rPr>
          <w:b/>
          <w:szCs w:val="24"/>
        </w:rPr>
      </w:pPr>
      <w:r>
        <w:rPr>
          <w:b/>
          <w:szCs w:val="24"/>
        </w:rPr>
        <w:t xml:space="preserve">______________________：</w:t>
      </w:r>
      <w:r>
        <w:rPr>
          <w:b/>
          <w:szCs w:val="24"/>
        </w:rPr>
      </w:r>
      <w:r/>
    </w:p>
    <w:p>
      <w:pPr>
        <w:pStyle w:val="895"/>
        <w:ind w:firstLine="720"/>
        <w:spacing w:line="360" w:lineRule="auto"/>
        <w:shd w:val="clear" w:color="auto" w:fill="ffffff"/>
        <w:rPr>
          <w:rFonts w:ascii="宋体" w:hAnsi="宋体"/>
          <w:sz w:val="24"/>
        </w:rPr>
      </w:pPr>
      <w:r>
        <w:rPr>
          <w:rFonts w:hint="eastAsia" w:ascii="宋体" w:hAnsi="宋体"/>
          <w:sz w:val="24"/>
        </w:rPr>
        <w:t xml:space="preserve">本公司郑重声明，根据《政府采购促进中小企业发展管理办法》（财库[2020]46号）的规定，本公司(联合体）参加__</w:t>
      </w:r>
      <w:r>
        <w:rPr>
          <w:rFonts w:hint="eastAsia" w:ascii="宋体" w:hAnsi="宋体"/>
          <w:sz w:val="24"/>
          <w:u w:val="single"/>
        </w:rPr>
        <w:t xml:space="preserve">（单位名称）___</w:t>
      </w:r>
      <w:r>
        <w:rPr>
          <w:rFonts w:hint="eastAsia" w:ascii="宋体" w:hAnsi="宋体"/>
          <w:sz w:val="24"/>
        </w:rPr>
        <w:t xml:space="preserve">_的</w:t>
      </w:r>
      <w:r>
        <w:rPr>
          <w:rFonts w:hint="eastAsia" w:ascii="宋体" w:hAnsi="宋体"/>
          <w:sz w:val="24"/>
          <w:u w:val="single"/>
        </w:rPr>
        <w:t xml:space="preserve">（项目名称）</w:t>
      </w:r>
      <w:r>
        <w:rPr>
          <w:rFonts w:hint="eastAsia" w:ascii="宋体" w:hAnsi="宋体"/>
          <w:sz w:val="24"/>
        </w:rPr>
        <w:t xml:space="preserve">采购活动，服务全部由符合政策要求的中小企业承接。相关企业（含联合体中的中小企业、签订分包意向协议的企业）的具体情况如下：</w:t>
      </w:r>
      <w:r>
        <w:rPr>
          <w:rFonts w:ascii="宋体" w:hAnsi="宋体"/>
          <w:sz w:val="24"/>
        </w:rPr>
      </w:r>
      <w:r/>
    </w:p>
    <w:p>
      <w:pPr>
        <w:pStyle w:val="895"/>
        <w:ind w:firstLine="480"/>
        <w:spacing w:line="360" w:lineRule="auto"/>
        <w:shd w:val="clear" w:color="auto" w:fill="ffffff"/>
        <w:rPr>
          <w:rFonts w:ascii="宋体" w:hAnsi="宋体"/>
          <w:sz w:val="24"/>
        </w:rPr>
      </w:pPr>
      <w:r>
        <w:rPr>
          <w:rFonts w:hint="eastAsia" w:ascii="宋体" w:hAnsi="宋体"/>
          <w:sz w:val="24"/>
        </w:rPr>
        <w:t xml:space="preserve">1、</w:t>
      </w:r>
      <w:r>
        <w:rPr>
          <w:rFonts w:hint="eastAsia" w:ascii="宋体" w:hAnsi="宋体"/>
          <w:sz w:val="24"/>
          <w:u w:val="single"/>
        </w:rPr>
        <w:t xml:space="preserve">（标的名称），</w:t>
      </w:r>
      <w:r>
        <w:rPr>
          <w:rFonts w:hint="eastAsia" w:ascii="宋体" w:hAnsi="宋体"/>
          <w:sz w:val="24"/>
        </w:rPr>
        <w:t xml:space="preserve">根据</w:t>
      </w:r>
      <w:r>
        <w:rPr>
          <w:rFonts w:ascii="宋体" w:hAnsi="宋体"/>
          <w:sz w:val="24"/>
        </w:rPr>
        <w:t xml:space="preserve">《中小企业划型标准规定》</w:t>
      </w:r>
      <w:r>
        <w:rPr>
          <w:rFonts w:hint="eastAsia" w:ascii="宋体" w:hAnsi="宋体"/>
          <w:sz w:val="24"/>
        </w:rPr>
        <w:t xml:space="preserve">，属</w:t>
      </w:r>
      <w:r>
        <w:rPr>
          <w:rFonts w:hint="eastAsia" w:ascii="宋体" w:hAnsi="宋体"/>
          <w:sz w:val="24"/>
          <w:u w:val="single"/>
        </w:rPr>
        <w:t xml:space="preserve"> 其他未列明  </w:t>
      </w:r>
      <w:r>
        <w:rPr>
          <w:rFonts w:hint="eastAsia" w:ascii="宋体" w:hAnsi="宋体"/>
          <w:sz w:val="24"/>
        </w:rPr>
        <w:t xml:space="preserve">行业；承接企业为__</w:t>
      </w:r>
      <w:r>
        <w:rPr>
          <w:rFonts w:hint="eastAsia" w:ascii="宋体" w:hAnsi="宋体"/>
          <w:sz w:val="24"/>
          <w:u w:val="single"/>
        </w:rPr>
        <w:t xml:space="preserve">（企业名称）___</w:t>
      </w:r>
      <w:r>
        <w:rPr>
          <w:rFonts w:hint="eastAsia" w:ascii="宋体" w:hAnsi="宋体"/>
          <w:sz w:val="24"/>
        </w:rPr>
        <w:t xml:space="preserve">_，从业人员_____人，营业收入为______万元，资产总额为______万元，属于</w:t>
      </w:r>
      <w:r>
        <w:rPr>
          <w:rFonts w:hint="eastAsia" w:ascii="宋体" w:hAnsi="宋体"/>
          <w:sz w:val="24"/>
          <w:u w:val="single"/>
        </w:rPr>
        <w:t xml:space="preserve">             </w:t>
      </w:r>
      <w:r>
        <w:rPr>
          <w:rFonts w:hint="eastAsia" w:ascii="宋体" w:hAnsi="宋体"/>
          <w:sz w:val="24"/>
        </w:rPr>
        <w:t xml:space="preserve">（中型、小型、微型企业）。</w:t>
      </w:r>
      <w:r>
        <w:rPr>
          <w:rFonts w:ascii="宋体" w:hAnsi="宋体"/>
          <w:sz w:val="24"/>
        </w:rPr>
      </w:r>
      <w:r/>
    </w:p>
    <w:p>
      <w:pPr>
        <w:pStyle w:val="895"/>
        <w:ind w:firstLine="480"/>
        <w:spacing w:line="360" w:lineRule="auto"/>
        <w:shd w:val="clear" w:color="auto" w:fill="ffffff"/>
        <w:rPr>
          <w:rFonts w:ascii="宋体" w:hAnsi="宋体"/>
          <w:sz w:val="24"/>
        </w:rPr>
      </w:pPr>
      <w:r>
        <w:rPr>
          <w:rFonts w:hint="eastAsia" w:ascii="宋体" w:hAnsi="宋体"/>
          <w:sz w:val="24"/>
        </w:rPr>
        <w:t xml:space="preserve">2、</w:t>
      </w:r>
      <w:r>
        <w:rPr>
          <w:rFonts w:hint="eastAsia" w:ascii="宋体" w:hAnsi="宋体"/>
          <w:sz w:val="24"/>
          <w:u w:val="single"/>
        </w:rPr>
        <w:t xml:space="preserve">（标的名称），</w:t>
      </w:r>
      <w:r>
        <w:rPr>
          <w:rFonts w:hint="eastAsia" w:ascii="宋体" w:hAnsi="宋体"/>
          <w:sz w:val="24"/>
        </w:rPr>
        <w:t xml:space="preserve">根据</w:t>
      </w:r>
      <w:r>
        <w:rPr>
          <w:rFonts w:ascii="宋体" w:hAnsi="宋体"/>
          <w:sz w:val="24"/>
        </w:rPr>
        <w:t xml:space="preserve">《中小企业划型标准规定》</w:t>
      </w:r>
      <w:r>
        <w:rPr>
          <w:rFonts w:hint="eastAsia" w:ascii="宋体" w:hAnsi="宋体"/>
          <w:sz w:val="24"/>
        </w:rPr>
        <w:t xml:space="preserve">，属</w:t>
      </w:r>
      <w:r>
        <w:rPr>
          <w:rFonts w:hint="eastAsia" w:ascii="宋体" w:hAnsi="宋体"/>
          <w:sz w:val="24"/>
          <w:u w:val="single"/>
        </w:rPr>
        <w:t xml:space="preserve">              </w:t>
      </w:r>
      <w:r>
        <w:rPr>
          <w:rFonts w:hint="eastAsia" w:ascii="宋体" w:hAnsi="宋体"/>
          <w:sz w:val="24"/>
        </w:rPr>
        <w:t xml:space="preserve">行业；承接企业为__</w:t>
      </w:r>
      <w:r>
        <w:rPr>
          <w:rFonts w:hint="eastAsia" w:ascii="宋体" w:hAnsi="宋体"/>
          <w:sz w:val="24"/>
          <w:u w:val="single"/>
        </w:rPr>
        <w:t xml:space="preserve">（企业名称）</w:t>
      </w:r>
      <w:r>
        <w:rPr>
          <w:rFonts w:hint="eastAsia" w:ascii="宋体" w:hAnsi="宋体"/>
          <w:sz w:val="24"/>
        </w:rPr>
        <w:t xml:space="preserve">_，从业人员_____人，营业收入为______万元，资产总额为_____万元，属于</w:t>
      </w:r>
      <w:r>
        <w:rPr>
          <w:rFonts w:hint="eastAsia" w:ascii="宋体" w:hAnsi="宋体"/>
          <w:sz w:val="24"/>
          <w:u w:val="single"/>
        </w:rPr>
        <w:t xml:space="preserve">             </w:t>
      </w:r>
      <w:r>
        <w:rPr>
          <w:rFonts w:hint="eastAsia" w:ascii="宋体" w:hAnsi="宋体"/>
          <w:sz w:val="24"/>
        </w:rPr>
        <w:t xml:space="preserve">（中型、小型、微型企业）。</w:t>
      </w:r>
      <w:r>
        <w:rPr>
          <w:rFonts w:ascii="宋体" w:hAnsi="宋体"/>
          <w:sz w:val="24"/>
        </w:rPr>
      </w:r>
      <w:r/>
    </w:p>
    <w:p>
      <w:pPr>
        <w:pStyle w:val="895"/>
        <w:ind w:firstLine="480"/>
        <w:spacing w:line="360" w:lineRule="auto"/>
        <w:shd w:val="clear" w:color="auto" w:fill="ffffff"/>
        <w:rPr>
          <w:rFonts w:hint="eastAsia" w:ascii="宋体" w:hAnsi="宋体"/>
          <w:sz w:val="24"/>
        </w:rPr>
      </w:pPr>
      <w:r>
        <w:rPr>
          <w:rFonts w:hint="eastAsia" w:ascii="宋体" w:hAnsi="宋体"/>
          <w:sz w:val="24"/>
        </w:rPr>
        <w:t xml:space="preserve">......</w:t>
      </w:r>
      <w:r/>
    </w:p>
    <w:p>
      <w:pPr>
        <w:pStyle w:val="895"/>
        <w:ind w:firstLine="480"/>
        <w:spacing w:line="360" w:lineRule="auto"/>
        <w:shd w:val="clear" w:color="auto" w:fill="ffffff"/>
        <w:rPr>
          <w:rFonts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895"/>
        <w:ind w:firstLine="600"/>
        <w:spacing w:line="360" w:lineRule="auto"/>
        <w:shd w:val="clear" w:color="auto" w:fill="ffffff"/>
        <w:rPr>
          <w:rFonts w:ascii="宋体" w:hAnsi="宋体"/>
          <w:sz w:val="24"/>
        </w:rPr>
      </w:pPr>
      <w:r>
        <w:rPr>
          <w:rFonts w:hint="eastAsia" w:ascii="宋体" w:hAnsi="宋体"/>
          <w:sz w:val="24"/>
        </w:rPr>
        <w:t xml:space="preserve">本公司对上述声明内容的真实性负责。如有虚假，将依法承担相应责任。</w:t>
      </w:r>
      <w:r>
        <w:rPr>
          <w:rFonts w:ascii="宋体" w:hAnsi="宋体"/>
          <w:sz w:val="24"/>
        </w:rPr>
      </w:r>
      <w:r/>
    </w:p>
    <w:p>
      <w:pPr>
        <w:pStyle w:val="979"/>
        <w:spacing w:line="360" w:lineRule="auto"/>
        <w:shd w:val="clear" w:color="auto" w:fill="ffffff"/>
        <w:rPr>
          <w:rFonts w:hAnsi="宋体" w:eastAsia="宋体"/>
          <w:sz w:val="24"/>
          <w:szCs w:val="24"/>
        </w:rPr>
      </w:pPr>
      <w:r>
        <w:rPr>
          <w:rFonts w:hAnsi="宋体" w:eastAsia="宋体"/>
          <w:sz w:val="24"/>
          <w:szCs w:val="24"/>
        </w:rPr>
      </w:r>
      <w:r/>
    </w:p>
    <w:p>
      <w:pPr>
        <w:pStyle w:val="979"/>
        <w:spacing w:line="360" w:lineRule="auto"/>
        <w:shd w:val="clear" w:color="auto" w:fill="ffffff"/>
        <w:rPr>
          <w:rFonts w:hAnsi="宋体" w:eastAsia="宋体"/>
          <w:sz w:val="24"/>
          <w:szCs w:val="24"/>
        </w:rPr>
      </w:pPr>
      <w:r>
        <w:rPr>
          <w:rFonts w:hAnsi="宋体" w:eastAsia="宋体"/>
          <w:sz w:val="24"/>
          <w:szCs w:val="24"/>
        </w:rPr>
        <w:t xml:space="preserve">投标单位：（盖章）</w:t>
      </w:r>
      <w:r>
        <w:rPr>
          <w:rFonts w:hAnsi="宋体" w:eastAsia="宋体"/>
          <w:sz w:val="24"/>
          <w:szCs w:val="24"/>
        </w:rPr>
      </w:r>
      <w:r/>
    </w:p>
    <w:p>
      <w:pPr>
        <w:pStyle w:val="895"/>
        <w:spacing w:line="360" w:lineRule="auto"/>
        <w:shd w:val="clear" w:color="auto" w:fill="ffffff"/>
        <w:rPr>
          <w:rFonts w:ascii="宋体" w:hAnsi="宋体"/>
          <w:sz w:val="24"/>
        </w:rPr>
      </w:pPr>
      <w:r>
        <w:rPr>
          <w:rFonts w:ascii="宋体" w:hAnsi="宋体"/>
          <w:sz w:val="24"/>
        </w:rPr>
        <w:t xml:space="preserve">日期：    年</w:t>
      </w:r>
      <w:r>
        <w:rPr>
          <w:rFonts w:hint="eastAsia" w:ascii="宋体" w:hAnsi="宋体"/>
          <w:sz w:val="24"/>
        </w:rPr>
        <w:t xml:space="preserve"> </w:t>
      </w:r>
      <w:r>
        <w:rPr>
          <w:rFonts w:ascii="宋体" w:hAnsi="宋体"/>
          <w:sz w:val="24"/>
        </w:rPr>
        <w:t xml:space="preserve"> 月  日</w:t>
      </w:r>
      <w:r/>
    </w:p>
    <w:p>
      <w:pPr>
        <w:pStyle w:val="908"/>
        <w:ind w:firstLine="0"/>
        <w:jc w:val="both"/>
        <w:shd w:val="clear" w:color="auto" w:fill="ffffff"/>
        <w:rPr>
          <w:rFonts w:ascii="宋体" w:hAnsi="宋体" w:eastAsia="宋体"/>
          <w:szCs w:val="24"/>
        </w:rPr>
        <w:outlineLvl w:val="2"/>
      </w:pPr>
      <w:r>
        <w:rPr>
          <w:rFonts w:ascii="宋体" w:hAnsi="宋体" w:eastAsia="宋体"/>
          <w:szCs w:val="24"/>
        </w:rPr>
        <w:t xml:space="preserve">注：</w:t>
      </w:r>
      <w:r/>
    </w:p>
    <w:p>
      <w:pPr>
        <w:pStyle w:val="895"/>
        <w:spacing w:line="360" w:lineRule="auto"/>
        <w:shd w:val="clear" w:color="auto" w:fill="ffffff"/>
        <w:rPr>
          <w:rFonts w:ascii="宋体" w:hAnsi="宋体"/>
          <w:sz w:val="24"/>
        </w:rPr>
      </w:pPr>
      <w:r>
        <w:rPr>
          <w:rFonts w:hint="eastAsia" w:ascii="宋体" w:hAnsi="宋体"/>
          <w:sz w:val="24"/>
        </w:rPr>
        <w:t xml:space="preserve">1、</w:t>
      </w:r>
      <w:r>
        <w:rPr>
          <w:rFonts w:ascii="宋体" w:hAnsi="宋体"/>
          <w:sz w:val="24"/>
        </w:rPr>
        <w:t xml:space="preserve">中小企业划分标准详见“工信部联企业〔2011〕300号通知中的《中小企业划型标准规定》</w:t>
      </w:r>
      <w:r>
        <w:rPr>
          <w:rFonts w:hint="eastAsia" w:ascii="宋体" w:hAnsi="宋体"/>
          <w:sz w:val="24"/>
        </w:rPr>
        <w:t xml:space="preserve">”</w:t>
      </w:r>
      <w:r>
        <w:rPr>
          <w:rFonts w:ascii="宋体" w:hAnsi="宋体"/>
          <w:sz w:val="24"/>
        </w:rPr>
        <w:t xml:space="preserve">。</w:t>
      </w:r>
      <w:r/>
    </w:p>
    <w:p>
      <w:pPr>
        <w:pStyle w:val="895"/>
        <w:shd w:val="clear" w:color="auto" w:fill="ffffff"/>
        <w:rPr>
          <w:rFonts w:ascii="宋体" w:hAnsi="宋体"/>
          <w:b/>
        </w:rPr>
      </w:pPr>
      <w:r>
        <w:rPr>
          <w:rFonts w:hint="eastAsia" w:ascii="宋体" w:hAnsi="宋体"/>
          <w:sz w:val="24"/>
        </w:rPr>
        <w:t xml:space="preserve">2、从业人员、营业收入、资产总额填报上一年度数据，无上年度数据的新成立公司可不填。</w:t>
      </w:r>
      <w:r>
        <w:rPr>
          <w:rFonts w:ascii="宋体" w:hAnsi="宋体"/>
          <w:b/>
        </w:rPr>
      </w:r>
      <w:r/>
    </w:p>
    <w:p>
      <w:pPr>
        <w:pStyle w:val="895"/>
        <w:rPr>
          <w:rFonts w:ascii="宋体" w:hAnsi="宋体"/>
          <w:sz w:val="24"/>
          <w:szCs w:val="20"/>
        </w:rPr>
      </w:pPr>
      <w:r>
        <w:rPr>
          <w:rFonts w:ascii="宋体" w:hAnsi="宋体"/>
          <w:sz w:val="24"/>
          <w:szCs w:val="20"/>
        </w:rPr>
      </w:r>
      <w:r/>
    </w:p>
    <w:p>
      <w:pPr>
        <w:pStyle w:val="895"/>
        <w:rPr>
          <w:b/>
          <w:sz w:val="24"/>
        </w:rPr>
      </w:pPr>
      <w:r>
        <w:rPr>
          <w:rFonts w:ascii="宋体" w:hAnsi="宋体"/>
          <w:sz w:val="24"/>
          <w:szCs w:val="20"/>
        </w:rPr>
        <w:br w:type="page" w:clear="all"/>
      </w:r>
      <w:r>
        <w:rPr>
          <w:rFonts w:hint="eastAsia" w:ascii="宋体" w:hAnsi="宋体"/>
          <w:b/>
          <w:sz w:val="24"/>
        </w:rPr>
        <w:t xml:space="preserve">4</w:t>
      </w:r>
      <w:r>
        <w:rPr>
          <w:rFonts w:hint="eastAsia"/>
          <w:b/>
          <w:sz w:val="24"/>
        </w:rPr>
        <w:t xml:space="preserve">）残疾人福利性单位声明函</w:t>
      </w:r>
      <w:r>
        <w:rPr>
          <w:b/>
          <w:sz w:val="24"/>
        </w:rPr>
      </w:r>
      <w:r/>
    </w:p>
    <w:p>
      <w:pPr>
        <w:pStyle w:val="931"/>
        <w:spacing w:line="480" w:lineRule="atLeast"/>
      </w:pPr>
      <w:r/>
      <w:r/>
    </w:p>
    <w:p>
      <w:pPr>
        <w:pStyle w:val="931"/>
        <w:spacing w:line="480" w:lineRule="atLeast"/>
      </w:pPr>
      <w:r>
        <w:rPr>
          <w:rFonts w:hint="eastAsia"/>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31"/>
        <w:spacing w:line="480" w:lineRule="atLeast"/>
      </w:pPr>
      <w:r>
        <w:rPr>
          <w:rFonts w:hint="eastAsia"/>
        </w:rPr>
        <w:t xml:space="preserve">本单位对上述声明的真实性负责。如有虚假，将依法承担相应责任。</w:t>
      </w:r>
      <w:r/>
    </w:p>
    <w:p>
      <w:pPr>
        <w:pStyle w:val="895"/>
        <w:rPr>
          <w:rFonts w:hint="eastAsia" w:ascii="宋体" w:hAnsi="宋体"/>
          <w:sz w:val="24"/>
          <w:szCs w:val="20"/>
        </w:rPr>
      </w:pPr>
      <w:r>
        <w:rPr>
          <w:rFonts w:hint="eastAsia" w:ascii="宋体" w:hAnsi="宋体"/>
          <w:sz w:val="24"/>
          <w:szCs w:val="20"/>
        </w:rPr>
      </w:r>
      <w:r/>
    </w:p>
    <w:p>
      <w:pPr>
        <w:pStyle w:val="895"/>
        <w:rPr>
          <w:rFonts w:hint="eastAsia" w:ascii="宋体" w:hAnsi="宋体"/>
          <w:sz w:val="24"/>
          <w:szCs w:val="20"/>
        </w:rPr>
      </w:pPr>
      <w:r>
        <w:rPr>
          <w:rFonts w:hint="eastAsia" w:ascii="宋体" w:hAnsi="宋体"/>
          <w:sz w:val="24"/>
          <w:szCs w:val="20"/>
        </w:rPr>
      </w:r>
      <w:r/>
    </w:p>
    <w:p>
      <w:pPr>
        <w:pStyle w:val="895"/>
        <w:rPr>
          <w:rFonts w:hint="eastAsia" w:ascii="宋体" w:hAnsi="宋体"/>
          <w:sz w:val="24"/>
          <w:szCs w:val="20"/>
        </w:rPr>
      </w:pPr>
      <w:r>
        <w:rPr>
          <w:rFonts w:hint="eastAsia" w:ascii="宋体" w:hAnsi="宋体"/>
          <w:sz w:val="24"/>
          <w:szCs w:val="20"/>
        </w:rPr>
      </w:r>
      <w:r/>
    </w:p>
    <w:p>
      <w:pPr>
        <w:pStyle w:val="895"/>
        <w:rPr>
          <w:rFonts w:hint="eastAsia"/>
          <w:sz w:val="24"/>
        </w:rPr>
      </w:pPr>
      <w:r>
        <w:rPr>
          <w:rFonts w:hint="eastAsia"/>
          <w:sz w:val="24"/>
        </w:rPr>
      </w:r>
      <w:r/>
    </w:p>
    <w:p>
      <w:pPr>
        <w:pStyle w:val="895"/>
        <w:rPr>
          <w:rFonts w:hint="eastAsia"/>
          <w:sz w:val="24"/>
        </w:rPr>
      </w:pPr>
      <w:r>
        <w:rPr>
          <w:rFonts w:hint="eastAsia"/>
          <w:sz w:val="24"/>
        </w:rPr>
      </w:r>
      <w:r/>
    </w:p>
    <w:p>
      <w:pPr>
        <w:pStyle w:val="895"/>
        <w:rPr>
          <w:rFonts w:hint="eastAsia"/>
          <w:sz w:val="24"/>
        </w:rPr>
      </w:pPr>
      <w:r>
        <w:rPr>
          <w:rFonts w:hint="eastAsia"/>
          <w:sz w:val="24"/>
        </w:rPr>
      </w:r>
      <w:r/>
    </w:p>
    <w:p>
      <w:pPr>
        <w:pStyle w:val="895"/>
        <w:rPr>
          <w:b/>
          <w:bCs/>
          <w:szCs w:val="21"/>
        </w:rPr>
      </w:pPr>
      <w:r>
        <w:rPr>
          <w:sz w:val="24"/>
        </w:rPr>
        <w:br w:type="page" w:clear="all"/>
      </w:r>
      <w:r>
        <w:rPr>
          <w:rStyle w:val="951"/>
          <w:b/>
        </w:rPr>
        <w:t xml:space="preserve">5）</w:t>
      </w:r>
      <w:r>
        <w:rPr>
          <w:rFonts w:hint="eastAsia"/>
          <w:b/>
          <w:szCs w:val="21"/>
        </w:rPr>
        <w:t xml:space="preserve">投标人与其他单位存在控股、管理关系情况表</w:t>
      </w:r>
      <w:r>
        <w:rPr>
          <w:b/>
          <w:bCs/>
          <w:szCs w:val="21"/>
        </w:rPr>
      </w:r>
      <w:r/>
    </w:p>
    <w:p>
      <w:pPr>
        <w:pStyle w:val="895"/>
        <w:jc w:val="left"/>
        <w:spacing w:line="360" w:lineRule="auto"/>
        <w:widowControl/>
        <w:rPr>
          <w:rFonts w:ascii="宋体"/>
          <w:b/>
          <w:szCs w:val="21"/>
        </w:rPr>
      </w:pPr>
      <w:r>
        <w:rPr>
          <w:rFonts w:ascii="宋体"/>
          <w:b/>
          <w:szCs w:val="21"/>
        </w:rPr>
      </w:r>
      <w:r/>
    </w:p>
    <w:p>
      <w:pPr>
        <w:pStyle w:val="895"/>
        <w:jc w:val="left"/>
        <w:spacing w:line="360" w:lineRule="auto"/>
        <w:widowControl/>
        <w:rPr>
          <w:rFonts w:ascii="宋体" w:hAnsi="宋体" w:cs="宋体"/>
          <w:b/>
          <w:sz w:val="24"/>
        </w:rPr>
      </w:pPr>
      <w:r>
        <w:rPr>
          <w:rFonts w:ascii="宋体" w:hAnsi="宋体" w:cs="宋体"/>
          <w:b/>
          <w:sz w:val="24"/>
        </w:rPr>
      </w:r>
      <w:r/>
    </w:p>
    <w:p>
      <w:pPr>
        <w:pStyle w:val="895"/>
        <w:jc w:val="center"/>
        <w:spacing w:line="360" w:lineRule="auto"/>
        <w:widowControl/>
        <w:rPr>
          <w:rFonts w:ascii="宋体" w:hAnsi="宋体" w:cs="宋体"/>
          <w:b/>
          <w:sz w:val="28"/>
          <w:szCs w:val="28"/>
        </w:rPr>
      </w:pPr>
      <w:r>
        <w:rPr>
          <w:rFonts w:hint="eastAsia" w:ascii="宋体" w:hAnsi="宋体" w:cs="宋体"/>
          <w:b/>
          <w:sz w:val="28"/>
          <w:szCs w:val="28"/>
        </w:rPr>
        <w:t xml:space="preserve">投标人与其他单位存在控股、管理关系情况表</w:t>
      </w:r>
      <w:r>
        <w:rPr>
          <w:rFonts w:ascii="宋体" w:hAnsi="宋体" w:cs="宋体"/>
          <w:b/>
          <w:sz w:val="28"/>
          <w:szCs w:val="28"/>
        </w:rPr>
      </w:r>
      <w:r/>
    </w:p>
    <w:p>
      <w:pPr>
        <w:pStyle w:val="895"/>
        <w:jc w:val="left"/>
        <w:spacing w:line="360" w:lineRule="auto"/>
        <w:widowControl/>
        <w:rPr>
          <w:rFonts w:ascii="宋体" w:hAnsi="宋体" w:cs="宋体"/>
          <w:b/>
          <w:sz w:val="24"/>
        </w:rPr>
      </w:pPr>
      <w:r>
        <w:rPr>
          <w:rFonts w:ascii="宋体" w:hAnsi="宋体" w:cs="宋体"/>
          <w:b/>
          <w:sz w:val="24"/>
        </w:rPr>
      </w:r>
      <w:r/>
    </w:p>
    <w:tbl>
      <w:tblPr>
        <w:tblW w:w="88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0"/>
        <w:gridCol w:w="3814"/>
      </w:tblGrid>
      <w:tr>
        <w:trPr>
          <w:trHeight w:val="637"/>
        </w:trPr>
        <w:tc>
          <w:tcPr>
            <w:tcW w:w="5050" w:type="dxa"/>
            <w:vAlign w:val="center"/>
            <w:textDirection w:val="lrTb"/>
            <w:noWrap w:val="false"/>
          </w:tcPr>
          <w:p>
            <w:pPr>
              <w:pStyle w:val="895"/>
              <w:jc w:val="center"/>
              <w:spacing w:line="360" w:lineRule="auto"/>
              <w:widowControl/>
              <w:rPr>
                <w:rFonts w:ascii="宋体" w:hAnsi="宋体" w:cs="宋体"/>
                <w:bCs/>
                <w:sz w:val="24"/>
              </w:rPr>
            </w:pPr>
            <w:r>
              <w:rPr>
                <w:rFonts w:hint="eastAsia" w:ascii="宋体" w:hAnsi="宋体" w:cs="宋体"/>
                <w:bCs/>
                <w:sz w:val="24"/>
              </w:rPr>
              <w:t xml:space="preserve">与投标人单位负责人为同一人或者存在控股、管理关系的单位名称</w:t>
            </w:r>
            <w:r>
              <w:rPr>
                <w:rFonts w:ascii="宋体" w:hAnsi="宋体" w:cs="宋体"/>
                <w:bCs/>
                <w:sz w:val="24"/>
              </w:rPr>
            </w:r>
            <w:r/>
          </w:p>
        </w:tc>
        <w:tc>
          <w:tcPr>
            <w:tcW w:w="3814" w:type="dxa"/>
            <w:vAlign w:val="center"/>
            <w:textDirection w:val="lrTb"/>
            <w:noWrap w:val="false"/>
          </w:tcPr>
          <w:p>
            <w:pPr>
              <w:pStyle w:val="895"/>
              <w:jc w:val="center"/>
              <w:spacing w:line="360" w:lineRule="auto"/>
              <w:widowControl/>
              <w:rPr>
                <w:rFonts w:ascii="宋体" w:hAnsi="宋体" w:cs="宋体"/>
                <w:bCs/>
                <w:sz w:val="24"/>
              </w:rPr>
            </w:pPr>
            <w:r>
              <w:rPr>
                <w:rFonts w:hint="eastAsia" w:ascii="宋体" w:hAnsi="宋体" w:cs="宋体"/>
                <w:bCs/>
                <w:sz w:val="24"/>
              </w:rPr>
              <w:t xml:space="preserve">控股、管理关系情况说明</w:t>
            </w:r>
            <w:r>
              <w:rPr>
                <w:rFonts w:ascii="宋体" w:hAnsi="宋体" w:cs="宋体"/>
                <w:bCs/>
                <w:sz w:val="24"/>
              </w:rPr>
            </w:r>
            <w:r/>
          </w:p>
        </w:tc>
      </w:tr>
      <w:tr>
        <w:trPr>
          <w:trHeight w:val="850"/>
        </w:trPr>
        <w:tc>
          <w:tcPr>
            <w:tcW w:w="5050" w:type="dxa"/>
            <w:vAlign w:val="center"/>
            <w:textDirection w:val="lrTb"/>
            <w:noWrap w:val="false"/>
          </w:tcPr>
          <w:p>
            <w:pPr>
              <w:pStyle w:val="895"/>
              <w:jc w:val="center"/>
              <w:spacing w:line="360" w:lineRule="auto"/>
              <w:widowControl/>
              <w:rPr>
                <w:rFonts w:ascii="宋体" w:hAnsi="宋体" w:cs="宋体"/>
                <w:bCs/>
                <w:sz w:val="24"/>
              </w:rPr>
            </w:pPr>
            <w:r>
              <w:rPr>
                <w:rFonts w:ascii="宋体" w:hAnsi="宋体" w:cs="宋体"/>
                <w:bCs/>
                <w:sz w:val="24"/>
              </w:rPr>
            </w:r>
            <w:r/>
          </w:p>
        </w:tc>
        <w:tc>
          <w:tcPr>
            <w:tcW w:w="3814" w:type="dxa"/>
            <w:vAlign w:val="center"/>
            <w:textDirection w:val="lrTb"/>
            <w:noWrap w:val="false"/>
          </w:tcPr>
          <w:p>
            <w:pPr>
              <w:pStyle w:val="895"/>
              <w:jc w:val="center"/>
              <w:spacing w:line="360" w:lineRule="auto"/>
              <w:widowControl/>
              <w:rPr>
                <w:rFonts w:ascii="宋体" w:hAnsi="宋体" w:cs="宋体"/>
                <w:bCs/>
                <w:sz w:val="24"/>
              </w:rPr>
            </w:pPr>
            <w:r>
              <w:rPr>
                <w:rFonts w:ascii="宋体" w:hAnsi="宋体" w:cs="宋体"/>
                <w:bCs/>
                <w:sz w:val="24"/>
              </w:rPr>
            </w:r>
            <w:r/>
          </w:p>
        </w:tc>
      </w:tr>
      <w:tr>
        <w:trPr>
          <w:trHeight w:val="850"/>
        </w:trPr>
        <w:tc>
          <w:tcPr>
            <w:tcW w:w="5050" w:type="dxa"/>
            <w:vAlign w:val="center"/>
            <w:textDirection w:val="lrTb"/>
            <w:noWrap w:val="false"/>
          </w:tcPr>
          <w:p>
            <w:pPr>
              <w:pStyle w:val="895"/>
              <w:jc w:val="center"/>
              <w:spacing w:line="360" w:lineRule="auto"/>
              <w:widowControl/>
              <w:rPr>
                <w:rFonts w:ascii="宋体" w:hAnsi="宋体" w:cs="宋体"/>
                <w:bCs/>
                <w:sz w:val="24"/>
              </w:rPr>
            </w:pPr>
            <w:r>
              <w:rPr>
                <w:rFonts w:ascii="宋体" w:hAnsi="宋体" w:cs="宋体"/>
                <w:bCs/>
                <w:sz w:val="24"/>
              </w:rPr>
            </w:r>
            <w:r/>
          </w:p>
        </w:tc>
        <w:tc>
          <w:tcPr>
            <w:tcW w:w="3814" w:type="dxa"/>
            <w:vAlign w:val="center"/>
            <w:textDirection w:val="lrTb"/>
            <w:noWrap w:val="false"/>
          </w:tcPr>
          <w:p>
            <w:pPr>
              <w:pStyle w:val="895"/>
              <w:jc w:val="center"/>
              <w:spacing w:line="360" w:lineRule="auto"/>
              <w:widowControl/>
              <w:rPr>
                <w:rFonts w:ascii="宋体" w:hAnsi="宋体" w:cs="宋体"/>
                <w:bCs/>
                <w:sz w:val="24"/>
              </w:rPr>
            </w:pPr>
            <w:r>
              <w:rPr>
                <w:rFonts w:ascii="宋体" w:hAnsi="宋体" w:cs="宋体"/>
                <w:bCs/>
                <w:sz w:val="24"/>
              </w:rPr>
            </w:r>
            <w:r/>
          </w:p>
        </w:tc>
      </w:tr>
      <w:tr>
        <w:trPr>
          <w:trHeight w:val="850"/>
        </w:trPr>
        <w:tc>
          <w:tcPr>
            <w:tcW w:w="5050" w:type="dxa"/>
            <w:vAlign w:val="center"/>
            <w:textDirection w:val="lrTb"/>
            <w:noWrap w:val="false"/>
          </w:tcPr>
          <w:p>
            <w:pPr>
              <w:pStyle w:val="895"/>
              <w:jc w:val="center"/>
              <w:spacing w:line="360" w:lineRule="auto"/>
              <w:widowControl/>
              <w:rPr>
                <w:rFonts w:ascii="宋体" w:hAnsi="宋体" w:cs="宋体"/>
                <w:bCs/>
                <w:sz w:val="24"/>
              </w:rPr>
            </w:pPr>
            <w:r>
              <w:rPr>
                <w:rFonts w:ascii="宋体" w:hAnsi="宋体" w:cs="宋体"/>
                <w:bCs/>
                <w:sz w:val="24"/>
              </w:rPr>
            </w:r>
            <w:r/>
          </w:p>
        </w:tc>
        <w:tc>
          <w:tcPr>
            <w:tcW w:w="3814" w:type="dxa"/>
            <w:vAlign w:val="center"/>
            <w:textDirection w:val="lrTb"/>
            <w:noWrap w:val="false"/>
          </w:tcPr>
          <w:p>
            <w:pPr>
              <w:pStyle w:val="895"/>
              <w:jc w:val="center"/>
              <w:spacing w:line="360" w:lineRule="auto"/>
              <w:widowControl/>
              <w:rPr>
                <w:rFonts w:ascii="宋体" w:hAnsi="宋体" w:cs="宋体"/>
                <w:bCs/>
                <w:sz w:val="24"/>
              </w:rPr>
            </w:pPr>
            <w:r>
              <w:rPr>
                <w:rFonts w:ascii="宋体" w:hAnsi="宋体" w:cs="宋体"/>
                <w:bCs/>
                <w:sz w:val="24"/>
              </w:rPr>
            </w:r>
            <w:r/>
          </w:p>
        </w:tc>
      </w:tr>
      <w:tr>
        <w:trPr>
          <w:trHeight w:val="850"/>
        </w:trPr>
        <w:tc>
          <w:tcPr>
            <w:tcW w:w="5050" w:type="dxa"/>
            <w:vAlign w:val="center"/>
            <w:textDirection w:val="lrTb"/>
            <w:noWrap w:val="false"/>
          </w:tcPr>
          <w:p>
            <w:pPr>
              <w:pStyle w:val="895"/>
              <w:jc w:val="center"/>
              <w:spacing w:line="360" w:lineRule="auto"/>
              <w:widowControl/>
              <w:rPr>
                <w:rFonts w:ascii="宋体" w:hAnsi="宋体" w:cs="宋体"/>
                <w:bCs/>
                <w:sz w:val="24"/>
              </w:rPr>
            </w:pPr>
            <w:r>
              <w:rPr>
                <w:rFonts w:ascii="宋体" w:hAnsi="宋体" w:cs="宋体"/>
                <w:bCs/>
                <w:sz w:val="24"/>
              </w:rPr>
            </w:r>
            <w:r/>
          </w:p>
        </w:tc>
        <w:tc>
          <w:tcPr>
            <w:tcW w:w="3814" w:type="dxa"/>
            <w:vAlign w:val="center"/>
            <w:textDirection w:val="lrTb"/>
            <w:noWrap w:val="false"/>
          </w:tcPr>
          <w:p>
            <w:pPr>
              <w:pStyle w:val="895"/>
              <w:jc w:val="center"/>
              <w:spacing w:line="360" w:lineRule="auto"/>
              <w:widowControl/>
              <w:rPr>
                <w:rFonts w:ascii="宋体" w:hAnsi="宋体" w:cs="宋体"/>
                <w:bCs/>
                <w:sz w:val="24"/>
              </w:rPr>
            </w:pPr>
            <w:r>
              <w:rPr>
                <w:rFonts w:ascii="宋体" w:hAnsi="宋体" w:cs="宋体"/>
                <w:bCs/>
                <w:sz w:val="24"/>
              </w:rPr>
            </w:r>
            <w:r/>
          </w:p>
        </w:tc>
      </w:tr>
      <w:tr>
        <w:trPr>
          <w:trHeight w:val="850"/>
        </w:trPr>
        <w:tc>
          <w:tcPr>
            <w:tcW w:w="5050" w:type="dxa"/>
            <w:vAlign w:val="center"/>
            <w:textDirection w:val="lrTb"/>
            <w:noWrap w:val="false"/>
          </w:tcPr>
          <w:p>
            <w:pPr>
              <w:pStyle w:val="895"/>
              <w:jc w:val="center"/>
              <w:spacing w:line="360" w:lineRule="auto"/>
              <w:widowControl/>
              <w:rPr>
                <w:rFonts w:ascii="宋体" w:hAnsi="宋体" w:cs="宋体"/>
                <w:bCs/>
                <w:sz w:val="24"/>
              </w:rPr>
            </w:pPr>
            <w:r>
              <w:rPr>
                <w:rFonts w:ascii="宋体" w:hAnsi="宋体" w:cs="宋体"/>
                <w:bCs/>
                <w:sz w:val="24"/>
              </w:rPr>
            </w:r>
            <w:r/>
          </w:p>
        </w:tc>
        <w:tc>
          <w:tcPr>
            <w:tcW w:w="3814" w:type="dxa"/>
            <w:vAlign w:val="center"/>
            <w:textDirection w:val="lrTb"/>
            <w:noWrap w:val="false"/>
          </w:tcPr>
          <w:p>
            <w:pPr>
              <w:pStyle w:val="895"/>
              <w:jc w:val="center"/>
              <w:spacing w:line="360" w:lineRule="auto"/>
              <w:widowControl/>
              <w:rPr>
                <w:rFonts w:ascii="宋体" w:hAnsi="宋体" w:cs="宋体"/>
                <w:bCs/>
                <w:sz w:val="24"/>
              </w:rPr>
            </w:pPr>
            <w:r>
              <w:rPr>
                <w:rFonts w:ascii="宋体" w:hAnsi="宋体" w:cs="宋体"/>
                <w:bCs/>
                <w:sz w:val="24"/>
              </w:rPr>
            </w:r>
            <w:r/>
          </w:p>
        </w:tc>
      </w:tr>
      <w:tr>
        <w:trPr>
          <w:trHeight w:val="850"/>
        </w:trPr>
        <w:tc>
          <w:tcPr>
            <w:tcW w:w="5050" w:type="dxa"/>
            <w:vAlign w:val="center"/>
            <w:textDirection w:val="lrTb"/>
            <w:noWrap w:val="false"/>
          </w:tcPr>
          <w:p>
            <w:pPr>
              <w:pStyle w:val="895"/>
              <w:jc w:val="center"/>
              <w:spacing w:line="360" w:lineRule="auto"/>
              <w:widowControl/>
              <w:rPr>
                <w:rFonts w:ascii="宋体" w:hAnsi="宋体" w:cs="宋体"/>
                <w:bCs/>
                <w:sz w:val="24"/>
              </w:rPr>
            </w:pPr>
            <w:r>
              <w:rPr>
                <w:rFonts w:ascii="宋体" w:hAnsi="宋体" w:cs="宋体"/>
                <w:bCs/>
                <w:sz w:val="24"/>
              </w:rPr>
            </w:r>
            <w:r/>
          </w:p>
        </w:tc>
        <w:tc>
          <w:tcPr>
            <w:tcW w:w="3814" w:type="dxa"/>
            <w:vAlign w:val="center"/>
            <w:textDirection w:val="lrTb"/>
            <w:noWrap w:val="false"/>
          </w:tcPr>
          <w:p>
            <w:pPr>
              <w:pStyle w:val="895"/>
              <w:jc w:val="center"/>
              <w:spacing w:line="360" w:lineRule="auto"/>
              <w:widowControl/>
              <w:rPr>
                <w:rFonts w:ascii="宋体" w:hAnsi="宋体" w:cs="宋体"/>
                <w:bCs/>
                <w:sz w:val="24"/>
              </w:rPr>
            </w:pPr>
            <w:r>
              <w:rPr>
                <w:rFonts w:ascii="宋体" w:hAnsi="宋体" w:cs="宋体"/>
                <w:bCs/>
                <w:sz w:val="24"/>
              </w:rPr>
            </w:r>
            <w:r/>
          </w:p>
        </w:tc>
      </w:tr>
    </w:tbl>
    <w:p>
      <w:pPr>
        <w:pStyle w:val="895"/>
        <w:ind w:firstLine="480"/>
        <w:spacing w:line="360" w:lineRule="auto"/>
        <w:widowControl/>
        <w:rPr>
          <w:rFonts w:ascii="宋体" w:hAnsi="宋体" w:cs="宋体"/>
          <w:b/>
          <w:sz w:val="24"/>
        </w:rPr>
      </w:pPr>
      <w:r>
        <w:rPr>
          <w:rFonts w:hint="eastAsia" w:ascii="宋体" w:hAnsi="宋体" w:cs="宋体"/>
          <w:bCs/>
          <w:sz w:val="24"/>
        </w:rPr>
        <w:t xml:space="preserve">注：供应商应按实填写所有与之有控股、管理关系的情况，如在开标时发现存在控股、管理关系的响应单位有两个或以上，以抽签方式抽取一个单位进入评审，如出现有效响应单位不足三家，可能导致废标。如没有控股、管理关系的单位，请填“无”。</w:t>
      </w:r>
      <w:r>
        <w:rPr>
          <w:rFonts w:ascii="宋体" w:hAnsi="宋体" w:cs="宋体"/>
          <w:b/>
          <w:sz w:val="24"/>
        </w:rPr>
      </w:r>
      <w:r/>
    </w:p>
    <w:p>
      <w:pPr>
        <w:pStyle w:val="895"/>
        <w:jc w:val="left"/>
        <w:spacing w:line="360" w:lineRule="auto"/>
        <w:widowControl/>
        <w:rPr>
          <w:rFonts w:ascii="宋体" w:hAnsi="宋体" w:cs="宋体"/>
          <w:b/>
          <w:sz w:val="24"/>
        </w:rPr>
      </w:pPr>
      <w:r>
        <w:rPr>
          <w:rFonts w:ascii="宋体" w:hAnsi="宋体" w:cs="宋体"/>
          <w:b/>
          <w:sz w:val="24"/>
        </w:rPr>
      </w:r>
      <w:r/>
    </w:p>
    <w:p>
      <w:pPr>
        <w:pStyle w:val="895"/>
        <w:jc w:val="left"/>
        <w:spacing w:line="360" w:lineRule="auto"/>
        <w:widowControl/>
        <w:rPr>
          <w:rFonts w:ascii="宋体" w:hAnsi="宋体" w:cs="宋体"/>
          <w:b/>
          <w:sz w:val="24"/>
        </w:rPr>
      </w:pPr>
      <w:r>
        <w:rPr>
          <w:rFonts w:ascii="宋体" w:hAnsi="宋体" w:cs="宋体"/>
          <w:b/>
          <w:sz w:val="24"/>
        </w:rPr>
      </w:r>
      <w:r/>
    </w:p>
    <w:p>
      <w:pPr>
        <w:pStyle w:val="895"/>
        <w:jc w:val="left"/>
        <w:spacing w:line="360" w:lineRule="auto"/>
        <w:rPr>
          <w:rFonts w:ascii="宋体" w:hAnsi="宋体" w:cs="宋体"/>
          <w:sz w:val="24"/>
        </w:rPr>
      </w:pPr>
      <w:r>
        <w:rPr>
          <w:rFonts w:hint="eastAsia" w:ascii="宋体" w:hAnsi="宋体"/>
          <w:sz w:val="24"/>
        </w:rPr>
        <w:t xml:space="preserve">投标单位</w:t>
      </w:r>
      <w:r>
        <w:rPr>
          <w:rFonts w:hint="eastAsia" w:ascii="宋体" w:hAnsi="宋体" w:cs="宋体"/>
          <w:sz w:val="24"/>
        </w:rPr>
        <w:t xml:space="preserve">：（盖章）</w:t>
      </w:r>
      <w:r>
        <w:rPr>
          <w:rFonts w:ascii="宋体" w:hAnsi="宋体" w:cs="宋体"/>
          <w:sz w:val="24"/>
        </w:rPr>
      </w:r>
      <w:r/>
    </w:p>
    <w:p>
      <w:pPr>
        <w:pStyle w:val="895"/>
        <w:jc w:val="left"/>
        <w:spacing w:line="360" w:lineRule="auto"/>
        <w:rPr>
          <w:rFonts w:ascii="宋体" w:hAnsi="宋体" w:cs="宋体"/>
          <w:sz w:val="24"/>
        </w:rPr>
      </w:pPr>
      <w:r>
        <w:rPr>
          <w:rFonts w:hint="eastAsia" w:ascii="宋体" w:hAnsi="宋体" w:cs="宋体"/>
          <w:sz w:val="24"/>
        </w:rPr>
        <w:t xml:space="preserve">法定代表人或代理人：（签字或签章）</w:t>
      </w:r>
      <w:r>
        <w:rPr>
          <w:rFonts w:ascii="宋体" w:hAnsi="宋体" w:cs="宋体"/>
          <w:sz w:val="24"/>
        </w:rPr>
      </w:r>
      <w:r/>
    </w:p>
    <w:p>
      <w:pPr>
        <w:pStyle w:val="895"/>
        <w:jc w:val="left"/>
        <w:spacing w:line="360" w:lineRule="auto"/>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898"/>
        <w:tabs>
          <w:tab w:val="left" w:pos="930" w:leader="none"/>
          <w:tab w:val="left" w:pos="2160" w:leader="none"/>
        </w:tabs>
        <w:rPr>
          <w:rFonts w:hint="eastAsia" w:ascii="宋体" w:hAnsi="宋体"/>
          <w:bCs w:val="0"/>
          <w:sz w:val="24"/>
          <w:szCs w:val="24"/>
        </w:rPr>
      </w:pPr>
      <w:r>
        <w:rPr>
          <w:rFonts w:hint="eastAsia" w:ascii="宋体" w:hAnsi="宋体"/>
          <w:bCs w:val="0"/>
          <w:sz w:val="24"/>
          <w:szCs w:val="24"/>
        </w:rPr>
      </w:r>
      <w:r/>
    </w:p>
    <w:p>
      <w:pPr>
        <w:pStyle w:val="895"/>
      </w:pPr>
      <w:r/>
      <w:r/>
    </w:p>
    <w:p>
      <w:pPr>
        <w:pStyle w:val="895"/>
        <w:spacing w:line="520" w:lineRule="exact"/>
        <w:rPr>
          <w:rFonts w:ascii="Cambria" w:hAnsi="Cambria"/>
          <w:b/>
          <w:bCs/>
          <w:sz w:val="32"/>
          <w:szCs w:val="32"/>
        </w:rPr>
      </w:pPr>
      <w:r>
        <w:rPr>
          <w:rFonts w:hint="eastAsia" w:ascii="Cambria" w:hAnsi="Cambria"/>
          <w:b/>
          <w:bCs/>
          <w:sz w:val="32"/>
          <w:szCs w:val="32"/>
        </w:rPr>
        <w:t xml:space="preserve">9、声明或承诺函</w:t>
      </w:r>
      <w:r>
        <w:rPr>
          <w:rFonts w:ascii="Cambria" w:hAnsi="Cambria"/>
          <w:b/>
          <w:bCs/>
          <w:sz w:val="32"/>
          <w:szCs w:val="32"/>
        </w:rPr>
      </w:r>
      <w:r/>
    </w:p>
    <w:p>
      <w:pPr>
        <w:pStyle w:val="895"/>
        <w:rPr>
          <w:rFonts w:hint="eastAsia" w:cs="宋体"/>
          <w:color w:val="000000"/>
        </w:rPr>
      </w:pPr>
      <w:r>
        <w:rPr>
          <w:rFonts w:hint="eastAsia" w:cs="宋体"/>
          <w:color w:val="000000"/>
        </w:rPr>
      </w:r>
      <w:r/>
    </w:p>
    <w:p>
      <w:pPr>
        <w:pStyle w:val="895"/>
        <w:jc w:val="center"/>
        <w:rPr>
          <w:rFonts w:hint="eastAsia" w:cs="宋体"/>
          <w:color w:val="000000"/>
          <w:sz w:val="28"/>
          <w:szCs w:val="28"/>
        </w:rPr>
      </w:pPr>
      <w:r>
        <w:rPr>
          <w:rFonts w:hint="eastAsia" w:cs="宋体"/>
          <w:color w:val="000000"/>
          <w:sz w:val="28"/>
          <w:szCs w:val="28"/>
        </w:rPr>
        <w:t xml:space="preserve">1）</w:t>
      </w:r>
      <w:r>
        <w:rPr>
          <w:rFonts w:hint="eastAsia" w:cs="宋体"/>
          <w:color w:val="000000"/>
          <w:sz w:val="28"/>
          <w:szCs w:val="28"/>
          <w:lang w:val="zh-CN"/>
        </w:rPr>
        <w:t xml:space="preserve">声明函</w:t>
      </w:r>
      <w:r>
        <w:rPr>
          <w:rFonts w:hint="eastAsia" w:cs="宋体"/>
          <w:color w:val="000000"/>
          <w:sz w:val="28"/>
          <w:szCs w:val="28"/>
        </w:rPr>
        <w:t xml:space="preserve">1</w:t>
      </w:r>
      <w:r/>
    </w:p>
    <w:p>
      <w:pPr>
        <w:pStyle w:val="895"/>
        <w:ind w:firstLine="420"/>
        <w:spacing w:line="360" w:lineRule="auto"/>
        <w:rPr>
          <w:rFonts w:hint="eastAsia" w:cs="宋体"/>
          <w:lang w:val="zh-CN"/>
        </w:rPr>
      </w:pPr>
      <w:r>
        <w:rPr>
          <w:rFonts w:hint="eastAsia" w:cs="宋体"/>
          <w:lang w:val="zh-CN"/>
        </w:rPr>
      </w:r>
      <w:r/>
    </w:p>
    <w:p>
      <w:pPr>
        <w:pStyle w:val="895"/>
        <w:ind w:firstLine="482"/>
        <w:spacing w:line="360" w:lineRule="auto"/>
        <w:rPr>
          <w:rFonts w:hint="eastAsia" w:cs="宋体"/>
          <w:b/>
          <w:bCs/>
          <w:sz w:val="24"/>
          <w:lang w:val="zh-CN"/>
        </w:rPr>
      </w:pPr>
      <w:r>
        <w:rPr>
          <w:rFonts w:hint="eastAsia" w:cs="宋体"/>
          <w:b/>
          <w:bCs/>
          <w:sz w:val="24"/>
          <w:lang w:val="zh-CN"/>
        </w:rPr>
        <w:t xml:space="preserve">我公司承诺所投</w:t>
      </w:r>
      <w:r>
        <w:rPr>
          <w:rFonts w:hint="eastAsia" w:cs="宋体"/>
          <w:b/>
          <w:bCs/>
          <w:sz w:val="24"/>
          <w:u w:val="single"/>
          <w:lang w:val="zh-CN"/>
        </w:rPr>
        <w:t xml:space="preserve">   </w:t>
      </w:r>
      <w:r>
        <w:rPr>
          <w:rFonts w:hint="eastAsia" w:cs="宋体"/>
          <w:b/>
          <w:bCs/>
          <w:sz w:val="24"/>
          <w:lang w:val="zh-CN"/>
        </w:rPr>
        <w:t xml:space="preserve">至</w:t>
      </w:r>
      <w:r>
        <w:rPr>
          <w:rFonts w:hint="eastAsia" w:cs="宋体"/>
          <w:b/>
          <w:bCs/>
          <w:sz w:val="24"/>
          <w:u w:val="single"/>
          <w:lang w:val="zh-CN"/>
        </w:rPr>
        <w:t xml:space="preserve">   </w:t>
      </w:r>
      <w:r>
        <w:rPr>
          <w:rFonts w:hint="eastAsia" w:cs="宋体"/>
          <w:b/>
          <w:bCs/>
          <w:sz w:val="24"/>
          <w:lang w:val="zh-CN"/>
        </w:rPr>
        <w:t xml:space="preserve">标段电子投标文件（除投标报价）与</w:t>
      </w:r>
      <w:r>
        <w:rPr>
          <w:rFonts w:hint="eastAsia" w:cs="宋体"/>
          <w:b/>
          <w:bCs/>
          <w:sz w:val="24"/>
        </w:rPr>
        <w:t xml:space="preserve">第</w:t>
      </w:r>
      <w:r>
        <w:rPr>
          <w:rFonts w:hint="eastAsia" w:cs="宋体"/>
          <w:b/>
          <w:bCs/>
          <w:sz w:val="24"/>
          <w:lang w:val="zh-CN"/>
        </w:rPr>
        <w:t xml:space="preserve">一标段上传内容一致。</w:t>
      </w:r>
      <w:r/>
    </w:p>
    <w:p>
      <w:pPr>
        <w:pStyle w:val="895"/>
        <w:ind w:firstLine="420"/>
        <w:spacing w:line="360" w:lineRule="auto"/>
        <w:rPr>
          <w:rFonts w:hint="eastAsia" w:cs="宋体"/>
          <w:sz w:val="24"/>
          <w:lang w:val="zh-CN"/>
        </w:rPr>
      </w:pPr>
      <w:r>
        <w:rPr>
          <w:rFonts w:hint="eastAsia" w:cs="宋体"/>
          <w:sz w:val="24"/>
          <w:lang w:val="zh-CN"/>
        </w:rPr>
        <w:t xml:space="preserve">（</w:t>
      </w:r>
      <w:r>
        <w:rPr>
          <w:rFonts w:hint="eastAsia" w:cs="宋体"/>
          <w:sz w:val="24"/>
        </w:rPr>
        <w:t xml:space="preserve">如不一致，请列出不一致的目录清单，以便评审</w:t>
      </w:r>
      <w:r>
        <w:rPr>
          <w:rFonts w:hint="eastAsia" w:cs="宋体"/>
          <w:sz w:val="24"/>
          <w:lang w:val="zh-CN"/>
        </w:rPr>
        <w:t xml:space="preserve">）</w:t>
      </w:r>
      <w:r/>
    </w:p>
    <w:p>
      <w:pPr>
        <w:pStyle w:val="895"/>
        <w:ind w:firstLine="420"/>
        <w:jc w:val="right"/>
        <w:spacing w:line="360" w:lineRule="auto"/>
        <w:rPr>
          <w:rFonts w:hint="eastAsia" w:cs="宋体"/>
          <w:lang w:val="zh-CN"/>
        </w:rPr>
      </w:pPr>
      <w:r>
        <w:rPr>
          <w:rFonts w:hint="eastAsia" w:cs="宋体"/>
          <w:lang w:val="zh-CN"/>
        </w:rPr>
      </w:r>
      <w:r/>
    </w:p>
    <w:p>
      <w:pPr>
        <w:pStyle w:val="895"/>
        <w:jc w:val="left"/>
        <w:spacing w:line="360" w:lineRule="auto"/>
        <w:widowControl/>
        <w:rPr>
          <w:rFonts w:ascii="宋体" w:hAnsi="宋体" w:cs="宋体"/>
          <w:b/>
          <w:sz w:val="24"/>
        </w:rPr>
      </w:pPr>
      <w:r>
        <w:rPr>
          <w:rFonts w:ascii="宋体" w:hAnsi="宋体" w:cs="宋体"/>
          <w:b/>
          <w:sz w:val="24"/>
        </w:rPr>
      </w:r>
      <w:r/>
    </w:p>
    <w:p>
      <w:pPr>
        <w:pStyle w:val="895"/>
        <w:jc w:val="left"/>
        <w:spacing w:line="360" w:lineRule="auto"/>
        <w:rPr>
          <w:rFonts w:ascii="宋体" w:hAnsi="宋体" w:cs="宋体"/>
          <w:sz w:val="24"/>
        </w:rPr>
      </w:pPr>
      <w:r>
        <w:rPr>
          <w:rFonts w:hint="eastAsia" w:ascii="宋体" w:hAnsi="宋体"/>
          <w:sz w:val="24"/>
        </w:rPr>
        <w:t xml:space="preserve">投标单位</w:t>
      </w:r>
      <w:r>
        <w:rPr>
          <w:rFonts w:hint="eastAsia" w:ascii="宋体" w:hAnsi="宋体" w:cs="宋体"/>
          <w:sz w:val="24"/>
        </w:rPr>
        <w:t xml:space="preserve">：（盖章）</w:t>
      </w:r>
      <w:r>
        <w:rPr>
          <w:rFonts w:ascii="宋体" w:hAnsi="宋体" w:cs="宋体"/>
          <w:sz w:val="24"/>
        </w:rPr>
      </w:r>
      <w:r/>
    </w:p>
    <w:p>
      <w:pPr>
        <w:pStyle w:val="895"/>
        <w:jc w:val="left"/>
        <w:spacing w:line="360" w:lineRule="auto"/>
        <w:rPr>
          <w:rFonts w:ascii="宋体" w:hAnsi="宋体" w:cs="宋体"/>
          <w:sz w:val="24"/>
        </w:rPr>
      </w:pPr>
      <w:r>
        <w:rPr>
          <w:rFonts w:hint="eastAsia" w:ascii="宋体" w:hAnsi="宋体" w:cs="宋体"/>
          <w:sz w:val="24"/>
        </w:rPr>
        <w:t xml:space="preserve">法定代表人或代理人：（签字或</w:t>
      </w:r>
      <w:bookmarkStart w:id="126" w:name="OLE_LINK11"/>
      <w:r/>
      <w:bookmarkStart w:id="127" w:name="OLE_LINK10"/>
      <w:r>
        <w:rPr>
          <w:rFonts w:hint="eastAsia" w:ascii="宋体" w:hAnsi="宋体" w:cs="宋体"/>
          <w:sz w:val="24"/>
        </w:rPr>
        <w:t xml:space="preserve">签章</w:t>
      </w:r>
      <w:bookmarkEnd w:id="126"/>
      <w:r/>
      <w:bookmarkEnd w:id="127"/>
      <w:r>
        <w:rPr>
          <w:rFonts w:hint="eastAsia" w:ascii="宋体" w:hAnsi="宋体" w:cs="宋体"/>
          <w:sz w:val="24"/>
        </w:rPr>
        <w:t xml:space="preserve">）</w:t>
      </w:r>
      <w:r>
        <w:rPr>
          <w:rFonts w:ascii="宋体" w:hAnsi="宋体" w:cs="宋体"/>
          <w:sz w:val="24"/>
        </w:rPr>
      </w:r>
      <w:r/>
    </w:p>
    <w:p>
      <w:pPr>
        <w:pStyle w:val="895"/>
        <w:jc w:val="left"/>
        <w:spacing w:line="360" w:lineRule="auto"/>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895"/>
        <w:jc w:val="center"/>
        <w:rPr>
          <w:rFonts w:hint="eastAsia" w:cs="宋体"/>
          <w:color w:val="000000"/>
          <w:sz w:val="28"/>
          <w:szCs w:val="28"/>
        </w:rPr>
      </w:pPr>
      <w:r>
        <w:rPr>
          <w:rFonts w:hint="eastAsia" w:cs="宋体"/>
          <w:color w:val="000000"/>
          <w:sz w:val="28"/>
          <w:szCs w:val="28"/>
        </w:rPr>
      </w:r>
      <w:r/>
    </w:p>
    <w:p>
      <w:pPr>
        <w:pStyle w:val="895"/>
        <w:jc w:val="center"/>
        <w:rPr>
          <w:rFonts w:hint="eastAsia" w:cs="宋体"/>
          <w:color w:val="000000"/>
          <w:sz w:val="28"/>
          <w:szCs w:val="28"/>
        </w:rPr>
      </w:pPr>
      <w:r>
        <w:rPr>
          <w:rFonts w:hint="eastAsia" w:cs="宋体"/>
          <w:color w:val="000000"/>
          <w:sz w:val="28"/>
          <w:szCs w:val="28"/>
        </w:rPr>
      </w:r>
      <w:r/>
    </w:p>
    <w:p>
      <w:pPr>
        <w:pStyle w:val="895"/>
        <w:jc w:val="center"/>
        <w:rPr>
          <w:rFonts w:hint="eastAsia" w:cs="宋体"/>
          <w:color w:val="000000"/>
          <w:sz w:val="28"/>
          <w:szCs w:val="28"/>
        </w:rPr>
      </w:pPr>
      <w:r>
        <w:rPr>
          <w:rFonts w:hint="eastAsia" w:cs="宋体"/>
          <w:color w:val="000000"/>
          <w:sz w:val="28"/>
          <w:szCs w:val="28"/>
        </w:rPr>
      </w:r>
      <w:r/>
    </w:p>
    <w:p>
      <w:pPr>
        <w:pStyle w:val="895"/>
        <w:jc w:val="center"/>
        <w:rPr>
          <w:rFonts w:hint="eastAsia" w:cs="宋体"/>
          <w:color w:val="000000"/>
          <w:sz w:val="28"/>
          <w:szCs w:val="28"/>
        </w:rPr>
      </w:pPr>
      <w:r>
        <w:rPr>
          <w:rFonts w:hint="eastAsia" w:cs="宋体"/>
          <w:color w:val="000000"/>
          <w:sz w:val="28"/>
          <w:szCs w:val="28"/>
        </w:rPr>
        <w:t xml:space="preserve">2）</w:t>
      </w:r>
      <w:r>
        <w:rPr>
          <w:rFonts w:hint="eastAsia" w:cs="宋体"/>
          <w:color w:val="000000"/>
          <w:sz w:val="28"/>
          <w:szCs w:val="28"/>
          <w:lang w:val="zh-CN"/>
        </w:rPr>
        <w:t xml:space="preserve">声明函</w:t>
      </w:r>
      <w:r>
        <w:rPr>
          <w:rFonts w:hint="eastAsia" w:cs="宋体"/>
          <w:color w:val="000000"/>
          <w:sz w:val="28"/>
          <w:szCs w:val="28"/>
        </w:rPr>
        <w:t xml:space="preserve">2</w:t>
      </w:r>
      <w:r/>
    </w:p>
    <w:p>
      <w:pPr>
        <w:pStyle w:val="992"/>
        <w:rPr>
          <w:rFonts w:hint="eastAsia" w:ascii="宋体" w:hAnsi="宋体" w:cs="宋体"/>
          <w:color w:val="000000"/>
        </w:rPr>
      </w:pPr>
      <w:r>
        <w:rPr>
          <w:rFonts w:hint="eastAsia" w:ascii="宋体" w:hAnsi="宋体" w:cs="宋体"/>
          <w:color w:val="000000"/>
        </w:rPr>
        <w:t xml:space="preserve">我单位--</w:t>
      </w:r>
      <w:r>
        <w:rPr>
          <w:rFonts w:hint="eastAsia" w:ascii="宋体" w:hAnsi="宋体" w:cs="宋体"/>
          <w:color w:val="000000"/>
          <w:u w:val="single"/>
        </w:rPr>
        <w:t xml:space="preserve">                          </w:t>
      </w:r>
      <w:r>
        <w:rPr>
          <w:rFonts w:hint="eastAsia" w:ascii="宋体" w:hAnsi="宋体" w:cs="宋体"/>
          <w:color w:val="000000"/>
        </w:rPr>
        <w:t xml:space="preserve">公司，自</w:t>
      </w:r>
      <w:bookmarkStart w:id="128" w:name="OLE_LINK31"/>
      <w:r/>
      <w:bookmarkStart w:id="129" w:name="OLE_LINK32"/>
      <w:r>
        <w:rPr>
          <w:rFonts w:hint="eastAsia" w:ascii="宋体" w:hAnsi="宋体" w:cs="宋体"/>
          <w:color w:val="000000"/>
        </w:rPr>
        <w:t xml:space="preserve">2025年以来</w:t>
      </w:r>
      <w:r>
        <w:rPr>
          <w:rFonts w:hint="eastAsia" w:ascii="宋体" w:hAnsi="宋体" w:cs="宋体"/>
          <w:color w:val="000000"/>
          <w:u w:val="single"/>
        </w:rPr>
        <w:t xml:space="preserve">    </w:t>
      </w:r>
      <w:r>
        <w:rPr>
          <w:rFonts w:hint="eastAsia" w:ascii="宋体" w:hAnsi="宋体" w:cs="宋体"/>
          <w:color w:val="000000"/>
          <w:u w:val="single"/>
        </w:rPr>
        <w:t xml:space="preserve">（</w:t>
      </w:r>
      <w:r>
        <w:rPr>
          <w:rFonts w:hint="eastAsia" w:ascii="宋体" w:hAnsi="宋体" w:cs="宋体"/>
          <w:color w:val="000000"/>
        </w:rPr>
        <w:t xml:space="preserve">被</w:t>
      </w:r>
      <w:r>
        <w:rPr>
          <w:rFonts w:hint="eastAsia" w:ascii="宋体" w:hAnsi="宋体" w:cs="宋体"/>
          <w:color w:val="000000"/>
        </w:rPr>
        <w:t xml:space="preserve">或未被）</w:t>
      </w:r>
      <w:r>
        <w:rPr>
          <w:rFonts w:hint="eastAsia" w:ascii="宋体" w:hAnsi="宋体" w:cs="宋体"/>
          <w:color w:val="000000"/>
        </w:rPr>
        <w:t xml:space="preserve">行业主管部门或市场监督管理部门处以</w:t>
      </w:r>
      <w:r>
        <w:rPr>
          <w:rFonts w:hint="eastAsia" w:ascii="宋体" w:hAnsi="宋体" w:cs="宋体"/>
          <w:color w:val="000000"/>
        </w:rPr>
        <w:t xml:space="preserve">警告、</w:t>
      </w:r>
      <w:r>
        <w:rPr>
          <w:rFonts w:hint="eastAsia" w:ascii="宋体" w:hAnsi="宋体" w:cs="宋体"/>
          <w:color w:val="000000"/>
        </w:rPr>
        <w:t xml:space="preserve">暂停、取消经营资格</w:t>
      </w:r>
      <w:r>
        <w:rPr>
          <w:rFonts w:hint="eastAsia" w:ascii="宋体" w:hAnsi="宋体" w:cs="宋体"/>
          <w:color w:val="000000"/>
        </w:rPr>
        <w:t xml:space="preserve">、罚款等行政处罚</w:t>
      </w:r>
      <w:r>
        <w:rPr>
          <w:rFonts w:hint="eastAsia" w:ascii="宋体" w:hAnsi="宋体" w:cs="宋体"/>
          <w:color w:val="000000"/>
        </w:rPr>
        <w:t xml:space="preserve">或擅自变更、转让、租借定点资格。</w:t>
      </w:r>
      <w:bookmarkEnd w:id="128"/>
      <w:r/>
      <w:bookmarkEnd w:id="129"/>
      <w:r>
        <w:rPr>
          <w:rFonts w:hint="eastAsia" w:ascii="宋体" w:hAnsi="宋体" w:cs="宋体"/>
          <w:color w:val="000000"/>
        </w:rPr>
      </w:r>
      <w:r/>
    </w:p>
    <w:p>
      <w:pPr>
        <w:pStyle w:val="992"/>
        <w:rPr>
          <w:rFonts w:ascii="宋体" w:hAnsi="宋体" w:cs="宋体"/>
          <w:color w:val="000000"/>
        </w:rPr>
      </w:pPr>
      <w:r>
        <w:rPr>
          <w:rFonts w:hint="eastAsia" w:ascii="宋体" w:hAnsi="宋体" w:cs="宋体"/>
          <w:color w:val="000000"/>
        </w:rPr>
        <w:t xml:space="preserve">特此声明。</w:t>
      </w:r>
      <w:r>
        <w:rPr>
          <w:rFonts w:ascii="宋体" w:hAnsi="宋体" w:cs="宋体"/>
          <w:color w:val="000000"/>
        </w:rPr>
      </w:r>
      <w:r/>
    </w:p>
    <w:p>
      <w:pPr>
        <w:pStyle w:val="895"/>
        <w:jc w:val="left"/>
        <w:spacing w:line="360" w:lineRule="auto"/>
        <w:rPr>
          <w:rFonts w:hint="eastAsia" w:ascii="宋体" w:hAnsi="宋体"/>
          <w:sz w:val="24"/>
        </w:rPr>
      </w:pPr>
      <w:r>
        <w:rPr>
          <w:rFonts w:hint="eastAsia" w:ascii="宋体" w:hAnsi="宋体"/>
          <w:sz w:val="24"/>
        </w:rPr>
      </w:r>
      <w:r/>
    </w:p>
    <w:p>
      <w:pPr>
        <w:pStyle w:val="895"/>
        <w:jc w:val="left"/>
        <w:spacing w:line="360" w:lineRule="auto"/>
        <w:rPr>
          <w:rFonts w:ascii="宋体" w:hAnsi="宋体" w:cs="宋体"/>
          <w:sz w:val="24"/>
        </w:rPr>
      </w:pPr>
      <w:r>
        <w:rPr>
          <w:rFonts w:hint="eastAsia" w:ascii="宋体" w:hAnsi="宋体"/>
          <w:sz w:val="24"/>
        </w:rPr>
        <w:t xml:space="preserve">投标单位</w:t>
      </w:r>
      <w:r>
        <w:rPr>
          <w:rFonts w:hint="eastAsia" w:ascii="宋体" w:hAnsi="宋体" w:cs="宋体"/>
          <w:sz w:val="24"/>
        </w:rPr>
        <w:t xml:space="preserve">：（盖章）</w:t>
      </w:r>
      <w:r>
        <w:rPr>
          <w:rFonts w:ascii="宋体" w:hAnsi="宋体" w:cs="宋体"/>
          <w:sz w:val="24"/>
        </w:rPr>
      </w:r>
      <w:r/>
    </w:p>
    <w:p>
      <w:pPr>
        <w:pStyle w:val="895"/>
        <w:jc w:val="left"/>
        <w:spacing w:line="360" w:lineRule="auto"/>
        <w:rPr>
          <w:rFonts w:ascii="宋体" w:hAnsi="宋体" w:cs="宋体"/>
          <w:sz w:val="24"/>
        </w:rPr>
      </w:pPr>
      <w:r>
        <w:rPr>
          <w:rFonts w:hint="eastAsia" w:ascii="宋体" w:hAnsi="宋体" w:cs="宋体"/>
          <w:sz w:val="24"/>
        </w:rPr>
        <w:t xml:space="preserve">法定代表人或代理人：（签字或签章）</w:t>
      </w:r>
      <w:r>
        <w:rPr>
          <w:rFonts w:ascii="宋体" w:hAnsi="宋体" w:cs="宋体"/>
          <w:sz w:val="24"/>
        </w:rPr>
      </w:r>
      <w:r/>
    </w:p>
    <w:p>
      <w:pPr>
        <w:pStyle w:val="895"/>
        <w:jc w:val="left"/>
        <w:spacing w:line="360" w:lineRule="auto"/>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904"/>
        <w:rPr>
          <w:rFonts w:hint="eastAsia" w:cs="宋体"/>
          <w:color w:val="000000"/>
        </w:rPr>
      </w:pPr>
      <w:r>
        <w:rPr>
          <w:rFonts w:hint="eastAsia" w:cs="宋体"/>
          <w:color w:val="000000"/>
        </w:rPr>
      </w:r>
      <w:r/>
    </w:p>
    <w:p>
      <w:pPr>
        <w:pStyle w:val="1001"/>
        <w:ind w:firstLine="482"/>
        <w:rPr>
          <w:rFonts w:hint="eastAsia" w:cs="宋体"/>
          <w:b/>
          <w:bCs/>
          <w:color w:val="000000"/>
        </w:rPr>
      </w:pPr>
      <w:r>
        <w:rPr>
          <w:rFonts w:hint="eastAsia" w:cs="宋体"/>
          <w:b/>
          <w:bCs/>
          <w:color w:val="000000"/>
        </w:rPr>
      </w:r>
      <w:r/>
    </w:p>
    <w:p>
      <w:pPr>
        <w:jc w:val="center"/>
        <w:rPr>
          <w:rFonts w:hint="eastAsia" w:cs="宋体"/>
          <w:color w:val="000000"/>
          <w:sz w:val="28"/>
          <w:szCs w:val="28"/>
        </w:rPr>
      </w:pPr>
      <w:r>
        <w:rPr>
          <w:rFonts w:hint="eastAsia" w:cs="宋体"/>
          <w:color w:val="000000"/>
          <w:sz w:val="28"/>
          <w:szCs w:val="28"/>
        </w:rPr>
      </w:r>
      <w:r>
        <w:rPr>
          <w:rFonts w:hint="eastAsia" w:cs="宋体"/>
          <w:color w:val="000000"/>
          <w:sz w:val="28"/>
          <w:szCs w:val="28"/>
        </w:rPr>
      </w:r>
      <w:r/>
    </w:p>
    <w:p>
      <w:pPr>
        <w:jc w:val="center"/>
        <w:rPr>
          <w:rFonts w:hint="eastAsia" w:cs="宋体"/>
          <w:color w:val="000000"/>
          <w:sz w:val="28"/>
          <w:szCs w:val="28"/>
        </w:rPr>
      </w:pPr>
      <w:r>
        <w:rPr>
          <w:rFonts w:hint="eastAsia" w:cs="宋体"/>
          <w:color w:val="000000"/>
          <w:sz w:val="28"/>
          <w:szCs w:val="28"/>
        </w:rPr>
      </w:r>
      <w:r>
        <w:rPr>
          <w:rFonts w:hint="eastAsia" w:cs="宋体"/>
          <w:color w:val="000000"/>
          <w:sz w:val="28"/>
          <w:szCs w:val="28"/>
        </w:rPr>
      </w:r>
      <w:r/>
    </w:p>
    <w:p>
      <w:pPr>
        <w:jc w:val="center"/>
        <w:rPr>
          <w:rFonts w:hint="eastAsia" w:cs="宋体"/>
          <w:color w:val="000000"/>
          <w:sz w:val="28"/>
          <w:szCs w:val="28"/>
        </w:rPr>
      </w:pPr>
      <w:r>
        <w:rPr>
          <w:rFonts w:hint="eastAsia" w:cs="宋体"/>
          <w:color w:val="000000"/>
          <w:sz w:val="28"/>
          <w:szCs w:val="28"/>
        </w:rPr>
      </w:r>
      <w:r>
        <w:rPr>
          <w:rFonts w:hint="eastAsia" w:cs="宋体"/>
          <w:color w:val="000000"/>
          <w:sz w:val="28"/>
          <w:szCs w:val="28"/>
        </w:rPr>
      </w:r>
      <w:r/>
    </w:p>
    <w:p>
      <w:pPr>
        <w:jc w:val="center"/>
        <w:rPr>
          <w:rFonts w:hint="eastAsia" w:cs="宋体"/>
          <w:color w:val="000000"/>
          <w:sz w:val="28"/>
          <w:szCs w:val="28"/>
        </w:rPr>
      </w:pPr>
      <w:r>
        <w:rPr>
          <w:rFonts w:hint="eastAsia" w:cs="宋体"/>
          <w:color w:val="000000"/>
          <w:sz w:val="28"/>
          <w:szCs w:val="28"/>
        </w:rPr>
      </w:r>
      <w:r>
        <w:rPr>
          <w:rFonts w:hint="eastAsia" w:cs="宋体"/>
          <w:color w:val="000000"/>
          <w:sz w:val="28"/>
          <w:szCs w:val="28"/>
        </w:rPr>
      </w:r>
      <w:r/>
    </w:p>
    <w:p>
      <w:pPr>
        <w:jc w:val="center"/>
        <w:rPr>
          <w:rFonts w:hint="eastAsia" w:cs="宋体"/>
          <w:color w:val="000000"/>
          <w:sz w:val="28"/>
          <w:szCs w:val="28"/>
        </w:rPr>
      </w:pPr>
      <w:r>
        <w:rPr>
          <w:rFonts w:hint="eastAsia" w:cs="宋体"/>
          <w:color w:val="000000"/>
          <w:sz w:val="28"/>
          <w:szCs w:val="28"/>
        </w:rPr>
      </w:r>
      <w:r>
        <w:rPr>
          <w:rFonts w:hint="eastAsia" w:cs="宋体"/>
          <w:color w:val="000000"/>
          <w:sz w:val="28"/>
          <w:szCs w:val="28"/>
        </w:rPr>
      </w:r>
      <w:r/>
    </w:p>
    <w:p>
      <w:pPr>
        <w:jc w:val="center"/>
        <w:rPr>
          <w:rFonts w:hint="eastAsia" w:cs="宋体"/>
          <w:color w:val="000000"/>
          <w:sz w:val="28"/>
          <w:szCs w:val="28"/>
        </w:rPr>
      </w:pPr>
      <w:r>
        <w:rPr>
          <w:rFonts w:hint="eastAsia" w:cs="宋体"/>
          <w:color w:val="000000"/>
          <w:sz w:val="28"/>
          <w:szCs w:val="28"/>
        </w:rPr>
      </w:r>
      <w:r>
        <w:rPr>
          <w:rFonts w:hint="eastAsia" w:cs="宋体"/>
          <w:color w:val="000000"/>
          <w:sz w:val="28"/>
          <w:szCs w:val="28"/>
        </w:rPr>
      </w:r>
      <w:r/>
    </w:p>
    <w:p>
      <w:pPr>
        <w:jc w:val="center"/>
        <w:rPr>
          <w:rFonts w:hint="eastAsia" w:cs="宋体"/>
          <w:color w:val="000000"/>
          <w:sz w:val="28"/>
          <w:szCs w:val="28"/>
        </w:rPr>
      </w:pPr>
      <w:r>
        <w:rPr>
          <w:rFonts w:hint="eastAsia" w:cs="宋体"/>
          <w:color w:val="000000"/>
          <w:sz w:val="28"/>
          <w:szCs w:val="28"/>
        </w:rPr>
      </w:r>
      <w:r>
        <w:rPr>
          <w:rFonts w:hint="eastAsia" w:cs="宋体"/>
          <w:color w:val="000000"/>
          <w:sz w:val="28"/>
          <w:szCs w:val="28"/>
        </w:rPr>
      </w:r>
      <w:r/>
    </w:p>
    <w:p>
      <w:pPr>
        <w:pStyle w:val="895"/>
        <w:jc w:val="center"/>
        <w:rPr>
          <w:rFonts w:hint="eastAsia" w:cs="宋体"/>
          <w:color w:val="000000"/>
          <w:sz w:val="28"/>
          <w:szCs w:val="28"/>
        </w:rPr>
      </w:pPr>
      <w:r>
        <w:rPr>
          <w:rFonts w:hint="eastAsia" w:cs="宋体"/>
          <w:color w:val="000000"/>
          <w:sz w:val="28"/>
          <w:szCs w:val="28"/>
        </w:rPr>
      </w:r>
      <w:r/>
    </w:p>
    <w:p>
      <w:pPr>
        <w:pStyle w:val="895"/>
        <w:jc w:val="center"/>
        <w:rPr>
          <w:rFonts w:hint="eastAsia" w:cs="宋体"/>
          <w:color w:val="000000"/>
          <w:sz w:val="28"/>
          <w:szCs w:val="28"/>
        </w:rPr>
      </w:pPr>
      <w:r>
        <w:rPr>
          <w:rFonts w:hint="eastAsia" w:cs="宋体"/>
          <w:color w:val="000000"/>
          <w:sz w:val="28"/>
          <w:szCs w:val="28"/>
        </w:rPr>
      </w:r>
      <w:r/>
    </w:p>
    <w:p>
      <w:pPr>
        <w:pStyle w:val="895"/>
        <w:jc w:val="center"/>
        <w:rPr>
          <w:rFonts w:hint="eastAsia" w:cs="宋体"/>
          <w:color w:val="000000"/>
          <w:sz w:val="24"/>
        </w:rPr>
      </w:pPr>
      <w:r>
        <w:rPr>
          <w:rFonts w:hint="eastAsia" w:cs="宋体"/>
          <w:color w:val="000000"/>
          <w:sz w:val="28"/>
          <w:szCs w:val="28"/>
        </w:rPr>
        <w:t xml:space="preserve">3） 承诺函</w:t>
      </w:r>
      <w:r>
        <w:rPr>
          <w:rFonts w:hint="eastAsia" w:cs="宋体"/>
          <w:color w:val="000000"/>
          <w:sz w:val="24"/>
        </w:rPr>
        <w:t xml:space="preserve">（一至四标段适用）</w:t>
      </w:r>
      <w:r/>
    </w:p>
    <w:p>
      <w:pPr>
        <w:pStyle w:val="1001"/>
        <w:rPr>
          <w:rFonts w:hint="eastAsia" w:cs="宋体"/>
          <w:color w:val="000000"/>
        </w:rPr>
      </w:pPr>
      <w:r>
        <w:rPr>
          <w:rFonts w:hint="eastAsia" w:cs="宋体"/>
          <w:color w:val="000000"/>
        </w:rPr>
      </w:r>
      <w:r/>
    </w:p>
    <w:p>
      <w:pPr>
        <w:pStyle w:val="895"/>
        <w:ind w:firstLine="482"/>
        <w:spacing w:line="360" w:lineRule="auto"/>
        <w:rPr>
          <w:rFonts w:hint="eastAsia" w:cs="宋体"/>
          <w:b/>
          <w:bCs/>
          <w:color w:val="000000"/>
          <w:sz w:val="24"/>
        </w:rPr>
      </w:pPr>
      <w:r>
        <w:rPr>
          <w:rFonts w:hint="eastAsia" w:cs="宋体"/>
          <w:b/>
          <w:bCs/>
          <w:color w:val="000000"/>
          <w:sz w:val="24"/>
        </w:rPr>
        <w:t xml:space="preserve">本公司承诺，如中标，在本项目合同履行期内，严格执行回避制度，回避如下情形：</w:t>
      </w:r>
      <w:r/>
    </w:p>
    <w:p>
      <w:pPr>
        <w:pStyle w:val="895"/>
        <w:ind w:firstLine="480"/>
        <w:spacing w:line="360" w:lineRule="auto"/>
        <w:rPr>
          <w:rFonts w:hint="eastAsia" w:cs="宋体"/>
          <w:color w:val="000000"/>
          <w:sz w:val="24"/>
        </w:rPr>
      </w:pPr>
      <w:r>
        <w:rPr>
          <w:rFonts w:hint="eastAsia" w:cs="宋体"/>
          <w:color w:val="000000"/>
          <w:sz w:val="24"/>
        </w:rPr>
        <w:t xml:space="preserve">(一)与排污单位有从属关系；</w:t>
      </w:r>
      <w:r/>
    </w:p>
    <w:p>
      <w:pPr>
        <w:pStyle w:val="895"/>
        <w:ind w:firstLine="480"/>
        <w:spacing w:line="360" w:lineRule="auto"/>
        <w:rPr>
          <w:rFonts w:hint="eastAsia" w:cs="宋体"/>
          <w:color w:val="000000"/>
          <w:sz w:val="24"/>
        </w:rPr>
      </w:pPr>
      <w:r>
        <w:rPr>
          <w:rFonts w:hint="eastAsia" w:cs="宋体"/>
          <w:color w:val="000000"/>
          <w:sz w:val="24"/>
        </w:rPr>
        <w:t xml:space="preserve">(二)与排污单位有共同控制人(包括与法人有夫妻关系或直系血亲关系)；</w:t>
      </w:r>
      <w:r/>
    </w:p>
    <w:p>
      <w:pPr>
        <w:pStyle w:val="895"/>
        <w:ind w:firstLine="480"/>
        <w:spacing w:line="360" w:lineRule="auto"/>
        <w:rPr>
          <w:rFonts w:hint="eastAsia" w:cs="宋体"/>
          <w:color w:val="000000"/>
          <w:sz w:val="24"/>
        </w:rPr>
      </w:pPr>
      <w:r>
        <w:rPr>
          <w:rFonts w:hint="eastAsia" w:cs="宋体"/>
          <w:color w:val="000000"/>
          <w:sz w:val="24"/>
        </w:rPr>
        <w:t xml:space="preserve">(三)为排污单位提供自行监测、自动监测设施运维、验收监测、环境调查、环境咨询、环境工程等存在直接利益关系的环境检测服务；</w:t>
      </w:r>
      <w:r/>
    </w:p>
    <w:p>
      <w:pPr>
        <w:pStyle w:val="895"/>
        <w:ind w:firstLine="480"/>
        <w:spacing w:line="360" w:lineRule="auto"/>
        <w:rPr>
          <w:rFonts w:hint="eastAsia" w:cs="宋体"/>
          <w:color w:val="000000"/>
          <w:sz w:val="24"/>
        </w:rPr>
      </w:pPr>
      <w:r>
        <w:rPr>
          <w:rFonts w:hint="eastAsia" w:cs="宋体"/>
          <w:color w:val="000000"/>
          <w:sz w:val="24"/>
        </w:rPr>
        <w:t xml:space="preserve">(四)法律、法规或者规章规定的其他回避情形。</w:t>
      </w:r>
      <w:r/>
    </w:p>
    <w:p>
      <w:pPr>
        <w:pStyle w:val="1001"/>
        <w:rPr>
          <w:rFonts w:hint="eastAsia" w:cs="宋体"/>
          <w:color w:val="000000"/>
        </w:rPr>
      </w:pPr>
      <w:r>
        <w:rPr>
          <w:rFonts w:hint="eastAsia" w:cs="宋体"/>
          <w:color w:val="000000"/>
        </w:rPr>
      </w:r>
      <w:r/>
    </w:p>
    <w:p>
      <w:pPr>
        <w:pStyle w:val="895"/>
        <w:spacing w:line="360" w:lineRule="auto"/>
        <w:rPr>
          <w:rFonts w:hint="eastAsia" w:cs="宋体"/>
          <w:color w:val="000000"/>
          <w:sz w:val="24"/>
          <w:lang w:val="zh-CN"/>
        </w:rPr>
      </w:pPr>
      <w:r>
        <w:rPr>
          <w:rFonts w:hint="eastAsia" w:cs="宋体"/>
          <w:color w:val="000000"/>
          <w:sz w:val="24"/>
          <w:lang w:val="zh-CN"/>
        </w:rPr>
        <w:t xml:space="preserve">投标人：</w:t>
      </w:r>
      <w:r>
        <w:rPr>
          <w:rFonts w:hint="eastAsia" w:cs="宋体"/>
          <w:color w:val="000000"/>
          <w:sz w:val="24"/>
          <w:u w:val="single"/>
          <w:lang w:val="zh-CN"/>
        </w:rPr>
        <w:t xml:space="preserve">                      </w:t>
      </w:r>
      <w:r>
        <w:rPr>
          <w:rFonts w:hint="eastAsia" w:cs="宋体"/>
          <w:color w:val="000000"/>
          <w:sz w:val="24"/>
          <w:lang w:val="zh-CN"/>
        </w:rPr>
        <w:t xml:space="preserve">（盖章）</w:t>
      </w:r>
      <w:r/>
    </w:p>
    <w:p>
      <w:pPr>
        <w:pStyle w:val="895"/>
        <w:ind w:firstLine="7440"/>
        <w:jc w:val="left"/>
        <w:rPr>
          <w:rFonts w:hint="eastAsia" w:cs="宋体"/>
          <w:color w:val="000000"/>
          <w:sz w:val="24"/>
          <w:lang w:val="zh-CN"/>
        </w:rPr>
      </w:pPr>
      <w:r>
        <w:rPr>
          <w:rFonts w:hint="eastAsia" w:cs="宋体"/>
          <w:color w:val="000000"/>
          <w:sz w:val="24"/>
          <w:lang w:val="zh-CN"/>
        </w:rPr>
      </w:r>
      <w:r/>
    </w:p>
    <w:p>
      <w:pPr>
        <w:pStyle w:val="895"/>
        <w:jc w:val="left"/>
        <w:rPr>
          <w:rFonts w:hint="eastAsia" w:cs="宋体"/>
          <w:color w:val="000000"/>
          <w:sz w:val="24"/>
          <w:lang w:val="zh-CN"/>
        </w:rPr>
      </w:pPr>
      <w:r>
        <w:rPr>
          <w:rFonts w:hint="eastAsia" w:cs="宋体"/>
          <w:color w:val="000000"/>
          <w:sz w:val="24"/>
          <w:lang w:val="zh-CN"/>
        </w:rPr>
        <w:t xml:space="preserve">年　  月  　日</w:t>
      </w:r>
      <w:r/>
    </w:p>
    <w:p>
      <w:pPr>
        <w:pStyle w:val="1001"/>
        <w:rPr>
          <w:rFonts w:hint="eastAsia" w:cs="宋体"/>
          <w:color w:val="000000"/>
          <w:lang w:val="zh-CN"/>
        </w:rPr>
      </w:pPr>
      <w:r>
        <w:rPr>
          <w:rFonts w:hint="eastAsia" w:cs="宋体"/>
          <w:color w:val="000000"/>
          <w:lang w:val="zh-CN"/>
        </w:rPr>
      </w:r>
      <w:r/>
    </w:p>
    <w:p>
      <w:pPr>
        <w:pStyle w:val="1001"/>
        <w:rPr>
          <w:rFonts w:hint="eastAsia" w:cs="宋体"/>
          <w:color w:val="000000"/>
          <w:lang w:val="zh-CN"/>
        </w:rPr>
      </w:pPr>
      <w:r>
        <w:rPr>
          <w:rFonts w:hint="eastAsia" w:cs="宋体"/>
          <w:color w:val="000000"/>
          <w:lang w:val="zh-CN"/>
        </w:rPr>
      </w:r>
      <w:r/>
    </w:p>
    <w:p>
      <w:pPr>
        <w:pStyle w:val="1001"/>
        <w:rPr>
          <w:rFonts w:hint="eastAsia" w:cs="宋体"/>
          <w:color w:val="000000"/>
          <w:lang w:val="zh-CN"/>
        </w:rPr>
      </w:pPr>
      <w:r>
        <w:rPr>
          <w:rFonts w:hint="eastAsia" w:cs="宋体"/>
          <w:color w:val="000000"/>
          <w:lang w:val="zh-CN"/>
        </w:rPr>
      </w:r>
      <w:r/>
    </w:p>
    <w:p>
      <w:pPr>
        <w:pStyle w:val="1001"/>
        <w:rPr>
          <w:rFonts w:hint="eastAsia" w:cs="宋体"/>
          <w:color w:val="000000"/>
          <w:lang w:val="zh-CN"/>
        </w:rPr>
      </w:pPr>
      <w:r>
        <w:rPr>
          <w:rFonts w:hint="eastAsia" w:cs="宋体"/>
          <w:color w:val="000000"/>
          <w:lang w:val="zh-CN"/>
        </w:rPr>
      </w:r>
      <w:r/>
    </w:p>
    <w:p>
      <w:pPr>
        <w:pStyle w:val="1001"/>
        <w:rPr>
          <w:rFonts w:hint="eastAsia" w:cs="宋体"/>
          <w:color w:val="000000"/>
          <w:lang w:val="zh-CN"/>
        </w:rPr>
      </w:pPr>
      <w:r>
        <w:rPr>
          <w:rFonts w:hint="eastAsia" w:cs="宋体"/>
          <w:color w:val="000000"/>
          <w:lang w:val="zh-CN"/>
        </w:rPr>
      </w:r>
      <w:r/>
    </w:p>
    <w:p>
      <w:pPr>
        <w:pStyle w:val="1001"/>
        <w:rPr>
          <w:rFonts w:hint="eastAsia" w:cs="宋体"/>
          <w:color w:val="000000"/>
          <w:lang w:val="zh-CN"/>
        </w:rPr>
      </w:pPr>
      <w:r>
        <w:rPr>
          <w:rFonts w:hint="eastAsia" w:cs="宋体"/>
          <w:color w:val="000000"/>
          <w:lang w:val="zh-CN"/>
        </w:rPr>
      </w:r>
      <w:r/>
    </w:p>
    <w:p>
      <w:pPr>
        <w:pStyle w:val="1001"/>
        <w:rPr>
          <w:rFonts w:hint="eastAsia" w:cs="宋体"/>
          <w:color w:val="000000"/>
          <w:lang w:val="zh-CN"/>
        </w:rPr>
      </w:pPr>
      <w:r>
        <w:rPr>
          <w:rFonts w:hint="eastAsia" w:cs="宋体"/>
          <w:color w:val="000000"/>
          <w:lang w:val="zh-CN"/>
        </w:rPr>
      </w:r>
      <w:r/>
    </w:p>
    <w:p>
      <w:pPr>
        <w:pStyle w:val="1001"/>
        <w:rPr>
          <w:rFonts w:hint="eastAsia" w:cs="宋体"/>
          <w:color w:val="000000"/>
          <w:lang w:val="zh-CN"/>
        </w:rPr>
      </w:pPr>
      <w:r>
        <w:rPr>
          <w:rFonts w:hint="eastAsia" w:cs="宋体"/>
          <w:color w:val="000000"/>
          <w:lang w:val="zh-CN"/>
        </w:rPr>
      </w:r>
      <w:r/>
    </w:p>
    <w:p>
      <w:pPr>
        <w:pStyle w:val="1001"/>
        <w:rPr>
          <w:rFonts w:hint="eastAsia" w:cs="宋体"/>
          <w:color w:val="000000"/>
          <w:lang w:val="zh-CN"/>
        </w:rPr>
      </w:pPr>
      <w:r>
        <w:rPr>
          <w:rFonts w:hint="eastAsia" w:cs="宋体"/>
          <w:color w:val="000000"/>
          <w:lang w:val="zh-CN"/>
        </w:rPr>
      </w:r>
      <w:r/>
    </w:p>
    <w:p>
      <w:pPr>
        <w:pStyle w:val="1001"/>
        <w:rPr>
          <w:rFonts w:hint="eastAsia" w:cs="宋体"/>
          <w:color w:val="000000"/>
          <w:lang w:val="zh-CN"/>
        </w:rPr>
      </w:pPr>
      <w:r>
        <w:rPr>
          <w:rFonts w:hint="eastAsia" w:cs="宋体"/>
          <w:color w:val="000000"/>
          <w:lang w:val="zh-CN"/>
        </w:rPr>
      </w:r>
      <w:r/>
    </w:p>
    <w:p>
      <w:pPr>
        <w:pStyle w:val="1001"/>
        <w:rPr>
          <w:rFonts w:hint="eastAsia" w:cs="宋体"/>
          <w:color w:val="000000"/>
          <w:lang w:val="zh-CN"/>
        </w:rPr>
      </w:pPr>
      <w:r>
        <w:rPr>
          <w:rFonts w:hint="eastAsia" w:cs="宋体"/>
          <w:color w:val="000000"/>
          <w:lang w:val="zh-CN"/>
        </w:rPr>
      </w:r>
      <w:r/>
    </w:p>
    <w:p>
      <w:pPr>
        <w:pStyle w:val="1001"/>
        <w:rPr>
          <w:rFonts w:hint="eastAsia" w:cs="宋体"/>
          <w:color w:val="000000"/>
          <w:lang w:val="zh-CN"/>
        </w:rPr>
      </w:pPr>
      <w:r>
        <w:rPr>
          <w:rFonts w:hint="eastAsia" w:cs="宋体"/>
          <w:color w:val="000000"/>
          <w:lang w:val="zh-CN"/>
        </w:rPr>
      </w:r>
      <w:r/>
    </w:p>
    <w:p>
      <w:pPr>
        <w:pStyle w:val="1001"/>
        <w:rPr>
          <w:rFonts w:hint="eastAsia" w:cs="宋体"/>
          <w:color w:val="000000"/>
          <w:lang w:val="zh-CN"/>
        </w:rPr>
      </w:pPr>
      <w:r>
        <w:rPr>
          <w:rFonts w:hint="eastAsia" w:cs="宋体"/>
          <w:color w:val="000000"/>
          <w:lang w:val="zh-CN"/>
        </w:rPr>
      </w:r>
      <w:r/>
    </w:p>
    <w:p>
      <w:pPr>
        <w:pStyle w:val="1001"/>
        <w:rPr>
          <w:rFonts w:hint="eastAsia" w:cs="宋体"/>
          <w:color w:val="000000"/>
          <w:lang w:val="zh-CN"/>
        </w:rPr>
      </w:pPr>
      <w:r>
        <w:rPr>
          <w:rFonts w:hint="eastAsia" w:cs="宋体"/>
          <w:color w:val="000000"/>
          <w:lang w:val="zh-CN"/>
        </w:rPr>
      </w:r>
      <w:r/>
    </w:p>
    <w:p>
      <w:pPr>
        <w:pStyle w:val="1001"/>
        <w:rPr>
          <w:rFonts w:hint="eastAsia" w:cs="宋体"/>
          <w:color w:val="000000"/>
          <w:lang w:val="zh-CN"/>
        </w:rPr>
      </w:pPr>
      <w:r>
        <w:rPr>
          <w:rFonts w:hint="eastAsia" w:cs="宋体"/>
          <w:color w:val="000000"/>
          <w:lang w:val="zh-CN"/>
        </w:rPr>
      </w:r>
      <w:r/>
    </w:p>
    <w:p>
      <w:pPr>
        <w:pStyle w:val="1001"/>
        <w:rPr>
          <w:rFonts w:hint="eastAsia" w:cs="宋体"/>
          <w:color w:val="000000"/>
          <w:lang w:val="zh-CN"/>
        </w:rPr>
      </w:pPr>
      <w:r>
        <w:rPr>
          <w:rFonts w:hint="eastAsia" w:cs="宋体"/>
          <w:color w:val="000000"/>
          <w:lang w:val="zh-CN"/>
        </w:rPr>
      </w:r>
      <w:r/>
    </w:p>
    <w:p>
      <w:pPr>
        <w:pStyle w:val="897"/>
        <w:spacing w:before="0" w:after="0" w:line="360" w:lineRule="auto"/>
        <w:rPr>
          <w:color w:val="000000"/>
        </w:rPr>
      </w:pPr>
      <w:r/>
      <w:bookmarkStart w:id="130" w:name="OLE_LINK175"/>
      <w:r>
        <w:rPr>
          <w:rFonts w:hint="eastAsia"/>
          <w:color w:val="000000"/>
        </w:rPr>
        <w:t xml:space="preserve">10、</w:t>
      </w:r>
      <w:bookmarkEnd w:id="130"/>
      <w:r>
        <w:rPr>
          <w:rFonts w:hint="eastAsia"/>
          <w:color w:val="000000"/>
        </w:rPr>
        <w:t xml:space="preserve">附表（部分评分相关）：</w:t>
      </w:r>
      <w:r>
        <w:rPr>
          <w:color w:val="000000"/>
        </w:rPr>
      </w:r>
      <w:r/>
    </w:p>
    <w:p>
      <w:pPr>
        <w:pStyle w:val="895"/>
        <w:jc w:val="left"/>
        <w:spacing w:line="360" w:lineRule="auto"/>
        <w:tabs>
          <w:tab w:val="left" w:pos="870" w:leader="none"/>
          <w:tab w:val="center" w:pos="4153" w:leader="none"/>
        </w:tabs>
        <w:rPr>
          <w:rFonts w:ascii="宋体" w:hAnsi="宋体"/>
          <w:b/>
          <w:color w:val="000000"/>
          <w:sz w:val="24"/>
        </w:rPr>
      </w:pPr>
      <w:r/>
      <w:bookmarkStart w:id="131" w:name="OLE_LINK12"/>
      <w:r/>
      <w:bookmarkStart w:id="132" w:name="OLE_LINK13"/>
      <w:r>
        <w:rPr>
          <w:rFonts w:hint="eastAsia" w:ascii="宋体" w:hAnsi="宋体"/>
          <w:b/>
          <w:color w:val="000000"/>
          <w:sz w:val="24"/>
        </w:rPr>
        <w:t xml:space="preserve">附表1-1</w:t>
      </w:r>
      <w:r>
        <w:rPr>
          <w:rFonts w:ascii="宋体" w:hAnsi="宋体"/>
          <w:b/>
          <w:color w:val="000000"/>
          <w:sz w:val="24"/>
        </w:rPr>
      </w:r>
      <w:r/>
    </w:p>
    <w:p>
      <w:pPr>
        <w:pStyle w:val="895"/>
        <w:jc w:val="center"/>
        <w:rPr>
          <w:rFonts w:hint="eastAsia"/>
          <w:b/>
          <w:sz w:val="28"/>
          <w:szCs w:val="28"/>
        </w:rPr>
      </w:pPr>
      <w:r>
        <w:rPr>
          <w:rFonts w:hint="eastAsia"/>
          <w:b/>
          <w:sz w:val="28"/>
          <w:szCs w:val="28"/>
        </w:rPr>
        <w:t xml:space="preserve">供应商拟定投入本项目的环境检测人员情况表</w:t>
      </w:r>
      <w:r/>
    </w:p>
    <w:p>
      <w:pPr>
        <w:pStyle w:val="895"/>
        <w:spacing w:line="360" w:lineRule="auto"/>
        <w:rPr>
          <w:rFonts w:ascii="宋体" w:hAnsi="宋体"/>
          <w:color w:val="000000"/>
          <w:sz w:val="24"/>
        </w:rPr>
      </w:pPr>
      <w:r>
        <w:rPr>
          <w:rFonts w:hint="eastAsia" w:ascii="宋体" w:hAnsi="宋体"/>
          <w:color w:val="000000"/>
          <w:sz w:val="24"/>
        </w:rPr>
        <w:t xml:space="preserve"> 投标单位（章）：</w:t>
      </w:r>
      <w:r>
        <w:rPr>
          <w:rFonts w:ascii="宋体" w:hAnsi="宋体"/>
          <w:color w:val="000000"/>
          <w:sz w:val="24"/>
        </w:rPr>
      </w:r>
      <w:r/>
    </w:p>
    <w:tbl>
      <w:tblPr>
        <w:tblW w:w="9306"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4"/>
        <w:gridCol w:w="690"/>
        <w:gridCol w:w="809"/>
        <w:gridCol w:w="567"/>
        <w:gridCol w:w="733"/>
        <w:gridCol w:w="692"/>
        <w:gridCol w:w="850"/>
        <w:gridCol w:w="1010"/>
        <w:gridCol w:w="1276"/>
        <w:gridCol w:w="690"/>
        <w:gridCol w:w="726"/>
        <w:gridCol w:w="709"/>
      </w:tblGrid>
      <w:tr>
        <w:trPr>
          <w:cantSplit/>
          <w:trHeight w:val="420"/>
        </w:trPr>
        <w:tc>
          <w:tcPr>
            <w:tcBorders>
              <w:top w:val="single" w:color="000000" w:sz="12" w:space="0"/>
              <w:left w:val="single" w:color="000000" w:sz="12" w:space="0"/>
              <w:right w:val="single" w:color="000000" w:sz="4" w:space="0"/>
            </w:tcBorders>
            <w:tcW w:w="554" w:type="dxa"/>
            <w:vAlign w:val="center"/>
            <w:vMerge w:val="restart"/>
            <w:textDirection w:val="lrTb"/>
            <w:noWrap w:val="false"/>
          </w:tcPr>
          <w:p>
            <w:pPr>
              <w:pStyle w:val="921"/>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Borders>
              <w:top w:val="single" w:color="000000" w:sz="12" w:space="0"/>
              <w:left w:val="single" w:color="000000" w:sz="4" w:space="0"/>
              <w:right w:val="single" w:color="000000" w:sz="4" w:space="0"/>
            </w:tcBorders>
            <w:tcW w:w="690" w:type="dxa"/>
            <w:vAlign w:val="center"/>
            <w:vMerge w:val="restart"/>
            <w:textDirection w:val="lrTb"/>
            <w:noWrap w:val="false"/>
          </w:tcPr>
          <w:p>
            <w:pPr>
              <w:pStyle w:val="921"/>
              <w:jc w:val="center"/>
              <w:rPr>
                <w:rFonts w:ascii="宋体" w:hAnsi="宋体"/>
                <w:color w:val="000000"/>
                <w:sz w:val="21"/>
                <w:szCs w:val="21"/>
              </w:rPr>
            </w:pPr>
            <w:r>
              <w:rPr>
                <w:rFonts w:hint="eastAsia" w:ascii="宋体" w:hAnsi="宋体"/>
                <w:color w:val="000000"/>
                <w:sz w:val="21"/>
                <w:szCs w:val="21"/>
              </w:rPr>
              <w:t xml:space="preserve">姓名</w:t>
            </w:r>
            <w:r>
              <w:rPr>
                <w:rFonts w:ascii="宋体" w:hAnsi="宋体"/>
                <w:color w:val="000000"/>
                <w:sz w:val="21"/>
                <w:szCs w:val="21"/>
              </w:rPr>
            </w:r>
            <w:r/>
          </w:p>
        </w:tc>
        <w:tc>
          <w:tcPr>
            <w:tcBorders>
              <w:top w:val="single" w:color="000000" w:sz="12" w:space="0"/>
              <w:left w:val="single" w:color="000000" w:sz="4" w:space="0"/>
              <w:right w:val="single" w:color="000000" w:sz="4" w:space="0"/>
            </w:tcBorders>
            <w:tcW w:w="809" w:type="dxa"/>
            <w:vAlign w:val="center"/>
            <w:vMerge w:val="restart"/>
            <w:textDirection w:val="lrTb"/>
            <w:noWrap w:val="false"/>
          </w:tcPr>
          <w:p>
            <w:pPr>
              <w:pStyle w:val="921"/>
              <w:rPr>
                <w:rFonts w:ascii="宋体" w:hAnsi="宋体"/>
                <w:color w:val="000000"/>
                <w:sz w:val="21"/>
                <w:szCs w:val="21"/>
              </w:rPr>
            </w:pPr>
            <w:r>
              <w:rPr>
                <w:rFonts w:hint="eastAsia" w:ascii="宋体" w:hAnsi="宋体"/>
                <w:color w:val="000000"/>
                <w:sz w:val="21"/>
                <w:szCs w:val="21"/>
              </w:rPr>
              <w:t xml:space="preserve">性别</w:t>
            </w:r>
            <w:r>
              <w:rPr>
                <w:rFonts w:ascii="宋体" w:hAnsi="宋体"/>
                <w:color w:val="000000"/>
                <w:sz w:val="21"/>
                <w:szCs w:val="21"/>
              </w:rPr>
            </w:r>
            <w:r/>
          </w:p>
        </w:tc>
        <w:tc>
          <w:tcPr>
            <w:tcBorders>
              <w:top w:val="single" w:color="000000" w:sz="12" w:space="0"/>
              <w:left w:val="single" w:color="000000" w:sz="4" w:space="0"/>
              <w:right w:val="single" w:color="000000" w:sz="4" w:space="0"/>
            </w:tcBorders>
            <w:tcW w:w="567" w:type="dxa"/>
            <w:vAlign w:val="center"/>
            <w:vMerge w:val="restart"/>
            <w:textDirection w:val="lrTb"/>
            <w:noWrap w:val="false"/>
          </w:tcPr>
          <w:p>
            <w:pPr>
              <w:pStyle w:val="921"/>
              <w:rPr>
                <w:rFonts w:ascii="宋体" w:hAnsi="宋体"/>
                <w:color w:val="000000"/>
                <w:sz w:val="21"/>
                <w:szCs w:val="21"/>
              </w:rPr>
            </w:pPr>
            <w:r>
              <w:rPr>
                <w:rFonts w:hint="eastAsia" w:ascii="宋体" w:hAnsi="宋体"/>
                <w:color w:val="000000"/>
                <w:sz w:val="21"/>
                <w:szCs w:val="21"/>
              </w:rPr>
              <w:t xml:space="preserve">年龄</w:t>
            </w:r>
            <w:r>
              <w:rPr>
                <w:rFonts w:ascii="宋体" w:hAnsi="宋体"/>
                <w:color w:val="000000"/>
                <w:sz w:val="21"/>
                <w:szCs w:val="21"/>
              </w:rPr>
            </w:r>
            <w:r/>
          </w:p>
        </w:tc>
        <w:tc>
          <w:tcPr>
            <w:tcBorders>
              <w:top w:val="single" w:color="000000" w:sz="12" w:space="0"/>
              <w:left w:val="single" w:color="000000" w:sz="4" w:space="0"/>
              <w:right w:val="single" w:color="000000" w:sz="4" w:space="0"/>
            </w:tcBorders>
            <w:tcW w:w="733" w:type="dxa"/>
            <w:vAlign w:val="center"/>
            <w:vMerge w:val="restart"/>
            <w:textDirection w:val="lrTb"/>
            <w:noWrap w:val="false"/>
          </w:tcPr>
          <w:p>
            <w:pPr>
              <w:pStyle w:val="921"/>
              <w:jc w:val="center"/>
              <w:rPr>
                <w:rFonts w:ascii="宋体" w:hAnsi="宋体"/>
                <w:color w:val="000000"/>
                <w:sz w:val="21"/>
                <w:szCs w:val="21"/>
              </w:rPr>
            </w:pPr>
            <w:r>
              <w:rPr>
                <w:rFonts w:hint="eastAsia" w:ascii="宋体" w:hAnsi="宋体"/>
                <w:color w:val="000000"/>
                <w:sz w:val="21"/>
                <w:szCs w:val="21"/>
              </w:rPr>
              <w:t xml:space="preserve">职称</w:t>
            </w:r>
            <w:r>
              <w:rPr>
                <w:rFonts w:ascii="宋体" w:hAnsi="宋体"/>
                <w:color w:val="000000"/>
                <w:sz w:val="21"/>
                <w:szCs w:val="21"/>
              </w:rPr>
            </w:r>
            <w:r/>
          </w:p>
        </w:tc>
        <w:tc>
          <w:tcPr>
            <w:tcBorders>
              <w:top w:val="single" w:color="000000" w:sz="12" w:space="0"/>
              <w:left w:val="single" w:color="000000" w:sz="4" w:space="0"/>
              <w:right w:val="single" w:color="000000" w:sz="4" w:space="0"/>
            </w:tcBorders>
            <w:tcW w:w="692" w:type="dxa"/>
            <w:vAlign w:val="center"/>
            <w:vMerge w:val="restart"/>
            <w:textDirection w:val="lrTb"/>
            <w:noWrap w:val="false"/>
          </w:tcPr>
          <w:p>
            <w:pPr>
              <w:pStyle w:val="921"/>
              <w:jc w:val="center"/>
              <w:rPr>
                <w:rFonts w:ascii="宋体" w:hAnsi="宋体"/>
                <w:color w:val="000000"/>
                <w:sz w:val="21"/>
                <w:szCs w:val="21"/>
              </w:rPr>
            </w:pPr>
            <w:r>
              <w:rPr>
                <w:rFonts w:hint="eastAsia" w:ascii="宋体" w:hAnsi="宋体"/>
                <w:color w:val="000000"/>
                <w:sz w:val="21"/>
                <w:szCs w:val="21"/>
              </w:rPr>
              <w:t xml:space="preserve">学位学历</w:t>
            </w:r>
            <w:r>
              <w:rPr>
                <w:rFonts w:ascii="宋体" w:hAnsi="宋体"/>
                <w:color w:val="000000"/>
                <w:sz w:val="21"/>
                <w:szCs w:val="21"/>
              </w:rPr>
            </w:r>
            <w:r/>
          </w:p>
        </w:tc>
        <w:tc>
          <w:tcPr>
            <w:tcBorders>
              <w:top w:val="single" w:color="000000" w:sz="12" w:space="0"/>
              <w:left w:val="single" w:color="000000" w:sz="4" w:space="0"/>
              <w:right w:val="single" w:color="000000" w:sz="4" w:space="0"/>
            </w:tcBorders>
            <w:tcW w:w="850" w:type="dxa"/>
            <w:vAlign w:val="center"/>
            <w:vMerge w:val="restart"/>
            <w:textDirection w:val="lrTb"/>
            <w:noWrap w:val="false"/>
          </w:tcPr>
          <w:p>
            <w:pPr>
              <w:pStyle w:val="921"/>
              <w:jc w:val="center"/>
              <w:rPr>
                <w:rFonts w:ascii="宋体" w:hAnsi="宋体"/>
                <w:color w:val="000000"/>
                <w:sz w:val="21"/>
                <w:szCs w:val="21"/>
              </w:rPr>
            </w:pPr>
            <w:r>
              <w:rPr>
                <w:rFonts w:hint="eastAsia" w:ascii="宋体" w:hAnsi="宋体"/>
                <w:color w:val="000000"/>
                <w:sz w:val="21"/>
                <w:szCs w:val="21"/>
              </w:rPr>
              <w:t xml:space="preserve">专业</w:t>
            </w:r>
            <w:r>
              <w:rPr>
                <w:rFonts w:ascii="宋体" w:hAnsi="宋体"/>
                <w:color w:val="000000"/>
                <w:sz w:val="21"/>
                <w:szCs w:val="21"/>
              </w:rPr>
            </w:r>
            <w:r/>
          </w:p>
        </w:tc>
        <w:tc>
          <w:tcPr>
            <w:gridSpan w:val="2"/>
            <w:tcBorders>
              <w:top w:val="single" w:color="000000" w:sz="12" w:space="0"/>
              <w:left w:val="single" w:color="000000" w:sz="4" w:space="0"/>
              <w:bottom w:val="single" w:color="000000" w:sz="4" w:space="0"/>
              <w:right w:val="single" w:color="000000" w:sz="4" w:space="0"/>
            </w:tcBorders>
            <w:tcW w:w="2286" w:type="dxa"/>
            <w:vAlign w:val="center"/>
            <w:textDirection w:val="lrTb"/>
            <w:noWrap w:val="false"/>
          </w:tcPr>
          <w:p>
            <w:pPr>
              <w:pStyle w:val="921"/>
              <w:jc w:val="center"/>
              <w:rPr>
                <w:rFonts w:ascii="宋体" w:hAnsi="宋体"/>
                <w:color w:val="000000"/>
                <w:sz w:val="21"/>
                <w:szCs w:val="21"/>
              </w:rPr>
            </w:pPr>
            <w:r>
              <w:rPr>
                <w:rFonts w:hint="eastAsia" w:ascii="宋体" w:hAnsi="宋体"/>
                <w:color w:val="000000"/>
                <w:sz w:val="21"/>
                <w:szCs w:val="21"/>
              </w:rPr>
              <w:t xml:space="preserve">环境监测上岗证</w:t>
            </w:r>
            <w:r>
              <w:rPr>
                <w:rFonts w:ascii="宋体" w:hAnsi="宋体"/>
                <w:color w:val="000000"/>
                <w:sz w:val="21"/>
                <w:szCs w:val="21"/>
              </w:rPr>
            </w:r>
            <w:r/>
          </w:p>
        </w:tc>
        <w:tc>
          <w:tcPr>
            <w:gridSpan w:val="2"/>
            <w:tcBorders>
              <w:top w:val="single" w:color="000000" w:sz="12" w:space="0"/>
              <w:left w:val="single" w:color="000000" w:sz="4" w:space="0"/>
              <w:bottom w:val="single" w:color="000000" w:sz="4" w:space="0"/>
              <w:right w:val="single" w:color="000000" w:sz="4" w:space="0"/>
            </w:tcBorders>
            <w:tcW w:w="1416" w:type="dxa"/>
            <w:vAlign w:val="center"/>
            <w:textDirection w:val="lrTb"/>
            <w:noWrap w:val="false"/>
          </w:tcPr>
          <w:p>
            <w:pPr>
              <w:pStyle w:val="921"/>
              <w:jc w:val="center"/>
              <w:rPr>
                <w:rFonts w:ascii="宋体" w:hAnsi="宋体"/>
                <w:color w:val="000000"/>
                <w:sz w:val="21"/>
                <w:szCs w:val="21"/>
              </w:rPr>
            </w:pPr>
            <w:r>
              <w:rPr>
                <w:rFonts w:hint="eastAsia" w:ascii="宋体" w:hAnsi="宋体"/>
                <w:color w:val="000000"/>
                <w:sz w:val="21"/>
                <w:szCs w:val="21"/>
              </w:rPr>
              <w:t xml:space="preserve">从事环境检测工作</w:t>
            </w:r>
            <w:r>
              <w:rPr>
                <w:rFonts w:ascii="宋体" w:hAnsi="宋体"/>
                <w:color w:val="000000"/>
                <w:sz w:val="21"/>
                <w:szCs w:val="21"/>
              </w:rPr>
            </w:r>
            <w:r/>
          </w:p>
        </w:tc>
        <w:tc>
          <w:tcPr>
            <w:tcBorders>
              <w:top w:val="single" w:color="000000" w:sz="12" w:space="0"/>
              <w:left w:val="single" w:color="000000" w:sz="4" w:space="0"/>
              <w:right w:val="single" w:color="000000" w:sz="12" w:space="0"/>
            </w:tcBorders>
            <w:tcW w:w="709" w:type="dxa"/>
            <w:vAlign w:val="center"/>
            <w:vMerge w:val="restart"/>
            <w:textDirection w:val="lrTb"/>
            <w:noWrap w:val="false"/>
          </w:tcPr>
          <w:p>
            <w:pPr>
              <w:pStyle w:val="921"/>
              <w:jc w:val="center"/>
              <w:rPr>
                <w:rFonts w:ascii="宋体" w:hAnsi="宋体"/>
                <w:color w:val="000000"/>
                <w:sz w:val="21"/>
                <w:szCs w:val="21"/>
              </w:rPr>
            </w:pPr>
            <w:r>
              <w:rPr>
                <w:rFonts w:hint="eastAsia" w:ascii="宋体" w:hAnsi="宋体"/>
                <w:color w:val="000000"/>
                <w:sz w:val="21"/>
                <w:szCs w:val="21"/>
              </w:rPr>
              <w:t xml:space="preserve">联系方式</w:t>
            </w:r>
            <w:r>
              <w:rPr>
                <w:rFonts w:ascii="宋体" w:hAnsi="宋体"/>
                <w:color w:val="000000"/>
                <w:sz w:val="21"/>
                <w:szCs w:val="21"/>
              </w:rPr>
            </w:r>
            <w:r/>
          </w:p>
        </w:tc>
      </w:tr>
      <w:tr>
        <w:trPr>
          <w:cantSplit/>
          <w:trHeight w:val="420"/>
        </w:trPr>
        <w:tc>
          <w:tcPr>
            <w:shd w:val="clear" w:color="auto" w:fill="e6e6e6"/>
            <w:tcBorders>
              <w:left w:val="single" w:color="000000" w:sz="12" w:space="0"/>
              <w:bottom w:val="single" w:color="000000" w:sz="4" w:space="0"/>
              <w:right w:val="single" w:color="000000" w:sz="4" w:space="0"/>
            </w:tcBorders>
            <w:tcW w:w="554" w:type="dxa"/>
            <w:vAlign w:val="center"/>
            <w:vMerge w:val="continue"/>
            <w:textDirection w:val="lrTb"/>
            <w:noWrap w:val="false"/>
          </w:tcPr>
          <w:p>
            <w:pPr>
              <w:pStyle w:val="921"/>
              <w:ind w:firstLine="473"/>
              <w:jc w:val="center"/>
              <w:rPr>
                <w:rFonts w:ascii="宋体" w:hAnsi="宋体"/>
                <w:sz w:val="21"/>
                <w:szCs w:val="21"/>
              </w:rPr>
            </w:pPr>
            <w:r>
              <w:rPr>
                <w:rFonts w:ascii="宋体" w:hAnsi="宋体"/>
                <w:sz w:val="21"/>
                <w:szCs w:val="21"/>
              </w:rPr>
            </w:r>
            <w:r/>
          </w:p>
        </w:tc>
        <w:tc>
          <w:tcPr>
            <w:shd w:val="clear" w:color="auto" w:fill="e6e6e6"/>
            <w:tcBorders>
              <w:left w:val="single" w:color="000000" w:sz="4" w:space="0"/>
              <w:bottom w:val="single" w:color="000000" w:sz="4" w:space="0"/>
              <w:right w:val="single" w:color="000000" w:sz="4" w:space="0"/>
            </w:tcBorders>
            <w:tcW w:w="690" w:type="dxa"/>
            <w:vAlign w:val="center"/>
            <w:vMerge w:val="continue"/>
            <w:textDirection w:val="lrTb"/>
            <w:noWrap w:val="false"/>
          </w:tcPr>
          <w:p>
            <w:pPr>
              <w:pStyle w:val="921"/>
              <w:ind w:firstLine="473"/>
              <w:jc w:val="center"/>
              <w:rPr>
                <w:rFonts w:ascii="宋体" w:hAnsi="宋体"/>
                <w:sz w:val="21"/>
                <w:szCs w:val="21"/>
              </w:rPr>
            </w:pPr>
            <w:r>
              <w:rPr>
                <w:rFonts w:ascii="宋体" w:hAnsi="宋体"/>
                <w:sz w:val="21"/>
                <w:szCs w:val="21"/>
              </w:rPr>
            </w:r>
            <w:r/>
          </w:p>
        </w:tc>
        <w:tc>
          <w:tcPr>
            <w:shd w:val="clear" w:color="auto" w:fill="e6e6e6"/>
            <w:tcBorders>
              <w:left w:val="single" w:color="000000" w:sz="4" w:space="0"/>
              <w:bottom w:val="single" w:color="000000" w:sz="4" w:space="0"/>
              <w:right w:val="single" w:color="000000" w:sz="4" w:space="0"/>
            </w:tcBorders>
            <w:tcW w:w="809" w:type="dxa"/>
            <w:vAlign w:val="center"/>
            <w:vMerge w:val="continue"/>
            <w:textDirection w:val="lrTb"/>
            <w:noWrap w:val="false"/>
          </w:tcPr>
          <w:p>
            <w:pPr>
              <w:pStyle w:val="921"/>
              <w:ind w:firstLine="473"/>
              <w:jc w:val="center"/>
              <w:rPr>
                <w:rFonts w:ascii="宋体" w:hAnsi="宋体"/>
                <w:sz w:val="21"/>
                <w:szCs w:val="21"/>
              </w:rPr>
            </w:pPr>
            <w:r>
              <w:rPr>
                <w:rFonts w:ascii="宋体" w:hAnsi="宋体"/>
                <w:sz w:val="21"/>
                <w:szCs w:val="21"/>
              </w:rPr>
            </w:r>
            <w:r/>
          </w:p>
        </w:tc>
        <w:tc>
          <w:tcPr>
            <w:shd w:val="clear" w:color="auto" w:fill="e6e6e6"/>
            <w:tcBorders>
              <w:left w:val="single" w:color="000000" w:sz="4" w:space="0"/>
              <w:bottom w:val="single" w:color="000000" w:sz="4" w:space="0"/>
              <w:right w:val="single" w:color="000000" w:sz="4" w:space="0"/>
            </w:tcBorders>
            <w:tcW w:w="567" w:type="dxa"/>
            <w:vAlign w:val="center"/>
            <w:vMerge w:val="continue"/>
            <w:textDirection w:val="lrTb"/>
            <w:noWrap w:val="false"/>
          </w:tcPr>
          <w:p>
            <w:pPr>
              <w:pStyle w:val="921"/>
              <w:ind w:firstLine="473"/>
              <w:jc w:val="center"/>
              <w:rPr>
                <w:rFonts w:ascii="宋体" w:hAnsi="宋体"/>
                <w:sz w:val="21"/>
                <w:szCs w:val="21"/>
              </w:rPr>
            </w:pPr>
            <w:r>
              <w:rPr>
                <w:rFonts w:ascii="宋体" w:hAnsi="宋体"/>
                <w:sz w:val="21"/>
                <w:szCs w:val="21"/>
              </w:rPr>
            </w:r>
            <w:r/>
          </w:p>
        </w:tc>
        <w:tc>
          <w:tcPr>
            <w:shd w:val="clear" w:color="auto" w:fill="e6e6e6"/>
            <w:tcBorders>
              <w:left w:val="single" w:color="000000" w:sz="4" w:space="0"/>
              <w:bottom w:val="single" w:color="000000" w:sz="4" w:space="0"/>
              <w:right w:val="single" w:color="000000" w:sz="4" w:space="0"/>
            </w:tcBorders>
            <w:tcW w:w="733" w:type="dxa"/>
            <w:vAlign w:val="center"/>
            <w:vMerge w:val="continue"/>
            <w:textDirection w:val="lrTb"/>
            <w:noWrap w:val="false"/>
          </w:tcPr>
          <w:p>
            <w:pPr>
              <w:pStyle w:val="921"/>
              <w:ind w:firstLine="473"/>
              <w:jc w:val="center"/>
              <w:rPr>
                <w:rFonts w:ascii="宋体" w:hAnsi="宋体"/>
                <w:sz w:val="21"/>
                <w:szCs w:val="21"/>
              </w:rPr>
            </w:pPr>
            <w:r>
              <w:rPr>
                <w:rFonts w:ascii="宋体" w:hAnsi="宋体"/>
                <w:sz w:val="21"/>
                <w:szCs w:val="21"/>
              </w:rPr>
            </w:r>
            <w:r/>
          </w:p>
        </w:tc>
        <w:tc>
          <w:tcPr>
            <w:shd w:val="clear" w:color="auto" w:fill="e6e6e6"/>
            <w:tcBorders>
              <w:left w:val="single" w:color="000000" w:sz="4" w:space="0"/>
              <w:bottom w:val="single" w:color="000000" w:sz="4" w:space="0"/>
              <w:right w:val="single" w:color="000000" w:sz="4" w:space="0"/>
            </w:tcBorders>
            <w:tcW w:w="692" w:type="dxa"/>
            <w:vAlign w:val="top"/>
            <w:vMerge w:val="continue"/>
            <w:textDirection w:val="lrTb"/>
            <w:noWrap w:val="false"/>
          </w:tcPr>
          <w:p>
            <w:pPr>
              <w:pStyle w:val="921"/>
              <w:rPr>
                <w:rFonts w:ascii="宋体" w:hAnsi="宋体"/>
                <w:sz w:val="21"/>
                <w:szCs w:val="21"/>
              </w:rPr>
            </w:pPr>
            <w:r>
              <w:rPr>
                <w:rFonts w:ascii="宋体" w:hAnsi="宋体"/>
                <w:sz w:val="21"/>
                <w:szCs w:val="21"/>
              </w:rPr>
            </w:r>
            <w:r/>
          </w:p>
        </w:tc>
        <w:tc>
          <w:tcPr>
            <w:shd w:val="clear" w:color="auto" w:fill="e6e6e6"/>
            <w:tcBorders>
              <w:left w:val="single" w:color="000000" w:sz="4" w:space="0"/>
              <w:bottom w:val="single" w:color="000000" w:sz="4" w:space="0"/>
              <w:right w:val="single" w:color="000000" w:sz="4" w:space="0"/>
            </w:tcBorders>
            <w:tcW w:w="850" w:type="dxa"/>
            <w:vAlign w:val="center"/>
            <w:vMerge w:val="continue"/>
            <w:textDirection w:val="lrTb"/>
            <w:noWrap w:val="false"/>
          </w:tcPr>
          <w:p>
            <w:pPr>
              <w:pStyle w:val="921"/>
              <w:ind w:firstLine="473"/>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921"/>
              <w:jc w:val="center"/>
              <w:rPr>
                <w:rFonts w:ascii="宋体" w:hAnsi="宋体"/>
                <w:color w:val="000000"/>
                <w:sz w:val="21"/>
                <w:szCs w:val="21"/>
              </w:rPr>
            </w:pPr>
            <w:r>
              <w:rPr>
                <w:rFonts w:hint="eastAsia" w:ascii="宋体" w:hAnsi="宋体"/>
                <w:color w:val="000000"/>
                <w:sz w:val="21"/>
                <w:szCs w:val="21"/>
              </w:rPr>
              <w:t xml:space="preserve">编号</w:t>
            </w: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21"/>
              <w:jc w:val="center"/>
              <w:rPr>
                <w:rFonts w:ascii="宋体" w:hAnsi="宋体"/>
                <w:color w:val="000000"/>
                <w:sz w:val="21"/>
                <w:szCs w:val="21"/>
              </w:rPr>
            </w:pPr>
            <w:r>
              <w:rPr>
                <w:rFonts w:hint="eastAsia" w:ascii="宋体" w:hAnsi="宋体"/>
                <w:color w:val="000000"/>
                <w:sz w:val="21"/>
                <w:szCs w:val="21"/>
              </w:rPr>
              <w:t xml:space="preserve">检测（采样）能力</w:t>
            </w: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21"/>
              <w:jc w:val="center"/>
              <w:rPr>
                <w:rFonts w:ascii="宋体" w:hAnsi="宋体"/>
                <w:color w:val="000000"/>
                <w:sz w:val="21"/>
                <w:szCs w:val="21"/>
              </w:rPr>
            </w:pPr>
            <w:r>
              <w:rPr>
                <w:rFonts w:hint="eastAsia" w:ascii="宋体" w:hAnsi="宋体"/>
                <w:color w:val="000000"/>
                <w:sz w:val="21"/>
                <w:szCs w:val="21"/>
              </w:rPr>
              <w:t xml:space="preserve">年限</w:t>
            </w: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921"/>
              <w:jc w:val="center"/>
              <w:rPr>
                <w:rFonts w:ascii="宋体" w:hAnsi="宋体"/>
                <w:color w:val="000000"/>
                <w:sz w:val="21"/>
                <w:szCs w:val="21"/>
              </w:rPr>
            </w:pPr>
            <w:r>
              <w:rPr>
                <w:rFonts w:hint="eastAsia" w:ascii="宋体" w:hAnsi="宋体"/>
                <w:color w:val="000000"/>
                <w:sz w:val="21"/>
                <w:szCs w:val="21"/>
              </w:rPr>
              <w:t xml:space="preserve">工作领域</w:t>
            </w:r>
            <w:r>
              <w:rPr>
                <w:rFonts w:ascii="宋体" w:hAnsi="宋体"/>
                <w:color w:val="000000"/>
                <w:sz w:val="21"/>
                <w:szCs w:val="21"/>
              </w:rPr>
            </w:r>
            <w:r/>
          </w:p>
        </w:tc>
        <w:tc>
          <w:tcPr>
            <w:shd w:val="clear" w:color="auto" w:fill="e6e6e6"/>
            <w:tcBorders>
              <w:left w:val="single" w:color="000000" w:sz="4" w:space="0"/>
              <w:bottom w:val="single" w:color="000000" w:sz="4" w:space="0"/>
              <w:right w:val="single" w:color="000000" w:sz="12" w:space="0"/>
            </w:tcBorders>
            <w:tcW w:w="709" w:type="dxa"/>
            <w:vAlign w:val="center"/>
            <w:vMerge w:val="continue"/>
            <w:textDirection w:val="lrTb"/>
            <w:noWrap w:val="false"/>
          </w:tcPr>
          <w:p>
            <w:pPr>
              <w:pStyle w:val="921"/>
              <w:ind w:firstLine="473"/>
              <w:jc w:val="center"/>
              <w:rPr>
                <w:rFonts w:ascii="宋体" w:hAnsi="宋体"/>
                <w:sz w:val="21"/>
                <w:szCs w:val="21"/>
              </w:rPr>
            </w:pPr>
            <w:r>
              <w:rPr>
                <w:rFonts w:ascii="宋体" w:hAnsi="宋体"/>
                <w:sz w:val="21"/>
                <w:szCs w:val="21"/>
              </w:rPr>
            </w:r>
            <w:r/>
          </w:p>
        </w:tc>
      </w:tr>
      <w:tr>
        <w:trPr>
          <w:trHeight w:val="630"/>
        </w:trPr>
        <w:tc>
          <w:tcPr>
            <w:tcBorders>
              <w:top w:val="single" w:color="000000" w:sz="4" w:space="0"/>
              <w:left w:val="single" w:color="000000" w:sz="12" w:space="0"/>
              <w:bottom w:val="single" w:color="000000" w:sz="4" w:space="0"/>
              <w:right w:val="single" w:color="000000" w:sz="4" w:space="0"/>
            </w:tcBorders>
            <w:tcW w:w="554" w:type="dxa"/>
            <w:vAlign w:val="center"/>
            <w:textDirection w:val="lrTb"/>
            <w:noWrap w:val="false"/>
          </w:tcPr>
          <w:p>
            <w:pPr>
              <w:pStyle w:val="921"/>
              <w:ind w:firstLine="473"/>
              <w:jc w:val="center"/>
              <w:rPr>
                <w:color w:val="000000"/>
                <w:sz w:val="21"/>
                <w:szCs w:val="21"/>
              </w:rPr>
            </w:pPr>
            <w:r>
              <w:rPr>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21"/>
              <w:ind w:firstLine="473"/>
              <w:jc w:val="center"/>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12" w:space="0"/>
            </w:tcBorders>
            <w:tcW w:w="709"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r>
      <w:tr>
        <w:trPr>
          <w:trHeight w:val="630"/>
        </w:trPr>
        <w:tc>
          <w:tcPr>
            <w:tcBorders>
              <w:top w:val="single" w:color="000000" w:sz="4" w:space="0"/>
              <w:left w:val="single" w:color="000000" w:sz="12" w:space="0"/>
              <w:bottom w:val="single" w:color="000000" w:sz="4" w:space="0"/>
              <w:right w:val="single" w:color="000000" w:sz="4" w:space="0"/>
            </w:tcBorders>
            <w:tcW w:w="554" w:type="dxa"/>
            <w:vAlign w:val="center"/>
            <w:textDirection w:val="lrTb"/>
            <w:noWrap w:val="false"/>
          </w:tcPr>
          <w:p>
            <w:pPr>
              <w:pStyle w:val="921"/>
              <w:ind w:firstLine="473"/>
              <w:jc w:val="center"/>
              <w:rPr>
                <w:color w:val="000000"/>
                <w:sz w:val="21"/>
                <w:szCs w:val="21"/>
              </w:rPr>
            </w:pPr>
            <w:r>
              <w:rPr>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21"/>
              <w:ind w:firstLine="473"/>
              <w:jc w:val="center"/>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12" w:space="0"/>
            </w:tcBorders>
            <w:tcW w:w="709"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r>
      <w:tr>
        <w:trPr>
          <w:trHeight w:val="630"/>
        </w:trPr>
        <w:tc>
          <w:tcPr>
            <w:tcBorders>
              <w:top w:val="single" w:color="000000" w:sz="4" w:space="0"/>
              <w:left w:val="single" w:color="000000" w:sz="12" w:space="0"/>
              <w:bottom w:val="single" w:color="000000" w:sz="4" w:space="0"/>
              <w:right w:val="single" w:color="000000" w:sz="4" w:space="0"/>
            </w:tcBorders>
            <w:tcW w:w="554" w:type="dxa"/>
            <w:vAlign w:val="center"/>
            <w:textDirection w:val="lrTb"/>
            <w:noWrap w:val="false"/>
          </w:tcPr>
          <w:p>
            <w:pPr>
              <w:pStyle w:val="921"/>
              <w:ind w:firstLine="473"/>
              <w:jc w:val="center"/>
              <w:rPr>
                <w:color w:val="000000"/>
                <w:sz w:val="21"/>
                <w:szCs w:val="21"/>
              </w:rPr>
            </w:pPr>
            <w:r>
              <w:rPr>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21"/>
              <w:ind w:firstLine="473"/>
              <w:jc w:val="center"/>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12" w:space="0"/>
            </w:tcBorders>
            <w:tcW w:w="709"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r>
      <w:tr>
        <w:trPr>
          <w:trHeight w:val="630"/>
        </w:trPr>
        <w:tc>
          <w:tcPr>
            <w:tcBorders>
              <w:top w:val="single" w:color="000000" w:sz="4" w:space="0"/>
              <w:left w:val="single" w:color="000000" w:sz="12" w:space="0"/>
              <w:bottom w:val="single" w:color="000000" w:sz="4" w:space="0"/>
              <w:right w:val="single" w:color="000000" w:sz="4" w:space="0"/>
            </w:tcBorders>
            <w:tcW w:w="554" w:type="dxa"/>
            <w:vAlign w:val="center"/>
            <w:textDirection w:val="lrTb"/>
            <w:noWrap w:val="false"/>
          </w:tcPr>
          <w:p>
            <w:pPr>
              <w:pStyle w:val="921"/>
              <w:ind w:firstLine="473"/>
              <w:jc w:val="center"/>
              <w:rPr>
                <w:color w:val="000000"/>
                <w:sz w:val="21"/>
                <w:szCs w:val="21"/>
              </w:rPr>
            </w:pPr>
            <w:r>
              <w:rPr>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21"/>
              <w:ind w:firstLine="473"/>
              <w:jc w:val="center"/>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12" w:space="0"/>
            </w:tcBorders>
            <w:tcW w:w="709" w:type="dxa"/>
            <w:vAlign w:val="center"/>
            <w:textDirection w:val="lrTb"/>
            <w:noWrap w:val="false"/>
          </w:tcPr>
          <w:p>
            <w:pPr>
              <w:pStyle w:val="921"/>
              <w:ind w:firstLine="473"/>
              <w:jc w:val="center"/>
              <w:rPr>
                <w:rFonts w:ascii="宋体" w:hAnsi="宋体"/>
                <w:color w:val="000000"/>
                <w:sz w:val="21"/>
                <w:szCs w:val="21"/>
              </w:rPr>
            </w:pPr>
            <w:r>
              <w:rPr>
                <w:rFonts w:ascii="宋体" w:hAnsi="宋体"/>
                <w:color w:val="000000"/>
                <w:sz w:val="21"/>
                <w:szCs w:val="21"/>
              </w:rPr>
            </w:r>
            <w:r/>
          </w:p>
        </w:tc>
      </w:tr>
      <w:tr>
        <w:trPr>
          <w:trHeight w:val="630"/>
        </w:trPr>
        <w:tc>
          <w:tcPr>
            <w:gridSpan w:val="12"/>
            <w:tcBorders>
              <w:top w:val="single" w:color="000000" w:sz="4" w:space="0"/>
              <w:left w:val="single" w:color="000000" w:sz="12" w:space="0"/>
              <w:bottom w:val="single" w:color="000000" w:sz="4" w:space="0"/>
              <w:right w:val="single" w:color="000000" w:sz="12" w:space="0"/>
            </w:tcBorders>
            <w:tcW w:w="9306" w:type="dxa"/>
            <w:vAlign w:val="center"/>
            <w:textDirection w:val="lrTb"/>
            <w:noWrap w:val="false"/>
          </w:tcPr>
          <w:p>
            <w:pPr>
              <w:pStyle w:val="921"/>
              <w:rPr>
                <w:sz w:val="21"/>
                <w:szCs w:val="21"/>
              </w:rPr>
            </w:pPr>
            <w:r>
              <w:rPr>
                <w:rFonts w:hint="eastAsia"/>
                <w:sz w:val="21"/>
                <w:szCs w:val="21"/>
              </w:rPr>
              <w:t xml:space="preserve">备注：</w:t>
            </w:r>
            <w:r>
              <w:rPr>
                <w:sz w:val="21"/>
                <w:szCs w:val="21"/>
              </w:rPr>
            </w:r>
            <w:r/>
          </w:p>
          <w:p>
            <w:pPr>
              <w:pStyle w:val="895"/>
              <w:spacing w:line="360" w:lineRule="auto"/>
              <w:rPr>
                <w:rFonts w:hint="eastAsia" w:cs="宋体"/>
              </w:rPr>
            </w:pPr>
            <w:r>
              <w:rPr>
                <w:rFonts w:hint="eastAsia" w:cs="宋体"/>
              </w:rPr>
              <w:t xml:space="preserve">1.拟从事于环境监测工作、拥有中级及中级以上职称技术或同等能力（硕士、博士分别等同于中级、高级职称）共       人（在上表中序号：                       ）。</w:t>
            </w:r>
            <w:r/>
          </w:p>
          <w:p>
            <w:pPr>
              <w:pStyle w:val="895"/>
              <w:spacing w:line="360" w:lineRule="auto"/>
              <w:rPr>
                <w:rFonts w:hint="eastAsia" w:cs="宋体"/>
              </w:rPr>
            </w:pPr>
            <w:r>
              <w:rPr>
                <w:rFonts w:hint="eastAsia" w:cs="宋体"/>
              </w:rPr>
              <w:t xml:space="preserve">2.持有省级环保部门颁发的环境监测上岗证书共       人（在上表中序号：                ）。</w:t>
            </w:r>
            <w:r/>
          </w:p>
          <w:p>
            <w:pPr>
              <w:pStyle w:val="921"/>
              <w:rPr>
                <w:rFonts w:ascii="宋体" w:hAnsi="宋体"/>
                <w:color w:val="000000"/>
                <w:sz w:val="21"/>
                <w:szCs w:val="21"/>
              </w:rPr>
            </w:pPr>
            <w:r>
              <w:rPr>
                <w:rFonts w:ascii="宋体" w:hAnsi="宋体"/>
                <w:color w:val="000000"/>
                <w:sz w:val="21"/>
                <w:szCs w:val="21"/>
              </w:rPr>
            </w:r>
            <w:r/>
          </w:p>
        </w:tc>
      </w:tr>
    </w:tbl>
    <w:p>
      <w:pPr>
        <w:pStyle w:val="895"/>
        <w:ind w:firstLine="480"/>
        <w:jc w:val="left"/>
        <w:spacing w:line="360" w:lineRule="auto"/>
        <w:rPr>
          <w:rFonts w:hint="eastAsia"/>
          <w:color w:val="000000"/>
          <w:sz w:val="24"/>
        </w:rPr>
      </w:pPr>
      <w:r>
        <w:rPr>
          <w:rFonts w:hint="eastAsia"/>
          <w:color w:val="000000"/>
          <w:sz w:val="24"/>
        </w:rPr>
        <w:t xml:space="preserve">注：</w:t>
      </w:r>
      <w:r/>
    </w:p>
    <w:p>
      <w:pPr>
        <w:pStyle w:val="895"/>
        <w:ind w:firstLine="480"/>
        <w:jc w:val="left"/>
        <w:spacing w:line="360" w:lineRule="auto"/>
        <w:rPr>
          <w:rFonts w:hint="eastAsia"/>
          <w:color w:val="000000"/>
          <w:sz w:val="24"/>
        </w:rPr>
      </w:pPr>
      <w:r>
        <w:rPr>
          <w:rFonts w:hint="eastAsia"/>
          <w:color w:val="000000"/>
          <w:sz w:val="24"/>
        </w:rPr>
        <w:t xml:space="preserve">1、以上表格填报专业技术人员，必须为聘用</w:t>
      </w:r>
      <w:r>
        <w:rPr>
          <w:color w:val="000000"/>
          <w:sz w:val="24"/>
        </w:rPr>
        <w:t xml:space="preserve">全日制在职员工</w:t>
      </w:r>
      <w:r>
        <w:rPr>
          <w:rFonts w:hint="eastAsia"/>
          <w:color w:val="000000"/>
          <w:sz w:val="24"/>
        </w:rPr>
        <w:t xml:space="preserve">，其数量和资质要求满足采购项目要求；</w:t>
      </w:r>
      <w:r/>
    </w:p>
    <w:p>
      <w:pPr>
        <w:pStyle w:val="895"/>
        <w:ind w:firstLine="480"/>
        <w:spacing w:line="360" w:lineRule="auto"/>
        <w:rPr>
          <w:rFonts w:hint="eastAsia"/>
          <w:sz w:val="24"/>
        </w:rPr>
      </w:pPr>
      <w:r>
        <w:rPr>
          <w:rFonts w:hint="eastAsia"/>
          <w:color w:val="000000"/>
          <w:sz w:val="24"/>
        </w:rPr>
        <w:t xml:space="preserve">2、随表提供上述人员的以下相关资料并请盖章确认：提供投标人为其缴纳的最近一期的社保缴纳证明、相应证书复印</w:t>
      </w:r>
      <w:r>
        <w:rPr>
          <w:rFonts w:hint="eastAsia"/>
          <w:sz w:val="24"/>
        </w:rPr>
        <w:t xml:space="preserve">件，</w:t>
      </w:r>
      <w:r>
        <w:rPr>
          <w:rFonts w:hint="eastAsia"/>
          <w:b/>
          <w:bCs/>
          <w:sz w:val="24"/>
        </w:rPr>
        <w:t xml:space="preserve">相关证件（书）均需在有效期内，</w:t>
      </w:r>
      <w:r>
        <w:rPr>
          <w:rFonts w:hint="eastAsia"/>
          <w:sz w:val="24"/>
        </w:rPr>
        <w:t xml:space="preserve">否则该项不得分。</w:t>
      </w:r>
      <w:r/>
    </w:p>
    <w:p>
      <w:pPr>
        <w:pStyle w:val="895"/>
        <w:spacing w:line="360" w:lineRule="auto"/>
        <w:rPr>
          <w:color w:val="000000"/>
          <w:sz w:val="24"/>
        </w:rPr>
      </w:pPr>
      <w:r/>
      <w:bookmarkEnd w:id="131"/>
      <w:r/>
      <w:bookmarkEnd w:id="132"/>
      <w:r>
        <w:rPr>
          <w:rFonts w:hint="eastAsia" w:ascii="宋体" w:hAnsi="宋体"/>
          <w:b/>
          <w:color w:val="000000"/>
          <w:sz w:val="24"/>
        </w:rPr>
        <w:br w:type="page" w:clear="all"/>
        <w:t xml:space="preserve">附表1-2</w:t>
      </w:r>
      <w:r>
        <w:rPr>
          <w:color w:val="000000"/>
          <w:sz w:val="24"/>
        </w:rPr>
      </w:r>
      <w:r/>
    </w:p>
    <w:p>
      <w:pPr>
        <w:pStyle w:val="895"/>
        <w:jc w:val="center"/>
        <w:rPr>
          <w:b/>
          <w:color w:val="000000"/>
          <w:sz w:val="28"/>
          <w:szCs w:val="28"/>
        </w:rPr>
      </w:pPr>
      <w:r>
        <w:rPr>
          <w:rFonts w:hint="eastAsia"/>
          <w:b/>
          <w:color w:val="000000"/>
          <w:sz w:val="28"/>
          <w:szCs w:val="28"/>
        </w:rPr>
        <w:t xml:space="preserve">验收监测人员培训情况表</w:t>
      </w:r>
      <w:r>
        <w:rPr>
          <w:b/>
          <w:color w:val="000000"/>
          <w:sz w:val="28"/>
          <w:szCs w:val="28"/>
        </w:rPr>
      </w:r>
      <w:r/>
    </w:p>
    <w:p>
      <w:pPr>
        <w:pStyle w:val="895"/>
        <w:rPr>
          <w:color w:val="000000"/>
          <w:sz w:val="24"/>
        </w:rPr>
      </w:pPr>
      <w:r>
        <w:rPr>
          <w:color w:val="000000"/>
          <w:sz w:val="24"/>
        </w:rPr>
      </w:r>
      <w:r/>
    </w:p>
    <w:p>
      <w:pPr>
        <w:pStyle w:val="895"/>
        <w:rPr>
          <w:color w:val="000000"/>
          <w:sz w:val="24"/>
        </w:rPr>
      </w:pPr>
      <w:r>
        <w:rPr>
          <w:rFonts w:hint="eastAsia"/>
          <w:color w:val="000000"/>
          <w:sz w:val="24"/>
        </w:rPr>
        <w:t xml:space="preserve">具备《</w:t>
      </w:r>
      <w:r>
        <w:rPr>
          <w:color w:val="000000"/>
          <w:sz w:val="24"/>
        </w:rPr>
        <w:t xml:space="preserve">建设项目竣工环境保护验收监测人员培训合格证书</w:t>
      </w:r>
      <w:r>
        <w:rPr>
          <w:rFonts w:hint="eastAsia"/>
          <w:color w:val="000000"/>
          <w:sz w:val="24"/>
        </w:rPr>
        <w:t xml:space="preserve">》人员情况一览表</w:t>
      </w:r>
      <w:r>
        <w:rPr>
          <w:color w:val="000000"/>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2"/>
        <w:gridCol w:w="1784"/>
        <w:gridCol w:w="1847"/>
        <w:gridCol w:w="1888"/>
        <w:gridCol w:w="2032"/>
      </w:tblGrid>
      <w:tr>
        <w:trPr>
          <w:trHeight w:val="870"/>
        </w:trPr>
        <w:tc>
          <w:tcPr>
            <w:tcW w:w="1272" w:type="dxa"/>
            <w:vAlign w:val="center"/>
            <w:textDirection w:val="lrTb"/>
            <w:noWrap w:val="false"/>
          </w:tcPr>
          <w:p>
            <w:pPr>
              <w:pStyle w:val="895"/>
              <w:jc w:val="center"/>
              <w:rPr>
                <w:bCs/>
                <w:color w:val="000000"/>
                <w:szCs w:val="21"/>
              </w:rPr>
            </w:pPr>
            <w:r>
              <w:rPr>
                <w:rFonts w:hint="eastAsia"/>
                <w:bCs/>
                <w:color w:val="000000"/>
                <w:szCs w:val="21"/>
              </w:rPr>
              <w:t xml:space="preserve">序号</w:t>
            </w:r>
            <w:r>
              <w:rPr>
                <w:bCs/>
                <w:color w:val="000000"/>
                <w:szCs w:val="21"/>
              </w:rPr>
            </w:r>
            <w:r/>
          </w:p>
        </w:tc>
        <w:tc>
          <w:tcPr>
            <w:tcW w:w="1784" w:type="dxa"/>
            <w:vAlign w:val="center"/>
            <w:textDirection w:val="lrTb"/>
            <w:noWrap w:val="false"/>
          </w:tcPr>
          <w:p>
            <w:pPr>
              <w:pStyle w:val="895"/>
              <w:jc w:val="center"/>
              <w:rPr>
                <w:bCs/>
                <w:color w:val="000000"/>
                <w:szCs w:val="21"/>
              </w:rPr>
            </w:pPr>
            <w:r>
              <w:rPr>
                <w:rFonts w:hint="eastAsia"/>
                <w:bCs/>
                <w:color w:val="000000"/>
                <w:szCs w:val="21"/>
              </w:rPr>
              <w:t xml:space="preserve">姓名</w:t>
            </w:r>
            <w:r>
              <w:rPr>
                <w:bCs/>
                <w:color w:val="000000"/>
                <w:szCs w:val="21"/>
              </w:rPr>
            </w:r>
            <w:r/>
          </w:p>
        </w:tc>
        <w:tc>
          <w:tcPr>
            <w:tcW w:w="1847" w:type="dxa"/>
            <w:vAlign w:val="center"/>
            <w:textDirection w:val="lrTb"/>
            <w:noWrap w:val="false"/>
          </w:tcPr>
          <w:p>
            <w:pPr>
              <w:pStyle w:val="895"/>
              <w:jc w:val="center"/>
              <w:rPr>
                <w:bCs/>
                <w:color w:val="000000"/>
                <w:szCs w:val="21"/>
              </w:rPr>
            </w:pPr>
            <w:r>
              <w:rPr>
                <w:rFonts w:hint="eastAsia"/>
                <w:bCs/>
                <w:color w:val="000000"/>
                <w:szCs w:val="21"/>
              </w:rPr>
              <w:t xml:space="preserve">证书编号</w:t>
            </w:r>
            <w:r>
              <w:rPr>
                <w:bCs/>
                <w:color w:val="000000"/>
                <w:szCs w:val="21"/>
              </w:rPr>
            </w:r>
            <w:r/>
          </w:p>
        </w:tc>
        <w:tc>
          <w:tcPr>
            <w:tcW w:w="1888" w:type="dxa"/>
            <w:vAlign w:val="center"/>
            <w:textDirection w:val="lrTb"/>
            <w:noWrap w:val="false"/>
          </w:tcPr>
          <w:p>
            <w:pPr>
              <w:pStyle w:val="895"/>
              <w:jc w:val="center"/>
              <w:rPr>
                <w:bCs/>
                <w:color w:val="000000"/>
                <w:szCs w:val="21"/>
              </w:rPr>
            </w:pPr>
            <w:r>
              <w:rPr>
                <w:rFonts w:hint="eastAsia"/>
                <w:bCs/>
                <w:color w:val="000000"/>
                <w:szCs w:val="21"/>
              </w:rPr>
              <w:t xml:space="preserve">证书颁发单位</w:t>
            </w:r>
            <w:r>
              <w:rPr>
                <w:bCs/>
                <w:color w:val="000000"/>
                <w:szCs w:val="21"/>
              </w:rPr>
            </w:r>
            <w:r/>
          </w:p>
        </w:tc>
        <w:tc>
          <w:tcPr>
            <w:tcW w:w="2032" w:type="dxa"/>
            <w:vAlign w:val="center"/>
            <w:textDirection w:val="lrTb"/>
            <w:noWrap w:val="false"/>
          </w:tcPr>
          <w:p>
            <w:pPr>
              <w:pStyle w:val="895"/>
              <w:jc w:val="center"/>
              <w:rPr>
                <w:bCs/>
                <w:color w:val="000000"/>
                <w:szCs w:val="21"/>
              </w:rPr>
            </w:pPr>
            <w:r>
              <w:rPr>
                <w:rFonts w:hint="eastAsia"/>
                <w:bCs/>
                <w:color w:val="000000"/>
                <w:szCs w:val="21"/>
              </w:rPr>
              <w:t xml:space="preserve">在投标单位开始工作时间</w:t>
            </w:r>
            <w:r>
              <w:rPr>
                <w:bCs/>
                <w:color w:val="000000"/>
                <w:szCs w:val="21"/>
              </w:rPr>
            </w:r>
            <w:r/>
          </w:p>
        </w:tc>
      </w:tr>
      <w:tr>
        <w:trPr>
          <w:trHeight w:val="446"/>
        </w:trPr>
        <w:tc>
          <w:tcPr>
            <w:tcW w:w="1272" w:type="dxa"/>
            <w:vAlign w:val="top"/>
            <w:textDirection w:val="lrTb"/>
            <w:noWrap w:val="false"/>
          </w:tcPr>
          <w:p>
            <w:pPr>
              <w:pStyle w:val="895"/>
              <w:jc w:val="center"/>
              <w:rPr>
                <w:color w:val="000000"/>
                <w:szCs w:val="21"/>
              </w:rPr>
            </w:pPr>
            <w:r>
              <w:rPr>
                <w:color w:val="000000"/>
                <w:szCs w:val="21"/>
              </w:rPr>
            </w:r>
            <w:r/>
          </w:p>
        </w:tc>
        <w:tc>
          <w:tcPr>
            <w:tcW w:w="1784" w:type="dxa"/>
            <w:vAlign w:val="top"/>
            <w:textDirection w:val="lrTb"/>
            <w:noWrap w:val="false"/>
          </w:tcPr>
          <w:p>
            <w:pPr>
              <w:pStyle w:val="895"/>
              <w:jc w:val="center"/>
              <w:rPr>
                <w:color w:val="000000"/>
                <w:szCs w:val="21"/>
              </w:rPr>
            </w:pPr>
            <w:r>
              <w:rPr>
                <w:color w:val="000000"/>
                <w:szCs w:val="21"/>
              </w:rPr>
            </w:r>
            <w:r/>
          </w:p>
        </w:tc>
        <w:tc>
          <w:tcPr>
            <w:tcW w:w="1847" w:type="dxa"/>
            <w:vAlign w:val="top"/>
            <w:textDirection w:val="lrTb"/>
            <w:noWrap w:val="false"/>
          </w:tcPr>
          <w:p>
            <w:pPr>
              <w:pStyle w:val="895"/>
              <w:jc w:val="center"/>
              <w:rPr>
                <w:color w:val="000000"/>
                <w:szCs w:val="21"/>
              </w:rPr>
            </w:pPr>
            <w:r>
              <w:rPr>
                <w:color w:val="000000"/>
                <w:szCs w:val="21"/>
              </w:rPr>
            </w:r>
            <w:r/>
          </w:p>
        </w:tc>
        <w:tc>
          <w:tcPr>
            <w:tcW w:w="1888" w:type="dxa"/>
            <w:vAlign w:val="top"/>
            <w:textDirection w:val="lrTb"/>
            <w:noWrap w:val="false"/>
          </w:tcPr>
          <w:p>
            <w:pPr>
              <w:pStyle w:val="895"/>
              <w:jc w:val="center"/>
              <w:rPr>
                <w:color w:val="000000"/>
                <w:szCs w:val="21"/>
              </w:rPr>
            </w:pPr>
            <w:r>
              <w:rPr>
                <w:color w:val="000000"/>
                <w:szCs w:val="21"/>
              </w:rPr>
            </w:r>
            <w:r/>
          </w:p>
        </w:tc>
        <w:tc>
          <w:tcPr>
            <w:tcW w:w="2032" w:type="dxa"/>
            <w:vAlign w:val="top"/>
            <w:textDirection w:val="lrTb"/>
            <w:noWrap w:val="false"/>
          </w:tcPr>
          <w:p>
            <w:pPr>
              <w:pStyle w:val="895"/>
              <w:jc w:val="center"/>
              <w:rPr>
                <w:color w:val="000000"/>
                <w:szCs w:val="21"/>
              </w:rPr>
            </w:pPr>
            <w:r>
              <w:rPr>
                <w:color w:val="000000"/>
                <w:szCs w:val="21"/>
              </w:rPr>
            </w:r>
            <w:r/>
          </w:p>
        </w:tc>
      </w:tr>
      <w:tr>
        <w:trPr>
          <w:trHeight w:val="424"/>
        </w:trPr>
        <w:tc>
          <w:tcPr>
            <w:tcW w:w="1272" w:type="dxa"/>
            <w:vAlign w:val="top"/>
            <w:textDirection w:val="lrTb"/>
            <w:noWrap w:val="false"/>
          </w:tcPr>
          <w:p>
            <w:pPr>
              <w:pStyle w:val="895"/>
              <w:jc w:val="center"/>
              <w:rPr>
                <w:color w:val="000000"/>
                <w:szCs w:val="21"/>
              </w:rPr>
            </w:pPr>
            <w:r>
              <w:rPr>
                <w:color w:val="000000"/>
                <w:szCs w:val="21"/>
              </w:rPr>
            </w:r>
            <w:r/>
          </w:p>
        </w:tc>
        <w:tc>
          <w:tcPr>
            <w:tcW w:w="1784" w:type="dxa"/>
            <w:vAlign w:val="top"/>
            <w:textDirection w:val="lrTb"/>
            <w:noWrap w:val="false"/>
          </w:tcPr>
          <w:p>
            <w:pPr>
              <w:pStyle w:val="895"/>
              <w:jc w:val="center"/>
              <w:rPr>
                <w:color w:val="000000"/>
                <w:szCs w:val="21"/>
              </w:rPr>
            </w:pPr>
            <w:r>
              <w:rPr>
                <w:color w:val="000000"/>
                <w:szCs w:val="21"/>
              </w:rPr>
            </w:r>
            <w:r/>
          </w:p>
        </w:tc>
        <w:tc>
          <w:tcPr>
            <w:tcW w:w="1847" w:type="dxa"/>
            <w:vAlign w:val="top"/>
            <w:textDirection w:val="lrTb"/>
            <w:noWrap w:val="false"/>
          </w:tcPr>
          <w:p>
            <w:pPr>
              <w:pStyle w:val="895"/>
              <w:jc w:val="center"/>
              <w:rPr>
                <w:color w:val="000000"/>
                <w:szCs w:val="21"/>
              </w:rPr>
            </w:pPr>
            <w:r>
              <w:rPr>
                <w:color w:val="000000"/>
                <w:szCs w:val="21"/>
              </w:rPr>
            </w:r>
            <w:r/>
          </w:p>
        </w:tc>
        <w:tc>
          <w:tcPr>
            <w:tcW w:w="1888" w:type="dxa"/>
            <w:vAlign w:val="top"/>
            <w:textDirection w:val="lrTb"/>
            <w:noWrap w:val="false"/>
          </w:tcPr>
          <w:p>
            <w:pPr>
              <w:pStyle w:val="895"/>
              <w:jc w:val="center"/>
              <w:rPr>
                <w:color w:val="000000"/>
                <w:szCs w:val="21"/>
              </w:rPr>
            </w:pPr>
            <w:r>
              <w:rPr>
                <w:color w:val="000000"/>
                <w:szCs w:val="21"/>
              </w:rPr>
            </w:r>
            <w:r/>
          </w:p>
        </w:tc>
        <w:tc>
          <w:tcPr>
            <w:tcW w:w="2032" w:type="dxa"/>
            <w:vAlign w:val="top"/>
            <w:textDirection w:val="lrTb"/>
            <w:noWrap w:val="false"/>
          </w:tcPr>
          <w:p>
            <w:pPr>
              <w:pStyle w:val="895"/>
              <w:jc w:val="center"/>
              <w:rPr>
                <w:color w:val="000000"/>
                <w:szCs w:val="21"/>
              </w:rPr>
            </w:pPr>
            <w:r>
              <w:rPr>
                <w:color w:val="000000"/>
                <w:szCs w:val="21"/>
              </w:rPr>
            </w:r>
            <w:r/>
          </w:p>
        </w:tc>
      </w:tr>
      <w:tr>
        <w:trPr>
          <w:trHeight w:val="446"/>
        </w:trPr>
        <w:tc>
          <w:tcPr>
            <w:tcW w:w="1272" w:type="dxa"/>
            <w:vAlign w:val="top"/>
            <w:textDirection w:val="lrTb"/>
            <w:noWrap w:val="false"/>
          </w:tcPr>
          <w:p>
            <w:pPr>
              <w:pStyle w:val="895"/>
              <w:jc w:val="center"/>
              <w:rPr>
                <w:color w:val="000000"/>
                <w:szCs w:val="21"/>
              </w:rPr>
            </w:pPr>
            <w:r>
              <w:rPr>
                <w:color w:val="000000"/>
                <w:szCs w:val="21"/>
              </w:rPr>
            </w:r>
            <w:r/>
          </w:p>
        </w:tc>
        <w:tc>
          <w:tcPr>
            <w:tcW w:w="1784" w:type="dxa"/>
            <w:vAlign w:val="top"/>
            <w:textDirection w:val="lrTb"/>
            <w:noWrap w:val="false"/>
          </w:tcPr>
          <w:p>
            <w:pPr>
              <w:pStyle w:val="895"/>
              <w:jc w:val="center"/>
              <w:rPr>
                <w:color w:val="000000"/>
                <w:szCs w:val="21"/>
              </w:rPr>
            </w:pPr>
            <w:r>
              <w:rPr>
                <w:color w:val="000000"/>
                <w:szCs w:val="21"/>
              </w:rPr>
            </w:r>
            <w:r/>
          </w:p>
        </w:tc>
        <w:tc>
          <w:tcPr>
            <w:tcW w:w="1847" w:type="dxa"/>
            <w:vAlign w:val="top"/>
            <w:textDirection w:val="lrTb"/>
            <w:noWrap w:val="false"/>
          </w:tcPr>
          <w:p>
            <w:pPr>
              <w:pStyle w:val="895"/>
              <w:jc w:val="center"/>
              <w:rPr>
                <w:color w:val="000000"/>
                <w:szCs w:val="21"/>
              </w:rPr>
            </w:pPr>
            <w:r>
              <w:rPr>
                <w:color w:val="000000"/>
                <w:szCs w:val="21"/>
              </w:rPr>
            </w:r>
            <w:r/>
          </w:p>
        </w:tc>
        <w:tc>
          <w:tcPr>
            <w:tcW w:w="1888" w:type="dxa"/>
            <w:vAlign w:val="top"/>
            <w:textDirection w:val="lrTb"/>
            <w:noWrap w:val="false"/>
          </w:tcPr>
          <w:p>
            <w:pPr>
              <w:pStyle w:val="895"/>
              <w:jc w:val="center"/>
              <w:rPr>
                <w:color w:val="000000"/>
                <w:szCs w:val="21"/>
              </w:rPr>
            </w:pPr>
            <w:r>
              <w:rPr>
                <w:color w:val="000000"/>
                <w:szCs w:val="21"/>
              </w:rPr>
            </w:r>
            <w:r/>
          </w:p>
        </w:tc>
        <w:tc>
          <w:tcPr>
            <w:tcW w:w="2032" w:type="dxa"/>
            <w:vAlign w:val="top"/>
            <w:textDirection w:val="lrTb"/>
            <w:noWrap w:val="false"/>
          </w:tcPr>
          <w:p>
            <w:pPr>
              <w:pStyle w:val="895"/>
              <w:jc w:val="center"/>
              <w:rPr>
                <w:color w:val="000000"/>
                <w:szCs w:val="21"/>
              </w:rPr>
            </w:pPr>
            <w:r>
              <w:rPr>
                <w:color w:val="000000"/>
                <w:szCs w:val="21"/>
              </w:rPr>
            </w:r>
            <w:r/>
          </w:p>
        </w:tc>
      </w:tr>
      <w:tr>
        <w:trPr>
          <w:trHeight w:val="424"/>
        </w:trPr>
        <w:tc>
          <w:tcPr>
            <w:tcW w:w="1272" w:type="dxa"/>
            <w:vAlign w:val="top"/>
            <w:textDirection w:val="lrTb"/>
            <w:noWrap w:val="false"/>
          </w:tcPr>
          <w:p>
            <w:pPr>
              <w:pStyle w:val="895"/>
              <w:jc w:val="center"/>
              <w:rPr>
                <w:color w:val="000000"/>
                <w:szCs w:val="21"/>
              </w:rPr>
            </w:pPr>
            <w:r>
              <w:rPr>
                <w:color w:val="000000"/>
                <w:szCs w:val="21"/>
              </w:rPr>
            </w:r>
            <w:r/>
          </w:p>
        </w:tc>
        <w:tc>
          <w:tcPr>
            <w:tcW w:w="1784" w:type="dxa"/>
            <w:vAlign w:val="top"/>
            <w:textDirection w:val="lrTb"/>
            <w:noWrap w:val="false"/>
          </w:tcPr>
          <w:p>
            <w:pPr>
              <w:pStyle w:val="895"/>
              <w:jc w:val="center"/>
              <w:rPr>
                <w:color w:val="000000"/>
                <w:szCs w:val="21"/>
              </w:rPr>
            </w:pPr>
            <w:r>
              <w:rPr>
                <w:color w:val="000000"/>
                <w:szCs w:val="21"/>
              </w:rPr>
            </w:r>
            <w:r/>
          </w:p>
        </w:tc>
        <w:tc>
          <w:tcPr>
            <w:tcW w:w="1847" w:type="dxa"/>
            <w:vAlign w:val="top"/>
            <w:textDirection w:val="lrTb"/>
            <w:noWrap w:val="false"/>
          </w:tcPr>
          <w:p>
            <w:pPr>
              <w:pStyle w:val="895"/>
              <w:jc w:val="center"/>
              <w:rPr>
                <w:color w:val="000000"/>
                <w:szCs w:val="21"/>
              </w:rPr>
            </w:pPr>
            <w:r>
              <w:rPr>
                <w:color w:val="000000"/>
                <w:szCs w:val="21"/>
              </w:rPr>
            </w:r>
            <w:r/>
          </w:p>
        </w:tc>
        <w:tc>
          <w:tcPr>
            <w:tcW w:w="1888" w:type="dxa"/>
            <w:vAlign w:val="top"/>
            <w:textDirection w:val="lrTb"/>
            <w:noWrap w:val="false"/>
          </w:tcPr>
          <w:p>
            <w:pPr>
              <w:pStyle w:val="895"/>
              <w:jc w:val="center"/>
              <w:rPr>
                <w:color w:val="000000"/>
                <w:szCs w:val="21"/>
              </w:rPr>
            </w:pPr>
            <w:r>
              <w:rPr>
                <w:color w:val="000000"/>
                <w:szCs w:val="21"/>
              </w:rPr>
            </w:r>
            <w:r/>
          </w:p>
        </w:tc>
        <w:tc>
          <w:tcPr>
            <w:tcW w:w="2032" w:type="dxa"/>
            <w:vAlign w:val="top"/>
            <w:textDirection w:val="lrTb"/>
            <w:noWrap w:val="false"/>
          </w:tcPr>
          <w:p>
            <w:pPr>
              <w:pStyle w:val="895"/>
              <w:jc w:val="center"/>
              <w:rPr>
                <w:color w:val="000000"/>
                <w:szCs w:val="21"/>
              </w:rPr>
            </w:pPr>
            <w:r>
              <w:rPr>
                <w:color w:val="000000"/>
                <w:szCs w:val="21"/>
              </w:rPr>
            </w:r>
            <w:r/>
          </w:p>
        </w:tc>
      </w:tr>
      <w:tr>
        <w:trPr>
          <w:trHeight w:val="446"/>
        </w:trPr>
        <w:tc>
          <w:tcPr>
            <w:tcW w:w="1272" w:type="dxa"/>
            <w:vAlign w:val="top"/>
            <w:textDirection w:val="lrTb"/>
            <w:noWrap w:val="false"/>
          </w:tcPr>
          <w:p>
            <w:pPr>
              <w:pStyle w:val="895"/>
              <w:jc w:val="center"/>
              <w:rPr>
                <w:color w:val="000000"/>
                <w:szCs w:val="21"/>
              </w:rPr>
            </w:pPr>
            <w:r>
              <w:rPr>
                <w:color w:val="000000"/>
                <w:szCs w:val="21"/>
              </w:rPr>
            </w:r>
            <w:r/>
          </w:p>
        </w:tc>
        <w:tc>
          <w:tcPr>
            <w:tcW w:w="1784" w:type="dxa"/>
            <w:vAlign w:val="top"/>
            <w:textDirection w:val="lrTb"/>
            <w:noWrap w:val="false"/>
          </w:tcPr>
          <w:p>
            <w:pPr>
              <w:pStyle w:val="895"/>
              <w:jc w:val="center"/>
              <w:rPr>
                <w:color w:val="000000"/>
                <w:szCs w:val="21"/>
              </w:rPr>
            </w:pPr>
            <w:r>
              <w:rPr>
                <w:color w:val="000000"/>
                <w:szCs w:val="21"/>
              </w:rPr>
            </w:r>
            <w:r/>
          </w:p>
        </w:tc>
        <w:tc>
          <w:tcPr>
            <w:tcW w:w="1847" w:type="dxa"/>
            <w:vAlign w:val="top"/>
            <w:textDirection w:val="lrTb"/>
            <w:noWrap w:val="false"/>
          </w:tcPr>
          <w:p>
            <w:pPr>
              <w:pStyle w:val="895"/>
              <w:jc w:val="center"/>
              <w:rPr>
                <w:color w:val="000000"/>
                <w:szCs w:val="21"/>
              </w:rPr>
            </w:pPr>
            <w:r>
              <w:rPr>
                <w:color w:val="000000"/>
                <w:szCs w:val="21"/>
              </w:rPr>
            </w:r>
            <w:r/>
          </w:p>
        </w:tc>
        <w:tc>
          <w:tcPr>
            <w:tcW w:w="1888" w:type="dxa"/>
            <w:vAlign w:val="top"/>
            <w:textDirection w:val="lrTb"/>
            <w:noWrap w:val="false"/>
          </w:tcPr>
          <w:p>
            <w:pPr>
              <w:pStyle w:val="895"/>
              <w:jc w:val="center"/>
              <w:rPr>
                <w:color w:val="000000"/>
                <w:szCs w:val="21"/>
              </w:rPr>
            </w:pPr>
            <w:r>
              <w:rPr>
                <w:color w:val="000000"/>
                <w:szCs w:val="21"/>
              </w:rPr>
            </w:r>
            <w:r/>
          </w:p>
        </w:tc>
        <w:tc>
          <w:tcPr>
            <w:tcW w:w="2032" w:type="dxa"/>
            <w:vAlign w:val="top"/>
            <w:textDirection w:val="lrTb"/>
            <w:noWrap w:val="false"/>
          </w:tcPr>
          <w:p>
            <w:pPr>
              <w:pStyle w:val="895"/>
              <w:jc w:val="center"/>
              <w:rPr>
                <w:color w:val="000000"/>
                <w:szCs w:val="21"/>
              </w:rPr>
            </w:pPr>
            <w:r>
              <w:rPr>
                <w:color w:val="000000"/>
                <w:szCs w:val="21"/>
              </w:rPr>
            </w:r>
            <w:r/>
          </w:p>
        </w:tc>
      </w:tr>
      <w:tr>
        <w:trPr>
          <w:trHeight w:val="424"/>
        </w:trPr>
        <w:tc>
          <w:tcPr>
            <w:tcW w:w="1272" w:type="dxa"/>
            <w:vAlign w:val="top"/>
            <w:textDirection w:val="lrTb"/>
            <w:noWrap w:val="false"/>
          </w:tcPr>
          <w:p>
            <w:pPr>
              <w:pStyle w:val="895"/>
              <w:jc w:val="center"/>
              <w:rPr>
                <w:color w:val="000000"/>
                <w:sz w:val="24"/>
              </w:rPr>
            </w:pPr>
            <w:r>
              <w:rPr>
                <w:color w:val="000000"/>
                <w:sz w:val="24"/>
              </w:rPr>
            </w:r>
            <w:r/>
          </w:p>
        </w:tc>
        <w:tc>
          <w:tcPr>
            <w:tcW w:w="1784" w:type="dxa"/>
            <w:vAlign w:val="top"/>
            <w:textDirection w:val="lrTb"/>
            <w:noWrap w:val="false"/>
          </w:tcPr>
          <w:p>
            <w:pPr>
              <w:pStyle w:val="895"/>
              <w:jc w:val="center"/>
              <w:rPr>
                <w:color w:val="000000"/>
                <w:sz w:val="24"/>
              </w:rPr>
            </w:pPr>
            <w:r>
              <w:rPr>
                <w:color w:val="000000"/>
                <w:sz w:val="24"/>
              </w:rPr>
            </w:r>
            <w:r/>
          </w:p>
        </w:tc>
        <w:tc>
          <w:tcPr>
            <w:tcW w:w="1847" w:type="dxa"/>
            <w:vAlign w:val="top"/>
            <w:textDirection w:val="lrTb"/>
            <w:noWrap w:val="false"/>
          </w:tcPr>
          <w:p>
            <w:pPr>
              <w:pStyle w:val="895"/>
              <w:jc w:val="center"/>
              <w:rPr>
                <w:color w:val="000000"/>
                <w:sz w:val="24"/>
              </w:rPr>
            </w:pPr>
            <w:r>
              <w:rPr>
                <w:color w:val="000000"/>
                <w:sz w:val="24"/>
              </w:rPr>
            </w:r>
            <w:r/>
          </w:p>
        </w:tc>
        <w:tc>
          <w:tcPr>
            <w:tcW w:w="1888" w:type="dxa"/>
            <w:vAlign w:val="top"/>
            <w:textDirection w:val="lrTb"/>
            <w:noWrap w:val="false"/>
          </w:tcPr>
          <w:p>
            <w:pPr>
              <w:pStyle w:val="895"/>
              <w:jc w:val="center"/>
              <w:rPr>
                <w:color w:val="000000"/>
                <w:sz w:val="24"/>
              </w:rPr>
            </w:pPr>
            <w:r>
              <w:rPr>
                <w:color w:val="000000"/>
                <w:sz w:val="24"/>
              </w:rPr>
            </w:r>
            <w:r/>
          </w:p>
        </w:tc>
        <w:tc>
          <w:tcPr>
            <w:tcW w:w="2032" w:type="dxa"/>
            <w:vAlign w:val="top"/>
            <w:textDirection w:val="lrTb"/>
            <w:noWrap w:val="false"/>
          </w:tcPr>
          <w:p>
            <w:pPr>
              <w:pStyle w:val="895"/>
              <w:jc w:val="center"/>
              <w:rPr>
                <w:color w:val="000000"/>
                <w:sz w:val="24"/>
              </w:rPr>
            </w:pPr>
            <w:r>
              <w:rPr>
                <w:color w:val="000000"/>
                <w:sz w:val="24"/>
              </w:rPr>
            </w:r>
            <w:r/>
          </w:p>
        </w:tc>
      </w:tr>
      <w:tr>
        <w:trPr>
          <w:trHeight w:val="424"/>
        </w:trPr>
        <w:tc>
          <w:tcPr>
            <w:tcW w:w="1272" w:type="dxa"/>
            <w:vAlign w:val="top"/>
            <w:textDirection w:val="lrTb"/>
            <w:noWrap w:val="false"/>
          </w:tcPr>
          <w:p>
            <w:pPr>
              <w:pStyle w:val="895"/>
              <w:jc w:val="center"/>
              <w:rPr>
                <w:color w:val="000000"/>
                <w:sz w:val="24"/>
              </w:rPr>
            </w:pPr>
            <w:r>
              <w:rPr>
                <w:color w:val="000000"/>
                <w:sz w:val="24"/>
              </w:rPr>
            </w:r>
            <w:r/>
          </w:p>
        </w:tc>
        <w:tc>
          <w:tcPr>
            <w:tcW w:w="1784" w:type="dxa"/>
            <w:vAlign w:val="top"/>
            <w:textDirection w:val="lrTb"/>
            <w:noWrap w:val="false"/>
          </w:tcPr>
          <w:p>
            <w:pPr>
              <w:pStyle w:val="895"/>
              <w:jc w:val="center"/>
              <w:rPr>
                <w:color w:val="000000"/>
                <w:sz w:val="24"/>
              </w:rPr>
            </w:pPr>
            <w:r>
              <w:rPr>
                <w:color w:val="000000"/>
                <w:sz w:val="24"/>
              </w:rPr>
            </w:r>
            <w:r/>
          </w:p>
        </w:tc>
        <w:tc>
          <w:tcPr>
            <w:tcW w:w="1847" w:type="dxa"/>
            <w:vAlign w:val="top"/>
            <w:textDirection w:val="lrTb"/>
            <w:noWrap w:val="false"/>
          </w:tcPr>
          <w:p>
            <w:pPr>
              <w:pStyle w:val="895"/>
              <w:jc w:val="center"/>
              <w:rPr>
                <w:color w:val="000000"/>
                <w:sz w:val="24"/>
              </w:rPr>
            </w:pPr>
            <w:r>
              <w:rPr>
                <w:color w:val="000000"/>
                <w:sz w:val="24"/>
              </w:rPr>
            </w:r>
            <w:r/>
          </w:p>
        </w:tc>
        <w:tc>
          <w:tcPr>
            <w:tcW w:w="1888" w:type="dxa"/>
            <w:vAlign w:val="top"/>
            <w:textDirection w:val="lrTb"/>
            <w:noWrap w:val="false"/>
          </w:tcPr>
          <w:p>
            <w:pPr>
              <w:pStyle w:val="895"/>
              <w:jc w:val="center"/>
              <w:rPr>
                <w:color w:val="000000"/>
                <w:sz w:val="24"/>
              </w:rPr>
            </w:pPr>
            <w:r>
              <w:rPr>
                <w:color w:val="000000"/>
                <w:sz w:val="24"/>
              </w:rPr>
            </w:r>
            <w:r/>
          </w:p>
        </w:tc>
        <w:tc>
          <w:tcPr>
            <w:tcW w:w="2032" w:type="dxa"/>
            <w:vAlign w:val="top"/>
            <w:textDirection w:val="lrTb"/>
            <w:noWrap w:val="false"/>
          </w:tcPr>
          <w:p>
            <w:pPr>
              <w:pStyle w:val="895"/>
              <w:jc w:val="center"/>
              <w:rPr>
                <w:color w:val="000000"/>
                <w:sz w:val="24"/>
              </w:rPr>
            </w:pPr>
            <w:r>
              <w:rPr>
                <w:color w:val="000000"/>
                <w:sz w:val="24"/>
              </w:rPr>
            </w:r>
            <w:r/>
          </w:p>
        </w:tc>
      </w:tr>
      <w:tr>
        <w:trPr>
          <w:trHeight w:val="891"/>
        </w:trPr>
        <w:tc>
          <w:tcPr>
            <w:tcW w:w="1272" w:type="dxa"/>
            <w:vAlign w:val="top"/>
            <w:textDirection w:val="lrTb"/>
            <w:noWrap w:val="false"/>
          </w:tcPr>
          <w:p>
            <w:pPr>
              <w:pStyle w:val="895"/>
              <w:jc w:val="center"/>
              <w:rPr>
                <w:color w:val="000000"/>
                <w:sz w:val="24"/>
              </w:rPr>
            </w:pPr>
            <w:r>
              <w:rPr>
                <w:rFonts w:hint="eastAsia"/>
                <w:color w:val="000000"/>
                <w:sz w:val="24"/>
              </w:rPr>
              <w:t xml:space="preserve">合计</w:t>
            </w:r>
            <w:r>
              <w:rPr>
                <w:color w:val="000000"/>
                <w:sz w:val="24"/>
              </w:rPr>
            </w:r>
            <w:r/>
          </w:p>
        </w:tc>
        <w:tc>
          <w:tcPr>
            <w:gridSpan w:val="4"/>
            <w:tcW w:w="7551" w:type="dxa"/>
            <w:vAlign w:val="top"/>
            <w:textDirection w:val="lrTb"/>
            <w:noWrap w:val="false"/>
          </w:tcPr>
          <w:p>
            <w:pPr>
              <w:pStyle w:val="895"/>
              <w:jc w:val="left"/>
              <w:rPr>
                <w:color w:val="000000"/>
                <w:sz w:val="24"/>
              </w:rPr>
            </w:pPr>
            <w:r>
              <w:rPr>
                <w:rFonts w:hint="eastAsia"/>
                <w:color w:val="000000"/>
                <w:szCs w:val="21"/>
              </w:rPr>
              <w:t xml:space="preserve">拥有</w:t>
            </w:r>
            <w:r>
              <w:rPr>
                <w:color w:val="000000"/>
                <w:szCs w:val="21"/>
              </w:rPr>
              <w:t xml:space="preserve">环境保护部或中国环境监测总站出具的</w:t>
            </w:r>
            <w:r>
              <w:rPr>
                <w:rFonts w:hint="eastAsia"/>
                <w:color w:val="000000"/>
                <w:szCs w:val="21"/>
              </w:rPr>
              <w:t xml:space="preserve">《</w:t>
            </w:r>
            <w:r>
              <w:rPr>
                <w:color w:val="000000"/>
                <w:szCs w:val="21"/>
              </w:rPr>
              <w:t xml:space="preserve">建设项目竣工环境保护验收监测人员培训合格证书</w:t>
            </w:r>
            <w:r>
              <w:rPr>
                <w:rFonts w:hint="eastAsia"/>
                <w:color w:val="000000"/>
                <w:szCs w:val="21"/>
              </w:rPr>
              <w:t xml:space="preserve">》</w:t>
            </w:r>
            <w:r>
              <w:rPr>
                <w:rFonts w:hint="eastAsia"/>
                <w:color w:val="000000"/>
                <w:sz w:val="24"/>
              </w:rPr>
              <w:t xml:space="preserve">：</w:t>
            </w:r>
            <w:r>
              <w:rPr>
                <w:rFonts w:hint="eastAsia" w:ascii="宋体" w:hAnsi="宋体"/>
                <w:color w:val="000000"/>
                <w:sz w:val="24"/>
                <w:u w:val="single"/>
              </w:rPr>
              <w:t xml:space="preserve">    </w:t>
            </w:r>
            <w:r>
              <w:rPr>
                <w:rFonts w:hint="eastAsia" w:ascii="宋体" w:hAnsi="宋体"/>
                <w:color w:val="000000"/>
                <w:sz w:val="24"/>
              </w:rPr>
              <w:t xml:space="preserve">人。</w:t>
            </w:r>
            <w:r>
              <w:rPr>
                <w:color w:val="000000"/>
                <w:sz w:val="24"/>
              </w:rPr>
            </w:r>
            <w:r/>
          </w:p>
        </w:tc>
      </w:tr>
    </w:tbl>
    <w:p>
      <w:pPr>
        <w:pStyle w:val="895"/>
        <w:ind w:firstLine="480"/>
        <w:spacing w:line="360" w:lineRule="auto"/>
        <w:rPr>
          <w:rFonts w:hint="eastAsia" w:ascii="宋体" w:hAnsi="宋体"/>
          <w:color w:val="000000"/>
          <w:sz w:val="24"/>
        </w:rPr>
      </w:pPr>
      <w:r>
        <w:rPr>
          <w:rFonts w:hint="eastAsia" w:ascii="宋体" w:hAnsi="宋体"/>
          <w:color w:val="000000"/>
          <w:sz w:val="24"/>
        </w:rPr>
        <w:t xml:space="preserve"> 投标单位（盖章）：</w:t>
      </w:r>
      <w:r/>
    </w:p>
    <w:p>
      <w:pPr>
        <w:pStyle w:val="895"/>
        <w:ind w:firstLine="422"/>
        <w:spacing w:line="360" w:lineRule="auto"/>
        <w:rPr>
          <w:rFonts w:hint="eastAsia"/>
          <w:szCs w:val="21"/>
        </w:rPr>
      </w:pPr>
      <w:r>
        <w:rPr>
          <w:rFonts w:hint="eastAsia"/>
          <w:b/>
          <w:bCs/>
          <w:szCs w:val="21"/>
        </w:rPr>
        <w:t xml:space="preserve">相关证件（书）均需在有效期内，</w:t>
      </w:r>
      <w:r>
        <w:rPr>
          <w:rFonts w:hint="eastAsia"/>
          <w:szCs w:val="21"/>
        </w:rPr>
        <w:t xml:space="preserve">否则该项不得分。</w:t>
      </w:r>
      <w:r/>
    </w:p>
    <w:p>
      <w:pPr>
        <w:pStyle w:val="895"/>
        <w:rPr>
          <w:color w:val="000000"/>
        </w:rPr>
      </w:pPr>
      <w:r>
        <w:rPr>
          <w:color w:val="000000"/>
          <w:sz w:val="24"/>
        </w:rPr>
        <w:br w:type="page" w:clear="all"/>
      </w:r>
      <w:r>
        <w:rPr>
          <w:color w:val="000000"/>
        </w:rPr>
      </w:r>
      <w:r/>
    </w:p>
    <w:p>
      <w:pPr>
        <w:pStyle w:val="895"/>
        <w:rPr>
          <w:rFonts w:hint="eastAsia" w:ascii="宋体" w:hAnsi="宋体"/>
          <w:b/>
          <w:color w:val="000000"/>
          <w:sz w:val="24"/>
        </w:rPr>
      </w:pPr>
      <w:r/>
      <w:bookmarkStart w:id="133" w:name="OLE_LINK15"/>
      <w:r>
        <w:rPr>
          <w:rFonts w:hint="eastAsia" w:ascii="宋体" w:hAnsi="宋体"/>
          <w:b/>
          <w:color w:val="000000"/>
          <w:sz w:val="24"/>
        </w:rPr>
        <w:t xml:space="preserve">附表1-3</w:t>
      </w:r>
      <w:r/>
    </w:p>
    <w:p>
      <w:pPr>
        <w:pStyle w:val="895"/>
        <w:jc w:val="center"/>
        <w:spacing w:line="360" w:lineRule="auto"/>
        <w:rPr>
          <w:rFonts w:ascii="宋体" w:hAnsi="宋体"/>
          <w:b/>
          <w:sz w:val="28"/>
          <w:szCs w:val="28"/>
        </w:rPr>
      </w:pPr>
      <w:r/>
      <w:bookmarkEnd w:id="133"/>
      <w:r>
        <w:rPr>
          <w:rFonts w:hint="eastAsia" w:ascii="宋体" w:hAnsi="宋体"/>
          <w:b/>
          <w:sz w:val="28"/>
          <w:szCs w:val="28"/>
        </w:rPr>
        <w:t xml:space="preserve">供应商拟定投入本项目的监测仪器设备情况表</w:t>
      </w:r>
      <w:r>
        <w:rPr>
          <w:rFonts w:ascii="宋体" w:hAnsi="宋体"/>
          <w:b/>
          <w:sz w:val="28"/>
          <w:szCs w:val="28"/>
        </w:rPr>
      </w:r>
      <w:r/>
    </w:p>
    <w:p>
      <w:pPr>
        <w:pStyle w:val="895"/>
        <w:ind w:firstLine="210"/>
        <w:spacing w:line="360" w:lineRule="auto"/>
        <w:rPr>
          <w:rFonts w:hint="eastAsia" w:ascii="宋体" w:hAnsi="宋体" w:cs="宋体"/>
          <w:color w:val="000000"/>
          <w:szCs w:val="21"/>
        </w:rPr>
      </w:pPr>
      <w:r>
        <w:rPr>
          <w:rFonts w:hint="eastAsia" w:ascii="宋体" w:hAnsi="宋体" w:cs="宋体"/>
          <w:color w:val="000000"/>
          <w:szCs w:val="21"/>
        </w:rPr>
        <w:t xml:space="preserve">项目编号：                                             </w:t>
      </w:r>
      <w:r/>
    </w:p>
    <w:tbl>
      <w:tblPr>
        <w:tblW w:w="93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4"/>
        <w:gridCol w:w="727"/>
        <w:gridCol w:w="534"/>
        <w:gridCol w:w="534"/>
        <w:gridCol w:w="534"/>
        <w:gridCol w:w="534"/>
        <w:gridCol w:w="536"/>
        <w:gridCol w:w="924"/>
        <w:gridCol w:w="785"/>
        <w:gridCol w:w="1074"/>
        <w:gridCol w:w="1344"/>
        <w:gridCol w:w="1236"/>
      </w:tblGrid>
      <w:tr>
        <w:trPr>
          <w:trHeight w:val="839"/>
        </w:trPr>
        <w:tc>
          <w:tcPr>
            <w:tcW w:w="54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t xml:space="preserve">序号</w:t>
            </w:r>
            <w:r/>
          </w:p>
        </w:tc>
        <w:tc>
          <w:tcPr>
            <w:tcW w:w="727"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t xml:space="preserve">设备名称</w:t>
            </w:r>
            <w:r/>
          </w:p>
        </w:tc>
        <w:tc>
          <w:tcPr>
            <w:tcW w:w="53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t xml:space="preserve">设备型号</w:t>
            </w:r>
            <w:r/>
          </w:p>
        </w:tc>
        <w:tc>
          <w:tcPr>
            <w:tcW w:w="53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t xml:space="preserve">类别</w:t>
            </w:r>
            <w:r/>
          </w:p>
        </w:tc>
        <w:tc>
          <w:tcPr>
            <w:tcW w:w="53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t xml:space="preserve">购置日期</w:t>
            </w:r>
            <w:r/>
          </w:p>
        </w:tc>
        <w:tc>
          <w:tcPr>
            <w:tcW w:w="53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t xml:space="preserve">制造厂家</w:t>
            </w:r>
            <w:r/>
          </w:p>
        </w:tc>
        <w:tc>
          <w:tcPr>
            <w:tcW w:w="536"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t xml:space="preserve">所属单位</w:t>
            </w:r>
            <w:r/>
          </w:p>
        </w:tc>
        <w:tc>
          <w:tcPr>
            <w:tcW w:w="92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t xml:space="preserve">检测参数/项目参数</w:t>
            </w:r>
            <w:r/>
          </w:p>
        </w:tc>
        <w:tc>
          <w:tcPr>
            <w:tcW w:w="785"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t xml:space="preserve">检出限</w:t>
            </w:r>
            <w:r/>
          </w:p>
        </w:tc>
        <w:tc>
          <w:tcPr>
            <w:tcW w:w="107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t xml:space="preserve">校准期间</w:t>
            </w:r>
            <w:r/>
          </w:p>
        </w:tc>
        <w:tc>
          <w:tcPr>
            <w:tcW w:w="134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t xml:space="preserve">校准单位</w:t>
            </w:r>
            <w:r/>
          </w:p>
        </w:tc>
        <w:tc>
          <w:tcPr>
            <w:tcW w:w="1236"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t xml:space="preserve">状况描述</w:t>
            </w:r>
            <w:r/>
          </w:p>
        </w:tc>
      </w:tr>
      <w:tr>
        <w:trPr>
          <w:cantSplit/>
          <w:trHeight w:val="390"/>
        </w:trPr>
        <w:tc>
          <w:tcPr>
            <w:tcW w:w="54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t xml:space="preserve">1</w:t>
            </w:r>
            <w:r/>
          </w:p>
        </w:tc>
        <w:tc>
          <w:tcPr>
            <w:tcW w:w="727"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6"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92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07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34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236"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r>
      <w:tr>
        <w:trPr>
          <w:cantSplit/>
          <w:trHeight w:val="390"/>
        </w:trPr>
        <w:tc>
          <w:tcPr>
            <w:tcW w:w="54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727"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6"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92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07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34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236"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r>
      <w:tr>
        <w:trPr>
          <w:cantSplit/>
          <w:trHeight w:val="390"/>
        </w:trPr>
        <w:tc>
          <w:tcPr>
            <w:tcW w:w="54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t xml:space="preserve">2</w:t>
            </w:r>
            <w:r/>
          </w:p>
        </w:tc>
        <w:tc>
          <w:tcPr>
            <w:tcW w:w="727"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6"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92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07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34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236"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r>
      <w:tr>
        <w:trPr>
          <w:cantSplit/>
          <w:trHeight w:val="390"/>
        </w:trPr>
        <w:tc>
          <w:tcPr>
            <w:tcW w:w="54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727"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6"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92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07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34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236"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r>
      <w:tr>
        <w:trPr>
          <w:cantSplit/>
          <w:trHeight w:val="390"/>
        </w:trPr>
        <w:tc>
          <w:tcPr>
            <w:tcW w:w="54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t xml:space="preserve">3</w:t>
            </w:r>
            <w:r/>
          </w:p>
        </w:tc>
        <w:tc>
          <w:tcPr>
            <w:tcW w:w="727"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6"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92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07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34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236"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r>
      <w:tr>
        <w:trPr>
          <w:cantSplit/>
          <w:trHeight w:val="390"/>
        </w:trPr>
        <w:tc>
          <w:tcPr>
            <w:tcW w:w="54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727"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6"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92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07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34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236"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r>
      <w:tr>
        <w:trPr>
          <w:cantSplit/>
          <w:trHeight w:val="390"/>
        </w:trPr>
        <w:tc>
          <w:tcPr>
            <w:tcW w:w="54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t xml:space="preserve">4</w:t>
            </w:r>
            <w:r/>
          </w:p>
        </w:tc>
        <w:tc>
          <w:tcPr>
            <w:tcW w:w="727"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6"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92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07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34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236"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r>
      <w:tr>
        <w:trPr>
          <w:cantSplit/>
          <w:trHeight w:val="390"/>
        </w:trPr>
        <w:tc>
          <w:tcPr>
            <w:tcW w:w="54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727"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6"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92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07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34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236"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r>
      <w:tr>
        <w:trPr>
          <w:cantSplit/>
          <w:trHeight w:val="390"/>
        </w:trPr>
        <w:tc>
          <w:tcPr>
            <w:tcW w:w="54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t xml:space="preserve">5</w:t>
            </w:r>
            <w:r/>
          </w:p>
        </w:tc>
        <w:tc>
          <w:tcPr>
            <w:tcW w:w="727"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6" w:type="dxa"/>
            <w:vAlign w:val="center"/>
            <w:vMerge w:val="restart"/>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92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07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34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236"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r>
      <w:tr>
        <w:trPr>
          <w:cantSplit/>
          <w:trHeight w:val="390"/>
        </w:trPr>
        <w:tc>
          <w:tcPr>
            <w:tcW w:w="54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727"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4"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536" w:type="dxa"/>
            <w:vAlign w:val="center"/>
            <w:vMerge w:val="continue"/>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92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785"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07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344"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c>
          <w:tcPr>
            <w:tcW w:w="1236" w:type="dxa"/>
            <w:vAlign w:val="center"/>
            <w:textDirection w:val="lrTb"/>
            <w:noWrap w:val="false"/>
          </w:tcPr>
          <w:p>
            <w:pPr>
              <w:pStyle w:val="895"/>
              <w:jc w:val="center"/>
              <w:rPr>
                <w:rFonts w:hint="eastAsia" w:ascii="宋体" w:hAnsi="宋体" w:cs="宋体"/>
                <w:color w:val="000000"/>
                <w:szCs w:val="21"/>
              </w:rPr>
            </w:pPr>
            <w:r>
              <w:rPr>
                <w:rFonts w:hint="eastAsia" w:ascii="宋体" w:hAnsi="宋体" w:cs="宋体"/>
                <w:color w:val="000000"/>
                <w:szCs w:val="21"/>
              </w:rPr>
            </w:r>
            <w:r/>
          </w:p>
        </w:tc>
      </w:tr>
    </w:tbl>
    <w:p>
      <w:pPr>
        <w:pStyle w:val="895"/>
        <w:ind w:firstLine="315"/>
        <w:spacing w:line="480" w:lineRule="exact"/>
        <w:rPr>
          <w:rFonts w:hint="eastAsia" w:ascii="宋体" w:hAnsi="宋体" w:cs="宋体"/>
          <w:color w:val="000000"/>
          <w:szCs w:val="21"/>
        </w:rPr>
      </w:pPr>
      <w:r>
        <w:rPr>
          <w:rFonts w:hint="eastAsia" w:ascii="宋体" w:hAnsi="宋体" w:cs="宋体"/>
          <w:color w:val="000000"/>
          <w:szCs w:val="21"/>
        </w:rPr>
        <w:t xml:space="preserve">注：1、提供设备支付凭证或采购合同，资产独立使用等证明材料。</w:t>
      </w:r>
      <w:r/>
    </w:p>
    <w:p>
      <w:pPr>
        <w:pStyle w:val="895"/>
        <w:ind w:firstLine="735"/>
        <w:spacing w:line="480" w:lineRule="exact"/>
        <w:rPr>
          <w:rFonts w:hint="eastAsia" w:ascii="宋体" w:hAnsi="宋体" w:cs="宋体"/>
          <w:color w:val="000000"/>
          <w:szCs w:val="21"/>
        </w:rPr>
      </w:pPr>
      <w:r>
        <w:rPr>
          <w:rFonts w:hint="eastAsia" w:ascii="宋体" w:hAnsi="宋体" w:cs="宋体"/>
          <w:color w:val="000000"/>
          <w:szCs w:val="21"/>
        </w:rPr>
        <w:t xml:space="preserve">2、实验室仪器设备含现场采样设备，设备需能用于环境监测业务。</w:t>
      </w:r>
      <w:r/>
    </w:p>
    <w:p>
      <w:pPr>
        <w:pStyle w:val="895"/>
        <w:rPr>
          <w:rFonts w:hint="eastAsia"/>
        </w:rPr>
      </w:pPr>
      <w:r>
        <w:rPr>
          <w:rFonts w:hint="eastAsia"/>
        </w:rPr>
      </w:r>
      <w:r/>
    </w:p>
    <w:p>
      <w:pPr>
        <w:pStyle w:val="895"/>
        <w:spacing w:line="360" w:lineRule="auto"/>
        <w:rPr>
          <w:rFonts w:hint="eastAsia" w:ascii="宋体" w:hAnsi="宋体"/>
          <w:sz w:val="24"/>
        </w:rPr>
      </w:pPr>
      <w:r>
        <w:rPr>
          <w:rFonts w:hint="eastAsia" w:ascii="宋体" w:hAnsi="宋体"/>
          <w:sz w:val="24"/>
        </w:rPr>
        <w:t xml:space="preserve">投标单位（盖章）</w:t>
      </w:r>
      <w:r/>
    </w:p>
    <w:p>
      <w:pPr>
        <w:pStyle w:val="895"/>
        <w:spacing w:line="360" w:lineRule="auto"/>
        <w:rPr>
          <w:rFonts w:hint="eastAsia" w:ascii="宋体" w:hAnsi="宋体"/>
          <w:sz w:val="24"/>
        </w:rPr>
      </w:pPr>
      <w:r>
        <w:rPr>
          <w:rFonts w:hint="eastAsia" w:ascii="宋体" w:hAnsi="宋体"/>
          <w:sz w:val="24"/>
        </w:rPr>
        <w:t xml:space="preserve">法定代表人（或其授权代理人）签字：</w:t>
      </w:r>
      <w:r/>
    </w:p>
    <w:p>
      <w:pPr>
        <w:pStyle w:val="950"/>
        <w:spacing w:line="360" w:lineRule="auto"/>
        <w:rPr>
          <w:rFonts w:hAnsi="宋体" w:eastAsia="宋体"/>
          <w:sz w:val="24"/>
        </w:rPr>
      </w:pPr>
      <w:r>
        <w:rPr>
          <w:rFonts w:hAnsi="宋体" w:eastAsia="宋体"/>
          <w:sz w:val="24"/>
        </w:rPr>
        <w:t xml:space="preserve">日期：   年   月  日</w:t>
      </w:r>
      <w:r/>
    </w:p>
    <w:p>
      <w:pPr>
        <w:pStyle w:val="895"/>
        <w:rPr>
          <w:rFonts w:hint="eastAsia"/>
        </w:rPr>
      </w:pPr>
      <w:r>
        <w:rPr>
          <w:rFonts w:hint="eastAsia"/>
        </w:rPr>
      </w:r>
      <w:r/>
    </w:p>
    <w:p>
      <w:pPr>
        <w:pStyle w:val="895"/>
        <w:spacing w:line="400" w:lineRule="exact"/>
        <w:tabs>
          <w:tab w:val="left" w:pos="567" w:leader="none"/>
        </w:tabs>
        <w:rPr>
          <w:rFonts w:hint="eastAsia" w:cs="宋体"/>
          <w:color w:val="000000"/>
        </w:rPr>
      </w:pPr>
      <w:r>
        <w:br w:type="page" w:clear="all"/>
      </w:r>
      <w:r>
        <w:rPr>
          <w:rFonts w:hint="eastAsia" w:ascii="宋体" w:hAnsi="宋体"/>
          <w:b/>
          <w:color w:val="000000"/>
          <w:sz w:val="24"/>
        </w:rPr>
        <w:t xml:space="preserve">附表1-4</w:t>
      </w:r>
      <w:r>
        <w:rPr>
          <w:rFonts w:hint="eastAsia" w:cs="宋体"/>
          <w:color w:val="000000"/>
        </w:rPr>
      </w:r>
      <w:r/>
    </w:p>
    <w:p>
      <w:pPr>
        <w:pStyle w:val="895"/>
        <w:jc w:val="center"/>
        <w:rPr>
          <w:b/>
          <w:color w:val="000000"/>
          <w:sz w:val="28"/>
          <w:szCs w:val="28"/>
        </w:rPr>
      </w:pPr>
      <w:r>
        <w:rPr>
          <w:rFonts w:hint="eastAsia"/>
          <w:b/>
          <w:color w:val="000000"/>
          <w:sz w:val="28"/>
          <w:szCs w:val="28"/>
        </w:rPr>
        <w:t xml:space="preserve">特殊工具和快速监测能力情况表</w:t>
      </w:r>
      <w:r>
        <w:rPr>
          <w:b/>
          <w:color w:val="000000"/>
          <w:sz w:val="28"/>
          <w:szCs w:val="28"/>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03"/>
        <w:gridCol w:w="2386"/>
        <w:gridCol w:w="2115"/>
        <w:gridCol w:w="1749"/>
      </w:tblGrid>
      <w:tr>
        <w:trPr>
          <w:trHeight w:val="395"/>
        </w:trPr>
        <w:tc>
          <w:tcPr>
            <w:tcW w:w="896" w:type="dxa"/>
            <w:vAlign w:val="top"/>
            <w:textDirection w:val="lrTb"/>
            <w:noWrap w:val="false"/>
          </w:tcPr>
          <w:p>
            <w:pPr>
              <w:pStyle w:val="895"/>
              <w:jc w:val="center"/>
              <w:rPr>
                <w:color w:val="000000"/>
                <w:szCs w:val="21"/>
              </w:rPr>
            </w:pPr>
            <w:r>
              <w:rPr>
                <w:rFonts w:hint="eastAsia"/>
                <w:color w:val="000000"/>
                <w:szCs w:val="21"/>
              </w:rPr>
              <w:t xml:space="preserve">序号</w:t>
            </w:r>
            <w:r>
              <w:rPr>
                <w:color w:val="000000"/>
                <w:szCs w:val="21"/>
              </w:rPr>
            </w:r>
            <w:r/>
          </w:p>
        </w:tc>
        <w:tc>
          <w:tcPr>
            <w:tcW w:w="1703" w:type="dxa"/>
            <w:vAlign w:val="top"/>
            <w:textDirection w:val="lrTb"/>
            <w:noWrap w:val="false"/>
          </w:tcPr>
          <w:p>
            <w:pPr>
              <w:pStyle w:val="895"/>
              <w:jc w:val="center"/>
              <w:rPr>
                <w:rFonts w:hint="eastAsia"/>
                <w:color w:val="000000"/>
                <w:szCs w:val="21"/>
              </w:rPr>
            </w:pPr>
            <w:r>
              <w:rPr>
                <w:rFonts w:hint="eastAsia"/>
                <w:color w:val="000000"/>
                <w:szCs w:val="21"/>
              </w:rPr>
              <w:t xml:space="preserve">名称</w:t>
            </w:r>
            <w:r/>
          </w:p>
        </w:tc>
        <w:tc>
          <w:tcPr>
            <w:tcW w:w="2386" w:type="dxa"/>
            <w:vAlign w:val="top"/>
            <w:textDirection w:val="lrTb"/>
            <w:noWrap w:val="false"/>
          </w:tcPr>
          <w:p>
            <w:pPr>
              <w:pStyle w:val="895"/>
              <w:jc w:val="center"/>
              <w:rPr>
                <w:color w:val="000000"/>
                <w:szCs w:val="21"/>
              </w:rPr>
            </w:pPr>
            <w:r>
              <w:rPr>
                <w:rFonts w:hint="eastAsia"/>
                <w:color w:val="000000"/>
                <w:szCs w:val="21"/>
              </w:rPr>
              <w:t xml:space="preserve">品牌规格材质参数等</w:t>
            </w:r>
            <w:r>
              <w:rPr>
                <w:color w:val="000000"/>
                <w:szCs w:val="21"/>
              </w:rPr>
            </w:r>
            <w:r/>
          </w:p>
        </w:tc>
        <w:tc>
          <w:tcPr>
            <w:tcW w:w="2115" w:type="dxa"/>
            <w:vAlign w:val="top"/>
            <w:textDirection w:val="lrTb"/>
            <w:noWrap w:val="false"/>
          </w:tcPr>
          <w:p>
            <w:pPr>
              <w:pStyle w:val="895"/>
              <w:jc w:val="center"/>
              <w:rPr>
                <w:rFonts w:hint="eastAsia"/>
                <w:color w:val="000000"/>
                <w:szCs w:val="21"/>
              </w:rPr>
            </w:pPr>
            <w:r>
              <w:rPr>
                <w:rFonts w:hint="eastAsia"/>
                <w:color w:val="000000"/>
                <w:szCs w:val="21"/>
              </w:rPr>
              <w:t xml:space="preserve">数量</w:t>
            </w:r>
            <w:r/>
          </w:p>
        </w:tc>
        <w:tc>
          <w:tcPr>
            <w:tcW w:w="1749" w:type="dxa"/>
            <w:vAlign w:val="top"/>
            <w:textDirection w:val="lrTb"/>
            <w:noWrap w:val="false"/>
          </w:tcPr>
          <w:p>
            <w:pPr>
              <w:pStyle w:val="895"/>
              <w:jc w:val="center"/>
              <w:rPr>
                <w:color w:val="000000"/>
                <w:szCs w:val="21"/>
              </w:rPr>
            </w:pPr>
            <w:r>
              <w:rPr>
                <w:rFonts w:hint="eastAsia"/>
                <w:color w:val="000000"/>
                <w:szCs w:val="21"/>
              </w:rPr>
              <w:t xml:space="preserve">证明材料名称</w:t>
            </w:r>
            <w:r>
              <w:rPr>
                <w:color w:val="000000"/>
                <w:szCs w:val="21"/>
              </w:rPr>
            </w:r>
            <w:r/>
          </w:p>
        </w:tc>
      </w:tr>
      <w:tr>
        <w:trPr>
          <w:trHeight w:val="415"/>
        </w:trPr>
        <w:tc>
          <w:tcPr>
            <w:tcW w:w="896" w:type="dxa"/>
            <w:vAlign w:val="top"/>
            <w:textDirection w:val="lrTb"/>
            <w:noWrap w:val="false"/>
          </w:tcPr>
          <w:p>
            <w:pPr>
              <w:pStyle w:val="895"/>
              <w:jc w:val="center"/>
              <w:rPr>
                <w:rFonts w:hint="eastAsia"/>
                <w:color w:val="000000"/>
                <w:szCs w:val="21"/>
              </w:rPr>
            </w:pPr>
            <w:r>
              <w:rPr>
                <w:rFonts w:hint="eastAsia"/>
                <w:color w:val="000000"/>
                <w:szCs w:val="21"/>
              </w:rPr>
              <w:t xml:space="preserve">1</w:t>
            </w:r>
            <w:r/>
          </w:p>
        </w:tc>
        <w:tc>
          <w:tcPr>
            <w:tcW w:w="1703" w:type="dxa"/>
            <w:vAlign w:val="top"/>
            <w:textDirection w:val="lrTb"/>
            <w:noWrap w:val="false"/>
          </w:tcPr>
          <w:p>
            <w:pPr>
              <w:pStyle w:val="895"/>
              <w:jc w:val="center"/>
              <w:rPr>
                <w:color w:val="000000"/>
                <w:szCs w:val="21"/>
              </w:rPr>
            </w:pPr>
            <w:r>
              <w:rPr>
                <w:rFonts w:hint="eastAsia" w:cs="宋体"/>
                <w:color w:val="000000"/>
              </w:rPr>
              <w:t xml:space="preserve">监测快艇</w:t>
            </w:r>
            <w:r>
              <w:rPr>
                <w:color w:val="000000"/>
                <w:szCs w:val="21"/>
              </w:rPr>
            </w:r>
            <w:r/>
          </w:p>
        </w:tc>
        <w:tc>
          <w:tcPr>
            <w:tcW w:w="2386" w:type="dxa"/>
            <w:vAlign w:val="top"/>
            <w:textDirection w:val="lrTb"/>
            <w:noWrap w:val="false"/>
          </w:tcPr>
          <w:p>
            <w:pPr>
              <w:pStyle w:val="895"/>
              <w:jc w:val="center"/>
              <w:rPr>
                <w:color w:val="000000"/>
                <w:szCs w:val="21"/>
              </w:rPr>
            </w:pPr>
            <w:r>
              <w:rPr>
                <w:color w:val="000000"/>
                <w:szCs w:val="21"/>
              </w:rPr>
            </w:r>
            <w:r/>
          </w:p>
        </w:tc>
        <w:tc>
          <w:tcPr>
            <w:tcW w:w="2115" w:type="dxa"/>
            <w:vAlign w:val="top"/>
            <w:textDirection w:val="lrTb"/>
            <w:noWrap w:val="false"/>
          </w:tcPr>
          <w:p>
            <w:pPr>
              <w:pStyle w:val="895"/>
              <w:jc w:val="center"/>
              <w:rPr>
                <w:color w:val="000000"/>
                <w:szCs w:val="21"/>
              </w:rPr>
            </w:pPr>
            <w:r>
              <w:rPr>
                <w:color w:val="000000"/>
                <w:szCs w:val="21"/>
              </w:rPr>
            </w:r>
            <w:r/>
          </w:p>
        </w:tc>
        <w:tc>
          <w:tcPr>
            <w:tcW w:w="1749" w:type="dxa"/>
            <w:vAlign w:val="top"/>
            <w:textDirection w:val="lrTb"/>
            <w:noWrap w:val="false"/>
          </w:tcPr>
          <w:p>
            <w:pPr>
              <w:pStyle w:val="895"/>
              <w:jc w:val="center"/>
              <w:rPr>
                <w:color w:val="000000"/>
                <w:szCs w:val="21"/>
              </w:rPr>
            </w:pPr>
            <w:r>
              <w:rPr>
                <w:rFonts w:hint="eastAsia"/>
                <w:color w:val="000000"/>
                <w:szCs w:val="21"/>
              </w:rPr>
              <w:t xml:space="preserve">如：照片、发票</w:t>
            </w:r>
            <w:r>
              <w:rPr>
                <w:color w:val="000000"/>
                <w:szCs w:val="21"/>
              </w:rPr>
            </w:r>
            <w:r/>
          </w:p>
        </w:tc>
      </w:tr>
      <w:tr>
        <w:trPr>
          <w:trHeight w:val="395"/>
        </w:trPr>
        <w:tc>
          <w:tcPr>
            <w:tcW w:w="896" w:type="dxa"/>
            <w:vAlign w:val="top"/>
            <w:textDirection w:val="lrTb"/>
            <w:noWrap w:val="false"/>
          </w:tcPr>
          <w:p>
            <w:pPr>
              <w:pStyle w:val="895"/>
              <w:jc w:val="center"/>
              <w:rPr>
                <w:rFonts w:hint="eastAsia"/>
                <w:color w:val="000000"/>
                <w:szCs w:val="21"/>
              </w:rPr>
            </w:pPr>
            <w:r>
              <w:rPr>
                <w:rFonts w:hint="eastAsia"/>
                <w:color w:val="000000"/>
                <w:szCs w:val="21"/>
              </w:rPr>
              <w:t xml:space="preserve">2</w:t>
            </w:r>
            <w:r/>
          </w:p>
        </w:tc>
        <w:tc>
          <w:tcPr>
            <w:tcW w:w="1703" w:type="dxa"/>
            <w:vAlign w:val="top"/>
            <w:textDirection w:val="lrTb"/>
            <w:noWrap w:val="false"/>
          </w:tcPr>
          <w:p>
            <w:pPr>
              <w:pStyle w:val="895"/>
              <w:jc w:val="center"/>
              <w:rPr>
                <w:color w:val="000000"/>
                <w:szCs w:val="21"/>
              </w:rPr>
            </w:pPr>
            <w:r>
              <w:rPr>
                <w:color w:val="000000"/>
                <w:szCs w:val="21"/>
              </w:rPr>
            </w:r>
            <w:r/>
          </w:p>
        </w:tc>
        <w:tc>
          <w:tcPr>
            <w:tcW w:w="2386" w:type="dxa"/>
            <w:vAlign w:val="top"/>
            <w:textDirection w:val="lrTb"/>
            <w:noWrap w:val="false"/>
          </w:tcPr>
          <w:p>
            <w:pPr>
              <w:pStyle w:val="895"/>
              <w:jc w:val="center"/>
              <w:rPr>
                <w:color w:val="000000"/>
                <w:szCs w:val="21"/>
              </w:rPr>
            </w:pPr>
            <w:r>
              <w:rPr>
                <w:color w:val="000000"/>
                <w:szCs w:val="21"/>
              </w:rPr>
            </w:r>
            <w:r/>
          </w:p>
        </w:tc>
        <w:tc>
          <w:tcPr>
            <w:tcW w:w="2115" w:type="dxa"/>
            <w:vAlign w:val="top"/>
            <w:textDirection w:val="lrTb"/>
            <w:noWrap w:val="false"/>
          </w:tcPr>
          <w:p>
            <w:pPr>
              <w:pStyle w:val="895"/>
              <w:jc w:val="center"/>
              <w:rPr>
                <w:color w:val="000000"/>
                <w:szCs w:val="21"/>
              </w:rPr>
            </w:pPr>
            <w:r>
              <w:rPr>
                <w:color w:val="000000"/>
                <w:szCs w:val="21"/>
              </w:rPr>
            </w:r>
            <w:r/>
          </w:p>
        </w:tc>
        <w:tc>
          <w:tcPr>
            <w:tcW w:w="1749" w:type="dxa"/>
            <w:vAlign w:val="top"/>
            <w:textDirection w:val="lrTb"/>
            <w:noWrap w:val="false"/>
          </w:tcPr>
          <w:p>
            <w:pPr>
              <w:pStyle w:val="895"/>
              <w:jc w:val="center"/>
              <w:rPr>
                <w:color w:val="000000"/>
                <w:szCs w:val="21"/>
              </w:rPr>
            </w:pPr>
            <w:r>
              <w:rPr>
                <w:color w:val="000000"/>
                <w:szCs w:val="21"/>
              </w:rPr>
            </w:r>
            <w:r/>
          </w:p>
        </w:tc>
      </w:tr>
      <w:tr>
        <w:trPr>
          <w:trHeight w:val="415"/>
        </w:trPr>
        <w:tc>
          <w:tcPr>
            <w:tcW w:w="896" w:type="dxa"/>
            <w:vAlign w:val="top"/>
            <w:textDirection w:val="lrTb"/>
            <w:noWrap w:val="false"/>
          </w:tcPr>
          <w:p>
            <w:pPr>
              <w:pStyle w:val="895"/>
              <w:jc w:val="center"/>
              <w:rPr>
                <w:rFonts w:hint="eastAsia"/>
                <w:color w:val="000000"/>
                <w:szCs w:val="21"/>
              </w:rPr>
            </w:pPr>
            <w:r>
              <w:rPr>
                <w:rFonts w:hint="eastAsia"/>
                <w:color w:val="000000"/>
                <w:szCs w:val="21"/>
              </w:rPr>
              <w:t xml:space="preserve">3</w:t>
            </w:r>
            <w:r/>
          </w:p>
        </w:tc>
        <w:tc>
          <w:tcPr>
            <w:tcW w:w="1703" w:type="dxa"/>
            <w:vAlign w:val="top"/>
            <w:textDirection w:val="lrTb"/>
            <w:noWrap w:val="false"/>
          </w:tcPr>
          <w:p>
            <w:pPr>
              <w:pStyle w:val="895"/>
              <w:jc w:val="center"/>
              <w:rPr>
                <w:color w:val="000000"/>
                <w:szCs w:val="21"/>
              </w:rPr>
            </w:pPr>
            <w:r>
              <w:rPr>
                <w:color w:val="000000"/>
                <w:szCs w:val="21"/>
              </w:rPr>
            </w:r>
            <w:r/>
          </w:p>
        </w:tc>
        <w:tc>
          <w:tcPr>
            <w:tcW w:w="2386" w:type="dxa"/>
            <w:vAlign w:val="top"/>
            <w:textDirection w:val="lrTb"/>
            <w:noWrap w:val="false"/>
          </w:tcPr>
          <w:p>
            <w:pPr>
              <w:pStyle w:val="895"/>
              <w:jc w:val="center"/>
              <w:rPr>
                <w:color w:val="000000"/>
                <w:szCs w:val="21"/>
              </w:rPr>
            </w:pPr>
            <w:r>
              <w:rPr>
                <w:color w:val="000000"/>
                <w:szCs w:val="21"/>
              </w:rPr>
            </w:r>
            <w:r/>
          </w:p>
        </w:tc>
        <w:tc>
          <w:tcPr>
            <w:tcW w:w="2115" w:type="dxa"/>
            <w:vAlign w:val="top"/>
            <w:textDirection w:val="lrTb"/>
            <w:noWrap w:val="false"/>
          </w:tcPr>
          <w:p>
            <w:pPr>
              <w:pStyle w:val="895"/>
              <w:jc w:val="center"/>
              <w:rPr>
                <w:color w:val="000000"/>
                <w:szCs w:val="21"/>
              </w:rPr>
            </w:pPr>
            <w:r>
              <w:rPr>
                <w:color w:val="000000"/>
                <w:szCs w:val="21"/>
              </w:rPr>
            </w:r>
            <w:r/>
          </w:p>
        </w:tc>
        <w:tc>
          <w:tcPr>
            <w:tcW w:w="1749" w:type="dxa"/>
            <w:vAlign w:val="top"/>
            <w:textDirection w:val="lrTb"/>
            <w:noWrap w:val="false"/>
          </w:tcPr>
          <w:p>
            <w:pPr>
              <w:pStyle w:val="895"/>
              <w:jc w:val="center"/>
              <w:rPr>
                <w:color w:val="000000"/>
                <w:szCs w:val="21"/>
              </w:rPr>
            </w:pPr>
            <w:r>
              <w:rPr>
                <w:color w:val="000000"/>
                <w:szCs w:val="21"/>
              </w:rPr>
            </w:r>
            <w:r/>
          </w:p>
        </w:tc>
      </w:tr>
      <w:tr>
        <w:trPr>
          <w:trHeight w:val="395"/>
        </w:trPr>
        <w:tc>
          <w:tcPr>
            <w:tcW w:w="896" w:type="dxa"/>
            <w:vAlign w:val="top"/>
            <w:textDirection w:val="lrTb"/>
            <w:noWrap w:val="false"/>
          </w:tcPr>
          <w:p>
            <w:pPr>
              <w:pStyle w:val="895"/>
              <w:jc w:val="center"/>
              <w:rPr>
                <w:rFonts w:hint="eastAsia"/>
                <w:color w:val="000000"/>
                <w:szCs w:val="21"/>
              </w:rPr>
            </w:pPr>
            <w:r>
              <w:rPr>
                <w:rFonts w:hint="eastAsia"/>
                <w:color w:val="000000"/>
                <w:szCs w:val="21"/>
              </w:rPr>
              <w:t xml:space="preserve">4</w:t>
            </w:r>
            <w:r/>
          </w:p>
        </w:tc>
        <w:tc>
          <w:tcPr>
            <w:tcW w:w="1703" w:type="dxa"/>
            <w:vAlign w:val="top"/>
            <w:textDirection w:val="lrTb"/>
            <w:noWrap w:val="false"/>
          </w:tcPr>
          <w:p>
            <w:pPr>
              <w:pStyle w:val="895"/>
              <w:jc w:val="center"/>
              <w:rPr>
                <w:color w:val="000000"/>
                <w:szCs w:val="21"/>
              </w:rPr>
            </w:pPr>
            <w:r>
              <w:rPr>
                <w:color w:val="000000"/>
                <w:szCs w:val="21"/>
              </w:rPr>
            </w:r>
            <w:r/>
          </w:p>
        </w:tc>
        <w:tc>
          <w:tcPr>
            <w:tcW w:w="2386" w:type="dxa"/>
            <w:vAlign w:val="top"/>
            <w:textDirection w:val="lrTb"/>
            <w:noWrap w:val="false"/>
          </w:tcPr>
          <w:p>
            <w:pPr>
              <w:pStyle w:val="895"/>
              <w:jc w:val="center"/>
              <w:rPr>
                <w:color w:val="000000"/>
                <w:szCs w:val="21"/>
              </w:rPr>
            </w:pPr>
            <w:r>
              <w:rPr>
                <w:color w:val="000000"/>
                <w:szCs w:val="21"/>
              </w:rPr>
            </w:r>
            <w:r/>
          </w:p>
        </w:tc>
        <w:tc>
          <w:tcPr>
            <w:tcW w:w="2115" w:type="dxa"/>
            <w:vAlign w:val="top"/>
            <w:textDirection w:val="lrTb"/>
            <w:noWrap w:val="false"/>
          </w:tcPr>
          <w:p>
            <w:pPr>
              <w:pStyle w:val="895"/>
              <w:jc w:val="center"/>
              <w:rPr>
                <w:color w:val="000000"/>
                <w:szCs w:val="21"/>
              </w:rPr>
            </w:pPr>
            <w:r>
              <w:rPr>
                <w:color w:val="000000"/>
                <w:szCs w:val="21"/>
              </w:rPr>
            </w:r>
            <w:r/>
          </w:p>
        </w:tc>
        <w:tc>
          <w:tcPr>
            <w:tcW w:w="1749" w:type="dxa"/>
            <w:vAlign w:val="top"/>
            <w:textDirection w:val="lrTb"/>
            <w:noWrap w:val="false"/>
          </w:tcPr>
          <w:p>
            <w:pPr>
              <w:pStyle w:val="895"/>
              <w:jc w:val="center"/>
              <w:rPr>
                <w:color w:val="000000"/>
                <w:szCs w:val="21"/>
              </w:rPr>
            </w:pPr>
            <w:r>
              <w:rPr>
                <w:color w:val="000000"/>
                <w:szCs w:val="21"/>
              </w:rPr>
            </w:r>
            <w:r/>
          </w:p>
        </w:tc>
      </w:tr>
      <w:tr>
        <w:trPr>
          <w:trHeight w:val="415"/>
        </w:trPr>
        <w:tc>
          <w:tcPr>
            <w:tcW w:w="896" w:type="dxa"/>
            <w:vAlign w:val="top"/>
            <w:textDirection w:val="lrTb"/>
            <w:noWrap w:val="false"/>
          </w:tcPr>
          <w:p>
            <w:pPr>
              <w:pStyle w:val="895"/>
              <w:jc w:val="center"/>
              <w:rPr>
                <w:color w:val="000000"/>
                <w:szCs w:val="21"/>
              </w:rPr>
            </w:pPr>
            <w:r>
              <w:rPr>
                <w:color w:val="000000"/>
                <w:szCs w:val="21"/>
              </w:rPr>
            </w:r>
            <w:r/>
          </w:p>
        </w:tc>
        <w:tc>
          <w:tcPr>
            <w:tcW w:w="1703" w:type="dxa"/>
            <w:vAlign w:val="top"/>
            <w:textDirection w:val="lrTb"/>
            <w:noWrap w:val="false"/>
          </w:tcPr>
          <w:p>
            <w:pPr>
              <w:pStyle w:val="895"/>
              <w:jc w:val="center"/>
              <w:rPr>
                <w:color w:val="000000"/>
                <w:szCs w:val="21"/>
              </w:rPr>
            </w:pPr>
            <w:r>
              <w:rPr>
                <w:color w:val="000000"/>
                <w:szCs w:val="21"/>
              </w:rPr>
            </w:r>
            <w:r/>
          </w:p>
        </w:tc>
        <w:tc>
          <w:tcPr>
            <w:tcW w:w="2386" w:type="dxa"/>
            <w:vAlign w:val="top"/>
            <w:textDirection w:val="lrTb"/>
            <w:noWrap w:val="false"/>
          </w:tcPr>
          <w:p>
            <w:pPr>
              <w:pStyle w:val="895"/>
              <w:jc w:val="center"/>
              <w:rPr>
                <w:color w:val="000000"/>
                <w:szCs w:val="21"/>
              </w:rPr>
            </w:pPr>
            <w:r>
              <w:rPr>
                <w:color w:val="000000"/>
                <w:szCs w:val="21"/>
              </w:rPr>
            </w:r>
            <w:r/>
          </w:p>
        </w:tc>
        <w:tc>
          <w:tcPr>
            <w:tcW w:w="2115" w:type="dxa"/>
            <w:vAlign w:val="top"/>
            <w:textDirection w:val="lrTb"/>
            <w:noWrap w:val="false"/>
          </w:tcPr>
          <w:p>
            <w:pPr>
              <w:pStyle w:val="895"/>
              <w:jc w:val="center"/>
              <w:rPr>
                <w:color w:val="000000"/>
                <w:szCs w:val="21"/>
              </w:rPr>
            </w:pPr>
            <w:r>
              <w:rPr>
                <w:color w:val="000000"/>
                <w:szCs w:val="21"/>
              </w:rPr>
            </w:r>
            <w:r/>
          </w:p>
        </w:tc>
        <w:tc>
          <w:tcPr>
            <w:tcW w:w="1749" w:type="dxa"/>
            <w:vAlign w:val="top"/>
            <w:textDirection w:val="lrTb"/>
            <w:noWrap w:val="false"/>
          </w:tcPr>
          <w:p>
            <w:pPr>
              <w:pStyle w:val="895"/>
              <w:jc w:val="center"/>
              <w:rPr>
                <w:color w:val="000000"/>
                <w:szCs w:val="21"/>
              </w:rPr>
            </w:pPr>
            <w:r>
              <w:rPr>
                <w:color w:val="000000"/>
                <w:szCs w:val="21"/>
              </w:rPr>
            </w:r>
            <w:r/>
          </w:p>
        </w:tc>
      </w:tr>
      <w:tr>
        <w:trPr>
          <w:trHeight w:val="395"/>
        </w:trPr>
        <w:tc>
          <w:tcPr>
            <w:tcW w:w="896" w:type="dxa"/>
            <w:vAlign w:val="top"/>
            <w:textDirection w:val="lrTb"/>
            <w:noWrap w:val="false"/>
          </w:tcPr>
          <w:p>
            <w:pPr>
              <w:pStyle w:val="895"/>
              <w:jc w:val="center"/>
              <w:rPr>
                <w:color w:val="000000"/>
                <w:szCs w:val="21"/>
              </w:rPr>
            </w:pPr>
            <w:r>
              <w:rPr>
                <w:color w:val="000000"/>
                <w:szCs w:val="21"/>
              </w:rPr>
            </w:r>
            <w:r/>
          </w:p>
        </w:tc>
        <w:tc>
          <w:tcPr>
            <w:tcW w:w="1703" w:type="dxa"/>
            <w:vAlign w:val="top"/>
            <w:textDirection w:val="lrTb"/>
            <w:noWrap w:val="false"/>
          </w:tcPr>
          <w:p>
            <w:pPr>
              <w:pStyle w:val="895"/>
              <w:jc w:val="center"/>
              <w:rPr>
                <w:color w:val="000000"/>
                <w:szCs w:val="21"/>
              </w:rPr>
            </w:pPr>
            <w:r>
              <w:rPr>
                <w:color w:val="000000"/>
                <w:szCs w:val="21"/>
              </w:rPr>
            </w:r>
            <w:r/>
          </w:p>
        </w:tc>
        <w:tc>
          <w:tcPr>
            <w:tcW w:w="2386" w:type="dxa"/>
            <w:vAlign w:val="top"/>
            <w:textDirection w:val="lrTb"/>
            <w:noWrap w:val="false"/>
          </w:tcPr>
          <w:p>
            <w:pPr>
              <w:pStyle w:val="895"/>
              <w:jc w:val="center"/>
              <w:rPr>
                <w:color w:val="000000"/>
                <w:szCs w:val="21"/>
              </w:rPr>
            </w:pPr>
            <w:r>
              <w:rPr>
                <w:color w:val="000000"/>
                <w:szCs w:val="21"/>
              </w:rPr>
            </w:r>
            <w:r/>
          </w:p>
        </w:tc>
        <w:tc>
          <w:tcPr>
            <w:tcW w:w="2115" w:type="dxa"/>
            <w:vAlign w:val="top"/>
            <w:textDirection w:val="lrTb"/>
            <w:noWrap w:val="false"/>
          </w:tcPr>
          <w:p>
            <w:pPr>
              <w:pStyle w:val="895"/>
              <w:jc w:val="center"/>
              <w:rPr>
                <w:color w:val="000000"/>
                <w:szCs w:val="21"/>
              </w:rPr>
            </w:pPr>
            <w:r>
              <w:rPr>
                <w:color w:val="000000"/>
                <w:szCs w:val="21"/>
              </w:rPr>
            </w:r>
            <w:r/>
          </w:p>
        </w:tc>
        <w:tc>
          <w:tcPr>
            <w:tcW w:w="1749" w:type="dxa"/>
            <w:vAlign w:val="top"/>
            <w:textDirection w:val="lrTb"/>
            <w:noWrap w:val="false"/>
          </w:tcPr>
          <w:p>
            <w:pPr>
              <w:pStyle w:val="895"/>
              <w:jc w:val="center"/>
              <w:rPr>
                <w:color w:val="000000"/>
                <w:szCs w:val="21"/>
              </w:rPr>
            </w:pPr>
            <w:r>
              <w:rPr>
                <w:color w:val="000000"/>
                <w:szCs w:val="21"/>
              </w:rPr>
            </w:r>
            <w:r/>
          </w:p>
        </w:tc>
      </w:tr>
      <w:tr>
        <w:trPr>
          <w:trHeight w:val="415"/>
        </w:trPr>
        <w:tc>
          <w:tcPr>
            <w:tcW w:w="896" w:type="dxa"/>
            <w:vAlign w:val="top"/>
            <w:textDirection w:val="lrTb"/>
            <w:noWrap w:val="false"/>
          </w:tcPr>
          <w:p>
            <w:pPr>
              <w:pStyle w:val="895"/>
              <w:jc w:val="center"/>
              <w:rPr>
                <w:color w:val="000000"/>
                <w:szCs w:val="21"/>
              </w:rPr>
            </w:pPr>
            <w:r>
              <w:rPr>
                <w:rFonts w:hint="eastAsia"/>
                <w:color w:val="000000"/>
                <w:szCs w:val="21"/>
              </w:rPr>
              <w:t xml:space="preserve">合计</w:t>
            </w:r>
            <w:r>
              <w:rPr>
                <w:color w:val="000000"/>
                <w:szCs w:val="21"/>
              </w:rPr>
            </w:r>
            <w:r/>
          </w:p>
        </w:tc>
        <w:tc>
          <w:tcPr>
            <w:tcW w:w="1703" w:type="dxa"/>
            <w:vAlign w:val="top"/>
            <w:textDirection w:val="lrTb"/>
            <w:noWrap w:val="false"/>
          </w:tcPr>
          <w:p>
            <w:pPr>
              <w:pStyle w:val="895"/>
              <w:jc w:val="center"/>
              <w:rPr>
                <w:color w:val="000000"/>
                <w:szCs w:val="21"/>
              </w:rPr>
            </w:pPr>
            <w:r>
              <w:rPr>
                <w:color w:val="000000"/>
                <w:szCs w:val="21"/>
              </w:rPr>
            </w:r>
            <w:r/>
          </w:p>
        </w:tc>
        <w:tc>
          <w:tcPr>
            <w:tcW w:w="2386" w:type="dxa"/>
            <w:vAlign w:val="top"/>
            <w:textDirection w:val="lrTb"/>
            <w:noWrap w:val="false"/>
          </w:tcPr>
          <w:p>
            <w:pPr>
              <w:pStyle w:val="895"/>
              <w:jc w:val="center"/>
              <w:rPr>
                <w:color w:val="000000"/>
                <w:szCs w:val="21"/>
              </w:rPr>
            </w:pPr>
            <w:r>
              <w:rPr>
                <w:color w:val="000000"/>
                <w:szCs w:val="21"/>
              </w:rPr>
            </w:r>
            <w:r/>
          </w:p>
        </w:tc>
        <w:tc>
          <w:tcPr>
            <w:tcW w:w="2115" w:type="dxa"/>
            <w:vAlign w:val="top"/>
            <w:textDirection w:val="lrTb"/>
            <w:noWrap w:val="false"/>
          </w:tcPr>
          <w:p>
            <w:pPr>
              <w:pStyle w:val="895"/>
              <w:jc w:val="center"/>
              <w:rPr>
                <w:color w:val="000000"/>
                <w:szCs w:val="21"/>
              </w:rPr>
            </w:pPr>
            <w:r>
              <w:rPr>
                <w:color w:val="000000"/>
                <w:szCs w:val="21"/>
              </w:rPr>
            </w:r>
            <w:r/>
          </w:p>
        </w:tc>
        <w:tc>
          <w:tcPr>
            <w:tcW w:w="1749" w:type="dxa"/>
            <w:vAlign w:val="top"/>
            <w:textDirection w:val="lrTb"/>
            <w:noWrap w:val="false"/>
          </w:tcPr>
          <w:p>
            <w:pPr>
              <w:pStyle w:val="895"/>
              <w:jc w:val="center"/>
              <w:rPr>
                <w:color w:val="000000"/>
                <w:szCs w:val="21"/>
              </w:rPr>
            </w:pPr>
            <w:r>
              <w:rPr>
                <w:color w:val="000000"/>
                <w:szCs w:val="21"/>
              </w:rPr>
            </w:r>
            <w:r/>
          </w:p>
        </w:tc>
      </w:tr>
      <w:tr>
        <w:trPr>
          <w:trHeight w:val="415"/>
        </w:trPr>
        <w:tc>
          <w:tcPr>
            <w:gridSpan w:val="5"/>
            <w:tcW w:w="8849" w:type="dxa"/>
            <w:vAlign w:val="top"/>
            <w:textDirection w:val="lrTb"/>
            <w:noWrap w:val="false"/>
          </w:tcPr>
          <w:p>
            <w:pPr>
              <w:pStyle w:val="895"/>
              <w:jc w:val="left"/>
              <w:rPr>
                <w:color w:val="000000"/>
                <w:szCs w:val="21"/>
              </w:rPr>
            </w:pPr>
            <w:r>
              <w:rPr>
                <w:rFonts w:hint="eastAsia"/>
                <w:color w:val="000000"/>
                <w:szCs w:val="21"/>
              </w:rPr>
              <w:t xml:space="preserve">注：</w:t>
            </w:r>
            <w:r>
              <w:rPr>
                <w:color w:val="000000"/>
                <w:szCs w:val="21"/>
              </w:rPr>
            </w:r>
            <w:r/>
          </w:p>
        </w:tc>
      </w:tr>
    </w:tbl>
    <w:p>
      <w:pPr>
        <w:pStyle w:val="895"/>
        <w:spacing w:line="360" w:lineRule="auto"/>
        <w:rPr>
          <w:color w:val="000000"/>
          <w:sz w:val="28"/>
          <w:szCs w:val="28"/>
        </w:rPr>
      </w:pPr>
      <w:r>
        <w:rPr>
          <w:rFonts w:hint="eastAsia"/>
          <w:color w:val="000000"/>
          <w:szCs w:val="21"/>
        </w:rPr>
        <w:t xml:space="preserve">说明：本表</w:t>
      </w:r>
      <w:r>
        <w:rPr>
          <w:rFonts w:hint="eastAsia" w:hAnsi="宋体"/>
          <w:color w:val="000000"/>
          <w:szCs w:val="21"/>
        </w:rPr>
        <w:t xml:space="preserve">仅供参考，各投标单位应根据各标段评分标准要求提供对应的证明材料。</w:t>
      </w:r>
      <w:r>
        <w:rPr>
          <w:color w:val="000000"/>
          <w:sz w:val="28"/>
          <w:szCs w:val="28"/>
        </w:rPr>
      </w:r>
      <w:r/>
    </w:p>
    <w:p>
      <w:pPr>
        <w:pStyle w:val="895"/>
        <w:rPr>
          <w:color w:val="000000"/>
          <w:sz w:val="28"/>
          <w:szCs w:val="28"/>
        </w:rPr>
      </w:pPr>
      <w:r>
        <w:rPr>
          <w:color w:val="000000"/>
          <w:sz w:val="28"/>
          <w:szCs w:val="28"/>
        </w:rPr>
      </w:r>
      <w:r/>
    </w:p>
    <w:p>
      <w:pPr>
        <w:pStyle w:val="895"/>
        <w:rPr>
          <w:color w:val="000000"/>
        </w:rPr>
      </w:pPr>
      <w:r>
        <w:rPr>
          <w:color w:val="000000"/>
        </w:rPr>
      </w:r>
      <w:r/>
    </w:p>
    <w:p>
      <w:pPr>
        <w:pStyle w:val="895"/>
        <w:rPr>
          <w:rFonts w:ascii="宋体" w:hAnsi="宋体"/>
          <w:b/>
          <w:color w:val="000000"/>
          <w:sz w:val="24"/>
        </w:rPr>
      </w:pPr>
      <w:r>
        <w:rPr>
          <w:rFonts w:hint="eastAsia" w:ascii="宋体" w:hAnsi="宋体"/>
          <w:b/>
          <w:color w:val="000000"/>
          <w:sz w:val="24"/>
        </w:rPr>
        <w:t xml:space="preserve">附表1-5</w:t>
      </w:r>
      <w:r>
        <w:rPr>
          <w:rFonts w:ascii="宋体" w:hAnsi="宋体"/>
          <w:b/>
          <w:color w:val="000000"/>
          <w:sz w:val="24"/>
        </w:rPr>
      </w:r>
      <w:r/>
    </w:p>
    <w:p>
      <w:pPr>
        <w:pStyle w:val="895"/>
        <w:jc w:val="center"/>
        <w:rPr>
          <w:b/>
          <w:color w:val="000000"/>
          <w:sz w:val="28"/>
          <w:szCs w:val="28"/>
        </w:rPr>
      </w:pPr>
      <w:r>
        <w:rPr>
          <w:rFonts w:hint="eastAsia"/>
          <w:b/>
          <w:color w:val="000000"/>
          <w:sz w:val="28"/>
          <w:szCs w:val="28"/>
        </w:rPr>
        <w:t xml:space="preserve">实验室资质认定能力情况一览表</w:t>
      </w:r>
      <w:r>
        <w:rPr>
          <w:b/>
          <w:color w:val="000000"/>
          <w:sz w:val="28"/>
          <w:szCs w:val="28"/>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981"/>
        <w:gridCol w:w="1752"/>
        <w:gridCol w:w="3613"/>
        <w:gridCol w:w="1549"/>
      </w:tblGrid>
      <w:tr>
        <w:trPr>
          <w:trHeight w:val="432"/>
        </w:trPr>
        <w:tc>
          <w:tcPr>
            <w:tcW w:w="917" w:type="dxa"/>
            <w:vAlign w:val="top"/>
            <w:textDirection w:val="lrTb"/>
            <w:noWrap w:val="false"/>
          </w:tcPr>
          <w:p>
            <w:pPr>
              <w:pStyle w:val="895"/>
              <w:jc w:val="center"/>
              <w:rPr>
                <w:color w:val="000000"/>
                <w:szCs w:val="21"/>
              </w:rPr>
            </w:pPr>
            <w:r>
              <w:rPr>
                <w:rFonts w:hint="eastAsia"/>
                <w:color w:val="000000"/>
                <w:szCs w:val="21"/>
              </w:rPr>
              <w:t xml:space="preserve">序号</w:t>
            </w:r>
            <w:r>
              <w:rPr>
                <w:color w:val="000000"/>
                <w:szCs w:val="21"/>
              </w:rPr>
            </w:r>
            <w:r/>
          </w:p>
        </w:tc>
        <w:tc>
          <w:tcPr>
            <w:tcW w:w="981" w:type="dxa"/>
            <w:vAlign w:val="top"/>
            <w:textDirection w:val="lrTb"/>
            <w:noWrap w:val="false"/>
          </w:tcPr>
          <w:p>
            <w:pPr>
              <w:pStyle w:val="895"/>
              <w:jc w:val="center"/>
              <w:rPr>
                <w:color w:val="000000"/>
                <w:szCs w:val="21"/>
              </w:rPr>
            </w:pPr>
            <w:r>
              <w:rPr>
                <w:rFonts w:hint="eastAsia"/>
                <w:color w:val="000000"/>
                <w:szCs w:val="21"/>
              </w:rPr>
              <w:t xml:space="preserve">类别</w:t>
            </w:r>
            <w:r>
              <w:rPr>
                <w:color w:val="000000"/>
                <w:szCs w:val="21"/>
              </w:rPr>
            </w:r>
            <w:r/>
          </w:p>
        </w:tc>
        <w:tc>
          <w:tcPr>
            <w:tcW w:w="1752" w:type="dxa"/>
            <w:vAlign w:val="top"/>
            <w:textDirection w:val="lrTb"/>
            <w:noWrap w:val="false"/>
          </w:tcPr>
          <w:p>
            <w:pPr>
              <w:pStyle w:val="895"/>
              <w:jc w:val="center"/>
              <w:rPr>
                <w:color w:val="000000"/>
                <w:szCs w:val="21"/>
              </w:rPr>
            </w:pPr>
            <w:r>
              <w:rPr>
                <w:rFonts w:hint="eastAsia"/>
                <w:color w:val="000000"/>
                <w:szCs w:val="21"/>
              </w:rPr>
              <w:t xml:space="preserve">参数名称</w:t>
            </w:r>
            <w:r>
              <w:rPr>
                <w:color w:val="000000"/>
                <w:szCs w:val="21"/>
              </w:rPr>
            </w:r>
            <w:r/>
          </w:p>
        </w:tc>
        <w:tc>
          <w:tcPr>
            <w:tcW w:w="3613" w:type="dxa"/>
            <w:vAlign w:val="top"/>
            <w:textDirection w:val="lrTb"/>
            <w:noWrap w:val="false"/>
          </w:tcPr>
          <w:p>
            <w:pPr>
              <w:pStyle w:val="895"/>
              <w:jc w:val="center"/>
              <w:rPr>
                <w:color w:val="000000"/>
                <w:szCs w:val="21"/>
              </w:rPr>
            </w:pPr>
            <w:r>
              <w:rPr>
                <w:rFonts w:hint="eastAsia"/>
                <w:color w:val="000000"/>
                <w:szCs w:val="21"/>
              </w:rPr>
              <w:t xml:space="preserve">在资质认定证书中编号</w:t>
            </w:r>
            <w:r>
              <w:rPr>
                <w:color w:val="000000"/>
                <w:szCs w:val="21"/>
              </w:rPr>
            </w:r>
            <w:r/>
          </w:p>
        </w:tc>
        <w:tc>
          <w:tcPr>
            <w:tcW w:w="1549" w:type="dxa"/>
            <w:vAlign w:val="top"/>
            <w:textDirection w:val="lrTb"/>
            <w:noWrap w:val="false"/>
          </w:tcPr>
          <w:p>
            <w:pPr>
              <w:pStyle w:val="895"/>
              <w:jc w:val="center"/>
              <w:rPr>
                <w:color w:val="000000"/>
                <w:szCs w:val="21"/>
              </w:rPr>
            </w:pPr>
            <w:r>
              <w:rPr>
                <w:rFonts w:hint="eastAsia"/>
                <w:color w:val="000000"/>
                <w:szCs w:val="21"/>
              </w:rPr>
              <w:t xml:space="preserve">备注</w:t>
            </w:r>
            <w:r>
              <w:rPr>
                <w:color w:val="000000"/>
                <w:szCs w:val="21"/>
              </w:rPr>
            </w:r>
            <w:r/>
          </w:p>
        </w:tc>
      </w:tr>
      <w:tr>
        <w:trPr>
          <w:trHeight w:val="412"/>
        </w:trPr>
        <w:tc>
          <w:tcPr>
            <w:tcW w:w="917" w:type="dxa"/>
            <w:vAlign w:val="top"/>
            <w:textDirection w:val="lrTb"/>
            <w:noWrap w:val="false"/>
          </w:tcPr>
          <w:p>
            <w:pPr>
              <w:pStyle w:val="895"/>
              <w:jc w:val="center"/>
              <w:rPr>
                <w:color w:val="000000"/>
                <w:szCs w:val="21"/>
              </w:rPr>
            </w:pPr>
            <w:r>
              <w:rPr>
                <w:color w:val="000000"/>
                <w:szCs w:val="21"/>
              </w:rPr>
            </w:r>
            <w:r/>
          </w:p>
        </w:tc>
        <w:tc>
          <w:tcPr>
            <w:tcW w:w="981" w:type="dxa"/>
            <w:vAlign w:val="top"/>
            <w:textDirection w:val="lrTb"/>
            <w:noWrap w:val="false"/>
          </w:tcPr>
          <w:p>
            <w:pPr>
              <w:pStyle w:val="895"/>
              <w:jc w:val="center"/>
              <w:rPr>
                <w:color w:val="000000"/>
                <w:szCs w:val="21"/>
              </w:rPr>
            </w:pPr>
            <w:r>
              <w:rPr>
                <w:color w:val="000000"/>
                <w:szCs w:val="21"/>
              </w:rPr>
            </w:r>
            <w:r/>
          </w:p>
        </w:tc>
        <w:tc>
          <w:tcPr>
            <w:tcW w:w="1752" w:type="dxa"/>
            <w:vAlign w:val="top"/>
            <w:textDirection w:val="lrTb"/>
            <w:noWrap w:val="false"/>
          </w:tcPr>
          <w:p>
            <w:pPr>
              <w:pStyle w:val="895"/>
              <w:jc w:val="center"/>
              <w:rPr>
                <w:color w:val="000000"/>
                <w:szCs w:val="21"/>
              </w:rPr>
            </w:pPr>
            <w:r>
              <w:rPr>
                <w:color w:val="000000"/>
                <w:szCs w:val="21"/>
              </w:rPr>
            </w:r>
            <w:r/>
          </w:p>
        </w:tc>
        <w:tc>
          <w:tcPr>
            <w:tcW w:w="3613" w:type="dxa"/>
            <w:vAlign w:val="top"/>
            <w:textDirection w:val="lrTb"/>
            <w:noWrap w:val="false"/>
          </w:tcPr>
          <w:p>
            <w:pPr>
              <w:pStyle w:val="895"/>
              <w:jc w:val="center"/>
              <w:rPr>
                <w:color w:val="000000"/>
                <w:szCs w:val="21"/>
              </w:rPr>
            </w:pPr>
            <w:r>
              <w:rPr>
                <w:color w:val="000000"/>
                <w:szCs w:val="21"/>
              </w:rPr>
            </w:r>
            <w:r/>
          </w:p>
        </w:tc>
        <w:tc>
          <w:tcPr>
            <w:tcW w:w="1549" w:type="dxa"/>
            <w:vAlign w:val="top"/>
            <w:textDirection w:val="lrTb"/>
            <w:noWrap w:val="false"/>
          </w:tcPr>
          <w:p>
            <w:pPr>
              <w:pStyle w:val="895"/>
              <w:jc w:val="center"/>
              <w:rPr>
                <w:color w:val="000000"/>
                <w:szCs w:val="21"/>
              </w:rPr>
            </w:pPr>
            <w:r>
              <w:rPr>
                <w:color w:val="000000"/>
                <w:szCs w:val="21"/>
              </w:rPr>
            </w:r>
            <w:r/>
          </w:p>
        </w:tc>
      </w:tr>
      <w:tr>
        <w:trPr>
          <w:trHeight w:val="432"/>
        </w:trPr>
        <w:tc>
          <w:tcPr>
            <w:tcW w:w="917" w:type="dxa"/>
            <w:vAlign w:val="top"/>
            <w:textDirection w:val="lrTb"/>
            <w:noWrap w:val="false"/>
          </w:tcPr>
          <w:p>
            <w:pPr>
              <w:pStyle w:val="895"/>
              <w:jc w:val="center"/>
              <w:rPr>
                <w:color w:val="000000"/>
                <w:szCs w:val="21"/>
              </w:rPr>
            </w:pPr>
            <w:r>
              <w:rPr>
                <w:color w:val="000000"/>
                <w:szCs w:val="21"/>
              </w:rPr>
            </w:r>
            <w:r/>
          </w:p>
        </w:tc>
        <w:tc>
          <w:tcPr>
            <w:tcW w:w="981" w:type="dxa"/>
            <w:vAlign w:val="top"/>
            <w:textDirection w:val="lrTb"/>
            <w:noWrap w:val="false"/>
          </w:tcPr>
          <w:p>
            <w:pPr>
              <w:pStyle w:val="895"/>
              <w:jc w:val="center"/>
              <w:rPr>
                <w:color w:val="000000"/>
                <w:szCs w:val="21"/>
              </w:rPr>
            </w:pPr>
            <w:r>
              <w:rPr>
                <w:color w:val="000000"/>
                <w:szCs w:val="21"/>
              </w:rPr>
            </w:r>
            <w:r/>
          </w:p>
        </w:tc>
        <w:tc>
          <w:tcPr>
            <w:tcW w:w="1752" w:type="dxa"/>
            <w:vAlign w:val="top"/>
            <w:textDirection w:val="lrTb"/>
            <w:noWrap w:val="false"/>
          </w:tcPr>
          <w:p>
            <w:pPr>
              <w:pStyle w:val="895"/>
              <w:jc w:val="center"/>
              <w:rPr>
                <w:color w:val="000000"/>
                <w:szCs w:val="21"/>
              </w:rPr>
            </w:pPr>
            <w:r>
              <w:rPr>
                <w:color w:val="000000"/>
                <w:szCs w:val="21"/>
              </w:rPr>
            </w:r>
            <w:r/>
          </w:p>
        </w:tc>
        <w:tc>
          <w:tcPr>
            <w:tcW w:w="3613" w:type="dxa"/>
            <w:vAlign w:val="top"/>
            <w:textDirection w:val="lrTb"/>
            <w:noWrap w:val="false"/>
          </w:tcPr>
          <w:p>
            <w:pPr>
              <w:pStyle w:val="895"/>
              <w:jc w:val="center"/>
              <w:rPr>
                <w:color w:val="000000"/>
                <w:szCs w:val="21"/>
              </w:rPr>
            </w:pPr>
            <w:r>
              <w:rPr>
                <w:color w:val="000000"/>
                <w:szCs w:val="21"/>
              </w:rPr>
            </w:r>
            <w:r/>
          </w:p>
        </w:tc>
        <w:tc>
          <w:tcPr>
            <w:tcW w:w="1549" w:type="dxa"/>
            <w:vAlign w:val="top"/>
            <w:textDirection w:val="lrTb"/>
            <w:noWrap w:val="false"/>
          </w:tcPr>
          <w:p>
            <w:pPr>
              <w:pStyle w:val="895"/>
              <w:jc w:val="center"/>
              <w:rPr>
                <w:color w:val="000000"/>
                <w:szCs w:val="21"/>
              </w:rPr>
            </w:pPr>
            <w:r>
              <w:rPr>
                <w:color w:val="000000"/>
                <w:szCs w:val="21"/>
              </w:rPr>
            </w:r>
            <w:r/>
          </w:p>
        </w:tc>
      </w:tr>
      <w:tr>
        <w:trPr>
          <w:trHeight w:val="412"/>
        </w:trPr>
        <w:tc>
          <w:tcPr>
            <w:tcW w:w="917" w:type="dxa"/>
            <w:vAlign w:val="top"/>
            <w:textDirection w:val="lrTb"/>
            <w:noWrap w:val="false"/>
          </w:tcPr>
          <w:p>
            <w:pPr>
              <w:pStyle w:val="895"/>
              <w:jc w:val="center"/>
              <w:rPr>
                <w:color w:val="000000"/>
                <w:szCs w:val="21"/>
              </w:rPr>
            </w:pPr>
            <w:r>
              <w:rPr>
                <w:color w:val="000000"/>
                <w:szCs w:val="21"/>
              </w:rPr>
            </w:r>
            <w:r/>
          </w:p>
        </w:tc>
        <w:tc>
          <w:tcPr>
            <w:tcW w:w="981" w:type="dxa"/>
            <w:vAlign w:val="top"/>
            <w:textDirection w:val="lrTb"/>
            <w:noWrap w:val="false"/>
          </w:tcPr>
          <w:p>
            <w:pPr>
              <w:pStyle w:val="895"/>
              <w:jc w:val="center"/>
              <w:rPr>
                <w:color w:val="000000"/>
                <w:szCs w:val="21"/>
              </w:rPr>
            </w:pPr>
            <w:r>
              <w:rPr>
                <w:color w:val="000000"/>
                <w:szCs w:val="21"/>
              </w:rPr>
            </w:r>
            <w:r/>
          </w:p>
        </w:tc>
        <w:tc>
          <w:tcPr>
            <w:tcW w:w="1752" w:type="dxa"/>
            <w:vAlign w:val="top"/>
            <w:textDirection w:val="lrTb"/>
            <w:noWrap w:val="false"/>
          </w:tcPr>
          <w:p>
            <w:pPr>
              <w:pStyle w:val="895"/>
              <w:jc w:val="center"/>
              <w:rPr>
                <w:color w:val="000000"/>
                <w:szCs w:val="21"/>
              </w:rPr>
            </w:pPr>
            <w:r>
              <w:rPr>
                <w:color w:val="000000"/>
                <w:szCs w:val="21"/>
              </w:rPr>
            </w:r>
            <w:r/>
          </w:p>
        </w:tc>
        <w:tc>
          <w:tcPr>
            <w:tcW w:w="3613" w:type="dxa"/>
            <w:vAlign w:val="top"/>
            <w:textDirection w:val="lrTb"/>
            <w:noWrap w:val="false"/>
          </w:tcPr>
          <w:p>
            <w:pPr>
              <w:pStyle w:val="895"/>
              <w:jc w:val="center"/>
              <w:rPr>
                <w:color w:val="000000"/>
                <w:szCs w:val="21"/>
              </w:rPr>
            </w:pPr>
            <w:r>
              <w:rPr>
                <w:color w:val="000000"/>
                <w:szCs w:val="21"/>
              </w:rPr>
            </w:r>
            <w:r/>
          </w:p>
        </w:tc>
        <w:tc>
          <w:tcPr>
            <w:tcW w:w="1549" w:type="dxa"/>
            <w:vAlign w:val="top"/>
            <w:textDirection w:val="lrTb"/>
            <w:noWrap w:val="false"/>
          </w:tcPr>
          <w:p>
            <w:pPr>
              <w:pStyle w:val="895"/>
              <w:jc w:val="center"/>
              <w:rPr>
                <w:color w:val="000000"/>
                <w:szCs w:val="21"/>
              </w:rPr>
            </w:pPr>
            <w:r>
              <w:rPr>
                <w:color w:val="000000"/>
                <w:szCs w:val="21"/>
              </w:rPr>
            </w:r>
            <w:r/>
          </w:p>
        </w:tc>
      </w:tr>
      <w:tr>
        <w:trPr>
          <w:trHeight w:val="412"/>
        </w:trPr>
        <w:tc>
          <w:tcPr>
            <w:tcW w:w="917" w:type="dxa"/>
            <w:vAlign w:val="top"/>
            <w:textDirection w:val="lrTb"/>
            <w:noWrap w:val="false"/>
          </w:tcPr>
          <w:p>
            <w:pPr>
              <w:pStyle w:val="895"/>
              <w:jc w:val="center"/>
              <w:rPr>
                <w:color w:val="000000"/>
                <w:szCs w:val="21"/>
              </w:rPr>
            </w:pPr>
            <w:r>
              <w:rPr>
                <w:color w:val="000000"/>
                <w:szCs w:val="21"/>
              </w:rPr>
            </w:r>
            <w:r/>
          </w:p>
        </w:tc>
        <w:tc>
          <w:tcPr>
            <w:tcW w:w="981" w:type="dxa"/>
            <w:vAlign w:val="top"/>
            <w:textDirection w:val="lrTb"/>
            <w:noWrap w:val="false"/>
          </w:tcPr>
          <w:p>
            <w:pPr>
              <w:pStyle w:val="895"/>
              <w:jc w:val="center"/>
              <w:rPr>
                <w:color w:val="000000"/>
                <w:szCs w:val="21"/>
              </w:rPr>
            </w:pPr>
            <w:r>
              <w:rPr>
                <w:color w:val="000000"/>
                <w:szCs w:val="21"/>
              </w:rPr>
            </w:r>
            <w:r/>
          </w:p>
        </w:tc>
        <w:tc>
          <w:tcPr>
            <w:tcW w:w="1752" w:type="dxa"/>
            <w:vAlign w:val="top"/>
            <w:textDirection w:val="lrTb"/>
            <w:noWrap w:val="false"/>
          </w:tcPr>
          <w:p>
            <w:pPr>
              <w:pStyle w:val="895"/>
              <w:jc w:val="center"/>
              <w:rPr>
                <w:color w:val="000000"/>
                <w:szCs w:val="21"/>
              </w:rPr>
            </w:pPr>
            <w:r>
              <w:rPr>
                <w:color w:val="000000"/>
                <w:szCs w:val="21"/>
              </w:rPr>
            </w:r>
            <w:r/>
          </w:p>
        </w:tc>
        <w:tc>
          <w:tcPr>
            <w:tcW w:w="3613" w:type="dxa"/>
            <w:vAlign w:val="top"/>
            <w:textDirection w:val="lrTb"/>
            <w:noWrap w:val="false"/>
          </w:tcPr>
          <w:p>
            <w:pPr>
              <w:pStyle w:val="895"/>
              <w:jc w:val="center"/>
              <w:rPr>
                <w:color w:val="000000"/>
                <w:szCs w:val="21"/>
              </w:rPr>
            </w:pPr>
            <w:r>
              <w:rPr>
                <w:color w:val="000000"/>
                <w:szCs w:val="21"/>
              </w:rPr>
            </w:r>
            <w:r/>
          </w:p>
        </w:tc>
        <w:tc>
          <w:tcPr>
            <w:tcW w:w="1549" w:type="dxa"/>
            <w:vAlign w:val="top"/>
            <w:textDirection w:val="lrTb"/>
            <w:noWrap w:val="false"/>
          </w:tcPr>
          <w:p>
            <w:pPr>
              <w:pStyle w:val="895"/>
              <w:jc w:val="center"/>
              <w:rPr>
                <w:color w:val="000000"/>
                <w:szCs w:val="21"/>
              </w:rPr>
            </w:pPr>
            <w:r>
              <w:rPr>
                <w:color w:val="000000"/>
                <w:szCs w:val="21"/>
              </w:rPr>
            </w:r>
            <w:r/>
          </w:p>
        </w:tc>
      </w:tr>
      <w:tr>
        <w:trPr>
          <w:trHeight w:val="432"/>
        </w:trPr>
        <w:tc>
          <w:tcPr>
            <w:tcW w:w="917" w:type="dxa"/>
            <w:vAlign w:val="top"/>
            <w:textDirection w:val="lrTb"/>
            <w:noWrap w:val="false"/>
          </w:tcPr>
          <w:p>
            <w:pPr>
              <w:pStyle w:val="895"/>
              <w:jc w:val="center"/>
              <w:rPr>
                <w:color w:val="000000"/>
                <w:szCs w:val="21"/>
              </w:rPr>
            </w:pPr>
            <w:r>
              <w:rPr>
                <w:color w:val="000000"/>
                <w:szCs w:val="21"/>
              </w:rPr>
            </w:r>
            <w:r/>
          </w:p>
        </w:tc>
        <w:tc>
          <w:tcPr>
            <w:tcW w:w="981" w:type="dxa"/>
            <w:vAlign w:val="top"/>
            <w:textDirection w:val="lrTb"/>
            <w:noWrap w:val="false"/>
          </w:tcPr>
          <w:p>
            <w:pPr>
              <w:pStyle w:val="895"/>
              <w:jc w:val="center"/>
              <w:rPr>
                <w:color w:val="000000"/>
                <w:szCs w:val="21"/>
              </w:rPr>
            </w:pPr>
            <w:r>
              <w:rPr>
                <w:color w:val="000000"/>
                <w:szCs w:val="21"/>
              </w:rPr>
            </w:r>
            <w:r/>
          </w:p>
        </w:tc>
        <w:tc>
          <w:tcPr>
            <w:tcW w:w="1752" w:type="dxa"/>
            <w:vAlign w:val="top"/>
            <w:textDirection w:val="lrTb"/>
            <w:noWrap w:val="false"/>
          </w:tcPr>
          <w:p>
            <w:pPr>
              <w:pStyle w:val="895"/>
              <w:jc w:val="center"/>
              <w:rPr>
                <w:color w:val="000000"/>
                <w:szCs w:val="21"/>
              </w:rPr>
            </w:pPr>
            <w:r>
              <w:rPr>
                <w:color w:val="000000"/>
                <w:szCs w:val="21"/>
              </w:rPr>
            </w:r>
            <w:r/>
          </w:p>
        </w:tc>
        <w:tc>
          <w:tcPr>
            <w:tcW w:w="3613" w:type="dxa"/>
            <w:vAlign w:val="top"/>
            <w:textDirection w:val="lrTb"/>
            <w:noWrap w:val="false"/>
          </w:tcPr>
          <w:p>
            <w:pPr>
              <w:pStyle w:val="895"/>
              <w:jc w:val="center"/>
              <w:rPr>
                <w:color w:val="000000"/>
                <w:szCs w:val="21"/>
              </w:rPr>
            </w:pPr>
            <w:r>
              <w:rPr>
                <w:color w:val="000000"/>
                <w:szCs w:val="21"/>
              </w:rPr>
            </w:r>
            <w:r/>
          </w:p>
        </w:tc>
        <w:tc>
          <w:tcPr>
            <w:tcW w:w="1549" w:type="dxa"/>
            <w:vAlign w:val="top"/>
            <w:textDirection w:val="lrTb"/>
            <w:noWrap w:val="false"/>
          </w:tcPr>
          <w:p>
            <w:pPr>
              <w:pStyle w:val="895"/>
              <w:jc w:val="center"/>
              <w:rPr>
                <w:color w:val="000000"/>
                <w:szCs w:val="21"/>
              </w:rPr>
            </w:pPr>
            <w:r>
              <w:rPr>
                <w:color w:val="000000"/>
                <w:szCs w:val="21"/>
              </w:rPr>
            </w:r>
            <w:r/>
          </w:p>
        </w:tc>
      </w:tr>
      <w:tr>
        <w:trPr>
          <w:trHeight w:val="412"/>
        </w:trPr>
        <w:tc>
          <w:tcPr>
            <w:tcW w:w="917" w:type="dxa"/>
            <w:vAlign w:val="top"/>
            <w:textDirection w:val="lrTb"/>
            <w:noWrap w:val="false"/>
          </w:tcPr>
          <w:p>
            <w:pPr>
              <w:pStyle w:val="895"/>
              <w:jc w:val="center"/>
              <w:rPr>
                <w:color w:val="000000"/>
                <w:szCs w:val="21"/>
              </w:rPr>
            </w:pPr>
            <w:r>
              <w:rPr>
                <w:color w:val="000000"/>
                <w:szCs w:val="21"/>
              </w:rPr>
            </w:r>
            <w:r/>
          </w:p>
        </w:tc>
        <w:tc>
          <w:tcPr>
            <w:tcW w:w="981" w:type="dxa"/>
            <w:vAlign w:val="top"/>
            <w:textDirection w:val="lrTb"/>
            <w:noWrap w:val="false"/>
          </w:tcPr>
          <w:p>
            <w:pPr>
              <w:pStyle w:val="895"/>
              <w:jc w:val="center"/>
              <w:rPr>
                <w:color w:val="000000"/>
                <w:szCs w:val="21"/>
              </w:rPr>
            </w:pPr>
            <w:r>
              <w:rPr>
                <w:color w:val="000000"/>
                <w:szCs w:val="21"/>
              </w:rPr>
            </w:r>
            <w:r/>
          </w:p>
        </w:tc>
        <w:tc>
          <w:tcPr>
            <w:tcW w:w="1752" w:type="dxa"/>
            <w:vAlign w:val="top"/>
            <w:textDirection w:val="lrTb"/>
            <w:noWrap w:val="false"/>
          </w:tcPr>
          <w:p>
            <w:pPr>
              <w:pStyle w:val="895"/>
              <w:jc w:val="center"/>
              <w:rPr>
                <w:color w:val="000000"/>
                <w:szCs w:val="21"/>
              </w:rPr>
            </w:pPr>
            <w:r>
              <w:rPr>
                <w:color w:val="000000"/>
                <w:szCs w:val="21"/>
              </w:rPr>
            </w:r>
            <w:r/>
          </w:p>
        </w:tc>
        <w:tc>
          <w:tcPr>
            <w:tcW w:w="3613" w:type="dxa"/>
            <w:vAlign w:val="top"/>
            <w:textDirection w:val="lrTb"/>
            <w:noWrap w:val="false"/>
          </w:tcPr>
          <w:p>
            <w:pPr>
              <w:pStyle w:val="895"/>
              <w:jc w:val="center"/>
              <w:rPr>
                <w:color w:val="000000"/>
                <w:szCs w:val="21"/>
              </w:rPr>
            </w:pPr>
            <w:r>
              <w:rPr>
                <w:color w:val="000000"/>
                <w:szCs w:val="21"/>
              </w:rPr>
            </w:r>
            <w:r/>
          </w:p>
        </w:tc>
        <w:tc>
          <w:tcPr>
            <w:tcW w:w="1549" w:type="dxa"/>
            <w:vAlign w:val="top"/>
            <w:textDirection w:val="lrTb"/>
            <w:noWrap w:val="false"/>
          </w:tcPr>
          <w:p>
            <w:pPr>
              <w:pStyle w:val="895"/>
              <w:jc w:val="center"/>
              <w:rPr>
                <w:color w:val="000000"/>
                <w:szCs w:val="21"/>
              </w:rPr>
            </w:pPr>
            <w:r>
              <w:rPr>
                <w:color w:val="000000"/>
                <w:szCs w:val="21"/>
              </w:rPr>
            </w:r>
            <w:r/>
          </w:p>
        </w:tc>
      </w:tr>
      <w:tr>
        <w:trPr>
          <w:trHeight w:val="432"/>
        </w:trPr>
        <w:tc>
          <w:tcPr>
            <w:tcW w:w="917" w:type="dxa"/>
            <w:vAlign w:val="top"/>
            <w:textDirection w:val="lrTb"/>
            <w:noWrap w:val="false"/>
          </w:tcPr>
          <w:p>
            <w:pPr>
              <w:pStyle w:val="895"/>
              <w:jc w:val="center"/>
              <w:rPr>
                <w:color w:val="000000"/>
                <w:szCs w:val="21"/>
              </w:rPr>
            </w:pPr>
            <w:r>
              <w:rPr>
                <w:rFonts w:hint="eastAsia"/>
                <w:color w:val="000000"/>
                <w:szCs w:val="21"/>
              </w:rPr>
              <w:t xml:space="preserve">合计</w:t>
            </w:r>
            <w:r>
              <w:rPr>
                <w:color w:val="000000"/>
                <w:szCs w:val="21"/>
              </w:rPr>
            </w:r>
            <w:r/>
          </w:p>
        </w:tc>
        <w:tc>
          <w:tcPr>
            <w:tcW w:w="981" w:type="dxa"/>
            <w:vAlign w:val="top"/>
            <w:textDirection w:val="lrTb"/>
            <w:noWrap w:val="false"/>
          </w:tcPr>
          <w:p>
            <w:pPr>
              <w:pStyle w:val="895"/>
              <w:jc w:val="center"/>
              <w:rPr>
                <w:color w:val="000000"/>
                <w:szCs w:val="21"/>
              </w:rPr>
            </w:pPr>
            <w:r>
              <w:rPr>
                <w:color w:val="000000"/>
                <w:szCs w:val="21"/>
              </w:rPr>
            </w:r>
            <w:r/>
          </w:p>
        </w:tc>
        <w:tc>
          <w:tcPr>
            <w:tcW w:w="1752" w:type="dxa"/>
            <w:vAlign w:val="top"/>
            <w:textDirection w:val="lrTb"/>
            <w:noWrap w:val="false"/>
          </w:tcPr>
          <w:p>
            <w:pPr>
              <w:pStyle w:val="895"/>
              <w:jc w:val="center"/>
              <w:rPr>
                <w:color w:val="000000"/>
                <w:szCs w:val="21"/>
              </w:rPr>
            </w:pPr>
            <w:r>
              <w:rPr>
                <w:color w:val="000000"/>
                <w:szCs w:val="21"/>
              </w:rPr>
            </w:r>
            <w:r/>
          </w:p>
        </w:tc>
        <w:tc>
          <w:tcPr>
            <w:tcW w:w="3613" w:type="dxa"/>
            <w:vAlign w:val="top"/>
            <w:textDirection w:val="lrTb"/>
            <w:noWrap w:val="false"/>
          </w:tcPr>
          <w:p>
            <w:pPr>
              <w:pStyle w:val="895"/>
              <w:jc w:val="center"/>
              <w:rPr>
                <w:color w:val="000000"/>
                <w:szCs w:val="21"/>
              </w:rPr>
            </w:pPr>
            <w:r>
              <w:rPr>
                <w:color w:val="000000"/>
                <w:szCs w:val="21"/>
              </w:rPr>
            </w:r>
            <w:r/>
          </w:p>
        </w:tc>
        <w:tc>
          <w:tcPr>
            <w:tcW w:w="1549" w:type="dxa"/>
            <w:vAlign w:val="top"/>
            <w:textDirection w:val="lrTb"/>
            <w:noWrap w:val="false"/>
          </w:tcPr>
          <w:p>
            <w:pPr>
              <w:pStyle w:val="895"/>
              <w:jc w:val="center"/>
              <w:rPr>
                <w:color w:val="000000"/>
                <w:szCs w:val="21"/>
              </w:rPr>
            </w:pPr>
            <w:r>
              <w:rPr>
                <w:color w:val="000000"/>
                <w:szCs w:val="21"/>
              </w:rPr>
            </w:r>
            <w:r/>
          </w:p>
        </w:tc>
      </w:tr>
      <w:tr>
        <w:trPr>
          <w:trHeight w:val="432"/>
        </w:trPr>
        <w:tc>
          <w:tcPr>
            <w:gridSpan w:val="5"/>
            <w:tcW w:w="8812" w:type="dxa"/>
            <w:vAlign w:val="top"/>
            <w:textDirection w:val="lrTb"/>
            <w:noWrap w:val="false"/>
          </w:tcPr>
          <w:p>
            <w:pPr>
              <w:pStyle w:val="895"/>
              <w:jc w:val="left"/>
              <w:rPr>
                <w:color w:val="000000"/>
                <w:szCs w:val="21"/>
              </w:rPr>
            </w:pPr>
            <w:r>
              <w:rPr>
                <w:rFonts w:hint="eastAsia"/>
                <w:color w:val="000000"/>
                <w:szCs w:val="21"/>
              </w:rPr>
              <w:t xml:space="preserve">注：通过实验室资质认定能力的环境类项目          共</w:t>
            </w:r>
            <w:r>
              <w:rPr>
                <w:rFonts w:hint="eastAsia"/>
                <w:color w:val="000000"/>
                <w:szCs w:val="21"/>
                <w:u w:val="single"/>
              </w:rPr>
              <w:t xml:space="preserve">     </w:t>
            </w:r>
            <w:r>
              <w:rPr>
                <w:rFonts w:hint="eastAsia"/>
                <w:color w:val="000000"/>
                <w:szCs w:val="21"/>
              </w:rPr>
              <w:t xml:space="preserve">项，......。</w:t>
            </w:r>
            <w:r>
              <w:rPr>
                <w:color w:val="000000"/>
                <w:szCs w:val="21"/>
              </w:rPr>
            </w:r>
            <w:r/>
          </w:p>
        </w:tc>
      </w:tr>
    </w:tbl>
    <w:p>
      <w:pPr>
        <w:pStyle w:val="895"/>
        <w:spacing w:line="360" w:lineRule="auto"/>
        <w:rPr>
          <w:color w:val="000000"/>
          <w:sz w:val="28"/>
          <w:szCs w:val="28"/>
        </w:rPr>
      </w:pPr>
      <w:r>
        <w:rPr>
          <w:rFonts w:hint="eastAsia"/>
          <w:color w:val="000000"/>
          <w:szCs w:val="21"/>
        </w:rPr>
        <w:t xml:space="preserve">说明：本表</w:t>
      </w:r>
      <w:r>
        <w:rPr>
          <w:rFonts w:hint="eastAsia" w:hAnsi="宋体"/>
          <w:color w:val="000000"/>
          <w:szCs w:val="21"/>
        </w:rPr>
        <w:t xml:space="preserve">仅供参考，各投标单位应根据各标段评分标准要求提供对应的材料或说明。</w:t>
      </w:r>
      <w:r>
        <w:rPr>
          <w:color w:val="000000"/>
          <w:sz w:val="28"/>
          <w:szCs w:val="28"/>
        </w:rPr>
      </w:r>
      <w:r/>
    </w:p>
    <w:p>
      <w:pPr>
        <w:pStyle w:val="895"/>
        <w:rPr>
          <w:color w:val="000000"/>
        </w:rPr>
      </w:pPr>
      <w:r>
        <w:rPr>
          <w:color w:val="000000"/>
          <w:sz w:val="28"/>
          <w:szCs w:val="28"/>
        </w:rPr>
        <w:br w:type="page" w:clear="all"/>
      </w:r>
      <w:r>
        <w:rPr>
          <w:color w:val="000000"/>
        </w:rPr>
      </w:r>
      <w:r/>
    </w:p>
    <w:p>
      <w:pPr>
        <w:pStyle w:val="895"/>
        <w:rPr>
          <w:rFonts w:hint="eastAsia" w:ascii="宋体" w:hAnsi="宋体"/>
          <w:b/>
          <w:color w:val="000000"/>
          <w:sz w:val="24"/>
        </w:rPr>
      </w:pPr>
      <w:r>
        <w:rPr>
          <w:rFonts w:hint="eastAsia" w:ascii="宋体" w:hAnsi="宋体"/>
          <w:b/>
          <w:color w:val="000000"/>
          <w:sz w:val="24"/>
        </w:rPr>
        <w:t xml:space="preserve">附表1-6</w:t>
      </w:r>
      <w:r/>
    </w:p>
    <w:p>
      <w:pPr>
        <w:pStyle w:val="895"/>
        <w:jc w:val="center"/>
        <w:rPr>
          <w:b/>
          <w:color w:val="000000"/>
          <w:sz w:val="28"/>
          <w:szCs w:val="28"/>
        </w:rPr>
      </w:pPr>
      <w:r>
        <w:rPr>
          <w:rFonts w:hint="eastAsia"/>
          <w:b/>
          <w:color w:val="000000"/>
          <w:sz w:val="28"/>
          <w:szCs w:val="28"/>
        </w:rPr>
        <w:t xml:space="preserve">二噁英类资质能力情况一览表</w:t>
      </w:r>
      <w:r>
        <w:rPr>
          <w:b/>
          <w:color w:val="000000"/>
          <w:sz w:val="28"/>
          <w:szCs w:val="28"/>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230"/>
        <w:gridCol w:w="1833"/>
        <w:gridCol w:w="3066"/>
        <w:gridCol w:w="1496"/>
      </w:tblGrid>
      <w:tr>
        <w:trPr>
          <w:trHeight w:val="583"/>
        </w:trPr>
        <w:tc>
          <w:tcPr>
            <w:tcW w:w="885" w:type="dxa"/>
            <w:vAlign w:val="top"/>
            <w:textDirection w:val="lrTb"/>
            <w:noWrap w:val="false"/>
          </w:tcPr>
          <w:p>
            <w:pPr>
              <w:pStyle w:val="895"/>
              <w:jc w:val="center"/>
              <w:rPr>
                <w:b/>
                <w:color w:val="000000"/>
                <w:szCs w:val="21"/>
              </w:rPr>
            </w:pPr>
            <w:r>
              <w:rPr>
                <w:rFonts w:hint="eastAsia"/>
                <w:b/>
                <w:color w:val="000000"/>
                <w:szCs w:val="21"/>
              </w:rPr>
              <w:t xml:space="preserve">序号</w:t>
            </w:r>
            <w:r>
              <w:rPr>
                <w:b/>
                <w:color w:val="000000"/>
                <w:szCs w:val="21"/>
              </w:rPr>
            </w:r>
            <w:r/>
          </w:p>
        </w:tc>
        <w:tc>
          <w:tcPr>
            <w:tcW w:w="1230" w:type="dxa"/>
            <w:vAlign w:val="top"/>
            <w:textDirection w:val="lrTb"/>
            <w:noWrap w:val="false"/>
          </w:tcPr>
          <w:p>
            <w:pPr>
              <w:pStyle w:val="895"/>
              <w:jc w:val="center"/>
              <w:rPr>
                <w:b/>
                <w:color w:val="000000"/>
                <w:szCs w:val="21"/>
              </w:rPr>
            </w:pPr>
            <w:r>
              <w:rPr>
                <w:rFonts w:hint="eastAsia"/>
                <w:b/>
                <w:color w:val="000000"/>
                <w:szCs w:val="21"/>
              </w:rPr>
              <w:t xml:space="preserve">类别</w:t>
            </w:r>
            <w:r>
              <w:rPr>
                <w:b/>
                <w:color w:val="000000"/>
                <w:szCs w:val="21"/>
              </w:rPr>
            </w:r>
            <w:r/>
          </w:p>
        </w:tc>
        <w:tc>
          <w:tcPr>
            <w:tcW w:w="1833" w:type="dxa"/>
            <w:vAlign w:val="top"/>
            <w:textDirection w:val="lrTb"/>
            <w:noWrap w:val="false"/>
          </w:tcPr>
          <w:p>
            <w:pPr>
              <w:pStyle w:val="895"/>
              <w:jc w:val="center"/>
              <w:rPr>
                <w:b/>
                <w:color w:val="000000"/>
                <w:szCs w:val="21"/>
              </w:rPr>
            </w:pPr>
            <w:r>
              <w:rPr>
                <w:rFonts w:hint="eastAsia"/>
                <w:b/>
                <w:color w:val="000000"/>
                <w:szCs w:val="21"/>
              </w:rPr>
              <w:t xml:space="preserve">参数名称</w:t>
            </w:r>
            <w:r>
              <w:rPr>
                <w:b/>
                <w:color w:val="000000"/>
                <w:szCs w:val="21"/>
              </w:rPr>
            </w:r>
            <w:r/>
          </w:p>
        </w:tc>
        <w:tc>
          <w:tcPr>
            <w:tcW w:w="3066" w:type="dxa"/>
            <w:vAlign w:val="top"/>
            <w:textDirection w:val="lrTb"/>
            <w:noWrap w:val="false"/>
          </w:tcPr>
          <w:p>
            <w:pPr>
              <w:pStyle w:val="895"/>
              <w:jc w:val="center"/>
              <w:rPr>
                <w:b/>
                <w:color w:val="000000"/>
                <w:szCs w:val="21"/>
              </w:rPr>
            </w:pPr>
            <w:r>
              <w:rPr>
                <w:rFonts w:hint="eastAsia"/>
                <w:b/>
                <w:color w:val="000000"/>
                <w:szCs w:val="21"/>
              </w:rPr>
              <w:t xml:space="preserve">在资质认定证书中编号</w:t>
            </w:r>
            <w:r>
              <w:rPr>
                <w:b/>
                <w:color w:val="000000"/>
                <w:szCs w:val="21"/>
              </w:rPr>
            </w:r>
            <w:r/>
          </w:p>
        </w:tc>
        <w:tc>
          <w:tcPr>
            <w:tcW w:w="1496" w:type="dxa"/>
            <w:vAlign w:val="top"/>
            <w:textDirection w:val="lrTb"/>
            <w:noWrap w:val="false"/>
          </w:tcPr>
          <w:p>
            <w:pPr>
              <w:pStyle w:val="895"/>
              <w:jc w:val="center"/>
              <w:rPr>
                <w:b/>
                <w:color w:val="000000"/>
                <w:szCs w:val="21"/>
              </w:rPr>
            </w:pPr>
            <w:r>
              <w:rPr>
                <w:rFonts w:hint="eastAsia"/>
                <w:b/>
                <w:color w:val="000000"/>
                <w:szCs w:val="21"/>
              </w:rPr>
              <w:t xml:space="preserve">备注</w:t>
            </w:r>
            <w:r>
              <w:rPr>
                <w:b/>
                <w:color w:val="000000"/>
                <w:szCs w:val="21"/>
              </w:rPr>
            </w:r>
            <w:r/>
          </w:p>
        </w:tc>
      </w:tr>
      <w:tr>
        <w:trPr>
          <w:trHeight w:val="437"/>
        </w:trPr>
        <w:tc>
          <w:tcPr>
            <w:tcW w:w="885" w:type="dxa"/>
            <w:vAlign w:val="top"/>
            <w:textDirection w:val="lrTb"/>
            <w:noWrap w:val="false"/>
          </w:tcPr>
          <w:p>
            <w:pPr>
              <w:pStyle w:val="895"/>
              <w:jc w:val="center"/>
              <w:rPr>
                <w:color w:val="000000"/>
                <w:szCs w:val="21"/>
              </w:rPr>
            </w:pPr>
            <w:r>
              <w:rPr>
                <w:color w:val="000000"/>
                <w:szCs w:val="21"/>
              </w:rPr>
            </w:r>
            <w:r/>
          </w:p>
        </w:tc>
        <w:tc>
          <w:tcPr>
            <w:tcW w:w="1230" w:type="dxa"/>
            <w:vAlign w:val="top"/>
            <w:textDirection w:val="lrTb"/>
            <w:noWrap w:val="false"/>
          </w:tcPr>
          <w:p>
            <w:pPr>
              <w:pStyle w:val="895"/>
              <w:jc w:val="center"/>
              <w:rPr>
                <w:color w:val="000000"/>
                <w:szCs w:val="21"/>
              </w:rPr>
            </w:pPr>
            <w:r>
              <w:rPr>
                <w:color w:val="000000"/>
                <w:szCs w:val="21"/>
              </w:rPr>
            </w:r>
            <w:r/>
          </w:p>
        </w:tc>
        <w:tc>
          <w:tcPr>
            <w:tcW w:w="1833" w:type="dxa"/>
            <w:vAlign w:val="top"/>
            <w:textDirection w:val="lrTb"/>
            <w:noWrap w:val="false"/>
          </w:tcPr>
          <w:p>
            <w:pPr>
              <w:pStyle w:val="895"/>
              <w:jc w:val="center"/>
              <w:rPr>
                <w:color w:val="000000"/>
                <w:szCs w:val="21"/>
              </w:rPr>
            </w:pPr>
            <w:r>
              <w:rPr>
                <w:color w:val="000000"/>
                <w:szCs w:val="21"/>
              </w:rPr>
            </w:r>
            <w:r/>
          </w:p>
        </w:tc>
        <w:tc>
          <w:tcPr>
            <w:tcW w:w="3066" w:type="dxa"/>
            <w:vAlign w:val="top"/>
            <w:textDirection w:val="lrTb"/>
            <w:noWrap w:val="false"/>
          </w:tcPr>
          <w:p>
            <w:pPr>
              <w:pStyle w:val="895"/>
              <w:jc w:val="center"/>
              <w:rPr>
                <w:color w:val="000000"/>
                <w:szCs w:val="21"/>
              </w:rPr>
            </w:pPr>
            <w:r>
              <w:rPr>
                <w:color w:val="000000"/>
                <w:szCs w:val="21"/>
              </w:rPr>
            </w:r>
            <w:r/>
          </w:p>
        </w:tc>
        <w:tc>
          <w:tcPr>
            <w:tcW w:w="1496" w:type="dxa"/>
            <w:vAlign w:val="top"/>
            <w:textDirection w:val="lrTb"/>
            <w:noWrap w:val="false"/>
          </w:tcPr>
          <w:p>
            <w:pPr>
              <w:pStyle w:val="895"/>
              <w:jc w:val="center"/>
              <w:rPr>
                <w:color w:val="000000"/>
                <w:szCs w:val="21"/>
              </w:rPr>
            </w:pPr>
            <w:r>
              <w:rPr>
                <w:color w:val="000000"/>
                <w:szCs w:val="21"/>
              </w:rPr>
            </w:r>
            <w:r/>
          </w:p>
        </w:tc>
      </w:tr>
      <w:tr>
        <w:trPr>
          <w:trHeight w:val="417"/>
        </w:trPr>
        <w:tc>
          <w:tcPr>
            <w:tcW w:w="885" w:type="dxa"/>
            <w:vAlign w:val="top"/>
            <w:textDirection w:val="lrTb"/>
            <w:noWrap w:val="false"/>
          </w:tcPr>
          <w:p>
            <w:pPr>
              <w:pStyle w:val="895"/>
              <w:jc w:val="center"/>
              <w:rPr>
                <w:color w:val="000000"/>
                <w:szCs w:val="21"/>
              </w:rPr>
            </w:pPr>
            <w:r>
              <w:rPr>
                <w:color w:val="000000"/>
                <w:szCs w:val="21"/>
              </w:rPr>
            </w:r>
            <w:r/>
          </w:p>
        </w:tc>
        <w:tc>
          <w:tcPr>
            <w:tcW w:w="1230" w:type="dxa"/>
            <w:vAlign w:val="top"/>
            <w:textDirection w:val="lrTb"/>
            <w:noWrap w:val="false"/>
          </w:tcPr>
          <w:p>
            <w:pPr>
              <w:pStyle w:val="895"/>
              <w:jc w:val="center"/>
              <w:rPr>
                <w:color w:val="000000"/>
                <w:szCs w:val="21"/>
              </w:rPr>
            </w:pPr>
            <w:r>
              <w:rPr>
                <w:color w:val="000000"/>
                <w:szCs w:val="21"/>
              </w:rPr>
            </w:r>
            <w:r/>
          </w:p>
        </w:tc>
        <w:tc>
          <w:tcPr>
            <w:tcW w:w="1833" w:type="dxa"/>
            <w:vAlign w:val="top"/>
            <w:textDirection w:val="lrTb"/>
            <w:noWrap w:val="false"/>
          </w:tcPr>
          <w:p>
            <w:pPr>
              <w:pStyle w:val="895"/>
              <w:jc w:val="center"/>
              <w:rPr>
                <w:color w:val="000000"/>
                <w:szCs w:val="21"/>
              </w:rPr>
            </w:pPr>
            <w:r>
              <w:rPr>
                <w:color w:val="000000"/>
                <w:szCs w:val="21"/>
              </w:rPr>
            </w:r>
            <w:r/>
          </w:p>
        </w:tc>
        <w:tc>
          <w:tcPr>
            <w:tcW w:w="3066" w:type="dxa"/>
            <w:vAlign w:val="top"/>
            <w:textDirection w:val="lrTb"/>
            <w:noWrap w:val="false"/>
          </w:tcPr>
          <w:p>
            <w:pPr>
              <w:pStyle w:val="895"/>
              <w:jc w:val="center"/>
              <w:rPr>
                <w:color w:val="000000"/>
                <w:szCs w:val="21"/>
              </w:rPr>
            </w:pPr>
            <w:r>
              <w:rPr>
                <w:color w:val="000000"/>
                <w:szCs w:val="21"/>
              </w:rPr>
            </w:r>
            <w:r/>
          </w:p>
        </w:tc>
        <w:tc>
          <w:tcPr>
            <w:tcW w:w="1496" w:type="dxa"/>
            <w:vAlign w:val="top"/>
            <w:textDirection w:val="lrTb"/>
            <w:noWrap w:val="false"/>
          </w:tcPr>
          <w:p>
            <w:pPr>
              <w:pStyle w:val="895"/>
              <w:jc w:val="center"/>
              <w:rPr>
                <w:color w:val="000000"/>
                <w:szCs w:val="21"/>
              </w:rPr>
            </w:pPr>
            <w:r>
              <w:rPr>
                <w:color w:val="000000"/>
                <w:szCs w:val="21"/>
              </w:rPr>
            </w:r>
            <w:r/>
          </w:p>
        </w:tc>
      </w:tr>
      <w:tr>
        <w:trPr>
          <w:trHeight w:val="437"/>
        </w:trPr>
        <w:tc>
          <w:tcPr>
            <w:tcW w:w="885" w:type="dxa"/>
            <w:vAlign w:val="top"/>
            <w:textDirection w:val="lrTb"/>
            <w:noWrap w:val="false"/>
          </w:tcPr>
          <w:p>
            <w:pPr>
              <w:pStyle w:val="895"/>
              <w:jc w:val="center"/>
              <w:rPr>
                <w:color w:val="000000"/>
                <w:szCs w:val="21"/>
              </w:rPr>
            </w:pPr>
            <w:r>
              <w:rPr>
                <w:color w:val="000000"/>
                <w:szCs w:val="21"/>
              </w:rPr>
            </w:r>
            <w:r/>
          </w:p>
        </w:tc>
        <w:tc>
          <w:tcPr>
            <w:tcW w:w="1230" w:type="dxa"/>
            <w:vAlign w:val="top"/>
            <w:textDirection w:val="lrTb"/>
            <w:noWrap w:val="false"/>
          </w:tcPr>
          <w:p>
            <w:pPr>
              <w:pStyle w:val="895"/>
              <w:jc w:val="center"/>
              <w:rPr>
                <w:color w:val="000000"/>
                <w:szCs w:val="21"/>
              </w:rPr>
            </w:pPr>
            <w:r>
              <w:rPr>
                <w:color w:val="000000"/>
                <w:szCs w:val="21"/>
              </w:rPr>
            </w:r>
            <w:r/>
          </w:p>
        </w:tc>
        <w:tc>
          <w:tcPr>
            <w:tcW w:w="1833" w:type="dxa"/>
            <w:vAlign w:val="top"/>
            <w:textDirection w:val="lrTb"/>
            <w:noWrap w:val="false"/>
          </w:tcPr>
          <w:p>
            <w:pPr>
              <w:pStyle w:val="895"/>
              <w:jc w:val="center"/>
              <w:rPr>
                <w:color w:val="000000"/>
                <w:szCs w:val="21"/>
              </w:rPr>
            </w:pPr>
            <w:r>
              <w:rPr>
                <w:color w:val="000000"/>
                <w:szCs w:val="21"/>
              </w:rPr>
            </w:r>
            <w:r/>
          </w:p>
        </w:tc>
        <w:tc>
          <w:tcPr>
            <w:tcW w:w="3066" w:type="dxa"/>
            <w:vAlign w:val="top"/>
            <w:textDirection w:val="lrTb"/>
            <w:noWrap w:val="false"/>
          </w:tcPr>
          <w:p>
            <w:pPr>
              <w:pStyle w:val="895"/>
              <w:jc w:val="center"/>
              <w:rPr>
                <w:color w:val="000000"/>
                <w:szCs w:val="21"/>
              </w:rPr>
            </w:pPr>
            <w:r>
              <w:rPr>
                <w:color w:val="000000"/>
                <w:szCs w:val="21"/>
              </w:rPr>
            </w:r>
            <w:r/>
          </w:p>
        </w:tc>
        <w:tc>
          <w:tcPr>
            <w:tcW w:w="1496" w:type="dxa"/>
            <w:vAlign w:val="top"/>
            <w:textDirection w:val="lrTb"/>
            <w:noWrap w:val="false"/>
          </w:tcPr>
          <w:p>
            <w:pPr>
              <w:pStyle w:val="895"/>
              <w:jc w:val="center"/>
              <w:rPr>
                <w:color w:val="000000"/>
                <w:szCs w:val="21"/>
              </w:rPr>
            </w:pPr>
            <w:r>
              <w:rPr>
                <w:color w:val="000000"/>
                <w:szCs w:val="21"/>
              </w:rPr>
            </w:r>
            <w:r/>
          </w:p>
        </w:tc>
      </w:tr>
      <w:tr>
        <w:trPr>
          <w:trHeight w:val="417"/>
        </w:trPr>
        <w:tc>
          <w:tcPr>
            <w:tcW w:w="885" w:type="dxa"/>
            <w:vAlign w:val="top"/>
            <w:textDirection w:val="lrTb"/>
            <w:noWrap w:val="false"/>
          </w:tcPr>
          <w:p>
            <w:pPr>
              <w:pStyle w:val="895"/>
              <w:jc w:val="center"/>
              <w:rPr>
                <w:color w:val="000000"/>
                <w:szCs w:val="21"/>
              </w:rPr>
            </w:pPr>
            <w:r>
              <w:rPr>
                <w:color w:val="000000"/>
                <w:szCs w:val="21"/>
              </w:rPr>
            </w:r>
            <w:r/>
          </w:p>
        </w:tc>
        <w:tc>
          <w:tcPr>
            <w:tcW w:w="1230" w:type="dxa"/>
            <w:vAlign w:val="top"/>
            <w:textDirection w:val="lrTb"/>
            <w:noWrap w:val="false"/>
          </w:tcPr>
          <w:p>
            <w:pPr>
              <w:pStyle w:val="895"/>
              <w:jc w:val="center"/>
              <w:rPr>
                <w:color w:val="000000"/>
                <w:szCs w:val="21"/>
              </w:rPr>
            </w:pPr>
            <w:r>
              <w:rPr>
                <w:color w:val="000000"/>
                <w:szCs w:val="21"/>
              </w:rPr>
            </w:r>
            <w:r/>
          </w:p>
        </w:tc>
        <w:tc>
          <w:tcPr>
            <w:tcW w:w="1833" w:type="dxa"/>
            <w:vAlign w:val="top"/>
            <w:textDirection w:val="lrTb"/>
            <w:noWrap w:val="false"/>
          </w:tcPr>
          <w:p>
            <w:pPr>
              <w:pStyle w:val="895"/>
              <w:jc w:val="center"/>
              <w:rPr>
                <w:color w:val="000000"/>
                <w:szCs w:val="21"/>
              </w:rPr>
            </w:pPr>
            <w:r>
              <w:rPr>
                <w:color w:val="000000"/>
                <w:szCs w:val="21"/>
              </w:rPr>
            </w:r>
            <w:r/>
          </w:p>
        </w:tc>
        <w:tc>
          <w:tcPr>
            <w:tcW w:w="3066" w:type="dxa"/>
            <w:vAlign w:val="top"/>
            <w:textDirection w:val="lrTb"/>
            <w:noWrap w:val="false"/>
          </w:tcPr>
          <w:p>
            <w:pPr>
              <w:pStyle w:val="895"/>
              <w:jc w:val="center"/>
              <w:rPr>
                <w:color w:val="000000"/>
                <w:szCs w:val="21"/>
              </w:rPr>
            </w:pPr>
            <w:r>
              <w:rPr>
                <w:color w:val="000000"/>
                <w:szCs w:val="21"/>
              </w:rPr>
            </w:r>
            <w:r/>
          </w:p>
        </w:tc>
        <w:tc>
          <w:tcPr>
            <w:tcW w:w="1496" w:type="dxa"/>
            <w:vAlign w:val="top"/>
            <w:textDirection w:val="lrTb"/>
            <w:noWrap w:val="false"/>
          </w:tcPr>
          <w:p>
            <w:pPr>
              <w:pStyle w:val="895"/>
              <w:jc w:val="center"/>
              <w:rPr>
                <w:color w:val="000000"/>
                <w:szCs w:val="21"/>
              </w:rPr>
            </w:pPr>
            <w:r>
              <w:rPr>
                <w:color w:val="000000"/>
                <w:szCs w:val="21"/>
              </w:rPr>
            </w:r>
            <w:r/>
          </w:p>
        </w:tc>
      </w:tr>
      <w:tr>
        <w:trPr>
          <w:trHeight w:val="437"/>
        </w:trPr>
        <w:tc>
          <w:tcPr>
            <w:tcW w:w="885" w:type="dxa"/>
            <w:vAlign w:val="top"/>
            <w:textDirection w:val="lrTb"/>
            <w:noWrap w:val="false"/>
          </w:tcPr>
          <w:p>
            <w:pPr>
              <w:pStyle w:val="895"/>
              <w:jc w:val="center"/>
              <w:rPr>
                <w:color w:val="000000"/>
                <w:szCs w:val="21"/>
              </w:rPr>
            </w:pPr>
            <w:r>
              <w:rPr>
                <w:color w:val="000000"/>
                <w:szCs w:val="21"/>
              </w:rPr>
            </w:r>
            <w:r/>
          </w:p>
        </w:tc>
        <w:tc>
          <w:tcPr>
            <w:tcW w:w="1230" w:type="dxa"/>
            <w:vAlign w:val="top"/>
            <w:textDirection w:val="lrTb"/>
            <w:noWrap w:val="false"/>
          </w:tcPr>
          <w:p>
            <w:pPr>
              <w:pStyle w:val="895"/>
              <w:jc w:val="center"/>
              <w:rPr>
                <w:color w:val="000000"/>
                <w:szCs w:val="21"/>
              </w:rPr>
            </w:pPr>
            <w:r>
              <w:rPr>
                <w:color w:val="000000"/>
                <w:szCs w:val="21"/>
              </w:rPr>
            </w:r>
            <w:r/>
          </w:p>
        </w:tc>
        <w:tc>
          <w:tcPr>
            <w:tcW w:w="1833" w:type="dxa"/>
            <w:vAlign w:val="top"/>
            <w:textDirection w:val="lrTb"/>
            <w:noWrap w:val="false"/>
          </w:tcPr>
          <w:p>
            <w:pPr>
              <w:pStyle w:val="895"/>
              <w:jc w:val="center"/>
              <w:rPr>
                <w:color w:val="000000"/>
                <w:szCs w:val="21"/>
              </w:rPr>
            </w:pPr>
            <w:r>
              <w:rPr>
                <w:color w:val="000000"/>
                <w:szCs w:val="21"/>
              </w:rPr>
            </w:r>
            <w:r/>
          </w:p>
        </w:tc>
        <w:tc>
          <w:tcPr>
            <w:tcW w:w="3066" w:type="dxa"/>
            <w:vAlign w:val="top"/>
            <w:textDirection w:val="lrTb"/>
            <w:noWrap w:val="false"/>
          </w:tcPr>
          <w:p>
            <w:pPr>
              <w:pStyle w:val="895"/>
              <w:jc w:val="center"/>
              <w:rPr>
                <w:color w:val="000000"/>
                <w:szCs w:val="21"/>
              </w:rPr>
            </w:pPr>
            <w:r>
              <w:rPr>
                <w:color w:val="000000"/>
                <w:szCs w:val="21"/>
              </w:rPr>
            </w:r>
            <w:r/>
          </w:p>
        </w:tc>
        <w:tc>
          <w:tcPr>
            <w:tcW w:w="1496" w:type="dxa"/>
            <w:vAlign w:val="top"/>
            <w:textDirection w:val="lrTb"/>
            <w:noWrap w:val="false"/>
          </w:tcPr>
          <w:p>
            <w:pPr>
              <w:pStyle w:val="895"/>
              <w:jc w:val="center"/>
              <w:rPr>
                <w:color w:val="000000"/>
                <w:szCs w:val="21"/>
              </w:rPr>
            </w:pPr>
            <w:r>
              <w:rPr>
                <w:color w:val="000000"/>
                <w:szCs w:val="21"/>
              </w:rPr>
            </w:r>
            <w:r/>
          </w:p>
        </w:tc>
      </w:tr>
      <w:tr>
        <w:trPr>
          <w:trHeight w:val="417"/>
        </w:trPr>
        <w:tc>
          <w:tcPr>
            <w:tcW w:w="885" w:type="dxa"/>
            <w:vAlign w:val="top"/>
            <w:textDirection w:val="lrTb"/>
            <w:noWrap w:val="false"/>
          </w:tcPr>
          <w:p>
            <w:pPr>
              <w:pStyle w:val="895"/>
              <w:jc w:val="center"/>
              <w:rPr>
                <w:color w:val="000000"/>
                <w:szCs w:val="21"/>
              </w:rPr>
            </w:pPr>
            <w:r>
              <w:rPr>
                <w:color w:val="000000"/>
                <w:szCs w:val="21"/>
              </w:rPr>
            </w:r>
            <w:r/>
          </w:p>
        </w:tc>
        <w:tc>
          <w:tcPr>
            <w:tcW w:w="1230" w:type="dxa"/>
            <w:vAlign w:val="top"/>
            <w:textDirection w:val="lrTb"/>
            <w:noWrap w:val="false"/>
          </w:tcPr>
          <w:p>
            <w:pPr>
              <w:pStyle w:val="895"/>
              <w:jc w:val="center"/>
              <w:rPr>
                <w:color w:val="000000"/>
                <w:szCs w:val="21"/>
              </w:rPr>
            </w:pPr>
            <w:r>
              <w:rPr>
                <w:color w:val="000000"/>
                <w:szCs w:val="21"/>
              </w:rPr>
            </w:r>
            <w:r/>
          </w:p>
        </w:tc>
        <w:tc>
          <w:tcPr>
            <w:tcW w:w="1833" w:type="dxa"/>
            <w:vAlign w:val="top"/>
            <w:textDirection w:val="lrTb"/>
            <w:noWrap w:val="false"/>
          </w:tcPr>
          <w:p>
            <w:pPr>
              <w:pStyle w:val="895"/>
              <w:jc w:val="center"/>
              <w:rPr>
                <w:color w:val="000000"/>
                <w:szCs w:val="21"/>
              </w:rPr>
            </w:pPr>
            <w:r>
              <w:rPr>
                <w:color w:val="000000"/>
                <w:szCs w:val="21"/>
              </w:rPr>
            </w:r>
            <w:r/>
          </w:p>
        </w:tc>
        <w:tc>
          <w:tcPr>
            <w:tcW w:w="3066" w:type="dxa"/>
            <w:vAlign w:val="top"/>
            <w:textDirection w:val="lrTb"/>
            <w:noWrap w:val="false"/>
          </w:tcPr>
          <w:p>
            <w:pPr>
              <w:pStyle w:val="895"/>
              <w:jc w:val="center"/>
              <w:rPr>
                <w:color w:val="000000"/>
                <w:szCs w:val="21"/>
              </w:rPr>
            </w:pPr>
            <w:r>
              <w:rPr>
                <w:color w:val="000000"/>
                <w:szCs w:val="21"/>
              </w:rPr>
            </w:r>
            <w:r/>
          </w:p>
        </w:tc>
        <w:tc>
          <w:tcPr>
            <w:tcW w:w="1496" w:type="dxa"/>
            <w:vAlign w:val="top"/>
            <w:textDirection w:val="lrTb"/>
            <w:noWrap w:val="false"/>
          </w:tcPr>
          <w:p>
            <w:pPr>
              <w:pStyle w:val="895"/>
              <w:jc w:val="center"/>
              <w:rPr>
                <w:color w:val="000000"/>
                <w:szCs w:val="21"/>
              </w:rPr>
            </w:pPr>
            <w:r>
              <w:rPr>
                <w:color w:val="000000"/>
                <w:szCs w:val="21"/>
              </w:rPr>
            </w:r>
            <w:r/>
          </w:p>
        </w:tc>
      </w:tr>
      <w:tr>
        <w:trPr>
          <w:trHeight w:val="417"/>
        </w:trPr>
        <w:tc>
          <w:tcPr>
            <w:tcW w:w="885" w:type="dxa"/>
            <w:vAlign w:val="top"/>
            <w:textDirection w:val="lrTb"/>
            <w:noWrap w:val="false"/>
          </w:tcPr>
          <w:p>
            <w:pPr>
              <w:pStyle w:val="895"/>
              <w:jc w:val="center"/>
              <w:rPr>
                <w:color w:val="000000"/>
                <w:szCs w:val="21"/>
              </w:rPr>
            </w:pPr>
            <w:r>
              <w:rPr>
                <w:color w:val="000000"/>
                <w:szCs w:val="21"/>
              </w:rPr>
            </w:r>
            <w:r/>
          </w:p>
        </w:tc>
        <w:tc>
          <w:tcPr>
            <w:tcW w:w="1230" w:type="dxa"/>
            <w:vAlign w:val="top"/>
            <w:textDirection w:val="lrTb"/>
            <w:noWrap w:val="false"/>
          </w:tcPr>
          <w:p>
            <w:pPr>
              <w:pStyle w:val="895"/>
              <w:jc w:val="center"/>
              <w:rPr>
                <w:color w:val="000000"/>
                <w:szCs w:val="21"/>
              </w:rPr>
            </w:pPr>
            <w:r>
              <w:rPr>
                <w:color w:val="000000"/>
                <w:szCs w:val="21"/>
              </w:rPr>
            </w:r>
            <w:r/>
          </w:p>
        </w:tc>
        <w:tc>
          <w:tcPr>
            <w:tcW w:w="1833" w:type="dxa"/>
            <w:vAlign w:val="top"/>
            <w:textDirection w:val="lrTb"/>
            <w:noWrap w:val="false"/>
          </w:tcPr>
          <w:p>
            <w:pPr>
              <w:pStyle w:val="895"/>
              <w:jc w:val="center"/>
              <w:rPr>
                <w:color w:val="000000"/>
                <w:szCs w:val="21"/>
              </w:rPr>
            </w:pPr>
            <w:r>
              <w:rPr>
                <w:color w:val="000000"/>
                <w:szCs w:val="21"/>
              </w:rPr>
            </w:r>
            <w:r/>
          </w:p>
        </w:tc>
        <w:tc>
          <w:tcPr>
            <w:tcW w:w="3066" w:type="dxa"/>
            <w:vAlign w:val="top"/>
            <w:textDirection w:val="lrTb"/>
            <w:noWrap w:val="false"/>
          </w:tcPr>
          <w:p>
            <w:pPr>
              <w:pStyle w:val="895"/>
              <w:jc w:val="center"/>
              <w:rPr>
                <w:color w:val="000000"/>
                <w:szCs w:val="21"/>
              </w:rPr>
            </w:pPr>
            <w:r>
              <w:rPr>
                <w:color w:val="000000"/>
                <w:szCs w:val="21"/>
              </w:rPr>
            </w:r>
            <w:r/>
          </w:p>
        </w:tc>
        <w:tc>
          <w:tcPr>
            <w:tcW w:w="1496" w:type="dxa"/>
            <w:vAlign w:val="top"/>
            <w:textDirection w:val="lrTb"/>
            <w:noWrap w:val="false"/>
          </w:tcPr>
          <w:p>
            <w:pPr>
              <w:pStyle w:val="895"/>
              <w:jc w:val="center"/>
              <w:rPr>
                <w:color w:val="000000"/>
                <w:szCs w:val="21"/>
              </w:rPr>
            </w:pPr>
            <w:r>
              <w:rPr>
                <w:color w:val="000000"/>
                <w:szCs w:val="21"/>
              </w:rPr>
            </w:r>
            <w:r/>
          </w:p>
        </w:tc>
      </w:tr>
      <w:tr>
        <w:trPr>
          <w:trHeight w:val="458"/>
        </w:trPr>
        <w:tc>
          <w:tcPr>
            <w:tcW w:w="885" w:type="dxa"/>
            <w:vAlign w:val="top"/>
            <w:textDirection w:val="lrTb"/>
            <w:noWrap w:val="false"/>
          </w:tcPr>
          <w:p>
            <w:pPr>
              <w:pStyle w:val="895"/>
              <w:jc w:val="center"/>
              <w:rPr>
                <w:color w:val="000000"/>
                <w:szCs w:val="21"/>
              </w:rPr>
            </w:pPr>
            <w:r>
              <w:rPr>
                <w:color w:val="000000"/>
                <w:szCs w:val="21"/>
              </w:rPr>
            </w:r>
            <w:r/>
          </w:p>
        </w:tc>
        <w:tc>
          <w:tcPr>
            <w:tcW w:w="1230" w:type="dxa"/>
            <w:vAlign w:val="top"/>
            <w:textDirection w:val="lrTb"/>
            <w:noWrap w:val="false"/>
          </w:tcPr>
          <w:p>
            <w:pPr>
              <w:pStyle w:val="895"/>
              <w:jc w:val="center"/>
              <w:rPr>
                <w:color w:val="000000"/>
                <w:szCs w:val="21"/>
              </w:rPr>
            </w:pPr>
            <w:r>
              <w:rPr>
                <w:color w:val="000000"/>
                <w:szCs w:val="21"/>
              </w:rPr>
            </w:r>
            <w:r/>
          </w:p>
        </w:tc>
        <w:tc>
          <w:tcPr>
            <w:tcW w:w="1833" w:type="dxa"/>
            <w:vAlign w:val="top"/>
            <w:textDirection w:val="lrTb"/>
            <w:noWrap w:val="false"/>
          </w:tcPr>
          <w:p>
            <w:pPr>
              <w:pStyle w:val="895"/>
              <w:jc w:val="center"/>
              <w:rPr>
                <w:color w:val="000000"/>
                <w:szCs w:val="21"/>
              </w:rPr>
            </w:pPr>
            <w:r>
              <w:rPr>
                <w:color w:val="000000"/>
                <w:szCs w:val="21"/>
              </w:rPr>
            </w:r>
            <w:r/>
          </w:p>
        </w:tc>
        <w:tc>
          <w:tcPr>
            <w:tcW w:w="3066" w:type="dxa"/>
            <w:vAlign w:val="top"/>
            <w:textDirection w:val="lrTb"/>
            <w:noWrap w:val="false"/>
          </w:tcPr>
          <w:p>
            <w:pPr>
              <w:pStyle w:val="895"/>
              <w:jc w:val="center"/>
              <w:rPr>
                <w:color w:val="000000"/>
                <w:szCs w:val="21"/>
              </w:rPr>
            </w:pPr>
            <w:r>
              <w:rPr>
                <w:color w:val="000000"/>
                <w:szCs w:val="21"/>
              </w:rPr>
            </w:r>
            <w:r/>
          </w:p>
        </w:tc>
        <w:tc>
          <w:tcPr>
            <w:tcW w:w="1496" w:type="dxa"/>
            <w:vAlign w:val="top"/>
            <w:textDirection w:val="lrTb"/>
            <w:noWrap w:val="false"/>
          </w:tcPr>
          <w:p>
            <w:pPr>
              <w:pStyle w:val="895"/>
              <w:jc w:val="center"/>
              <w:rPr>
                <w:color w:val="000000"/>
                <w:szCs w:val="21"/>
              </w:rPr>
            </w:pPr>
            <w:r>
              <w:rPr>
                <w:color w:val="000000"/>
                <w:szCs w:val="21"/>
              </w:rPr>
            </w:r>
            <w:r/>
          </w:p>
        </w:tc>
      </w:tr>
    </w:tbl>
    <w:p>
      <w:pPr>
        <w:pStyle w:val="895"/>
        <w:rPr>
          <w:color w:val="000000"/>
          <w:szCs w:val="21"/>
        </w:rPr>
      </w:pPr>
      <w:r>
        <w:rPr>
          <w:rFonts w:hint="eastAsia"/>
          <w:color w:val="000000"/>
          <w:szCs w:val="21"/>
        </w:rPr>
        <w:t xml:space="preserve">说明：本表</w:t>
      </w:r>
      <w:r>
        <w:rPr>
          <w:rFonts w:hint="eastAsia" w:hAnsi="宋体"/>
          <w:color w:val="000000"/>
          <w:szCs w:val="21"/>
        </w:rPr>
        <w:t xml:space="preserve">仅供参考，各投标单位应根据各标段评分标准要求提供对应的材料或说明。</w:t>
      </w:r>
      <w:r>
        <w:rPr>
          <w:color w:val="000000"/>
          <w:szCs w:val="21"/>
        </w:rPr>
      </w:r>
      <w:r/>
    </w:p>
    <w:p>
      <w:pPr>
        <w:pStyle w:val="895"/>
        <w:rPr>
          <w:color w:val="000000"/>
          <w:sz w:val="28"/>
          <w:szCs w:val="28"/>
        </w:rPr>
      </w:pPr>
      <w:r>
        <w:rPr>
          <w:color w:val="000000"/>
          <w:sz w:val="28"/>
          <w:szCs w:val="28"/>
        </w:rPr>
      </w:r>
      <w:r/>
    </w:p>
    <w:p>
      <w:pPr>
        <w:pStyle w:val="895"/>
        <w:rPr>
          <w:color w:val="000000"/>
          <w:sz w:val="28"/>
          <w:szCs w:val="28"/>
        </w:rPr>
      </w:pPr>
      <w:r>
        <w:rPr>
          <w:color w:val="000000"/>
          <w:sz w:val="28"/>
          <w:szCs w:val="28"/>
        </w:rPr>
      </w:r>
      <w:r/>
    </w:p>
    <w:p>
      <w:pPr>
        <w:pStyle w:val="915"/>
        <w:rPr>
          <w:color w:val="000000"/>
        </w:rPr>
      </w:pPr>
      <w:r>
        <w:rPr>
          <w:color w:val="000000"/>
        </w:rPr>
      </w:r>
      <w:r/>
    </w:p>
    <w:p>
      <w:pPr>
        <w:pStyle w:val="895"/>
        <w:rPr>
          <w:rFonts w:ascii="宋体" w:hAnsi="宋体"/>
          <w:b/>
          <w:color w:val="000000"/>
          <w:sz w:val="24"/>
        </w:rPr>
      </w:pPr>
      <w:r>
        <w:rPr>
          <w:color w:val="000000"/>
          <w:sz w:val="28"/>
          <w:szCs w:val="28"/>
        </w:rPr>
        <w:br w:type="page" w:clear="all"/>
      </w:r>
      <w:r>
        <w:rPr>
          <w:rFonts w:hint="eastAsia" w:ascii="宋体" w:hAnsi="宋体"/>
          <w:b/>
          <w:color w:val="000000"/>
          <w:sz w:val="24"/>
        </w:rPr>
        <w:t xml:space="preserve">附表1-7</w:t>
      </w:r>
      <w:r>
        <w:rPr>
          <w:rFonts w:ascii="宋体" w:hAnsi="宋体"/>
          <w:b/>
          <w:color w:val="000000"/>
          <w:sz w:val="24"/>
        </w:rPr>
      </w:r>
      <w:r/>
    </w:p>
    <w:p>
      <w:pPr>
        <w:pStyle w:val="895"/>
        <w:jc w:val="center"/>
        <w:rPr>
          <w:b/>
          <w:color w:val="000000"/>
          <w:sz w:val="28"/>
          <w:szCs w:val="28"/>
        </w:rPr>
      </w:pPr>
      <w:r>
        <w:rPr>
          <w:rFonts w:hint="eastAsia"/>
          <w:b/>
          <w:color w:val="000000"/>
          <w:sz w:val="28"/>
          <w:szCs w:val="28"/>
        </w:rPr>
        <w:t xml:space="preserve"> </w:t>
      </w:r>
      <w:r>
        <w:rPr>
          <w:rFonts w:hint="eastAsia"/>
          <w:b/>
          <w:color w:val="000000"/>
          <w:sz w:val="28"/>
          <w:szCs w:val="28"/>
          <w:u w:val="single"/>
        </w:rPr>
        <w:t xml:space="preserve">                      </w:t>
      </w:r>
      <w:r>
        <w:rPr>
          <w:rFonts w:hint="eastAsia"/>
          <w:b/>
          <w:color w:val="000000"/>
          <w:sz w:val="28"/>
          <w:szCs w:val="28"/>
        </w:rPr>
        <w:t xml:space="preserve">测定能力情况一览表</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445"/>
        <w:gridCol w:w="1524"/>
        <w:gridCol w:w="2126"/>
        <w:gridCol w:w="1843"/>
        <w:gridCol w:w="1082"/>
      </w:tblGrid>
      <w:tr>
        <w:trPr>
          <w:trHeight w:val="1009"/>
        </w:trPr>
        <w:tc>
          <w:tcPr>
            <w:tcW w:w="667" w:type="dxa"/>
            <w:vAlign w:val="center"/>
            <w:textDirection w:val="lrTb"/>
            <w:noWrap w:val="false"/>
          </w:tcPr>
          <w:p>
            <w:pPr>
              <w:pStyle w:val="895"/>
              <w:jc w:val="center"/>
              <w:rPr>
                <w:b/>
                <w:color w:val="000000"/>
                <w:szCs w:val="21"/>
              </w:rPr>
            </w:pPr>
            <w:r>
              <w:rPr>
                <w:rFonts w:hint="eastAsia"/>
                <w:b/>
                <w:color w:val="000000"/>
                <w:szCs w:val="21"/>
              </w:rPr>
              <w:t xml:space="preserve">序号</w:t>
            </w:r>
            <w:r>
              <w:rPr>
                <w:b/>
                <w:color w:val="000000"/>
                <w:szCs w:val="21"/>
              </w:rPr>
            </w:r>
            <w:r/>
          </w:p>
        </w:tc>
        <w:tc>
          <w:tcPr>
            <w:tcW w:w="1445" w:type="dxa"/>
            <w:vAlign w:val="center"/>
            <w:textDirection w:val="lrTb"/>
            <w:noWrap w:val="false"/>
          </w:tcPr>
          <w:p>
            <w:pPr>
              <w:pStyle w:val="895"/>
              <w:jc w:val="center"/>
              <w:rPr>
                <w:b/>
                <w:color w:val="000000"/>
                <w:szCs w:val="21"/>
              </w:rPr>
            </w:pPr>
            <w:r>
              <w:rPr>
                <w:rFonts w:hint="eastAsia"/>
                <w:b/>
                <w:color w:val="000000"/>
                <w:szCs w:val="21"/>
              </w:rPr>
              <w:t xml:space="preserve">检测方法</w:t>
            </w:r>
            <w:r>
              <w:rPr>
                <w:b/>
                <w:color w:val="000000"/>
                <w:szCs w:val="21"/>
              </w:rPr>
            </w:r>
            <w:r/>
          </w:p>
        </w:tc>
        <w:tc>
          <w:tcPr>
            <w:tcW w:w="1524" w:type="dxa"/>
            <w:vAlign w:val="center"/>
            <w:textDirection w:val="lrTb"/>
            <w:noWrap w:val="false"/>
          </w:tcPr>
          <w:p>
            <w:pPr>
              <w:pStyle w:val="895"/>
              <w:jc w:val="center"/>
              <w:rPr>
                <w:b/>
                <w:color w:val="000000"/>
                <w:szCs w:val="21"/>
              </w:rPr>
            </w:pPr>
            <w:r>
              <w:rPr>
                <w:rFonts w:hint="eastAsia"/>
                <w:b/>
                <w:color w:val="000000"/>
                <w:szCs w:val="21"/>
              </w:rPr>
              <w:t xml:space="preserve">具备能力数</w:t>
            </w:r>
            <w:r>
              <w:rPr>
                <w:b/>
                <w:color w:val="000000"/>
                <w:szCs w:val="21"/>
              </w:rPr>
            </w:r>
            <w:r/>
          </w:p>
        </w:tc>
        <w:tc>
          <w:tcPr>
            <w:tcW w:w="2126" w:type="dxa"/>
            <w:vAlign w:val="center"/>
            <w:textDirection w:val="lrTb"/>
            <w:noWrap w:val="false"/>
          </w:tcPr>
          <w:p>
            <w:pPr>
              <w:pStyle w:val="895"/>
              <w:jc w:val="center"/>
              <w:rPr>
                <w:b/>
                <w:color w:val="000000"/>
                <w:szCs w:val="21"/>
              </w:rPr>
            </w:pPr>
            <w:r>
              <w:rPr>
                <w:rFonts w:hint="eastAsia"/>
                <w:b/>
                <w:color w:val="000000"/>
                <w:szCs w:val="21"/>
              </w:rPr>
              <w:t xml:space="preserve">能力名称</w:t>
            </w:r>
            <w:r>
              <w:rPr>
                <w:b/>
                <w:color w:val="000000"/>
                <w:szCs w:val="21"/>
              </w:rPr>
            </w:r>
            <w:r/>
          </w:p>
        </w:tc>
        <w:tc>
          <w:tcPr>
            <w:tcW w:w="1843" w:type="dxa"/>
            <w:vAlign w:val="center"/>
            <w:textDirection w:val="lrTb"/>
            <w:noWrap w:val="false"/>
          </w:tcPr>
          <w:p>
            <w:pPr>
              <w:pStyle w:val="895"/>
              <w:jc w:val="center"/>
              <w:rPr>
                <w:b/>
                <w:color w:val="000000"/>
                <w:szCs w:val="21"/>
              </w:rPr>
            </w:pPr>
            <w:r>
              <w:rPr>
                <w:rFonts w:hint="eastAsia"/>
                <w:b/>
                <w:color w:val="000000"/>
                <w:szCs w:val="21"/>
              </w:rPr>
              <w:t xml:space="preserve">在资质认定证书中编号</w:t>
            </w:r>
            <w:r>
              <w:rPr>
                <w:b/>
                <w:color w:val="000000"/>
                <w:szCs w:val="21"/>
              </w:rPr>
            </w:r>
            <w:r/>
          </w:p>
        </w:tc>
        <w:tc>
          <w:tcPr>
            <w:tcW w:w="1082" w:type="dxa"/>
            <w:vAlign w:val="center"/>
            <w:textDirection w:val="lrTb"/>
            <w:noWrap w:val="false"/>
          </w:tcPr>
          <w:p>
            <w:pPr>
              <w:pStyle w:val="895"/>
              <w:jc w:val="center"/>
              <w:rPr>
                <w:b/>
                <w:color w:val="000000"/>
                <w:szCs w:val="21"/>
              </w:rPr>
            </w:pPr>
            <w:r>
              <w:rPr>
                <w:rFonts w:hint="eastAsia"/>
                <w:b/>
                <w:color w:val="000000"/>
                <w:szCs w:val="21"/>
              </w:rPr>
              <w:t xml:space="preserve">备注</w:t>
            </w:r>
            <w:r>
              <w:rPr>
                <w:b/>
                <w:color w:val="000000"/>
                <w:szCs w:val="21"/>
              </w:rPr>
            </w:r>
            <w:r/>
          </w:p>
        </w:tc>
      </w:tr>
      <w:tr>
        <w:trPr>
          <w:trHeight w:val="517"/>
        </w:trPr>
        <w:tc>
          <w:tcPr>
            <w:tcW w:w="667" w:type="dxa"/>
            <w:vAlign w:val="top"/>
            <w:textDirection w:val="lrTb"/>
            <w:noWrap w:val="false"/>
          </w:tcPr>
          <w:p>
            <w:pPr>
              <w:pStyle w:val="895"/>
              <w:jc w:val="center"/>
              <w:rPr>
                <w:color w:val="000000"/>
                <w:szCs w:val="21"/>
              </w:rPr>
            </w:pPr>
            <w:r>
              <w:rPr>
                <w:rFonts w:hint="eastAsia"/>
                <w:color w:val="000000"/>
                <w:szCs w:val="21"/>
              </w:rPr>
              <w:t xml:space="preserve">1</w:t>
            </w:r>
            <w:r>
              <w:rPr>
                <w:color w:val="000000"/>
                <w:szCs w:val="21"/>
              </w:rPr>
            </w:r>
            <w:r/>
          </w:p>
        </w:tc>
        <w:tc>
          <w:tcPr>
            <w:tcW w:w="1445" w:type="dxa"/>
            <w:vAlign w:val="top"/>
            <w:textDirection w:val="lrTb"/>
            <w:noWrap w:val="false"/>
          </w:tcPr>
          <w:p>
            <w:pPr>
              <w:pStyle w:val="895"/>
              <w:jc w:val="center"/>
              <w:rPr>
                <w:color w:val="000000"/>
                <w:szCs w:val="21"/>
              </w:rPr>
            </w:pPr>
            <w:r>
              <w:rPr>
                <w:color w:val="000000"/>
                <w:szCs w:val="21"/>
              </w:rPr>
            </w:r>
            <w:r/>
          </w:p>
        </w:tc>
        <w:tc>
          <w:tcPr>
            <w:tcW w:w="1524" w:type="dxa"/>
            <w:vAlign w:val="top"/>
            <w:textDirection w:val="lrTb"/>
            <w:noWrap w:val="false"/>
          </w:tcPr>
          <w:p>
            <w:pPr>
              <w:pStyle w:val="895"/>
              <w:jc w:val="center"/>
              <w:rPr>
                <w:color w:val="000000"/>
                <w:szCs w:val="21"/>
              </w:rPr>
            </w:pPr>
            <w:r>
              <w:rPr>
                <w:color w:val="000000"/>
                <w:szCs w:val="21"/>
              </w:rPr>
            </w:r>
            <w:r/>
          </w:p>
        </w:tc>
        <w:tc>
          <w:tcPr>
            <w:tcW w:w="2126" w:type="dxa"/>
            <w:vAlign w:val="top"/>
            <w:textDirection w:val="lrTb"/>
            <w:noWrap w:val="false"/>
          </w:tcPr>
          <w:p>
            <w:pPr>
              <w:pStyle w:val="895"/>
              <w:jc w:val="center"/>
              <w:rPr>
                <w:color w:val="000000"/>
                <w:szCs w:val="21"/>
              </w:rPr>
            </w:pPr>
            <w:r>
              <w:rPr>
                <w:color w:val="000000"/>
                <w:szCs w:val="21"/>
              </w:rPr>
            </w:r>
            <w:r/>
          </w:p>
        </w:tc>
        <w:tc>
          <w:tcPr>
            <w:tcW w:w="1843" w:type="dxa"/>
            <w:vAlign w:val="top"/>
            <w:textDirection w:val="lrTb"/>
            <w:noWrap w:val="false"/>
          </w:tcPr>
          <w:p>
            <w:pPr>
              <w:pStyle w:val="895"/>
              <w:jc w:val="center"/>
              <w:rPr>
                <w:color w:val="000000"/>
                <w:szCs w:val="21"/>
              </w:rPr>
            </w:pPr>
            <w:r>
              <w:rPr>
                <w:color w:val="000000"/>
                <w:szCs w:val="21"/>
              </w:rPr>
            </w:r>
            <w:r/>
          </w:p>
        </w:tc>
        <w:tc>
          <w:tcPr>
            <w:tcW w:w="1082" w:type="dxa"/>
            <w:vAlign w:val="top"/>
            <w:textDirection w:val="lrTb"/>
            <w:noWrap w:val="false"/>
          </w:tcPr>
          <w:p>
            <w:pPr>
              <w:pStyle w:val="895"/>
              <w:jc w:val="center"/>
              <w:rPr>
                <w:color w:val="000000"/>
                <w:szCs w:val="21"/>
              </w:rPr>
            </w:pPr>
            <w:r>
              <w:rPr>
                <w:color w:val="000000"/>
                <w:szCs w:val="21"/>
              </w:rPr>
            </w:r>
            <w:r/>
          </w:p>
        </w:tc>
      </w:tr>
      <w:tr>
        <w:trPr>
          <w:trHeight w:val="492"/>
        </w:trPr>
        <w:tc>
          <w:tcPr>
            <w:tcW w:w="667" w:type="dxa"/>
            <w:vAlign w:val="top"/>
            <w:textDirection w:val="lrTb"/>
            <w:noWrap w:val="false"/>
          </w:tcPr>
          <w:p>
            <w:pPr>
              <w:pStyle w:val="895"/>
              <w:jc w:val="center"/>
              <w:rPr>
                <w:color w:val="000000"/>
                <w:szCs w:val="21"/>
              </w:rPr>
            </w:pPr>
            <w:r>
              <w:rPr>
                <w:rFonts w:hint="eastAsia"/>
                <w:color w:val="000000"/>
                <w:szCs w:val="21"/>
              </w:rPr>
              <w:t xml:space="preserve">2</w:t>
            </w:r>
            <w:r>
              <w:rPr>
                <w:color w:val="000000"/>
                <w:szCs w:val="21"/>
              </w:rPr>
            </w:r>
            <w:r/>
          </w:p>
        </w:tc>
        <w:tc>
          <w:tcPr>
            <w:tcW w:w="1445" w:type="dxa"/>
            <w:vAlign w:val="top"/>
            <w:textDirection w:val="lrTb"/>
            <w:noWrap w:val="false"/>
          </w:tcPr>
          <w:p>
            <w:pPr>
              <w:pStyle w:val="895"/>
              <w:jc w:val="center"/>
              <w:rPr>
                <w:color w:val="000000"/>
                <w:szCs w:val="21"/>
              </w:rPr>
            </w:pPr>
            <w:r>
              <w:rPr>
                <w:color w:val="000000"/>
                <w:szCs w:val="21"/>
              </w:rPr>
            </w:r>
            <w:r/>
          </w:p>
        </w:tc>
        <w:tc>
          <w:tcPr>
            <w:tcW w:w="1524" w:type="dxa"/>
            <w:vAlign w:val="top"/>
            <w:textDirection w:val="lrTb"/>
            <w:noWrap w:val="false"/>
          </w:tcPr>
          <w:p>
            <w:pPr>
              <w:pStyle w:val="895"/>
              <w:jc w:val="center"/>
              <w:rPr>
                <w:color w:val="000000"/>
                <w:szCs w:val="21"/>
              </w:rPr>
            </w:pPr>
            <w:r>
              <w:rPr>
                <w:color w:val="000000"/>
                <w:szCs w:val="21"/>
              </w:rPr>
            </w:r>
            <w:r/>
          </w:p>
        </w:tc>
        <w:tc>
          <w:tcPr>
            <w:tcW w:w="2126" w:type="dxa"/>
            <w:vAlign w:val="top"/>
            <w:textDirection w:val="lrTb"/>
            <w:noWrap w:val="false"/>
          </w:tcPr>
          <w:p>
            <w:pPr>
              <w:pStyle w:val="895"/>
              <w:jc w:val="center"/>
              <w:rPr>
                <w:color w:val="000000"/>
                <w:szCs w:val="21"/>
              </w:rPr>
            </w:pPr>
            <w:r>
              <w:rPr>
                <w:color w:val="000000"/>
                <w:szCs w:val="21"/>
              </w:rPr>
            </w:r>
            <w:r/>
          </w:p>
        </w:tc>
        <w:tc>
          <w:tcPr>
            <w:tcW w:w="1843" w:type="dxa"/>
            <w:vAlign w:val="top"/>
            <w:textDirection w:val="lrTb"/>
            <w:noWrap w:val="false"/>
          </w:tcPr>
          <w:p>
            <w:pPr>
              <w:pStyle w:val="895"/>
              <w:jc w:val="center"/>
              <w:rPr>
                <w:color w:val="000000"/>
                <w:szCs w:val="21"/>
              </w:rPr>
            </w:pPr>
            <w:r>
              <w:rPr>
                <w:color w:val="000000"/>
                <w:szCs w:val="21"/>
              </w:rPr>
            </w:r>
            <w:r/>
          </w:p>
        </w:tc>
        <w:tc>
          <w:tcPr>
            <w:tcW w:w="1082" w:type="dxa"/>
            <w:vAlign w:val="top"/>
            <w:textDirection w:val="lrTb"/>
            <w:noWrap w:val="false"/>
          </w:tcPr>
          <w:p>
            <w:pPr>
              <w:pStyle w:val="895"/>
              <w:jc w:val="center"/>
              <w:rPr>
                <w:color w:val="000000"/>
                <w:szCs w:val="21"/>
              </w:rPr>
            </w:pPr>
            <w:r>
              <w:rPr>
                <w:color w:val="000000"/>
                <w:szCs w:val="21"/>
              </w:rPr>
            </w:r>
            <w:r/>
          </w:p>
        </w:tc>
      </w:tr>
      <w:tr>
        <w:trPr>
          <w:trHeight w:val="517"/>
        </w:trPr>
        <w:tc>
          <w:tcPr>
            <w:tcW w:w="667" w:type="dxa"/>
            <w:vAlign w:val="top"/>
            <w:textDirection w:val="lrTb"/>
            <w:noWrap w:val="false"/>
          </w:tcPr>
          <w:p>
            <w:pPr>
              <w:pStyle w:val="895"/>
              <w:jc w:val="center"/>
              <w:rPr>
                <w:color w:val="000000"/>
                <w:szCs w:val="21"/>
              </w:rPr>
            </w:pPr>
            <w:r>
              <w:rPr>
                <w:rFonts w:hint="eastAsia"/>
                <w:color w:val="000000"/>
                <w:szCs w:val="21"/>
              </w:rPr>
              <w:t xml:space="preserve">3</w:t>
            </w:r>
            <w:r>
              <w:rPr>
                <w:color w:val="000000"/>
                <w:szCs w:val="21"/>
              </w:rPr>
            </w:r>
            <w:r/>
          </w:p>
        </w:tc>
        <w:tc>
          <w:tcPr>
            <w:tcW w:w="1445" w:type="dxa"/>
            <w:vAlign w:val="top"/>
            <w:textDirection w:val="lrTb"/>
            <w:noWrap w:val="false"/>
          </w:tcPr>
          <w:p>
            <w:pPr>
              <w:pStyle w:val="895"/>
              <w:jc w:val="center"/>
              <w:rPr>
                <w:color w:val="000000"/>
                <w:szCs w:val="21"/>
              </w:rPr>
            </w:pPr>
            <w:r>
              <w:rPr>
                <w:color w:val="000000"/>
                <w:szCs w:val="21"/>
              </w:rPr>
            </w:r>
            <w:r/>
          </w:p>
        </w:tc>
        <w:tc>
          <w:tcPr>
            <w:tcW w:w="1524" w:type="dxa"/>
            <w:vAlign w:val="top"/>
            <w:textDirection w:val="lrTb"/>
            <w:noWrap w:val="false"/>
          </w:tcPr>
          <w:p>
            <w:pPr>
              <w:pStyle w:val="895"/>
              <w:jc w:val="center"/>
              <w:rPr>
                <w:color w:val="000000"/>
                <w:szCs w:val="21"/>
              </w:rPr>
            </w:pPr>
            <w:r>
              <w:rPr>
                <w:color w:val="000000"/>
                <w:szCs w:val="21"/>
              </w:rPr>
            </w:r>
            <w:r/>
          </w:p>
        </w:tc>
        <w:tc>
          <w:tcPr>
            <w:tcW w:w="2126" w:type="dxa"/>
            <w:vAlign w:val="top"/>
            <w:textDirection w:val="lrTb"/>
            <w:noWrap w:val="false"/>
          </w:tcPr>
          <w:p>
            <w:pPr>
              <w:pStyle w:val="895"/>
              <w:jc w:val="center"/>
              <w:rPr>
                <w:color w:val="000000"/>
                <w:szCs w:val="21"/>
              </w:rPr>
            </w:pPr>
            <w:r>
              <w:rPr>
                <w:color w:val="000000"/>
                <w:szCs w:val="21"/>
              </w:rPr>
            </w:r>
            <w:r/>
          </w:p>
        </w:tc>
        <w:tc>
          <w:tcPr>
            <w:tcW w:w="1843" w:type="dxa"/>
            <w:vAlign w:val="top"/>
            <w:textDirection w:val="lrTb"/>
            <w:noWrap w:val="false"/>
          </w:tcPr>
          <w:p>
            <w:pPr>
              <w:pStyle w:val="895"/>
              <w:jc w:val="center"/>
              <w:rPr>
                <w:color w:val="000000"/>
                <w:szCs w:val="21"/>
              </w:rPr>
            </w:pPr>
            <w:r>
              <w:rPr>
                <w:color w:val="000000"/>
                <w:szCs w:val="21"/>
              </w:rPr>
            </w:r>
            <w:r/>
          </w:p>
        </w:tc>
        <w:tc>
          <w:tcPr>
            <w:tcW w:w="1082" w:type="dxa"/>
            <w:vAlign w:val="top"/>
            <w:textDirection w:val="lrTb"/>
            <w:noWrap w:val="false"/>
          </w:tcPr>
          <w:p>
            <w:pPr>
              <w:pStyle w:val="895"/>
              <w:jc w:val="center"/>
              <w:rPr>
                <w:color w:val="000000"/>
                <w:szCs w:val="21"/>
              </w:rPr>
            </w:pPr>
            <w:r>
              <w:rPr>
                <w:color w:val="000000"/>
                <w:szCs w:val="21"/>
              </w:rPr>
            </w:r>
            <w:r/>
          </w:p>
        </w:tc>
      </w:tr>
      <w:tr>
        <w:trPr>
          <w:trHeight w:val="492"/>
        </w:trPr>
        <w:tc>
          <w:tcPr>
            <w:tcW w:w="667" w:type="dxa"/>
            <w:vAlign w:val="top"/>
            <w:textDirection w:val="lrTb"/>
            <w:noWrap w:val="false"/>
          </w:tcPr>
          <w:p>
            <w:pPr>
              <w:pStyle w:val="895"/>
              <w:jc w:val="center"/>
              <w:rPr>
                <w:color w:val="000000"/>
                <w:szCs w:val="21"/>
              </w:rPr>
            </w:pPr>
            <w:r>
              <w:rPr>
                <w:rFonts w:hint="eastAsia"/>
                <w:color w:val="000000"/>
                <w:szCs w:val="21"/>
              </w:rPr>
              <w:t xml:space="preserve">4</w:t>
            </w:r>
            <w:r>
              <w:rPr>
                <w:color w:val="000000"/>
                <w:szCs w:val="21"/>
              </w:rPr>
            </w:r>
            <w:r/>
          </w:p>
        </w:tc>
        <w:tc>
          <w:tcPr>
            <w:tcW w:w="1445" w:type="dxa"/>
            <w:vAlign w:val="top"/>
            <w:textDirection w:val="lrTb"/>
            <w:noWrap w:val="false"/>
          </w:tcPr>
          <w:p>
            <w:pPr>
              <w:pStyle w:val="895"/>
              <w:jc w:val="center"/>
              <w:rPr>
                <w:color w:val="000000"/>
                <w:szCs w:val="21"/>
              </w:rPr>
            </w:pPr>
            <w:r>
              <w:rPr>
                <w:color w:val="000000"/>
                <w:szCs w:val="21"/>
              </w:rPr>
            </w:r>
            <w:r/>
          </w:p>
        </w:tc>
        <w:tc>
          <w:tcPr>
            <w:tcW w:w="1524" w:type="dxa"/>
            <w:vAlign w:val="top"/>
            <w:textDirection w:val="lrTb"/>
            <w:noWrap w:val="false"/>
          </w:tcPr>
          <w:p>
            <w:pPr>
              <w:pStyle w:val="895"/>
              <w:jc w:val="center"/>
              <w:rPr>
                <w:color w:val="000000"/>
                <w:szCs w:val="21"/>
              </w:rPr>
            </w:pPr>
            <w:r>
              <w:rPr>
                <w:color w:val="000000"/>
                <w:szCs w:val="21"/>
              </w:rPr>
            </w:r>
            <w:r/>
          </w:p>
        </w:tc>
        <w:tc>
          <w:tcPr>
            <w:tcW w:w="2126" w:type="dxa"/>
            <w:vAlign w:val="top"/>
            <w:textDirection w:val="lrTb"/>
            <w:noWrap w:val="false"/>
          </w:tcPr>
          <w:p>
            <w:pPr>
              <w:pStyle w:val="895"/>
              <w:jc w:val="center"/>
              <w:rPr>
                <w:color w:val="000000"/>
                <w:szCs w:val="21"/>
              </w:rPr>
            </w:pPr>
            <w:r>
              <w:rPr>
                <w:color w:val="000000"/>
                <w:szCs w:val="21"/>
              </w:rPr>
            </w:r>
            <w:r/>
          </w:p>
        </w:tc>
        <w:tc>
          <w:tcPr>
            <w:tcW w:w="1843" w:type="dxa"/>
            <w:vAlign w:val="top"/>
            <w:textDirection w:val="lrTb"/>
            <w:noWrap w:val="false"/>
          </w:tcPr>
          <w:p>
            <w:pPr>
              <w:pStyle w:val="895"/>
              <w:jc w:val="center"/>
              <w:rPr>
                <w:color w:val="000000"/>
                <w:szCs w:val="21"/>
              </w:rPr>
            </w:pPr>
            <w:r>
              <w:rPr>
                <w:color w:val="000000"/>
                <w:szCs w:val="21"/>
              </w:rPr>
            </w:r>
            <w:r/>
          </w:p>
        </w:tc>
        <w:tc>
          <w:tcPr>
            <w:tcW w:w="1082" w:type="dxa"/>
            <w:vAlign w:val="top"/>
            <w:textDirection w:val="lrTb"/>
            <w:noWrap w:val="false"/>
          </w:tcPr>
          <w:p>
            <w:pPr>
              <w:pStyle w:val="895"/>
              <w:jc w:val="center"/>
              <w:rPr>
                <w:color w:val="000000"/>
                <w:szCs w:val="21"/>
              </w:rPr>
            </w:pPr>
            <w:r>
              <w:rPr>
                <w:color w:val="000000"/>
                <w:szCs w:val="21"/>
              </w:rPr>
            </w:r>
            <w:r/>
          </w:p>
        </w:tc>
      </w:tr>
      <w:tr>
        <w:trPr>
          <w:trHeight w:val="517"/>
        </w:trPr>
        <w:tc>
          <w:tcPr>
            <w:tcW w:w="667" w:type="dxa"/>
            <w:vAlign w:val="top"/>
            <w:textDirection w:val="lrTb"/>
            <w:noWrap w:val="false"/>
          </w:tcPr>
          <w:p>
            <w:pPr>
              <w:pStyle w:val="895"/>
              <w:jc w:val="center"/>
              <w:rPr>
                <w:color w:val="000000"/>
                <w:szCs w:val="21"/>
              </w:rPr>
            </w:pPr>
            <w:r>
              <w:rPr>
                <w:rFonts w:hint="eastAsia"/>
                <w:color w:val="000000"/>
                <w:szCs w:val="21"/>
              </w:rPr>
              <w:t xml:space="preserve">5</w:t>
            </w:r>
            <w:r>
              <w:rPr>
                <w:color w:val="000000"/>
                <w:szCs w:val="21"/>
              </w:rPr>
            </w:r>
            <w:r/>
          </w:p>
        </w:tc>
        <w:tc>
          <w:tcPr>
            <w:tcW w:w="1445" w:type="dxa"/>
            <w:vAlign w:val="top"/>
            <w:textDirection w:val="lrTb"/>
            <w:noWrap w:val="false"/>
          </w:tcPr>
          <w:p>
            <w:pPr>
              <w:pStyle w:val="895"/>
              <w:jc w:val="center"/>
              <w:rPr>
                <w:color w:val="000000"/>
                <w:szCs w:val="21"/>
              </w:rPr>
            </w:pPr>
            <w:r>
              <w:rPr>
                <w:color w:val="000000"/>
                <w:szCs w:val="21"/>
              </w:rPr>
            </w:r>
            <w:r/>
          </w:p>
        </w:tc>
        <w:tc>
          <w:tcPr>
            <w:tcW w:w="1524" w:type="dxa"/>
            <w:vAlign w:val="top"/>
            <w:textDirection w:val="lrTb"/>
            <w:noWrap w:val="false"/>
          </w:tcPr>
          <w:p>
            <w:pPr>
              <w:pStyle w:val="895"/>
              <w:jc w:val="center"/>
              <w:rPr>
                <w:color w:val="000000"/>
                <w:szCs w:val="21"/>
              </w:rPr>
            </w:pPr>
            <w:r>
              <w:rPr>
                <w:color w:val="000000"/>
                <w:szCs w:val="21"/>
              </w:rPr>
            </w:r>
            <w:r/>
          </w:p>
        </w:tc>
        <w:tc>
          <w:tcPr>
            <w:tcW w:w="2126" w:type="dxa"/>
            <w:vAlign w:val="top"/>
            <w:textDirection w:val="lrTb"/>
            <w:noWrap w:val="false"/>
          </w:tcPr>
          <w:p>
            <w:pPr>
              <w:pStyle w:val="895"/>
              <w:jc w:val="center"/>
              <w:rPr>
                <w:color w:val="000000"/>
                <w:szCs w:val="21"/>
              </w:rPr>
            </w:pPr>
            <w:r>
              <w:rPr>
                <w:color w:val="000000"/>
                <w:szCs w:val="21"/>
              </w:rPr>
            </w:r>
            <w:r/>
          </w:p>
        </w:tc>
        <w:tc>
          <w:tcPr>
            <w:tcW w:w="1843" w:type="dxa"/>
            <w:vAlign w:val="top"/>
            <w:textDirection w:val="lrTb"/>
            <w:noWrap w:val="false"/>
          </w:tcPr>
          <w:p>
            <w:pPr>
              <w:pStyle w:val="895"/>
              <w:jc w:val="center"/>
              <w:rPr>
                <w:color w:val="000000"/>
                <w:szCs w:val="21"/>
              </w:rPr>
            </w:pPr>
            <w:r>
              <w:rPr>
                <w:color w:val="000000"/>
                <w:szCs w:val="21"/>
              </w:rPr>
            </w:r>
            <w:r/>
          </w:p>
        </w:tc>
        <w:tc>
          <w:tcPr>
            <w:tcW w:w="1082" w:type="dxa"/>
            <w:vAlign w:val="top"/>
            <w:textDirection w:val="lrTb"/>
            <w:noWrap w:val="false"/>
          </w:tcPr>
          <w:p>
            <w:pPr>
              <w:pStyle w:val="895"/>
              <w:jc w:val="center"/>
              <w:rPr>
                <w:color w:val="000000"/>
                <w:szCs w:val="21"/>
              </w:rPr>
            </w:pPr>
            <w:r>
              <w:rPr>
                <w:color w:val="000000"/>
                <w:szCs w:val="21"/>
              </w:rPr>
            </w:r>
            <w:r/>
          </w:p>
        </w:tc>
      </w:tr>
      <w:tr>
        <w:trPr>
          <w:trHeight w:val="492"/>
        </w:trPr>
        <w:tc>
          <w:tcPr>
            <w:tcW w:w="667" w:type="dxa"/>
            <w:vAlign w:val="top"/>
            <w:textDirection w:val="lrTb"/>
            <w:noWrap w:val="false"/>
          </w:tcPr>
          <w:p>
            <w:pPr>
              <w:pStyle w:val="895"/>
              <w:jc w:val="center"/>
              <w:rPr>
                <w:color w:val="000000"/>
                <w:szCs w:val="21"/>
              </w:rPr>
            </w:pPr>
            <w:r>
              <w:rPr>
                <w:rFonts w:hint="eastAsia"/>
                <w:color w:val="000000"/>
                <w:szCs w:val="21"/>
              </w:rPr>
              <w:t xml:space="preserve">6</w:t>
            </w:r>
            <w:r>
              <w:rPr>
                <w:color w:val="000000"/>
                <w:szCs w:val="21"/>
              </w:rPr>
            </w:r>
            <w:r/>
          </w:p>
        </w:tc>
        <w:tc>
          <w:tcPr>
            <w:tcW w:w="1445" w:type="dxa"/>
            <w:vAlign w:val="top"/>
            <w:textDirection w:val="lrTb"/>
            <w:noWrap w:val="false"/>
          </w:tcPr>
          <w:p>
            <w:pPr>
              <w:pStyle w:val="895"/>
              <w:jc w:val="center"/>
              <w:rPr>
                <w:color w:val="000000"/>
                <w:szCs w:val="21"/>
              </w:rPr>
            </w:pPr>
            <w:r>
              <w:rPr>
                <w:color w:val="000000"/>
                <w:szCs w:val="21"/>
              </w:rPr>
            </w:r>
            <w:r/>
          </w:p>
        </w:tc>
        <w:tc>
          <w:tcPr>
            <w:tcW w:w="1524" w:type="dxa"/>
            <w:vAlign w:val="top"/>
            <w:textDirection w:val="lrTb"/>
            <w:noWrap w:val="false"/>
          </w:tcPr>
          <w:p>
            <w:pPr>
              <w:pStyle w:val="895"/>
              <w:jc w:val="center"/>
              <w:rPr>
                <w:color w:val="000000"/>
                <w:szCs w:val="21"/>
              </w:rPr>
            </w:pPr>
            <w:r>
              <w:rPr>
                <w:color w:val="000000"/>
                <w:szCs w:val="21"/>
              </w:rPr>
            </w:r>
            <w:r/>
          </w:p>
        </w:tc>
        <w:tc>
          <w:tcPr>
            <w:tcW w:w="2126" w:type="dxa"/>
            <w:vAlign w:val="top"/>
            <w:textDirection w:val="lrTb"/>
            <w:noWrap w:val="false"/>
          </w:tcPr>
          <w:p>
            <w:pPr>
              <w:pStyle w:val="895"/>
              <w:jc w:val="center"/>
              <w:rPr>
                <w:color w:val="000000"/>
                <w:szCs w:val="21"/>
              </w:rPr>
            </w:pPr>
            <w:r>
              <w:rPr>
                <w:color w:val="000000"/>
                <w:szCs w:val="21"/>
              </w:rPr>
            </w:r>
            <w:r/>
          </w:p>
        </w:tc>
        <w:tc>
          <w:tcPr>
            <w:tcW w:w="1843" w:type="dxa"/>
            <w:vAlign w:val="top"/>
            <w:textDirection w:val="lrTb"/>
            <w:noWrap w:val="false"/>
          </w:tcPr>
          <w:p>
            <w:pPr>
              <w:pStyle w:val="895"/>
              <w:jc w:val="center"/>
              <w:rPr>
                <w:color w:val="000000"/>
                <w:szCs w:val="21"/>
              </w:rPr>
            </w:pPr>
            <w:r>
              <w:rPr>
                <w:color w:val="000000"/>
                <w:szCs w:val="21"/>
              </w:rPr>
            </w:r>
            <w:r/>
          </w:p>
        </w:tc>
        <w:tc>
          <w:tcPr>
            <w:tcW w:w="1082" w:type="dxa"/>
            <w:vAlign w:val="top"/>
            <w:textDirection w:val="lrTb"/>
            <w:noWrap w:val="false"/>
          </w:tcPr>
          <w:p>
            <w:pPr>
              <w:pStyle w:val="895"/>
              <w:jc w:val="center"/>
              <w:rPr>
                <w:color w:val="000000"/>
                <w:szCs w:val="21"/>
              </w:rPr>
            </w:pPr>
            <w:r>
              <w:rPr>
                <w:color w:val="000000"/>
                <w:szCs w:val="21"/>
              </w:rPr>
            </w:r>
            <w:r/>
          </w:p>
        </w:tc>
      </w:tr>
      <w:tr>
        <w:trPr>
          <w:trHeight w:val="517"/>
        </w:trPr>
        <w:tc>
          <w:tcPr>
            <w:gridSpan w:val="6"/>
            <w:tcW w:w="8687" w:type="dxa"/>
            <w:vAlign w:val="top"/>
            <w:textDirection w:val="lrTb"/>
            <w:noWrap w:val="false"/>
          </w:tcPr>
          <w:p>
            <w:pPr>
              <w:pStyle w:val="895"/>
              <w:jc w:val="left"/>
              <w:rPr>
                <w:b/>
                <w:color w:val="000000"/>
                <w:szCs w:val="21"/>
              </w:rPr>
            </w:pPr>
            <w:r>
              <w:rPr>
                <w:rFonts w:hint="eastAsia"/>
                <w:b/>
                <w:color w:val="000000"/>
                <w:szCs w:val="21"/>
              </w:rPr>
              <w:t xml:space="preserve">注：</w:t>
            </w:r>
            <w:r>
              <w:rPr>
                <w:b/>
                <w:color w:val="000000"/>
                <w:szCs w:val="21"/>
              </w:rPr>
            </w:r>
            <w:r/>
          </w:p>
        </w:tc>
      </w:tr>
    </w:tbl>
    <w:p>
      <w:pPr>
        <w:pStyle w:val="895"/>
        <w:rPr>
          <w:color w:val="000000"/>
          <w:szCs w:val="21"/>
        </w:rPr>
      </w:pPr>
      <w:r>
        <w:rPr>
          <w:rFonts w:hint="eastAsia"/>
          <w:color w:val="000000"/>
          <w:szCs w:val="21"/>
        </w:rPr>
        <w:t xml:space="preserve">本表</w:t>
      </w:r>
      <w:r>
        <w:rPr>
          <w:rFonts w:hint="eastAsia" w:hAnsi="宋体"/>
          <w:color w:val="000000"/>
          <w:szCs w:val="21"/>
        </w:rPr>
        <w:t xml:space="preserve">仅供参考，各投标单位应根据各标段评分标准要求提供对应的材料或说明。</w:t>
      </w:r>
      <w:r>
        <w:rPr>
          <w:color w:val="000000"/>
          <w:szCs w:val="21"/>
        </w:rPr>
      </w:r>
      <w:r/>
    </w:p>
    <w:p>
      <w:pPr>
        <w:pStyle w:val="895"/>
        <w:rPr>
          <w:color w:val="000000"/>
          <w:szCs w:val="21"/>
        </w:rPr>
      </w:pPr>
      <w:r>
        <w:rPr>
          <w:color w:val="000000"/>
          <w:szCs w:val="21"/>
        </w:rPr>
      </w:r>
      <w:r/>
    </w:p>
    <w:p>
      <w:pPr>
        <w:pStyle w:val="935"/>
        <w:ind w:firstLine="600"/>
        <w:spacing w:before="156"/>
        <w:rPr>
          <w:color w:val="000000"/>
        </w:rPr>
      </w:pPr>
      <w:r>
        <w:rPr>
          <w:color w:val="000000"/>
        </w:rPr>
      </w:r>
      <w:r/>
    </w:p>
    <w:p>
      <w:pPr>
        <w:pStyle w:val="895"/>
        <w:rPr>
          <w:rFonts w:ascii="宋体" w:hAnsi="宋体"/>
          <w:b/>
          <w:color w:val="000000"/>
          <w:sz w:val="24"/>
        </w:rPr>
      </w:pPr>
      <w:r>
        <w:rPr>
          <w:rFonts w:ascii="宋体" w:hAnsi="宋体"/>
          <w:b/>
          <w:color w:val="000000"/>
          <w:sz w:val="28"/>
          <w:szCs w:val="28"/>
        </w:rPr>
        <w:br w:type="page" w:clear="all"/>
      </w:r>
      <w:r>
        <w:rPr>
          <w:rFonts w:hint="eastAsia" w:ascii="宋体" w:hAnsi="宋体"/>
          <w:b/>
          <w:color w:val="000000"/>
          <w:sz w:val="24"/>
        </w:rPr>
        <w:t xml:space="preserve">附表1-8</w:t>
      </w:r>
      <w:r>
        <w:rPr>
          <w:rFonts w:ascii="宋体" w:hAnsi="宋体"/>
          <w:b/>
          <w:color w:val="000000"/>
          <w:sz w:val="24"/>
        </w:rPr>
      </w:r>
      <w:r/>
    </w:p>
    <w:p>
      <w:pPr>
        <w:pStyle w:val="895"/>
        <w:jc w:val="center"/>
        <w:rPr>
          <w:b/>
          <w:color w:val="000000"/>
          <w:sz w:val="28"/>
          <w:szCs w:val="28"/>
        </w:rPr>
      </w:pPr>
      <w:r>
        <w:rPr>
          <w:rFonts w:hint="eastAsia"/>
          <w:b/>
          <w:color w:val="000000"/>
          <w:sz w:val="28"/>
          <w:szCs w:val="28"/>
        </w:rPr>
        <w:t xml:space="preserve">参加环境技能类比赛情况一览表</w:t>
      </w:r>
      <w:r>
        <w:rPr>
          <w:b/>
          <w:color w:val="000000"/>
          <w:sz w:val="28"/>
          <w:szCs w:val="28"/>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2"/>
        <w:gridCol w:w="1608"/>
        <w:gridCol w:w="2116"/>
        <w:gridCol w:w="2573"/>
      </w:tblGrid>
      <w:tr>
        <w:trPr>
          <w:trHeight w:val="496"/>
        </w:trPr>
        <w:tc>
          <w:tcPr>
            <w:tcW w:w="2512" w:type="dxa"/>
            <w:vAlign w:val="top"/>
            <w:textDirection w:val="lrTb"/>
            <w:noWrap w:val="false"/>
          </w:tcPr>
          <w:p>
            <w:pPr>
              <w:pStyle w:val="895"/>
              <w:jc w:val="center"/>
              <w:rPr>
                <w:b/>
                <w:color w:val="000000"/>
                <w:szCs w:val="21"/>
              </w:rPr>
            </w:pPr>
            <w:r>
              <w:rPr>
                <w:rFonts w:hint="eastAsia"/>
                <w:b/>
                <w:color w:val="000000"/>
                <w:szCs w:val="21"/>
              </w:rPr>
              <w:t xml:space="preserve">名称</w:t>
            </w:r>
            <w:r>
              <w:rPr>
                <w:b/>
                <w:color w:val="000000"/>
                <w:szCs w:val="21"/>
              </w:rPr>
            </w:r>
            <w:r/>
          </w:p>
        </w:tc>
        <w:tc>
          <w:tcPr>
            <w:tcW w:w="1608" w:type="dxa"/>
            <w:vAlign w:val="top"/>
            <w:textDirection w:val="lrTb"/>
            <w:noWrap w:val="false"/>
          </w:tcPr>
          <w:p>
            <w:pPr>
              <w:pStyle w:val="895"/>
              <w:jc w:val="center"/>
              <w:rPr>
                <w:b/>
                <w:color w:val="000000"/>
                <w:szCs w:val="21"/>
              </w:rPr>
            </w:pPr>
            <w:r>
              <w:rPr>
                <w:rFonts w:hint="eastAsia"/>
                <w:b/>
                <w:color w:val="000000"/>
                <w:szCs w:val="21"/>
              </w:rPr>
              <w:t xml:space="preserve">是否参加</w:t>
            </w:r>
            <w:r>
              <w:rPr>
                <w:b/>
                <w:color w:val="000000"/>
                <w:szCs w:val="21"/>
              </w:rPr>
            </w:r>
            <w:r/>
          </w:p>
        </w:tc>
        <w:tc>
          <w:tcPr>
            <w:tcW w:w="2116" w:type="dxa"/>
            <w:vAlign w:val="top"/>
            <w:textDirection w:val="lrTb"/>
            <w:noWrap w:val="false"/>
          </w:tcPr>
          <w:p>
            <w:pPr>
              <w:pStyle w:val="895"/>
              <w:jc w:val="center"/>
              <w:rPr>
                <w:rFonts w:hint="eastAsia"/>
                <w:b/>
                <w:color w:val="000000"/>
                <w:szCs w:val="21"/>
              </w:rPr>
            </w:pPr>
            <w:r>
              <w:rPr>
                <w:rFonts w:hint="eastAsia"/>
                <w:b/>
                <w:color w:val="000000"/>
                <w:szCs w:val="21"/>
              </w:rPr>
              <w:t xml:space="preserve">参加时间</w:t>
            </w:r>
            <w:r/>
          </w:p>
        </w:tc>
        <w:tc>
          <w:tcPr>
            <w:tcW w:w="2573" w:type="dxa"/>
            <w:vAlign w:val="top"/>
            <w:textDirection w:val="lrTb"/>
            <w:noWrap w:val="false"/>
          </w:tcPr>
          <w:p>
            <w:pPr>
              <w:pStyle w:val="895"/>
              <w:jc w:val="center"/>
              <w:rPr>
                <w:b/>
                <w:color w:val="000000"/>
                <w:szCs w:val="21"/>
              </w:rPr>
            </w:pPr>
            <w:r>
              <w:rPr>
                <w:rFonts w:hint="eastAsia"/>
                <w:b/>
                <w:color w:val="000000"/>
                <w:szCs w:val="21"/>
              </w:rPr>
              <w:t xml:space="preserve">获奖情况</w:t>
            </w:r>
            <w:r>
              <w:rPr>
                <w:b/>
                <w:color w:val="000000"/>
                <w:szCs w:val="21"/>
              </w:rPr>
            </w:r>
            <w:r/>
          </w:p>
        </w:tc>
      </w:tr>
      <w:tr>
        <w:trPr>
          <w:trHeight w:val="521"/>
        </w:trPr>
        <w:tc>
          <w:tcPr>
            <w:tcW w:w="2512" w:type="dxa"/>
            <w:vAlign w:val="top"/>
            <w:textDirection w:val="lrTb"/>
            <w:noWrap w:val="false"/>
          </w:tcPr>
          <w:p>
            <w:pPr>
              <w:pStyle w:val="895"/>
              <w:jc w:val="center"/>
              <w:rPr>
                <w:color w:val="000000"/>
                <w:szCs w:val="21"/>
              </w:rPr>
            </w:pPr>
            <w:r>
              <w:rPr>
                <w:color w:val="000000"/>
                <w:szCs w:val="21"/>
              </w:rPr>
            </w:r>
            <w:r/>
          </w:p>
        </w:tc>
        <w:tc>
          <w:tcPr>
            <w:tcW w:w="1608" w:type="dxa"/>
            <w:vAlign w:val="top"/>
            <w:textDirection w:val="lrTb"/>
            <w:noWrap w:val="false"/>
          </w:tcPr>
          <w:p>
            <w:pPr>
              <w:pStyle w:val="895"/>
              <w:jc w:val="center"/>
              <w:rPr>
                <w:color w:val="000000"/>
                <w:szCs w:val="21"/>
              </w:rPr>
            </w:pPr>
            <w:r>
              <w:rPr>
                <w:color w:val="000000"/>
                <w:szCs w:val="21"/>
              </w:rPr>
            </w:r>
            <w:r/>
          </w:p>
        </w:tc>
        <w:tc>
          <w:tcPr>
            <w:tcW w:w="2116" w:type="dxa"/>
            <w:vAlign w:val="top"/>
            <w:textDirection w:val="lrTb"/>
            <w:noWrap w:val="false"/>
          </w:tcPr>
          <w:p>
            <w:pPr>
              <w:pStyle w:val="895"/>
              <w:jc w:val="center"/>
              <w:rPr>
                <w:color w:val="000000"/>
                <w:szCs w:val="21"/>
              </w:rPr>
            </w:pPr>
            <w:r>
              <w:rPr>
                <w:color w:val="000000"/>
                <w:szCs w:val="21"/>
              </w:rPr>
            </w:r>
            <w:r/>
          </w:p>
        </w:tc>
        <w:tc>
          <w:tcPr>
            <w:tcW w:w="2573" w:type="dxa"/>
            <w:vAlign w:val="top"/>
            <w:textDirection w:val="lrTb"/>
            <w:noWrap w:val="false"/>
          </w:tcPr>
          <w:p>
            <w:pPr>
              <w:pStyle w:val="895"/>
              <w:jc w:val="center"/>
              <w:rPr>
                <w:color w:val="000000"/>
                <w:szCs w:val="21"/>
              </w:rPr>
            </w:pPr>
            <w:r>
              <w:rPr>
                <w:color w:val="000000"/>
                <w:szCs w:val="21"/>
              </w:rPr>
            </w:r>
            <w:r/>
          </w:p>
        </w:tc>
      </w:tr>
      <w:tr>
        <w:trPr>
          <w:trHeight w:val="496"/>
        </w:trPr>
        <w:tc>
          <w:tcPr>
            <w:tcW w:w="2512" w:type="dxa"/>
            <w:vAlign w:val="top"/>
            <w:textDirection w:val="lrTb"/>
            <w:noWrap w:val="false"/>
          </w:tcPr>
          <w:p>
            <w:pPr>
              <w:pStyle w:val="895"/>
              <w:jc w:val="center"/>
              <w:rPr>
                <w:color w:val="000000"/>
                <w:szCs w:val="21"/>
              </w:rPr>
            </w:pPr>
            <w:r>
              <w:rPr>
                <w:color w:val="000000"/>
                <w:szCs w:val="21"/>
              </w:rPr>
            </w:r>
            <w:r/>
          </w:p>
        </w:tc>
        <w:tc>
          <w:tcPr>
            <w:tcW w:w="1608" w:type="dxa"/>
            <w:vAlign w:val="top"/>
            <w:textDirection w:val="lrTb"/>
            <w:noWrap w:val="false"/>
          </w:tcPr>
          <w:p>
            <w:pPr>
              <w:pStyle w:val="895"/>
              <w:jc w:val="center"/>
              <w:rPr>
                <w:color w:val="000000"/>
                <w:szCs w:val="21"/>
              </w:rPr>
            </w:pPr>
            <w:r>
              <w:rPr>
                <w:color w:val="000000"/>
                <w:szCs w:val="21"/>
              </w:rPr>
            </w:r>
            <w:r/>
          </w:p>
        </w:tc>
        <w:tc>
          <w:tcPr>
            <w:tcW w:w="2116" w:type="dxa"/>
            <w:vAlign w:val="top"/>
            <w:textDirection w:val="lrTb"/>
            <w:noWrap w:val="false"/>
          </w:tcPr>
          <w:p>
            <w:pPr>
              <w:pStyle w:val="895"/>
              <w:jc w:val="center"/>
              <w:rPr>
                <w:color w:val="000000"/>
                <w:szCs w:val="21"/>
              </w:rPr>
            </w:pPr>
            <w:r>
              <w:rPr>
                <w:color w:val="000000"/>
                <w:szCs w:val="21"/>
              </w:rPr>
            </w:r>
            <w:r/>
          </w:p>
        </w:tc>
        <w:tc>
          <w:tcPr>
            <w:tcW w:w="2573" w:type="dxa"/>
            <w:vAlign w:val="top"/>
            <w:textDirection w:val="lrTb"/>
            <w:noWrap w:val="false"/>
          </w:tcPr>
          <w:p>
            <w:pPr>
              <w:pStyle w:val="895"/>
              <w:jc w:val="center"/>
              <w:rPr>
                <w:color w:val="000000"/>
                <w:szCs w:val="21"/>
              </w:rPr>
            </w:pPr>
            <w:r>
              <w:rPr>
                <w:color w:val="000000"/>
                <w:szCs w:val="21"/>
              </w:rPr>
            </w:r>
            <w:r/>
          </w:p>
        </w:tc>
      </w:tr>
      <w:tr>
        <w:trPr>
          <w:trHeight w:val="521"/>
        </w:trPr>
        <w:tc>
          <w:tcPr>
            <w:tcW w:w="2512" w:type="dxa"/>
            <w:vAlign w:val="top"/>
            <w:textDirection w:val="lrTb"/>
            <w:noWrap w:val="false"/>
          </w:tcPr>
          <w:p>
            <w:pPr>
              <w:pStyle w:val="895"/>
              <w:jc w:val="center"/>
              <w:rPr>
                <w:color w:val="000000"/>
                <w:szCs w:val="21"/>
              </w:rPr>
            </w:pPr>
            <w:r>
              <w:rPr>
                <w:color w:val="000000"/>
                <w:szCs w:val="21"/>
              </w:rPr>
            </w:r>
            <w:r/>
          </w:p>
        </w:tc>
        <w:tc>
          <w:tcPr>
            <w:tcW w:w="1608" w:type="dxa"/>
            <w:vAlign w:val="top"/>
            <w:textDirection w:val="lrTb"/>
            <w:noWrap w:val="false"/>
          </w:tcPr>
          <w:p>
            <w:pPr>
              <w:pStyle w:val="895"/>
              <w:jc w:val="center"/>
              <w:rPr>
                <w:color w:val="000000"/>
                <w:szCs w:val="21"/>
              </w:rPr>
            </w:pPr>
            <w:r>
              <w:rPr>
                <w:color w:val="000000"/>
                <w:szCs w:val="21"/>
              </w:rPr>
            </w:r>
            <w:r/>
          </w:p>
        </w:tc>
        <w:tc>
          <w:tcPr>
            <w:tcW w:w="2116" w:type="dxa"/>
            <w:vAlign w:val="top"/>
            <w:textDirection w:val="lrTb"/>
            <w:noWrap w:val="false"/>
          </w:tcPr>
          <w:p>
            <w:pPr>
              <w:pStyle w:val="895"/>
              <w:jc w:val="center"/>
              <w:rPr>
                <w:color w:val="000000"/>
                <w:szCs w:val="21"/>
              </w:rPr>
            </w:pPr>
            <w:r>
              <w:rPr>
                <w:color w:val="000000"/>
                <w:szCs w:val="21"/>
              </w:rPr>
            </w:r>
            <w:r/>
          </w:p>
        </w:tc>
        <w:tc>
          <w:tcPr>
            <w:tcW w:w="2573" w:type="dxa"/>
            <w:vAlign w:val="top"/>
            <w:textDirection w:val="lrTb"/>
            <w:noWrap w:val="false"/>
          </w:tcPr>
          <w:p>
            <w:pPr>
              <w:pStyle w:val="895"/>
              <w:jc w:val="center"/>
              <w:rPr>
                <w:color w:val="000000"/>
                <w:szCs w:val="21"/>
              </w:rPr>
            </w:pPr>
            <w:r>
              <w:rPr>
                <w:color w:val="000000"/>
                <w:szCs w:val="21"/>
              </w:rPr>
            </w:r>
            <w:r/>
          </w:p>
        </w:tc>
      </w:tr>
      <w:tr>
        <w:trPr>
          <w:trHeight w:val="521"/>
        </w:trPr>
        <w:tc>
          <w:tcPr>
            <w:tcW w:w="2512" w:type="dxa"/>
            <w:vAlign w:val="top"/>
            <w:textDirection w:val="lrTb"/>
            <w:noWrap w:val="false"/>
          </w:tcPr>
          <w:p>
            <w:pPr>
              <w:pStyle w:val="895"/>
              <w:jc w:val="center"/>
              <w:rPr>
                <w:color w:val="000000"/>
                <w:szCs w:val="21"/>
              </w:rPr>
            </w:pPr>
            <w:r>
              <w:rPr>
                <w:color w:val="000000"/>
                <w:szCs w:val="21"/>
              </w:rPr>
            </w:r>
            <w:r/>
          </w:p>
        </w:tc>
        <w:tc>
          <w:tcPr>
            <w:tcW w:w="1608" w:type="dxa"/>
            <w:vAlign w:val="top"/>
            <w:textDirection w:val="lrTb"/>
            <w:noWrap w:val="false"/>
          </w:tcPr>
          <w:p>
            <w:pPr>
              <w:pStyle w:val="895"/>
              <w:jc w:val="center"/>
              <w:rPr>
                <w:color w:val="000000"/>
                <w:szCs w:val="21"/>
              </w:rPr>
            </w:pPr>
            <w:r>
              <w:rPr>
                <w:color w:val="000000"/>
                <w:szCs w:val="21"/>
              </w:rPr>
            </w:r>
            <w:r/>
          </w:p>
        </w:tc>
        <w:tc>
          <w:tcPr>
            <w:tcW w:w="2116" w:type="dxa"/>
            <w:vAlign w:val="top"/>
            <w:textDirection w:val="lrTb"/>
            <w:noWrap w:val="false"/>
          </w:tcPr>
          <w:p>
            <w:pPr>
              <w:pStyle w:val="895"/>
              <w:jc w:val="center"/>
              <w:rPr>
                <w:color w:val="000000"/>
                <w:szCs w:val="21"/>
              </w:rPr>
            </w:pPr>
            <w:r>
              <w:rPr>
                <w:color w:val="000000"/>
                <w:szCs w:val="21"/>
              </w:rPr>
            </w:r>
            <w:r/>
          </w:p>
        </w:tc>
        <w:tc>
          <w:tcPr>
            <w:tcW w:w="2573" w:type="dxa"/>
            <w:vAlign w:val="top"/>
            <w:textDirection w:val="lrTb"/>
            <w:noWrap w:val="false"/>
          </w:tcPr>
          <w:p>
            <w:pPr>
              <w:pStyle w:val="895"/>
              <w:jc w:val="center"/>
              <w:rPr>
                <w:color w:val="000000"/>
                <w:szCs w:val="21"/>
              </w:rPr>
            </w:pPr>
            <w:r>
              <w:rPr>
                <w:color w:val="000000"/>
                <w:szCs w:val="21"/>
              </w:rPr>
            </w:r>
            <w:r/>
          </w:p>
        </w:tc>
      </w:tr>
    </w:tbl>
    <w:p>
      <w:pPr>
        <w:pStyle w:val="895"/>
        <w:rPr>
          <w:rFonts w:ascii="宋体" w:hAnsi="宋体"/>
          <w:color w:val="000000"/>
          <w:szCs w:val="21"/>
        </w:rPr>
      </w:pPr>
      <w:r>
        <w:rPr>
          <w:rFonts w:hint="eastAsia" w:ascii="宋体" w:hAnsi="宋体"/>
          <w:color w:val="000000"/>
          <w:szCs w:val="21"/>
        </w:rPr>
        <w:t xml:space="preserve">注：相关参加比赛证明及</w:t>
      </w:r>
      <w:r>
        <w:rPr>
          <w:rFonts w:hint="eastAsia" w:ascii="宋体" w:hAnsi="宋体"/>
          <w:b/>
          <w:color w:val="000000"/>
          <w:szCs w:val="21"/>
        </w:rPr>
        <w:t xml:space="preserve">获奖</w:t>
      </w:r>
      <w:r>
        <w:rPr>
          <w:rFonts w:hint="eastAsia" w:ascii="宋体" w:hAnsi="宋体"/>
          <w:color w:val="000000"/>
          <w:szCs w:val="21"/>
        </w:rPr>
        <w:t xml:space="preserve">证书等附后</w:t>
      </w:r>
      <w:r>
        <w:rPr>
          <w:rFonts w:hint="eastAsia"/>
          <w:color w:val="000000"/>
          <w:szCs w:val="21"/>
        </w:rPr>
        <w:t xml:space="preserve">。</w:t>
      </w:r>
      <w:r>
        <w:rPr>
          <w:rFonts w:ascii="宋体" w:hAnsi="宋体"/>
          <w:color w:val="000000"/>
          <w:szCs w:val="21"/>
        </w:rPr>
      </w:r>
      <w:r/>
    </w:p>
    <w:p>
      <w:pPr>
        <w:pStyle w:val="895"/>
        <w:rPr>
          <w:color w:val="000000"/>
          <w:sz w:val="24"/>
        </w:rPr>
      </w:pPr>
      <w:r>
        <w:rPr>
          <w:color w:val="000000"/>
          <w:sz w:val="24"/>
        </w:rPr>
      </w:r>
      <w:r/>
    </w:p>
    <w:p>
      <w:pPr>
        <w:pStyle w:val="895"/>
        <w:rPr>
          <w:color w:val="000000"/>
          <w:sz w:val="24"/>
        </w:rPr>
      </w:pPr>
      <w:r>
        <w:rPr>
          <w:color w:val="000000"/>
          <w:sz w:val="24"/>
        </w:rPr>
      </w:r>
      <w:r/>
    </w:p>
    <w:p>
      <w:pPr>
        <w:pStyle w:val="895"/>
        <w:rPr>
          <w:color w:val="000000"/>
          <w:sz w:val="24"/>
        </w:rPr>
      </w:pPr>
      <w:r>
        <w:rPr>
          <w:color w:val="000000"/>
          <w:sz w:val="24"/>
        </w:rPr>
      </w:r>
      <w:r/>
    </w:p>
    <w:p>
      <w:pPr>
        <w:pStyle w:val="895"/>
        <w:rPr>
          <w:b/>
          <w:color w:val="000000"/>
          <w:sz w:val="24"/>
        </w:rPr>
      </w:pPr>
      <w:r/>
      <w:bookmarkStart w:id="134" w:name="OLE_LINK23"/>
      <w:r>
        <w:rPr>
          <w:b/>
          <w:color w:val="000000"/>
          <w:sz w:val="24"/>
        </w:rPr>
      </w:r>
      <w:r/>
    </w:p>
    <w:p>
      <w:pPr>
        <w:pStyle w:val="895"/>
        <w:rPr>
          <w:rFonts w:hint="eastAsia"/>
          <w:b/>
          <w:color w:val="000000"/>
          <w:sz w:val="24"/>
        </w:rPr>
      </w:pPr>
      <w:r>
        <w:rPr>
          <w:rFonts w:hint="eastAsia"/>
          <w:b/>
          <w:color w:val="000000"/>
          <w:sz w:val="24"/>
        </w:rPr>
        <w:t xml:space="preserve">附表1-9</w:t>
      </w:r>
      <w:r/>
    </w:p>
    <w:p>
      <w:pPr>
        <w:pStyle w:val="895"/>
        <w:jc w:val="center"/>
        <w:rPr>
          <w:b/>
          <w:color w:val="000000"/>
          <w:sz w:val="28"/>
          <w:szCs w:val="28"/>
        </w:rPr>
      </w:pPr>
      <w:r>
        <w:rPr>
          <w:rFonts w:hint="eastAsia"/>
          <w:b/>
          <w:color w:val="000000"/>
          <w:sz w:val="28"/>
          <w:szCs w:val="28"/>
        </w:rPr>
        <w:t xml:space="preserve">能力验证状况一览表（20</w:t>
      </w:r>
      <w:r>
        <w:rPr>
          <w:rFonts w:hint="eastAsia"/>
          <w:b/>
          <w:color w:val="000000"/>
          <w:sz w:val="28"/>
          <w:szCs w:val="28"/>
          <w:u w:val="single"/>
        </w:rPr>
        <w:t xml:space="preserve">   </w:t>
      </w:r>
      <w:r>
        <w:rPr>
          <w:rFonts w:hint="eastAsia"/>
          <w:b/>
          <w:color w:val="000000"/>
          <w:sz w:val="28"/>
          <w:szCs w:val="28"/>
        </w:rPr>
        <w:t xml:space="preserve">年以来的）</w:t>
      </w:r>
      <w:r>
        <w:rPr>
          <w:b/>
          <w:color w:val="000000"/>
          <w:sz w:val="28"/>
          <w:szCs w:val="28"/>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99"/>
        <w:gridCol w:w="1839"/>
        <w:gridCol w:w="1839"/>
        <w:gridCol w:w="1839"/>
      </w:tblGrid>
      <w:tr>
        <w:trPr>
          <w:trHeight w:val="533"/>
        </w:trPr>
        <w:tc>
          <w:tcPr>
            <w:tcW w:w="3399" w:type="dxa"/>
            <w:vAlign w:val="top"/>
            <w:textDirection w:val="lrTb"/>
            <w:noWrap w:val="false"/>
          </w:tcPr>
          <w:p>
            <w:pPr>
              <w:pStyle w:val="895"/>
              <w:jc w:val="center"/>
              <w:rPr>
                <w:b/>
                <w:color w:val="000000"/>
                <w:szCs w:val="21"/>
              </w:rPr>
            </w:pPr>
            <w:r>
              <w:rPr>
                <w:rFonts w:hint="eastAsia"/>
                <w:b/>
                <w:color w:val="000000"/>
                <w:szCs w:val="21"/>
              </w:rPr>
              <w:t xml:space="preserve">组织单位</w:t>
            </w:r>
            <w:r>
              <w:rPr>
                <w:b/>
                <w:color w:val="000000"/>
                <w:szCs w:val="21"/>
              </w:rPr>
            </w:r>
            <w:r/>
          </w:p>
        </w:tc>
        <w:tc>
          <w:tcPr>
            <w:tcW w:w="1839" w:type="dxa"/>
            <w:vAlign w:val="top"/>
            <w:textDirection w:val="lrTb"/>
            <w:noWrap w:val="false"/>
          </w:tcPr>
          <w:p>
            <w:pPr>
              <w:pStyle w:val="895"/>
              <w:jc w:val="center"/>
              <w:rPr>
                <w:b/>
                <w:color w:val="000000"/>
                <w:szCs w:val="21"/>
              </w:rPr>
            </w:pPr>
            <w:r>
              <w:rPr>
                <w:rFonts w:hint="eastAsia"/>
                <w:b/>
                <w:color w:val="000000"/>
                <w:szCs w:val="21"/>
              </w:rPr>
              <w:t xml:space="preserve">考核时间</w:t>
            </w:r>
            <w:r>
              <w:rPr>
                <w:b/>
                <w:color w:val="000000"/>
                <w:szCs w:val="21"/>
              </w:rPr>
            </w:r>
            <w:r/>
          </w:p>
        </w:tc>
        <w:tc>
          <w:tcPr>
            <w:tcW w:w="1839" w:type="dxa"/>
            <w:vAlign w:val="top"/>
            <w:textDirection w:val="lrTb"/>
            <w:noWrap w:val="false"/>
          </w:tcPr>
          <w:p>
            <w:pPr>
              <w:pStyle w:val="895"/>
              <w:jc w:val="center"/>
              <w:rPr>
                <w:b/>
                <w:color w:val="000000"/>
                <w:szCs w:val="21"/>
              </w:rPr>
            </w:pPr>
            <w:r>
              <w:rPr>
                <w:rFonts w:hint="eastAsia"/>
                <w:b/>
                <w:color w:val="000000"/>
                <w:szCs w:val="21"/>
              </w:rPr>
              <w:t xml:space="preserve">考核项目</w:t>
            </w:r>
            <w:r>
              <w:rPr>
                <w:b/>
                <w:color w:val="000000"/>
                <w:szCs w:val="21"/>
              </w:rPr>
            </w:r>
            <w:r/>
          </w:p>
        </w:tc>
        <w:tc>
          <w:tcPr>
            <w:tcW w:w="1839" w:type="dxa"/>
            <w:vAlign w:val="top"/>
            <w:textDirection w:val="lrTb"/>
            <w:noWrap w:val="false"/>
          </w:tcPr>
          <w:p>
            <w:pPr>
              <w:pStyle w:val="895"/>
              <w:jc w:val="center"/>
              <w:rPr>
                <w:b/>
                <w:color w:val="000000"/>
                <w:szCs w:val="21"/>
              </w:rPr>
            </w:pPr>
            <w:r>
              <w:rPr>
                <w:rFonts w:hint="eastAsia"/>
                <w:b/>
                <w:color w:val="000000"/>
                <w:szCs w:val="21"/>
              </w:rPr>
              <w:t xml:space="preserve">通过情况</w:t>
            </w:r>
            <w:r>
              <w:rPr>
                <w:b/>
                <w:color w:val="000000"/>
                <w:szCs w:val="21"/>
              </w:rPr>
            </w:r>
            <w:r/>
          </w:p>
        </w:tc>
      </w:tr>
      <w:tr>
        <w:trPr>
          <w:trHeight w:val="559"/>
        </w:trPr>
        <w:tc>
          <w:tcPr>
            <w:tcW w:w="3399" w:type="dxa"/>
            <w:vAlign w:val="top"/>
            <w:textDirection w:val="lrTb"/>
            <w:noWrap w:val="false"/>
          </w:tcPr>
          <w:p>
            <w:pPr>
              <w:pStyle w:val="895"/>
              <w:jc w:val="center"/>
              <w:rPr>
                <w:color w:val="000000"/>
                <w:szCs w:val="21"/>
              </w:rPr>
            </w:pPr>
            <w:r>
              <w:rPr>
                <w:color w:val="000000"/>
                <w:szCs w:val="21"/>
              </w:rPr>
            </w:r>
            <w:r/>
          </w:p>
        </w:tc>
        <w:tc>
          <w:tcPr>
            <w:tcW w:w="1839" w:type="dxa"/>
            <w:vAlign w:val="top"/>
            <w:textDirection w:val="lrTb"/>
            <w:noWrap w:val="false"/>
          </w:tcPr>
          <w:p>
            <w:pPr>
              <w:pStyle w:val="895"/>
              <w:jc w:val="center"/>
              <w:rPr>
                <w:color w:val="000000"/>
                <w:szCs w:val="21"/>
              </w:rPr>
            </w:pPr>
            <w:r>
              <w:rPr>
                <w:color w:val="000000"/>
                <w:szCs w:val="21"/>
              </w:rPr>
            </w:r>
            <w:r/>
          </w:p>
        </w:tc>
        <w:tc>
          <w:tcPr>
            <w:tcW w:w="1839" w:type="dxa"/>
            <w:vAlign w:val="top"/>
            <w:textDirection w:val="lrTb"/>
            <w:noWrap w:val="false"/>
          </w:tcPr>
          <w:p>
            <w:pPr>
              <w:pStyle w:val="895"/>
              <w:jc w:val="center"/>
              <w:rPr>
                <w:color w:val="000000"/>
                <w:szCs w:val="21"/>
              </w:rPr>
            </w:pPr>
            <w:r>
              <w:rPr>
                <w:color w:val="000000"/>
                <w:szCs w:val="21"/>
              </w:rPr>
            </w:r>
            <w:r/>
          </w:p>
        </w:tc>
        <w:tc>
          <w:tcPr>
            <w:tcW w:w="1839" w:type="dxa"/>
            <w:vAlign w:val="top"/>
            <w:textDirection w:val="lrTb"/>
            <w:noWrap w:val="false"/>
          </w:tcPr>
          <w:p>
            <w:pPr>
              <w:pStyle w:val="895"/>
              <w:jc w:val="center"/>
              <w:rPr>
                <w:color w:val="000000"/>
                <w:szCs w:val="21"/>
              </w:rPr>
            </w:pPr>
            <w:r>
              <w:rPr>
                <w:color w:val="000000"/>
                <w:szCs w:val="21"/>
              </w:rPr>
            </w:r>
            <w:r/>
          </w:p>
        </w:tc>
      </w:tr>
      <w:tr>
        <w:trPr>
          <w:trHeight w:val="533"/>
        </w:trPr>
        <w:tc>
          <w:tcPr>
            <w:tcW w:w="3399" w:type="dxa"/>
            <w:vAlign w:val="top"/>
            <w:textDirection w:val="lrTb"/>
            <w:noWrap w:val="false"/>
          </w:tcPr>
          <w:p>
            <w:pPr>
              <w:pStyle w:val="895"/>
              <w:jc w:val="center"/>
              <w:rPr>
                <w:color w:val="000000"/>
                <w:szCs w:val="21"/>
              </w:rPr>
            </w:pPr>
            <w:r>
              <w:rPr>
                <w:color w:val="000000"/>
                <w:szCs w:val="21"/>
              </w:rPr>
            </w:r>
            <w:r/>
          </w:p>
        </w:tc>
        <w:tc>
          <w:tcPr>
            <w:tcW w:w="1839" w:type="dxa"/>
            <w:vAlign w:val="top"/>
            <w:textDirection w:val="lrTb"/>
            <w:noWrap w:val="false"/>
          </w:tcPr>
          <w:p>
            <w:pPr>
              <w:pStyle w:val="895"/>
              <w:jc w:val="center"/>
              <w:rPr>
                <w:color w:val="000000"/>
                <w:szCs w:val="21"/>
              </w:rPr>
            </w:pPr>
            <w:r>
              <w:rPr>
                <w:color w:val="000000"/>
                <w:szCs w:val="21"/>
              </w:rPr>
            </w:r>
            <w:r/>
          </w:p>
        </w:tc>
        <w:tc>
          <w:tcPr>
            <w:tcW w:w="1839" w:type="dxa"/>
            <w:vAlign w:val="top"/>
            <w:textDirection w:val="lrTb"/>
            <w:noWrap w:val="false"/>
          </w:tcPr>
          <w:p>
            <w:pPr>
              <w:pStyle w:val="895"/>
              <w:jc w:val="center"/>
              <w:rPr>
                <w:color w:val="000000"/>
                <w:szCs w:val="21"/>
              </w:rPr>
            </w:pPr>
            <w:r>
              <w:rPr>
                <w:color w:val="000000"/>
                <w:szCs w:val="21"/>
              </w:rPr>
            </w:r>
            <w:r/>
          </w:p>
        </w:tc>
        <w:tc>
          <w:tcPr>
            <w:tcW w:w="1839" w:type="dxa"/>
            <w:vAlign w:val="top"/>
            <w:textDirection w:val="lrTb"/>
            <w:noWrap w:val="false"/>
          </w:tcPr>
          <w:p>
            <w:pPr>
              <w:pStyle w:val="895"/>
              <w:jc w:val="center"/>
              <w:rPr>
                <w:color w:val="000000"/>
                <w:szCs w:val="21"/>
              </w:rPr>
            </w:pPr>
            <w:r>
              <w:rPr>
                <w:color w:val="000000"/>
                <w:szCs w:val="21"/>
              </w:rPr>
            </w:r>
            <w:r/>
          </w:p>
        </w:tc>
      </w:tr>
      <w:tr>
        <w:trPr>
          <w:trHeight w:val="559"/>
        </w:trPr>
        <w:tc>
          <w:tcPr>
            <w:tcW w:w="3399" w:type="dxa"/>
            <w:vAlign w:val="top"/>
            <w:textDirection w:val="lrTb"/>
            <w:noWrap w:val="false"/>
          </w:tcPr>
          <w:p>
            <w:pPr>
              <w:pStyle w:val="895"/>
              <w:jc w:val="center"/>
              <w:rPr>
                <w:color w:val="000000"/>
                <w:szCs w:val="21"/>
              </w:rPr>
            </w:pPr>
            <w:r>
              <w:rPr>
                <w:color w:val="000000"/>
                <w:szCs w:val="21"/>
              </w:rPr>
            </w:r>
            <w:r/>
          </w:p>
        </w:tc>
        <w:tc>
          <w:tcPr>
            <w:tcW w:w="1839" w:type="dxa"/>
            <w:vAlign w:val="top"/>
            <w:textDirection w:val="lrTb"/>
            <w:noWrap w:val="false"/>
          </w:tcPr>
          <w:p>
            <w:pPr>
              <w:pStyle w:val="895"/>
              <w:jc w:val="center"/>
              <w:rPr>
                <w:color w:val="000000"/>
                <w:szCs w:val="21"/>
              </w:rPr>
            </w:pPr>
            <w:r>
              <w:rPr>
                <w:color w:val="000000"/>
                <w:szCs w:val="21"/>
              </w:rPr>
            </w:r>
            <w:r/>
          </w:p>
        </w:tc>
        <w:tc>
          <w:tcPr>
            <w:tcW w:w="1839" w:type="dxa"/>
            <w:vAlign w:val="top"/>
            <w:textDirection w:val="lrTb"/>
            <w:noWrap w:val="false"/>
          </w:tcPr>
          <w:p>
            <w:pPr>
              <w:pStyle w:val="895"/>
              <w:jc w:val="center"/>
              <w:rPr>
                <w:color w:val="000000"/>
                <w:szCs w:val="21"/>
              </w:rPr>
            </w:pPr>
            <w:r>
              <w:rPr>
                <w:color w:val="000000"/>
                <w:szCs w:val="21"/>
              </w:rPr>
            </w:r>
            <w:r/>
          </w:p>
        </w:tc>
        <w:tc>
          <w:tcPr>
            <w:tcW w:w="1839" w:type="dxa"/>
            <w:vAlign w:val="top"/>
            <w:textDirection w:val="lrTb"/>
            <w:noWrap w:val="false"/>
          </w:tcPr>
          <w:p>
            <w:pPr>
              <w:pStyle w:val="895"/>
              <w:jc w:val="center"/>
              <w:rPr>
                <w:color w:val="000000"/>
                <w:szCs w:val="21"/>
              </w:rPr>
            </w:pPr>
            <w:r>
              <w:rPr>
                <w:color w:val="000000"/>
                <w:szCs w:val="21"/>
              </w:rPr>
            </w:r>
            <w:r/>
          </w:p>
        </w:tc>
      </w:tr>
      <w:tr>
        <w:trPr>
          <w:trHeight w:val="559"/>
        </w:trPr>
        <w:tc>
          <w:tcPr>
            <w:tcW w:w="3399" w:type="dxa"/>
            <w:vAlign w:val="top"/>
            <w:textDirection w:val="lrTb"/>
            <w:noWrap w:val="false"/>
          </w:tcPr>
          <w:p>
            <w:pPr>
              <w:pStyle w:val="895"/>
              <w:jc w:val="center"/>
              <w:rPr>
                <w:color w:val="000000"/>
                <w:szCs w:val="21"/>
              </w:rPr>
            </w:pPr>
            <w:r>
              <w:rPr>
                <w:color w:val="000000"/>
                <w:szCs w:val="21"/>
              </w:rPr>
            </w:r>
            <w:r/>
          </w:p>
        </w:tc>
        <w:tc>
          <w:tcPr>
            <w:tcW w:w="1839" w:type="dxa"/>
            <w:vAlign w:val="top"/>
            <w:textDirection w:val="lrTb"/>
            <w:noWrap w:val="false"/>
          </w:tcPr>
          <w:p>
            <w:pPr>
              <w:pStyle w:val="895"/>
              <w:jc w:val="center"/>
              <w:rPr>
                <w:color w:val="000000"/>
                <w:szCs w:val="21"/>
              </w:rPr>
            </w:pPr>
            <w:r>
              <w:rPr>
                <w:color w:val="000000"/>
                <w:szCs w:val="21"/>
              </w:rPr>
            </w:r>
            <w:r/>
          </w:p>
        </w:tc>
        <w:tc>
          <w:tcPr>
            <w:tcW w:w="1839" w:type="dxa"/>
            <w:vAlign w:val="top"/>
            <w:textDirection w:val="lrTb"/>
            <w:noWrap w:val="false"/>
          </w:tcPr>
          <w:p>
            <w:pPr>
              <w:pStyle w:val="895"/>
              <w:jc w:val="center"/>
              <w:rPr>
                <w:color w:val="000000"/>
                <w:szCs w:val="21"/>
              </w:rPr>
            </w:pPr>
            <w:r>
              <w:rPr>
                <w:color w:val="000000"/>
                <w:szCs w:val="21"/>
              </w:rPr>
            </w:r>
            <w:r/>
          </w:p>
        </w:tc>
        <w:tc>
          <w:tcPr>
            <w:tcW w:w="1839" w:type="dxa"/>
            <w:vAlign w:val="top"/>
            <w:textDirection w:val="lrTb"/>
            <w:noWrap w:val="false"/>
          </w:tcPr>
          <w:p>
            <w:pPr>
              <w:pStyle w:val="895"/>
              <w:jc w:val="center"/>
              <w:rPr>
                <w:color w:val="000000"/>
                <w:szCs w:val="21"/>
              </w:rPr>
            </w:pPr>
            <w:r>
              <w:rPr>
                <w:color w:val="000000"/>
                <w:szCs w:val="21"/>
              </w:rPr>
            </w:r>
            <w:r/>
          </w:p>
        </w:tc>
      </w:tr>
    </w:tbl>
    <w:p>
      <w:pPr>
        <w:pStyle w:val="895"/>
        <w:spacing w:line="400" w:lineRule="exact"/>
        <w:tabs>
          <w:tab w:val="left" w:pos="567" w:leader="none"/>
        </w:tabs>
        <w:rPr>
          <w:rFonts w:hint="eastAsia" w:cs="宋体"/>
          <w:color w:val="000000"/>
        </w:rPr>
      </w:pPr>
      <w:r>
        <w:rPr>
          <w:rFonts w:hint="eastAsia" w:cs="宋体"/>
          <w:color w:val="000000"/>
        </w:rPr>
        <w:t xml:space="preserve">提供有效证明材料，否则不得分。</w:t>
      </w:r>
      <w:r/>
    </w:p>
    <w:p>
      <w:pPr>
        <w:pStyle w:val="895"/>
        <w:rPr>
          <w:color w:val="000000"/>
          <w:szCs w:val="21"/>
        </w:rPr>
      </w:pPr>
      <w:r>
        <w:rPr>
          <w:color w:val="000000"/>
          <w:szCs w:val="21"/>
        </w:rPr>
      </w:r>
      <w:r/>
    </w:p>
    <w:p>
      <w:pPr>
        <w:pStyle w:val="895"/>
        <w:rPr>
          <w:b/>
          <w:color w:val="000000"/>
          <w:sz w:val="28"/>
          <w:szCs w:val="28"/>
        </w:rPr>
      </w:pPr>
      <w:r>
        <w:rPr>
          <w:b/>
          <w:color w:val="000000"/>
          <w:sz w:val="28"/>
          <w:szCs w:val="28"/>
        </w:rPr>
        <w:br w:type="page" w:clear="all"/>
      </w:r>
      <w:bookmarkEnd w:id="134"/>
      <w:r>
        <w:rPr>
          <w:rFonts w:hint="eastAsia" w:ascii="宋体" w:hAnsi="宋体" w:cs="宋体"/>
          <w:b/>
          <w:sz w:val="24"/>
        </w:rPr>
        <w:t xml:space="preserve">11、关于符合本国产品标准的声明函</w:t>
      </w:r>
      <w:r>
        <w:rPr>
          <w:b/>
          <w:color w:val="000000"/>
          <w:sz w:val="28"/>
          <w:szCs w:val="28"/>
        </w:rPr>
      </w:r>
      <w:r/>
    </w:p>
    <w:p>
      <w:pPr>
        <w:pStyle w:val="895"/>
        <w:jc w:val="center"/>
        <w:spacing w:line="360" w:lineRule="auto"/>
        <w:rPr>
          <w:rFonts w:ascii="宋体" w:hAnsi="宋体" w:cs="宋体"/>
          <w:b/>
          <w:sz w:val="28"/>
          <w:szCs w:val="28"/>
        </w:rPr>
      </w:pPr>
      <w:r>
        <w:rPr>
          <w:rFonts w:ascii="宋体" w:hAnsi="宋体" w:cs="宋体"/>
          <w:b/>
          <w:sz w:val="28"/>
          <w:szCs w:val="28"/>
        </w:rPr>
      </w:r>
      <w:r/>
    </w:p>
    <w:p>
      <w:pPr>
        <w:pStyle w:val="895"/>
        <w:jc w:val="center"/>
        <w:spacing w:line="360" w:lineRule="auto"/>
        <w:rPr>
          <w:rFonts w:ascii="宋体" w:hAnsi="宋体" w:cs="宋体"/>
          <w:b/>
          <w:sz w:val="28"/>
          <w:szCs w:val="28"/>
        </w:rPr>
      </w:pPr>
      <w:r>
        <w:rPr>
          <w:rFonts w:hint="eastAsia" w:ascii="宋体" w:hAnsi="宋体" w:cs="宋体"/>
          <w:b/>
          <w:sz w:val="28"/>
          <w:szCs w:val="28"/>
        </w:rPr>
        <w:t xml:space="preserve">关于符合本国产品标准的声明函</w:t>
      </w:r>
      <w:r>
        <w:rPr>
          <w:rFonts w:ascii="宋体" w:hAnsi="宋体" w:cs="宋体"/>
          <w:b/>
          <w:sz w:val="28"/>
          <w:szCs w:val="28"/>
        </w:rPr>
      </w:r>
      <w:r/>
    </w:p>
    <w:p>
      <w:pPr>
        <w:pStyle w:val="895"/>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rPr>
      </w:r>
      <w:r/>
    </w:p>
    <w:p>
      <w:pPr>
        <w:pStyle w:val="895"/>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1.（产品名称1）</w:t>
      </w:r>
      <w:r>
        <w:rPr>
          <w:rFonts w:hint="eastAsia" w:ascii="宋体" w:hAnsi="宋体" w:cs="宋体"/>
          <w:sz w:val="24"/>
          <w:vertAlign w:val="superscript"/>
        </w:rPr>
        <w:t xml:space="preserve">1</w:t>
      </w:r>
      <w:r>
        <w:rPr>
          <w:rFonts w:hint="eastAsia" w:ascii="宋体" w:hAnsi="宋体" w:cs="宋体"/>
          <w:sz w:val="24"/>
        </w:rPr>
        <w:t xml:space="preserve">，生产厂为（厂名）</w:t>
      </w:r>
      <w:r>
        <w:rPr>
          <w:rFonts w:hint="eastAsia" w:ascii="宋体" w:hAnsi="宋体" w:cs="宋体"/>
          <w:sz w:val="24"/>
          <w:vertAlign w:val="superscript"/>
        </w:rPr>
        <w:t xml:space="preserve">2</w:t>
      </w:r>
      <w:r>
        <w:rPr>
          <w:rFonts w:hint="eastAsia" w:ascii="宋体" w:hAnsi="宋体" w:cs="宋体"/>
          <w:sz w:val="24"/>
        </w:rPr>
        <w:t xml:space="preserve">，厂址为（生产厂址）。（产品名称1）的中国境内生产的组件成本占比≥（规定比例）</w:t>
      </w:r>
      <w:r>
        <w:rPr>
          <w:rFonts w:hint="eastAsia" w:ascii="宋体" w:hAnsi="宋体" w:cs="宋体"/>
          <w:sz w:val="24"/>
          <w:vertAlign w:val="superscript"/>
        </w:rPr>
        <w:t xml:space="preserve">3</w:t>
      </w:r>
      <w:r>
        <w:rPr>
          <w:rFonts w:hint="eastAsia" w:ascii="宋体" w:hAnsi="宋体" w:cs="宋体"/>
          <w:sz w:val="24"/>
        </w:rPr>
        <w:t xml:space="preserve">。（产品名称1）的（关键组件）</w:t>
      </w:r>
      <w:r>
        <w:rPr>
          <w:rFonts w:hint="eastAsia" w:ascii="宋体" w:hAnsi="宋体" w:cs="宋体"/>
          <w:sz w:val="24"/>
          <w:vertAlign w:val="superscript"/>
        </w:rPr>
        <w:t xml:space="preserve">4</w:t>
      </w:r>
      <w:r>
        <w:rPr>
          <w:rFonts w:hint="eastAsia" w:ascii="宋体" w:hAnsi="宋体" w:cs="宋体"/>
          <w:sz w:val="24"/>
        </w:rPr>
        <w:t xml:space="preserve">在中国境内生产。（产品名称1）的（关键工序）</w:t>
      </w:r>
      <w:r>
        <w:rPr>
          <w:rFonts w:hint="eastAsia" w:ascii="宋体" w:hAnsi="宋体" w:cs="宋体"/>
          <w:sz w:val="24"/>
          <w:vertAlign w:val="superscript"/>
        </w:rPr>
        <w:t xml:space="preserve">5</w:t>
      </w:r>
      <w:r>
        <w:rPr>
          <w:rFonts w:hint="eastAsia" w:ascii="宋体" w:hAnsi="宋体" w:cs="宋体"/>
          <w:sz w:val="24"/>
        </w:rPr>
        <w:t xml:space="preserve">在中国境内完成。</w:t>
      </w:r>
      <w:r>
        <w:rPr>
          <w:rFonts w:ascii="宋体" w:hAnsi="宋体" w:cs="宋体"/>
          <w:sz w:val="24"/>
        </w:rPr>
      </w:r>
      <w:r/>
    </w:p>
    <w:p>
      <w:pPr>
        <w:pStyle w:val="895"/>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2.（产品名称2），生产厂为（厂名），厂址为（生产厂址）。（产品名称2）的中国境内生产的组件成本占比≥（规定比例）。（产品名称2）的（关键组件）在中国境内生产。（产品名称2）的（关键工序）在中国境内完成。</w:t>
      </w:r>
      <w:r>
        <w:rPr>
          <w:rFonts w:ascii="宋体" w:hAnsi="宋体" w:cs="宋体"/>
          <w:sz w:val="24"/>
        </w:rPr>
      </w:r>
      <w:r/>
    </w:p>
    <w:p>
      <w:pPr>
        <w:pStyle w:val="895"/>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w:t>
      </w:r>
      <w:r>
        <w:rPr>
          <w:rFonts w:ascii="宋体" w:hAnsi="宋体" w:cs="宋体"/>
          <w:sz w:val="24"/>
        </w:rPr>
      </w:r>
      <w:r/>
    </w:p>
    <w:p>
      <w:pPr>
        <w:pStyle w:val="895"/>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本公司（单位）对上述声明内容的真实性负责。如有虚假，愿承担相应法律责任。</w:t>
      </w:r>
      <w:r>
        <w:rPr>
          <w:rFonts w:ascii="宋体" w:hAnsi="宋体" w:cs="宋体"/>
          <w:sz w:val="24"/>
        </w:rPr>
      </w:r>
      <w:r/>
    </w:p>
    <w:p>
      <w:pPr>
        <w:pStyle w:val="895"/>
        <w:jc w:val="left"/>
        <w:spacing w:line="480" w:lineRule="atLeast"/>
        <w:shd w:val="clear" w:color="auto" w:fill="ffffff"/>
        <w:widowControl/>
        <w:rPr>
          <w:rFonts w:ascii="宋体" w:hAnsi="宋体" w:cs="宋体"/>
          <w:sz w:val="24"/>
        </w:rPr>
      </w:pPr>
      <w:r>
        <w:rPr>
          <w:rFonts w:ascii="宋体" w:hAnsi="宋体" w:cs="宋体"/>
          <w:sz w:val="24"/>
        </w:rPr>
      </w:r>
      <w:r/>
    </w:p>
    <w:p>
      <w:pPr>
        <w:pStyle w:val="895"/>
        <w:ind w:right="1200"/>
        <w:jc w:val="right"/>
        <w:spacing w:line="480" w:lineRule="atLeast"/>
        <w:shd w:val="clear" w:color="auto" w:fill="ffffff"/>
        <w:widowControl/>
        <w:rPr>
          <w:rFonts w:ascii="宋体" w:hAnsi="宋体" w:cs="宋体"/>
          <w:sz w:val="24"/>
        </w:rPr>
      </w:pPr>
      <w:r>
        <w:rPr>
          <w:rFonts w:hint="eastAsia" w:ascii="宋体" w:hAnsi="宋体" w:cs="宋体"/>
          <w:sz w:val="24"/>
        </w:rPr>
        <w:t xml:space="preserve">公司（单位）名称（盖章）：　</w:t>
      </w:r>
      <w:r>
        <w:rPr>
          <w:rFonts w:ascii="宋体" w:hAnsi="宋体" w:cs="宋体"/>
          <w:sz w:val="24"/>
        </w:rPr>
      </w:r>
      <w:r/>
    </w:p>
    <w:p>
      <w:pPr>
        <w:pStyle w:val="895"/>
        <w:ind w:right="960"/>
        <w:jc w:val="right"/>
        <w:spacing w:line="480" w:lineRule="atLeast"/>
        <w:shd w:val="clear" w:color="auto" w:fill="ffffff"/>
        <w:widowControl/>
        <w:rPr>
          <w:rFonts w:ascii="宋体" w:hAnsi="宋体" w:cs="宋体"/>
          <w:sz w:val="24"/>
        </w:rPr>
      </w:pPr>
      <w:r>
        <w:rPr>
          <w:rFonts w:hint="eastAsia" w:ascii="宋体" w:hAnsi="宋体" w:cs="宋体"/>
          <w:sz w:val="24"/>
        </w:rPr>
        <w:t xml:space="preserve">日期：　年　月　日</w:t>
      </w:r>
      <w:r>
        <w:rPr>
          <w:rFonts w:ascii="宋体" w:hAnsi="宋体" w:cs="宋体"/>
          <w:sz w:val="24"/>
        </w:rPr>
      </w:r>
      <w:r/>
    </w:p>
    <w:p>
      <w:pPr>
        <w:pStyle w:val="895"/>
        <w:jc w:val="right"/>
        <w:spacing w:line="480" w:lineRule="atLeast"/>
        <w:shd w:val="clear" w:color="auto" w:fill="ffffff"/>
        <w:widowControl/>
        <w:rPr>
          <w:rFonts w:ascii="宋体" w:hAnsi="宋体" w:cs="宋体"/>
          <w:sz w:val="24"/>
        </w:rPr>
      </w:pPr>
      <w:r>
        <w:rPr>
          <w:rFonts w:ascii="宋体" w:hAnsi="宋体" w:cs="宋体"/>
          <w:sz w:val="24"/>
        </w:rPr>
      </w:r>
      <w:r/>
    </w:p>
    <w:p>
      <w:pPr>
        <w:pStyle w:val="895"/>
        <w:jc w:val="left"/>
        <w:spacing w:line="480" w:lineRule="atLeast"/>
        <w:shd w:val="clear" w:color="auto" w:fill="ffffff"/>
        <w:widowControl/>
        <w:rPr>
          <w:rFonts w:ascii="宋体" w:hAnsi="宋体" w:cs="宋体"/>
          <w:sz w:val="24"/>
        </w:rPr>
      </w:pPr>
      <w:r>
        <w:rPr>
          <w:rFonts w:hint="eastAsia" w:ascii="宋体" w:hAnsi="宋体" w:cs="宋体"/>
          <w:sz w:val="24"/>
        </w:rPr>
        <w:t xml:space="preserve">说明：</w:t>
      </w:r>
      <w:r>
        <w:rPr>
          <w:rFonts w:ascii="宋体" w:hAnsi="宋体" w:cs="宋体"/>
          <w:sz w:val="24"/>
        </w:rPr>
      </w:r>
      <w:r/>
    </w:p>
    <w:p>
      <w:pPr>
        <w:pStyle w:val="895"/>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1.产品如有型号，请在“产品名称”栏一并填写。</w:t>
      </w:r>
      <w:r>
        <w:rPr>
          <w:rFonts w:ascii="宋体" w:hAnsi="宋体" w:cs="宋体"/>
          <w:sz w:val="24"/>
        </w:rPr>
      </w:r>
      <w:r/>
    </w:p>
    <w:p>
      <w:pPr>
        <w:pStyle w:val="895"/>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2.生产厂名与厂址应与生产厂营业执照载明的相关信息保持一致。</w:t>
      </w:r>
      <w:r>
        <w:rPr>
          <w:rFonts w:ascii="宋体" w:hAnsi="宋体" w:cs="宋体"/>
          <w:sz w:val="24"/>
        </w:rPr>
      </w:r>
      <w:r/>
    </w:p>
    <w:p>
      <w:pPr>
        <w:pStyle w:val="895"/>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3.该产品的中国境内生产的组件成本占比相关要求实施前，“规定比例”栏可不填，下同。</w:t>
      </w:r>
      <w:r>
        <w:rPr>
          <w:rFonts w:ascii="宋体" w:hAnsi="宋体" w:cs="宋体"/>
          <w:sz w:val="24"/>
        </w:rPr>
      </w:r>
      <w:r/>
    </w:p>
    <w:p>
      <w:pPr>
        <w:pStyle w:val="895"/>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4.该产品的关键组件要求实施前，“关键组件”栏可不填，下同。</w:t>
      </w:r>
      <w:r>
        <w:rPr>
          <w:rFonts w:ascii="宋体" w:hAnsi="宋体" w:cs="宋体"/>
          <w:sz w:val="24"/>
        </w:rPr>
      </w:r>
      <w:r/>
    </w:p>
    <w:p>
      <w:pPr>
        <w:pStyle w:val="895"/>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5.该产品的关键工序要求实施前，“关键工序”栏可不填，下同。</w:t>
      </w:r>
      <w:r>
        <w:rPr>
          <w:rFonts w:ascii="宋体" w:hAnsi="宋体" w:cs="宋体"/>
          <w:sz w:val="24"/>
        </w:rPr>
      </w:r>
      <w:r/>
    </w:p>
    <w:p>
      <w:pPr>
        <w:pStyle w:val="895"/>
        <w:jc w:val="left"/>
        <w:spacing w:line="360" w:lineRule="auto"/>
        <w:rPr>
          <w:rFonts w:ascii="宋体" w:hAnsi="宋体"/>
          <w:szCs w:val="20"/>
        </w:rPr>
      </w:pPr>
      <w:r>
        <w:rPr>
          <w:rFonts w:ascii="宋体" w:hAnsi="宋体"/>
          <w:szCs w:val="20"/>
        </w:rPr>
      </w:r>
      <w:r/>
    </w:p>
    <w:p>
      <w:pPr>
        <w:pStyle w:val="895"/>
        <w:rPr>
          <w:color w:val="000000"/>
          <w:szCs w:val="21"/>
        </w:rPr>
      </w:pPr>
      <w:r>
        <w:rPr>
          <w:color w:val="000000"/>
          <w:szCs w:val="21"/>
        </w:rPr>
      </w:r>
      <w:r/>
    </w:p>
    <w:p>
      <w:pPr>
        <w:pStyle w:val="896"/>
        <w:contextualSpacing w:val="0"/>
        <w:jc w:val="center"/>
        <w:spacing w:before="0" w:after="0" w:line="576" w:lineRule="auto"/>
        <w:rPr>
          <w:rFonts w:hint="eastAsia" w:ascii="宋体" w:hAnsi="宋体" w:eastAsia="宋体" w:cs="宋体"/>
          <w:bCs/>
          <w:sz w:val="32"/>
          <w:szCs w:val="32"/>
        </w:rPr>
        <w:suppressLineNumbers w:val="0"/>
      </w:pPr>
      <w:r>
        <w:rPr>
          <w:rStyle w:val="951"/>
          <w:b/>
        </w:rPr>
        <w:br w:type="page" w:clear="all"/>
      </w:r>
      <w:r>
        <w:rPr>
          <w:rFonts w:hint="eastAsia" w:ascii="宋体" w:hAnsi="宋体" w:eastAsia="宋体" w:cs="宋体"/>
          <w:bCs/>
          <w:sz w:val="32"/>
          <w:szCs w:val="32"/>
        </w:rPr>
        <w:t xml:space="preserve">第四章  采购需求</w:t>
      </w:r>
      <w:r/>
    </w:p>
    <w:p>
      <w:pPr>
        <w:pStyle w:val="895"/>
        <w:ind w:firstLine="480"/>
        <w:spacing w:line="360" w:lineRule="auto"/>
        <w:rPr>
          <w:rFonts w:hint="eastAsia" w:ascii="宋体" w:hAnsi="宋体"/>
          <w:sz w:val="24"/>
        </w:rPr>
      </w:pPr>
      <w:r>
        <w:rPr>
          <w:rFonts w:hint="eastAsia" w:ascii="宋体" w:hAnsi="宋体"/>
          <w:sz w:val="24"/>
        </w:rPr>
        <w:t xml:space="preserve">受苏州市相城生态环境局的委托，苏州市营财招投标咨询服务有限公司作为招标代理人，为委托人拟采购的2026年环境监测服务进行国内公开招标。</w:t>
      </w:r>
      <w:r/>
    </w:p>
    <w:p>
      <w:pPr>
        <w:pStyle w:val="895"/>
        <w:spacing w:line="360" w:lineRule="auto"/>
        <w:rPr>
          <w:rFonts w:ascii="宋体" w:hAnsi="宋体"/>
          <w:sz w:val="24"/>
          <w:szCs w:val="20"/>
        </w:rPr>
      </w:pPr>
      <w:r>
        <w:rPr>
          <w:rFonts w:ascii="宋体" w:hAnsi="宋体"/>
          <w:sz w:val="24"/>
        </w:rPr>
        <w:t xml:space="preserve">    </w:t>
      </w:r>
      <w:r>
        <w:rPr>
          <w:rFonts w:hint="eastAsia" w:ascii="宋体" w:hAnsi="宋体"/>
          <w:sz w:val="24"/>
        </w:rPr>
        <w:t xml:space="preserve">一、招标编号：JSZC-320507-SZYC-G2026-0007</w:t>
      </w:r>
      <w:r>
        <w:rPr>
          <w:rFonts w:ascii="宋体" w:hAnsi="宋体"/>
          <w:sz w:val="24"/>
        </w:rPr>
        <w:t xml:space="preserve"> </w:t>
      </w:r>
      <w:r>
        <w:rPr>
          <w:rFonts w:hint="eastAsia" w:ascii="宋体" w:hAnsi="宋体"/>
          <w:sz w:val="24"/>
        </w:rPr>
        <w:t xml:space="preserve">号</w:t>
      </w:r>
      <w:r>
        <w:rPr>
          <w:rFonts w:ascii="宋体" w:hAnsi="宋体"/>
          <w:sz w:val="24"/>
          <w:szCs w:val="20"/>
        </w:rPr>
      </w:r>
      <w:r/>
    </w:p>
    <w:p>
      <w:pPr>
        <w:pStyle w:val="895"/>
        <w:ind w:firstLine="480"/>
        <w:spacing w:line="360" w:lineRule="auto"/>
        <w:rPr>
          <w:rFonts w:hint="eastAsia" w:ascii="宋体" w:hAnsi="宋体"/>
          <w:spacing w:val="-8"/>
          <w:sz w:val="24"/>
        </w:rPr>
      </w:pPr>
      <w:r>
        <w:rPr>
          <w:rFonts w:hint="eastAsia"/>
          <w:sz w:val="24"/>
        </w:rPr>
        <w:t xml:space="preserve">二、项目名称和预算：</w:t>
      </w:r>
      <w:r>
        <w:rPr>
          <w:rFonts w:hint="eastAsia" w:ascii="宋体" w:hAnsi="宋体"/>
          <w:sz w:val="24"/>
        </w:rPr>
        <w:t xml:space="preserve">2026年环境监测服务，总预算：670万元</w:t>
      </w:r>
      <w:r>
        <w:rPr>
          <w:rFonts w:hint="eastAsia" w:ascii="宋体" w:hAnsi="宋体"/>
          <w:spacing w:val="-8"/>
          <w:sz w:val="24"/>
        </w:rPr>
        <w:t xml:space="preserve">。</w:t>
      </w:r>
      <w:r/>
    </w:p>
    <w:p>
      <w:pPr>
        <w:pStyle w:val="895"/>
        <w:ind w:firstLine="480"/>
        <w:spacing w:line="360" w:lineRule="auto"/>
        <w:rPr>
          <w:rFonts w:hint="eastAsia" w:ascii="宋体" w:hAnsi="宋体"/>
          <w:spacing w:val="-8"/>
          <w:sz w:val="24"/>
        </w:rPr>
      </w:pPr>
      <w:r>
        <w:rPr>
          <w:rFonts w:hint="eastAsia" w:ascii="宋体" w:hAnsi="宋体"/>
          <w:spacing w:val="-8"/>
          <w:sz w:val="24"/>
        </w:rPr>
        <w:t xml:space="preserve">1.</w:t>
      </w:r>
      <w:r>
        <w:rPr>
          <w:rFonts w:hint="eastAsia" w:ascii="宋体" w:hAnsi="宋体"/>
          <w:sz w:val="24"/>
        </w:rPr>
        <w:t xml:space="preserve">各标段内容如下：</w:t>
      </w:r>
      <w:r>
        <w:rPr>
          <w:rFonts w:hint="eastAsia" w:ascii="宋体" w:hAnsi="宋体"/>
          <w:spacing w:val="-8"/>
          <w:sz w:val="24"/>
        </w:rPr>
      </w:r>
      <w:r/>
    </w:p>
    <w:tbl>
      <w:tblPr>
        <w:tblW w:w="494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61"/>
        <w:gridCol w:w="3321"/>
        <w:gridCol w:w="1254"/>
        <w:gridCol w:w="1270"/>
      </w:tblGrid>
      <w:tr>
        <w:trPr>
          <w:trHeight w:val="779"/>
        </w:trPr>
        <w:tc>
          <w:tcPr>
            <w:tcW w:w="1188" w:type="dxa"/>
            <w:vAlign w:val="center"/>
            <w:textDirection w:val="lrTb"/>
            <w:noWrap w:val="false"/>
          </w:tcPr>
          <w:p>
            <w:pPr>
              <w:pStyle w:val="895"/>
              <w:jc w:val="center"/>
              <w:spacing w:line="360" w:lineRule="auto"/>
              <w:rPr>
                <w:rFonts w:hint="eastAsia" w:ascii="宋体" w:hAnsi="宋体"/>
                <w:sz w:val="24"/>
              </w:rPr>
            </w:pPr>
            <w:r>
              <w:rPr>
                <w:rFonts w:hint="eastAsia" w:ascii="宋体" w:hAnsi="宋体"/>
                <w:sz w:val="24"/>
              </w:rPr>
              <w:t xml:space="preserve">标段号</w:t>
            </w:r>
            <w:r/>
          </w:p>
        </w:tc>
        <w:tc>
          <w:tcPr>
            <w:tcW w:w="1861" w:type="dxa"/>
            <w:vAlign w:val="center"/>
            <w:textDirection w:val="lrTb"/>
            <w:noWrap w:val="false"/>
          </w:tcPr>
          <w:p>
            <w:pPr>
              <w:pStyle w:val="895"/>
              <w:jc w:val="center"/>
              <w:spacing w:line="360" w:lineRule="auto"/>
              <w:rPr>
                <w:rFonts w:hint="eastAsia" w:ascii="宋体" w:hAnsi="宋体"/>
                <w:sz w:val="24"/>
              </w:rPr>
            </w:pPr>
            <w:r>
              <w:rPr>
                <w:rFonts w:hint="eastAsia" w:ascii="宋体" w:hAnsi="宋体"/>
                <w:sz w:val="24"/>
              </w:rPr>
              <w:t xml:space="preserve">名称</w:t>
            </w:r>
            <w:r/>
          </w:p>
        </w:tc>
        <w:tc>
          <w:tcPr>
            <w:tcW w:w="3321" w:type="dxa"/>
            <w:vAlign w:val="center"/>
            <w:textDirection w:val="lrTb"/>
            <w:noWrap w:val="false"/>
          </w:tcPr>
          <w:p>
            <w:pPr>
              <w:pStyle w:val="895"/>
              <w:jc w:val="center"/>
              <w:spacing w:line="360" w:lineRule="auto"/>
              <w:rPr>
                <w:rFonts w:hint="eastAsia" w:ascii="宋体" w:hAnsi="宋体"/>
                <w:sz w:val="24"/>
              </w:rPr>
            </w:pPr>
            <w:r>
              <w:rPr>
                <w:rFonts w:hint="eastAsia" w:ascii="宋体" w:hAnsi="宋体"/>
                <w:sz w:val="24"/>
              </w:rPr>
              <w:t xml:space="preserve">主要服务内容</w:t>
            </w:r>
            <w:r/>
          </w:p>
        </w:tc>
        <w:tc>
          <w:tcPr>
            <w:tcW w:w="1254" w:type="dxa"/>
            <w:vAlign w:val="center"/>
            <w:textDirection w:val="lrTb"/>
            <w:noWrap w:val="false"/>
          </w:tcPr>
          <w:p>
            <w:pPr>
              <w:pStyle w:val="895"/>
              <w:jc w:val="center"/>
              <w:spacing w:line="360" w:lineRule="auto"/>
              <w:rPr>
                <w:rFonts w:hint="eastAsia" w:ascii="宋体" w:hAnsi="宋体"/>
                <w:sz w:val="24"/>
              </w:rPr>
            </w:pPr>
            <w:r>
              <w:rPr>
                <w:rFonts w:hint="eastAsia" w:ascii="宋体" w:hAnsi="宋体"/>
                <w:sz w:val="24"/>
              </w:rPr>
              <w:t xml:space="preserve">预算</w:t>
            </w:r>
            <w:r/>
          </w:p>
          <w:p>
            <w:pPr>
              <w:pStyle w:val="895"/>
              <w:jc w:val="center"/>
              <w:spacing w:line="360" w:lineRule="auto"/>
              <w:rPr>
                <w:rFonts w:hint="eastAsia" w:ascii="宋体" w:hAnsi="宋体"/>
                <w:sz w:val="24"/>
              </w:rPr>
            </w:pPr>
            <w:r>
              <w:rPr>
                <w:rFonts w:hint="eastAsia" w:ascii="宋体" w:hAnsi="宋体"/>
                <w:sz w:val="24"/>
              </w:rPr>
              <w:t xml:space="preserve">（万元）</w:t>
            </w:r>
            <w:r/>
          </w:p>
        </w:tc>
        <w:tc>
          <w:tcPr>
            <w:tcW w:w="1270" w:type="dxa"/>
            <w:vAlign w:val="center"/>
            <w:textDirection w:val="lrTb"/>
            <w:noWrap w:val="false"/>
          </w:tcPr>
          <w:p>
            <w:pPr>
              <w:pStyle w:val="895"/>
              <w:jc w:val="center"/>
              <w:spacing w:line="360" w:lineRule="auto"/>
              <w:rPr>
                <w:rFonts w:ascii="宋体" w:hAnsi="宋体"/>
                <w:sz w:val="24"/>
              </w:rPr>
            </w:pPr>
            <w:r>
              <w:rPr>
                <w:rFonts w:hint="eastAsia" w:ascii="宋体" w:hAnsi="宋体"/>
                <w:sz w:val="24"/>
              </w:rPr>
              <w:t xml:space="preserve">履约期限</w:t>
            </w:r>
            <w:r>
              <w:rPr>
                <w:rFonts w:ascii="宋体" w:hAnsi="宋体"/>
                <w:sz w:val="24"/>
              </w:rPr>
            </w:r>
            <w:r/>
          </w:p>
        </w:tc>
      </w:tr>
      <w:tr>
        <w:trPr>
          <w:cantSplit/>
        </w:trPr>
        <w:tc>
          <w:tcPr>
            <w:tcW w:w="1188" w:type="dxa"/>
            <w:vAlign w:val="center"/>
            <w:textDirection w:val="lrTb"/>
            <w:noWrap w:val="false"/>
          </w:tcPr>
          <w:p>
            <w:pPr>
              <w:pStyle w:val="895"/>
              <w:jc w:val="center"/>
              <w:spacing w:line="360" w:lineRule="auto"/>
              <w:rPr>
                <w:rFonts w:hint="eastAsia" w:ascii="宋体" w:hAnsi="宋体"/>
                <w:sz w:val="24"/>
              </w:rPr>
            </w:pPr>
            <w:r>
              <w:rPr>
                <w:rFonts w:hint="eastAsia" w:ascii="宋体" w:hAnsi="宋体"/>
                <w:sz w:val="24"/>
              </w:rPr>
              <w:t xml:space="preserve">第一标段</w:t>
            </w:r>
            <w:r/>
          </w:p>
        </w:tc>
        <w:tc>
          <w:tcPr>
            <w:tcW w:w="1861" w:type="dxa"/>
            <w:vAlign w:val="center"/>
            <w:textDirection w:val="lrTb"/>
            <w:noWrap w:val="false"/>
          </w:tcPr>
          <w:p>
            <w:pPr>
              <w:pStyle w:val="895"/>
              <w:spacing w:line="360" w:lineRule="auto"/>
              <w:rPr>
                <w:rFonts w:ascii="宋体" w:hAnsi="宋体"/>
                <w:sz w:val="24"/>
              </w:rPr>
            </w:pPr>
            <w:r>
              <w:rPr>
                <w:rFonts w:hint="eastAsia" w:ascii="宋体" w:hAnsi="宋体"/>
                <w:sz w:val="24"/>
              </w:rPr>
              <w:t xml:space="preserve">环境监测服务(一）</w:t>
            </w:r>
            <w:r>
              <w:rPr>
                <w:rFonts w:ascii="宋体" w:hAnsi="宋体"/>
                <w:sz w:val="24"/>
              </w:rPr>
            </w:r>
            <w:r/>
          </w:p>
        </w:tc>
        <w:tc>
          <w:tcPr>
            <w:tcW w:w="3321" w:type="dxa"/>
            <w:vAlign w:val="center"/>
            <w:textDirection w:val="lrTb"/>
            <w:noWrap w:val="false"/>
          </w:tcPr>
          <w:p>
            <w:pPr>
              <w:pStyle w:val="895"/>
              <w:jc w:val="left"/>
              <w:widowControl/>
              <w:rPr>
                <w:rFonts w:ascii="宋体" w:hAnsi="宋体" w:cs="宋体"/>
                <w:color w:val="000000"/>
                <w:sz w:val="24"/>
              </w:rPr>
            </w:pPr>
            <w:r>
              <w:rPr>
                <w:rFonts w:hint="eastAsia" w:ascii="宋体" w:hAnsi="宋体" w:cs="宋体"/>
                <w:color w:val="000000"/>
                <w:sz w:val="24"/>
              </w:rPr>
              <w:t xml:space="preserve">1、承担约30%的委外环境质量监测及监督性监测任务</w:t>
            </w:r>
            <w:r>
              <w:rPr>
                <w:rFonts w:ascii="宋体" w:hAnsi="宋体" w:cs="宋体"/>
                <w:color w:val="000000"/>
                <w:sz w:val="24"/>
              </w:rPr>
            </w:r>
            <w:r/>
          </w:p>
          <w:p>
            <w:pPr>
              <w:pStyle w:val="895"/>
              <w:jc w:val="left"/>
              <w:widowControl/>
              <w:rPr>
                <w:rFonts w:hint="eastAsia" w:ascii="宋体" w:hAnsi="宋体" w:cs="宋体"/>
                <w:color w:val="000000"/>
                <w:sz w:val="24"/>
              </w:rPr>
            </w:pPr>
            <w:r>
              <w:rPr>
                <w:rFonts w:hint="eastAsia" w:ascii="宋体" w:hAnsi="宋体" w:cs="宋体"/>
                <w:color w:val="000000"/>
                <w:sz w:val="24"/>
              </w:rPr>
              <w:t xml:space="preserve">2、其他各环境要素调查监测、应急监测等监测任务</w:t>
            </w:r>
            <w:r/>
          </w:p>
          <w:p>
            <w:pPr>
              <w:pStyle w:val="903"/>
              <w:ind w:left="0" w:firstLine="0"/>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国省考预警监测</w:t>
            </w:r>
            <w:r>
              <w:rPr>
                <w:rFonts w:ascii="宋体" w:hAnsi="宋体"/>
                <w:sz w:val="24"/>
                <w:szCs w:val="24"/>
              </w:rPr>
            </w:r>
            <w:r/>
          </w:p>
        </w:tc>
        <w:tc>
          <w:tcPr>
            <w:tcW w:w="1254" w:type="dxa"/>
            <w:vAlign w:val="center"/>
            <w:textDirection w:val="lrTb"/>
            <w:noWrap w:val="false"/>
          </w:tcPr>
          <w:p>
            <w:pPr>
              <w:pStyle w:val="895"/>
              <w:jc w:val="center"/>
              <w:spacing w:line="360" w:lineRule="auto"/>
              <w:rPr>
                <w:rFonts w:ascii="宋体" w:hAnsi="宋体"/>
                <w:sz w:val="24"/>
              </w:rPr>
            </w:pPr>
            <w:r>
              <w:rPr>
                <w:rFonts w:hint="eastAsia" w:ascii="宋体" w:hAnsi="宋体"/>
                <w:sz w:val="24"/>
              </w:rPr>
              <w:t xml:space="preserve">200</w:t>
            </w:r>
            <w:r>
              <w:rPr>
                <w:rFonts w:ascii="宋体" w:hAnsi="宋体"/>
                <w:sz w:val="24"/>
              </w:rPr>
            </w:r>
            <w:r/>
          </w:p>
        </w:tc>
        <w:tc>
          <w:tcPr>
            <w:tcW w:w="1270" w:type="dxa"/>
            <w:vAlign w:val="center"/>
            <w:vMerge w:val="restart"/>
            <w:textDirection w:val="lrTb"/>
            <w:noWrap w:val="false"/>
          </w:tcPr>
          <w:p>
            <w:pPr>
              <w:pStyle w:val="895"/>
              <w:jc w:val="center"/>
              <w:spacing w:line="360" w:lineRule="auto"/>
              <w:rPr>
                <w:rFonts w:ascii="宋体" w:hAnsi="宋体"/>
                <w:sz w:val="24"/>
              </w:rPr>
            </w:pPr>
            <w:r>
              <w:rPr>
                <w:rFonts w:hint="eastAsia" w:ascii="宋体" w:hAnsi="宋体"/>
                <w:sz w:val="24"/>
              </w:rPr>
              <w:t xml:space="preserve">2026年6月25日-2027年6月24日</w:t>
            </w:r>
            <w:r>
              <w:rPr>
                <w:rFonts w:ascii="宋体" w:hAnsi="宋体"/>
                <w:sz w:val="24"/>
              </w:rPr>
            </w:r>
            <w:r/>
          </w:p>
        </w:tc>
      </w:tr>
      <w:tr>
        <w:trPr>
          <w:cantSplit/>
        </w:trPr>
        <w:tc>
          <w:tcPr>
            <w:tcW w:w="1188" w:type="dxa"/>
            <w:vAlign w:val="center"/>
            <w:textDirection w:val="lrTb"/>
            <w:noWrap w:val="false"/>
          </w:tcPr>
          <w:p>
            <w:pPr>
              <w:pStyle w:val="895"/>
              <w:jc w:val="center"/>
              <w:spacing w:line="360" w:lineRule="auto"/>
              <w:rPr>
                <w:rFonts w:hint="eastAsia" w:ascii="宋体" w:hAnsi="宋体"/>
                <w:sz w:val="24"/>
              </w:rPr>
            </w:pPr>
            <w:r>
              <w:rPr>
                <w:rFonts w:hint="eastAsia" w:ascii="宋体" w:hAnsi="宋体"/>
                <w:sz w:val="24"/>
              </w:rPr>
              <w:t xml:space="preserve">第二标段</w:t>
            </w:r>
            <w:r/>
          </w:p>
        </w:tc>
        <w:tc>
          <w:tcPr>
            <w:tcW w:w="1861" w:type="dxa"/>
            <w:vAlign w:val="center"/>
            <w:textDirection w:val="lrTb"/>
            <w:noWrap w:val="false"/>
          </w:tcPr>
          <w:p>
            <w:pPr>
              <w:pStyle w:val="895"/>
              <w:spacing w:line="360" w:lineRule="auto"/>
              <w:rPr>
                <w:rFonts w:ascii="宋体" w:hAnsi="宋体"/>
                <w:sz w:val="24"/>
              </w:rPr>
            </w:pPr>
            <w:r/>
            <w:bookmarkStart w:id="135" w:name="OLE_LINK181"/>
            <w:r/>
            <w:bookmarkStart w:id="136" w:name="OLE_LINK180"/>
            <w:r/>
            <w:bookmarkStart w:id="137" w:name="OLE_LINK179"/>
            <w:r/>
            <w:bookmarkStart w:id="138" w:name="OLE_LINK178"/>
            <w:r>
              <w:rPr>
                <w:rFonts w:hint="eastAsia" w:ascii="宋体" w:hAnsi="宋体"/>
                <w:sz w:val="24"/>
              </w:rPr>
              <w:t xml:space="preserve">环境监测服务</w:t>
            </w:r>
            <w:bookmarkEnd w:id="135"/>
            <w:r/>
            <w:bookmarkEnd w:id="136"/>
            <w:r>
              <w:rPr>
                <w:rFonts w:hint="eastAsia" w:ascii="宋体" w:hAnsi="宋体"/>
                <w:sz w:val="24"/>
              </w:rPr>
              <w:t xml:space="preserve">(二）</w:t>
            </w:r>
            <w:bookmarkEnd w:id="137"/>
            <w:r/>
            <w:bookmarkEnd w:id="138"/>
            <w:r>
              <w:rPr>
                <w:rFonts w:ascii="宋体" w:hAnsi="宋体"/>
                <w:sz w:val="24"/>
              </w:rPr>
            </w:r>
            <w:r/>
          </w:p>
        </w:tc>
        <w:tc>
          <w:tcPr>
            <w:tcW w:w="3321" w:type="dxa"/>
            <w:vAlign w:val="center"/>
            <w:textDirection w:val="lrTb"/>
            <w:noWrap w:val="false"/>
          </w:tcPr>
          <w:p>
            <w:pPr>
              <w:pStyle w:val="895"/>
              <w:jc w:val="left"/>
              <w:widowControl/>
              <w:rPr>
                <w:rFonts w:ascii="宋体" w:hAnsi="宋体" w:cs="宋体"/>
                <w:color w:val="000000"/>
                <w:sz w:val="24"/>
              </w:rPr>
            </w:pPr>
            <w:r>
              <w:rPr>
                <w:rFonts w:hint="eastAsia" w:ascii="宋体" w:hAnsi="宋体" w:cs="宋体"/>
                <w:color w:val="000000"/>
                <w:sz w:val="24"/>
              </w:rPr>
              <w:t xml:space="preserve">1、承担约30%的委外环境质量监测及监督性监测任务</w:t>
            </w:r>
            <w:r>
              <w:rPr>
                <w:rFonts w:ascii="宋体" w:hAnsi="宋体" w:cs="宋体"/>
                <w:color w:val="000000"/>
                <w:sz w:val="24"/>
              </w:rPr>
            </w:r>
            <w:r/>
          </w:p>
          <w:p>
            <w:pPr>
              <w:pStyle w:val="895"/>
              <w:jc w:val="left"/>
              <w:widowControl/>
              <w:rPr>
                <w:rFonts w:hint="eastAsia" w:ascii="宋体" w:hAnsi="宋体" w:cs="宋体"/>
                <w:color w:val="000000"/>
                <w:sz w:val="24"/>
              </w:rPr>
            </w:pPr>
            <w:r>
              <w:rPr>
                <w:rFonts w:hint="eastAsia" w:ascii="宋体" w:hAnsi="宋体" w:cs="宋体"/>
                <w:color w:val="000000"/>
                <w:sz w:val="24"/>
              </w:rPr>
              <w:t xml:space="preserve">2、其他各环境要素调查监测、应急监测等监测任务</w:t>
            </w:r>
            <w:r/>
          </w:p>
          <w:p>
            <w:pPr>
              <w:pStyle w:val="895"/>
              <w:jc w:val="left"/>
              <w:widowControl/>
              <w:rPr>
                <w:rFonts w:ascii="宋体" w:hAnsi="宋体" w:cs="宋体"/>
                <w:color w:val="000000"/>
                <w:sz w:val="24"/>
              </w:rPr>
            </w:pPr>
            <w:r>
              <w:rPr>
                <w:rFonts w:hint="eastAsia" w:ascii="宋体" w:hAnsi="宋体" w:cs="宋体"/>
                <w:color w:val="000000"/>
                <w:sz w:val="24"/>
              </w:rPr>
              <w:t xml:space="preserve">3、蓝藻巡测任务</w:t>
            </w:r>
            <w:r>
              <w:rPr>
                <w:rFonts w:ascii="宋体" w:hAnsi="宋体" w:cs="宋体"/>
                <w:color w:val="000000"/>
                <w:sz w:val="24"/>
              </w:rPr>
            </w:r>
            <w:r/>
          </w:p>
        </w:tc>
        <w:tc>
          <w:tcPr>
            <w:tcW w:w="1254" w:type="dxa"/>
            <w:vAlign w:val="center"/>
            <w:textDirection w:val="lrTb"/>
            <w:noWrap w:val="false"/>
          </w:tcPr>
          <w:p>
            <w:pPr>
              <w:pStyle w:val="895"/>
              <w:jc w:val="center"/>
              <w:spacing w:line="360" w:lineRule="auto"/>
              <w:rPr>
                <w:rFonts w:ascii="宋体" w:hAnsi="宋体"/>
                <w:sz w:val="24"/>
              </w:rPr>
            </w:pPr>
            <w:r>
              <w:rPr>
                <w:rFonts w:hint="eastAsia" w:ascii="宋体" w:hAnsi="宋体"/>
                <w:sz w:val="24"/>
              </w:rPr>
              <w:t xml:space="preserve">190</w:t>
            </w:r>
            <w:r>
              <w:rPr>
                <w:rFonts w:ascii="宋体" w:hAnsi="宋体"/>
                <w:sz w:val="24"/>
              </w:rPr>
            </w:r>
            <w:r/>
          </w:p>
        </w:tc>
        <w:tc>
          <w:tcPr>
            <w:tcW w:w="1270" w:type="dxa"/>
            <w:vAlign w:val="center"/>
            <w:vMerge w:val="continue"/>
            <w:textDirection w:val="lrTb"/>
            <w:noWrap w:val="false"/>
          </w:tcPr>
          <w:p>
            <w:pPr>
              <w:pStyle w:val="895"/>
              <w:jc w:val="center"/>
              <w:spacing w:line="360" w:lineRule="auto"/>
              <w:rPr>
                <w:rFonts w:hint="eastAsia" w:ascii="宋体" w:hAnsi="宋体"/>
                <w:sz w:val="24"/>
              </w:rPr>
            </w:pPr>
            <w:r>
              <w:rPr>
                <w:rFonts w:hint="eastAsia" w:ascii="宋体" w:hAnsi="宋体"/>
                <w:sz w:val="24"/>
              </w:rPr>
            </w:r>
            <w:r/>
          </w:p>
        </w:tc>
      </w:tr>
      <w:tr>
        <w:trPr>
          <w:cantSplit/>
        </w:trPr>
        <w:tc>
          <w:tcPr>
            <w:tcW w:w="1188" w:type="dxa"/>
            <w:vAlign w:val="center"/>
            <w:textDirection w:val="lrTb"/>
            <w:noWrap w:val="false"/>
          </w:tcPr>
          <w:p>
            <w:pPr>
              <w:pStyle w:val="895"/>
              <w:jc w:val="center"/>
              <w:spacing w:line="360" w:lineRule="auto"/>
              <w:rPr>
                <w:rFonts w:hint="eastAsia" w:ascii="宋体" w:hAnsi="宋体"/>
                <w:sz w:val="24"/>
              </w:rPr>
            </w:pPr>
            <w:r>
              <w:rPr>
                <w:rFonts w:hint="eastAsia" w:ascii="宋体" w:hAnsi="宋体"/>
                <w:sz w:val="24"/>
              </w:rPr>
              <w:t xml:space="preserve">第三标段</w:t>
            </w:r>
            <w:r/>
          </w:p>
        </w:tc>
        <w:tc>
          <w:tcPr>
            <w:tcW w:w="1861" w:type="dxa"/>
            <w:vAlign w:val="top"/>
            <w:textDirection w:val="lrTb"/>
            <w:noWrap w:val="false"/>
          </w:tcPr>
          <w:p>
            <w:pPr>
              <w:pStyle w:val="895"/>
              <w:jc w:val="left"/>
              <w:spacing w:line="360" w:lineRule="auto"/>
              <w:rPr>
                <w:rFonts w:hint="eastAsia" w:ascii="宋体" w:hAnsi="宋体"/>
                <w:sz w:val="24"/>
              </w:rPr>
            </w:pPr>
            <w:r>
              <w:rPr>
                <w:rFonts w:hint="eastAsia" w:ascii="宋体" w:hAnsi="宋体"/>
                <w:sz w:val="24"/>
              </w:rPr>
              <w:t xml:space="preserve">环境监测服务(三）</w:t>
            </w:r>
            <w:r/>
          </w:p>
        </w:tc>
        <w:tc>
          <w:tcPr>
            <w:tcW w:w="3321" w:type="dxa"/>
            <w:vAlign w:val="center"/>
            <w:textDirection w:val="lrTb"/>
            <w:noWrap w:val="false"/>
          </w:tcPr>
          <w:p>
            <w:pPr>
              <w:pStyle w:val="895"/>
              <w:jc w:val="left"/>
              <w:widowControl/>
              <w:rPr>
                <w:rFonts w:ascii="宋体" w:hAnsi="宋体" w:cs="宋体"/>
                <w:color w:val="000000"/>
                <w:sz w:val="24"/>
              </w:rPr>
            </w:pPr>
            <w:r>
              <w:rPr>
                <w:rFonts w:hint="eastAsia" w:ascii="宋体" w:hAnsi="宋体" w:cs="宋体"/>
                <w:color w:val="000000"/>
                <w:sz w:val="24"/>
              </w:rPr>
              <w:t xml:space="preserve">1、承担约20%的委外环境质量监测及监督性监测任务</w:t>
            </w:r>
            <w:r>
              <w:rPr>
                <w:rFonts w:ascii="宋体" w:hAnsi="宋体" w:cs="宋体"/>
                <w:color w:val="000000"/>
                <w:sz w:val="24"/>
              </w:rPr>
            </w:r>
            <w:r/>
          </w:p>
          <w:p>
            <w:pPr>
              <w:pStyle w:val="895"/>
              <w:jc w:val="left"/>
              <w:widowControl/>
              <w:rPr>
                <w:rFonts w:hint="eastAsia" w:ascii="宋体" w:hAnsi="宋体" w:cs="宋体"/>
                <w:color w:val="000000"/>
                <w:sz w:val="24"/>
              </w:rPr>
            </w:pPr>
            <w:r>
              <w:rPr>
                <w:rFonts w:hint="eastAsia" w:ascii="宋体" w:hAnsi="宋体" w:cs="宋体"/>
                <w:color w:val="000000"/>
                <w:sz w:val="24"/>
              </w:rPr>
              <w:t xml:space="preserve">2、其他各环境要素调查监测、应急监测等监测任务</w:t>
            </w:r>
            <w:r/>
          </w:p>
          <w:p>
            <w:pPr>
              <w:pStyle w:val="1006"/>
              <w:ind w:firstLine="0"/>
              <w:spacing w:line="240" w:lineRule="auto"/>
              <w:rPr>
                <w:rFonts w:cs="宋体"/>
                <w:color w:val="000000"/>
                <w:szCs w:val="24"/>
              </w:rPr>
            </w:pPr>
            <w:r>
              <w:rPr>
                <w:rFonts w:hint="eastAsia" w:cs="宋体"/>
                <w:color w:val="000000"/>
                <w:szCs w:val="24"/>
              </w:rPr>
              <w:t xml:space="preserve">3、蓝藻巡测任务</w:t>
            </w:r>
            <w:r>
              <w:rPr>
                <w:rFonts w:cs="宋体"/>
                <w:color w:val="000000"/>
                <w:szCs w:val="24"/>
              </w:rPr>
            </w:r>
            <w:r/>
          </w:p>
        </w:tc>
        <w:tc>
          <w:tcPr>
            <w:tcW w:w="1254" w:type="dxa"/>
            <w:vAlign w:val="center"/>
            <w:textDirection w:val="lrTb"/>
            <w:noWrap w:val="false"/>
          </w:tcPr>
          <w:p>
            <w:pPr>
              <w:pStyle w:val="895"/>
              <w:jc w:val="center"/>
              <w:spacing w:line="360" w:lineRule="auto"/>
              <w:rPr>
                <w:rFonts w:ascii="宋体" w:hAnsi="宋体"/>
                <w:sz w:val="24"/>
              </w:rPr>
            </w:pPr>
            <w:r>
              <w:rPr>
                <w:rFonts w:hint="eastAsia" w:ascii="宋体" w:hAnsi="宋体"/>
                <w:sz w:val="24"/>
              </w:rPr>
              <w:t xml:space="preserve">145</w:t>
            </w:r>
            <w:r>
              <w:rPr>
                <w:rFonts w:ascii="宋体" w:hAnsi="宋体"/>
                <w:sz w:val="24"/>
              </w:rPr>
            </w:r>
            <w:r/>
          </w:p>
        </w:tc>
        <w:tc>
          <w:tcPr>
            <w:tcW w:w="1270" w:type="dxa"/>
            <w:vAlign w:val="center"/>
            <w:vMerge w:val="continue"/>
            <w:textDirection w:val="lrTb"/>
            <w:noWrap w:val="false"/>
          </w:tcPr>
          <w:p>
            <w:pPr>
              <w:pStyle w:val="895"/>
              <w:jc w:val="center"/>
              <w:spacing w:line="360" w:lineRule="auto"/>
              <w:rPr>
                <w:rFonts w:hint="eastAsia" w:ascii="宋体" w:hAnsi="宋体"/>
                <w:sz w:val="24"/>
              </w:rPr>
            </w:pPr>
            <w:r>
              <w:rPr>
                <w:rFonts w:hint="eastAsia" w:ascii="宋体" w:hAnsi="宋体"/>
                <w:sz w:val="24"/>
              </w:rPr>
            </w:r>
            <w:r/>
          </w:p>
        </w:tc>
      </w:tr>
      <w:tr>
        <w:trPr>
          <w:cantSplit/>
        </w:trPr>
        <w:tc>
          <w:tcPr>
            <w:tcW w:w="1188" w:type="dxa"/>
            <w:vAlign w:val="center"/>
            <w:textDirection w:val="lrTb"/>
            <w:noWrap w:val="false"/>
          </w:tcPr>
          <w:p>
            <w:pPr>
              <w:pStyle w:val="895"/>
              <w:jc w:val="center"/>
              <w:spacing w:line="360" w:lineRule="auto"/>
              <w:rPr>
                <w:rFonts w:hint="eastAsia" w:ascii="宋体" w:hAnsi="宋体"/>
                <w:sz w:val="24"/>
              </w:rPr>
            </w:pPr>
            <w:r>
              <w:rPr>
                <w:rFonts w:hint="eastAsia" w:ascii="宋体" w:hAnsi="宋体"/>
                <w:sz w:val="24"/>
              </w:rPr>
              <w:t xml:space="preserve">第四标段</w:t>
            </w:r>
            <w:r/>
          </w:p>
        </w:tc>
        <w:tc>
          <w:tcPr>
            <w:tcW w:w="1861" w:type="dxa"/>
            <w:vAlign w:val="top"/>
            <w:textDirection w:val="lrTb"/>
            <w:noWrap w:val="false"/>
          </w:tcPr>
          <w:p>
            <w:pPr>
              <w:pStyle w:val="895"/>
              <w:jc w:val="left"/>
              <w:spacing w:line="360" w:lineRule="auto"/>
              <w:rPr>
                <w:rFonts w:hint="eastAsia" w:ascii="宋体" w:hAnsi="宋体"/>
                <w:sz w:val="24"/>
              </w:rPr>
            </w:pPr>
            <w:r>
              <w:rPr>
                <w:rFonts w:hint="eastAsia" w:ascii="宋体" w:hAnsi="宋体"/>
                <w:sz w:val="24"/>
              </w:rPr>
              <w:t xml:space="preserve">环境监测服务(四）</w:t>
            </w:r>
            <w:r/>
          </w:p>
        </w:tc>
        <w:tc>
          <w:tcPr>
            <w:tcW w:w="3321" w:type="dxa"/>
            <w:vAlign w:val="center"/>
            <w:textDirection w:val="lrTb"/>
            <w:noWrap w:val="false"/>
          </w:tcPr>
          <w:p>
            <w:pPr>
              <w:pStyle w:val="895"/>
              <w:jc w:val="left"/>
              <w:widowControl/>
              <w:rPr>
                <w:rFonts w:ascii="宋体" w:hAnsi="宋体" w:cs="宋体"/>
                <w:color w:val="000000"/>
                <w:sz w:val="24"/>
              </w:rPr>
            </w:pPr>
            <w:r>
              <w:rPr>
                <w:rFonts w:hint="eastAsia" w:ascii="宋体" w:hAnsi="宋体" w:cs="宋体"/>
                <w:color w:val="000000"/>
                <w:sz w:val="24"/>
              </w:rPr>
              <w:t xml:space="preserve">1、承担约20%的委外环境质量监测及监督性监测任务</w:t>
            </w:r>
            <w:r>
              <w:rPr>
                <w:rFonts w:ascii="宋体" w:hAnsi="宋体" w:cs="宋体"/>
                <w:color w:val="000000"/>
                <w:sz w:val="24"/>
              </w:rPr>
            </w:r>
            <w:r/>
          </w:p>
          <w:p>
            <w:pPr>
              <w:pStyle w:val="895"/>
              <w:jc w:val="left"/>
              <w:widowControl/>
              <w:rPr>
                <w:rFonts w:ascii="宋体" w:hAnsi="宋体" w:cs="宋体"/>
                <w:color w:val="000000"/>
                <w:sz w:val="24"/>
              </w:rPr>
            </w:pPr>
            <w:r>
              <w:rPr>
                <w:rFonts w:hint="eastAsia" w:ascii="宋体" w:hAnsi="宋体" w:cs="宋体"/>
                <w:color w:val="000000"/>
                <w:sz w:val="24"/>
              </w:rPr>
              <w:t xml:space="preserve">2、其他各环境要素调查监测、应急监测等监测任务</w:t>
            </w:r>
            <w:r>
              <w:rPr>
                <w:rFonts w:ascii="宋体" w:hAnsi="宋体" w:cs="宋体"/>
                <w:color w:val="000000"/>
                <w:sz w:val="24"/>
              </w:rPr>
            </w:r>
            <w:r/>
          </w:p>
        </w:tc>
        <w:tc>
          <w:tcPr>
            <w:tcW w:w="1254" w:type="dxa"/>
            <w:vAlign w:val="center"/>
            <w:textDirection w:val="lrTb"/>
            <w:noWrap w:val="false"/>
          </w:tcPr>
          <w:p>
            <w:pPr>
              <w:pStyle w:val="895"/>
              <w:jc w:val="center"/>
              <w:spacing w:line="360" w:lineRule="auto"/>
              <w:rPr>
                <w:rFonts w:ascii="宋体" w:hAnsi="宋体"/>
                <w:sz w:val="24"/>
              </w:rPr>
            </w:pPr>
            <w:r>
              <w:rPr>
                <w:rFonts w:hint="eastAsia" w:ascii="宋体" w:hAnsi="宋体"/>
                <w:sz w:val="24"/>
              </w:rPr>
              <w:t xml:space="preserve">135</w:t>
            </w:r>
            <w:r>
              <w:rPr>
                <w:rFonts w:ascii="宋体" w:hAnsi="宋体"/>
                <w:sz w:val="24"/>
              </w:rPr>
            </w:r>
            <w:r/>
          </w:p>
        </w:tc>
        <w:tc>
          <w:tcPr>
            <w:tcW w:w="1270" w:type="dxa"/>
            <w:vAlign w:val="center"/>
            <w:vMerge w:val="continue"/>
            <w:textDirection w:val="lrTb"/>
            <w:noWrap w:val="false"/>
          </w:tcPr>
          <w:p>
            <w:pPr>
              <w:pStyle w:val="895"/>
              <w:jc w:val="center"/>
              <w:spacing w:line="360" w:lineRule="auto"/>
              <w:rPr>
                <w:rFonts w:hint="eastAsia" w:ascii="宋体" w:hAnsi="宋体"/>
                <w:sz w:val="24"/>
              </w:rPr>
            </w:pPr>
            <w:r>
              <w:rPr>
                <w:rFonts w:hint="eastAsia" w:ascii="宋体" w:hAnsi="宋体"/>
                <w:sz w:val="24"/>
              </w:rPr>
            </w:r>
            <w:r/>
          </w:p>
        </w:tc>
      </w:tr>
    </w:tbl>
    <w:p>
      <w:pPr>
        <w:pStyle w:val="895"/>
        <w:numPr>
          <w:ilvl w:val="0"/>
          <w:numId w:val="4"/>
        </w:numPr>
        <w:ind w:firstLine="241"/>
        <w:spacing w:line="360" w:lineRule="auto"/>
        <w:rPr>
          <w:rFonts w:hint="eastAsia" w:ascii="宋体" w:hAnsi="宋体"/>
          <w:b/>
          <w:sz w:val="24"/>
        </w:rPr>
      </w:pPr>
      <w:r>
        <w:rPr>
          <w:rFonts w:hint="eastAsia" w:ascii="宋体" w:hAnsi="宋体"/>
          <w:b/>
          <w:sz w:val="24"/>
        </w:rPr>
        <w:t xml:space="preserve">招标内容和要求：</w:t>
      </w:r>
      <w:r/>
    </w:p>
    <w:p>
      <w:pPr>
        <w:pStyle w:val="895"/>
        <w:spacing w:line="360" w:lineRule="auto"/>
        <w:rPr>
          <w:rFonts w:hint="eastAsia" w:ascii="宋体" w:hAnsi="宋体"/>
          <w:b/>
          <w:sz w:val="24"/>
        </w:rPr>
      </w:pPr>
      <w:r>
        <w:rPr>
          <w:rFonts w:hint="eastAsia" w:ascii="宋体" w:hAnsi="宋体"/>
          <w:b/>
          <w:sz w:val="24"/>
        </w:rPr>
        <w:t xml:space="preserve">（一）总体服务内容：</w:t>
      </w:r>
      <w:r/>
    </w:p>
    <w:p>
      <w:pPr>
        <w:pStyle w:val="895"/>
        <w:ind w:left="238" w:firstLine="480"/>
        <w:spacing w:line="360" w:lineRule="auto"/>
        <w:rPr>
          <w:rFonts w:hint="eastAsia" w:ascii="宋体" w:hAnsi="宋体"/>
          <w:sz w:val="24"/>
        </w:rPr>
      </w:pPr>
      <w:r>
        <w:rPr>
          <w:rFonts w:hint="eastAsia" w:ascii="宋体" w:hAnsi="宋体"/>
          <w:sz w:val="24"/>
        </w:rPr>
        <w:t xml:space="preserve">根据2026年苏州市生态环境监测方案、2026年全市生态环境监测工作要点及其他相关监测任务，环境质量监测方面，完成辖区内地表水、环境空气及声环境等监测；污染源监测方面，完成辖区内重点排污单位监督性监测、突发性环境污染事件应急监测、土壤重点监管单位土壤及地下水监测、司法鉴定监测等；</w:t>
      </w:r>
      <w:r/>
    </w:p>
    <w:p>
      <w:pPr>
        <w:pStyle w:val="895"/>
        <w:contextualSpacing/>
        <w:spacing w:line="360" w:lineRule="auto"/>
        <w:tabs>
          <w:tab w:val="left" w:pos="567" w:leader="none"/>
        </w:tabs>
        <w:rPr>
          <w:rFonts w:hint="eastAsia" w:ascii="宋体" w:hAnsi="宋体" w:cs="宋体"/>
          <w:b/>
          <w:bCs/>
          <w:sz w:val="24"/>
        </w:rPr>
        <w:outlineLvl w:val="1"/>
      </w:pPr>
      <w:r>
        <w:rPr>
          <w:rFonts w:hint="eastAsia" w:ascii="宋体" w:hAnsi="宋体" w:cs="宋体"/>
          <w:b/>
          <w:bCs/>
          <w:sz w:val="24"/>
        </w:rPr>
        <w:t xml:space="preserve">（二）总体服务考核：</w:t>
      </w:r>
      <w:r/>
    </w:p>
    <w:p>
      <w:pPr>
        <w:pStyle w:val="895"/>
        <w:contextualSpacing/>
        <w:ind w:firstLine="480"/>
        <w:spacing w:line="360" w:lineRule="auto"/>
        <w:tabs>
          <w:tab w:val="left" w:pos="567" w:leader="none"/>
        </w:tabs>
        <w:rPr>
          <w:rFonts w:hint="eastAsia" w:ascii="宋体" w:hAnsi="宋体" w:cs="宋体"/>
          <w:bCs/>
          <w:sz w:val="24"/>
        </w:rPr>
        <w:outlineLvl w:val="1"/>
      </w:pPr>
      <w:r>
        <w:rPr>
          <w:rFonts w:hint="eastAsia" w:ascii="宋体" w:hAnsi="宋体" w:cs="宋体"/>
          <w:bCs/>
          <w:sz w:val="24"/>
        </w:rPr>
        <w:t xml:space="preserve">为确保项目监测质量，采购人将定期标准样品考核和不定期现场监测质量抽查、样品加标考核、实验室间比对等方式进行监测质量综合考核，考核结果将作为下阶段业务量分配的重要依据。季度考核采用百分制，满分100分，考核分数在90分以上（含90分）全额付款；考核分数在80～89分之间，采用递进扣款，扣款比例在10%～1%；考核分数在60～79分，暂停业务，采用递进扣款，扣款比例在30%～11%；低于60分，扣除本期全部监测费用，甲方有权解除合同。</w:t>
      </w:r>
      <w:r/>
    </w:p>
    <w:p>
      <w:pPr>
        <w:pStyle w:val="895"/>
        <w:contextualSpacing/>
        <w:ind w:firstLine="482"/>
        <w:spacing w:line="360" w:lineRule="auto"/>
        <w:tabs>
          <w:tab w:val="left" w:pos="567" w:leader="none"/>
        </w:tabs>
        <w:rPr>
          <w:rFonts w:hint="eastAsia" w:ascii="宋体" w:hAnsi="宋体" w:cs="宋体"/>
          <w:b/>
          <w:bCs/>
          <w:sz w:val="24"/>
        </w:rPr>
        <w:outlineLvl w:val="1"/>
      </w:pPr>
      <w:r>
        <w:rPr>
          <w:rFonts w:hint="eastAsia" w:ascii="宋体" w:hAnsi="宋体" w:cs="宋体"/>
          <w:b/>
          <w:bCs/>
          <w:sz w:val="24"/>
        </w:rPr>
        <w:t xml:space="preserve">（三）总体要求</w:t>
      </w:r>
      <w:r/>
    </w:p>
    <w:p>
      <w:pPr>
        <w:pStyle w:val="895"/>
        <w:contextualSpacing/>
        <w:ind w:firstLine="480"/>
        <w:spacing w:line="360" w:lineRule="auto"/>
        <w:tabs>
          <w:tab w:val="left" w:pos="420" w:leader="none"/>
          <w:tab w:val="left" w:pos="567" w:leader="none"/>
        </w:tabs>
        <w:rPr>
          <w:rFonts w:hint="eastAsia" w:ascii="宋体" w:hAnsi="宋体" w:cs="宋体"/>
          <w:bCs/>
          <w:sz w:val="24"/>
        </w:rPr>
        <w:outlineLvl w:val="1"/>
      </w:pPr>
      <w:r>
        <w:rPr>
          <w:rFonts w:hint="eastAsia" w:ascii="宋体" w:hAnsi="宋体" w:cs="宋体"/>
          <w:bCs/>
          <w:sz w:val="24"/>
        </w:rPr>
        <w:t xml:space="preserve">1.供应商开展监测工作必须完全按照采购人确定的质控措施监测方案（包括质量控制措施）开展工作。实验室必须接受采购人定期、不定期的监督和考核，考核办法见《监测服务分包技术监督和质量考核办法》。实验室必须为投标单位自有，不接受委托。</w:t>
      </w:r>
      <w:r/>
    </w:p>
    <w:p>
      <w:pPr>
        <w:pStyle w:val="895"/>
        <w:contextualSpacing/>
        <w:ind w:firstLine="480"/>
        <w:spacing w:line="360" w:lineRule="auto"/>
        <w:tabs>
          <w:tab w:val="left" w:pos="420" w:leader="none"/>
          <w:tab w:val="left" w:pos="567" w:leader="none"/>
        </w:tabs>
        <w:rPr>
          <w:rFonts w:hint="eastAsia" w:ascii="宋体" w:hAnsi="宋体" w:cs="宋体"/>
          <w:bCs/>
          <w:sz w:val="24"/>
        </w:rPr>
        <w:outlineLvl w:val="1"/>
      </w:pPr>
      <w:r>
        <w:rPr>
          <w:rFonts w:hint="eastAsia" w:ascii="宋体" w:hAnsi="宋体" w:cs="宋体"/>
          <w:bCs/>
          <w:sz w:val="24"/>
        </w:rPr>
        <w:t xml:space="preserve">2.采样方法按江苏省监测技术规范执行，分析方法按现行有效的标准方法执行。现场监测按照监测方案中的质控措施执行。实验使用仪器设备必须在合格计量检定有效期内。供应商接受业务时应具备涉及的所有监测内容的监测资质，不得分包、转包。</w:t>
      </w:r>
      <w:r/>
    </w:p>
    <w:p>
      <w:pPr>
        <w:pStyle w:val="895"/>
        <w:contextualSpacing/>
        <w:ind w:firstLine="480"/>
        <w:spacing w:line="360" w:lineRule="auto"/>
        <w:tabs>
          <w:tab w:val="left" w:pos="420" w:leader="none"/>
          <w:tab w:val="left" w:pos="567" w:leader="none"/>
        </w:tabs>
        <w:rPr>
          <w:rFonts w:hint="eastAsia" w:ascii="宋体" w:hAnsi="宋体" w:cs="宋体"/>
          <w:bCs/>
          <w:sz w:val="24"/>
        </w:rPr>
        <w:outlineLvl w:val="1"/>
      </w:pPr>
      <w:r>
        <w:rPr>
          <w:rFonts w:hint="eastAsia" w:ascii="宋体" w:hAnsi="宋体" w:cs="宋体"/>
          <w:bCs/>
          <w:sz w:val="24"/>
        </w:rPr>
        <w:t xml:space="preserve">3.报价要求：</w:t>
      </w:r>
      <w:r/>
    </w:p>
    <w:p>
      <w:pPr>
        <w:pStyle w:val="895"/>
        <w:contextualSpacing/>
        <w:ind w:firstLine="480"/>
        <w:spacing w:line="360" w:lineRule="auto"/>
        <w:tabs>
          <w:tab w:val="left" w:pos="567" w:leader="none"/>
        </w:tabs>
        <w:rPr>
          <w:rFonts w:hint="eastAsia" w:ascii="宋体" w:hAnsi="宋体" w:cs="宋体"/>
          <w:b/>
          <w:sz w:val="24"/>
        </w:rPr>
        <w:outlineLvl w:val="1"/>
      </w:pPr>
      <w:r>
        <w:rPr>
          <w:rFonts w:hint="eastAsia" w:ascii="宋体" w:hAnsi="宋体" w:cs="宋体"/>
          <w:bCs/>
          <w:sz w:val="24"/>
        </w:rPr>
        <w:t xml:space="preserve">环境监测服务参照《江苏省环境监测专业服务收费标准》和《省物价局、省财政厅关于降低收费标准和实施收费减免的通知》的政策及相城区环境监测专业服务收费清单目录执行，</w:t>
      </w:r>
      <w:r>
        <w:rPr>
          <w:rFonts w:hint="eastAsia" w:ascii="宋体" w:hAnsi="宋体" w:cs="宋体"/>
          <w:b/>
          <w:sz w:val="24"/>
        </w:rPr>
        <w:t xml:space="preserve">按固定折扣率报价，固定折扣率必须小于60%，未按此要求报价的视为无效投标。</w:t>
      </w:r>
      <w:r/>
    </w:p>
    <w:p>
      <w:pPr>
        <w:pStyle w:val="895"/>
        <w:ind w:firstLine="482"/>
        <w:spacing w:line="360" w:lineRule="auto"/>
        <w:tabs>
          <w:tab w:val="left" w:pos="567" w:leader="none"/>
        </w:tabs>
        <w:rPr>
          <w:rFonts w:hint="eastAsia" w:ascii="宋体" w:hAnsi="宋体" w:cs="宋体"/>
          <w:b/>
          <w:color w:val="000000"/>
          <w:sz w:val="24"/>
        </w:rPr>
      </w:pPr>
      <w:r>
        <w:rPr>
          <w:rFonts w:hint="eastAsia" w:ascii="宋体" w:hAnsi="宋体" w:cs="宋体"/>
          <w:b/>
          <w:color w:val="000000"/>
          <w:sz w:val="24"/>
        </w:rPr>
        <w:t xml:space="preserve">4.盲样领取说明</w:t>
      </w:r>
      <w:r/>
    </w:p>
    <w:p>
      <w:pPr>
        <w:pStyle w:val="895"/>
        <w:numPr>
          <w:ilvl w:val="0"/>
          <w:numId w:val="5"/>
        </w:numPr>
        <w:ind w:left="567" w:hanging="567"/>
        <w:spacing w:line="360" w:lineRule="auto"/>
        <w:tabs>
          <w:tab w:val="left" w:pos="567" w:leader="none"/>
        </w:tabs>
        <w:rPr>
          <w:rFonts w:hint="eastAsia" w:ascii="宋体" w:hAnsi="宋体" w:cs="宋体"/>
          <w:b/>
          <w:color w:val="000000"/>
          <w:sz w:val="24"/>
        </w:rPr>
      </w:pPr>
      <w:r>
        <w:rPr>
          <w:rFonts w:hint="eastAsia" w:ascii="宋体" w:hAnsi="宋体" w:cs="宋体"/>
          <w:b/>
          <w:color w:val="000000"/>
          <w:sz w:val="24"/>
        </w:rPr>
        <w:t xml:space="preserve">领取时间：</w:t>
      </w:r>
      <w:r>
        <w:rPr>
          <w:rFonts w:hint="eastAsia" w:ascii="宋体" w:hAnsi="宋体" w:cs="宋体"/>
          <w:b/>
          <w:color w:val="000000" w:themeColor="text1"/>
          <w:sz w:val="24"/>
        </w:rPr>
        <w:t xml:space="preserve">2026年5月27日</w:t>
      </w:r>
      <w:r>
        <w:rPr>
          <w:rFonts w:hint="eastAsia" w:ascii="宋体" w:hAnsi="宋体" w:cs="宋体"/>
          <w:b/>
          <w:color w:val="000000" w:themeColor="text1"/>
          <w:sz w:val="24"/>
        </w:rPr>
        <w:t xml:space="preserve">上</w:t>
      </w:r>
      <w:r>
        <w:rPr>
          <w:rFonts w:hint="eastAsia" w:ascii="宋体" w:hAnsi="宋体" w:cs="宋体"/>
          <w:b/>
          <w:color w:val="000000"/>
          <w:sz w:val="24"/>
        </w:rPr>
        <w:t xml:space="preserve">午9:30～10:00。逾期领取视为放弃。</w:t>
      </w:r>
      <w:r/>
    </w:p>
    <w:p>
      <w:pPr>
        <w:pStyle w:val="895"/>
        <w:numPr>
          <w:ilvl w:val="0"/>
          <w:numId w:val="5"/>
        </w:numPr>
        <w:spacing w:line="360" w:lineRule="auto"/>
        <w:tabs>
          <w:tab w:val="left" w:pos="567" w:leader="none"/>
        </w:tabs>
        <w:rPr>
          <w:rFonts w:hint="eastAsia" w:ascii="宋体" w:hAnsi="宋体" w:cs="宋体"/>
          <w:b/>
          <w:color w:val="000000"/>
          <w:sz w:val="24"/>
        </w:rPr>
      </w:pPr>
      <w:r>
        <w:rPr>
          <w:rFonts w:hint="eastAsia" w:ascii="宋体" w:hAnsi="宋体" w:cs="宋体"/>
          <w:b/>
          <w:color w:val="000000"/>
          <w:sz w:val="24"/>
        </w:rPr>
        <w:t xml:space="preserve"> 领取地点：苏州市人民路905号二楼评标室。</w:t>
      </w:r>
      <w:r/>
    </w:p>
    <w:p>
      <w:pPr>
        <w:pStyle w:val="895"/>
        <w:numPr>
          <w:ilvl w:val="0"/>
          <w:numId w:val="5"/>
        </w:numPr>
        <w:ind w:left="567" w:hanging="567"/>
        <w:spacing w:line="360" w:lineRule="auto"/>
        <w:tabs>
          <w:tab w:val="left" w:pos="567" w:leader="none"/>
        </w:tabs>
        <w:rPr>
          <w:rFonts w:hint="eastAsia" w:ascii="宋体" w:hAnsi="宋体" w:cs="宋体"/>
          <w:b/>
          <w:color w:val="000000"/>
          <w:sz w:val="24"/>
        </w:rPr>
      </w:pPr>
      <w:r>
        <w:rPr>
          <w:rFonts w:hint="eastAsia" w:ascii="宋体" w:hAnsi="宋体" w:cs="宋体"/>
          <w:b/>
          <w:color w:val="000000"/>
          <w:sz w:val="24"/>
        </w:rPr>
        <w:t xml:space="preserve">领取说明：本次盲样领取采用购买形式，且不作领取登记，因此仅限现金，金额为</w:t>
      </w:r>
      <w:r>
        <w:rPr>
          <w:rFonts w:hint="eastAsia" w:ascii="宋体" w:hAnsi="宋体" w:cs="宋体"/>
          <w:b/>
          <w:color w:val="000000"/>
          <w:sz w:val="24"/>
          <w:u w:val="single"/>
        </w:rPr>
        <w:t xml:space="preserve">1000</w:t>
      </w:r>
      <w:r>
        <w:rPr>
          <w:rFonts w:hint="eastAsia" w:ascii="宋体" w:hAnsi="宋体" w:cs="宋体"/>
          <w:b/>
          <w:color w:val="000000"/>
          <w:sz w:val="24"/>
        </w:rPr>
        <w:t xml:space="preserve">元，各已成功报名的供应商若因未带现金等自身原因导致未能成功领取盲样，一切后果由供应商自行承担。开标结束后7个工作日内，各投标供应商凭代理机构发放的收款凭证至代理机构开取盲样购买发票。本次盲样包中包含一张采购方编制的盲样编号页原件，投标时须将此原件直接扫描进电子投标文件中，否则盲样考核不得分。盲样考核结果报告等资料须上传至电子投标文件相应模块中。如供应商同时投多个标段，仅进行一次盲样考核。</w:t>
      </w:r>
      <w:r/>
    </w:p>
    <w:p>
      <w:pPr>
        <w:pStyle w:val="895"/>
        <w:contextualSpacing/>
        <w:spacing w:line="360" w:lineRule="auto"/>
        <w:tabs>
          <w:tab w:val="left" w:pos="567" w:leader="none"/>
        </w:tabs>
        <w:rPr>
          <w:rFonts w:hint="eastAsia" w:ascii="宋体" w:hAnsi="宋体" w:cs="宋体"/>
          <w:b/>
          <w:bCs/>
          <w:sz w:val="24"/>
        </w:rPr>
        <w:outlineLvl w:val="1"/>
      </w:pPr>
      <w:r>
        <w:rPr>
          <w:rFonts w:ascii="宋体" w:hAnsi="宋体" w:cs="宋体"/>
          <w:b/>
          <w:bCs/>
          <w:sz w:val="24"/>
        </w:rPr>
        <w:t xml:space="preserve">（四）技术要求</w:t>
      </w:r>
      <w:r>
        <w:rPr>
          <w:rFonts w:hint="eastAsia" w:ascii="宋体" w:hAnsi="宋体" w:cs="宋体"/>
          <w:b/>
          <w:bCs/>
          <w:sz w:val="24"/>
        </w:rPr>
      </w:r>
      <w:r/>
    </w:p>
    <w:p>
      <w:pPr>
        <w:pStyle w:val="895"/>
        <w:contextualSpacing/>
        <w:ind w:firstLine="480"/>
        <w:spacing w:line="360" w:lineRule="auto"/>
        <w:tabs>
          <w:tab w:val="left" w:pos="567" w:leader="none"/>
        </w:tabs>
        <w:rPr>
          <w:rFonts w:hint="eastAsia" w:ascii="宋体" w:hAnsi="宋体" w:cs="宋体"/>
          <w:bCs/>
          <w:sz w:val="24"/>
        </w:rPr>
        <w:outlineLvl w:val="1"/>
      </w:pPr>
      <w:r>
        <w:rPr>
          <w:rFonts w:hint="eastAsia" w:ascii="宋体" w:hAnsi="宋体" w:cs="宋体"/>
          <w:bCs/>
          <w:sz w:val="24"/>
        </w:rPr>
        <w:t xml:space="preserve">进行环境监测外包服务过程中，供应商应根据采购人提供的监测方案安排能胜任监测任务的项目负责人，相对固定为2~3人，在实施全过程中必须接受采购人的监督与指导，接受采购人的质控检查，服从采购人的工作安排，并对采购人负责。未经采购人书面同意，供应商不得擅自将环境监测服务全部或部分转包或分包。</w:t>
      </w:r>
      <w:r/>
    </w:p>
    <w:p>
      <w:pPr>
        <w:pStyle w:val="895"/>
        <w:contextualSpacing/>
        <w:ind w:firstLine="480"/>
        <w:spacing w:line="360" w:lineRule="auto"/>
        <w:tabs>
          <w:tab w:val="left" w:pos="567" w:leader="none"/>
        </w:tabs>
        <w:rPr>
          <w:rFonts w:hint="eastAsia" w:ascii="宋体" w:hAnsi="宋体" w:cs="宋体"/>
          <w:bCs/>
          <w:sz w:val="24"/>
        </w:rPr>
        <w:outlineLvl w:val="1"/>
      </w:pPr>
      <w:r>
        <w:rPr>
          <w:rFonts w:hint="eastAsia" w:ascii="宋体" w:hAnsi="宋体" w:cs="宋体"/>
          <w:bCs/>
          <w:sz w:val="24"/>
        </w:rPr>
        <w:t xml:space="preserve">1.</w:t>
        <w:tab/>
        <w:t xml:space="preserve">工作流程：</w:t>
      </w:r>
      <w:r/>
    </w:p>
    <w:p>
      <w:pPr>
        <w:pStyle w:val="895"/>
        <w:contextualSpacing/>
        <w:ind w:firstLine="480"/>
        <w:spacing w:line="360" w:lineRule="auto"/>
        <w:tabs>
          <w:tab w:val="left" w:pos="567" w:leader="none"/>
        </w:tabs>
        <w:rPr>
          <w:rFonts w:hint="eastAsia" w:ascii="宋体" w:hAnsi="宋体" w:cs="宋体"/>
          <w:bCs/>
          <w:sz w:val="24"/>
        </w:rPr>
        <w:outlineLvl w:val="1"/>
      </w:pPr>
      <w:r>
        <w:rPr>
          <w:rFonts w:hint="eastAsia" w:ascii="宋体" w:hAnsi="宋体" w:cs="宋体"/>
          <w:bCs/>
          <w:sz w:val="24"/>
        </w:rPr>
        <w:t xml:space="preserve">采购人根据实际情况确定监测需求，选择承担服务工作的中标方。供应商根据采购人提供经审核的监测方案（必要时，中标方安排项目实施负责人与采购人进行现场勘查，制定监测方案）或监测计划安排监测任务和预算监测费用，经采购人审核确认后开始现场监测工作。</w:t>
      </w:r>
      <w:r/>
    </w:p>
    <w:p>
      <w:pPr>
        <w:pStyle w:val="895"/>
        <w:contextualSpacing/>
        <w:ind w:firstLine="480"/>
        <w:spacing w:line="360" w:lineRule="auto"/>
        <w:tabs>
          <w:tab w:val="left" w:pos="567" w:leader="none"/>
        </w:tabs>
        <w:rPr>
          <w:rFonts w:hint="eastAsia" w:ascii="宋体" w:hAnsi="宋体" w:cs="宋体"/>
          <w:bCs/>
          <w:sz w:val="24"/>
        </w:rPr>
        <w:outlineLvl w:val="1"/>
      </w:pPr>
      <w:r>
        <w:rPr>
          <w:rFonts w:hint="eastAsia" w:ascii="宋体" w:hAnsi="宋体" w:cs="宋体"/>
          <w:bCs/>
          <w:sz w:val="24"/>
        </w:rPr>
        <w:t xml:space="preserve">2.</w:t>
        <w:tab/>
        <w:t xml:space="preserve">数据流程：</w:t>
      </w:r>
      <w:r/>
    </w:p>
    <w:p>
      <w:pPr>
        <w:pStyle w:val="895"/>
        <w:contextualSpacing/>
        <w:ind w:firstLine="480"/>
        <w:spacing w:line="360" w:lineRule="auto"/>
        <w:tabs>
          <w:tab w:val="left" w:pos="567" w:leader="none"/>
        </w:tabs>
        <w:rPr>
          <w:rFonts w:hint="eastAsia" w:ascii="宋体" w:hAnsi="宋体" w:cs="宋体"/>
          <w:bCs/>
          <w:sz w:val="24"/>
        </w:rPr>
        <w:outlineLvl w:val="1"/>
      </w:pPr>
      <w:r>
        <w:rPr>
          <w:rFonts w:hint="eastAsia" w:ascii="宋体" w:hAnsi="宋体" w:cs="宋体"/>
          <w:bCs/>
          <w:sz w:val="24"/>
        </w:rPr>
        <w:t xml:space="preserve">供应商现场检测结束或取样之后4日内（五日生化需氧量监测因子要求7日内）向采购人提供检测数据汇总表、具有计量标识正式检测报告、采样及实验室分析的原始记录、质控复印件等资料；预警监测的数据报送时间要求1个工作日内，临时性监测任务的数据报送时间为2个工作日（如有特殊情况具体协商）供应商需将检测结果录入苏州市相城生态环境局环境大数据应用平台。</w:t>
      </w:r>
      <w:r/>
    </w:p>
    <w:p>
      <w:pPr>
        <w:pStyle w:val="895"/>
        <w:contextualSpacing/>
        <w:ind w:firstLine="480"/>
        <w:spacing w:line="360" w:lineRule="auto"/>
        <w:tabs>
          <w:tab w:val="left" w:pos="567" w:leader="none"/>
        </w:tabs>
        <w:rPr>
          <w:rFonts w:hint="eastAsia" w:ascii="宋体" w:hAnsi="宋体" w:cs="宋体"/>
          <w:bCs/>
          <w:sz w:val="24"/>
        </w:rPr>
        <w:outlineLvl w:val="1"/>
      </w:pPr>
      <w:r>
        <w:rPr>
          <w:rFonts w:hint="eastAsia" w:ascii="宋体" w:hAnsi="宋体" w:cs="宋体"/>
          <w:bCs/>
          <w:sz w:val="24"/>
        </w:rPr>
        <w:t xml:space="preserve">3.</w:t>
        <w:tab/>
        <w:t xml:space="preserve">考核部分：</w:t>
      </w:r>
      <w:r/>
    </w:p>
    <w:p>
      <w:pPr>
        <w:pStyle w:val="895"/>
        <w:contextualSpacing/>
        <w:ind w:firstLine="480"/>
        <w:spacing w:line="360" w:lineRule="auto"/>
        <w:tabs>
          <w:tab w:val="left" w:pos="567" w:leader="none"/>
        </w:tabs>
        <w:rPr>
          <w:rFonts w:hint="eastAsia" w:ascii="宋体" w:hAnsi="宋体" w:cs="宋体"/>
          <w:bCs/>
          <w:sz w:val="24"/>
        </w:rPr>
        <w:outlineLvl w:val="1"/>
      </w:pPr>
      <w:r>
        <w:rPr>
          <w:rFonts w:hint="eastAsia" w:ascii="宋体" w:hAnsi="宋体" w:cs="宋体"/>
          <w:bCs/>
          <w:sz w:val="24"/>
        </w:rPr>
        <w:t xml:space="preserve">为确保项目监测质量，采购人将定期标准样品考核和不定期现场监测质量抽查、样品加标考核、实验室间比对等方式进行监测质量综合考核，考核结果将作为下阶段业务量分配的重要依据。季度考核采用百分制，满分100分，考核分数在90分以上（含90分）全额付款；考核分数在80～89分之间，采用递进扣款，扣款比例在10%～1%；考核分数在60～79分，暂停业务，采用递进扣款，扣款比例在30%～11%；低于60分，扣除本期全部监测费用，甲方有权解除合同。</w:t>
      </w:r>
      <w:r/>
    </w:p>
    <w:p>
      <w:pPr>
        <w:pStyle w:val="895"/>
        <w:contextualSpacing/>
        <w:ind w:firstLine="482"/>
        <w:spacing w:line="360" w:lineRule="auto"/>
        <w:tabs>
          <w:tab w:val="left" w:pos="567" w:leader="none"/>
        </w:tabs>
        <w:rPr>
          <w:rFonts w:hint="eastAsia" w:ascii="宋体" w:hAnsi="宋体" w:cs="宋体"/>
          <w:b/>
          <w:bCs/>
          <w:sz w:val="24"/>
        </w:rPr>
        <w:outlineLvl w:val="1"/>
      </w:pPr>
      <w:r>
        <w:rPr>
          <w:rFonts w:hint="eastAsia" w:ascii="宋体" w:hAnsi="宋体" w:cs="宋体"/>
          <w:b/>
          <w:bCs/>
          <w:sz w:val="24"/>
        </w:rPr>
        <w:t xml:space="preserve">（五）技术人员配置要求</w:t>
      </w:r>
      <w:r/>
    </w:p>
    <w:p>
      <w:pPr>
        <w:pStyle w:val="895"/>
        <w:contextualSpacing/>
        <w:ind w:firstLine="480"/>
        <w:spacing w:line="360" w:lineRule="auto"/>
        <w:tabs>
          <w:tab w:val="left" w:pos="567" w:leader="none"/>
        </w:tabs>
        <w:rPr>
          <w:rFonts w:hint="eastAsia" w:ascii="宋体" w:hAnsi="宋体" w:cs="宋体"/>
          <w:bCs/>
          <w:sz w:val="24"/>
        </w:rPr>
        <w:outlineLvl w:val="1"/>
      </w:pPr>
      <w:r>
        <w:rPr>
          <w:rFonts w:hint="eastAsia" w:ascii="宋体" w:hAnsi="宋体" w:cs="宋体"/>
          <w:bCs/>
          <w:sz w:val="24"/>
        </w:rPr>
        <w:t xml:space="preserve">1.</w:t>
        <w:tab/>
        <w:t xml:space="preserve">中标方须配备至少1名固定专业技术服务人员，确保服务响应的及时性，无条件服从采购人的日常工作安排，对采购人负责，未经采购人同意不得调整。服务响应未能满足要求的，采购人有权要求中标方无条件立即更换。</w:t>
      </w:r>
      <w:r/>
    </w:p>
    <w:p>
      <w:pPr>
        <w:pStyle w:val="895"/>
        <w:contextualSpacing/>
        <w:ind w:firstLine="480"/>
        <w:spacing w:line="360" w:lineRule="auto"/>
        <w:tabs>
          <w:tab w:val="left" w:pos="567" w:leader="none"/>
        </w:tabs>
        <w:rPr>
          <w:rFonts w:hint="eastAsia" w:ascii="宋体" w:hAnsi="宋体" w:cs="宋体"/>
          <w:bCs/>
          <w:sz w:val="24"/>
        </w:rPr>
        <w:outlineLvl w:val="1"/>
      </w:pPr>
      <w:r>
        <w:rPr>
          <w:rFonts w:hint="eastAsia" w:ascii="宋体" w:hAnsi="宋体" w:cs="宋体"/>
          <w:bCs/>
          <w:sz w:val="24"/>
        </w:rPr>
        <w:t xml:space="preserve">2.</w:t>
        <w:tab/>
        <w:t xml:space="preserve">技术人员应具备大专以上学历（环保、化学优先）；年龄原则上在35周岁以下；身体健康，具备环境监测工作所需的基本身体素质。技术人员须为供应商全日制在职员工。中标方须将技术人员的劳动合同、毕业证书、学位证书、身份证以及相关培训再教育证书的复印件交采购人备案。</w:t>
      </w:r>
      <w:r/>
    </w:p>
    <w:p>
      <w:pPr>
        <w:pStyle w:val="895"/>
        <w:ind w:firstLine="480"/>
        <w:spacing w:line="360" w:lineRule="auto"/>
        <w:tabs>
          <w:tab w:val="left" w:pos="567" w:leader="none"/>
        </w:tabs>
        <w:rPr>
          <w:rFonts w:hint="eastAsia" w:ascii="宋体" w:hAnsi="宋体" w:cs="宋体"/>
          <w:bCs/>
          <w:sz w:val="24"/>
        </w:rPr>
      </w:pPr>
      <w:r>
        <w:rPr>
          <w:rFonts w:hint="eastAsia" w:ascii="宋体" w:hAnsi="宋体" w:cs="宋体"/>
          <w:bCs/>
          <w:sz w:val="24"/>
        </w:rPr>
        <w:t xml:space="preserve">3.</w:t>
        <w:tab/>
        <w:t xml:space="preserve">技术人员在岗履行工作职责期间（包括上下班途中），发生自身的人身伤害、伤亡以及事故等，均由中标方负责处理，并承担经济和道义上的责任，采购人不承担任何责任。供应商违反国家相关法规，与派遣人员发生纠纷，均由中标方负责调解与处理，采购人不承担责任。人员发生离职或因健康等原因导致不具备执行环境监测服务的条件，供应商应及时补充经采购人考核合格的人员。</w:t>
      </w:r>
      <w:r/>
    </w:p>
    <w:p>
      <w:pPr>
        <w:pStyle w:val="895"/>
        <w:ind w:firstLine="482"/>
        <w:spacing w:line="360" w:lineRule="auto"/>
        <w:tabs>
          <w:tab w:val="left" w:pos="567" w:leader="none"/>
        </w:tabs>
        <w:rPr>
          <w:rFonts w:hint="eastAsia" w:ascii="宋体" w:hAnsi="宋体" w:cs="宋体"/>
          <w:b/>
          <w:bCs/>
          <w:color w:val="000000"/>
          <w:sz w:val="24"/>
        </w:rPr>
      </w:pPr>
      <w:r>
        <w:rPr>
          <w:rFonts w:hint="eastAsia" w:ascii="宋体" w:hAnsi="宋体" w:cs="宋体"/>
          <w:b/>
          <w:bCs/>
          <w:sz w:val="24"/>
        </w:rPr>
        <w:t xml:space="preserve">  </w:t>
      </w:r>
      <w:r>
        <w:rPr>
          <w:rFonts w:ascii="宋体" w:hAnsi="宋体" w:cs="宋体"/>
          <w:b/>
          <w:bCs/>
          <w:sz w:val="24"/>
        </w:rPr>
        <w:t xml:space="preserve">（六）</w:t>
      </w:r>
      <w:r>
        <w:rPr>
          <w:rFonts w:hint="eastAsia" w:ascii="宋体" w:hAnsi="宋体" w:cs="宋体"/>
          <w:b/>
          <w:bCs/>
          <w:color w:val="000000"/>
          <w:sz w:val="24"/>
        </w:rPr>
        <w:t xml:space="preserve">采购人环境检测质控检查方案</w:t>
      </w:r>
      <w:r/>
    </w:p>
    <w:p>
      <w:pPr>
        <w:pStyle w:val="895"/>
        <w:ind w:firstLine="567"/>
        <w:spacing w:line="360" w:lineRule="auto"/>
        <w:rPr>
          <w:rFonts w:hint="eastAsia" w:ascii="宋体" w:hAnsi="宋体" w:cs="宋体"/>
          <w:color w:val="000000"/>
          <w:sz w:val="24"/>
        </w:rPr>
      </w:pPr>
      <w:r>
        <w:rPr>
          <w:rFonts w:hint="eastAsia" w:ascii="宋体" w:hAnsi="宋体" w:cs="宋体"/>
          <w:color w:val="000000"/>
          <w:sz w:val="24"/>
        </w:rPr>
        <w:t xml:space="preserve">根据《实验室资质认定评审准则》、《检测和校准实验室能力认可准则》CNAS-CL01:2018的相关规定以及本站管理体系文件的要求，加强对中标方检质控体系的监督检查，确保中标方的现场采样检测的规范性、实验室分析数据的准确性和完整性，特制定中标方环境检测质控检查方案。</w:t>
      </w:r>
      <w:r/>
    </w:p>
    <w:p>
      <w:pPr>
        <w:pStyle w:val="895"/>
        <w:ind w:firstLine="480"/>
        <w:spacing w:line="360" w:lineRule="auto"/>
        <w:rPr>
          <w:rFonts w:hint="eastAsia" w:ascii="宋体" w:hAnsi="宋体" w:cs="宋体"/>
          <w:bCs/>
          <w:color w:val="000000"/>
          <w:sz w:val="24"/>
        </w:rPr>
        <w:outlineLvl w:val="3"/>
      </w:pPr>
      <w:r>
        <w:rPr>
          <w:rFonts w:hint="eastAsia" w:ascii="宋体" w:hAnsi="宋体" w:cs="宋体"/>
          <w:bCs/>
          <w:color w:val="000000"/>
          <w:sz w:val="24"/>
        </w:rPr>
        <w:t xml:space="preserve">1.检查范围</w:t>
      </w:r>
      <w:r/>
    </w:p>
    <w:p>
      <w:pPr>
        <w:pStyle w:val="895"/>
        <w:ind w:firstLine="567"/>
        <w:spacing w:line="360" w:lineRule="auto"/>
        <w:rPr>
          <w:rFonts w:hint="eastAsia" w:ascii="宋体" w:hAnsi="宋体" w:cs="宋体"/>
          <w:bCs/>
          <w:color w:val="000000"/>
          <w:sz w:val="24"/>
        </w:rPr>
      </w:pPr>
      <w:r>
        <w:rPr>
          <w:rFonts w:hint="eastAsia" w:ascii="宋体" w:hAnsi="宋体" w:cs="宋体"/>
          <w:bCs/>
          <w:color w:val="000000"/>
          <w:sz w:val="24"/>
        </w:rPr>
        <w:t xml:space="preserve">中标方实验室。</w:t>
      </w:r>
      <w:r/>
    </w:p>
    <w:p>
      <w:pPr>
        <w:pStyle w:val="895"/>
        <w:ind w:firstLine="480"/>
        <w:spacing w:line="360" w:lineRule="auto"/>
        <w:rPr>
          <w:rFonts w:hint="eastAsia" w:ascii="宋体" w:hAnsi="宋体" w:cs="宋体"/>
          <w:bCs/>
          <w:color w:val="000000"/>
          <w:sz w:val="24"/>
        </w:rPr>
        <w:outlineLvl w:val="3"/>
      </w:pPr>
      <w:r>
        <w:rPr>
          <w:rFonts w:hint="eastAsia" w:ascii="宋体" w:hAnsi="宋体" w:cs="宋体"/>
          <w:bCs/>
          <w:color w:val="000000"/>
          <w:sz w:val="24"/>
        </w:rPr>
        <w:t xml:space="preserve">2.检查方式</w:t>
      </w:r>
      <w:r/>
    </w:p>
    <w:p>
      <w:pPr>
        <w:pStyle w:val="895"/>
        <w:ind w:firstLine="567"/>
        <w:spacing w:line="360" w:lineRule="auto"/>
        <w:tabs>
          <w:tab w:val="left" w:pos="567" w:leader="none"/>
        </w:tabs>
        <w:rPr>
          <w:rFonts w:hint="eastAsia" w:ascii="宋体" w:hAnsi="宋体" w:cs="宋体"/>
          <w:bCs/>
          <w:color w:val="000000"/>
          <w:sz w:val="24"/>
        </w:rPr>
        <w:outlineLvl w:val="3"/>
      </w:pPr>
      <w:r>
        <w:rPr>
          <w:rFonts w:hint="eastAsia" w:ascii="宋体" w:hAnsi="宋体" w:cs="宋体"/>
          <w:bCs/>
          <w:color w:val="000000"/>
          <w:sz w:val="24"/>
        </w:rPr>
        <w:t xml:space="preserve">质控检查采用业务季度考核表检查、质控样考核、第三方实验室现场检查等相结合的方式。</w:t>
      </w:r>
      <w:r/>
    </w:p>
    <w:p>
      <w:pPr>
        <w:pStyle w:val="895"/>
        <w:ind w:firstLine="480"/>
        <w:spacing w:line="360" w:lineRule="auto"/>
        <w:rPr>
          <w:rFonts w:hint="eastAsia" w:ascii="宋体" w:hAnsi="宋体" w:cs="宋体"/>
          <w:bCs/>
          <w:color w:val="000000"/>
          <w:sz w:val="24"/>
        </w:rPr>
        <w:outlineLvl w:val="3"/>
      </w:pPr>
      <w:r>
        <w:rPr>
          <w:rFonts w:hint="eastAsia" w:ascii="宋体" w:hAnsi="宋体" w:cs="宋体"/>
          <w:bCs/>
          <w:color w:val="000000"/>
          <w:sz w:val="24"/>
        </w:rPr>
        <w:t xml:space="preserve">3.检查具体内容</w:t>
      </w:r>
      <w:r/>
    </w:p>
    <w:p>
      <w:pPr>
        <w:pStyle w:val="895"/>
        <w:ind w:firstLine="480"/>
        <w:spacing w:line="360" w:lineRule="auto"/>
        <w:rPr>
          <w:rFonts w:hint="eastAsia" w:ascii="宋体" w:hAnsi="宋体" w:cs="宋体"/>
          <w:bCs/>
          <w:color w:val="000000"/>
          <w:sz w:val="24"/>
        </w:rPr>
        <w:outlineLvl w:val="3"/>
      </w:pPr>
      <w:r>
        <w:rPr>
          <w:rFonts w:hint="eastAsia" w:ascii="宋体" w:hAnsi="宋体" w:cs="宋体"/>
          <w:bCs/>
          <w:color w:val="000000"/>
          <w:sz w:val="24"/>
        </w:rPr>
        <w:t xml:space="preserve">3.1现场质量控制检查</w:t>
      </w:r>
      <w:r/>
    </w:p>
    <w:p>
      <w:pPr>
        <w:pStyle w:val="895"/>
        <w:ind w:firstLine="567"/>
        <w:spacing w:line="360" w:lineRule="auto"/>
        <w:rPr>
          <w:rFonts w:hint="eastAsia" w:ascii="宋体" w:hAnsi="宋体" w:cs="宋体"/>
          <w:bCs/>
          <w:color w:val="000000"/>
          <w:sz w:val="24"/>
        </w:rPr>
      </w:pPr>
      <w:r>
        <w:rPr>
          <w:rFonts w:hint="eastAsia" w:ascii="宋体" w:hAnsi="宋体" w:cs="宋体"/>
          <w:bCs/>
          <w:color w:val="000000"/>
          <w:sz w:val="24"/>
        </w:rPr>
        <w:t xml:space="preserve">对各单位的水和废水采样、环境空气现场采样、污染源废气采样、噪声检测四个现场操作项目进行随机抽测。</w:t>
      </w:r>
      <w:r/>
    </w:p>
    <w:p>
      <w:pPr>
        <w:pStyle w:val="895"/>
        <w:ind w:firstLine="567"/>
        <w:spacing w:line="360" w:lineRule="auto"/>
        <w:rPr>
          <w:rFonts w:hint="eastAsia" w:ascii="宋体" w:hAnsi="宋体" w:cs="宋体"/>
          <w:bCs/>
          <w:color w:val="000000"/>
          <w:sz w:val="24"/>
        </w:rPr>
      </w:pPr>
      <w:r>
        <w:rPr>
          <w:rFonts w:hint="eastAsia" w:ascii="宋体" w:hAnsi="宋体" w:cs="宋体"/>
          <w:bCs/>
          <w:color w:val="000000"/>
          <w:sz w:val="24"/>
        </w:rPr>
        <w:t xml:space="preserve">中标方在开展委托监测任务时，均需要提前三天向采购人质控室上报监测方案，便于备案检查。</w:t>
      </w:r>
      <w:r/>
    </w:p>
    <w:p>
      <w:pPr>
        <w:pStyle w:val="895"/>
        <w:ind w:firstLine="480"/>
        <w:spacing w:line="360" w:lineRule="auto"/>
        <w:rPr>
          <w:rFonts w:hint="eastAsia" w:ascii="宋体" w:hAnsi="宋体" w:cs="宋体"/>
          <w:bCs/>
          <w:color w:val="000000"/>
          <w:sz w:val="24"/>
        </w:rPr>
        <w:outlineLvl w:val="3"/>
      </w:pPr>
      <w:r>
        <w:rPr>
          <w:rFonts w:hint="eastAsia" w:ascii="宋体" w:hAnsi="宋体" w:cs="宋体"/>
          <w:bCs/>
          <w:color w:val="000000"/>
          <w:sz w:val="24"/>
        </w:rPr>
        <w:t xml:space="preserve">3.2实验室质量管理检查</w:t>
      </w:r>
      <w:r/>
    </w:p>
    <w:p>
      <w:pPr>
        <w:pStyle w:val="895"/>
        <w:ind w:firstLine="480"/>
        <w:spacing w:line="360" w:lineRule="auto"/>
        <w:tabs>
          <w:tab w:val="left" w:pos="540" w:leader="none"/>
        </w:tabs>
        <w:rPr>
          <w:rFonts w:hint="eastAsia" w:ascii="宋体" w:hAnsi="宋体" w:cs="宋体"/>
          <w:bCs/>
          <w:color w:val="000000"/>
          <w:sz w:val="24"/>
        </w:rPr>
        <w:outlineLvl w:val="3"/>
      </w:pPr>
      <w:r>
        <w:rPr>
          <w:rFonts w:hint="eastAsia" w:ascii="宋体" w:hAnsi="宋体" w:cs="宋体"/>
          <w:bCs/>
          <w:color w:val="000000"/>
          <w:sz w:val="24"/>
        </w:rPr>
        <w:t xml:space="preserve">3.2.1实验室分析质控管理工作</w:t>
      </w:r>
      <w:r/>
    </w:p>
    <w:p>
      <w:pPr>
        <w:pStyle w:val="895"/>
        <w:ind w:firstLine="567"/>
        <w:spacing w:line="360" w:lineRule="auto"/>
        <w:rPr>
          <w:rFonts w:hint="eastAsia" w:ascii="宋体" w:hAnsi="宋体" w:cs="宋体"/>
          <w:bCs/>
          <w:color w:val="000000"/>
          <w:sz w:val="24"/>
        </w:rPr>
      </w:pPr>
      <w:r>
        <w:rPr>
          <w:rFonts w:hint="eastAsia" w:ascii="宋体" w:hAnsi="宋体" w:cs="宋体"/>
          <w:bCs/>
          <w:color w:val="000000"/>
          <w:sz w:val="24"/>
        </w:rPr>
        <w:t xml:space="preserve">承担监测任务的各检测机构符合实验室分析管理要求。能将有相互影响的测试工作有效隔离；实验室所用仪器设备有相应的操作规程和记录,有唯一性编号和状态标识，并按相关要求定期进行量值溯源和必要的期间核查。</w:t>
      </w:r>
      <w:r/>
    </w:p>
    <w:p>
      <w:pPr>
        <w:pStyle w:val="895"/>
        <w:ind w:firstLine="480"/>
        <w:spacing w:line="360" w:lineRule="auto"/>
        <w:tabs>
          <w:tab w:val="left" w:pos="540" w:leader="none"/>
        </w:tabs>
        <w:rPr>
          <w:rFonts w:hint="eastAsia" w:ascii="宋体" w:hAnsi="宋体" w:cs="宋体"/>
          <w:bCs/>
          <w:color w:val="000000"/>
          <w:sz w:val="24"/>
        </w:rPr>
        <w:outlineLvl w:val="3"/>
      </w:pPr>
      <w:r>
        <w:rPr>
          <w:rFonts w:hint="eastAsia" w:ascii="宋体" w:hAnsi="宋体" w:cs="宋体"/>
          <w:bCs/>
          <w:color w:val="000000"/>
          <w:sz w:val="24"/>
        </w:rPr>
        <w:t xml:space="preserve">3.2.2监测原始记录</w:t>
      </w:r>
      <w:r/>
    </w:p>
    <w:p>
      <w:pPr>
        <w:pStyle w:val="895"/>
        <w:ind w:firstLine="567"/>
        <w:spacing w:line="360" w:lineRule="auto"/>
        <w:rPr>
          <w:rFonts w:hint="eastAsia" w:ascii="宋体" w:hAnsi="宋体" w:cs="宋体"/>
          <w:bCs/>
          <w:color w:val="000000"/>
          <w:sz w:val="24"/>
        </w:rPr>
      </w:pPr>
      <w:r>
        <w:rPr>
          <w:rFonts w:hint="eastAsia" w:ascii="宋体" w:hAnsi="宋体" w:cs="宋体"/>
          <w:bCs/>
          <w:color w:val="000000"/>
          <w:sz w:val="24"/>
        </w:rPr>
        <w:t xml:space="preserve">检查过程中样品采集、样品运输、样品交接、样品分析测定等全过程原始记录，判断是否满足有关技术规范要求。</w:t>
      </w:r>
      <w:r/>
    </w:p>
    <w:p>
      <w:pPr>
        <w:pStyle w:val="895"/>
        <w:ind w:firstLine="480"/>
        <w:spacing w:line="360" w:lineRule="auto"/>
        <w:rPr>
          <w:rFonts w:hint="eastAsia" w:ascii="宋体" w:hAnsi="宋体" w:cs="宋体"/>
          <w:bCs/>
          <w:color w:val="000000"/>
          <w:sz w:val="24"/>
        </w:rPr>
        <w:outlineLvl w:val="3"/>
      </w:pPr>
      <w:r>
        <w:rPr>
          <w:rFonts w:hint="eastAsia" w:ascii="宋体" w:hAnsi="宋体" w:cs="宋体"/>
          <w:bCs/>
          <w:color w:val="000000"/>
          <w:sz w:val="24"/>
        </w:rPr>
        <w:t xml:space="preserve">3.3监测报告检查</w:t>
      </w:r>
      <w:r/>
    </w:p>
    <w:p>
      <w:pPr>
        <w:pStyle w:val="895"/>
        <w:ind w:firstLine="567"/>
        <w:spacing w:line="360" w:lineRule="auto"/>
        <w:rPr>
          <w:rFonts w:hint="eastAsia" w:ascii="宋体" w:hAnsi="宋体" w:cs="宋体"/>
          <w:bCs/>
          <w:color w:val="000000"/>
          <w:sz w:val="24"/>
        </w:rPr>
      </w:pPr>
      <w:r>
        <w:rPr>
          <w:rFonts w:hint="eastAsia" w:ascii="宋体" w:hAnsi="宋体" w:cs="宋体"/>
          <w:bCs/>
          <w:color w:val="000000"/>
          <w:sz w:val="24"/>
        </w:rPr>
        <w:t xml:space="preserve">检查各单位检测报告编制的及时性、完整性、规范性等，数据结果应使用法定计量单位，报告的发放实行三级审核等内容。</w:t>
      </w:r>
      <w:r/>
    </w:p>
    <w:p>
      <w:pPr>
        <w:pStyle w:val="895"/>
        <w:ind w:firstLine="480"/>
        <w:spacing w:line="360" w:lineRule="auto"/>
        <w:rPr>
          <w:rFonts w:hint="eastAsia" w:ascii="宋体" w:hAnsi="宋体" w:cs="宋体"/>
          <w:bCs/>
          <w:color w:val="000000"/>
          <w:sz w:val="24"/>
        </w:rPr>
        <w:outlineLvl w:val="3"/>
      </w:pPr>
      <w:r>
        <w:rPr>
          <w:rFonts w:hint="eastAsia" w:ascii="宋体" w:hAnsi="宋体" w:cs="宋体"/>
          <w:bCs/>
          <w:color w:val="000000"/>
          <w:sz w:val="24"/>
        </w:rPr>
        <w:t xml:space="preserve">3.4日常管理及其他情况检查</w:t>
      </w:r>
      <w:r/>
    </w:p>
    <w:p>
      <w:pPr>
        <w:pStyle w:val="895"/>
        <w:ind w:firstLine="480"/>
        <w:spacing w:line="360" w:lineRule="auto"/>
        <w:tabs>
          <w:tab w:val="left" w:pos="540" w:leader="none"/>
        </w:tabs>
        <w:rPr>
          <w:rFonts w:hint="eastAsia" w:ascii="宋体" w:hAnsi="宋体" w:cs="宋体"/>
          <w:color w:val="000000"/>
          <w:sz w:val="24"/>
        </w:rPr>
        <w:outlineLvl w:val="3"/>
      </w:pPr>
      <w:r>
        <w:rPr>
          <w:rFonts w:hint="eastAsia" w:ascii="宋体" w:hAnsi="宋体" w:cs="宋体"/>
          <w:color w:val="000000"/>
          <w:sz w:val="24"/>
        </w:rPr>
        <w:t xml:space="preserve">3.4.1体系认证管理</w:t>
      </w:r>
      <w:r/>
    </w:p>
    <w:p>
      <w:pPr>
        <w:pStyle w:val="895"/>
        <w:ind w:firstLine="567"/>
        <w:spacing w:line="360" w:lineRule="auto"/>
        <w:rPr>
          <w:rFonts w:hint="eastAsia" w:ascii="宋体" w:hAnsi="宋体" w:cs="宋体"/>
          <w:color w:val="000000"/>
          <w:sz w:val="24"/>
        </w:rPr>
      </w:pPr>
      <w:r>
        <w:rPr>
          <w:rFonts w:hint="eastAsia" w:ascii="宋体" w:hAnsi="宋体" w:cs="宋体"/>
          <w:color w:val="000000"/>
          <w:sz w:val="24"/>
        </w:rPr>
        <w:t xml:space="preserve">被检查的各检测机构具备国家法定的计量认证资质，检测报告中涉及的检测项目在计量认证检测能力范围内。</w:t>
      </w:r>
      <w:r/>
    </w:p>
    <w:p>
      <w:pPr>
        <w:pStyle w:val="895"/>
        <w:ind w:firstLine="480"/>
        <w:spacing w:line="360" w:lineRule="auto"/>
        <w:tabs>
          <w:tab w:val="left" w:pos="540" w:leader="none"/>
        </w:tabs>
        <w:rPr>
          <w:rFonts w:hint="eastAsia" w:ascii="宋体" w:hAnsi="宋体" w:cs="宋体"/>
          <w:color w:val="000000"/>
          <w:sz w:val="24"/>
        </w:rPr>
        <w:outlineLvl w:val="3"/>
      </w:pPr>
      <w:r>
        <w:rPr>
          <w:rFonts w:hint="eastAsia" w:ascii="宋体" w:hAnsi="宋体" w:cs="宋体"/>
          <w:color w:val="000000"/>
          <w:sz w:val="24"/>
        </w:rPr>
        <w:t xml:space="preserve">3.4.2相关技术人员教育培训情况</w:t>
      </w:r>
      <w:r/>
    </w:p>
    <w:p>
      <w:pPr>
        <w:pStyle w:val="895"/>
        <w:ind w:firstLine="567"/>
        <w:spacing w:line="360" w:lineRule="auto"/>
        <w:rPr>
          <w:rFonts w:hint="eastAsia" w:ascii="宋体" w:hAnsi="宋体" w:cs="宋体"/>
          <w:color w:val="000000"/>
          <w:sz w:val="24"/>
        </w:rPr>
      </w:pPr>
      <w:r>
        <w:rPr>
          <w:rFonts w:hint="eastAsia" w:ascii="宋体" w:hAnsi="宋体" w:cs="宋体"/>
          <w:color w:val="000000"/>
          <w:sz w:val="24"/>
        </w:rPr>
        <w:t xml:space="preserve">确保操作专门设备、从事检测、评价结果、签署报告等人员的能力，对其进行相应的教育及培训并验证其有效性，对其进行适当的监督并保留相关记录。</w:t>
      </w:r>
      <w:r/>
    </w:p>
    <w:p>
      <w:pPr>
        <w:pStyle w:val="895"/>
        <w:ind w:firstLine="480"/>
        <w:spacing w:line="360" w:lineRule="auto"/>
        <w:tabs>
          <w:tab w:val="left" w:pos="540" w:leader="none"/>
        </w:tabs>
        <w:rPr>
          <w:rFonts w:hint="eastAsia" w:ascii="宋体" w:hAnsi="宋体" w:cs="宋体"/>
          <w:color w:val="000000"/>
          <w:sz w:val="24"/>
        </w:rPr>
        <w:outlineLvl w:val="3"/>
      </w:pPr>
      <w:r>
        <w:rPr>
          <w:rFonts w:hint="eastAsia" w:ascii="宋体" w:hAnsi="宋体" w:cs="宋体"/>
          <w:color w:val="000000"/>
          <w:sz w:val="24"/>
        </w:rPr>
        <w:t xml:space="preserve">3.4.3仪器设备检定情况</w:t>
      </w:r>
      <w:r/>
    </w:p>
    <w:p>
      <w:pPr>
        <w:pStyle w:val="895"/>
        <w:ind w:firstLine="480"/>
        <w:spacing w:line="360" w:lineRule="auto"/>
        <w:rPr>
          <w:rFonts w:hint="eastAsia" w:ascii="宋体" w:hAnsi="宋体" w:cs="宋体"/>
          <w:bCs/>
          <w:color w:val="000000"/>
          <w:sz w:val="24"/>
        </w:rPr>
        <w:outlineLvl w:val="3"/>
      </w:pPr>
      <w:r>
        <w:rPr>
          <w:rFonts w:hint="eastAsia" w:ascii="宋体" w:hAnsi="宋体" w:cs="宋体"/>
          <w:bCs/>
          <w:color w:val="000000"/>
          <w:sz w:val="24"/>
        </w:rPr>
        <w:t xml:space="preserve">3.5质控样考核</w:t>
      </w:r>
      <w:r/>
    </w:p>
    <w:p>
      <w:pPr>
        <w:pStyle w:val="895"/>
        <w:ind w:firstLine="560"/>
        <w:spacing w:line="360" w:lineRule="auto"/>
        <w:rPr>
          <w:rFonts w:hint="eastAsia" w:ascii="宋体" w:hAnsi="宋体" w:cs="宋体"/>
          <w:bCs/>
          <w:color w:val="000000"/>
          <w:sz w:val="24"/>
        </w:rPr>
      </w:pPr>
      <w:r>
        <w:rPr>
          <w:rFonts w:hint="eastAsia" w:ascii="宋体" w:hAnsi="宋体" w:cs="宋体"/>
          <w:bCs/>
          <w:color w:val="000000"/>
          <w:sz w:val="24"/>
        </w:rPr>
        <w:t xml:space="preserve">对各实验室分别使用有证标准物质进行检查。水和废水检查项目的质控样测定结果要求在质控样标准值范围内，水和废水检查项目的加标回收率应在相应的标准规范范围内；空气和废气检查项目质控样测定的相对误差不大于质控样标准值相对扩展不确定度，土壤检查项目的质控样测定结果要求在质控样标准范围内。</w:t>
      </w:r>
      <w:r/>
    </w:p>
    <w:p>
      <w:pPr>
        <w:pStyle w:val="895"/>
        <w:ind w:firstLine="480"/>
        <w:spacing w:line="360" w:lineRule="auto"/>
        <w:rPr>
          <w:rFonts w:hint="eastAsia" w:ascii="宋体" w:hAnsi="宋体" w:cs="宋体"/>
          <w:bCs/>
          <w:color w:val="000000"/>
          <w:sz w:val="24"/>
        </w:rPr>
        <w:outlineLvl w:val="3"/>
      </w:pPr>
      <w:r>
        <w:rPr>
          <w:rFonts w:hint="eastAsia" w:ascii="宋体" w:hAnsi="宋体" w:cs="宋体"/>
          <w:bCs/>
          <w:color w:val="000000"/>
          <w:sz w:val="24"/>
        </w:rPr>
        <w:t xml:space="preserve">4.检查时间安排</w:t>
      </w:r>
      <w:r/>
    </w:p>
    <w:p>
      <w:pPr>
        <w:pStyle w:val="895"/>
        <w:ind w:firstLine="567"/>
        <w:spacing w:line="360" w:lineRule="auto"/>
        <w:rPr>
          <w:rFonts w:hint="eastAsia" w:ascii="宋体" w:hAnsi="宋体" w:cs="宋体"/>
          <w:bCs/>
          <w:color w:val="000000"/>
          <w:sz w:val="24"/>
        </w:rPr>
      </w:pPr>
      <w:r>
        <w:rPr>
          <w:rFonts w:hint="eastAsia" w:ascii="宋体" w:hAnsi="宋体" w:cs="宋体"/>
          <w:bCs/>
          <w:color w:val="000000"/>
          <w:sz w:val="24"/>
        </w:rPr>
        <w:t xml:space="preserve">检查时间初步定在2026年每季度，具体时间另行通知。</w:t>
      </w:r>
      <w:r/>
    </w:p>
    <w:p>
      <w:pPr>
        <w:pStyle w:val="895"/>
        <w:numPr>
          <w:ilvl w:val="0"/>
          <w:numId w:val="6"/>
        </w:numPr>
        <w:jc w:val="left"/>
        <w:spacing w:line="360" w:lineRule="auto"/>
        <w:rPr>
          <w:rFonts w:hint="eastAsia" w:ascii="宋体" w:hAnsi="宋体" w:cs="宋体"/>
          <w:b/>
          <w:color w:val="000000"/>
          <w:sz w:val="24"/>
        </w:rPr>
      </w:pPr>
      <w:r>
        <w:rPr>
          <w:rFonts w:hint="eastAsia" w:ascii="宋体" w:hAnsi="宋体" w:cs="宋体"/>
          <w:b/>
          <w:bCs/>
          <w:color w:val="000000"/>
          <w:sz w:val="24"/>
        </w:rPr>
        <w:t xml:space="preserve">供应商责任与义务</w:t>
      </w:r>
      <w:r>
        <w:rPr>
          <w:rFonts w:hint="eastAsia" w:ascii="宋体" w:hAnsi="宋体" w:cs="宋体"/>
          <w:b/>
          <w:color w:val="000000"/>
          <w:sz w:val="24"/>
        </w:rPr>
      </w:r>
      <w:r/>
    </w:p>
    <w:p>
      <w:pPr>
        <w:pStyle w:val="895"/>
        <w:ind w:firstLine="480"/>
        <w:jc w:val="left"/>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1.接受委托供应商应确保项目监测质量，按时完成监测工作。项目监测应当严格遵守国家的有关法律、法规、制度规定、有关执业规范及采购人的要求。中标方对监测结果的真实性、完整性、准确性和可靠性负责。中标方的监测数据只向采购人提供，不得自行提供给其他单位以及利益相关方。对提供不实或内容虚假的监测结果以及自行对外提供监测报告的，除由供应商自行承担法律责任外，采购人可采取必要措施终止合作，情节严重的，依法提请有关部门追究供应商和相关责任人的行政及法律责任。</w:t>
      </w:r>
      <w:r/>
    </w:p>
    <w:p>
      <w:pPr>
        <w:pStyle w:val="895"/>
        <w:ind w:firstLine="480"/>
        <w:jc w:val="left"/>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2.供应商应加强对监测资料的保管，对档案管理不完善造成资料遗失的供应商，采购人将予以警告直至不再对其进行委托。</w:t>
      </w:r>
      <w:r/>
    </w:p>
    <w:p>
      <w:pPr>
        <w:pStyle w:val="895"/>
        <w:ind w:firstLine="480"/>
        <w:jc w:val="left"/>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3.进行监测业务时，发生自身的人身伤害、伤亡以及事故等，均由中标方负责处理并承担经济和道义上的责任，采购人不承担任何责任。供应商违返国家相关法规，与派遣人员发生纠纷，均由中标方负责调解与处理，采购人不承担责任。</w:t>
      </w:r>
      <w:r/>
    </w:p>
    <w:p>
      <w:pPr>
        <w:pStyle w:val="895"/>
        <w:ind w:firstLine="480"/>
        <w:jc w:val="left"/>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4.遇突击任务及重大应急任务时，应无条件按采购人要求完成工作，采购人不另行增加费用。在工作时间内，项目负责人必须保持通讯畅通，尤其重大任务时必须24小时保持通讯畅通。</w:t>
      </w:r>
      <w:r/>
    </w:p>
    <w:p>
      <w:pPr>
        <w:pStyle w:val="895"/>
        <w:ind w:firstLine="480"/>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5.投标中所承诺项目负责人、仪器设备等未经采购人同意，不得擅自进行人员调动，更换仪器设备等。</w:t>
      </w:r>
      <w:r/>
    </w:p>
    <w:p>
      <w:pPr>
        <w:pStyle w:val="895"/>
        <w:ind w:firstLine="480"/>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6.供应商及其专业人员应当遵守保密原则，对因订立和执行本合同过程中所了解或知悉或获取的对方的一切信息、国家秘密、商业秘密、个人隐私以及合同成果予以保密，在本合同服务期内及本合同解除或终止后均不得向采购人以外的第三方提供保密信息，除非得到采购人的书面同意或者属于法律、行政法规允许的范围。</w:t>
      </w:r>
      <w:r/>
    </w:p>
    <w:p>
      <w:pPr>
        <w:pStyle w:val="895"/>
        <w:ind w:firstLine="480"/>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7.采购人提交给供应商使用的相关资料，其知识产权仍归采购人所有。除为本合同目的而使用之外，供应商不得复制、使用及提供给第三方。供应商应能保证所提供服务涉及到的知识产权是合法取得，并享有完整的知识产权，不会因为采购人的使用而被责令停止使用、追偿或要求赔偿损失，如出现此情况，一切经济和法律责任均由供应商承担。供应商提供的所有服务必须质量符合国际或国家通用标准，如出现质量问题，供应商负责更正，发生的费用由供应商负责。</w:t>
      </w:r>
      <w:r/>
    </w:p>
    <w:p>
      <w:pPr>
        <w:pStyle w:val="895"/>
        <w:ind w:firstLine="480"/>
        <w:spacing w:line="360" w:lineRule="auto"/>
        <w:tabs>
          <w:tab w:val="left" w:pos="567" w:leader="none"/>
        </w:tabs>
        <w:rPr>
          <w:rFonts w:ascii="宋体" w:hAnsi="宋体" w:cs="宋体"/>
          <w:color w:val="000000"/>
          <w:sz w:val="24"/>
        </w:rPr>
      </w:pPr>
      <w:r>
        <w:rPr>
          <w:rFonts w:hint="eastAsia" w:ascii="宋体" w:hAnsi="宋体" w:cs="宋体"/>
          <w:color w:val="000000"/>
          <w:sz w:val="24"/>
        </w:rPr>
        <w:t xml:space="preserve">8.未经采购人书面同意，供应商不得擅自分包、转包，不得转让本合同债权。</w:t>
      </w:r>
      <w:r>
        <w:rPr>
          <w:rFonts w:ascii="宋体" w:hAnsi="宋体" w:cs="宋体"/>
          <w:color w:val="000000"/>
          <w:sz w:val="24"/>
        </w:rPr>
      </w:r>
      <w:r/>
    </w:p>
    <w:p>
      <w:pPr>
        <w:pStyle w:val="895"/>
        <w:ind w:firstLine="482"/>
        <w:spacing w:line="360" w:lineRule="auto"/>
        <w:tabs>
          <w:tab w:val="left" w:pos="567" w:leader="none"/>
        </w:tabs>
        <w:rPr>
          <w:rFonts w:hint="eastAsia" w:ascii="宋体" w:hAnsi="宋体" w:cs="宋体"/>
          <w:b/>
          <w:color w:val="000000"/>
          <w:sz w:val="24"/>
        </w:rPr>
      </w:pPr>
      <w:r>
        <w:rPr>
          <w:rFonts w:hint="eastAsia" w:ascii="宋体" w:hAnsi="宋体" w:cs="宋体"/>
          <w:b/>
          <w:color w:val="000000"/>
          <w:sz w:val="24"/>
        </w:rPr>
        <w:t xml:space="preserve">（八）违约责任：</w:t>
      </w:r>
      <w:r/>
    </w:p>
    <w:p>
      <w:pPr>
        <w:pStyle w:val="895"/>
        <w:ind w:firstLine="480"/>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1.供应商未能在标书要求的时间内（含同意延长的时间）提交监测数据汇总表和原始记录复印件或受采购人两次警告（书面或口头）则视为违约。违约三次，采购人有权终止合同。</w:t>
      </w:r>
      <w:r/>
    </w:p>
    <w:p>
      <w:pPr>
        <w:pStyle w:val="895"/>
        <w:ind w:firstLine="480"/>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2.在合同有效期内，被行业主管部门警告、暂停或取消经营资格，或擅自变更、转让、租借定点资格的，终止合同。</w:t>
      </w:r>
      <w:r/>
    </w:p>
    <w:p>
      <w:pPr>
        <w:pStyle w:val="895"/>
        <w:ind w:firstLine="480"/>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3.在合同有效期内，中标方如出现被行业主管部门或市场监督管理部门处以暂停、取消经营资格或擅自变更、转让、租借定点资格的，采购人有权无条件解除合同，中标方在此期间承担的服务工作采购人有权不予支付相应服务费用，采购人无需承担任何违约责任。采购人有权另行分配该标段的服务内容。</w:t>
      </w:r>
      <w:r/>
    </w:p>
    <w:p>
      <w:pPr>
        <w:pStyle w:val="895"/>
        <w:ind w:firstLine="482"/>
        <w:spacing w:line="360" w:lineRule="auto"/>
        <w:tabs>
          <w:tab w:val="left" w:pos="567" w:leader="none"/>
        </w:tabs>
        <w:rPr>
          <w:rFonts w:hint="eastAsia" w:ascii="宋体" w:hAnsi="宋体" w:cs="宋体"/>
          <w:b/>
          <w:color w:val="000000"/>
          <w:sz w:val="24"/>
        </w:rPr>
      </w:pPr>
      <w:r>
        <w:rPr>
          <w:rFonts w:hint="eastAsia" w:ascii="宋体" w:hAnsi="宋体" w:cs="宋体"/>
          <w:b/>
          <w:color w:val="000000"/>
          <w:sz w:val="24"/>
        </w:rPr>
        <w:t xml:space="preserve">（九）综合说明：</w:t>
      </w:r>
      <w:r/>
    </w:p>
    <w:p>
      <w:pPr>
        <w:pStyle w:val="895"/>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1.</w:t>
        <w:tab/>
        <w:t xml:space="preserve">投标供应商须在投标文件中提供“2025年以来</w:t>
      </w:r>
      <w:r>
        <w:rPr>
          <w:rFonts w:hint="eastAsia" w:ascii="宋体" w:hAnsi="宋体" w:cs="宋体"/>
          <w:sz w:val="24"/>
        </w:rPr>
        <w:t xml:space="preserve">是否</w:t>
      </w:r>
      <w:r>
        <w:rPr>
          <w:rFonts w:hint="eastAsia" w:ascii="宋体" w:hAnsi="宋体" w:cs="宋体"/>
          <w:sz w:val="24"/>
        </w:rPr>
        <w:t xml:space="preserve">被行业主管部门或市场监督管理部门处以</w:t>
      </w:r>
      <w:r>
        <w:rPr>
          <w:rFonts w:hint="eastAsia" w:ascii="宋体" w:hAnsi="宋体" w:cs="宋体"/>
          <w:sz w:val="24"/>
        </w:rPr>
        <w:t xml:space="preserve">警告、</w:t>
      </w:r>
      <w:r>
        <w:rPr>
          <w:rFonts w:hint="eastAsia" w:ascii="宋体" w:hAnsi="宋体" w:cs="宋体"/>
          <w:sz w:val="24"/>
        </w:rPr>
        <w:t xml:space="preserve">暂停、取消经营资格</w:t>
      </w:r>
      <w:r>
        <w:rPr>
          <w:rFonts w:hint="eastAsia" w:ascii="宋体" w:hAnsi="宋体" w:cs="宋体"/>
          <w:sz w:val="24"/>
        </w:rPr>
        <w:t xml:space="preserve">、罚款等行政处罚</w:t>
      </w:r>
      <w:r>
        <w:rPr>
          <w:rFonts w:hint="eastAsia" w:ascii="宋体" w:hAnsi="宋体" w:cs="宋体"/>
          <w:sz w:val="24"/>
        </w:rPr>
        <w:t xml:space="preserve">或擅自变更、转让、租借定点资格。”的书面声明函，未提供的视为无效投标，虚假承诺的将追究投标供应商相应责任。</w:t>
      </w:r>
      <w:r/>
    </w:p>
    <w:p>
      <w:pPr>
        <w:pStyle w:val="895"/>
        <w:ind w:firstLine="480"/>
        <w:spacing w:line="360" w:lineRule="auto"/>
        <w:tabs>
          <w:tab w:val="left" w:pos="567" w:leader="none"/>
        </w:tabs>
        <w:rPr>
          <w:rFonts w:hint="eastAsia" w:ascii="宋体" w:hAnsi="宋体" w:cs="宋体"/>
          <w:color w:val="000000"/>
          <w:sz w:val="24"/>
        </w:rPr>
      </w:pPr>
      <w:r>
        <w:rPr>
          <w:rFonts w:hint="eastAsia" w:ascii="宋体" w:hAnsi="宋体" w:cs="宋体"/>
          <w:sz w:val="24"/>
        </w:rPr>
        <w:t xml:space="preserve">2.</w:t>
        <w:tab/>
      </w:r>
      <w:bookmarkStart w:id="139" w:name="OLE_LINK29"/>
      <w:r/>
      <w:bookmarkStart w:id="140" w:name="OLE_LINK30"/>
      <w:r>
        <w:rPr>
          <w:rFonts w:hint="eastAsia" w:ascii="宋体" w:hAnsi="宋体" w:cs="宋体"/>
          <w:sz w:val="24"/>
        </w:rPr>
        <w:t xml:space="preserve">供应商投标时应提供合同履行期内严格执行回避制度的承诺函。</w:t>
      </w:r>
      <w:bookmarkEnd w:id="139"/>
      <w:r/>
      <w:bookmarkEnd w:id="140"/>
      <w:r>
        <w:rPr>
          <w:rFonts w:hint="eastAsia" w:ascii="宋体" w:hAnsi="宋体" w:cs="宋体"/>
          <w:sz w:val="24"/>
        </w:rPr>
        <w:t xml:space="preserve">中标方在合同履行期内，应严格遵守相应的回避原则，并且在“事前、事中、事后”</w:t>
      </w:r>
      <w:r>
        <w:rPr>
          <w:rFonts w:hint="eastAsia"/>
        </w:rPr>
        <w:t xml:space="preserve">要</w:t>
      </w:r>
      <w:r>
        <w:rPr>
          <w:rFonts w:hint="eastAsia" w:ascii="宋体" w:hAnsi="宋体" w:cs="宋体"/>
          <w:sz w:val="24"/>
        </w:rPr>
        <w:t xml:space="preserve">主动或者</w:t>
      </w:r>
      <w:r>
        <w:rPr>
          <w:rFonts w:hint="eastAsia" w:ascii="宋体" w:hAnsi="宋体" w:cs="宋体"/>
          <w:sz w:val="24"/>
        </w:rPr>
        <w:t xml:space="preserve">配合采购人核实回避情形，</w:t>
      </w:r>
      <w:r>
        <w:rPr>
          <w:rFonts w:hint="eastAsia" w:ascii="宋体" w:hAnsi="宋体" w:cs="宋体"/>
          <w:sz w:val="24"/>
        </w:rPr>
        <w:t xml:space="preserve">对回避情形进行主动报告和“无回避报告”</w:t>
      </w:r>
      <w:r>
        <w:rPr>
          <w:rFonts w:hint="eastAsia" w:ascii="宋体" w:hAnsi="宋体" w:cs="宋体"/>
          <w:sz w:val="24"/>
        </w:rPr>
        <w:t xml:space="preserve">确保监测结果公正性。如未按要求履行上述义务的，第一次</w:t>
      </w:r>
      <w:r>
        <w:rPr>
          <w:rFonts w:hint="eastAsia" w:ascii="宋体" w:hAnsi="宋体" w:cs="宋体"/>
          <w:color w:val="000000"/>
          <w:sz w:val="24"/>
        </w:rPr>
        <w:t xml:space="preserve">将出具的报告作废处理，不予支付相应监测费用，并限期整改到位；第二次除将出具的报告作废处理并不予支付相应监测费用外，采购人有权要求中标单位赔偿损失，并追究中标单位合同总标的额百分之二十的违约金，且采购人有权解除合同。</w:t>
      </w:r>
      <w:r/>
    </w:p>
    <w:p>
      <w:pPr>
        <w:pStyle w:val="895"/>
        <w:ind w:firstLine="480"/>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3.</w:t>
        <w:tab/>
        <w:t xml:space="preserve">为了确保项目监测质量，采购人将定期对中标方的监测质量等进行综合考核，考核结果将作为业务分配的重要依据。若中标方在服务期间出现重大责任问题或考核低于60分的将被解除服务合同。如遇中标方因考核暂停或取消监测服务资格或其他不可预计情形的，将由本项目其他中标方接替该标段的监测服务任务。在项目实施过程中，采购方有权根据项目实际情况、考核情况及特殊需求调整2026年环境监测服务任务分配，中标方需无条件接受并积极响应配合。</w:t>
      </w:r>
      <w:r/>
    </w:p>
    <w:p>
      <w:pPr>
        <w:pStyle w:val="895"/>
        <w:ind w:firstLine="480"/>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4.</w:t>
        <w:tab/>
        <w:t xml:space="preserve">中标方对服务缺陷不予更正，采购人有权另请其他单位更正。如遇监测范围内有大的调整情况，采购人将提前告知中标单位，合同内容经双方协商调整。</w:t>
      </w:r>
      <w:r/>
    </w:p>
    <w:p>
      <w:pPr>
        <w:pStyle w:val="895"/>
        <w:ind w:firstLine="480"/>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5.</w:t>
        <w:tab/>
        <w:t xml:space="preserve">如因中标方出具的监测报告不规范等原因导致诉讼失败、案件撤销或复议撤销处罚决定的，采购人有权解除该单位的合同。</w:t>
      </w:r>
      <w:r/>
    </w:p>
    <w:p>
      <w:pPr>
        <w:pStyle w:val="895"/>
        <w:ind w:firstLine="482"/>
        <w:spacing w:line="360" w:lineRule="auto"/>
        <w:tabs>
          <w:tab w:val="left" w:pos="567" w:leader="none"/>
        </w:tabs>
        <w:rPr>
          <w:rFonts w:hint="eastAsia" w:ascii="宋体" w:hAnsi="宋体" w:cs="宋体"/>
          <w:b/>
          <w:color w:val="000000"/>
          <w:sz w:val="24"/>
        </w:rPr>
      </w:pPr>
      <w:r>
        <w:rPr>
          <w:rFonts w:hint="eastAsia" w:ascii="宋体" w:hAnsi="宋体" w:cs="宋体"/>
          <w:b/>
          <w:color w:val="000000"/>
          <w:sz w:val="24"/>
        </w:rPr>
        <w:t xml:space="preserve">（十）结算方式：</w:t>
      </w:r>
      <w:r/>
    </w:p>
    <w:p>
      <w:pPr>
        <w:pStyle w:val="895"/>
        <w:ind w:firstLine="480"/>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供应商在完成监测任务后，应按采购人要求出具正式监测报告，移交监测资料以及质控资料, 经采购人审核，最终结合监测费用结算清单（每月汇总出具）为结算凭据。</w:t>
      </w:r>
      <w:r/>
    </w:p>
    <w:p>
      <w:pPr>
        <w:pStyle w:val="895"/>
        <w:ind w:firstLine="480"/>
        <w:jc w:val="center"/>
        <w:spacing w:line="360" w:lineRule="auto"/>
        <w:tabs>
          <w:tab w:val="left" w:pos="567" w:leader="none"/>
        </w:tabs>
        <w:rPr>
          <w:rFonts w:hint="eastAsia"/>
          <w:color w:val="ff0000"/>
          <w:sz w:val="32"/>
          <w:szCs w:val="32"/>
        </w:rPr>
      </w:pPr>
      <w:r>
        <w:rPr>
          <w:rFonts w:hint="eastAsia" w:ascii="宋体" w:hAnsi="宋体" w:cs="宋体"/>
          <w:color w:val="000000"/>
          <w:sz w:val="24"/>
        </w:rPr>
        <w:t xml:space="preserve">全年分三期结算，合同签订后，</w:t>
      </w:r>
      <w:r>
        <w:rPr>
          <w:rFonts w:hint="eastAsia" w:ascii="宋体" w:hAnsi="宋体" w:cs="宋体"/>
          <w:color w:val="000000"/>
          <w:sz w:val="24"/>
        </w:rPr>
        <w:t xml:space="preserve">采购人向中标单位支付合同金额的30%为预付款，中标单位在按照采购人的要求完成委托监测服务后，采购人根据服务期内实际产生的业务量和考核结果于2026年11月最多支付至合同金额的70%，合同期满后一年内，根据实际产生的业务量和考核结果支付剩余款项。考核采用百分制，满分100分，考核分数在90分以上（含90分）全额付款；考核分数在80～89分之间，采用递进扣款，扣款比例在10%～1%；考核分数在60～79分，暂停业务，采用递进扣款，扣款比例在30%～11%；低于60分，扣除本期全部监测费用，采购人有权解除合同。</w:t>
        <w:br w:type="page" w:clear="all"/>
      </w:r>
      <w:r>
        <w:rPr>
          <w:rFonts w:hint="eastAsia"/>
          <w:b/>
          <w:sz w:val="32"/>
          <w:szCs w:val="32"/>
        </w:rPr>
        <w:t xml:space="preserve">第五章 合同主要条款</w:t>
      </w:r>
      <w:r>
        <w:rPr>
          <w:rFonts w:hint="eastAsia"/>
          <w:color w:val="ff0000"/>
          <w:sz w:val="32"/>
          <w:szCs w:val="32"/>
        </w:rPr>
      </w:r>
      <w:r/>
    </w:p>
    <w:p>
      <w:pPr>
        <w:pStyle w:val="895"/>
        <w:ind w:firstLine="425"/>
        <w:jc w:val="right"/>
        <w:spacing w:line="360" w:lineRule="auto"/>
        <w:rPr>
          <w:rFonts w:hint="eastAsia" w:ascii="宋体" w:hAnsi="宋体"/>
          <w:b/>
          <w:bCs/>
          <w:sz w:val="24"/>
        </w:rPr>
      </w:pPr>
      <w:r>
        <w:rPr>
          <w:rFonts w:hint="eastAsia" w:ascii="宋体" w:hAnsi="宋体"/>
          <w:b/>
          <w:bCs/>
          <w:sz w:val="24"/>
        </w:rPr>
        <w:t xml:space="preserve">编号：JSZC-320507-SZYC-G2026-0007（）</w:t>
      </w:r>
      <w:r/>
    </w:p>
    <w:p>
      <w:pPr>
        <w:pStyle w:val="917"/>
        <w:spacing w:line="360" w:lineRule="auto"/>
        <w:rPr>
          <w:rFonts w:hAnsi="宋体" w:eastAsia="宋体"/>
          <w:sz w:val="24"/>
          <w:szCs w:val="24"/>
        </w:rPr>
      </w:pPr>
      <w:r>
        <w:rPr>
          <w:rFonts w:hAnsi="宋体" w:eastAsia="宋体"/>
          <w:sz w:val="24"/>
          <w:szCs w:val="24"/>
        </w:rPr>
        <w:t xml:space="preserve">甲方：</w:t>
      </w:r>
      <w:r>
        <w:rPr>
          <w:rFonts w:hint="eastAsia" w:hAnsi="宋体" w:eastAsia="宋体"/>
          <w:sz w:val="24"/>
          <w:szCs w:val="24"/>
        </w:rPr>
        <w:t xml:space="preserve">苏州市相城生态环境局</w:t>
      </w:r>
      <w:r>
        <w:rPr>
          <w:rFonts w:hAnsi="宋体" w:eastAsia="宋体"/>
          <w:sz w:val="24"/>
          <w:szCs w:val="24"/>
        </w:rPr>
        <w:t xml:space="preserve">                   </w:t>
      </w:r>
      <w:r/>
    </w:p>
    <w:p>
      <w:pPr>
        <w:pStyle w:val="917"/>
        <w:spacing w:line="360" w:lineRule="auto"/>
        <w:rPr>
          <w:rFonts w:hint="eastAsia" w:hAnsi="宋体" w:eastAsia="宋体"/>
          <w:sz w:val="24"/>
          <w:szCs w:val="24"/>
        </w:rPr>
      </w:pPr>
      <w:r>
        <w:rPr>
          <w:rFonts w:hint="eastAsia" w:hAnsi="宋体" w:eastAsia="宋体"/>
          <w:sz w:val="24"/>
          <w:szCs w:val="24"/>
        </w:rPr>
        <w:t xml:space="preserve">地  址：苏州市相城区阳澄湖东路8号</w:t>
      </w:r>
      <w:r/>
    </w:p>
    <w:p>
      <w:pPr>
        <w:pStyle w:val="917"/>
        <w:spacing w:line="360" w:lineRule="auto"/>
        <w:rPr>
          <w:rFonts w:hAnsi="宋体" w:eastAsia="宋体"/>
          <w:sz w:val="24"/>
          <w:szCs w:val="24"/>
        </w:rPr>
      </w:pPr>
      <w:r>
        <w:rPr>
          <w:rFonts w:hAnsi="宋体" w:eastAsia="宋体"/>
          <w:sz w:val="24"/>
          <w:szCs w:val="24"/>
        </w:rPr>
        <w:t xml:space="preserve">联系人：</w:t>
      </w:r>
      <w:r/>
    </w:p>
    <w:p>
      <w:pPr>
        <w:pStyle w:val="917"/>
        <w:spacing w:line="360" w:lineRule="auto"/>
        <w:rPr>
          <w:rFonts w:hAnsi="宋体" w:eastAsia="宋体"/>
          <w:sz w:val="24"/>
          <w:szCs w:val="24"/>
        </w:rPr>
      </w:pPr>
      <w:r>
        <w:rPr>
          <w:rFonts w:hAnsi="宋体" w:eastAsia="宋体"/>
          <w:sz w:val="24"/>
          <w:szCs w:val="24"/>
        </w:rPr>
        <w:t xml:space="preserve">电话：</w:t>
      </w:r>
      <w:r/>
    </w:p>
    <w:p>
      <w:pPr>
        <w:pStyle w:val="917"/>
        <w:spacing w:line="360" w:lineRule="auto"/>
        <w:rPr>
          <w:rFonts w:hAnsi="宋体" w:eastAsia="宋体"/>
          <w:sz w:val="24"/>
          <w:szCs w:val="24"/>
        </w:rPr>
      </w:pPr>
      <w:r>
        <w:rPr>
          <w:rFonts w:hAnsi="宋体" w:eastAsia="宋体"/>
          <w:sz w:val="24"/>
          <w:szCs w:val="24"/>
        </w:rPr>
        <w:t xml:space="preserve">乙方：</w:t>
      </w:r>
      <w:r/>
    </w:p>
    <w:p>
      <w:pPr>
        <w:pStyle w:val="917"/>
        <w:spacing w:line="360" w:lineRule="auto"/>
        <w:rPr>
          <w:rFonts w:hAnsi="宋体" w:eastAsia="宋体"/>
          <w:sz w:val="24"/>
        </w:rPr>
      </w:pPr>
      <w:r>
        <w:rPr>
          <w:rFonts w:hint="eastAsia" w:hAnsi="宋体" w:eastAsia="宋体"/>
          <w:sz w:val="24"/>
          <w:szCs w:val="24"/>
        </w:rPr>
        <w:t xml:space="preserve">地址：</w:t>
      </w:r>
      <w:r>
        <w:rPr>
          <w:rFonts w:hAnsi="宋体" w:eastAsia="宋体"/>
          <w:sz w:val="24"/>
        </w:rPr>
        <w:t xml:space="preserve"> </w:t>
      </w:r>
      <w:r/>
    </w:p>
    <w:p>
      <w:pPr>
        <w:pStyle w:val="917"/>
        <w:spacing w:line="360" w:lineRule="auto"/>
        <w:rPr>
          <w:rFonts w:hAnsi="宋体" w:eastAsia="宋体"/>
          <w:sz w:val="24"/>
          <w:szCs w:val="24"/>
        </w:rPr>
      </w:pPr>
      <w:r>
        <w:rPr>
          <w:rFonts w:hAnsi="宋体" w:eastAsia="宋体"/>
          <w:sz w:val="24"/>
          <w:szCs w:val="24"/>
        </w:rPr>
        <w:t xml:space="preserve">联系人：</w:t>
      </w:r>
      <w:r/>
    </w:p>
    <w:p>
      <w:pPr>
        <w:pStyle w:val="917"/>
        <w:spacing w:line="360" w:lineRule="auto"/>
        <w:rPr>
          <w:rFonts w:hint="eastAsia" w:hAnsi="宋体" w:eastAsia="宋体"/>
          <w:sz w:val="24"/>
          <w:szCs w:val="24"/>
        </w:rPr>
      </w:pPr>
      <w:r>
        <w:rPr>
          <w:rFonts w:hAnsi="宋体" w:eastAsia="宋体"/>
          <w:sz w:val="24"/>
          <w:szCs w:val="24"/>
        </w:rPr>
        <w:t xml:space="preserve">电话：</w:t>
      </w:r>
      <w:r>
        <w:rPr>
          <w:rFonts w:hint="eastAsia" w:hAnsi="宋体" w:eastAsia="宋体"/>
          <w:sz w:val="24"/>
          <w:szCs w:val="24"/>
        </w:rPr>
      </w:r>
      <w:r/>
    </w:p>
    <w:p>
      <w:pPr>
        <w:pStyle w:val="917"/>
        <w:spacing w:line="360" w:lineRule="auto"/>
        <w:rPr>
          <w:rFonts w:hAnsi="宋体" w:eastAsia="宋体"/>
          <w:sz w:val="24"/>
          <w:szCs w:val="24"/>
        </w:rPr>
      </w:pPr>
      <w:r>
        <w:rPr>
          <w:rFonts w:hAnsi="宋体" w:eastAsia="宋体"/>
          <w:sz w:val="24"/>
          <w:szCs w:val="24"/>
        </w:rPr>
      </w:r>
      <w:r/>
    </w:p>
    <w:p>
      <w:pPr>
        <w:pStyle w:val="895"/>
        <w:ind w:firstLine="425"/>
        <w:spacing w:line="360" w:lineRule="auto"/>
        <w:rPr>
          <w:rFonts w:ascii="宋体" w:hAnsi="宋体"/>
          <w:sz w:val="24"/>
        </w:rPr>
      </w:pPr>
      <w:r>
        <w:rPr>
          <w:rFonts w:hAnsi="宋体"/>
          <w:sz w:val="24"/>
        </w:rPr>
        <w:t xml:space="preserve">根据苏州市营财招投标咨询服务有限公司</w:t>
      </w:r>
      <w:r>
        <w:rPr>
          <w:rFonts w:hint="eastAsia" w:hAnsi="宋体"/>
          <w:sz w:val="24"/>
        </w:rPr>
        <w:t xml:space="preserve">采购</w:t>
      </w:r>
      <w:r>
        <w:rPr>
          <w:rFonts w:hAnsi="宋体"/>
          <w:sz w:val="24"/>
        </w:rPr>
        <w:t xml:space="preserve">编号为</w:t>
      </w:r>
      <w:r>
        <w:rPr>
          <w:rFonts w:hint="eastAsia" w:ascii="宋体" w:hAnsi="宋体"/>
          <w:b/>
          <w:bCs/>
          <w:sz w:val="24"/>
        </w:rPr>
        <w:t xml:space="preserve">：JSZC-320507-SZYC-G2026-0007</w:t>
      </w:r>
      <w:r>
        <w:rPr>
          <w:rFonts w:ascii="宋体" w:hAnsi="宋体"/>
          <w:sz w:val="24"/>
        </w:rPr>
        <w:t xml:space="preserve">号的</w:t>
      </w:r>
      <w:r>
        <w:rPr>
          <w:rFonts w:hint="eastAsia" w:ascii="宋体" w:hAnsi="宋体"/>
          <w:sz w:val="24"/>
        </w:rPr>
        <w:t xml:space="preserve">招标</w:t>
      </w:r>
      <w:r>
        <w:rPr>
          <w:rFonts w:ascii="宋体" w:hAnsi="宋体"/>
          <w:sz w:val="24"/>
        </w:rPr>
        <w:t xml:space="preserve">文件及该文件的投标报价文件和中标通知书，甲方和乙方就</w:t>
      </w:r>
      <w:r>
        <w:rPr>
          <w:rFonts w:hint="eastAsia" w:ascii="宋体" w:hAnsi="宋体"/>
          <w:sz w:val="24"/>
        </w:rPr>
        <w:t xml:space="preserve">2026年环境监测服务</w:t>
      </w:r>
      <w:r>
        <w:rPr>
          <w:rFonts w:ascii="宋体" w:hAnsi="宋体"/>
          <w:sz w:val="24"/>
        </w:rPr>
        <w:t xml:space="preserve">（</w:t>
      </w:r>
      <w:r>
        <w:rPr>
          <w:rFonts w:hint="eastAsia" w:ascii="宋体" w:hAnsi="宋体"/>
          <w:sz w:val="24"/>
        </w:rPr>
        <w:t xml:space="preserve">第</w:t>
      </w:r>
      <w:r>
        <w:rPr>
          <w:rFonts w:hint="eastAsia" w:ascii="宋体" w:hAnsi="宋体"/>
          <w:sz w:val="24"/>
          <w:u w:val="single"/>
        </w:rPr>
        <w:t xml:space="preserve">    </w:t>
      </w:r>
      <w:r>
        <w:rPr>
          <w:rFonts w:hint="eastAsia" w:ascii="宋体" w:hAnsi="宋体"/>
          <w:sz w:val="24"/>
        </w:rPr>
        <w:t xml:space="preserve">标段</w:t>
      </w:r>
      <w:r>
        <w:rPr>
          <w:rFonts w:ascii="宋体" w:hAnsi="宋体"/>
          <w:spacing w:val="-8"/>
          <w:sz w:val="24"/>
        </w:rPr>
        <w:t xml:space="preserve">）</w:t>
      </w:r>
      <w:r>
        <w:rPr>
          <w:rFonts w:ascii="宋体" w:hAnsi="宋体"/>
          <w:sz w:val="24"/>
        </w:rPr>
        <w:t xml:space="preserve">的事宜，签订本合同。</w:t>
      </w:r>
      <w:r/>
    </w:p>
    <w:p>
      <w:pPr>
        <w:pStyle w:val="895"/>
        <w:ind w:firstLine="482"/>
        <w:jc w:val="left"/>
        <w:spacing w:line="360" w:lineRule="auto"/>
        <w:rPr>
          <w:rFonts w:ascii="宋体" w:hAnsi="宋体" w:cs="宋体"/>
          <w:sz w:val="24"/>
        </w:rPr>
      </w:pPr>
      <w:r>
        <w:rPr>
          <w:rFonts w:hint="eastAsia" w:ascii="宋体" w:hAnsi="宋体" w:cs="宋体"/>
          <w:b/>
          <w:bCs/>
          <w:sz w:val="24"/>
        </w:rPr>
        <w:t xml:space="preserve">一、合同内容</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1、乙方负责完成甲方</w:t>
      </w:r>
      <w:r>
        <w:rPr>
          <w:rFonts w:hint="eastAsia" w:ascii="宋体" w:hAnsi="宋体"/>
          <w:sz w:val="24"/>
        </w:rPr>
        <w:t xml:space="preserve">2026年环境监测服务</w:t>
      </w:r>
      <w:r>
        <w:rPr>
          <w:rFonts w:ascii="宋体" w:hAnsi="宋体"/>
          <w:sz w:val="24"/>
        </w:rPr>
        <w:t xml:space="preserve">（</w:t>
      </w:r>
      <w:r>
        <w:rPr>
          <w:rFonts w:hint="eastAsia" w:ascii="宋体" w:hAnsi="宋体"/>
          <w:sz w:val="24"/>
        </w:rPr>
        <w:t xml:space="preserve">第</w:t>
      </w:r>
      <w:r>
        <w:rPr>
          <w:rFonts w:hint="eastAsia" w:ascii="宋体" w:hAnsi="宋体"/>
          <w:sz w:val="24"/>
          <w:u w:val="single"/>
        </w:rPr>
        <w:t xml:space="preserve">    </w:t>
      </w:r>
      <w:r>
        <w:rPr>
          <w:rFonts w:hint="eastAsia" w:ascii="宋体" w:hAnsi="宋体"/>
          <w:sz w:val="24"/>
        </w:rPr>
        <w:t xml:space="preserve">标段</w:t>
      </w:r>
      <w:r>
        <w:rPr>
          <w:rFonts w:ascii="宋体" w:hAnsi="宋体"/>
          <w:spacing w:val="-8"/>
          <w:sz w:val="24"/>
        </w:rPr>
        <w:t xml:space="preserve">）</w:t>
      </w:r>
      <w:r>
        <w:rPr>
          <w:rFonts w:hint="eastAsia" w:ascii="宋体" w:hAnsi="宋体" w:cs="宋体"/>
          <w:sz w:val="24"/>
        </w:rPr>
        <w:t xml:space="preserve">的服务工作</w:t>
      </w:r>
      <w:r>
        <w:rPr>
          <w:rFonts w:hAnsi="宋体"/>
          <w:sz w:val="24"/>
        </w:rPr>
        <w:t xml:space="preserve">（</w:t>
      </w:r>
      <w:r>
        <w:rPr>
          <w:rFonts w:hint="eastAsia" w:ascii="宋体" w:hAnsi="宋体" w:cs="宋体"/>
          <w:b/>
          <w:bCs/>
          <w:sz w:val="24"/>
        </w:rPr>
        <w:t xml:space="preserve">服务内容及要求</w:t>
      </w:r>
      <w:r>
        <w:rPr>
          <w:rFonts w:hint="eastAsia" w:ascii="宋体" w:hAnsi="宋体" w:cs="宋体"/>
          <w:sz w:val="24"/>
        </w:rPr>
        <w:t xml:space="preserve">详见各标段采购需求</w:t>
      </w:r>
      <w:r>
        <w:rPr>
          <w:rFonts w:hAnsi="宋体"/>
          <w:spacing w:val="-8"/>
          <w:sz w:val="24"/>
        </w:rPr>
        <w:t xml:space="preserve">）</w:t>
      </w:r>
      <w:r>
        <w:rPr>
          <w:rFonts w:hint="eastAsia" w:ascii="宋体" w:hAnsi="宋体" w:cs="宋体"/>
          <w:sz w:val="24"/>
        </w:rPr>
        <w:t xml:space="preserve">。</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2、下列文件为本合同不可分割部分：</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①招标文件及其附件；</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②乙方的投标文件；</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③乙方在招投标过程中所作的其它承诺、声明、书面澄清等；</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④中标通知书；</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⑤本合同及其合同附件。</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以上与本合同具有同等法律效力；如上述文件之前内容不一致的，按照上述排列次序优先进行解释，同一序位的，以形成时间在后的为准。</w:t>
      </w:r>
      <w:r>
        <w:rPr>
          <w:rFonts w:ascii="宋体" w:hAnsi="宋体" w:cs="宋体"/>
          <w:sz w:val="24"/>
        </w:rPr>
      </w:r>
      <w:r/>
    </w:p>
    <w:p>
      <w:pPr>
        <w:pStyle w:val="895"/>
        <w:ind w:firstLine="482"/>
        <w:jc w:val="left"/>
        <w:spacing w:line="360" w:lineRule="auto"/>
        <w:rPr>
          <w:rFonts w:ascii="宋体" w:hAnsi="宋体" w:cs="宋体"/>
          <w:sz w:val="24"/>
        </w:rPr>
      </w:pPr>
      <w:r>
        <w:rPr>
          <w:rFonts w:hint="eastAsia" w:ascii="宋体" w:hAnsi="宋体" w:cs="宋体"/>
          <w:b/>
          <w:sz w:val="24"/>
        </w:rPr>
        <w:t xml:space="preserve">二、合同金额</w:t>
      </w:r>
      <w:r>
        <w:rPr>
          <w:rFonts w:ascii="宋体" w:hAnsi="宋体" w:cs="宋体"/>
          <w:sz w:val="24"/>
        </w:rPr>
      </w:r>
      <w:r/>
    </w:p>
    <w:p>
      <w:pPr>
        <w:pStyle w:val="895"/>
        <w:ind w:firstLine="480"/>
        <w:jc w:val="left"/>
        <w:spacing w:line="360" w:lineRule="auto"/>
        <w:rPr>
          <w:rFonts w:hint="eastAsia" w:ascii="宋体" w:hAnsi="宋体" w:cs="宋体"/>
          <w:sz w:val="24"/>
        </w:rPr>
      </w:pPr>
      <w:r>
        <w:rPr>
          <w:rFonts w:hint="eastAsia" w:ascii="宋体" w:hAnsi="宋体" w:cs="宋体"/>
          <w:sz w:val="24"/>
        </w:rPr>
        <w:t xml:space="preserve">1、</w:t>
      </w:r>
      <w:r>
        <w:rPr>
          <w:rFonts w:hint="eastAsia" w:cs="宋体"/>
          <w:bCs/>
          <w:sz w:val="24"/>
        </w:rPr>
        <w:t xml:space="preserve">监测服务固定折扣率为：</w:t>
      </w:r>
      <w:r>
        <w:rPr>
          <w:rFonts w:hint="eastAsia" w:cs="宋体"/>
          <w:bCs/>
          <w:sz w:val="24"/>
          <w:u w:val="single"/>
        </w:rPr>
        <w:t xml:space="preserve">          </w:t>
      </w:r>
      <w:r>
        <w:rPr>
          <w:rFonts w:hint="eastAsia" w:cs="宋体"/>
          <w:bCs/>
          <w:sz w:val="24"/>
        </w:rPr>
        <w:t xml:space="preserve">。（按标段中标折扣）</w:t>
      </w:r>
      <w:r>
        <w:rPr>
          <w:rFonts w:hint="eastAsia" w:ascii="宋体" w:hAnsi="宋体" w:cs="宋体"/>
          <w:sz w:val="24"/>
        </w:rPr>
      </w:r>
      <w:r/>
    </w:p>
    <w:p>
      <w:pPr>
        <w:pStyle w:val="895"/>
        <w:ind w:firstLine="480"/>
        <w:jc w:val="left"/>
        <w:spacing w:line="360" w:lineRule="auto"/>
        <w:rPr>
          <w:rFonts w:hint="eastAsia" w:ascii="宋体" w:hAnsi="宋体" w:cs="宋体"/>
          <w:sz w:val="24"/>
        </w:rPr>
      </w:pPr>
      <w:r>
        <w:rPr>
          <w:rFonts w:hint="eastAsia" w:ascii="宋体" w:hAnsi="宋体" w:cs="宋体"/>
          <w:sz w:val="24"/>
        </w:rPr>
        <w:t xml:space="preserve">2、合同总金额（含税）为人民币大写：</w:t>
      </w:r>
      <w:r>
        <w:rPr>
          <w:rFonts w:hint="eastAsia" w:ascii="宋体" w:hAnsi="宋体" w:cs="宋体"/>
          <w:b/>
          <w:bCs/>
          <w:sz w:val="24"/>
          <w:u w:val="single"/>
        </w:rPr>
        <w:t xml:space="preserve">           （标段预算价）</w:t>
      </w:r>
      <w:r>
        <w:rPr>
          <w:rFonts w:hint="eastAsia" w:ascii="宋体" w:hAnsi="宋体" w:cs="宋体"/>
          <w:sz w:val="24"/>
        </w:rPr>
        <w:t xml:space="preserve">。</w:t>
      </w:r>
      <w:r/>
    </w:p>
    <w:p>
      <w:pPr>
        <w:pStyle w:val="895"/>
        <w:ind w:firstLine="480"/>
        <w:jc w:val="left"/>
        <w:spacing w:line="360" w:lineRule="auto"/>
        <w:rPr>
          <w:rFonts w:hint="eastAsia" w:ascii="宋体" w:hAnsi="宋体" w:cs="宋体"/>
          <w:sz w:val="24"/>
        </w:rPr>
      </w:pPr>
      <w:r>
        <w:rPr>
          <w:rFonts w:hint="eastAsia" w:ascii="宋体" w:hAnsi="宋体" w:cs="宋体"/>
          <w:sz w:val="24"/>
        </w:rPr>
        <w:t xml:space="preserve">3、本项目合同价格实际包括投标人完成该项目的全部服务成本、企业利润、税金和政策性文件规定及合同包含的所有风险、责任等各项应有费用。上述条款对费用范围列举的失误和遗漏不得作为乙方后续调价的依据，乙方不得再以任何理由另行加价。合同实施期间，因任何物价变动、国家政策或法律调整、汇率变动、材料和人工价格上涨等风险因素，或因乙方原因而导致的价格变动风险，均由乙方予以承担。</w:t>
      </w:r>
      <w:r/>
    </w:p>
    <w:p>
      <w:pPr>
        <w:pStyle w:val="895"/>
        <w:ind w:firstLine="480"/>
        <w:jc w:val="left"/>
        <w:spacing w:line="360" w:lineRule="auto"/>
        <w:rPr>
          <w:rFonts w:hint="eastAsia" w:ascii="宋体" w:hAnsi="宋体" w:cs="宋体"/>
          <w:sz w:val="24"/>
        </w:rPr>
      </w:pPr>
      <w:r>
        <w:rPr>
          <w:rFonts w:hint="eastAsia" w:ascii="宋体" w:hAnsi="宋体" w:cs="宋体"/>
          <w:sz w:val="24"/>
        </w:rPr>
        <w:t xml:space="preserve">根据现行税法对甲方征收的与本合同有关的一切税费均由甲方承担；根据现行税法对乙方征收的与本合同有关的一切税费均由乙方承担。合同实施过程中，如发生税费比例调整，则双方同意：如税费比例上调，则合同含税总价不变，上调部分的税费由乙方自行承担；如税费比例下调，则合同含税总价下调，其中不含税金额不变，增值税金额按照下调后的税费比例计取。</w:t>
      </w:r>
      <w:r/>
    </w:p>
    <w:p>
      <w:pPr>
        <w:pStyle w:val="895"/>
        <w:ind w:firstLine="480"/>
        <w:jc w:val="left"/>
        <w:spacing w:line="360" w:lineRule="auto"/>
        <w:rPr>
          <w:rFonts w:ascii="宋体" w:hAnsi="宋体" w:cs="宋体"/>
          <w:b/>
          <w:bCs/>
          <w:sz w:val="24"/>
        </w:rPr>
      </w:pPr>
      <w:r>
        <w:rPr>
          <w:rFonts w:hint="eastAsia" w:ascii="宋体" w:hAnsi="宋体" w:cs="宋体"/>
          <w:b/>
          <w:bCs/>
          <w:sz w:val="24"/>
        </w:rPr>
        <w:t xml:space="preserve">三、付款方式：</w:t>
      </w:r>
      <w:r>
        <w:rPr>
          <w:rFonts w:ascii="宋体" w:hAnsi="宋体" w:cs="宋体"/>
          <w:b/>
          <w:bCs/>
          <w:sz w:val="24"/>
        </w:rPr>
      </w:r>
      <w:r/>
    </w:p>
    <w:p>
      <w:pPr>
        <w:pStyle w:val="895"/>
        <w:ind w:firstLine="480"/>
        <w:jc w:val="left"/>
        <w:spacing w:line="360" w:lineRule="auto"/>
        <w:rPr>
          <w:rFonts w:hint="eastAsia" w:ascii="宋体" w:hAnsi="宋体" w:cs="宋体"/>
          <w:sz w:val="24"/>
        </w:rPr>
      </w:pPr>
      <w:r>
        <w:rPr>
          <w:rFonts w:hint="eastAsia" w:ascii="宋体" w:hAnsi="宋体" w:cs="宋体"/>
          <w:sz w:val="24"/>
        </w:rPr>
        <w:t xml:space="preserve">1、依据《江苏省环境监测专业服务收费标准》（苏价费[2006]397号、苏财综[2006]80号、苏环计[2006]30号）及相城区环境监测专业服务收费清单目录，实际发生的业务量和标投折扣率作为第三方委托业务经费基数。</w:t>
      </w:r>
      <w:bookmarkStart w:id="141" w:name="OLE_LINK26"/>
      <w:r/>
      <w:bookmarkStart w:id="142" w:name="OLE_LINK27"/>
      <w:r>
        <w:rPr>
          <w:rFonts w:hint="eastAsia" w:ascii="宋体" w:hAnsi="宋体" w:cs="宋体"/>
          <w:sz w:val="24"/>
        </w:rPr>
        <w:t xml:space="preserve">全年分三期结算，</w:t>
      </w:r>
      <w:r>
        <w:rPr>
          <w:rFonts w:hint="eastAsia" w:hAnsi="宋体"/>
          <w:color w:val="000000"/>
          <w:sz w:val="24"/>
        </w:rPr>
        <w:t xml:space="preserve">合同签订后，甲方向乙方支付合同金额的30%为预付款，</w:t>
      </w:r>
      <w:r>
        <w:rPr>
          <w:rFonts w:hAnsi="宋体"/>
          <w:color w:val="000000"/>
          <w:sz w:val="24"/>
        </w:rPr>
        <w:t xml:space="preserve">乙方在按照甲方的要求完成委托监测服务后，甲方</w:t>
      </w:r>
      <w:r>
        <w:rPr>
          <w:rFonts w:hint="eastAsia" w:hAnsi="宋体"/>
          <w:color w:val="000000"/>
          <w:sz w:val="24"/>
        </w:rPr>
        <w:t xml:space="preserve">根据服务期内实际产生的业务量和考核结果于2026年</w:t>
      </w:r>
      <w:r>
        <w:rPr>
          <w:rFonts w:hint="eastAsia" w:ascii="宋体" w:hAnsi="宋体" w:cs="宋体"/>
          <w:sz w:val="24"/>
        </w:rPr>
        <w:t xml:space="preserve">11月最多</w:t>
      </w:r>
      <w:r>
        <w:rPr>
          <w:rFonts w:hAnsi="宋体"/>
          <w:color w:val="000000"/>
          <w:sz w:val="24"/>
        </w:rPr>
        <w:t xml:space="preserve">支付</w:t>
      </w:r>
      <w:r>
        <w:rPr>
          <w:rFonts w:hint="eastAsia" w:hAnsi="宋体"/>
          <w:color w:val="000000"/>
          <w:sz w:val="24"/>
        </w:rPr>
        <w:t xml:space="preserve">至合同金额的70%</w:t>
      </w:r>
      <w:r>
        <w:rPr>
          <w:rFonts w:hint="eastAsia" w:ascii="宋体" w:hAnsi="宋体" w:cs="宋体"/>
          <w:sz w:val="24"/>
        </w:rPr>
        <w:t xml:space="preserve">，合同期满后一年内，根据</w:t>
      </w:r>
      <w:r>
        <w:rPr>
          <w:rFonts w:hint="eastAsia" w:hAnsi="宋体"/>
          <w:color w:val="000000"/>
          <w:sz w:val="24"/>
        </w:rPr>
        <w:t xml:space="preserve">实际产生的业务量</w:t>
      </w:r>
      <w:r>
        <w:rPr>
          <w:rFonts w:hint="eastAsia" w:ascii="宋体" w:hAnsi="宋体" w:cs="宋体"/>
          <w:sz w:val="24"/>
        </w:rPr>
        <w:t xml:space="preserve">和考核结果支付剩余款项。考核采用百分制，满分100分，考核分数在90分以上（含90分）全额付款；考核分数在80～89分之间，采用递进扣款，扣款比例在10%～1%；考核分数在60～79分，暂停业务，采用递进扣款，扣款比例在30%～11%；低于60分，扣除本期全部监测费用，甲方有权解除合同。</w:t>
      </w:r>
      <w:bookmarkEnd w:id="141"/>
      <w:r/>
      <w:bookmarkEnd w:id="142"/>
      <w:r>
        <w:rPr>
          <w:rFonts w:hint="eastAsia" w:ascii="宋体" w:hAnsi="宋体" w:cs="宋体"/>
          <w:sz w:val="24"/>
        </w:rPr>
      </w:r>
      <w:r/>
    </w:p>
    <w:p>
      <w:pPr>
        <w:pStyle w:val="895"/>
        <w:ind w:firstLine="480"/>
        <w:jc w:val="left"/>
        <w:spacing w:line="360" w:lineRule="auto"/>
        <w:rPr>
          <w:rFonts w:hint="eastAsia" w:ascii="宋体" w:hAnsi="宋体" w:cs="宋体"/>
          <w:sz w:val="24"/>
        </w:rPr>
      </w:pPr>
      <w:r>
        <w:rPr>
          <w:rFonts w:hint="eastAsia" w:ascii="宋体" w:hAnsi="宋体" w:cs="宋体"/>
          <w:sz w:val="24"/>
        </w:rPr>
        <w:t xml:space="preserve">2、乙方提请甲方付款结算时需提供以下资料，乙方要求付款应提供以下资料，资料不全，甲方有权不予付款且不视为甲方违约，直至乙方提供符合甲方要求的资料：</w:t>
      </w:r>
      <w:r/>
    </w:p>
    <w:p>
      <w:pPr>
        <w:pStyle w:val="895"/>
        <w:ind w:firstLine="480"/>
        <w:jc w:val="left"/>
        <w:spacing w:line="360" w:lineRule="auto"/>
        <w:rPr>
          <w:rFonts w:hint="eastAsia" w:ascii="宋体" w:hAnsi="宋体" w:cs="宋体"/>
          <w:sz w:val="24"/>
        </w:rPr>
      </w:pPr>
      <w:r>
        <w:rPr>
          <w:rFonts w:hint="eastAsia" w:ascii="宋体" w:hAnsi="宋体" w:cs="宋体"/>
          <w:sz w:val="24"/>
        </w:rPr>
        <w:t xml:space="preserve">（1）合格正规的符合甲方要求的发票；</w:t>
      </w:r>
      <w:r/>
    </w:p>
    <w:p>
      <w:pPr>
        <w:pStyle w:val="895"/>
        <w:ind w:firstLine="480"/>
        <w:jc w:val="left"/>
        <w:spacing w:line="360" w:lineRule="auto"/>
        <w:rPr>
          <w:rFonts w:hint="eastAsia" w:ascii="宋体" w:hAnsi="宋体" w:cs="宋体"/>
          <w:sz w:val="24"/>
        </w:rPr>
      </w:pPr>
      <w:r>
        <w:rPr>
          <w:rFonts w:hint="eastAsia" w:ascii="宋体" w:hAnsi="宋体" w:cs="宋体"/>
          <w:sz w:val="24"/>
        </w:rPr>
        <w:t xml:space="preserve">（2）监测费用结算清单； </w:t>
      </w:r>
      <w:r/>
    </w:p>
    <w:p>
      <w:pPr>
        <w:pStyle w:val="895"/>
        <w:ind w:firstLine="480"/>
        <w:jc w:val="left"/>
        <w:spacing w:line="360" w:lineRule="auto"/>
        <w:rPr>
          <w:rFonts w:hint="eastAsia" w:ascii="宋体" w:hAnsi="宋体" w:cs="宋体"/>
          <w:sz w:val="24"/>
        </w:rPr>
      </w:pPr>
      <w:r>
        <w:rPr>
          <w:rFonts w:hint="eastAsia" w:ascii="宋体" w:hAnsi="宋体" w:cs="宋体"/>
          <w:sz w:val="24"/>
        </w:rPr>
        <w:t xml:space="preserve">（3）《江苏省政府采购履约验收书》（最后一笔支付提供）</w:t>
      </w:r>
      <w:r/>
    </w:p>
    <w:p>
      <w:pPr>
        <w:pStyle w:val="895"/>
        <w:ind w:firstLine="480"/>
        <w:jc w:val="left"/>
        <w:spacing w:line="360" w:lineRule="auto"/>
        <w:rPr>
          <w:rFonts w:hint="eastAsia" w:ascii="宋体" w:hAnsi="宋体" w:cs="宋体"/>
          <w:sz w:val="24"/>
        </w:rPr>
      </w:pPr>
      <w:r>
        <w:rPr>
          <w:rFonts w:hint="eastAsia" w:ascii="宋体" w:hAnsi="宋体" w:cs="宋体"/>
          <w:sz w:val="24"/>
        </w:rPr>
        <w:t xml:space="preserve">（4）甲方要求的其他资料（如有）。</w:t>
      </w:r>
      <w:r/>
    </w:p>
    <w:p>
      <w:pPr>
        <w:pStyle w:val="895"/>
        <w:ind w:firstLine="480"/>
        <w:jc w:val="left"/>
        <w:spacing w:line="360" w:lineRule="auto"/>
        <w:rPr>
          <w:rFonts w:ascii="宋体" w:hAnsi="宋体" w:cs="宋体"/>
          <w:sz w:val="24"/>
        </w:rPr>
      </w:pPr>
      <w:r>
        <w:rPr>
          <w:rFonts w:hint="eastAsia" w:ascii="宋体" w:hAnsi="宋体" w:cs="宋体"/>
          <w:sz w:val="24"/>
        </w:rPr>
        <w:t xml:space="preserve">3、付款方式：转账。</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4、乙方账户信息如下：</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户名：</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开户行：</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账号：</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四、</w:t>
      </w:r>
      <w:r>
        <w:rPr>
          <w:rFonts w:hint="eastAsia" w:ascii="宋体" w:hAnsi="宋体" w:cs="宋体"/>
          <w:b/>
          <w:bCs/>
          <w:sz w:val="24"/>
        </w:rPr>
        <w:t xml:space="preserve">服务期限、地点</w:t>
      </w:r>
      <w:r>
        <w:rPr>
          <w:rFonts w:ascii="宋体" w:hAnsi="宋体" w:cs="宋体"/>
          <w:sz w:val="24"/>
        </w:rPr>
      </w:r>
      <w:r/>
    </w:p>
    <w:p>
      <w:pPr>
        <w:pStyle w:val="895"/>
        <w:ind w:firstLine="480"/>
        <w:jc w:val="left"/>
        <w:spacing w:line="360" w:lineRule="auto"/>
        <w:rPr>
          <w:rFonts w:hint="eastAsia" w:ascii="宋体" w:hAnsi="宋体" w:cs="宋体"/>
          <w:sz w:val="24"/>
        </w:rPr>
      </w:pPr>
      <w:r>
        <w:rPr>
          <w:rFonts w:hint="eastAsia" w:ascii="宋体" w:hAnsi="宋体" w:cs="宋体"/>
          <w:sz w:val="24"/>
        </w:rPr>
        <w:t xml:space="preserve">1、服务期限：一年。（2026年6月25日-2027年6月24日）</w:t>
      </w:r>
      <w:r/>
    </w:p>
    <w:p>
      <w:pPr>
        <w:pStyle w:val="895"/>
        <w:ind w:firstLine="480"/>
        <w:jc w:val="left"/>
        <w:spacing w:line="360" w:lineRule="auto"/>
        <w:rPr>
          <w:rFonts w:ascii="宋体" w:hAnsi="宋体" w:cs="宋体"/>
          <w:sz w:val="24"/>
        </w:rPr>
      </w:pPr>
      <w:r>
        <w:rPr>
          <w:rFonts w:hint="eastAsia" w:ascii="宋体" w:hAnsi="宋体" w:cs="宋体"/>
          <w:sz w:val="24"/>
        </w:rPr>
        <w:t xml:space="preserve">2、服务地点：苏州市相城生态环境局指定地点。</w:t>
      </w:r>
      <w:r>
        <w:rPr>
          <w:rFonts w:ascii="宋体" w:hAnsi="宋体" w:cs="宋体"/>
          <w:sz w:val="24"/>
        </w:rPr>
      </w:r>
      <w:r/>
    </w:p>
    <w:p>
      <w:pPr>
        <w:pStyle w:val="895"/>
        <w:ind w:firstLine="470"/>
        <w:jc w:val="left"/>
        <w:spacing w:line="360" w:lineRule="auto"/>
        <w:rPr>
          <w:rFonts w:ascii="宋体" w:hAnsi="宋体" w:cs="宋体"/>
          <w:sz w:val="24"/>
        </w:rPr>
      </w:pPr>
      <w:r>
        <w:rPr>
          <w:rFonts w:hint="eastAsia" w:ascii="宋体" w:hAnsi="宋体" w:cs="宋体"/>
          <w:b/>
          <w:bCs/>
          <w:spacing w:val="-3"/>
          <w:sz w:val="24"/>
        </w:rPr>
        <w:t xml:space="preserve">五</w:t>
      </w:r>
      <w:r>
        <w:rPr>
          <w:rFonts w:hint="eastAsia" w:ascii="宋体" w:hAnsi="宋体" w:cs="宋体"/>
          <w:b/>
          <w:bCs/>
          <w:spacing w:val="-3"/>
          <w:sz w:val="24"/>
          <w:lang w:val="en-AU" w:eastAsia="en-US"/>
        </w:rPr>
        <w:t xml:space="preserve">、</w:t>
      </w:r>
      <w:r>
        <w:rPr>
          <w:rFonts w:hint="eastAsia" w:ascii="宋体" w:hAnsi="宋体" w:cs="宋体"/>
          <w:b/>
          <w:bCs/>
          <w:spacing w:val="-3"/>
          <w:sz w:val="24"/>
        </w:rPr>
        <w:t xml:space="preserve">甲、乙双方的义务</w:t>
      </w:r>
      <w:r>
        <w:rPr>
          <w:rFonts w:ascii="宋体" w:hAnsi="宋体" w:cs="宋体"/>
          <w:sz w:val="24"/>
        </w:rPr>
      </w:r>
      <w:r/>
    </w:p>
    <w:p>
      <w:pPr>
        <w:pStyle w:val="895"/>
        <w:ind w:firstLine="470"/>
        <w:jc w:val="left"/>
        <w:spacing w:line="360" w:lineRule="auto"/>
        <w:rPr>
          <w:rFonts w:hint="eastAsia" w:ascii="宋体" w:hAnsi="宋体" w:cs="宋体"/>
          <w:sz w:val="24"/>
        </w:rPr>
      </w:pPr>
      <w:r>
        <w:rPr>
          <w:rFonts w:hint="eastAsia" w:ascii="宋体" w:hAnsi="宋体" w:cs="宋体"/>
          <w:sz w:val="24"/>
        </w:rPr>
        <w:t xml:space="preserve">1、乙方应确保项目监测质量，按时完成监测工作。项目监测应当严格遵守国家的有关法律、法规、制度规定、有关执业规范及甲方的要求。</w:t>
      </w:r>
      <w:r/>
    </w:p>
    <w:p>
      <w:pPr>
        <w:pStyle w:val="895"/>
        <w:ind w:firstLine="470"/>
        <w:jc w:val="left"/>
        <w:spacing w:line="360" w:lineRule="auto"/>
        <w:rPr>
          <w:rFonts w:hint="eastAsia" w:ascii="宋体" w:hAnsi="宋体" w:cs="宋体"/>
          <w:sz w:val="24"/>
        </w:rPr>
      </w:pPr>
      <w:r>
        <w:rPr>
          <w:rFonts w:hint="eastAsia" w:ascii="宋体" w:hAnsi="宋体" w:cs="宋体"/>
          <w:sz w:val="24"/>
        </w:rPr>
        <w:t xml:space="preserve">2、乙方对监测结果的真实性、完整性、准确性和可靠性负责。对提供不实或内容虚假的监测结果以及自行对外提供监测报告的，除由乙方自行承担法律责任外，甲方有权终止合同，情节严重的，依法提请有关部门追究乙方及其相关责任人的行政及法律责任。如因乙方出具的监测报告不规范等原因导致诉讼失败、案件撤销或复议撤销处罚决定的，甲方有权直接终止合同。</w:t>
      </w:r>
      <w:r/>
    </w:p>
    <w:p>
      <w:pPr>
        <w:pStyle w:val="895"/>
        <w:ind w:firstLine="470"/>
        <w:jc w:val="left"/>
        <w:spacing w:line="360" w:lineRule="auto"/>
        <w:rPr>
          <w:rFonts w:hint="eastAsia" w:ascii="宋体" w:hAnsi="宋体" w:cs="宋体"/>
          <w:sz w:val="24"/>
        </w:rPr>
      </w:pPr>
      <w:r>
        <w:rPr>
          <w:rFonts w:hint="eastAsia" w:ascii="宋体" w:hAnsi="宋体" w:cs="宋体"/>
          <w:sz w:val="24"/>
        </w:rPr>
        <w:t xml:space="preserve">3、乙方的监测数据只向甲方提供，不得自行提供给其他单位以及利益相关方。</w:t>
      </w:r>
      <w:r/>
    </w:p>
    <w:p>
      <w:pPr>
        <w:pStyle w:val="895"/>
        <w:ind w:firstLine="470"/>
        <w:jc w:val="left"/>
        <w:spacing w:line="360" w:lineRule="auto"/>
        <w:rPr>
          <w:rFonts w:hint="eastAsia" w:ascii="宋体" w:hAnsi="宋体" w:cs="宋体"/>
          <w:sz w:val="24"/>
        </w:rPr>
      </w:pPr>
      <w:r>
        <w:rPr>
          <w:rFonts w:hint="eastAsia" w:ascii="宋体" w:hAnsi="宋体" w:cs="宋体"/>
          <w:sz w:val="24"/>
        </w:rPr>
        <w:t xml:space="preserve">4、乙方及其专业人员应当遵守保密原则，对因订立和执行本合同过程中所了解或知悉或获取的对方的一切信息、国家秘密、商业秘密和个人隐私以及合同成果予以保密，在本合同服务期内及本合同解除或终止后均不得向甲方以外的第三方提供保密信息，除非得到甲方的同意或者属于法律、行政法规允许的范围。</w:t>
      </w:r>
      <w:r/>
    </w:p>
    <w:p>
      <w:pPr>
        <w:pStyle w:val="895"/>
        <w:ind w:firstLine="470"/>
        <w:jc w:val="left"/>
        <w:spacing w:line="360" w:lineRule="auto"/>
        <w:rPr>
          <w:rFonts w:hint="eastAsia" w:ascii="宋体" w:hAnsi="宋体" w:cs="宋体"/>
          <w:sz w:val="24"/>
        </w:rPr>
      </w:pPr>
      <w:r>
        <w:rPr>
          <w:rFonts w:hint="eastAsia" w:ascii="宋体" w:hAnsi="宋体" w:cs="宋体"/>
          <w:sz w:val="24"/>
        </w:rPr>
        <w:t xml:space="preserve">5、甲方提交给乙方使用的相关资料，其知识产权仍归甲方所有。除为本合同目的而使用之外，乙方不得复制、使用及提供给第三方。乙方应能保证所提供服务涉及到的知识产权是合法取得，并享有完整的知识产权，不会因为需方的使用而被责令停止使用、追偿或要求赔偿损失，如出现此情况，一切经济和法律责任均由乙方承担。乙方提供的所有服务必须质量符合国际或国家通用标准，如出现质量问题，乙方负责更正，发生的费用由乙方负责。</w:t>
      </w:r>
      <w:r/>
    </w:p>
    <w:p>
      <w:pPr>
        <w:pStyle w:val="895"/>
        <w:ind w:firstLine="470"/>
        <w:jc w:val="left"/>
        <w:spacing w:line="360" w:lineRule="auto"/>
        <w:rPr>
          <w:rFonts w:hint="eastAsia" w:ascii="宋体" w:hAnsi="宋体" w:cs="宋体"/>
          <w:sz w:val="24"/>
        </w:rPr>
      </w:pPr>
      <w:r>
        <w:rPr>
          <w:rFonts w:hint="eastAsia" w:ascii="宋体" w:hAnsi="宋体" w:cs="宋体"/>
          <w:sz w:val="24"/>
        </w:rPr>
        <w:t xml:space="preserve">6、在本项目合同履行期内，乙方必须承诺严格执行回避制度，回避如下情形：</w:t>
      </w:r>
      <w:r/>
    </w:p>
    <w:p>
      <w:pPr>
        <w:pStyle w:val="895"/>
        <w:ind w:firstLine="470"/>
        <w:jc w:val="left"/>
        <w:spacing w:line="360" w:lineRule="auto"/>
        <w:rPr>
          <w:rFonts w:hint="eastAsia" w:ascii="宋体" w:hAnsi="宋体" w:cs="宋体"/>
          <w:sz w:val="24"/>
        </w:rPr>
      </w:pPr>
      <w:r/>
      <w:bookmarkStart w:id="143" w:name="OLE_LINK218"/>
      <w:r/>
      <w:bookmarkStart w:id="144" w:name="OLE_LINK217"/>
      <w:r>
        <w:rPr>
          <w:rFonts w:hint="eastAsia" w:ascii="宋体" w:hAnsi="宋体" w:cs="宋体"/>
          <w:sz w:val="24"/>
        </w:rPr>
        <w:t xml:space="preserve">（1）</w:t>
      </w:r>
      <w:bookmarkEnd w:id="143"/>
      <w:r/>
      <w:bookmarkEnd w:id="144"/>
      <w:r>
        <w:rPr>
          <w:rFonts w:hint="eastAsia" w:ascii="宋体" w:hAnsi="宋体" w:cs="宋体"/>
          <w:sz w:val="24"/>
        </w:rPr>
        <w:t xml:space="preserve">与排污单位有从属关系；</w:t>
      </w:r>
      <w:r/>
    </w:p>
    <w:p>
      <w:pPr>
        <w:pStyle w:val="895"/>
        <w:ind w:firstLine="470"/>
        <w:jc w:val="left"/>
        <w:spacing w:line="360" w:lineRule="auto"/>
        <w:rPr>
          <w:rFonts w:hint="eastAsia" w:ascii="宋体" w:hAnsi="宋体" w:cs="宋体"/>
          <w:sz w:val="24"/>
        </w:rPr>
      </w:pPr>
      <w:r>
        <w:rPr>
          <w:rFonts w:hint="eastAsia" w:ascii="宋体" w:hAnsi="宋体" w:cs="宋体"/>
          <w:sz w:val="24"/>
        </w:rPr>
        <w:t xml:space="preserve">（2）与排污单位有共同控制人(包括与股东或法人有夫妻关系或直系血亲关系)；</w:t>
      </w:r>
      <w:r/>
    </w:p>
    <w:p>
      <w:pPr>
        <w:pStyle w:val="895"/>
        <w:ind w:firstLine="470"/>
        <w:jc w:val="left"/>
        <w:spacing w:line="360" w:lineRule="auto"/>
        <w:rPr>
          <w:rFonts w:hint="eastAsia" w:ascii="宋体" w:hAnsi="宋体" w:cs="宋体"/>
          <w:sz w:val="24"/>
        </w:rPr>
      </w:pPr>
      <w:r>
        <w:rPr>
          <w:rFonts w:hint="eastAsia" w:ascii="宋体" w:hAnsi="宋体" w:cs="宋体"/>
          <w:sz w:val="24"/>
        </w:rPr>
        <w:t xml:space="preserve">（3）</w:t>
        <w:tab/>
        <w:t xml:space="preserve">为排污单位提供自行监测、自动监测设施运维、验收监测、环境调查、环境咨询、环境工程等存在直接利益关系的环境检测服务；</w:t>
      </w:r>
      <w:r/>
    </w:p>
    <w:p>
      <w:pPr>
        <w:pStyle w:val="895"/>
        <w:ind w:firstLine="470"/>
        <w:jc w:val="left"/>
        <w:spacing w:line="360" w:lineRule="auto"/>
        <w:rPr>
          <w:rFonts w:hint="eastAsia" w:ascii="宋体" w:hAnsi="宋体" w:cs="宋体"/>
          <w:sz w:val="24"/>
        </w:rPr>
      </w:pPr>
      <w:r>
        <w:rPr>
          <w:rFonts w:hint="eastAsia" w:ascii="宋体" w:hAnsi="宋体" w:cs="宋体"/>
          <w:sz w:val="24"/>
        </w:rPr>
        <w:t xml:space="preserve">（4）法律、法规或者规章规定的其他回避情形。</w:t>
      </w:r>
      <w:r/>
    </w:p>
    <w:p>
      <w:pPr>
        <w:pStyle w:val="895"/>
        <w:ind w:firstLine="470"/>
        <w:jc w:val="left"/>
        <w:spacing w:line="360" w:lineRule="auto"/>
        <w:rPr>
          <w:rFonts w:hint="eastAsia" w:ascii="宋体" w:hAnsi="宋体" w:cs="宋体"/>
          <w:sz w:val="24"/>
        </w:rPr>
      </w:pPr>
      <w:r>
        <w:rPr>
          <w:rFonts w:hint="eastAsia" w:ascii="宋体" w:hAnsi="宋体" w:cs="宋体"/>
          <w:sz w:val="24"/>
        </w:rPr>
        <w:t xml:space="preserve">7、乙方在“事前、事中、事后”要</w:t>
      </w:r>
      <w:bookmarkStart w:id="145" w:name="OLE_LINK25"/>
      <w:r/>
      <w:bookmarkStart w:id="146" w:name="OLE_LINK28"/>
      <w:r>
        <w:rPr>
          <w:rFonts w:hint="eastAsia" w:ascii="宋体" w:hAnsi="宋体" w:cs="宋体"/>
          <w:sz w:val="24"/>
        </w:rPr>
        <w:t xml:space="preserve">主动或者</w:t>
      </w:r>
      <w:bookmarkEnd w:id="145"/>
      <w:r/>
      <w:bookmarkEnd w:id="146"/>
      <w:r>
        <w:rPr>
          <w:rFonts w:hint="eastAsia" w:ascii="宋体" w:hAnsi="宋体" w:cs="宋体"/>
          <w:sz w:val="24"/>
        </w:rPr>
        <w:t xml:space="preserve">配合甲方核实回避情形，</w:t>
      </w:r>
      <w:r>
        <w:rPr>
          <w:rFonts w:hint="eastAsia" w:ascii="宋体" w:hAnsi="宋体" w:cs="宋体"/>
          <w:sz w:val="24"/>
        </w:rPr>
        <w:t xml:space="preserve">对回避情形进行主动报告和“无回避报告”</w:t>
      </w:r>
      <w:r>
        <w:rPr>
          <w:rFonts w:hint="eastAsia" w:ascii="宋体" w:hAnsi="宋体" w:cs="宋体"/>
          <w:sz w:val="24"/>
        </w:rPr>
        <w:t xml:space="preserve">确保监测结果公正性。合同履约结束，付款前甲方将对合同履约期限内实际涉及的排污单位按照不低于50%的数量比例开展抽查，确保回执制度执行到位。</w:t>
      </w:r>
      <w:r/>
    </w:p>
    <w:p>
      <w:pPr>
        <w:pStyle w:val="895"/>
        <w:ind w:firstLine="470"/>
        <w:jc w:val="left"/>
        <w:spacing w:line="360" w:lineRule="auto"/>
        <w:rPr>
          <w:rFonts w:hint="eastAsia" w:ascii="宋体" w:hAnsi="宋体" w:cs="宋体"/>
          <w:sz w:val="24"/>
        </w:rPr>
      </w:pPr>
      <w:r>
        <w:rPr>
          <w:rFonts w:hint="eastAsia" w:ascii="宋体" w:hAnsi="宋体" w:cs="宋体"/>
          <w:sz w:val="24"/>
        </w:rPr>
        <w:t xml:space="preserve">8、乙方应加强对监测资料的保管，对档案管理不完善造成资料遗失的，甲方将予以警告直至不再对其进行委托。</w:t>
      </w:r>
      <w:r/>
    </w:p>
    <w:p>
      <w:pPr>
        <w:pStyle w:val="895"/>
        <w:ind w:firstLine="470"/>
        <w:jc w:val="left"/>
        <w:spacing w:line="360" w:lineRule="auto"/>
        <w:rPr>
          <w:rFonts w:hint="eastAsia" w:ascii="宋体" w:hAnsi="宋体" w:cs="宋体"/>
          <w:sz w:val="24"/>
        </w:rPr>
      </w:pPr>
      <w:r>
        <w:rPr>
          <w:rFonts w:hint="eastAsia" w:ascii="宋体" w:hAnsi="宋体" w:cs="宋体"/>
          <w:sz w:val="24"/>
        </w:rPr>
        <w:t xml:space="preserve">9、乙方承诺已为其工作人员办妥人身伤害险、工伤保险等各项保险，进行监测业务时，发生自身的人身伤害、伤亡以及事故等，均由乙方负责处理并承担责任，甲方不承担任何责任。乙方违反国家相关法规，与其工作人员发生纠纷，均由乙方负责调解与处理，甲方不承担责任。</w:t>
      </w:r>
      <w:r/>
    </w:p>
    <w:p>
      <w:pPr>
        <w:pStyle w:val="895"/>
        <w:ind w:firstLine="470"/>
        <w:jc w:val="left"/>
        <w:spacing w:line="360" w:lineRule="auto"/>
        <w:rPr>
          <w:rFonts w:hint="eastAsia" w:ascii="宋体" w:hAnsi="宋体" w:cs="宋体"/>
          <w:sz w:val="24"/>
        </w:rPr>
      </w:pPr>
      <w:r>
        <w:rPr>
          <w:rFonts w:hint="eastAsia" w:ascii="宋体" w:hAnsi="宋体" w:cs="宋体"/>
          <w:sz w:val="24"/>
        </w:rPr>
        <w:t xml:space="preserve">10、遇突击任务及重大应急任务时，应无条件按甲方要求完成工作，乙方不得另行增加费用。在工作时间内，项目负责人必须保持通讯畅通，尤其重大任务时必须24小时保持通讯畅通。</w:t>
      </w:r>
      <w:r/>
    </w:p>
    <w:p>
      <w:pPr>
        <w:pStyle w:val="895"/>
        <w:ind w:firstLine="470"/>
        <w:jc w:val="left"/>
        <w:spacing w:line="360" w:lineRule="auto"/>
        <w:rPr>
          <w:rFonts w:hint="eastAsia" w:ascii="宋体" w:hAnsi="宋体" w:cs="宋体"/>
          <w:sz w:val="24"/>
        </w:rPr>
      </w:pPr>
      <w:r>
        <w:rPr>
          <w:rFonts w:hint="eastAsia" w:ascii="宋体" w:hAnsi="宋体" w:cs="宋体"/>
          <w:sz w:val="24"/>
        </w:rPr>
        <w:t xml:space="preserve">11、乙方所承诺项目负责人、仪器设备等未经甲方同意，不得擅自进行人员调动，更换仪器设备等。</w:t>
      </w:r>
      <w:r/>
    </w:p>
    <w:p>
      <w:pPr>
        <w:pStyle w:val="895"/>
        <w:ind w:firstLine="470"/>
        <w:jc w:val="left"/>
        <w:spacing w:line="360" w:lineRule="auto"/>
        <w:rPr>
          <w:rFonts w:ascii="宋体" w:hAnsi="宋体" w:cs="宋体"/>
          <w:sz w:val="24"/>
        </w:rPr>
      </w:pPr>
      <w:r>
        <w:rPr>
          <w:rFonts w:hint="eastAsia" w:ascii="宋体" w:hAnsi="宋体" w:cs="宋体"/>
          <w:b/>
          <w:bCs/>
          <w:spacing w:val="-3"/>
          <w:sz w:val="24"/>
        </w:rPr>
        <w:t xml:space="preserve">六、</w:t>
      </w:r>
      <w:r>
        <w:rPr>
          <w:rFonts w:hint="eastAsia" w:ascii="宋体" w:hAnsi="宋体" w:cs="宋体"/>
          <w:b/>
          <w:bCs/>
          <w:spacing w:val="-3"/>
          <w:sz w:val="24"/>
          <w:lang w:val="en-AU" w:eastAsia="en-US"/>
        </w:rPr>
        <w:t xml:space="preserve">违约责任</w:t>
      </w:r>
      <w:r>
        <w:rPr>
          <w:rFonts w:ascii="宋体" w:hAnsi="宋体" w:cs="宋体"/>
          <w:sz w:val="24"/>
        </w:rPr>
      </w:r>
      <w:r/>
    </w:p>
    <w:p>
      <w:pPr>
        <w:pStyle w:val="895"/>
        <w:ind w:firstLine="470"/>
        <w:jc w:val="left"/>
        <w:spacing w:line="360" w:lineRule="auto"/>
        <w:rPr>
          <w:rFonts w:hint="eastAsia" w:ascii="宋体" w:hAnsi="宋体" w:cs="宋体"/>
          <w:sz w:val="24"/>
        </w:rPr>
      </w:pPr>
      <w:r>
        <w:rPr>
          <w:rFonts w:hint="eastAsia" w:ascii="宋体" w:hAnsi="宋体" w:cs="宋体"/>
          <w:sz w:val="24"/>
        </w:rPr>
        <w:t xml:space="preserve">1、乙方未按时（含同意延长的时间）提交监测数据汇总表和原始记录复印件或受甲方两次警告（书面或口头）则视为违约。违约三次及以上，甲方有权要求乙方赔偿损失，并追究乙方合同总标的额百分之二十的违约金，且甲方有权解除合同。</w:t>
      </w:r>
      <w:r/>
    </w:p>
    <w:p>
      <w:pPr>
        <w:pStyle w:val="895"/>
        <w:ind w:firstLine="470"/>
        <w:jc w:val="left"/>
        <w:spacing w:line="360" w:lineRule="auto"/>
        <w:rPr>
          <w:rFonts w:hint="eastAsia" w:ascii="宋体" w:hAnsi="宋体" w:cs="宋体"/>
          <w:sz w:val="24"/>
        </w:rPr>
      </w:pPr>
      <w:r>
        <w:rPr>
          <w:rFonts w:hint="eastAsia" w:ascii="宋体" w:hAnsi="宋体" w:cs="宋体"/>
          <w:sz w:val="24"/>
        </w:rPr>
        <w:t xml:space="preserve">2、如未按要求履行回避义务的，第一次将出具的报告作废处理，不予支付相应监测费用，并限期整改到位；第二次除将出具的报告作废处理并不予支付相应监测费用外，甲方有权要求乙方赔偿损失，并追究乙方合同总标的额百分之二十的违约金，且甲方有权解除合同，对存在违法问题的交由有关部门立案查处。</w:t>
      </w:r>
      <w:r/>
    </w:p>
    <w:p>
      <w:pPr>
        <w:pStyle w:val="895"/>
        <w:ind w:firstLine="480"/>
        <w:jc w:val="left"/>
        <w:spacing w:line="360" w:lineRule="auto"/>
        <w:rPr>
          <w:rFonts w:hint="eastAsia" w:ascii="宋体" w:hAnsi="宋体" w:cs="宋体"/>
          <w:sz w:val="24"/>
        </w:rPr>
      </w:pPr>
      <w:r>
        <w:rPr>
          <w:rFonts w:hint="eastAsia" w:ascii="宋体" w:hAnsi="宋体" w:cs="宋体"/>
          <w:sz w:val="24"/>
        </w:rPr>
        <w:t xml:space="preserve">3、若乙方未遵守保密义务，出现泄漏甲方或第三方秘密的情形，甲方有权要求乙方赔偿损失，并追究乙方合同总价款百分之二十的违约金，且甲方有权解除合同。情节严重涉及违法犯罪的，依法移交司法机关处理。</w:t>
      </w:r>
      <w:r/>
    </w:p>
    <w:p>
      <w:pPr>
        <w:pStyle w:val="895"/>
        <w:ind w:firstLine="480"/>
        <w:jc w:val="left"/>
        <w:spacing w:line="360" w:lineRule="auto"/>
        <w:rPr>
          <w:rFonts w:hint="eastAsia" w:ascii="宋体" w:hAnsi="宋体" w:cs="宋体"/>
          <w:sz w:val="24"/>
        </w:rPr>
      </w:pPr>
      <w:r>
        <w:rPr>
          <w:rFonts w:hint="eastAsia" w:ascii="宋体" w:hAnsi="宋体" w:cs="宋体"/>
          <w:sz w:val="24"/>
        </w:rPr>
        <w:t xml:space="preserve">4、若因乙方侵犯甲方或第三方知识产权，发生第三方诉讼、社会舆论或甲方信誉受损等情形，甲方有权终止与乙方的合作，解除合同并向乙方主张合同总标的额百分之二十的违约金。</w:t>
      </w:r>
      <w:r/>
    </w:p>
    <w:p>
      <w:pPr>
        <w:pStyle w:val="895"/>
        <w:ind w:firstLine="480"/>
        <w:jc w:val="left"/>
        <w:spacing w:line="360" w:lineRule="auto"/>
        <w:rPr>
          <w:rFonts w:hint="eastAsia" w:ascii="宋体" w:hAnsi="宋体" w:cs="宋体"/>
          <w:sz w:val="24"/>
        </w:rPr>
      </w:pPr>
      <w:r>
        <w:rPr>
          <w:rFonts w:hint="eastAsia" w:ascii="宋体" w:hAnsi="宋体" w:cs="宋体"/>
          <w:sz w:val="24"/>
        </w:rPr>
        <w:t xml:space="preserve">5、本项目不得分包、转包。一经发现，甲方有权要求乙方赔偿损失，并追究乙方合同总标的额百分之二十的违约金，且甲方有权解除合同。</w:t>
      </w:r>
      <w:r/>
    </w:p>
    <w:p>
      <w:pPr>
        <w:pStyle w:val="903"/>
      </w:pPr>
      <w:r/>
      <w:r/>
    </w:p>
    <w:p>
      <w:pPr>
        <w:pStyle w:val="895"/>
        <w:ind w:firstLine="480"/>
        <w:jc w:val="left"/>
        <w:spacing w:line="360" w:lineRule="auto"/>
        <w:rPr>
          <w:rFonts w:hint="eastAsia" w:ascii="宋体" w:hAnsi="宋体" w:cs="仿宋_GB2312"/>
          <w:sz w:val="24"/>
        </w:rPr>
      </w:pPr>
      <w:r>
        <w:rPr>
          <w:rFonts w:hint="eastAsia" w:ascii="宋体" w:hAnsi="宋体" w:cs="宋体"/>
          <w:sz w:val="24"/>
        </w:rPr>
        <w:t xml:space="preserve">6、乙</w:t>
      </w:r>
      <w:r>
        <w:rPr>
          <w:rFonts w:hint="eastAsia" w:ascii="宋体" w:hAnsi="宋体" w:cs="仿宋_GB2312"/>
          <w:sz w:val="24"/>
        </w:rPr>
        <w:t xml:space="preserve">方在服务期内，若受到市场监督管理部门、生态环境主管部门以及行业协会通报批评或行政处罚的，甲方有权利视情况终止合同，并要求乙方赔偿甲方因此所遭受的损失。</w:t>
      </w:r>
      <w:r/>
    </w:p>
    <w:p>
      <w:pPr>
        <w:pStyle w:val="895"/>
        <w:ind w:firstLine="480"/>
        <w:jc w:val="left"/>
        <w:spacing w:line="360" w:lineRule="auto"/>
        <w:rPr>
          <w:rFonts w:hint="eastAsia" w:ascii="宋体" w:hAnsi="宋体" w:cs="仿宋_GB2312"/>
          <w:sz w:val="24"/>
        </w:rPr>
      </w:pPr>
      <w:r>
        <w:rPr>
          <w:rFonts w:hint="eastAsia" w:ascii="宋体" w:hAnsi="宋体" w:cs="仿宋_GB2312"/>
          <w:sz w:val="24"/>
        </w:rPr>
        <w:t xml:space="preserve">7、以上赔偿范围包括但不限于造成的甲方直接损失以及甲方因此合理维权而发生的差旅费、调查取证费、律师费、诉讼费、仲裁费、公告费、鉴定费、保全费、担保费用等。</w:t>
      </w:r>
      <w:r/>
    </w:p>
    <w:p>
      <w:pPr>
        <w:pStyle w:val="895"/>
        <w:ind w:firstLine="470"/>
        <w:jc w:val="left"/>
        <w:spacing w:line="360" w:lineRule="auto"/>
        <w:rPr>
          <w:rFonts w:hint="eastAsia" w:ascii="宋体" w:hAnsi="宋体" w:cs="宋体"/>
          <w:b/>
          <w:bCs/>
          <w:spacing w:val="-3"/>
          <w:sz w:val="24"/>
        </w:rPr>
      </w:pPr>
      <w:r>
        <w:rPr>
          <w:rFonts w:hint="eastAsia" w:ascii="宋体" w:hAnsi="宋体" w:cs="宋体"/>
          <w:b/>
          <w:bCs/>
          <w:spacing w:val="-3"/>
          <w:sz w:val="24"/>
        </w:rPr>
        <w:t xml:space="preserve">七、验收</w:t>
      </w:r>
      <w:r/>
    </w:p>
    <w:p>
      <w:pPr>
        <w:pStyle w:val="895"/>
        <w:ind w:firstLine="470"/>
        <w:jc w:val="left"/>
        <w:spacing w:line="360" w:lineRule="auto"/>
        <w:rPr>
          <w:rFonts w:hint="eastAsia" w:ascii="宋体" w:hAnsi="宋体" w:cs="宋体"/>
          <w:bCs/>
          <w:spacing w:val="-3"/>
          <w:sz w:val="24"/>
        </w:rPr>
      </w:pPr>
      <w:r>
        <w:rPr>
          <w:rFonts w:hint="eastAsia" w:ascii="宋体" w:hAnsi="宋体" w:cs="宋体"/>
          <w:bCs/>
          <w:spacing w:val="-3"/>
          <w:sz w:val="24"/>
        </w:rPr>
        <w:t xml:space="preserve">验收实施主体：苏州市相城生态环境局</w:t>
      </w:r>
      <w:r/>
    </w:p>
    <w:p>
      <w:pPr>
        <w:pStyle w:val="895"/>
        <w:ind w:firstLine="470"/>
        <w:jc w:val="left"/>
        <w:spacing w:line="360" w:lineRule="auto"/>
        <w:rPr>
          <w:rFonts w:hint="eastAsia" w:ascii="宋体" w:hAnsi="宋体" w:cs="宋体"/>
          <w:bCs/>
          <w:spacing w:val="-3"/>
          <w:sz w:val="24"/>
        </w:rPr>
      </w:pPr>
      <w:r>
        <w:rPr>
          <w:rFonts w:hint="eastAsia" w:ascii="宋体" w:hAnsi="宋体" w:cs="宋体"/>
          <w:bCs/>
          <w:spacing w:val="-3"/>
          <w:sz w:val="24"/>
        </w:rPr>
        <w:t xml:space="preserve">验收方式：一次验收</w:t>
      </w:r>
      <w:r/>
    </w:p>
    <w:p>
      <w:pPr>
        <w:pStyle w:val="895"/>
        <w:ind w:firstLine="470"/>
        <w:jc w:val="left"/>
        <w:spacing w:line="360" w:lineRule="auto"/>
        <w:rPr>
          <w:rFonts w:hint="eastAsia" w:ascii="宋体" w:hAnsi="宋体" w:cs="宋体"/>
          <w:bCs/>
          <w:spacing w:val="-3"/>
          <w:sz w:val="24"/>
        </w:rPr>
      </w:pPr>
      <w:r>
        <w:rPr>
          <w:rFonts w:hint="eastAsia" w:ascii="宋体" w:hAnsi="宋体" w:cs="宋体"/>
          <w:bCs/>
          <w:spacing w:val="-3"/>
          <w:sz w:val="24"/>
        </w:rPr>
        <w:t xml:space="preserve">验收时间：以甲方通知时间为准</w:t>
      </w:r>
      <w:r/>
    </w:p>
    <w:p>
      <w:pPr>
        <w:pStyle w:val="895"/>
        <w:ind w:firstLine="470"/>
        <w:jc w:val="left"/>
        <w:spacing w:line="360" w:lineRule="auto"/>
        <w:rPr>
          <w:rFonts w:hint="eastAsia" w:ascii="宋体" w:hAnsi="宋体" w:cs="宋体"/>
          <w:bCs/>
          <w:spacing w:val="-3"/>
          <w:sz w:val="24"/>
        </w:rPr>
      </w:pPr>
      <w:r>
        <w:rPr>
          <w:rFonts w:hint="eastAsia" w:ascii="宋体" w:hAnsi="宋体" w:cs="宋体"/>
          <w:bCs/>
          <w:spacing w:val="-3"/>
          <w:sz w:val="24"/>
        </w:rPr>
        <w:t xml:space="preserve">验收内容：合同履约情况、服务质量等。</w:t>
      </w:r>
      <w:r/>
    </w:p>
    <w:p>
      <w:pPr>
        <w:pStyle w:val="895"/>
        <w:ind w:firstLine="470"/>
        <w:jc w:val="left"/>
        <w:spacing w:line="360" w:lineRule="auto"/>
        <w:rPr>
          <w:rFonts w:ascii="宋体" w:hAnsi="宋体" w:cs="宋体"/>
          <w:sz w:val="24"/>
        </w:rPr>
      </w:pPr>
      <w:r>
        <w:rPr>
          <w:rFonts w:hint="eastAsia" w:ascii="宋体" w:hAnsi="宋体" w:cs="宋体"/>
          <w:bCs/>
          <w:spacing w:val="-3"/>
          <w:sz w:val="24"/>
        </w:rPr>
        <w:t xml:space="preserve">验收标准：以采购合同、招标文件、乙方的投标文件及其在投标过程中作出的响应及承诺作为验收依据和标准。</w:t>
      </w:r>
      <w:r>
        <w:rPr>
          <w:rFonts w:ascii="宋体" w:hAnsi="宋体" w:cs="宋体"/>
          <w:sz w:val="24"/>
        </w:rPr>
      </w:r>
      <w:r/>
    </w:p>
    <w:p>
      <w:pPr>
        <w:pStyle w:val="895"/>
        <w:ind w:firstLine="482"/>
        <w:jc w:val="left"/>
        <w:spacing w:line="360" w:lineRule="auto"/>
        <w:rPr>
          <w:rFonts w:ascii="宋体" w:hAnsi="宋体" w:cs="宋体"/>
          <w:sz w:val="24"/>
        </w:rPr>
      </w:pPr>
      <w:r>
        <w:rPr>
          <w:rFonts w:hint="eastAsia" w:ascii="宋体" w:hAnsi="宋体" w:cs="宋体"/>
          <w:b/>
          <w:sz w:val="24"/>
        </w:rPr>
        <w:t xml:space="preserve">八、不可抗力</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1、合同一方因不可抗力（或甲、乙双方不能控制的原因）不能履行合同的，根据不可抗力的影响，部分或者全部免除责任。但合同一方迟延履行后发生不可抗力的，不能免除责任。</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2、合同一方因不可抗力不能履行合同的，应当自不可抗力发生后3日内通知对方，以减轻可能给对方造成的损失，并应当在发出不可抗力通知后30日内提供书面证明。</w:t>
      </w:r>
      <w:r>
        <w:rPr>
          <w:rFonts w:ascii="宋体" w:hAnsi="宋体" w:cs="宋体"/>
          <w:sz w:val="24"/>
        </w:rPr>
      </w:r>
      <w:r/>
    </w:p>
    <w:p>
      <w:pPr>
        <w:pStyle w:val="895"/>
        <w:ind w:firstLine="482"/>
        <w:spacing w:line="400" w:lineRule="exact"/>
        <w:tabs>
          <w:tab w:val="left" w:pos="567" w:leader="none"/>
        </w:tabs>
        <w:rPr>
          <w:rFonts w:ascii="宋体" w:hAnsi="宋体" w:cs="宋体"/>
          <w:sz w:val="24"/>
        </w:rPr>
      </w:pPr>
      <w:r>
        <w:rPr>
          <w:rFonts w:hint="eastAsia" w:ascii="宋体" w:hAnsi="宋体" w:cs="宋体"/>
          <w:b/>
          <w:sz w:val="24"/>
        </w:rPr>
        <w:t xml:space="preserve">九、合同的</w:t>
      </w:r>
      <w:r>
        <w:rPr>
          <w:rFonts w:hint="eastAsia" w:cs="宋体"/>
          <w:b/>
          <w:sz w:val="24"/>
        </w:rPr>
        <w:t xml:space="preserve">修改、</w:t>
      </w:r>
      <w:r>
        <w:rPr>
          <w:rFonts w:hint="eastAsia" w:ascii="宋体" w:hAnsi="宋体" w:cs="宋体"/>
          <w:b/>
          <w:sz w:val="24"/>
        </w:rPr>
        <w:t xml:space="preserve">解除和转让</w:t>
      </w:r>
      <w:r>
        <w:rPr>
          <w:rFonts w:ascii="宋体" w:hAnsi="宋体" w:cs="宋体"/>
          <w:sz w:val="24"/>
        </w:rPr>
      </w:r>
      <w:r/>
    </w:p>
    <w:p>
      <w:pPr>
        <w:pStyle w:val="895"/>
        <w:numPr>
          <w:ilvl w:val="0"/>
          <w:numId w:val="7"/>
        </w:numPr>
        <w:ind w:firstLine="480"/>
        <w:jc w:val="left"/>
        <w:spacing w:line="360" w:lineRule="auto"/>
        <w:rPr>
          <w:rFonts w:hint="eastAsia" w:ascii="宋体" w:hAnsi="宋体" w:cs="宋体"/>
          <w:sz w:val="24"/>
        </w:rPr>
      </w:pPr>
      <w:r>
        <w:rPr>
          <w:rFonts w:hint="eastAsia" w:ascii="宋体" w:hAnsi="宋体" w:cs="宋体"/>
          <w:sz w:val="24"/>
        </w:rPr>
        <w:t xml:space="preserve">合同的修改</w:t>
      </w:r>
      <w:r/>
    </w:p>
    <w:p>
      <w:pPr>
        <w:pStyle w:val="895"/>
        <w:ind w:firstLine="480"/>
        <w:jc w:val="left"/>
        <w:spacing w:line="360" w:lineRule="auto"/>
        <w:rPr>
          <w:rFonts w:hint="eastAsia" w:ascii="宋体" w:hAnsi="宋体" w:cs="宋体"/>
          <w:sz w:val="24"/>
        </w:rPr>
      </w:pPr>
      <w:r>
        <w:rPr>
          <w:rFonts w:hint="eastAsia" w:ascii="宋体" w:hAnsi="宋体" w:cs="宋体"/>
          <w:sz w:val="24"/>
        </w:rPr>
        <w:t xml:space="preserve">甲乙双方都不得擅自变更本合同，但合同继续履行将损害国家和社会公共利益的除外。</w:t>
      </w:r>
      <w:r/>
    </w:p>
    <w:p>
      <w:pPr>
        <w:pStyle w:val="895"/>
        <w:ind w:firstLine="480"/>
        <w:jc w:val="left"/>
        <w:spacing w:line="360" w:lineRule="auto"/>
        <w:rPr>
          <w:rFonts w:ascii="宋体" w:hAnsi="宋体" w:cs="宋体"/>
          <w:sz w:val="24"/>
        </w:rPr>
      </w:pPr>
      <w:r>
        <w:rPr>
          <w:rFonts w:hint="eastAsia" w:ascii="宋体" w:hAnsi="宋体" w:cs="宋体"/>
          <w:sz w:val="24"/>
        </w:rPr>
        <w:t xml:space="preserve">2、合同的解除</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（1）甲乙双方协商一致，可以解除本合同。</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（2）有下列情形之一，合同一方可以解除合同：</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①因不可抗力致使不能实现合同目的，未受不可抗力影响的一方有权解除合同；</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②因合同一方违约导致合同不能履行，另一方有权解除合同。</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（3）有权解除合同的一方，应当在违约事实或不可抗力发生之后三十天内书面通知对方以主张解除合同，合同在书面通知到达对方时解除。</w:t>
      </w:r>
      <w:r>
        <w:rPr>
          <w:rFonts w:ascii="宋体" w:hAnsi="宋体" w:cs="宋体"/>
          <w:sz w:val="24"/>
        </w:rPr>
      </w:r>
      <w:r/>
    </w:p>
    <w:p>
      <w:pPr>
        <w:pStyle w:val="895"/>
        <w:ind w:firstLine="480"/>
        <w:jc w:val="left"/>
        <w:spacing w:line="360" w:lineRule="auto"/>
        <w:rPr>
          <w:rFonts w:hint="eastAsia" w:ascii="宋体" w:hAnsi="宋体" w:cs="宋体"/>
          <w:sz w:val="24"/>
        </w:rPr>
      </w:pPr>
      <w:r>
        <w:rPr>
          <w:rFonts w:hint="eastAsia" w:ascii="宋体" w:hAnsi="宋体" w:cs="宋体"/>
          <w:sz w:val="24"/>
        </w:rPr>
        <w:t xml:space="preserve">3、合同的转让和分包：合同的部分和全部都不得转让、分包。</w:t>
      </w:r>
      <w:r/>
    </w:p>
    <w:p>
      <w:pPr>
        <w:pStyle w:val="895"/>
        <w:ind w:firstLine="480"/>
        <w:jc w:val="left"/>
        <w:spacing w:line="360" w:lineRule="auto"/>
        <w:rPr>
          <w:rFonts w:ascii="宋体" w:hAnsi="宋体" w:cs="宋体"/>
          <w:sz w:val="24"/>
        </w:rPr>
      </w:pPr>
      <w:r>
        <w:rPr>
          <w:rFonts w:hint="eastAsia" w:ascii="宋体" w:hAnsi="宋体" w:cs="宋体"/>
          <w:b/>
          <w:sz w:val="24"/>
        </w:rPr>
        <w:t xml:space="preserve">十、争议解决</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甲乙双方因履行本合同或与本合同相关的一切事项发生争议，应首先友好协商解决。协商不成的，任何一方有权向甲方所在地人民法院起诉。</w:t>
      </w:r>
      <w:r>
        <w:rPr>
          <w:rFonts w:ascii="宋体" w:hAnsi="宋体" w:cs="宋体"/>
          <w:sz w:val="24"/>
        </w:rPr>
      </w:r>
      <w:r/>
    </w:p>
    <w:p>
      <w:pPr>
        <w:pStyle w:val="895"/>
        <w:ind w:firstLine="482"/>
        <w:jc w:val="left"/>
        <w:spacing w:line="360" w:lineRule="auto"/>
        <w:rPr>
          <w:rFonts w:ascii="宋体" w:hAnsi="宋体" w:cs="宋体"/>
          <w:sz w:val="24"/>
        </w:rPr>
      </w:pPr>
      <w:r>
        <w:rPr>
          <w:rFonts w:hint="eastAsia" w:ascii="宋体" w:hAnsi="宋体" w:cs="宋体"/>
          <w:b/>
          <w:sz w:val="24"/>
        </w:rPr>
        <w:t xml:space="preserve">十一、合同的生效</w:t>
      </w:r>
      <w:r>
        <w:rPr>
          <w:rFonts w:ascii="宋体"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本合同经甲乙双方法定代表人或授权代表人签字盖章后生效，生效后的合同需进行网上公示。</w:t>
      </w:r>
      <w:r>
        <w:rPr>
          <w:rFonts w:ascii="宋体" w:hAnsi="宋体" w:cs="宋体"/>
          <w:sz w:val="24"/>
        </w:rPr>
      </w:r>
      <w:r/>
    </w:p>
    <w:p>
      <w:pPr>
        <w:pStyle w:val="895"/>
        <w:ind w:firstLine="482"/>
        <w:jc w:val="left"/>
        <w:spacing w:line="360" w:lineRule="auto"/>
        <w:rPr>
          <w:rFonts w:ascii="宋体" w:hAnsi="宋体" w:cs="宋体"/>
          <w:sz w:val="24"/>
        </w:rPr>
      </w:pPr>
      <w:r>
        <w:rPr>
          <w:rFonts w:hint="eastAsia" w:ascii="宋体" w:hAnsi="宋体" w:cs="宋体"/>
          <w:b/>
          <w:sz w:val="24"/>
        </w:rPr>
        <w:t xml:space="preserve">十二、其他</w:t>
      </w:r>
      <w:r>
        <w:rPr>
          <w:rFonts w:ascii="宋体" w:hAnsi="宋体" w:cs="宋体"/>
          <w:sz w:val="24"/>
        </w:rPr>
      </w:r>
      <w:r/>
    </w:p>
    <w:p>
      <w:pPr>
        <w:pStyle w:val="917"/>
        <w:contextualSpacing/>
        <w:ind w:firstLine="480"/>
        <w:spacing w:line="360" w:lineRule="auto"/>
        <w:rPr>
          <w:rFonts w:hAnsi="宋体" w:cs="宋体"/>
          <w:sz w:val="24"/>
        </w:rPr>
      </w:pPr>
      <w:r>
        <w:rPr>
          <w:rFonts w:hint="eastAsia" w:hAnsi="宋体" w:eastAsia="宋体" w:cs="宋体"/>
          <w:sz w:val="24"/>
          <w:szCs w:val="24"/>
        </w:rPr>
        <w:t xml:space="preserve">1、合同份数：本合同一式肆份，甲乙双方各执壹份，招标代理机构壹份，政府采购监督管理部门壹份，各份具有同等法律效力。电子合同具有纸质合同的同等法律效力。</w:t>
      </w:r>
      <w:r>
        <w:rPr>
          <w:rFonts w:hAnsi="宋体" w:cs="宋体"/>
          <w:sz w:val="24"/>
        </w:rPr>
      </w:r>
      <w:r/>
    </w:p>
    <w:p>
      <w:pPr>
        <w:pStyle w:val="895"/>
        <w:ind w:firstLine="480"/>
        <w:jc w:val="left"/>
        <w:spacing w:line="360" w:lineRule="auto"/>
        <w:rPr>
          <w:rFonts w:ascii="宋体" w:hAnsi="宋体" w:cs="宋体"/>
          <w:sz w:val="24"/>
        </w:rPr>
      </w:pPr>
      <w:r>
        <w:rPr>
          <w:rFonts w:hint="eastAsia" w:ascii="宋体" w:hAnsi="宋体" w:cs="宋体"/>
          <w:sz w:val="24"/>
        </w:rPr>
        <w:t xml:space="preserve">2、本合同未尽事宜应按《中华人民共和国民法典》《中华人民共和国政府采购法》以及其他相关法律、法规之规定解释，在执行过程中双方在不违背本合同和采购文件的原则下协商解决，协商结果以书面形式盖章记录在案，作为本合同的附件，与本合同具有同等法律效力。</w:t>
      </w:r>
      <w:r>
        <w:rPr>
          <w:rFonts w:ascii="宋体" w:hAnsi="宋体" w:cs="宋体"/>
          <w:sz w:val="24"/>
        </w:rPr>
      </w:r>
      <w:r/>
    </w:p>
    <w:p>
      <w:pPr>
        <w:pStyle w:val="895"/>
        <w:ind w:firstLine="482"/>
        <w:jc w:val="left"/>
        <w:spacing w:line="360" w:lineRule="auto"/>
        <w:rPr>
          <w:rFonts w:ascii="宋体" w:hAnsi="宋体" w:cs="宋体"/>
          <w:sz w:val="24"/>
        </w:rPr>
      </w:pPr>
      <w:r>
        <w:rPr>
          <w:rFonts w:hint="eastAsia" w:ascii="宋体" w:hAnsi="宋体" w:cs="宋体"/>
          <w:b/>
          <w:sz w:val="24"/>
        </w:rPr>
        <w:t xml:space="preserve">附件：</w:t>
      </w:r>
      <w:r>
        <w:rPr>
          <w:rFonts w:hint="eastAsia" w:cs="宋体"/>
          <w:b/>
          <w:color w:val="000000"/>
          <w:sz w:val="24"/>
        </w:rPr>
        <w:t xml:space="preserve">苏州市相城生态环境局2026年环境监测服务专项委托业务考核表</w:t>
      </w:r>
      <w:r>
        <w:rPr>
          <w:rFonts w:hint="eastAsia" w:ascii="宋体" w:hAnsi="宋体" w:cs="宋体"/>
          <w:sz w:val="24"/>
        </w:rPr>
        <w:t xml:space="preserve">）</w:t>
      </w:r>
      <w:r>
        <w:rPr>
          <w:rFonts w:ascii="宋体" w:hAnsi="宋体" w:cs="宋体"/>
          <w:sz w:val="24"/>
        </w:rPr>
      </w:r>
      <w:r/>
    </w:p>
    <w:p>
      <w:pPr>
        <w:pStyle w:val="895"/>
        <w:ind w:firstLine="480"/>
        <w:jc w:val="left"/>
        <w:spacing w:line="360" w:lineRule="auto"/>
        <w:rPr>
          <w:rFonts w:hint="eastAsia" w:ascii="宋体" w:hAnsi="宋体" w:cs="宋体"/>
          <w:sz w:val="24"/>
        </w:rPr>
      </w:pPr>
      <w:r>
        <w:rPr>
          <w:rFonts w:hint="eastAsia" w:ascii="宋体" w:hAnsi="宋体" w:cs="宋体"/>
          <w:sz w:val="24"/>
        </w:rPr>
      </w:r>
      <w:r/>
    </w:p>
    <w:p>
      <w:pPr>
        <w:pStyle w:val="895"/>
        <w:ind w:firstLine="480"/>
        <w:jc w:val="left"/>
        <w:spacing w:line="360" w:lineRule="auto"/>
        <w:rPr>
          <w:rFonts w:hint="eastAsia" w:ascii="宋体" w:hAnsi="宋体" w:cs="宋体"/>
          <w:sz w:val="24"/>
        </w:rPr>
      </w:pPr>
      <w:r>
        <w:rPr>
          <w:rFonts w:hint="eastAsia" w:ascii="宋体" w:hAnsi="宋体" w:cs="宋体"/>
          <w:sz w:val="24"/>
        </w:rPr>
        <w:t xml:space="preserve">备注：本章为政府采购合同主要条款，中标后采购人有权根据标段实际需求做进一步的完善调整。</w:t>
      </w:r>
      <w:r>
        <w:rPr>
          <w:rFonts w:hint="eastAsia" w:ascii="宋体" w:hAnsi="宋体" w:cs="宋体"/>
          <w:sz w:val="24"/>
        </w:rPr>
      </w:r>
      <w:r/>
    </w:p>
    <w:p>
      <w:pPr>
        <w:pStyle w:val="895"/>
        <w:ind w:firstLine="480"/>
        <w:jc w:val="left"/>
        <w:rPr>
          <w:rFonts w:ascii="宋体" w:hAnsi="宋体" w:cs="宋体"/>
          <w:sz w:val="24"/>
        </w:rPr>
      </w:pPr>
      <w:r>
        <w:rPr>
          <w:rFonts w:hint="eastAsia" w:ascii="宋体" w:hAnsi="宋体" w:cs="宋体"/>
          <w:sz w:val="24"/>
        </w:rPr>
        <w:t xml:space="preserve">（以下无正文）</w:t>
      </w:r>
      <w:r>
        <w:rPr>
          <w:rFonts w:ascii="宋体" w:hAnsi="宋体" w:cs="宋体"/>
          <w:sz w:val="24"/>
        </w:rPr>
      </w:r>
      <w:r/>
    </w:p>
    <w:p>
      <w:pPr>
        <w:pStyle w:val="895"/>
        <w:rPr>
          <w:rFonts w:ascii="宋体" w:hAnsi="宋体" w:cs="宋体"/>
          <w:sz w:val="24"/>
        </w:rPr>
      </w:pPr>
      <w:r>
        <w:rPr>
          <w:rFonts w:ascii="宋体" w:hAnsi="宋体" w:cs="宋体"/>
          <w:sz w:val="24"/>
        </w:rPr>
      </w:r>
      <w:r/>
    </w:p>
    <w:p>
      <w:pPr>
        <w:pStyle w:val="895"/>
        <w:jc w:val="left"/>
        <w:rPr>
          <w:rFonts w:ascii="宋体" w:hAnsi="宋体" w:cs="宋体"/>
          <w:sz w:val="24"/>
        </w:rPr>
      </w:pPr>
      <w:r>
        <w:rPr>
          <w:rFonts w:hint="eastAsia" w:ascii="宋体" w:hAnsi="宋体" w:cs="宋体"/>
          <w:sz w:val="24"/>
          <w:lang w:val="zh-CN" w:bidi="zh-CN"/>
        </w:rPr>
        <w:t xml:space="preserve">甲方：                                乙方：                    </w:t>
      </w:r>
      <w:r>
        <w:rPr>
          <w:rFonts w:ascii="宋体" w:hAnsi="宋体" w:cs="宋体"/>
          <w:sz w:val="24"/>
        </w:rPr>
      </w:r>
      <w:r/>
    </w:p>
    <w:p>
      <w:pPr>
        <w:pStyle w:val="895"/>
        <w:jc w:val="left"/>
        <w:rPr>
          <w:rFonts w:ascii="宋体" w:hAnsi="宋体" w:cs="宋体"/>
          <w:sz w:val="24"/>
        </w:rPr>
      </w:pPr>
      <w:r>
        <w:rPr>
          <w:rFonts w:ascii="宋体" w:hAnsi="宋体" w:cs="宋体"/>
          <w:sz w:val="24"/>
        </w:rPr>
      </w:r>
      <w:r/>
    </w:p>
    <w:p>
      <w:pPr>
        <w:pStyle w:val="895"/>
        <w:jc w:val="left"/>
        <w:rPr>
          <w:rFonts w:ascii="宋体" w:hAnsi="宋体" w:cs="宋体"/>
          <w:sz w:val="24"/>
        </w:rPr>
      </w:pPr>
      <w:r>
        <w:rPr>
          <w:rFonts w:hint="eastAsia" w:ascii="宋体" w:hAnsi="宋体" w:cs="宋体"/>
          <w:sz w:val="24"/>
          <w:lang w:val="zh-CN" w:bidi="zh-CN"/>
        </w:rPr>
        <w:t xml:space="preserve">法定代表人（授权代表）：              法定代表人（授权代表）：  </w:t>
      </w:r>
      <w:r>
        <w:rPr>
          <w:rFonts w:ascii="宋体" w:hAnsi="宋体" w:cs="宋体"/>
          <w:sz w:val="24"/>
        </w:rPr>
      </w:r>
      <w:r/>
    </w:p>
    <w:p>
      <w:pPr>
        <w:pStyle w:val="895"/>
        <w:rPr>
          <w:rFonts w:ascii="宋体" w:hAnsi="宋体" w:cs="宋体"/>
          <w:sz w:val="24"/>
        </w:rPr>
      </w:pPr>
      <w:r>
        <w:rPr>
          <w:rFonts w:ascii="宋体" w:hAnsi="宋体" w:cs="宋体"/>
          <w:sz w:val="24"/>
        </w:rPr>
      </w:r>
      <w:r/>
    </w:p>
    <w:p>
      <w:pPr>
        <w:pStyle w:val="895"/>
        <w:rPr>
          <w:rFonts w:ascii="宋体" w:hAnsi="宋体" w:cs="宋体"/>
          <w:sz w:val="24"/>
          <w:szCs w:val="20"/>
        </w:rPr>
      </w:pPr>
      <w:r>
        <w:rPr>
          <w:rFonts w:hint="eastAsia" w:ascii="宋体" w:hAnsi="宋体" w:cs="宋体"/>
          <w:sz w:val="24"/>
          <w:lang w:val="zh-CN" w:bidi="zh-CN"/>
        </w:rPr>
        <w:t xml:space="preserve">签约日期：                            签约日期：       </w:t>
      </w:r>
      <w:r>
        <w:rPr>
          <w:rFonts w:ascii="宋体" w:hAnsi="宋体" w:cs="宋体"/>
          <w:sz w:val="24"/>
          <w:szCs w:val="20"/>
        </w:rPr>
      </w:r>
      <w:r/>
    </w:p>
    <w:p>
      <w:pPr>
        <w:pStyle w:val="895"/>
        <w:rPr>
          <w:rFonts w:hint="eastAsia" w:cs="宋体"/>
          <w:b/>
          <w:sz w:val="24"/>
        </w:rPr>
      </w:pPr>
      <w:r>
        <w:rPr>
          <w:rFonts w:hint="eastAsia" w:cs="宋体"/>
          <w:b/>
          <w:sz w:val="24"/>
        </w:rPr>
        <w:t xml:space="preserve">合同附件</w:t>
      </w:r>
      <w:r/>
    </w:p>
    <w:p>
      <w:pPr>
        <w:pStyle w:val="895"/>
        <w:jc w:val="center"/>
        <w:rPr>
          <w:rFonts w:hint="eastAsia" w:cs="宋体"/>
          <w:b/>
          <w:color w:val="000000"/>
          <w:sz w:val="24"/>
        </w:rPr>
      </w:pPr>
      <w:r>
        <w:rPr>
          <w:rFonts w:hint="eastAsia" w:cs="宋体"/>
          <w:b/>
          <w:color w:val="000000"/>
          <w:sz w:val="24"/>
        </w:rPr>
        <w:t xml:space="preserve">苏州市相城生态环境局2026年环境监测服务专项委托业务考核表</w:t>
      </w:r>
      <w:r/>
    </w:p>
    <w:p>
      <w:pPr>
        <w:pStyle w:val="895"/>
        <w:spacing w:line="590" w:lineRule="exact"/>
        <w:rPr>
          <w:rFonts w:hint="eastAsia" w:cs="宋体"/>
          <w:color w:val="000000"/>
        </w:rPr>
      </w:pPr>
      <w:r>
        <w:rPr>
          <w:rFonts w:hint="eastAsia" w:cs="宋体"/>
          <w:color w:val="000000"/>
        </w:rPr>
        <w:t xml:space="preserve">考核对象：                            考核时间段：                            总得分：</w:t>
      </w:r>
      <w:r/>
    </w:p>
    <w:tbl>
      <w:tblPr>
        <w:tblW w:w="98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737"/>
        <w:gridCol w:w="6953"/>
        <w:gridCol w:w="815"/>
        <w:gridCol w:w="595"/>
      </w:tblGrid>
      <w:tr>
        <w:trPr>
          <w:trHeight w:val="484"/>
        </w:trPr>
        <w:tc>
          <w:tcPr>
            <w:shd w:val="pct10" w:color="auto" w:fill="auto"/>
            <w:tcW w:w="798" w:type="dxa"/>
            <w:vAlign w:val="center"/>
            <w:textDirection w:val="lrTb"/>
            <w:noWrap w:val="false"/>
          </w:tcPr>
          <w:p>
            <w:pPr>
              <w:pStyle w:val="895"/>
              <w:jc w:val="center"/>
              <w:spacing w:line="240" w:lineRule="atLeast"/>
              <w:rPr>
                <w:rFonts w:hint="eastAsia" w:ascii="宋体" w:hAnsi="宋体" w:cs="宋体"/>
                <w:b/>
                <w:color w:val="000000"/>
                <w:sz w:val="24"/>
              </w:rPr>
            </w:pPr>
            <w:r>
              <w:rPr>
                <w:rFonts w:hint="eastAsia" w:ascii="宋体" w:hAnsi="宋体" w:cs="宋体"/>
                <w:b/>
                <w:color w:val="000000"/>
                <w:sz w:val="24"/>
              </w:rPr>
              <w:t xml:space="preserve">考核内容</w:t>
            </w:r>
            <w:r/>
          </w:p>
        </w:tc>
        <w:tc>
          <w:tcPr>
            <w:shd w:val="pct10" w:color="auto" w:fill="auto"/>
            <w:tcW w:w="737" w:type="dxa"/>
            <w:vAlign w:val="center"/>
            <w:textDirection w:val="lrTb"/>
            <w:noWrap w:val="false"/>
          </w:tcPr>
          <w:p>
            <w:pPr>
              <w:pStyle w:val="895"/>
              <w:jc w:val="center"/>
              <w:spacing w:line="240" w:lineRule="atLeast"/>
              <w:rPr>
                <w:rFonts w:hint="eastAsia" w:ascii="宋体" w:hAnsi="宋体" w:cs="宋体"/>
                <w:b/>
                <w:color w:val="000000"/>
                <w:sz w:val="24"/>
              </w:rPr>
            </w:pPr>
            <w:r>
              <w:rPr>
                <w:rFonts w:hint="eastAsia" w:ascii="宋体" w:hAnsi="宋体" w:cs="宋体"/>
                <w:b/>
                <w:color w:val="000000"/>
                <w:sz w:val="24"/>
              </w:rPr>
              <w:t xml:space="preserve">分值</w:t>
            </w:r>
            <w:r/>
          </w:p>
        </w:tc>
        <w:tc>
          <w:tcPr>
            <w:shd w:val="pct10" w:color="auto" w:fill="auto"/>
            <w:tcW w:w="6953" w:type="dxa"/>
            <w:vAlign w:val="center"/>
            <w:textDirection w:val="lrTb"/>
            <w:noWrap w:val="false"/>
          </w:tcPr>
          <w:p>
            <w:pPr>
              <w:pStyle w:val="895"/>
              <w:jc w:val="center"/>
              <w:spacing w:line="240" w:lineRule="atLeast"/>
              <w:rPr>
                <w:rFonts w:hint="eastAsia" w:ascii="宋体" w:hAnsi="宋体" w:cs="宋体"/>
                <w:b/>
                <w:color w:val="000000"/>
                <w:sz w:val="24"/>
              </w:rPr>
            </w:pPr>
            <w:r>
              <w:rPr>
                <w:rFonts w:hint="eastAsia" w:ascii="宋体" w:hAnsi="宋体" w:cs="宋体"/>
                <w:b/>
                <w:color w:val="000000"/>
                <w:sz w:val="24"/>
              </w:rPr>
              <w:t xml:space="preserve">评分要求</w:t>
            </w:r>
            <w:r/>
          </w:p>
        </w:tc>
        <w:tc>
          <w:tcPr>
            <w:shd w:val="pct10" w:color="auto" w:fill="auto"/>
            <w:tcW w:w="815" w:type="dxa"/>
            <w:vAlign w:val="center"/>
            <w:textDirection w:val="lrTb"/>
            <w:noWrap w:val="false"/>
          </w:tcPr>
          <w:p>
            <w:pPr>
              <w:pStyle w:val="895"/>
              <w:jc w:val="center"/>
              <w:spacing w:line="240" w:lineRule="atLeast"/>
              <w:rPr>
                <w:rFonts w:hint="eastAsia" w:ascii="宋体" w:hAnsi="宋体" w:cs="宋体"/>
                <w:b/>
                <w:color w:val="000000"/>
                <w:sz w:val="24"/>
              </w:rPr>
            </w:pPr>
            <w:r>
              <w:rPr>
                <w:rFonts w:hint="eastAsia" w:ascii="宋体" w:hAnsi="宋体" w:cs="宋体"/>
                <w:b/>
                <w:color w:val="000000"/>
                <w:sz w:val="24"/>
              </w:rPr>
              <w:t xml:space="preserve">检查</w:t>
            </w:r>
            <w:r/>
          </w:p>
          <w:p>
            <w:pPr>
              <w:pStyle w:val="895"/>
              <w:jc w:val="center"/>
              <w:spacing w:line="240" w:lineRule="atLeast"/>
              <w:rPr>
                <w:rFonts w:hint="eastAsia" w:ascii="宋体" w:hAnsi="宋体" w:cs="宋体"/>
                <w:b/>
                <w:color w:val="000000"/>
                <w:sz w:val="24"/>
              </w:rPr>
            </w:pPr>
            <w:r>
              <w:rPr>
                <w:rFonts w:hint="eastAsia" w:ascii="宋体" w:hAnsi="宋体" w:cs="宋体"/>
                <w:b/>
                <w:color w:val="000000"/>
                <w:sz w:val="24"/>
              </w:rPr>
              <w:t xml:space="preserve">情况</w:t>
            </w:r>
            <w:r/>
          </w:p>
        </w:tc>
        <w:tc>
          <w:tcPr>
            <w:shd w:val="pct10" w:color="auto" w:fill="auto"/>
            <w:tcW w:w="595" w:type="dxa"/>
            <w:vAlign w:val="center"/>
            <w:textDirection w:val="lrTb"/>
            <w:noWrap w:val="false"/>
          </w:tcPr>
          <w:p>
            <w:pPr>
              <w:pStyle w:val="895"/>
              <w:jc w:val="center"/>
              <w:spacing w:line="240" w:lineRule="atLeast"/>
              <w:rPr>
                <w:rFonts w:hint="eastAsia" w:ascii="宋体" w:hAnsi="宋体" w:cs="宋体"/>
                <w:b/>
                <w:color w:val="000000"/>
                <w:sz w:val="24"/>
              </w:rPr>
            </w:pPr>
            <w:r>
              <w:rPr>
                <w:rFonts w:hint="eastAsia" w:ascii="宋体" w:hAnsi="宋体" w:cs="宋体"/>
                <w:b/>
                <w:color w:val="000000"/>
                <w:sz w:val="24"/>
              </w:rPr>
              <w:t xml:space="preserve">扣分</w:t>
            </w:r>
            <w:r/>
          </w:p>
        </w:tc>
      </w:tr>
      <w:tr>
        <w:trPr>
          <w:trHeight w:val="57"/>
        </w:trPr>
        <w:tc>
          <w:tcPr>
            <w:tcW w:w="798" w:type="dxa"/>
            <w:vAlign w:val="center"/>
            <w:textDirection w:val="lrTb"/>
            <w:noWrap w:val="false"/>
          </w:tcPr>
          <w:p>
            <w:pPr>
              <w:pStyle w:val="895"/>
              <w:jc w:val="center"/>
              <w:spacing w:line="340" w:lineRule="exact"/>
              <w:rPr>
                <w:rFonts w:hint="eastAsia" w:ascii="宋体" w:hAnsi="宋体" w:cs="宋体"/>
                <w:color w:val="000000"/>
                <w:sz w:val="24"/>
              </w:rPr>
            </w:pPr>
            <w:r>
              <w:rPr>
                <w:rFonts w:hint="eastAsia" w:ascii="宋体" w:hAnsi="宋体" w:cs="宋体"/>
                <w:color w:val="000000"/>
                <w:sz w:val="24"/>
              </w:rPr>
              <w:t xml:space="preserve">现场质量控制</w:t>
            </w:r>
            <w:r/>
          </w:p>
        </w:tc>
        <w:tc>
          <w:tcPr>
            <w:tcW w:w="737" w:type="dxa"/>
            <w:vAlign w:val="center"/>
            <w:textDirection w:val="lrTb"/>
            <w:noWrap w:val="false"/>
          </w:tcPr>
          <w:p>
            <w:pPr>
              <w:pStyle w:val="895"/>
              <w:jc w:val="center"/>
              <w:spacing w:line="340" w:lineRule="exact"/>
              <w:rPr>
                <w:rFonts w:hint="eastAsia" w:ascii="宋体" w:hAnsi="宋体" w:cs="宋体"/>
                <w:color w:val="000000"/>
                <w:sz w:val="24"/>
              </w:rPr>
            </w:pPr>
            <w:r>
              <w:rPr>
                <w:rFonts w:hint="eastAsia" w:ascii="宋体" w:hAnsi="宋体" w:cs="宋体"/>
                <w:color w:val="000000"/>
                <w:sz w:val="24"/>
              </w:rPr>
              <w:t xml:space="preserve">20</w:t>
            </w:r>
            <w:r/>
          </w:p>
        </w:tc>
        <w:tc>
          <w:tcPr>
            <w:tcW w:w="6953" w:type="dxa"/>
            <w:vAlign w:val="center"/>
            <w:textDirection w:val="lrTb"/>
            <w:noWrap w:val="false"/>
          </w:tcPr>
          <w:p>
            <w:pPr>
              <w:pStyle w:val="895"/>
              <w:ind w:left="420"/>
              <w:jc w:val="left"/>
              <w:spacing w:line="340" w:lineRule="exact"/>
              <w:rPr>
                <w:rFonts w:hint="eastAsia" w:ascii="宋体" w:hAnsi="宋体" w:cs="宋体"/>
                <w:color w:val="000000"/>
                <w:sz w:val="24"/>
              </w:rPr>
            </w:pPr>
            <w:r>
              <w:rPr>
                <w:rFonts w:hint="eastAsia" w:ascii="宋体" w:hAnsi="宋体" w:cs="宋体"/>
                <w:color w:val="000000"/>
                <w:sz w:val="24"/>
              </w:rPr>
              <w:t xml:space="preserve">未按要求提交监测方案或计划的，每超期一天，扣1分。</w:t>
            </w:r>
            <w:r/>
          </w:p>
          <w:p>
            <w:pPr>
              <w:pStyle w:val="895"/>
              <w:numPr>
                <w:ilvl w:val="0"/>
                <w:numId w:val="8"/>
              </w:numPr>
              <w:jc w:val="left"/>
              <w:spacing w:line="340" w:lineRule="exact"/>
              <w:rPr>
                <w:rFonts w:hint="eastAsia" w:ascii="宋体" w:hAnsi="宋体" w:cs="宋体"/>
                <w:color w:val="000000"/>
                <w:sz w:val="24"/>
              </w:rPr>
            </w:pPr>
            <w:r>
              <w:rPr>
                <w:rFonts w:hint="eastAsia" w:ascii="宋体" w:hAnsi="宋体" w:cs="宋体"/>
                <w:color w:val="000000"/>
                <w:sz w:val="24"/>
              </w:rPr>
              <w:t xml:space="preserve">监测方案不符合技术规范及监测要求的，每发发现一次，扣2分。</w:t>
            </w:r>
            <w:r/>
          </w:p>
          <w:p>
            <w:pPr>
              <w:pStyle w:val="895"/>
              <w:numPr>
                <w:ilvl w:val="0"/>
                <w:numId w:val="8"/>
              </w:numPr>
              <w:jc w:val="left"/>
              <w:spacing w:line="340" w:lineRule="exact"/>
              <w:rPr>
                <w:rFonts w:hint="eastAsia" w:ascii="宋体" w:hAnsi="宋体" w:cs="宋体"/>
                <w:color w:val="000000"/>
                <w:sz w:val="24"/>
              </w:rPr>
            </w:pPr>
            <w:r>
              <w:rPr>
                <w:rFonts w:hint="eastAsia" w:ascii="宋体" w:hAnsi="宋体" w:cs="宋体"/>
                <w:color w:val="000000"/>
                <w:sz w:val="24"/>
              </w:rPr>
              <w:t xml:space="preserve">现场监测过程及人员按照相关监测技术规范开展工作，发现一项不符合扣3分。</w:t>
            </w:r>
            <w:r/>
          </w:p>
          <w:p>
            <w:pPr>
              <w:pStyle w:val="895"/>
              <w:numPr>
                <w:ilvl w:val="0"/>
                <w:numId w:val="8"/>
              </w:numPr>
              <w:jc w:val="left"/>
              <w:spacing w:line="340" w:lineRule="exact"/>
              <w:rPr>
                <w:rFonts w:hint="eastAsia" w:ascii="宋体" w:hAnsi="宋体" w:cs="宋体"/>
                <w:color w:val="000000"/>
                <w:sz w:val="24"/>
              </w:rPr>
            </w:pPr>
            <w:r>
              <w:rPr>
                <w:rFonts w:hint="eastAsia" w:ascii="宋体" w:hAnsi="宋体" w:cs="宋体"/>
                <w:color w:val="000000"/>
                <w:sz w:val="24"/>
              </w:rPr>
              <w:t xml:space="preserve">现场操作项目随机抽测，发现一项不符合扣3分,如发现多项不符合则进行累计扣分。</w:t>
            </w:r>
            <w:r/>
          </w:p>
          <w:p>
            <w:pPr>
              <w:pStyle w:val="895"/>
              <w:numPr>
                <w:ilvl w:val="0"/>
                <w:numId w:val="8"/>
              </w:numPr>
              <w:jc w:val="left"/>
              <w:spacing w:line="340" w:lineRule="exact"/>
              <w:rPr>
                <w:rFonts w:hint="eastAsia" w:ascii="宋体" w:hAnsi="宋体" w:cs="宋体"/>
                <w:color w:val="000000"/>
                <w:sz w:val="24"/>
              </w:rPr>
            </w:pPr>
            <w:r>
              <w:rPr>
                <w:rFonts w:hint="eastAsia" w:ascii="宋体" w:hAnsi="宋体" w:cs="宋体"/>
                <w:color w:val="000000"/>
                <w:sz w:val="24"/>
              </w:rPr>
              <w:t xml:space="preserve">现场采样监测时，未按要求录像或拍照并保存的，发现一次扣10分。</w:t>
            </w:r>
            <w:r/>
          </w:p>
        </w:tc>
        <w:tc>
          <w:tcPr>
            <w:tcW w:w="815" w:type="dxa"/>
            <w:vAlign w:val="center"/>
            <w:textDirection w:val="lrTb"/>
            <w:noWrap w:val="false"/>
          </w:tcPr>
          <w:p>
            <w:pPr>
              <w:pStyle w:val="895"/>
              <w:jc w:val="center"/>
              <w:spacing w:line="240" w:lineRule="atLeast"/>
              <w:rPr>
                <w:rFonts w:hint="eastAsia" w:ascii="宋体" w:hAnsi="宋体" w:cs="宋体"/>
                <w:color w:val="000000"/>
                <w:sz w:val="24"/>
              </w:rPr>
            </w:pPr>
            <w:r>
              <w:rPr>
                <w:rFonts w:hint="eastAsia" w:ascii="宋体" w:hAnsi="宋体" w:cs="宋体"/>
                <w:color w:val="000000"/>
                <w:sz w:val="24"/>
              </w:rPr>
            </w:r>
            <w:r/>
          </w:p>
        </w:tc>
        <w:tc>
          <w:tcPr>
            <w:tcW w:w="595" w:type="dxa"/>
            <w:vAlign w:val="center"/>
            <w:textDirection w:val="lrTb"/>
            <w:noWrap w:val="false"/>
          </w:tcPr>
          <w:p>
            <w:pPr>
              <w:pStyle w:val="895"/>
              <w:jc w:val="center"/>
              <w:spacing w:line="240" w:lineRule="atLeast"/>
              <w:rPr>
                <w:rFonts w:hint="eastAsia" w:ascii="宋体" w:hAnsi="宋体" w:cs="宋体"/>
                <w:color w:val="000000"/>
                <w:sz w:val="24"/>
              </w:rPr>
            </w:pPr>
            <w:r>
              <w:rPr>
                <w:rFonts w:hint="eastAsia" w:ascii="宋体" w:hAnsi="宋体" w:cs="宋体"/>
                <w:color w:val="000000"/>
                <w:sz w:val="24"/>
              </w:rPr>
            </w:r>
            <w:r/>
          </w:p>
        </w:tc>
      </w:tr>
      <w:tr>
        <w:trPr>
          <w:trHeight w:val="57"/>
        </w:trPr>
        <w:tc>
          <w:tcPr>
            <w:tcW w:w="798" w:type="dxa"/>
            <w:vAlign w:val="center"/>
            <w:textDirection w:val="lrTb"/>
            <w:noWrap w:val="false"/>
          </w:tcPr>
          <w:p>
            <w:pPr>
              <w:pStyle w:val="895"/>
              <w:jc w:val="center"/>
              <w:spacing w:line="340" w:lineRule="exact"/>
              <w:rPr>
                <w:rFonts w:hint="eastAsia" w:ascii="宋体" w:hAnsi="宋体" w:cs="宋体"/>
                <w:color w:val="000000"/>
                <w:sz w:val="24"/>
              </w:rPr>
            </w:pPr>
            <w:r>
              <w:rPr>
                <w:rFonts w:hint="eastAsia" w:ascii="宋体" w:hAnsi="宋体" w:cs="宋体"/>
                <w:color w:val="000000"/>
                <w:sz w:val="24"/>
              </w:rPr>
              <w:t xml:space="preserve">实验室</w:t>
            </w:r>
            <w:r/>
          </w:p>
          <w:p>
            <w:pPr>
              <w:pStyle w:val="895"/>
              <w:jc w:val="center"/>
              <w:spacing w:line="340" w:lineRule="exact"/>
              <w:rPr>
                <w:rFonts w:hint="eastAsia" w:ascii="宋体" w:hAnsi="宋体" w:cs="宋体"/>
                <w:color w:val="000000"/>
                <w:sz w:val="24"/>
              </w:rPr>
            </w:pPr>
            <w:r>
              <w:rPr>
                <w:rFonts w:hint="eastAsia" w:ascii="宋体" w:hAnsi="宋体" w:cs="宋体"/>
                <w:color w:val="000000"/>
                <w:sz w:val="24"/>
              </w:rPr>
              <w:t xml:space="preserve">质量控制</w:t>
            </w:r>
            <w:r/>
          </w:p>
        </w:tc>
        <w:tc>
          <w:tcPr>
            <w:tcW w:w="737" w:type="dxa"/>
            <w:vAlign w:val="center"/>
            <w:textDirection w:val="lrTb"/>
            <w:noWrap w:val="false"/>
          </w:tcPr>
          <w:p>
            <w:pPr>
              <w:pStyle w:val="895"/>
              <w:jc w:val="center"/>
              <w:spacing w:line="340" w:lineRule="exact"/>
              <w:rPr>
                <w:rFonts w:hint="eastAsia" w:ascii="宋体" w:hAnsi="宋体" w:cs="宋体"/>
                <w:color w:val="000000"/>
                <w:sz w:val="24"/>
              </w:rPr>
            </w:pPr>
            <w:r>
              <w:rPr>
                <w:rFonts w:hint="eastAsia" w:ascii="宋体" w:hAnsi="宋体" w:cs="宋体"/>
                <w:color w:val="000000"/>
                <w:sz w:val="24"/>
              </w:rPr>
              <w:t xml:space="preserve">20</w:t>
            </w:r>
            <w:r/>
          </w:p>
        </w:tc>
        <w:tc>
          <w:tcPr>
            <w:tcW w:w="6953" w:type="dxa"/>
            <w:vAlign w:val="center"/>
            <w:textDirection w:val="lrTb"/>
            <w:noWrap w:val="false"/>
          </w:tcPr>
          <w:p>
            <w:pPr>
              <w:pStyle w:val="895"/>
              <w:numPr>
                <w:ilvl w:val="0"/>
                <w:numId w:val="8"/>
              </w:numPr>
              <w:jc w:val="left"/>
              <w:spacing w:line="340" w:lineRule="exact"/>
              <w:rPr>
                <w:rFonts w:hint="eastAsia" w:ascii="宋体" w:hAnsi="宋体" w:cs="宋体"/>
                <w:color w:val="000000"/>
                <w:sz w:val="24"/>
              </w:rPr>
            </w:pPr>
            <w:r>
              <w:rPr>
                <w:rFonts w:hint="eastAsia" w:ascii="宋体" w:hAnsi="宋体" w:cs="宋体"/>
                <w:color w:val="000000"/>
                <w:sz w:val="24"/>
              </w:rPr>
              <w:t xml:space="preserve">进行实验室质量管理检查，发现一项不符合扣3分,如发现多项不符合则进行累计扣分。</w:t>
            </w:r>
            <w:r/>
          </w:p>
          <w:p>
            <w:pPr>
              <w:pStyle w:val="895"/>
              <w:numPr>
                <w:ilvl w:val="0"/>
                <w:numId w:val="8"/>
              </w:numPr>
              <w:jc w:val="left"/>
              <w:spacing w:line="340" w:lineRule="exact"/>
              <w:rPr>
                <w:rFonts w:hint="eastAsia" w:ascii="宋体" w:hAnsi="宋体" w:cs="宋体"/>
                <w:color w:val="000000"/>
                <w:sz w:val="24"/>
              </w:rPr>
            </w:pPr>
            <w:r>
              <w:rPr>
                <w:rFonts w:hint="eastAsia" w:ascii="宋体" w:hAnsi="宋体" w:cs="宋体"/>
                <w:color w:val="000000"/>
                <w:sz w:val="24"/>
              </w:rPr>
              <w:t xml:space="preserve">随机进行质控考核，一次不符合扣5分</w:t>
            </w:r>
            <w:r/>
          </w:p>
          <w:p>
            <w:pPr>
              <w:pStyle w:val="895"/>
              <w:numPr>
                <w:ilvl w:val="0"/>
                <w:numId w:val="8"/>
              </w:numPr>
              <w:jc w:val="left"/>
              <w:spacing w:line="340" w:lineRule="exact"/>
              <w:rPr>
                <w:rFonts w:hint="eastAsia" w:ascii="宋体" w:hAnsi="宋体" w:cs="宋体"/>
                <w:color w:val="000000"/>
                <w:sz w:val="24"/>
              </w:rPr>
            </w:pPr>
            <w:r>
              <w:rPr>
                <w:rFonts w:hint="eastAsia" w:ascii="宋体" w:hAnsi="宋体" w:cs="宋体"/>
                <w:color w:val="000000"/>
                <w:sz w:val="24"/>
              </w:rPr>
              <w:t xml:space="preserve">其它质控，一次不符合扣2分。</w:t>
            </w:r>
            <w:r/>
          </w:p>
        </w:tc>
        <w:tc>
          <w:tcPr>
            <w:tcW w:w="815" w:type="dxa"/>
            <w:vAlign w:val="center"/>
            <w:textDirection w:val="lrTb"/>
            <w:noWrap w:val="false"/>
          </w:tcPr>
          <w:p>
            <w:pPr>
              <w:pStyle w:val="895"/>
              <w:jc w:val="center"/>
              <w:spacing w:line="240" w:lineRule="atLeast"/>
              <w:rPr>
                <w:rFonts w:hint="eastAsia" w:ascii="宋体" w:hAnsi="宋体" w:cs="宋体"/>
                <w:color w:val="000000"/>
                <w:sz w:val="24"/>
              </w:rPr>
            </w:pPr>
            <w:r>
              <w:rPr>
                <w:rFonts w:hint="eastAsia" w:ascii="宋体" w:hAnsi="宋体" w:cs="宋体"/>
                <w:color w:val="000000"/>
                <w:sz w:val="24"/>
              </w:rPr>
            </w:r>
            <w:r/>
          </w:p>
        </w:tc>
        <w:tc>
          <w:tcPr>
            <w:tcW w:w="595" w:type="dxa"/>
            <w:vAlign w:val="center"/>
            <w:textDirection w:val="lrTb"/>
            <w:noWrap w:val="false"/>
          </w:tcPr>
          <w:p>
            <w:pPr>
              <w:pStyle w:val="895"/>
              <w:jc w:val="center"/>
              <w:spacing w:line="240" w:lineRule="atLeast"/>
              <w:rPr>
                <w:rFonts w:hint="eastAsia" w:ascii="宋体" w:hAnsi="宋体" w:cs="宋体"/>
                <w:color w:val="000000"/>
                <w:sz w:val="24"/>
              </w:rPr>
            </w:pPr>
            <w:r>
              <w:rPr>
                <w:rFonts w:hint="eastAsia" w:ascii="宋体" w:hAnsi="宋体" w:cs="宋体"/>
                <w:color w:val="000000"/>
                <w:sz w:val="24"/>
              </w:rPr>
            </w:r>
            <w:r/>
          </w:p>
        </w:tc>
      </w:tr>
      <w:tr>
        <w:trPr>
          <w:trHeight w:val="57"/>
        </w:trPr>
        <w:tc>
          <w:tcPr>
            <w:tcW w:w="798" w:type="dxa"/>
            <w:vAlign w:val="center"/>
            <w:textDirection w:val="lrTb"/>
            <w:noWrap w:val="false"/>
          </w:tcPr>
          <w:p>
            <w:pPr>
              <w:pStyle w:val="895"/>
              <w:jc w:val="center"/>
              <w:spacing w:line="340" w:lineRule="exact"/>
              <w:rPr>
                <w:rFonts w:hint="eastAsia" w:ascii="宋体" w:hAnsi="宋体" w:cs="宋体"/>
                <w:color w:val="000000"/>
                <w:sz w:val="24"/>
              </w:rPr>
            </w:pPr>
            <w:r>
              <w:rPr>
                <w:rFonts w:hint="eastAsia" w:ascii="宋体" w:hAnsi="宋体" w:cs="宋体"/>
                <w:color w:val="000000"/>
                <w:sz w:val="24"/>
              </w:rPr>
              <w:t xml:space="preserve">数据及报告管理</w:t>
            </w:r>
            <w:r/>
          </w:p>
        </w:tc>
        <w:tc>
          <w:tcPr>
            <w:tcW w:w="737" w:type="dxa"/>
            <w:vAlign w:val="center"/>
            <w:textDirection w:val="lrTb"/>
            <w:noWrap w:val="false"/>
          </w:tcPr>
          <w:p>
            <w:pPr>
              <w:pStyle w:val="895"/>
              <w:jc w:val="center"/>
              <w:spacing w:line="340" w:lineRule="exact"/>
              <w:rPr>
                <w:rFonts w:hint="eastAsia" w:ascii="宋体" w:hAnsi="宋体" w:cs="宋体"/>
                <w:color w:val="000000"/>
                <w:sz w:val="24"/>
              </w:rPr>
            </w:pPr>
            <w:r>
              <w:rPr>
                <w:rFonts w:hint="eastAsia" w:ascii="宋体" w:hAnsi="宋体" w:cs="宋体"/>
                <w:color w:val="000000"/>
                <w:sz w:val="24"/>
              </w:rPr>
              <w:t xml:space="preserve">20</w:t>
            </w:r>
            <w:r/>
          </w:p>
        </w:tc>
        <w:tc>
          <w:tcPr>
            <w:tcW w:w="6953" w:type="dxa"/>
            <w:vAlign w:val="center"/>
            <w:textDirection w:val="lrTb"/>
            <w:noWrap w:val="false"/>
          </w:tcPr>
          <w:p>
            <w:pPr>
              <w:pStyle w:val="895"/>
              <w:numPr>
                <w:ilvl w:val="0"/>
                <w:numId w:val="8"/>
              </w:numPr>
              <w:jc w:val="left"/>
              <w:spacing w:line="340" w:lineRule="exact"/>
              <w:rPr>
                <w:rFonts w:hint="eastAsia" w:ascii="宋体" w:hAnsi="宋体" w:cs="宋体"/>
                <w:color w:val="000000"/>
                <w:sz w:val="24"/>
              </w:rPr>
            </w:pPr>
            <w:r>
              <w:rPr>
                <w:rFonts w:hint="eastAsia" w:ascii="宋体" w:hAnsi="宋体" w:cs="宋体"/>
                <w:color w:val="000000"/>
                <w:sz w:val="24"/>
              </w:rPr>
              <w:t xml:space="preserve">监测数据及报告出具时间按照采购方要求制定，每超过规定时间1个工作日扣3分，超时多日则累计扣分。</w:t>
            </w:r>
            <w:r/>
          </w:p>
          <w:p>
            <w:pPr>
              <w:pStyle w:val="895"/>
              <w:numPr>
                <w:ilvl w:val="0"/>
                <w:numId w:val="8"/>
              </w:numPr>
              <w:jc w:val="left"/>
              <w:spacing w:line="340" w:lineRule="exact"/>
              <w:rPr>
                <w:rFonts w:hint="eastAsia" w:ascii="宋体" w:hAnsi="宋体" w:cs="宋体"/>
                <w:color w:val="000000"/>
                <w:sz w:val="24"/>
              </w:rPr>
            </w:pPr>
            <w:r>
              <w:rPr>
                <w:rFonts w:hint="eastAsia" w:ascii="宋体" w:hAnsi="宋体" w:cs="宋体"/>
                <w:color w:val="000000"/>
                <w:sz w:val="24"/>
              </w:rPr>
              <w:t xml:space="preserve">检测数据汇总表、具有计量标识正式检测报告、采样及实验室分析的原始记录、质控复印件等资料，错误一项扣3分。</w:t>
            </w:r>
            <w:r/>
          </w:p>
          <w:p>
            <w:pPr>
              <w:pStyle w:val="895"/>
              <w:numPr>
                <w:ilvl w:val="0"/>
                <w:numId w:val="8"/>
              </w:numPr>
              <w:jc w:val="left"/>
              <w:spacing w:line="340" w:lineRule="exact"/>
              <w:rPr>
                <w:rFonts w:hint="eastAsia" w:ascii="宋体" w:hAnsi="宋体" w:cs="宋体"/>
                <w:color w:val="000000"/>
                <w:sz w:val="24"/>
              </w:rPr>
            </w:pPr>
            <w:r>
              <w:rPr>
                <w:rFonts w:hint="eastAsia" w:ascii="宋体" w:hAnsi="宋体" w:cs="宋体"/>
                <w:color w:val="000000"/>
                <w:sz w:val="24"/>
              </w:rPr>
              <w:t xml:space="preserve">对于每月常规性交办的监测任务，按标书的要求开具分析报告，未按时出具发生1次扣3分，多次未出具累计扣分。</w:t>
            </w:r>
            <w:r/>
          </w:p>
          <w:p>
            <w:pPr>
              <w:pStyle w:val="895"/>
              <w:numPr>
                <w:ilvl w:val="0"/>
                <w:numId w:val="8"/>
              </w:numPr>
              <w:jc w:val="left"/>
              <w:spacing w:line="340" w:lineRule="exact"/>
              <w:rPr>
                <w:rFonts w:hint="eastAsia" w:ascii="宋体" w:hAnsi="宋体" w:cs="宋体"/>
                <w:color w:val="000000"/>
                <w:sz w:val="24"/>
              </w:rPr>
            </w:pPr>
            <w:r>
              <w:rPr>
                <w:rFonts w:hint="eastAsia" w:ascii="宋体" w:hAnsi="宋体" w:cs="宋体"/>
                <w:color w:val="000000"/>
                <w:sz w:val="24"/>
              </w:rPr>
              <w:t xml:space="preserve">数据弄虚作假，查实一次，直接中止合同。</w:t>
            </w:r>
            <w:r/>
          </w:p>
        </w:tc>
        <w:tc>
          <w:tcPr>
            <w:tcW w:w="815" w:type="dxa"/>
            <w:vAlign w:val="center"/>
            <w:textDirection w:val="lrTb"/>
            <w:noWrap w:val="false"/>
          </w:tcPr>
          <w:p>
            <w:pPr>
              <w:pStyle w:val="895"/>
              <w:jc w:val="center"/>
              <w:spacing w:line="240" w:lineRule="atLeast"/>
              <w:rPr>
                <w:rFonts w:hint="eastAsia" w:ascii="宋体" w:hAnsi="宋体" w:cs="宋体"/>
                <w:color w:val="000000"/>
                <w:sz w:val="24"/>
              </w:rPr>
            </w:pPr>
            <w:r>
              <w:rPr>
                <w:rFonts w:hint="eastAsia" w:ascii="宋体" w:hAnsi="宋体" w:cs="宋体"/>
                <w:color w:val="000000"/>
                <w:sz w:val="24"/>
              </w:rPr>
            </w:r>
            <w:r/>
          </w:p>
        </w:tc>
        <w:tc>
          <w:tcPr>
            <w:tcW w:w="595" w:type="dxa"/>
            <w:vAlign w:val="center"/>
            <w:textDirection w:val="lrTb"/>
            <w:noWrap w:val="false"/>
          </w:tcPr>
          <w:p>
            <w:pPr>
              <w:pStyle w:val="895"/>
              <w:jc w:val="center"/>
              <w:spacing w:line="240" w:lineRule="atLeast"/>
              <w:rPr>
                <w:rFonts w:hint="eastAsia" w:ascii="宋体" w:hAnsi="宋体" w:cs="宋体"/>
                <w:color w:val="000000"/>
                <w:sz w:val="24"/>
              </w:rPr>
            </w:pPr>
            <w:r>
              <w:rPr>
                <w:rFonts w:hint="eastAsia" w:ascii="宋体" w:hAnsi="宋体" w:cs="宋体"/>
                <w:color w:val="000000"/>
                <w:sz w:val="24"/>
              </w:rPr>
            </w:r>
            <w:r/>
          </w:p>
        </w:tc>
      </w:tr>
      <w:tr>
        <w:trPr>
          <w:trHeight w:val="57"/>
        </w:trPr>
        <w:tc>
          <w:tcPr>
            <w:tcW w:w="798" w:type="dxa"/>
            <w:vAlign w:val="center"/>
            <w:textDirection w:val="lrTb"/>
            <w:noWrap w:val="false"/>
          </w:tcPr>
          <w:p>
            <w:pPr>
              <w:pStyle w:val="895"/>
              <w:jc w:val="center"/>
              <w:spacing w:line="340" w:lineRule="exact"/>
              <w:rPr>
                <w:rFonts w:hint="eastAsia" w:ascii="宋体" w:hAnsi="宋体" w:cs="宋体"/>
                <w:color w:val="000000"/>
                <w:sz w:val="24"/>
              </w:rPr>
            </w:pPr>
            <w:r>
              <w:rPr>
                <w:rFonts w:hint="eastAsia" w:ascii="宋体" w:hAnsi="宋体" w:cs="宋体"/>
                <w:color w:val="000000"/>
                <w:sz w:val="24"/>
              </w:rPr>
              <w:t xml:space="preserve">日常管理</w:t>
            </w:r>
            <w:r/>
          </w:p>
          <w:p>
            <w:pPr>
              <w:pStyle w:val="895"/>
              <w:jc w:val="center"/>
              <w:spacing w:line="340" w:lineRule="exact"/>
              <w:rPr>
                <w:rFonts w:hint="eastAsia" w:ascii="宋体" w:hAnsi="宋体" w:cs="宋体"/>
                <w:color w:val="000000"/>
                <w:sz w:val="24"/>
              </w:rPr>
            </w:pPr>
            <w:r>
              <w:rPr>
                <w:rFonts w:hint="eastAsia" w:ascii="宋体" w:hAnsi="宋体" w:cs="宋体"/>
                <w:color w:val="000000"/>
                <w:sz w:val="24"/>
              </w:rPr>
              <w:t xml:space="preserve">评价</w:t>
            </w:r>
            <w:r/>
          </w:p>
        </w:tc>
        <w:tc>
          <w:tcPr>
            <w:tcW w:w="737" w:type="dxa"/>
            <w:vAlign w:val="center"/>
            <w:textDirection w:val="lrTb"/>
            <w:noWrap w:val="false"/>
          </w:tcPr>
          <w:p>
            <w:pPr>
              <w:pStyle w:val="895"/>
              <w:jc w:val="center"/>
              <w:spacing w:line="340" w:lineRule="exact"/>
              <w:rPr>
                <w:rFonts w:hint="eastAsia" w:ascii="宋体" w:hAnsi="宋体" w:cs="宋体"/>
                <w:color w:val="000000"/>
                <w:sz w:val="24"/>
              </w:rPr>
            </w:pPr>
            <w:r>
              <w:rPr>
                <w:rFonts w:hint="eastAsia" w:ascii="宋体" w:hAnsi="宋体" w:cs="宋体"/>
                <w:color w:val="000000"/>
                <w:sz w:val="24"/>
              </w:rPr>
              <w:t xml:space="preserve">20</w:t>
            </w:r>
            <w:r/>
          </w:p>
        </w:tc>
        <w:tc>
          <w:tcPr>
            <w:tcW w:w="6953" w:type="dxa"/>
            <w:vAlign w:val="center"/>
            <w:textDirection w:val="lrTb"/>
            <w:noWrap w:val="false"/>
          </w:tcPr>
          <w:p>
            <w:pPr>
              <w:pStyle w:val="895"/>
              <w:numPr>
                <w:ilvl w:val="0"/>
                <w:numId w:val="8"/>
              </w:numPr>
              <w:jc w:val="left"/>
              <w:spacing w:line="340" w:lineRule="exact"/>
              <w:rPr>
                <w:rFonts w:hint="eastAsia" w:ascii="宋体" w:hAnsi="宋体" w:cs="宋体"/>
                <w:color w:val="000000"/>
                <w:sz w:val="24"/>
              </w:rPr>
            </w:pPr>
            <w:r>
              <w:rPr>
                <w:rFonts w:hint="eastAsia" w:ascii="宋体" w:hAnsi="宋体" w:cs="宋体"/>
                <w:color w:val="000000"/>
                <w:sz w:val="24"/>
              </w:rPr>
              <w:t xml:space="preserve">监测人员不符合要求，发现1次，扣5分。</w:t>
            </w:r>
            <w:r/>
          </w:p>
          <w:p>
            <w:pPr>
              <w:pStyle w:val="895"/>
              <w:numPr>
                <w:ilvl w:val="0"/>
                <w:numId w:val="8"/>
              </w:numPr>
              <w:jc w:val="left"/>
              <w:spacing w:line="340" w:lineRule="exact"/>
              <w:rPr>
                <w:rFonts w:hint="eastAsia" w:ascii="宋体" w:hAnsi="宋体" w:cs="宋体"/>
                <w:color w:val="000000"/>
                <w:sz w:val="24"/>
              </w:rPr>
            </w:pPr>
            <w:r>
              <w:rPr>
                <w:rFonts w:hint="eastAsia" w:ascii="宋体" w:hAnsi="宋体" w:cs="宋体"/>
                <w:color w:val="000000"/>
                <w:sz w:val="24"/>
              </w:rPr>
              <w:t xml:space="preserve">仪器设备不按要求管理和使用，发现一次，扣2分。</w:t>
            </w:r>
            <w:r/>
          </w:p>
          <w:p>
            <w:pPr>
              <w:pStyle w:val="895"/>
              <w:numPr>
                <w:ilvl w:val="0"/>
                <w:numId w:val="8"/>
              </w:numPr>
              <w:jc w:val="left"/>
              <w:spacing w:line="340" w:lineRule="exact"/>
              <w:rPr>
                <w:rFonts w:hint="eastAsia" w:ascii="宋体" w:hAnsi="宋体" w:cs="宋体"/>
                <w:color w:val="000000"/>
                <w:sz w:val="24"/>
              </w:rPr>
            </w:pPr>
            <w:r>
              <w:rPr>
                <w:rFonts w:hint="eastAsia" w:ascii="宋体" w:hAnsi="宋体" w:cs="宋体"/>
                <w:color w:val="000000"/>
                <w:sz w:val="24"/>
              </w:rPr>
              <w:t xml:space="preserve">项目负责人日常考核，工作响应方面不主动，配合不佳等情况，工作期间从事与委托业务无关工作等，认定一次扣5分。</w:t>
            </w:r>
            <w:r/>
          </w:p>
        </w:tc>
        <w:tc>
          <w:tcPr>
            <w:tcW w:w="815" w:type="dxa"/>
            <w:vAlign w:val="center"/>
            <w:textDirection w:val="lrTb"/>
            <w:noWrap w:val="false"/>
          </w:tcPr>
          <w:p>
            <w:pPr>
              <w:pStyle w:val="895"/>
              <w:jc w:val="center"/>
              <w:spacing w:line="240" w:lineRule="atLeast"/>
              <w:rPr>
                <w:rFonts w:hint="eastAsia" w:ascii="宋体" w:hAnsi="宋体" w:cs="宋体"/>
                <w:color w:val="000000"/>
                <w:sz w:val="24"/>
              </w:rPr>
            </w:pPr>
            <w:r>
              <w:rPr>
                <w:rFonts w:hint="eastAsia" w:ascii="宋体" w:hAnsi="宋体" w:cs="宋体"/>
                <w:color w:val="000000"/>
                <w:sz w:val="24"/>
              </w:rPr>
            </w:r>
            <w:r/>
          </w:p>
        </w:tc>
        <w:tc>
          <w:tcPr>
            <w:tcW w:w="595" w:type="dxa"/>
            <w:vAlign w:val="center"/>
            <w:textDirection w:val="lrTb"/>
            <w:noWrap w:val="false"/>
          </w:tcPr>
          <w:p>
            <w:pPr>
              <w:pStyle w:val="895"/>
              <w:jc w:val="center"/>
              <w:spacing w:line="240" w:lineRule="atLeast"/>
              <w:rPr>
                <w:rFonts w:hint="eastAsia" w:ascii="宋体" w:hAnsi="宋体" w:cs="宋体"/>
                <w:color w:val="000000"/>
                <w:sz w:val="24"/>
              </w:rPr>
            </w:pPr>
            <w:r>
              <w:rPr>
                <w:rFonts w:hint="eastAsia" w:ascii="宋体" w:hAnsi="宋体" w:cs="宋体"/>
                <w:color w:val="000000"/>
                <w:sz w:val="24"/>
              </w:rPr>
            </w:r>
            <w:r/>
          </w:p>
        </w:tc>
      </w:tr>
      <w:tr>
        <w:trPr>
          <w:trHeight w:val="57"/>
        </w:trPr>
        <w:tc>
          <w:tcPr>
            <w:tcW w:w="798" w:type="dxa"/>
            <w:vAlign w:val="center"/>
            <w:textDirection w:val="lrTb"/>
            <w:noWrap w:val="false"/>
          </w:tcPr>
          <w:p>
            <w:pPr>
              <w:pStyle w:val="895"/>
              <w:jc w:val="center"/>
              <w:spacing w:line="340" w:lineRule="exact"/>
              <w:rPr>
                <w:rFonts w:hint="eastAsia" w:ascii="宋体" w:hAnsi="宋体" w:cs="宋体"/>
                <w:color w:val="000000"/>
                <w:sz w:val="24"/>
              </w:rPr>
            </w:pPr>
            <w:r>
              <w:rPr>
                <w:rFonts w:hint="eastAsia" w:ascii="宋体" w:hAnsi="宋体" w:cs="宋体"/>
                <w:color w:val="000000"/>
                <w:sz w:val="24"/>
              </w:rPr>
              <w:t xml:space="preserve">其它情况</w:t>
            </w:r>
            <w:r/>
          </w:p>
        </w:tc>
        <w:tc>
          <w:tcPr>
            <w:tcW w:w="737" w:type="dxa"/>
            <w:vAlign w:val="center"/>
            <w:textDirection w:val="lrTb"/>
            <w:noWrap w:val="false"/>
          </w:tcPr>
          <w:p>
            <w:pPr>
              <w:pStyle w:val="895"/>
              <w:jc w:val="center"/>
              <w:spacing w:line="340" w:lineRule="exact"/>
              <w:rPr>
                <w:rFonts w:hint="eastAsia" w:ascii="宋体" w:hAnsi="宋体" w:cs="宋体"/>
                <w:color w:val="000000"/>
                <w:sz w:val="24"/>
              </w:rPr>
            </w:pPr>
            <w:r>
              <w:rPr>
                <w:rFonts w:hint="eastAsia" w:ascii="宋体" w:hAnsi="宋体" w:cs="宋体"/>
                <w:color w:val="000000"/>
                <w:sz w:val="24"/>
              </w:rPr>
              <w:t xml:space="preserve">20</w:t>
            </w:r>
            <w:r/>
          </w:p>
        </w:tc>
        <w:tc>
          <w:tcPr>
            <w:tcW w:w="6953" w:type="dxa"/>
            <w:vAlign w:val="center"/>
            <w:textDirection w:val="lrTb"/>
            <w:noWrap w:val="false"/>
          </w:tcPr>
          <w:p>
            <w:pPr>
              <w:pStyle w:val="895"/>
              <w:numPr>
                <w:ilvl w:val="0"/>
                <w:numId w:val="8"/>
              </w:numPr>
              <w:jc w:val="left"/>
              <w:spacing w:line="240" w:lineRule="atLeast"/>
              <w:rPr>
                <w:rFonts w:hint="eastAsia" w:ascii="宋体" w:hAnsi="宋体" w:cs="宋体"/>
                <w:color w:val="000000"/>
                <w:sz w:val="24"/>
              </w:rPr>
            </w:pPr>
            <w:r>
              <w:rPr>
                <w:rFonts w:hint="eastAsia" w:ascii="宋体" w:hAnsi="宋体" w:cs="宋体"/>
                <w:color w:val="000000"/>
                <w:sz w:val="24"/>
              </w:rPr>
              <w:t xml:space="preserve">企业投诉服务质量，查实一次，扣10分；情节恶劣停止业务1个月。</w:t>
            </w:r>
            <w:r/>
          </w:p>
          <w:p>
            <w:pPr>
              <w:pStyle w:val="895"/>
              <w:numPr>
                <w:ilvl w:val="0"/>
                <w:numId w:val="8"/>
              </w:numPr>
              <w:jc w:val="left"/>
              <w:spacing w:line="240" w:lineRule="atLeast"/>
              <w:rPr>
                <w:rFonts w:hint="eastAsia" w:ascii="宋体" w:hAnsi="宋体" w:cs="宋体"/>
                <w:color w:val="000000"/>
                <w:sz w:val="24"/>
              </w:rPr>
            </w:pPr>
            <w:r>
              <w:rPr>
                <w:rFonts w:hint="eastAsia" w:ascii="宋体" w:hAnsi="宋体" w:cs="宋体"/>
                <w:color w:val="000000"/>
                <w:sz w:val="24"/>
              </w:rPr>
              <w:t xml:space="preserve">不经采购人同意擅自提供数据给其他单位或个人，发现一次，扣10分。</w:t>
            </w:r>
            <w:r/>
          </w:p>
          <w:p>
            <w:pPr>
              <w:pStyle w:val="895"/>
              <w:numPr>
                <w:ilvl w:val="0"/>
                <w:numId w:val="8"/>
              </w:numPr>
              <w:jc w:val="left"/>
              <w:spacing w:line="240" w:lineRule="atLeast"/>
              <w:rPr>
                <w:rFonts w:hint="eastAsia" w:ascii="宋体" w:hAnsi="宋体" w:cs="宋体"/>
                <w:color w:val="000000"/>
                <w:sz w:val="24"/>
              </w:rPr>
            </w:pPr>
            <w:r>
              <w:rPr>
                <w:rFonts w:hint="eastAsia" w:ascii="宋体" w:hAnsi="宋体" w:cs="宋体"/>
                <w:color w:val="000000"/>
                <w:sz w:val="24"/>
              </w:rPr>
              <w:t xml:space="preserve">预警监测未按要求（数据报送时间、人员、车辆、仪器等）到位的，发现一次，扣10分。</w:t>
            </w:r>
            <w:r/>
          </w:p>
          <w:p>
            <w:pPr>
              <w:pStyle w:val="895"/>
              <w:numPr>
                <w:ilvl w:val="0"/>
                <w:numId w:val="9"/>
              </w:numPr>
              <w:jc w:val="left"/>
              <w:spacing w:line="240" w:lineRule="atLeast"/>
              <w:rPr>
                <w:rFonts w:hint="eastAsia" w:ascii="宋体" w:hAnsi="宋体" w:cs="宋体"/>
                <w:color w:val="000000"/>
                <w:sz w:val="24"/>
              </w:rPr>
            </w:pPr>
            <w:r>
              <w:rPr>
                <w:rFonts w:hint="eastAsia" w:ascii="宋体" w:hAnsi="宋体" w:cs="宋体"/>
                <w:color w:val="000000"/>
                <w:sz w:val="24"/>
              </w:rPr>
              <w:t xml:space="preserve">合同期内进行监督监测时同时承担该企业自行监测的，发现一次扣10分。</w:t>
            </w:r>
            <w:r/>
          </w:p>
          <w:p>
            <w:pPr>
              <w:pStyle w:val="895"/>
              <w:numPr>
                <w:ilvl w:val="0"/>
                <w:numId w:val="8"/>
              </w:numPr>
              <w:jc w:val="left"/>
              <w:spacing w:line="240" w:lineRule="atLeast"/>
              <w:rPr>
                <w:rFonts w:hint="eastAsia" w:ascii="宋体" w:hAnsi="宋体" w:cs="宋体"/>
                <w:color w:val="000000"/>
                <w:sz w:val="24"/>
              </w:rPr>
            </w:pPr>
            <w:r>
              <w:rPr>
                <w:rFonts w:hint="eastAsia" w:ascii="宋体" w:hAnsi="宋体" w:cs="宋体"/>
                <w:color w:val="000000"/>
                <w:sz w:val="24"/>
              </w:rPr>
              <w:t xml:space="preserve">应急监测、监督性监测未按要求（响应时间、数据报送时间、人员、车辆、采样设备、仪器等）到位的，发现一次，扣10分。</w:t>
            </w:r>
            <w:r/>
          </w:p>
          <w:p>
            <w:pPr>
              <w:pStyle w:val="895"/>
              <w:numPr>
                <w:ilvl w:val="0"/>
                <w:numId w:val="8"/>
              </w:numPr>
              <w:jc w:val="left"/>
              <w:spacing w:line="240" w:lineRule="atLeast"/>
              <w:rPr>
                <w:rFonts w:hint="eastAsia" w:ascii="宋体" w:hAnsi="宋体" w:cs="宋体"/>
                <w:color w:val="000000"/>
                <w:sz w:val="24"/>
              </w:rPr>
            </w:pPr>
            <w:r>
              <w:rPr>
                <w:rFonts w:hint="eastAsia" w:ascii="宋体" w:hAnsi="宋体" w:cs="宋体"/>
                <w:color w:val="000000"/>
                <w:sz w:val="24"/>
              </w:rPr>
              <w:t xml:space="preserve">其它不符合采购人管理要求，发现一次，扣5～10分，情节恶劣停止业务1个月。</w:t>
            </w:r>
            <w:r/>
          </w:p>
        </w:tc>
        <w:tc>
          <w:tcPr>
            <w:tcW w:w="815" w:type="dxa"/>
            <w:vAlign w:val="center"/>
            <w:textDirection w:val="lrTb"/>
            <w:noWrap w:val="false"/>
          </w:tcPr>
          <w:p>
            <w:pPr>
              <w:pStyle w:val="895"/>
              <w:jc w:val="center"/>
              <w:spacing w:line="240" w:lineRule="atLeast"/>
              <w:rPr>
                <w:rFonts w:hint="eastAsia" w:ascii="宋体" w:hAnsi="宋体" w:cs="宋体"/>
                <w:color w:val="000000"/>
                <w:sz w:val="24"/>
              </w:rPr>
            </w:pPr>
            <w:r>
              <w:rPr>
                <w:rFonts w:hint="eastAsia" w:ascii="宋体" w:hAnsi="宋体" w:cs="宋体"/>
                <w:color w:val="000000"/>
                <w:sz w:val="24"/>
              </w:rPr>
            </w:r>
            <w:r/>
          </w:p>
        </w:tc>
        <w:tc>
          <w:tcPr>
            <w:tcW w:w="595" w:type="dxa"/>
            <w:vAlign w:val="center"/>
            <w:textDirection w:val="lrTb"/>
            <w:noWrap w:val="false"/>
          </w:tcPr>
          <w:p>
            <w:pPr>
              <w:pStyle w:val="895"/>
              <w:jc w:val="center"/>
              <w:spacing w:line="240" w:lineRule="atLeast"/>
              <w:rPr>
                <w:rFonts w:hint="eastAsia" w:ascii="宋体" w:hAnsi="宋体" w:cs="宋体"/>
                <w:color w:val="000000"/>
                <w:sz w:val="24"/>
              </w:rPr>
            </w:pPr>
            <w:r>
              <w:rPr>
                <w:rFonts w:hint="eastAsia" w:ascii="宋体" w:hAnsi="宋体" w:cs="宋体"/>
                <w:color w:val="000000"/>
                <w:sz w:val="24"/>
              </w:rPr>
            </w:r>
            <w:r/>
          </w:p>
        </w:tc>
      </w:tr>
      <w:tr>
        <w:trPr>
          <w:trHeight w:val="635"/>
        </w:trPr>
        <w:tc>
          <w:tcPr>
            <w:gridSpan w:val="5"/>
            <w:tcW w:w="9898" w:type="dxa"/>
            <w:vAlign w:val="center"/>
            <w:textDirection w:val="lrTb"/>
            <w:noWrap w:val="false"/>
          </w:tcPr>
          <w:p>
            <w:pPr>
              <w:pStyle w:val="895"/>
              <w:spacing w:line="240" w:lineRule="atLeast"/>
              <w:rPr>
                <w:rFonts w:hint="eastAsia" w:ascii="宋体" w:hAnsi="宋体" w:cs="宋体"/>
                <w:color w:val="000000"/>
                <w:sz w:val="24"/>
              </w:rPr>
            </w:pPr>
            <w:r>
              <w:rPr>
                <w:rFonts w:hint="eastAsia" w:ascii="宋体" w:hAnsi="宋体" w:cs="宋体"/>
                <w:color w:val="000000"/>
                <w:sz w:val="24"/>
              </w:rPr>
              <w:t xml:space="preserve">备注：苏州相城区社会环境检测机构业务季度考核表总分低于80分暂停业务1个季度。</w:t>
            </w:r>
            <w:r/>
          </w:p>
        </w:tc>
      </w:tr>
    </w:tbl>
    <w:p>
      <w:pPr>
        <w:pStyle w:val="895"/>
        <w:spacing w:line="530" w:lineRule="exact"/>
        <w:rPr>
          <w:rFonts w:hint="eastAsia" w:cs="宋体"/>
          <w:color w:val="000000"/>
          <w:sz w:val="22"/>
          <w:szCs w:val="22"/>
        </w:rPr>
      </w:pPr>
      <w:r>
        <w:rPr>
          <w:rFonts w:hint="eastAsia" w:cs="宋体"/>
          <w:color w:val="000000"/>
          <w:sz w:val="22"/>
          <w:szCs w:val="22"/>
        </w:rPr>
        <w:t xml:space="preserve">考核组：                       审核人：                            签发人：</w:t>
      </w:r>
      <w:r/>
    </w:p>
    <w:p>
      <w:pPr>
        <w:pStyle w:val="895"/>
        <w:spacing w:line="530" w:lineRule="exact"/>
        <w:rPr>
          <w:rFonts w:hint="eastAsia" w:cs="宋体"/>
          <w:color w:val="000000"/>
          <w:sz w:val="22"/>
          <w:szCs w:val="22"/>
        </w:rPr>
      </w:pPr>
      <w:r>
        <w:rPr>
          <w:rFonts w:hint="eastAsia" w:cs="宋体"/>
          <w:color w:val="000000"/>
          <w:sz w:val="22"/>
          <w:szCs w:val="22"/>
        </w:rPr>
        <w:t xml:space="preserve">日  期：                       日  期：                            日  期：</w:t>
      </w:r>
      <w:r/>
    </w:p>
    <w:p>
      <w:pPr>
        <w:pStyle w:val="895"/>
        <w:spacing w:line="288" w:lineRule="auto"/>
        <w:tabs>
          <w:tab w:val="left" w:pos="0" w:leader="none"/>
        </w:tabs>
        <w:rPr>
          <w:rFonts w:ascii="宋体" w:hAnsi="宋体"/>
        </w:rPr>
      </w:pPr>
      <w:r>
        <w:rPr>
          <w:rFonts w:ascii="宋体" w:hAnsi="宋体"/>
        </w:rPr>
      </w:r>
      <w:r/>
    </w:p>
    <w:p>
      <w:pPr>
        <w:pStyle w:val="896"/>
        <w:rPr>
          <w:rFonts w:hint="eastAsia" w:ascii="宋体" w:hAnsi="宋体" w:eastAsia="宋体" w:cs="宋体"/>
          <w:sz w:val="32"/>
          <w:szCs w:val="32"/>
        </w:rPr>
      </w:pPr>
      <w:r>
        <w:rPr>
          <w:rFonts w:hint="eastAsia" w:ascii="宋体" w:hAnsi="宋体" w:eastAsia="宋体" w:cs="宋体"/>
          <w:sz w:val="32"/>
          <w:szCs w:val="32"/>
        </w:rPr>
      </w:r>
      <w:r/>
    </w:p>
    <w:p>
      <w:pPr>
        <w:pStyle w:val="896"/>
        <w:contextualSpacing/>
        <w:jc w:val="center"/>
        <w:spacing w:before="0" w:after="0" w:line="360" w:lineRule="auto"/>
        <w:rPr>
          <w:rFonts w:hint="eastAsia" w:ascii="宋体" w:hAnsi="宋体" w:eastAsia="宋体" w:cs="宋体"/>
          <w:sz w:val="32"/>
          <w:szCs w:val="32"/>
        </w:rPr>
      </w:pPr>
      <w:r>
        <w:rPr>
          <w:rFonts w:hint="eastAsia" w:ascii="宋体" w:hAnsi="宋体" w:eastAsia="宋体" w:cs="宋体"/>
          <w:sz w:val="32"/>
          <w:szCs w:val="32"/>
        </w:rPr>
        <w:br w:type="page" w:clear="all"/>
      </w:r>
      <w:r>
        <w:rPr>
          <w:rFonts w:hint="eastAsia" w:ascii="宋体" w:hAnsi="宋体" w:eastAsia="宋体" w:cs="宋体"/>
          <w:sz w:val="32"/>
          <w:szCs w:val="32"/>
        </w:rPr>
        <w:t xml:space="preserve">第六章 评标方法、评分标准</w:t>
      </w:r>
      <w:r/>
    </w:p>
    <w:p>
      <w:pPr>
        <w:pStyle w:val="895"/>
        <w:jc w:val="center"/>
        <w:rPr>
          <w:rFonts w:hint="eastAsia" w:ascii="宋体" w:hAnsi="宋体"/>
          <w:b/>
          <w:sz w:val="24"/>
        </w:rPr>
      </w:pPr>
      <w:r>
        <w:rPr>
          <w:rFonts w:hint="eastAsia" w:ascii="宋体" w:hAnsi="宋体"/>
          <w:b/>
          <w:sz w:val="24"/>
        </w:rPr>
        <w:t xml:space="preserve">（1-4标段）</w:t>
      </w:r>
      <w:r/>
    </w:p>
    <w:p>
      <w:pPr>
        <w:pStyle w:val="895"/>
        <w:contextualSpacing/>
        <w:ind w:left="480"/>
        <w:spacing w:line="360" w:lineRule="auto"/>
        <w:rPr>
          <w:rFonts w:hint="eastAsia" w:ascii="宋体" w:hAnsi="宋体"/>
          <w:sz w:val="24"/>
        </w:rPr>
      </w:pPr>
      <w:r>
        <w:rPr>
          <w:rFonts w:hint="eastAsia" w:ascii="宋体" w:hAnsi="宋体"/>
          <w:sz w:val="24"/>
        </w:rPr>
        <w:t xml:space="preserve">一、评标方法：</w:t>
      </w:r>
      <w:r/>
    </w:p>
    <w:p>
      <w:pPr>
        <w:pStyle w:val="920"/>
        <w:rPr>
          <w:rFonts w:hint="eastAsia"/>
        </w:rPr>
      </w:pPr>
      <w:r>
        <w:rPr>
          <w:rFonts w:hint="eastAsia"/>
        </w:rPr>
        <w:t xml:space="preserve">1.本次招标评标方法为综合评分法。即在满足招标文件全部实质性要求前提下，按照招标文件中规定的各项因素进行综合评审后，以评标总得分最高的投标人作为中标候选人或者中标人的评标方法。</w:t>
      </w:r>
      <w:r/>
    </w:p>
    <w:p>
      <w:pPr>
        <w:pStyle w:val="895"/>
        <w:ind w:firstLine="482"/>
        <w:spacing w:line="360" w:lineRule="auto"/>
      </w:pPr>
      <w:r>
        <w:rPr>
          <w:rFonts w:ascii="宋体;SimSun" w:hAnsi="宋体;SimSun" w:cs="宋体;SimSun"/>
          <w:sz w:val="24"/>
        </w:rPr>
        <w:t xml:space="preserve">综合评分的主要因素为：价格、技术、服务水平、履约能力、售后服务等对招标文件的响应程度，以及相应的比重或者数值等。</w:t>
      </w:r>
      <w:r/>
    </w:p>
    <w:p>
      <w:pPr>
        <w:pStyle w:val="895"/>
        <w:spacing w:line="360" w:lineRule="auto"/>
        <w:rPr>
          <w:rFonts w:hint="eastAsia" w:ascii="宋体" w:hAnsi="宋体"/>
          <w:sz w:val="24"/>
        </w:rPr>
      </w:pPr>
      <w:r>
        <w:rPr>
          <w:rFonts w:hint="eastAsia"/>
          <w:sz w:val="24"/>
        </w:rPr>
        <w:t xml:space="preserve">    本项目按标段正序顺序评审。每个投标单位只能中标一个标段。如已中标某一标段，将不再具有其他标段的得标权，不能再作为有效</w:t>
      </w:r>
      <w:r>
        <w:rPr>
          <w:rFonts w:ascii="宋体" w:hAnsi="宋体"/>
          <w:sz w:val="24"/>
        </w:rPr>
        <w:t xml:space="preserve">的</w:t>
      </w:r>
      <w:r>
        <w:rPr>
          <w:rFonts w:hint="eastAsia" w:ascii="宋体" w:hAnsi="宋体"/>
          <w:sz w:val="24"/>
        </w:rPr>
        <w:t xml:space="preserve">供应商</w:t>
      </w:r>
      <w:r>
        <w:rPr>
          <w:rFonts w:hint="eastAsia"/>
          <w:sz w:val="24"/>
        </w:rPr>
        <w:t xml:space="preserve">参加其他标段的评审，避免重复中标。如因有效投标</w:t>
      </w:r>
      <w:r>
        <w:rPr>
          <w:rFonts w:hint="eastAsia" w:ascii="宋体" w:hAnsi="宋体"/>
          <w:sz w:val="24"/>
        </w:rPr>
        <w:t xml:space="preserve">供应商</w:t>
      </w:r>
      <w:r>
        <w:rPr>
          <w:rFonts w:hint="eastAsia"/>
          <w:sz w:val="24"/>
        </w:rPr>
        <w:t xml:space="preserve">不足三家等情况出现废标，而导致重新招标的，已中标单位也不再具有本重招项目的得标权，不能再作为有效</w:t>
      </w:r>
      <w:r>
        <w:rPr>
          <w:rFonts w:ascii="宋体" w:hAnsi="宋体"/>
          <w:sz w:val="24"/>
        </w:rPr>
        <w:t xml:space="preserve">的</w:t>
      </w:r>
      <w:r>
        <w:rPr>
          <w:rFonts w:hint="eastAsia" w:ascii="宋体" w:hAnsi="宋体"/>
          <w:sz w:val="24"/>
        </w:rPr>
        <w:t xml:space="preserve">供应商参加评审</w:t>
      </w:r>
      <w:r>
        <w:rPr>
          <w:rFonts w:hint="eastAsia"/>
          <w:sz w:val="24"/>
        </w:rPr>
        <w:t xml:space="preserve">。如已中标单位因质疑投诉或其他等原因被取消中标资格或不能签订合同而影响其他标段中标的，风险自行承担。</w:t>
      </w:r>
      <w:r>
        <w:rPr>
          <w:rFonts w:hint="eastAsia" w:ascii="宋体" w:hAnsi="宋体"/>
          <w:sz w:val="24"/>
        </w:rPr>
      </w:r>
      <w:r/>
    </w:p>
    <w:p>
      <w:pPr>
        <w:pStyle w:val="895"/>
        <w:ind w:firstLine="480"/>
        <w:spacing w:line="360" w:lineRule="auto"/>
        <w:rPr>
          <w:rFonts w:ascii="宋体" w:hAnsi="宋体" w:cs="宋体"/>
          <w:sz w:val="24"/>
          <w:lang w:val="zh-CN"/>
        </w:rPr>
      </w:pPr>
      <w:r>
        <w:rPr>
          <w:rFonts w:hint="eastAsia" w:ascii="宋体" w:hAnsi="宋体"/>
          <w:sz w:val="24"/>
        </w:rPr>
        <w:t xml:space="preserve">评标时，评标委员按标段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以实际投标报价较低者优先作为中标人；如果实际报价也相同，则小微企业优先作为中标人，否则以抽签方式决定中标人。</w:t>
        <w:br w:type="textWrapping" w:clear="all"/>
      </w:r>
      <w:r>
        <w:rPr>
          <w:rFonts w:hint="eastAsia" w:ascii="宋体" w:hAnsi="宋体" w:cs="宋体"/>
          <w:sz w:val="24"/>
        </w:rPr>
        <w:t xml:space="preserve">   2.</w:t>
      </w:r>
      <w:r>
        <w:rPr>
          <w:rFonts w:hint="eastAsia" w:ascii="宋体" w:hAnsi="宋体"/>
          <w:b/>
          <w:sz w:val="24"/>
        </w:rPr>
        <w:t xml:space="preserve">采购政策：</w:t>
      </w:r>
      <w:r>
        <w:rPr>
          <w:rFonts w:hint="eastAsia" w:ascii="宋体" w:hAnsi="宋体" w:cs="宋体"/>
          <w:sz w:val="24"/>
          <w:lang w:val="zh-CN"/>
        </w:rPr>
        <w:t xml:space="preserve">本项目为</w:t>
      </w:r>
      <w:r>
        <w:rPr>
          <w:rFonts w:hint="eastAsia" w:ascii="宋体" w:hAnsi="宋体" w:cs="宋体"/>
          <w:sz w:val="24"/>
        </w:rPr>
        <w:t xml:space="preserve">非</w:t>
      </w:r>
      <w:r>
        <w:rPr>
          <w:rFonts w:hint="eastAsia" w:ascii="宋体" w:hAnsi="宋体" w:cs="宋体"/>
          <w:sz w:val="24"/>
          <w:lang w:val="zh-CN"/>
        </w:rPr>
        <w:t xml:space="preserve">专门面向中小企业采购，执行小微企业价格评审优惠的扶持政策。</w:t>
      </w:r>
      <w:r>
        <w:rPr>
          <w:rFonts w:ascii="宋体" w:hAnsi="宋体" w:cs="宋体"/>
          <w:sz w:val="24"/>
          <w:lang w:val="zh-CN"/>
        </w:rPr>
      </w:r>
      <w:r/>
    </w:p>
    <w:p>
      <w:pPr>
        <w:pStyle w:val="895"/>
        <w:ind w:firstLine="482"/>
        <w:spacing w:line="360" w:lineRule="auto"/>
        <w:rPr>
          <w:rFonts w:hint="eastAsia" w:ascii="宋体" w:hAnsi="宋体" w:cs="宋体"/>
          <w:sz w:val="24"/>
          <w:lang w:val="zh-CN"/>
        </w:rPr>
      </w:pPr>
      <w:r>
        <w:rPr>
          <w:rFonts w:hint="eastAsia" w:ascii="宋体" w:hAnsi="宋体" w:cs="宋体"/>
          <w:b/>
          <w:sz w:val="24"/>
        </w:rPr>
        <w:t xml:space="preserve">3.投标</w:t>
      </w:r>
      <w:r>
        <w:rPr>
          <w:rFonts w:hint="eastAsia" w:ascii="宋体" w:hAnsi="宋体" w:cs="宋体"/>
          <w:sz w:val="24"/>
          <w:lang w:val="zh-CN"/>
        </w:rPr>
        <w:t xml:space="preserve">报价出现异常低价情形的，评审委员会启动异常低价投标（响应）审查程序，具体启动标准和程序详见“第二章 </w:t>
      </w:r>
      <w:r>
        <w:rPr>
          <w:rFonts w:hint="eastAsia" w:ascii="宋体" w:hAnsi="宋体" w:cs="宋体"/>
          <w:sz w:val="24"/>
        </w:rPr>
        <w:t xml:space="preserve">投标人</w:t>
      </w:r>
      <w:r>
        <w:rPr>
          <w:rFonts w:hint="eastAsia" w:ascii="宋体" w:hAnsi="宋体" w:cs="宋体"/>
          <w:sz w:val="24"/>
          <w:lang w:val="zh-CN"/>
        </w:rPr>
        <w:t xml:space="preserve">须知”</w:t>
      </w:r>
      <w:r>
        <w:rPr>
          <w:rFonts w:hint="eastAsia" w:ascii="宋体" w:hAnsi="宋体" w:cs="宋体"/>
          <w:sz w:val="24"/>
        </w:rPr>
        <w:t xml:space="preserve">25</w:t>
      </w: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条。</w:t>
      </w:r>
      <w:r/>
    </w:p>
    <w:p>
      <w:pPr>
        <w:pStyle w:val="895"/>
        <w:ind w:left="482"/>
        <w:spacing w:line="360" w:lineRule="auto"/>
        <w:rPr>
          <w:rFonts w:ascii="宋体" w:hAnsi="宋体" w:cs="宋体"/>
          <w:b/>
          <w:sz w:val="24"/>
        </w:rPr>
        <w:outlineLvl w:val="1"/>
      </w:pPr>
      <w:r>
        <w:rPr>
          <w:rFonts w:hint="eastAsia" w:ascii="宋体" w:hAnsi="宋体" w:cs="宋体"/>
          <w:b/>
          <w:sz w:val="24"/>
        </w:rPr>
        <w:t xml:space="preserve">二、评分标准：</w:t>
      </w:r>
      <w:r>
        <w:rPr>
          <w:rFonts w:ascii="宋体" w:hAnsi="宋体" w:cs="宋体"/>
          <w:b/>
          <w:sz w:val="24"/>
        </w:rPr>
      </w:r>
      <w:r/>
    </w:p>
    <w:p>
      <w:pPr>
        <w:pStyle w:val="895"/>
        <w:ind w:firstLine="480"/>
        <w:spacing w:line="360" w:lineRule="auto"/>
        <w:rPr>
          <w:rFonts w:hint="eastAsia" w:ascii="宋体" w:hAnsi="宋体"/>
          <w:sz w:val="24"/>
        </w:rPr>
      </w:pPr>
      <w:r>
        <w:rPr>
          <w:rFonts w:hint="eastAsia" w:ascii="宋体" w:hAnsi="宋体"/>
          <w:sz w:val="24"/>
        </w:rPr>
        <w:t xml:space="preserve">本次招标的评标方法采用综合评标方法，并以评分方法进行评估，总基准分为100分，评审因素及各比重如下：价格分值占总分值的比重为10%（权重），即：10分，设备配置及技术质量、综合评价90分。</w:t>
      </w:r>
      <w:r/>
    </w:p>
    <w:p>
      <w:pPr>
        <w:pStyle w:val="895"/>
        <w:numPr>
          <w:ilvl w:val="0"/>
          <w:numId w:val="10"/>
        </w:numPr>
        <w:spacing w:line="360" w:lineRule="auto"/>
        <w:rPr>
          <w:rFonts w:hint="eastAsia" w:ascii="宋体" w:hAnsi="宋体"/>
          <w:b/>
          <w:sz w:val="24"/>
        </w:rPr>
      </w:pPr>
      <w:r/>
      <w:bookmarkStart w:id="149" w:name="OLE_LINK151"/>
      <w:r/>
      <w:bookmarkStart w:id="150" w:name="OLE_LINK152"/>
      <w:r>
        <w:rPr>
          <w:rFonts w:hint="eastAsia" w:ascii="宋体" w:hAnsi="宋体"/>
          <w:b/>
          <w:sz w:val="24"/>
        </w:rPr>
        <w:t xml:space="preserve">价格分10分：</w:t>
      </w:r>
      <w:r/>
    </w:p>
    <w:p>
      <w:pPr>
        <w:pStyle w:val="895"/>
        <w:ind w:firstLine="482"/>
        <w:spacing w:line="360" w:lineRule="auto"/>
        <w:rPr>
          <w:rFonts w:ascii="宋体" w:hAnsi="宋体" w:cs="宋体"/>
          <w:b/>
          <w:bCs/>
          <w:sz w:val="24"/>
        </w:rPr>
      </w:pPr>
      <w:r>
        <w:rPr>
          <w:rFonts w:hint="eastAsia" w:ascii="宋体" w:hAnsi="宋体" w:cs="宋体"/>
          <w:sz w:val="24"/>
        </w:rPr>
        <w:t xml:space="preserve">1.</w:t>
      </w:r>
      <w:r>
        <w:rPr>
          <w:rFonts w:hint="eastAsia" w:ascii="宋体" w:hAnsi="宋体"/>
          <w:sz w:val="24"/>
        </w:rPr>
        <w:t xml:space="preserve">超预算的投标报价不进入评标程序。</w:t>
      </w:r>
      <w:r>
        <w:rPr>
          <w:rFonts w:hint="eastAsia" w:ascii="宋体" w:hAnsi="宋体" w:cs="宋体"/>
          <w:b/>
          <w:bCs/>
          <w:sz w:val="24"/>
          <w:lang w:val="zh-CN"/>
        </w:rPr>
        <w:t xml:space="preserve">按固定折扣率进行报价。</w:t>
      </w:r>
      <w:r>
        <w:rPr>
          <w:rFonts w:hint="eastAsia" w:ascii="宋体" w:hAnsi="宋体" w:cs="宋体"/>
          <w:b/>
          <w:bCs/>
          <w:sz w:val="24"/>
        </w:rPr>
        <w:t xml:space="preserve">投标的报价</w:t>
      </w:r>
      <w:r>
        <w:rPr>
          <w:rFonts w:hint="eastAsia" w:ascii="宋体" w:hAnsi="宋体" w:cs="宋体"/>
          <w:b/>
          <w:bCs/>
          <w:sz w:val="24"/>
          <w:lang w:val="zh-CN"/>
        </w:rPr>
        <w:t xml:space="preserve">折扣率≥</w:t>
      </w:r>
      <w:r>
        <w:rPr>
          <w:rFonts w:hint="eastAsia" w:ascii="宋体" w:hAnsi="宋体" w:cs="宋体"/>
          <w:b/>
          <w:bCs/>
          <w:sz w:val="24"/>
        </w:rPr>
        <w:t xml:space="preserve">6</w:t>
      </w:r>
      <w:r>
        <w:rPr>
          <w:rFonts w:hint="eastAsia" w:ascii="宋体" w:hAnsi="宋体" w:cs="宋体"/>
          <w:b/>
          <w:bCs/>
          <w:sz w:val="24"/>
          <w:lang w:val="zh-CN"/>
        </w:rPr>
        <w:t xml:space="preserve">0%，其投标无效。</w:t>
      </w:r>
      <w:r>
        <w:rPr>
          <w:rFonts w:ascii="宋体" w:hAnsi="宋体" w:cs="宋体"/>
          <w:b/>
          <w:bCs/>
          <w:sz w:val="24"/>
        </w:rPr>
      </w:r>
      <w:r/>
    </w:p>
    <w:p>
      <w:pPr>
        <w:pStyle w:val="895"/>
        <w:ind w:firstLine="482"/>
        <w:spacing w:line="360" w:lineRule="auto"/>
        <w:rPr>
          <w:rFonts w:hint="eastAsia" w:ascii="宋体" w:hAnsi="宋体"/>
          <w:sz w:val="24"/>
        </w:rPr>
      </w:pPr>
      <w:r>
        <w:rPr>
          <w:rFonts w:hint="eastAsia" w:ascii="宋体" w:hAnsi="宋体" w:cs="宋体"/>
          <w:b/>
          <w:bCs/>
          <w:sz w:val="24"/>
        </w:rPr>
        <w:t xml:space="preserve">2.</w:t>
      </w:r>
      <w:r>
        <w:rPr>
          <w:rFonts w:hint="eastAsia" w:ascii="宋体" w:hAnsi="宋体" w:cs="宋体"/>
          <w:sz w:val="24"/>
        </w:rPr>
        <w:t xml:space="preserve">价格分采用低价优先法计算，即满足招标文件要求且投标报价最低的报价为评标基准价（如属于小微企业的或残疾人福利单位或监狱单位的，则用扣除后的价格参与评标,如扣除后的价格为最低价的，则作为评标基准价，中标金额则以实际投标报价为准），其价格分为满分；其他投标单位的价格分统一按照下列公式计算：</w:t>
      </w:r>
      <w:r>
        <w:rPr>
          <w:rFonts w:hint="eastAsia" w:ascii="宋体" w:hAnsi="宋体"/>
          <w:sz w:val="24"/>
        </w:rPr>
      </w:r>
      <w:r/>
    </w:p>
    <w:p>
      <w:pPr>
        <w:pStyle w:val="895"/>
        <w:ind w:firstLine="480"/>
        <w:spacing w:line="360" w:lineRule="auto"/>
        <w:rPr>
          <w:rFonts w:hint="eastAsia" w:ascii="宋体" w:hAnsi="宋体"/>
          <w:sz w:val="24"/>
        </w:rPr>
      </w:pPr>
      <w:r>
        <w:rPr>
          <w:rFonts w:hint="eastAsia" w:ascii="宋体" w:hAnsi="宋体"/>
          <w:sz w:val="24"/>
        </w:rPr>
        <w:t xml:space="preserve">价格得分=（评标基准价／投标报价）×价格权值×100；（</w:t>
      </w:r>
      <w:r>
        <w:rPr>
          <w:rFonts w:hint="eastAsia" w:ascii="宋体" w:hAnsi="宋体" w:cs="Arial"/>
          <w:sz w:val="24"/>
        </w:rPr>
        <w:t xml:space="preserve">计算到小数点后二位）。</w:t>
      </w:r>
      <w:r>
        <w:rPr>
          <w:rFonts w:hint="eastAsia" w:ascii="宋体" w:hAnsi="宋体"/>
          <w:sz w:val="24"/>
        </w:rPr>
      </w:r>
      <w:r/>
    </w:p>
    <w:p>
      <w:pPr>
        <w:pStyle w:val="895"/>
        <w:spacing w:line="360" w:lineRule="auto"/>
        <w:tabs>
          <w:tab w:val="left" w:pos="567" w:leader="none"/>
        </w:tabs>
        <w:rPr>
          <w:rFonts w:ascii="宋体" w:hAnsi="宋体" w:cs="宋体"/>
          <w:b/>
          <w:sz w:val="24"/>
        </w:rPr>
      </w:pPr>
      <w:r/>
      <w:bookmarkEnd w:id="149"/>
      <w:r/>
      <w:bookmarkEnd w:id="150"/>
      <w:r>
        <w:rPr>
          <w:rFonts w:hint="eastAsia" w:ascii="宋体" w:hAnsi="宋体" w:cs="宋体"/>
          <w:b/>
          <w:sz w:val="24"/>
        </w:rPr>
        <w:t xml:space="preserve">（二）投标人技术水平、综合能力（90分）  </w:t>
      </w:r>
      <w:r>
        <w:rPr>
          <w:rFonts w:ascii="宋体" w:hAnsi="宋体" w:cs="宋体"/>
          <w:b/>
          <w:sz w:val="24"/>
        </w:rPr>
      </w:r>
      <w:r/>
    </w:p>
    <w:p>
      <w:pPr>
        <w:pStyle w:val="895"/>
        <w:numPr>
          <w:ilvl w:val="0"/>
          <w:numId w:val="11"/>
        </w:numPr>
        <w:spacing w:line="360" w:lineRule="auto"/>
        <w:tabs>
          <w:tab w:val="left" w:pos="567" w:leader="none"/>
        </w:tabs>
        <w:rPr>
          <w:rFonts w:hint="eastAsia" w:ascii="宋体" w:hAnsi="宋体" w:cs="宋体"/>
          <w:b/>
          <w:bCs/>
          <w:sz w:val="24"/>
        </w:rPr>
      </w:pPr>
      <w:r/>
      <w:bookmarkStart w:id="151" w:name="OLE_LINK33"/>
      <w:r/>
      <w:bookmarkStart w:id="152" w:name="OLE_LINK34"/>
      <w:r>
        <w:rPr>
          <w:rFonts w:hint="eastAsia" w:ascii="宋体" w:hAnsi="宋体" w:cs="宋体"/>
          <w:b/>
          <w:bCs/>
          <w:sz w:val="24"/>
        </w:rPr>
        <w:t xml:space="preserve">项目理解、分析</w:t>
      </w:r>
      <w:bookmarkEnd w:id="151"/>
      <w:r/>
      <w:bookmarkEnd w:id="152"/>
      <w:r>
        <w:rPr>
          <w:rFonts w:hint="eastAsia" w:ascii="宋体" w:hAnsi="宋体" w:cs="宋体"/>
          <w:b/>
          <w:bCs/>
          <w:sz w:val="24"/>
        </w:rPr>
        <w:t xml:space="preserve">（4分）</w:t>
      </w:r>
      <w:r/>
    </w:p>
    <w:p>
      <w:pPr>
        <w:pStyle w:val="1001"/>
        <w:ind w:left="567" w:firstLine="0"/>
        <w:rPr>
          <w:rFonts w:hint="eastAsia" w:cs="宋体"/>
          <w:color w:val="000000"/>
        </w:rPr>
      </w:pPr>
      <w:r/>
      <w:bookmarkStart w:id="153" w:name="OLE_LINK1"/>
      <w:r/>
      <w:bookmarkStart w:id="154" w:name="OLE_LINK153"/>
      <w:r/>
      <w:bookmarkStart w:id="155" w:name="OLE_LINK154"/>
      <w:r>
        <w:rPr>
          <w:rFonts w:hint="eastAsia" w:cs="宋体"/>
        </w:rPr>
        <w:t xml:space="preserve">对于本次招标项目背景、区域现状、采购需求等的理解、分析；对于项目背景、现状熟悉了解，需求分析透彻、准确到位得4分；对项目背景、现状有一定了解，需求分析基本到位得2分；对于项目背景、现状、需求了解不太到位得</w:t>
      </w:r>
      <w:r>
        <w:rPr>
          <w:rFonts w:hint="eastAsia" w:cs="宋体"/>
          <w:color w:val="000000"/>
        </w:rPr>
        <w:t xml:space="preserve">1分；否则不得分。</w:t>
      </w:r>
      <w:bookmarkEnd w:id="154"/>
      <w:r/>
      <w:bookmarkEnd w:id="155"/>
      <w:r>
        <w:rPr>
          <w:rFonts w:hint="eastAsia" w:cs="宋体"/>
          <w:color w:val="000000"/>
        </w:rPr>
      </w:r>
      <w:r/>
    </w:p>
    <w:p>
      <w:pPr>
        <w:pStyle w:val="895"/>
        <w:numPr>
          <w:ilvl w:val="0"/>
          <w:numId w:val="11"/>
        </w:numPr>
        <w:spacing w:line="360" w:lineRule="auto"/>
        <w:tabs>
          <w:tab w:val="left" w:pos="567" w:leader="none"/>
        </w:tabs>
        <w:rPr>
          <w:rFonts w:hint="eastAsia" w:ascii="宋体" w:hAnsi="宋体" w:cs="宋体"/>
          <w:b/>
          <w:bCs/>
          <w:color w:val="000000"/>
          <w:sz w:val="24"/>
        </w:rPr>
      </w:pPr>
      <w:r/>
      <w:bookmarkEnd w:id="153"/>
      <w:r/>
      <w:bookmarkStart w:id="156" w:name="OLE_LINK35"/>
      <w:r/>
      <w:bookmarkStart w:id="157" w:name="OLE_LINK36"/>
      <w:r>
        <w:rPr>
          <w:rFonts w:hint="eastAsia" w:ascii="宋体" w:hAnsi="宋体" w:cs="宋体"/>
          <w:b/>
          <w:bCs/>
          <w:color w:val="000000"/>
          <w:sz w:val="24"/>
        </w:rPr>
        <w:t xml:space="preserve">针对本项目的具体实施方案、组织安排</w:t>
      </w:r>
      <w:bookmarkEnd w:id="156"/>
      <w:r/>
      <w:bookmarkEnd w:id="157"/>
      <w:r>
        <w:rPr>
          <w:rFonts w:hint="eastAsia" w:ascii="宋体" w:hAnsi="宋体" w:cs="宋体"/>
          <w:b/>
          <w:bCs/>
          <w:color w:val="000000"/>
          <w:sz w:val="24"/>
        </w:rPr>
        <w:t xml:space="preserve">（4分）</w:t>
      </w:r>
      <w:r/>
    </w:p>
    <w:p>
      <w:pPr>
        <w:pStyle w:val="1001"/>
        <w:ind w:left="567" w:firstLine="0"/>
        <w:rPr>
          <w:rFonts w:hint="eastAsia" w:cs="宋体"/>
          <w:color w:val="000000"/>
        </w:rPr>
      </w:pPr>
      <w:r/>
      <w:bookmarkStart w:id="158" w:name="OLE_LINK155"/>
      <w:r/>
      <w:bookmarkStart w:id="159" w:name="OLE_LINK156"/>
      <w:r>
        <w:rPr>
          <w:rFonts w:hint="eastAsia" w:cs="宋体"/>
          <w:color w:val="000000"/>
        </w:rPr>
        <w:t xml:space="preserve">方案内容全面、具体、合理、可行，组织安排科学、高效，充分贴合项目需求得4分；方案较全面、较可行，组织安排较科学、较有效，较贴合项目需求得2分；方案基本全面、基本可行，组织安排基本能满足项目需求得1分；否则不得分。</w:t>
      </w:r>
      <w:r/>
    </w:p>
    <w:p>
      <w:pPr>
        <w:pStyle w:val="895"/>
        <w:numPr>
          <w:ilvl w:val="0"/>
          <w:numId w:val="11"/>
        </w:numPr>
        <w:spacing w:line="360" w:lineRule="auto"/>
        <w:tabs>
          <w:tab w:val="left" w:pos="567" w:leader="none"/>
        </w:tabs>
        <w:rPr>
          <w:rFonts w:hint="eastAsia" w:ascii="宋体" w:hAnsi="宋体" w:cs="宋体"/>
          <w:b/>
          <w:bCs/>
          <w:color w:val="000000"/>
          <w:sz w:val="24"/>
        </w:rPr>
      </w:pPr>
      <w:r/>
      <w:bookmarkEnd w:id="158"/>
      <w:r/>
      <w:bookmarkEnd w:id="159"/>
      <w:r/>
      <w:bookmarkStart w:id="160" w:name="OLE_LINK37"/>
      <w:r/>
      <w:bookmarkStart w:id="161" w:name="OLE_LINK39"/>
      <w:r>
        <w:rPr>
          <w:rFonts w:hint="eastAsia" w:ascii="宋体" w:hAnsi="宋体" w:cs="宋体"/>
          <w:b/>
          <w:bCs/>
          <w:color w:val="000000"/>
          <w:sz w:val="24"/>
        </w:rPr>
        <w:t xml:space="preserve">针对本项目的质控方案及措施</w:t>
      </w:r>
      <w:bookmarkEnd w:id="160"/>
      <w:r/>
      <w:bookmarkEnd w:id="161"/>
      <w:r>
        <w:rPr>
          <w:rFonts w:hint="eastAsia" w:ascii="宋体" w:hAnsi="宋体" w:cs="宋体"/>
          <w:b/>
          <w:bCs/>
          <w:color w:val="000000"/>
          <w:sz w:val="24"/>
        </w:rPr>
        <w:t xml:space="preserve">（4分）</w:t>
      </w:r>
      <w:r/>
    </w:p>
    <w:p>
      <w:pPr>
        <w:pStyle w:val="895"/>
        <w:ind w:left="567"/>
        <w:spacing w:line="360" w:lineRule="auto"/>
        <w:tabs>
          <w:tab w:val="left" w:pos="567" w:leader="none"/>
        </w:tabs>
        <w:rPr>
          <w:rFonts w:hint="eastAsia" w:ascii="宋体" w:hAnsi="宋体" w:cs="宋体"/>
          <w:color w:val="000000"/>
          <w:sz w:val="24"/>
        </w:rPr>
      </w:pPr>
      <w:r/>
      <w:bookmarkStart w:id="162" w:name="OLE_LINK157"/>
      <w:r/>
      <w:bookmarkStart w:id="163" w:name="OLE_LINK160"/>
      <w:r>
        <w:rPr>
          <w:rFonts w:hint="eastAsia" w:ascii="宋体" w:hAnsi="宋体" w:cs="宋体"/>
          <w:color w:val="000000"/>
          <w:sz w:val="24"/>
        </w:rPr>
        <w:t xml:space="preserve">方案措施全面、具体、合理、可行，充分贴合项目需求得4分；方案措施较全面、较可行，基本贴合项目需求得2分；方案措施基本全面、基本可行得1分；否则不得分。</w:t>
      </w:r>
      <w:r/>
    </w:p>
    <w:p>
      <w:pPr>
        <w:pStyle w:val="895"/>
        <w:numPr>
          <w:ilvl w:val="0"/>
          <w:numId w:val="11"/>
        </w:numPr>
        <w:spacing w:line="360" w:lineRule="auto"/>
        <w:tabs>
          <w:tab w:val="left" w:pos="567" w:leader="none"/>
        </w:tabs>
        <w:rPr>
          <w:rFonts w:hint="eastAsia" w:ascii="宋体" w:hAnsi="宋体" w:cs="宋体"/>
          <w:b/>
          <w:bCs/>
          <w:color w:val="000000"/>
          <w:sz w:val="24"/>
        </w:rPr>
      </w:pPr>
      <w:r/>
      <w:bookmarkEnd w:id="162"/>
      <w:r/>
      <w:bookmarkEnd w:id="163"/>
      <w:r/>
      <w:bookmarkStart w:id="164" w:name="OLE_LINK40"/>
      <w:r/>
      <w:bookmarkStart w:id="165" w:name="OLE_LINK41"/>
      <w:r>
        <w:rPr>
          <w:rFonts w:hint="eastAsia" w:ascii="宋体" w:hAnsi="宋体" w:cs="宋体"/>
          <w:b/>
          <w:bCs/>
          <w:color w:val="000000"/>
          <w:sz w:val="24"/>
        </w:rPr>
        <w:t xml:space="preserve">突发事件应急预案及应对措施</w:t>
      </w:r>
      <w:bookmarkEnd w:id="164"/>
      <w:r/>
      <w:bookmarkEnd w:id="165"/>
      <w:r>
        <w:rPr>
          <w:rFonts w:hint="eastAsia" w:ascii="宋体" w:hAnsi="宋体" w:cs="宋体"/>
          <w:b/>
          <w:bCs/>
          <w:color w:val="000000"/>
          <w:sz w:val="24"/>
        </w:rPr>
        <w:t xml:space="preserve">（4分）</w:t>
      </w:r>
      <w:r/>
    </w:p>
    <w:p>
      <w:pPr>
        <w:pStyle w:val="1001"/>
        <w:ind w:left="567" w:firstLine="0"/>
        <w:rPr>
          <w:rFonts w:hint="eastAsia" w:cs="宋体"/>
          <w:color w:val="000000"/>
        </w:rPr>
      </w:pPr>
      <w:r/>
      <w:bookmarkStart w:id="166" w:name="OLE_LINK161"/>
      <w:r/>
      <w:bookmarkStart w:id="167" w:name="OLE_LINK162"/>
      <w:r>
        <w:rPr>
          <w:rFonts w:hint="eastAsia" w:cs="宋体"/>
          <w:color w:val="000000"/>
        </w:rPr>
        <w:t xml:space="preserve">预案全面、科学、合理、符合实际需求，措施完善、有效、可行得4分；预案较全面、较合理、基本满足实际需求，措施较完善、较可行得2分；预案、措施基本可行得1分；否则不得分。</w:t>
      </w:r>
      <w:r/>
    </w:p>
    <w:p>
      <w:pPr>
        <w:pStyle w:val="895"/>
        <w:numPr>
          <w:ilvl w:val="0"/>
          <w:numId w:val="11"/>
        </w:numPr>
        <w:spacing w:line="360" w:lineRule="auto"/>
        <w:tabs>
          <w:tab w:val="left" w:pos="567" w:leader="none"/>
        </w:tabs>
        <w:rPr>
          <w:rFonts w:hint="eastAsia" w:ascii="宋体" w:hAnsi="宋体" w:cs="宋体"/>
          <w:b/>
          <w:bCs/>
          <w:color w:val="000000"/>
          <w:sz w:val="24"/>
        </w:rPr>
      </w:pPr>
      <w:r/>
      <w:bookmarkEnd w:id="166"/>
      <w:r/>
      <w:bookmarkEnd w:id="167"/>
      <w:r/>
      <w:bookmarkStart w:id="168" w:name="OLE_LINK42"/>
      <w:r/>
      <w:bookmarkStart w:id="169" w:name="OLE_LINK44"/>
      <w:r>
        <w:rPr>
          <w:rFonts w:hint="eastAsia" w:ascii="宋体" w:hAnsi="宋体" w:cs="宋体"/>
          <w:b/>
          <w:bCs/>
          <w:color w:val="000000"/>
          <w:sz w:val="24"/>
        </w:rPr>
        <w:t xml:space="preserve">自有实验室场地及工作响应时间情况</w:t>
      </w:r>
      <w:bookmarkEnd w:id="168"/>
      <w:r/>
      <w:bookmarkEnd w:id="169"/>
      <w:r>
        <w:rPr>
          <w:rFonts w:hint="eastAsia" w:ascii="宋体" w:hAnsi="宋体" w:cs="宋体"/>
          <w:b/>
          <w:bCs/>
          <w:color w:val="000000"/>
          <w:sz w:val="24"/>
        </w:rPr>
        <w:t xml:space="preserve">（9分）</w:t>
      </w:r>
      <w:r/>
    </w:p>
    <w:p>
      <w:pPr>
        <w:pStyle w:val="895"/>
        <w:numPr>
          <w:ilvl w:val="0"/>
          <w:numId w:val="12"/>
        </w:numPr>
        <w:spacing w:line="360" w:lineRule="auto"/>
        <w:tabs>
          <w:tab w:val="left" w:pos="567" w:leader="none"/>
        </w:tabs>
        <w:rPr>
          <w:rFonts w:hint="eastAsia" w:ascii="宋体" w:hAnsi="宋体" w:cs="宋体"/>
          <w:color w:val="000000"/>
          <w:sz w:val="24"/>
        </w:rPr>
      </w:pPr>
      <w:r/>
      <w:bookmarkStart w:id="170" w:name="OLE_LINK45"/>
      <w:r/>
      <w:bookmarkStart w:id="171" w:name="OLE_LINK46"/>
      <w:r/>
      <w:bookmarkStart w:id="172" w:name="OLE_LINK163"/>
      <w:r/>
      <w:bookmarkStart w:id="173" w:name="OLE_LINK164"/>
      <w:r>
        <w:rPr>
          <w:rFonts w:hint="eastAsia" w:ascii="宋体" w:hAnsi="宋体" w:cs="宋体"/>
          <w:color w:val="000000"/>
          <w:sz w:val="24"/>
        </w:rPr>
        <w:t xml:space="preserve">办公场所和实验室</w:t>
      </w:r>
      <w:bookmarkEnd w:id="170"/>
      <w:r/>
      <w:bookmarkEnd w:id="171"/>
      <w:r>
        <w:rPr>
          <w:rFonts w:hint="eastAsia" w:ascii="宋体" w:hAnsi="宋体" w:cs="宋体"/>
          <w:color w:val="000000"/>
          <w:sz w:val="24"/>
        </w:rPr>
        <w:t xml:space="preserve">（4分）</w:t>
      </w:r>
      <w:r/>
    </w:p>
    <w:p>
      <w:pPr>
        <w:pStyle w:val="895"/>
        <w:ind w:left="567"/>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拥有独立的</w:t>
      </w:r>
      <w:bookmarkStart w:id="174" w:name="OLE_LINK5"/>
      <w:r/>
      <w:bookmarkStart w:id="175" w:name="OLE_LINK4"/>
      <w:r>
        <w:rPr>
          <w:rFonts w:hint="eastAsia" w:ascii="宋体" w:hAnsi="宋体" w:cs="宋体"/>
          <w:color w:val="000000"/>
          <w:sz w:val="24"/>
        </w:rPr>
        <w:t xml:space="preserve">办公场所和实验室</w:t>
      </w:r>
      <w:bookmarkEnd w:id="174"/>
      <w:r/>
      <w:bookmarkEnd w:id="175"/>
      <w:r>
        <w:rPr>
          <w:rFonts w:hint="eastAsia" w:ascii="宋体" w:hAnsi="宋体" w:cs="宋体"/>
          <w:color w:val="000000"/>
          <w:sz w:val="24"/>
        </w:rPr>
        <w:t xml:space="preserve">，根据实验室所在位置到监测现场的便捷程度等情况综合评定，须提供房产证明或租房协议、实验室平面图、实验室距离等便捷程度证明相关材料，配置合理、便捷、能充分保证项目监测工作效率得4分；配置较合理、较便捷、能满足实际工作效率得2分；配置基本合理、基本便捷得1分；否则不得分。</w:t>
      </w:r>
      <w:r/>
    </w:p>
    <w:p>
      <w:pPr>
        <w:pStyle w:val="895"/>
        <w:numPr>
          <w:ilvl w:val="0"/>
          <w:numId w:val="12"/>
        </w:numPr>
        <w:ind w:left="567" w:hanging="567"/>
        <w:spacing w:line="360" w:lineRule="auto"/>
        <w:tabs>
          <w:tab w:val="left" w:pos="567" w:leader="none"/>
        </w:tabs>
        <w:rPr>
          <w:rFonts w:hint="eastAsia" w:ascii="宋体" w:hAnsi="宋体" w:cs="宋体"/>
          <w:color w:val="000000"/>
          <w:sz w:val="24"/>
        </w:rPr>
      </w:pPr>
      <w:r/>
      <w:bookmarkEnd w:id="172"/>
      <w:r/>
      <w:bookmarkEnd w:id="173"/>
      <w:r/>
      <w:bookmarkStart w:id="176" w:name="OLE_LINK47"/>
      <w:r>
        <w:rPr>
          <w:rFonts w:hint="eastAsia" w:ascii="宋体" w:hAnsi="宋体" w:cs="宋体"/>
          <w:color w:val="000000"/>
          <w:sz w:val="24"/>
        </w:rPr>
        <w:t xml:space="preserve">数据报送时间及保障措施</w:t>
      </w:r>
      <w:bookmarkEnd w:id="176"/>
      <w:r>
        <w:rPr>
          <w:rFonts w:hint="eastAsia" w:ascii="宋体" w:hAnsi="宋体" w:cs="宋体"/>
          <w:color w:val="000000"/>
          <w:sz w:val="24"/>
        </w:rPr>
        <w:t xml:space="preserve">（3分）</w:t>
      </w:r>
      <w:r/>
    </w:p>
    <w:p>
      <w:pPr>
        <w:pStyle w:val="895"/>
        <w:ind w:left="567"/>
        <w:spacing w:line="360" w:lineRule="auto"/>
        <w:tabs>
          <w:tab w:val="left" w:pos="567" w:leader="none"/>
        </w:tabs>
        <w:rPr>
          <w:rFonts w:hint="eastAsia" w:ascii="宋体" w:hAnsi="宋体" w:cs="宋体"/>
          <w:color w:val="000000"/>
          <w:sz w:val="24"/>
        </w:rPr>
      </w:pPr>
      <w:r/>
      <w:bookmarkStart w:id="177" w:name="OLE_LINK7"/>
      <w:r/>
      <w:bookmarkStart w:id="178" w:name="OLE_LINK6"/>
      <w:r/>
      <w:bookmarkStart w:id="179" w:name="OLE_LINK173"/>
      <w:r/>
      <w:bookmarkStart w:id="180" w:name="OLE_LINK174"/>
      <w:r>
        <w:rPr>
          <w:rFonts w:hint="eastAsia" w:ascii="宋体" w:hAnsi="宋体" w:cs="宋体"/>
          <w:color w:val="000000"/>
          <w:sz w:val="24"/>
        </w:rPr>
        <w:t xml:space="preserve">预警监测的数据报送具体时间安排及保障措施</w:t>
      </w:r>
      <w:bookmarkEnd w:id="177"/>
      <w:r/>
      <w:bookmarkEnd w:id="178"/>
      <w:r>
        <w:rPr>
          <w:rFonts w:hint="eastAsia" w:ascii="宋体" w:hAnsi="宋体" w:cs="宋体"/>
          <w:color w:val="000000"/>
          <w:sz w:val="24"/>
        </w:rPr>
        <w:t xml:space="preserve">，报送时间短，保障措施有效、可行、符合实际得3分，报送时间较短，措施基本有效，基本符合实际的2分，时间安排、措施不太可行得1分，否则不得分。</w:t>
      </w:r>
      <w:r/>
    </w:p>
    <w:p>
      <w:pPr>
        <w:pStyle w:val="895"/>
        <w:numPr>
          <w:ilvl w:val="0"/>
          <w:numId w:val="12"/>
        </w:numPr>
        <w:ind w:left="567" w:hanging="567"/>
        <w:spacing w:line="360" w:lineRule="auto"/>
        <w:tabs>
          <w:tab w:val="left" w:pos="567" w:leader="none"/>
        </w:tabs>
        <w:rPr>
          <w:rFonts w:hint="eastAsia" w:ascii="宋体" w:hAnsi="宋体" w:cs="宋体"/>
          <w:color w:val="000000"/>
          <w:sz w:val="24"/>
        </w:rPr>
      </w:pPr>
      <w:r/>
      <w:bookmarkEnd w:id="179"/>
      <w:r/>
      <w:bookmarkEnd w:id="180"/>
      <w:r/>
      <w:bookmarkStart w:id="181" w:name="OLE_LINK49"/>
      <w:r/>
      <w:bookmarkStart w:id="182" w:name="OLE_LINK50"/>
      <w:r>
        <w:rPr>
          <w:rFonts w:hint="eastAsia" w:ascii="宋体" w:hAnsi="宋体" w:cs="宋体"/>
          <w:color w:val="000000"/>
          <w:sz w:val="24"/>
        </w:rPr>
        <w:t xml:space="preserve">响应时间和保障措施</w:t>
      </w:r>
      <w:bookmarkEnd w:id="181"/>
      <w:r/>
      <w:bookmarkEnd w:id="182"/>
      <w:r>
        <w:rPr>
          <w:rFonts w:hint="eastAsia" w:ascii="宋体" w:hAnsi="宋体" w:cs="宋体"/>
          <w:color w:val="000000"/>
          <w:sz w:val="24"/>
        </w:rPr>
        <w:t xml:space="preserve">（2分）</w:t>
      </w:r>
      <w:r/>
    </w:p>
    <w:p>
      <w:pPr>
        <w:pStyle w:val="895"/>
        <w:ind w:left="567"/>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根据响应采购人提出的日常监测要求响应时间长短和是否有切实的保障措施进行综合评定，承诺响应及时、措施合理、可行、有保障得2分，承诺响应较及时，措施较合理、较可行、基本有保障得1分，承诺响应基本及时，措施基本合理、基本可行得0.5分，否则不得分。</w:t>
      </w:r>
      <w:r/>
    </w:p>
    <w:p>
      <w:pPr>
        <w:pStyle w:val="895"/>
        <w:numPr>
          <w:ilvl w:val="0"/>
          <w:numId w:val="11"/>
        </w:numPr>
        <w:spacing w:line="360" w:lineRule="auto"/>
        <w:tabs>
          <w:tab w:val="left" w:pos="567" w:leader="none"/>
        </w:tabs>
        <w:rPr>
          <w:rFonts w:hint="eastAsia" w:ascii="宋体" w:hAnsi="宋体" w:cs="宋体"/>
          <w:b/>
          <w:bCs/>
          <w:color w:val="000000"/>
          <w:sz w:val="24"/>
        </w:rPr>
      </w:pPr>
      <w:r/>
      <w:bookmarkStart w:id="183" w:name="OLE_LINK51"/>
      <w:r/>
      <w:bookmarkStart w:id="184" w:name="OLE_LINK53"/>
      <w:r>
        <w:rPr>
          <w:rFonts w:hint="eastAsia" w:ascii="宋体" w:hAnsi="宋体" w:cs="宋体"/>
          <w:b/>
          <w:bCs/>
          <w:color w:val="000000"/>
          <w:sz w:val="24"/>
        </w:rPr>
        <w:t xml:space="preserve">监测报告编制规范性</w:t>
      </w:r>
      <w:bookmarkEnd w:id="183"/>
      <w:r/>
      <w:bookmarkEnd w:id="184"/>
      <w:r>
        <w:rPr>
          <w:rFonts w:hint="eastAsia" w:ascii="宋体" w:hAnsi="宋体" w:cs="宋体"/>
          <w:b/>
          <w:bCs/>
          <w:color w:val="000000"/>
          <w:sz w:val="24"/>
        </w:rPr>
        <w:t xml:space="preserve">（3分）</w:t>
      </w:r>
      <w:r/>
    </w:p>
    <w:p>
      <w:pPr>
        <w:pStyle w:val="895"/>
        <w:ind w:left="567"/>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提供近1年内1份地表水水质监测报告（监测项目不少于10项）、1份环境空气或废气监测报告和1份噪声监测报告，包括现场监测原始信息记录、分析原始记录、质控措施等相关资料。根据报告、原始记录的规范性、完整性进行质量判定，每份报告单独评定。每份监测报告和原始记录规范、完整得1分，不太规范的不得分。</w:t>
      </w:r>
      <w:r>
        <w:rPr>
          <w:rFonts w:hint="eastAsia" w:ascii="宋体" w:hAnsi="宋体" w:cs="宋体"/>
          <w:bCs/>
          <w:color w:val="000000"/>
          <w:sz w:val="24"/>
        </w:rPr>
        <w:t xml:space="preserve">提供报告复印件。</w:t>
      </w:r>
      <w:r>
        <w:rPr>
          <w:rFonts w:hint="eastAsia" w:ascii="宋体" w:hAnsi="宋体" w:cs="宋体"/>
          <w:color w:val="000000"/>
          <w:sz w:val="24"/>
        </w:rPr>
      </w:r>
      <w:r/>
    </w:p>
    <w:p>
      <w:pPr>
        <w:pStyle w:val="895"/>
        <w:numPr>
          <w:ilvl w:val="0"/>
          <w:numId w:val="11"/>
        </w:numPr>
        <w:spacing w:line="360" w:lineRule="auto"/>
        <w:tabs>
          <w:tab w:val="left" w:pos="567" w:leader="none"/>
        </w:tabs>
        <w:rPr>
          <w:rFonts w:hint="eastAsia" w:ascii="宋体" w:hAnsi="宋体" w:cs="宋体"/>
          <w:b/>
          <w:bCs/>
          <w:color w:val="000000"/>
          <w:sz w:val="24"/>
        </w:rPr>
      </w:pPr>
      <w:r/>
      <w:bookmarkStart w:id="185" w:name="OLE_LINK54"/>
      <w:r/>
      <w:bookmarkStart w:id="186" w:name="OLE_LINK55"/>
      <w:r>
        <w:rPr>
          <w:rFonts w:hint="eastAsia" w:ascii="宋体" w:hAnsi="宋体" w:cs="宋体"/>
          <w:b/>
          <w:bCs/>
          <w:color w:val="000000"/>
          <w:sz w:val="24"/>
        </w:rPr>
        <w:t xml:space="preserve">针对本项目的人员配备情况</w:t>
      </w:r>
      <w:bookmarkEnd w:id="185"/>
      <w:r/>
      <w:bookmarkEnd w:id="186"/>
      <w:r>
        <w:rPr>
          <w:rFonts w:hint="eastAsia" w:ascii="宋体" w:hAnsi="宋体" w:cs="宋体"/>
          <w:b/>
          <w:bCs/>
          <w:color w:val="000000"/>
          <w:sz w:val="24"/>
        </w:rPr>
        <w:t xml:space="preserve">（7分）</w:t>
      </w:r>
      <w:r/>
    </w:p>
    <w:p>
      <w:pPr>
        <w:pStyle w:val="895"/>
        <w:numPr>
          <w:ilvl w:val="0"/>
          <w:numId w:val="13"/>
        </w:numPr>
        <w:ind w:left="567" w:hanging="567"/>
        <w:spacing w:line="360" w:lineRule="auto"/>
        <w:tabs>
          <w:tab w:val="left" w:pos="567" w:leader="none"/>
        </w:tabs>
        <w:rPr>
          <w:rFonts w:hint="eastAsia" w:ascii="宋体" w:hAnsi="宋体" w:cs="宋体"/>
          <w:color w:val="000000"/>
          <w:sz w:val="24"/>
        </w:rPr>
      </w:pPr>
      <w:r/>
      <w:bookmarkStart w:id="187" w:name="OLE_LINK57"/>
      <w:r>
        <w:rPr>
          <w:rFonts w:hint="eastAsia" w:ascii="宋体" w:hAnsi="宋体" w:cs="宋体"/>
          <w:color w:val="000000"/>
          <w:sz w:val="24"/>
        </w:rPr>
        <w:t xml:space="preserve">职称技术或同等能力</w:t>
      </w:r>
      <w:bookmarkEnd w:id="187"/>
      <w:r>
        <w:rPr>
          <w:rFonts w:hint="eastAsia" w:ascii="宋体" w:hAnsi="宋体" w:cs="宋体"/>
          <w:color w:val="000000"/>
          <w:sz w:val="24"/>
        </w:rPr>
        <w:t xml:space="preserve">（3分）</w:t>
      </w:r>
      <w:r/>
    </w:p>
    <w:p>
      <w:pPr>
        <w:pStyle w:val="895"/>
        <w:ind w:left="567"/>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本项目拟从事于环境监测工作、拥有中级及中级以上职称技术或同等能力（硕士、博士分别等同于中级、高级职称）人员的人数低于3人（含）不得分，4人（含）以上，中级或同等能力每人得0.5分，高级每人得1分，最高3分。提供投标人为其缴纳的最近一期的社保缴纳证明、毕业证书、职称证书复印件，否则不得分。</w:t>
      </w:r>
      <w:r/>
    </w:p>
    <w:p>
      <w:pPr>
        <w:pStyle w:val="895"/>
        <w:numPr>
          <w:ilvl w:val="0"/>
          <w:numId w:val="13"/>
        </w:numPr>
        <w:ind w:left="567" w:hanging="567"/>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技术人员证书（4分）</w:t>
      </w:r>
      <w:r/>
    </w:p>
    <w:p>
      <w:pPr>
        <w:pStyle w:val="895"/>
        <w:ind w:left="567"/>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技术人员持有环保部门颁发的建设项目竣工环境保护验收监测技术培训合格证的技术人员两人或以上的得1分；</w:t>
      </w:r>
      <w:r>
        <w:rPr>
          <w:rFonts w:hint="eastAsia" w:ascii="宋体" w:hAnsi="宋体" w:cs="宋体-18030"/>
          <w:color w:val="000000"/>
          <w:sz w:val="24"/>
        </w:rPr>
        <w:t xml:space="preserve">拥有全国社会化环境检测机构从业人员实操技能培训合格证书或省级以上生态环境部门颁发的监测上岗证</w:t>
      </w:r>
      <w:r>
        <w:rPr>
          <w:rFonts w:hint="eastAsia" w:ascii="宋体" w:hAnsi="宋体" w:cs="宋体"/>
          <w:color w:val="000000"/>
          <w:sz w:val="24"/>
        </w:rPr>
        <w:t xml:space="preserve">每人得1分，最高3分；提供投标人为其缴纳的最近一期的社保缴纳证明、相应证书复印件，否则不得分。</w:t>
      </w:r>
      <w:r/>
    </w:p>
    <w:p>
      <w:pPr>
        <w:pStyle w:val="895"/>
        <w:numPr>
          <w:ilvl w:val="0"/>
          <w:numId w:val="11"/>
        </w:numPr>
        <w:spacing w:line="360" w:lineRule="auto"/>
        <w:tabs>
          <w:tab w:val="left" w:pos="567" w:leader="none"/>
        </w:tabs>
        <w:rPr>
          <w:rFonts w:hint="eastAsia" w:ascii="宋体" w:hAnsi="宋体" w:cs="宋体"/>
          <w:b/>
          <w:bCs/>
          <w:color w:val="000000"/>
          <w:sz w:val="24"/>
        </w:rPr>
      </w:pPr>
      <w:r/>
      <w:bookmarkStart w:id="188" w:name="OLE_LINK58"/>
      <w:r/>
      <w:bookmarkStart w:id="189" w:name="OLE_LINK59"/>
      <w:r>
        <w:rPr>
          <w:rFonts w:hint="eastAsia" w:ascii="宋体" w:hAnsi="宋体" w:cs="宋体"/>
          <w:b/>
          <w:bCs/>
          <w:color w:val="000000"/>
          <w:sz w:val="24"/>
        </w:rPr>
        <w:t xml:space="preserve">仪器设备等的投入、配置</w:t>
      </w:r>
      <w:bookmarkEnd w:id="188"/>
      <w:r/>
      <w:bookmarkEnd w:id="189"/>
      <w:r>
        <w:rPr>
          <w:rFonts w:hint="eastAsia" w:ascii="宋体" w:hAnsi="宋体" w:cs="宋体"/>
          <w:b/>
          <w:bCs/>
          <w:color w:val="000000"/>
          <w:sz w:val="24"/>
        </w:rPr>
        <w:t xml:space="preserve">（5分）</w:t>
      </w:r>
      <w:r/>
    </w:p>
    <w:p>
      <w:pPr>
        <w:pStyle w:val="895"/>
        <w:numPr>
          <w:ilvl w:val="0"/>
          <w:numId w:val="14"/>
        </w:numPr>
        <w:ind w:left="567" w:hanging="567"/>
        <w:spacing w:line="360" w:lineRule="auto"/>
        <w:tabs>
          <w:tab w:val="left" w:pos="567" w:leader="none"/>
        </w:tabs>
        <w:rPr>
          <w:rFonts w:hint="eastAsia" w:ascii="宋体" w:hAnsi="宋体" w:cs="宋体"/>
          <w:color w:val="000000"/>
          <w:sz w:val="24"/>
        </w:rPr>
      </w:pPr>
      <w:r/>
      <w:bookmarkStart w:id="190" w:name="OLE_LINK60"/>
      <w:r/>
      <w:bookmarkStart w:id="191" w:name="OLE_LINK61"/>
      <w:r>
        <w:rPr>
          <w:rFonts w:hint="eastAsia" w:ascii="宋体" w:hAnsi="宋体" w:cs="宋体"/>
          <w:color w:val="000000"/>
          <w:sz w:val="24"/>
        </w:rPr>
        <w:t xml:space="preserve">特殊工具</w:t>
      </w:r>
      <w:bookmarkEnd w:id="190"/>
      <w:r/>
      <w:bookmarkEnd w:id="191"/>
      <w:r>
        <w:rPr>
          <w:rFonts w:hint="eastAsia" w:ascii="宋体" w:hAnsi="宋体" w:cs="宋体"/>
          <w:color w:val="000000"/>
          <w:sz w:val="24"/>
        </w:rPr>
        <w:t xml:space="preserve">（2分）</w:t>
      </w:r>
      <w:r/>
    </w:p>
    <w:p>
      <w:pPr>
        <w:pStyle w:val="895"/>
        <w:ind w:left="567"/>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拥有满足以下全部条件的监测快艇得2分，否则不得分。</w:t>
      </w:r>
      <w:r/>
    </w:p>
    <w:p>
      <w:pPr>
        <w:pStyle w:val="895"/>
        <w:numPr>
          <w:ilvl w:val="0"/>
          <w:numId w:val="15"/>
        </w:numPr>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快艇可实际拥有或与相关企事业单位签订协议，协议期须覆盖本项目服务期。</w:t>
      </w:r>
      <w:r/>
    </w:p>
    <w:p>
      <w:pPr>
        <w:pStyle w:val="895"/>
        <w:numPr>
          <w:ilvl w:val="0"/>
          <w:numId w:val="15"/>
        </w:numPr>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快艇船体必须为玻璃钢或铝合金材质，发动机功率不小于50马力；</w:t>
      </w:r>
      <w:r/>
    </w:p>
    <w:p>
      <w:pPr>
        <w:pStyle w:val="895"/>
        <w:numPr>
          <w:ilvl w:val="0"/>
          <w:numId w:val="15"/>
        </w:numPr>
        <w:ind w:left="567" w:firstLine="0"/>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必须停放在相城水域内，可随时用于监测采样。提供快艇照片、码头照片和位置图、船艇相关设备清单及权属证明材料。</w:t>
      </w:r>
      <w:r/>
    </w:p>
    <w:p>
      <w:pPr>
        <w:pStyle w:val="895"/>
        <w:numPr>
          <w:ilvl w:val="0"/>
          <w:numId w:val="14"/>
        </w:numPr>
        <w:ind w:left="567" w:hanging="567"/>
        <w:spacing w:line="360" w:lineRule="auto"/>
        <w:tabs>
          <w:tab w:val="left" w:pos="567" w:leader="none"/>
        </w:tabs>
        <w:rPr>
          <w:rFonts w:hint="eastAsia" w:ascii="宋体" w:hAnsi="宋体" w:cs="宋体"/>
          <w:color w:val="000000"/>
          <w:sz w:val="24"/>
        </w:rPr>
      </w:pPr>
      <w:r/>
      <w:bookmarkStart w:id="192" w:name="OLE_LINK62"/>
      <w:r/>
      <w:bookmarkStart w:id="193" w:name="OLE_LINK65"/>
      <w:r>
        <w:rPr>
          <w:rFonts w:hint="eastAsia" w:ascii="宋体" w:hAnsi="宋体" w:cs="宋体"/>
          <w:color w:val="000000"/>
          <w:sz w:val="24"/>
        </w:rPr>
        <w:t xml:space="preserve">快速监测能力</w:t>
      </w:r>
      <w:bookmarkEnd w:id="192"/>
      <w:r/>
      <w:bookmarkEnd w:id="193"/>
      <w:r>
        <w:rPr>
          <w:rFonts w:hint="eastAsia" w:ascii="宋体" w:hAnsi="宋体" w:cs="宋体"/>
          <w:color w:val="000000"/>
          <w:sz w:val="24"/>
        </w:rPr>
        <w:t xml:space="preserve">（3分）</w:t>
      </w:r>
      <w:r/>
    </w:p>
    <w:p>
      <w:pPr>
        <w:pStyle w:val="895"/>
        <w:ind w:left="567"/>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拥有化学需氧量、总磷、氨氮项目快速检测仪器设备的，有1个得1分，最高3分。提供仪器设备购置合同和全额发票复印件，否则不得分。</w:t>
      </w:r>
      <w:r/>
    </w:p>
    <w:p>
      <w:pPr>
        <w:pStyle w:val="895"/>
        <w:numPr>
          <w:ilvl w:val="0"/>
          <w:numId w:val="11"/>
        </w:numPr>
        <w:spacing w:line="360" w:lineRule="auto"/>
        <w:tabs>
          <w:tab w:val="left" w:pos="567" w:leader="none"/>
        </w:tabs>
        <w:rPr>
          <w:rFonts w:hint="eastAsia" w:ascii="宋体" w:hAnsi="宋体" w:cs="宋体"/>
          <w:b/>
          <w:bCs/>
          <w:sz w:val="24"/>
        </w:rPr>
      </w:pPr>
      <w:r/>
      <w:bookmarkStart w:id="194" w:name="OLE_LINK67"/>
      <w:r/>
      <w:bookmarkStart w:id="195" w:name="OLE_LINK68"/>
      <w:r>
        <w:rPr>
          <w:rFonts w:hint="eastAsia" w:ascii="宋体" w:hAnsi="宋体" w:cs="宋体"/>
          <w:b/>
          <w:bCs/>
          <w:sz w:val="24"/>
        </w:rPr>
        <w:t xml:space="preserve">环境类检测能力情况</w:t>
      </w:r>
      <w:bookmarkEnd w:id="194"/>
      <w:r/>
      <w:bookmarkEnd w:id="195"/>
      <w:r>
        <w:rPr>
          <w:rFonts w:hint="eastAsia" w:ascii="宋体" w:hAnsi="宋体" w:cs="宋体"/>
          <w:b/>
          <w:bCs/>
          <w:sz w:val="24"/>
        </w:rPr>
        <w:t xml:space="preserve">（16分）</w:t>
      </w:r>
      <w:r/>
    </w:p>
    <w:p>
      <w:pPr>
        <w:pStyle w:val="895"/>
        <w:numPr>
          <w:ilvl w:val="0"/>
          <w:numId w:val="16"/>
        </w:numPr>
        <w:ind w:left="567" w:hanging="567"/>
        <w:jc w:val="left"/>
        <w:spacing w:line="360" w:lineRule="auto"/>
        <w:widowControl/>
        <w:tabs>
          <w:tab w:val="left" w:pos="567" w:leader="none"/>
        </w:tabs>
        <w:rPr>
          <w:rFonts w:hint="eastAsia" w:ascii="宋体" w:hAnsi="宋体" w:cs="宋体"/>
          <w:sz w:val="24"/>
        </w:rPr>
      </w:pPr>
      <w:r/>
      <w:bookmarkStart w:id="196" w:name="OLE_LINK69"/>
      <w:r/>
      <w:bookmarkStart w:id="197" w:name="OLE_LINK70"/>
      <w:r>
        <w:rPr>
          <w:rFonts w:hint="eastAsia" w:ascii="宋体" w:hAnsi="宋体" w:cs="宋体"/>
          <w:sz w:val="24"/>
        </w:rPr>
        <w:t xml:space="preserve">实验室能力情况</w:t>
      </w:r>
      <w:bookmarkEnd w:id="196"/>
      <w:r/>
      <w:bookmarkEnd w:id="197"/>
      <w:r>
        <w:rPr>
          <w:rFonts w:hint="eastAsia" w:ascii="宋体" w:hAnsi="宋体" w:cs="宋体"/>
          <w:sz w:val="24"/>
        </w:rPr>
        <w:t xml:space="preserve">（1分）</w:t>
      </w:r>
      <w:r/>
    </w:p>
    <w:p>
      <w:pPr>
        <w:pStyle w:val="895"/>
        <w:ind w:left="567"/>
        <w:spacing w:line="360" w:lineRule="auto"/>
        <w:tabs>
          <w:tab w:val="left" w:pos="567" w:leader="none"/>
        </w:tabs>
        <w:rPr>
          <w:rFonts w:hint="eastAsia" w:ascii="宋体" w:hAnsi="宋体" w:cs="宋体"/>
          <w:sz w:val="24"/>
        </w:rPr>
      </w:pPr>
      <w:r>
        <w:rPr>
          <w:rFonts w:hint="eastAsia" w:ascii="宋体" w:hAnsi="宋体" w:cs="宋体"/>
          <w:sz w:val="24"/>
        </w:rPr>
        <w:t xml:space="preserve">投标人实验室具有环境类司法鉴定资质的得1分；提供证书复印件，否则不得分。</w:t>
      </w:r>
      <w:r/>
    </w:p>
    <w:p>
      <w:pPr>
        <w:pStyle w:val="895"/>
        <w:numPr>
          <w:ilvl w:val="0"/>
          <w:numId w:val="16"/>
        </w:numPr>
        <w:jc w:val="left"/>
        <w:spacing w:line="360" w:lineRule="auto"/>
        <w:widowControl/>
        <w:tabs>
          <w:tab w:val="left" w:pos="567" w:leader="none"/>
        </w:tabs>
        <w:rPr>
          <w:rFonts w:hint="eastAsia" w:ascii="宋体" w:hAnsi="宋体" w:cs="宋体"/>
          <w:sz w:val="24"/>
        </w:rPr>
      </w:pPr>
      <w:r/>
      <w:bookmarkStart w:id="198" w:name="OLE_LINK71"/>
      <w:r/>
      <w:bookmarkStart w:id="199" w:name="OLE_LINK75"/>
      <w:r>
        <w:rPr>
          <w:rFonts w:hint="eastAsia" w:ascii="宋体" w:hAnsi="宋体" w:cs="宋体"/>
          <w:sz w:val="24"/>
        </w:rPr>
        <w:t xml:space="preserve">认定能力</w:t>
      </w:r>
      <w:bookmarkEnd w:id="198"/>
      <w:r/>
      <w:bookmarkEnd w:id="199"/>
      <w:r>
        <w:rPr>
          <w:rFonts w:hint="eastAsia" w:ascii="宋体" w:hAnsi="宋体" w:cs="宋体"/>
          <w:sz w:val="24"/>
        </w:rPr>
        <w:t xml:space="preserve">（6分）</w:t>
      </w:r>
      <w:r/>
    </w:p>
    <w:p>
      <w:pPr>
        <w:pStyle w:val="895"/>
        <w:ind w:left="567"/>
        <w:jc w:val="left"/>
        <w:spacing w:line="360" w:lineRule="auto"/>
        <w:widowControl/>
        <w:tabs>
          <w:tab w:val="left" w:pos="567" w:leader="none"/>
        </w:tabs>
        <w:rPr>
          <w:rFonts w:hint="eastAsia" w:ascii="宋体" w:hAnsi="宋体" w:cs="宋体"/>
          <w:sz w:val="24"/>
        </w:rPr>
      </w:pPr>
      <w:r>
        <w:rPr>
          <w:rFonts w:hint="eastAsia" w:ascii="宋体" w:hAnsi="宋体" w:cs="宋体"/>
          <w:sz w:val="24"/>
        </w:rPr>
        <w:t xml:space="preserve">①在检验检测机构资质认定有效期内，</w:t>
      </w:r>
      <w:bookmarkStart w:id="200" w:name="OLE_LINK3"/>
      <w:r/>
      <w:bookmarkStart w:id="201" w:name="OLE_LINK2"/>
      <w:r>
        <w:rPr>
          <w:rFonts w:hint="eastAsia" w:ascii="宋体" w:hAnsi="宋体" w:cs="宋体"/>
          <w:sz w:val="24"/>
        </w:rPr>
        <w:t xml:space="preserve">通过实验室资质认定能力的检测项目</w:t>
      </w:r>
      <w:bookmarkEnd w:id="200"/>
      <w:r/>
      <w:bookmarkEnd w:id="201"/>
      <w:r>
        <w:rPr>
          <w:rFonts w:hint="eastAsia" w:ascii="宋体" w:hAnsi="宋体" w:cs="宋体"/>
          <w:sz w:val="24"/>
        </w:rPr>
        <w:t xml:space="preserve">具有《地表水环境质量标准》（GB3838-2002）表1和表2全部29项的得4分；②表3的80项中：70-74项的得1分，75-80项的得1分。（需将表3中监测项目按标准中的顺序列出，说明是否具有资质能力，并注明对应资质认定证书能力表的哪一项，须提供资质认定证书附表等证明材料复印件，否则不得分。</w:t>
      </w:r>
      <w:r/>
    </w:p>
    <w:p>
      <w:pPr>
        <w:pStyle w:val="895"/>
        <w:numPr>
          <w:ilvl w:val="0"/>
          <w:numId w:val="16"/>
        </w:numPr>
        <w:jc w:val="left"/>
        <w:spacing w:line="360" w:lineRule="auto"/>
        <w:widowControl/>
        <w:tabs>
          <w:tab w:val="left" w:pos="567" w:leader="none"/>
        </w:tabs>
        <w:rPr>
          <w:rFonts w:hint="eastAsia" w:ascii="宋体" w:hAnsi="宋体" w:cs="宋体"/>
          <w:sz w:val="24"/>
        </w:rPr>
      </w:pPr>
      <w:r/>
      <w:bookmarkStart w:id="202" w:name="OLE_LINK76"/>
      <w:r/>
      <w:bookmarkStart w:id="203" w:name="OLE_LINK77"/>
      <w:r>
        <w:rPr>
          <w:rFonts w:hint="eastAsia" w:ascii="宋体" w:hAnsi="宋体" w:cs="宋体"/>
          <w:sz w:val="24"/>
        </w:rPr>
        <w:t xml:space="preserve">测定能力</w:t>
      </w:r>
      <w:bookmarkEnd w:id="202"/>
      <w:r/>
      <w:bookmarkEnd w:id="203"/>
      <w:r>
        <w:rPr>
          <w:rFonts w:hint="eastAsia" w:ascii="宋体" w:hAnsi="宋体" w:cs="宋体"/>
          <w:sz w:val="24"/>
        </w:rPr>
        <w:t xml:space="preserve">（5分）</w:t>
      </w:r>
      <w:r/>
    </w:p>
    <w:p>
      <w:pPr>
        <w:pStyle w:val="895"/>
        <w:numPr>
          <w:ilvl w:val="0"/>
          <w:numId w:val="17"/>
        </w:numPr>
        <w:jc w:val="left"/>
        <w:spacing w:line="360" w:lineRule="auto"/>
        <w:widowControl/>
        <w:tabs>
          <w:tab w:val="left" w:pos="567" w:leader="none"/>
        </w:tabs>
        <w:rPr>
          <w:rFonts w:hint="eastAsia" w:ascii="宋体" w:hAnsi="宋体" w:cs="宋体"/>
          <w:sz w:val="24"/>
        </w:rPr>
      </w:pPr>
      <w:r>
        <w:rPr>
          <w:rFonts w:hint="eastAsia" w:ascii="宋体" w:hAnsi="宋体" w:cs="宋体"/>
          <w:sz w:val="24"/>
        </w:rPr>
        <w:t xml:space="preserve">检验检测机构资质认定(实验室资质认定)具有废气二噁英监测及分析能力得1分；</w:t>
      </w:r>
      <w:r/>
    </w:p>
    <w:p>
      <w:pPr>
        <w:pStyle w:val="895"/>
        <w:numPr>
          <w:ilvl w:val="0"/>
          <w:numId w:val="17"/>
        </w:numPr>
        <w:jc w:val="left"/>
        <w:spacing w:line="360" w:lineRule="auto"/>
        <w:widowControl/>
        <w:tabs>
          <w:tab w:val="left" w:pos="567" w:leader="none"/>
        </w:tabs>
        <w:rPr>
          <w:rFonts w:hint="eastAsia" w:ascii="宋体" w:hAnsi="宋体" w:cs="宋体"/>
          <w:sz w:val="24"/>
        </w:rPr>
      </w:pPr>
      <w:r>
        <w:rPr>
          <w:rFonts w:hint="eastAsia" w:ascii="宋体" w:hAnsi="宋体" w:cs="宋体"/>
          <w:sz w:val="24"/>
        </w:rPr>
        <w:t xml:space="preserve">具备《土壤环境质量 建设用地土壤污染风险管控标准(试行)》GB36600-2018表1规定重金属和无机物及挥发性有机物34项测定能力的得1分，具备表1规定的45项全项指标得2分；</w:t>
      </w:r>
      <w:r/>
    </w:p>
    <w:p>
      <w:pPr>
        <w:pStyle w:val="895"/>
        <w:numPr>
          <w:ilvl w:val="0"/>
          <w:numId w:val="17"/>
        </w:numPr>
        <w:jc w:val="left"/>
        <w:spacing w:line="360" w:lineRule="auto"/>
        <w:widowControl/>
        <w:tabs>
          <w:tab w:val="left" w:pos="567" w:leader="none"/>
        </w:tabs>
        <w:rPr>
          <w:rFonts w:hint="eastAsia" w:ascii="宋体" w:hAnsi="宋体" w:cs="宋体"/>
          <w:sz w:val="24"/>
        </w:rPr>
      </w:pPr>
      <w:r>
        <w:rPr>
          <w:rFonts w:hint="eastAsia" w:ascii="宋体" w:hAnsi="宋体" w:cs="宋体"/>
          <w:sz w:val="24"/>
        </w:rPr>
        <w:t xml:space="preserve">具备水质烷基汞测定能力的得1分；</w:t>
      </w:r>
      <w:r/>
    </w:p>
    <w:p>
      <w:pPr>
        <w:pStyle w:val="895"/>
        <w:numPr>
          <w:ilvl w:val="0"/>
          <w:numId w:val="17"/>
        </w:numPr>
        <w:jc w:val="left"/>
        <w:spacing w:line="360" w:lineRule="auto"/>
        <w:widowControl/>
        <w:tabs>
          <w:tab w:val="left" w:pos="567" w:leader="none"/>
        </w:tabs>
        <w:rPr>
          <w:rFonts w:hint="eastAsia" w:ascii="宋体" w:hAnsi="宋体" w:cs="宋体"/>
          <w:sz w:val="24"/>
        </w:rPr>
      </w:pPr>
      <w:r>
        <w:rPr>
          <w:rFonts w:hint="eastAsia" w:ascii="宋体" w:hAnsi="宋体" w:cs="宋体"/>
          <w:sz w:val="24"/>
        </w:rPr>
        <w:t xml:space="preserve">具备环境空气或废气中二氧化碳、酰胺类化合物、三甲苯、三甲胺测定能力的得1分。提供能力项目统计表，列出附表对应序号、对应截图等，否则不得分。</w:t>
      </w:r>
      <w:r/>
    </w:p>
    <w:p>
      <w:pPr>
        <w:pStyle w:val="895"/>
        <w:numPr>
          <w:ilvl w:val="0"/>
          <w:numId w:val="16"/>
        </w:numPr>
        <w:jc w:val="left"/>
        <w:spacing w:line="360" w:lineRule="auto"/>
        <w:widowControl/>
        <w:tabs>
          <w:tab w:val="left" w:pos="567" w:leader="none"/>
        </w:tabs>
        <w:rPr>
          <w:rFonts w:hint="eastAsia" w:ascii="宋体" w:hAnsi="宋体" w:cs="宋体"/>
          <w:sz w:val="24"/>
        </w:rPr>
      </w:pPr>
      <w:r/>
      <w:bookmarkStart w:id="204" w:name="OLE_LINK86"/>
      <w:r/>
      <w:bookmarkStart w:id="205" w:name="OLE_LINK87"/>
      <w:r/>
      <w:bookmarkStart w:id="206" w:name="OLE_LINK88"/>
      <w:r>
        <w:rPr>
          <w:rFonts w:hint="eastAsia" w:ascii="宋体" w:hAnsi="宋体" w:cs="宋体"/>
          <w:sz w:val="24"/>
        </w:rPr>
        <w:t xml:space="preserve">危险废物鉴别能力及污泥检测能力</w:t>
      </w:r>
      <w:bookmarkEnd w:id="204"/>
      <w:r/>
      <w:bookmarkEnd w:id="205"/>
      <w:r/>
      <w:bookmarkEnd w:id="206"/>
      <w:r>
        <w:rPr>
          <w:rFonts w:hint="eastAsia" w:ascii="宋体" w:hAnsi="宋体" w:cs="宋体"/>
          <w:sz w:val="24"/>
        </w:rPr>
        <w:t xml:space="preserve">(4分)</w:t>
      </w:r>
      <w:r/>
    </w:p>
    <w:p>
      <w:pPr>
        <w:pStyle w:val="895"/>
        <w:numPr>
          <w:ilvl w:val="0"/>
          <w:numId w:val="18"/>
        </w:numPr>
        <w:spacing w:line="360" w:lineRule="auto"/>
        <w:tabs>
          <w:tab w:val="left" w:pos="567" w:leader="none"/>
        </w:tabs>
        <w:rPr>
          <w:rFonts w:hint="eastAsia" w:ascii="宋体" w:hAnsi="宋体" w:cs="宋体"/>
          <w:sz w:val="24"/>
        </w:rPr>
      </w:pPr>
      <w:r>
        <w:rPr>
          <w:rFonts w:hint="eastAsia" w:ascii="宋体" w:hAnsi="宋体" w:cs="宋体"/>
          <w:sz w:val="24"/>
        </w:rPr>
        <w:t xml:space="preserve">检验检测机构资质认定（实验室资质认定）具有危险废物鉴别能力项目（以是否是采用固体废物分析方法作为评判标准），每10项得1分，最高2分；</w:t>
      </w:r>
      <w:r/>
    </w:p>
    <w:p>
      <w:pPr>
        <w:pStyle w:val="895"/>
        <w:numPr>
          <w:ilvl w:val="0"/>
          <w:numId w:val="18"/>
        </w:numPr>
        <w:spacing w:line="360" w:lineRule="auto"/>
        <w:tabs>
          <w:tab w:val="left" w:pos="567" w:leader="none"/>
        </w:tabs>
        <w:rPr>
          <w:rFonts w:hint="eastAsia" w:ascii="宋体" w:hAnsi="宋体" w:cs="宋体"/>
          <w:sz w:val="24"/>
        </w:rPr>
      </w:pPr>
      <w:r>
        <w:rPr>
          <w:rFonts w:hint="eastAsia" w:ascii="宋体" w:hAnsi="宋体" w:cs="宋体"/>
          <w:sz w:val="24"/>
        </w:rPr>
        <w:t xml:space="preserve">具有《城镇污泥标准检验方法》CJT221-2023能力项目低于10项不得分，10-20项得1分，超过20项得2分。</w:t>
      </w:r>
      <w:r/>
    </w:p>
    <w:p>
      <w:pPr>
        <w:pStyle w:val="895"/>
        <w:ind w:left="567"/>
        <w:spacing w:line="360" w:lineRule="auto"/>
        <w:tabs>
          <w:tab w:val="left" w:pos="567" w:leader="none"/>
        </w:tabs>
        <w:rPr>
          <w:rFonts w:hint="eastAsia" w:ascii="宋体" w:hAnsi="宋体" w:cs="宋体"/>
          <w:sz w:val="24"/>
        </w:rPr>
      </w:pPr>
      <w:r>
        <w:rPr>
          <w:rFonts w:hint="eastAsia" w:ascii="宋体" w:hAnsi="宋体" w:cs="宋体"/>
          <w:sz w:val="24"/>
        </w:rPr>
        <w:t xml:space="preserve">[提供危险废物鉴别能力及污泥检测能力项目统计表（要求列出在检验检测机构资质认定（实验室资质认定）附表中对应项目的序号），否则不得分]。</w:t>
      </w:r>
      <w:r/>
    </w:p>
    <w:p>
      <w:pPr>
        <w:pStyle w:val="895"/>
        <w:numPr>
          <w:ilvl w:val="0"/>
          <w:numId w:val="11"/>
        </w:numPr>
        <w:spacing w:line="360" w:lineRule="auto"/>
        <w:tabs>
          <w:tab w:val="left" w:pos="567" w:leader="none"/>
        </w:tabs>
        <w:rPr>
          <w:rFonts w:hint="eastAsia" w:ascii="宋体" w:hAnsi="宋体" w:cs="宋体"/>
          <w:b/>
          <w:bCs/>
          <w:color w:val="000000"/>
          <w:sz w:val="24"/>
        </w:rPr>
      </w:pPr>
      <w:r/>
      <w:bookmarkStart w:id="207" w:name="OLE_LINK91"/>
      <w:r>
        <w:rPr>
          <w:rFonts w:hint="eastAsia" w:ascii="宋体" w:hAnsi="宋体" w:cs="宋体"/>
          <w:b/>
          <w:bCs/>
          <w:color w:val="000000"/>
          <w:sz w:val="24"/>
        </w:rPr>
        <w:t xml:space="preserve">能力验证</w:t>
      </w:r>
      <w:bookmarkEnd w:id="207"/>
      <w:r>
        <w:rPr>
          <w:rFonts w:hint="eastAsia" w:ascii="宋体" w:hAnsi="宋体" w:cs="宋体"/>
          <w:b/>
          <w:bCs/>
          <w:color w:val="000000"/>
          <w:sz w:val="24"/>
        </w:rPr>
        <w:t xml:space="preserve">（4分）</w:t>
      </w:r>
      <w:r/>
    </w:p>
    <w:p>
      <w:pPr>
        <w:pStyle w:val="895"/>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2024年以来参加权威机构组织的能力验证每通过10项得1分，最高得4分。须附有效证明材料，否则不得分。</w:t>
      </w:r>
      <w:r/>
    </w:p>
    <w:p>
      <w:pPr>
        <w:pStyle w:val="895"/>
        <w:numPr>
          <w:ilvl w:val="0"/>
          <w:numId w:val="11"/>
        </w:numPr>
        <w:spacing w:line="360" w:lineRule="auto"/>
        <w:tabs>
          <w:tab w:val="left" w:pos="567" w:leader="none"/>
        </w:tabs>
        <w:rPr>
          <w:rFonts w:hint="eastAsia" w:ascii="宋体" w:hAnsi="宋体" w:cs="宋体"/>
          <w:b/>
          <w:bCs/>
          <w:color w:val="000000"/>
          <w:sz w:val="24"/>
        </w:rPr>
      </w:pPr>
      <w:r/>
      <w:bookmarkStart w:id="208" w:name="OLE_LINK92"/>
      <w:r/>
      <w:bookmarkStart w:id="209" w:name="OLE_LINK93"/>
      <w:r>
        <w:rPr>
          <w:rFonts w:hint="eastAsia" w:ascii="宋体" w:hAnsi="宋体" w:cs="宋体"/>
          <w:b/>
          <w:bCs/>
          <w:color w:val="000000"/>
          <w:sz w:val="24"/>
        </w:rPr>
        <w:t xml:space="preserve">监测服务业绩、评价</w:t>
      </w:r>
      <w:bookmarkEnd w:id="208"/>
      <w:r/>
      <w:bookmarkEnd w:id="209"/>
      <w:r>
        <w:rPr>
          <w:rFonts w:hint="eastAsia" w:ascii="宋体" w:hAnsi="宋体" w:cs="宋体"/>
          <w:b/>
          <w:bCs/>
          <w:color w:val="000000"/>
          <w:sz w:val="24"/>
        </w:rPr>
        <w:t xml:space="preserve">（6分）</w:t>
      </w:r>
      <w:r/>
    </w:p>
    <w:p>
      <w:pPr>
        <w:pStyle w:val="895"/>
        <w:numPr>
          <w:ilvl w:val="0"/>
          <w:numId w:val="19"/>
        </w:numPr>
        <w:ind w:left="567" w:hanging="567"/>
        <w:spacing w:line="360" w:lineRule="auto"/>
        <w:tabs>
          <w:tab w:val="left" w:pos="567" w:leader="none"/>
        </w:tabs>
        <w:rPr>
          <w:rFonts w:hint="eastAsia" w:ascii="宋体" w:hAnsi="宋体" w:cs="宋体"/>
          <w:sz w:val="24"/>
        </w:rPr>
      </w:pPr>
      <w:r>
        <w:rPr>
          <w:rFonts w:hint="eastAsia" w:ascii="宋体" w:hAnsi="宋体" w:cs="宋体"/>
          <w:color w:val="000000"/>
          <w:sz w:val="24"/>
        </w:rPr>
        <w:t xml:space="preserve">2024年以来（以合同签订时间为准）</w:t>
      </w:r>
      <w:bookmarkStart w:id="210" w:name="OLE_LINK94"/>
      <w:r/>
      <w:bookmarkStart w:id="211" w:name="OLE_LINK95"/>
      <w:r>
        <w:rPr>
          <w:rFonts w:hint="eastAsia" w:ascii="宋体" w:hAnsi="宋体" w:cs="宋体"/>
          <w:color w:val="000000"/>
          <w:sz w:val="24"/>
        </w:rPr>
        <w:t xml:space="preserve">承担过生态环境系统环境监测项目</w:t>
      </w:r>
      <w:bookmarkEnd w:id="210"/>
      <w:r/>
      <w:bookmarkEnd w:id="211"/>
      <w:r>
        <w:rPr>
          <w:rFonts w:hint="eastAsia" w:ascii="宋体" w:hAnsi="宋体" w:cs="宋体"/>
          <w:sz w:val="24"/>
        </w:rPr>
        <w:t xml:space="preserve">，有4次得1分，最高得3分。须提供合同复印或扫描件，否则不得分。</w:t>
      </w:r>
      <w:r/>
    </w:p>
    <w:p>
      <w:pPr>
        <w:pStyle w:val="895"/>
        <w:numPr>
          <w:ilvl w:val="0"/>
          <w:numId w:val="19"/>
        </w:numPr>
        <w:spacing w:line="360" w:lineRule="auto"/>
        <w:tabs>
          <w:tab w:val="left" w:pos="567" w:leader="none"/>
        </w:tabs>
        <w:rPr>
          <w:rFonts w:hint="eastAsia" w:ascii="宋体" w:hAnsi="宋体" w:cs="宋体"/>
          <w:color w:val="000000"/>
          <w:sz w:val="24"/>
        </w:rPr>
      </w:pPr>
      <w:r>
        <w:rPr>
          <w:rFonts w:hint="eastAsia" w:ascii="宋体" w:hAnsi="宋体" w:cs="宋体"/>
          <w:sz w:val="24"/>
        </w:rPr>
        <w:t xml:space="preserve">2025年以来</w:t>
      </w:r>
      <w:bookmarkStart w:id="212" w:name="OLE_LINK96"/>
      <w:r/>
      <w:bookmarkStart w:id="213" w:name="OLE_LINK97"/>
      <w:r>
        <w:rPr>
          <w:rFonts w:hint="eastAsia" w:ascii="宋体" w:hAnsi="宋体" w:cs="宋体"/>
          <w:sz w:val="24"/>
        </w:rPr>
        <w:t xml:space="preserve">未被</w:t>
      </w:r>
      <w:bookmarkEnd w:id="212"/>
      <w:r/>
      <w:bookmarkEnd w:id="213"/>
      <w:r>
        <w:rPr>
          <w:rFonts w:hint="eastAsia" w:ascii="宋体" w:hAnsi="宋体" w:cs="宋体"/>
          <w:sz w:val="24"/>
        </w:rPr>
        <w:t xml:space="preserve">行业主管部门或市场监督管理部门处以警告、暂</w:t>
      </w:r>
      <w:r>
        <w:rPr>
          <w:rFonts w:hint="eastAsia" w:ascii="宋体" w:hAnsi="宋体" w:cs="宋体"/>
          <w:sz w:val="24"/>
        </w:rPr>
        <w:t xml:space="preserve">停、取消经营资格、罚款等行政处罚或擅自变更、转让、租借定点资格</w:t>
      </w:r>
      <w:r>
        <w:rPr>
          <w:rFonts w:hint="eastAsia" w:ascii="宋体" w:hAnsi="宋体" w:cs="宋体"/>
          <w:sz w:val="24"/>
        </w:rPr>
        <w:t xml:space="preserve">的</w:t>
      </w:r>
      <w:r>
        <w:rPr>
          <w:rFonts w:hint="eastAsia" w:ascii="宋体" w:hAnsi="宋体" w:cs="宋体"/>
          <w:sz w:val="24"/>
        </w:rPr>
        <w:t xml:space="preserve">，</w:t>
      </w:r>
      <w:r>
        <w:rPr>
          <w:rFonts w:hint="eastAsia" w:ascii="宋体" w:hAnsi="宋体" w:cs="宋体"/>
          <w:sz w:val="24"/>
        </w:rPr>
        <w:t xml:space="preserve">得3分</w:t>
      </w:r>
      <w:r>
        <w:rPr>
          <w:rFonts w:hint="eastAsia" w:ascii="宋体" w:hAnsi="宋体" w:cs="宋体"/>
          <w:color w:val="000000"/>
          <w:sz w:val="24"/>
        </w:rPr>
        <w:t xml:space="preserve">，提供相应声明函，否则不得分。</w:t>
      </w:r>
      <w:r/>
    </w:p>
    <w:p>
      <w:pPr>
        <w:pStyle w:val="895"/>
        <w:numPr>
          <w:ilvl w:val="0"/>
          <w:numId w:val="11"/>
        </w:numPr>
        <w:spacing w:line="360" w:lineRule="auto"/>
        <w:tabs>
          <w:tab w:val="left" w:pos="567" w:leader="none"/>
        </w:tabs>
        <w:rPr>
          <w:rFonts w:hint="eastAsia" w:ascii="宋体" w:hAnsi="宋体" w:cs="宋体"/>
          <w:b/>
          <w:bCs/>
          <w:color w:val="000000"/>
          <w:sz w:val="24"/>
        </w:rPr>
      </w:pPr>
      <w:r/>
      <w:bookmarkStart w:id="214" w:name="OLE_LINK98"/>
      <w:r/>
      <w:bookmarkStart w:id="215" w:name="OLE_LINK99"/>
      <w:r>
        <w:rPr>
          <w:rFonts w:hint="eastAsia" w:ascii="宋体" w:hAnsi="宋体" w:cs="宋体"/>
          <w:b/>
          <w:bCs/>
          <w:color w:val="000000"/>
          <w:sz w:val="24"/>
        </w:rPr>
        <w:t xml:space="preserve">盲样考核</w:t>
      </w:r>
      <w:bookmarkEnd w:id="214"/>
      <w:r/>
      <w:bookmarkEnd w:id="215"/>
      <w:r>
        <w:rPr>
          <w:rFonts w:hint="eastAsia" w:ascii="宋体" w:hAnsi="宋体" w:cs="宋体"/>
          <w:b/>
          <w:bCs/>
          <w:color w:val="000000"/>
          <w:sz w:val="24"/>
        </w:rPr>
        <w:t xml:space="preserve">（24分）</w:t>
      </w:r>
      <w:r/>
    </w:p>
    <w:p>
      <w:pPr>
        <w:pStyle w:val="895"/>
        <w:ind w:left="567"/>
        <w:spacing w:line="360" w:lineRule="auto"/>
        <w:tabs>
          <w:tab w:val="left" w:pos="567" w:leader="none"/>
        </w:tabs>
        <w:rPr>
          <w:rFonts w:hint="eastAsia" w:ascii="宋体" w:hAnsi="宋体" w:cs="宋体"/>
          <w:color w:val="000000"/>
          <w:sz w:val="24"/>
        </w:rPr>
      </w:pPr>
      <w:r>
        <w:rPr>
          <w:rFonts w:hint="eastAsia" w:ascii="宋体" w:hAnsi="宋体" w:cs="宋体"/>
          <w:color w:val="000000"/>
          <w:sz w:val="24"/>
        </w:rPr>
        <w:t xml:space="preserve">盲样考核共4个，按照En值评定分值，En≤0.25不扣分，0.25＜En≤0.68每个扣2分，0.68＜En≤1每个扣4分，En＞1的每个扣6分。每个盲样至少得出两组实验结果，否则本项不得分。</w:t>
      </w:r>
      <w:r/>
    </w:p>
    <w:p>
      <w:pPr>
        <w:pStyle w:val="895"/>
        <w:ind w:left="567"/>
        <w:tabs>
          <w:tab w:val="left" w:pos="567" w:leader="none"/>
        </w:tabs>
        <w:rPr>
          <w:rFonts w:hint="eastAsia" w:cs="宋体"/>
          <w:color w:val="000000"/>
        </w:rPr>
      </w:pPr>
      <w:r>
        <w:rPr>
          <w:rFonts w:cs="宋体"/>
          <w:color w:val="000000"/>
        </w:rPr>
        <mc:AlternateContent>
          <mc:Choice Requires="wpg">
            <w:drawing>
              <wp:inline xmlns:wp="http://schemas.openxmlformats.org/drawingml/2006/wordprocessingDrawing" distT="0" distB="0" distL="0" distR="0">
                <wp:extent cx="1419339" cy="8097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19339" cy="8097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1.8pt;height:63.8pt;mso-wrap-distance-left:0.0pt;mso-wrap-distance-top:0.0pt;mso-wrap-distance-right:0.0pt;mso-wrap-distance-bottom:0.0pt;" stroked="f">
                <v:path textboxrect="0,0,0,0"/>
                <v:imagedata r:id="rId13" o:title=""/>
              </v:shape>
            </w:pict>
          </mc:Fallback>
        </mc:AlternateContent>
      </w:r>
      <w:r>
        <w:rPr>
          <w:rFonts w:hint="eastAsia" w:cs="宋体"/>
          <w:color w:val="000000"/>
        </w:rPr>
      </w:r>
      <w:r/>
    </w:p>
    <w:p>
      <w:pPr>
        <w:pStyle w:val="895"/>
        <w:ind w:left="567"/>
        <w:spacing w:line="400" w:lineRule="exact"/>
        <w:tabs>
          <w:tab w:val="left" w:pos="567" w:leader="none"/>
        </w:tabs>
        <w:rPr>
          <w:rFonts w:hint="eastAsia" w:cs="宋体"/>
          <w:b/>
          <w:color w:val="000000"/>
        </w:rPr>
      </w:pPr>
      <w:r>
        <w:rPr>
          <w:rFonts w:hint="eastAsia" w:cs="宋体"/>
          <w:b/>
          <w:color w:val="000000"/>
        </w:rPr>
        <w:t xml:space="preserve">（须附完整原始记录及含日期时间的实验过程、实验人员、实验场所的现场照片，否则本项不得分。）</w:t>
      </w:r>
      <w:r/>
    </w:p>
    <w:p>
      <w:pPr>
        <w:pStyle w:val="895"/>
        <w:contextualSpacing/>
        <w:spacing w:line="360" w:lineRule="auto"/>
        <w:rPr>
          <w:rFonts w:hint="eastAsia" w:ascii="宋体" w:hAnsi="宋体"/>
          <w:sz w:val="24"/>
        </w:rPr>
      </w:pPr>
      <w:r>
        <w:rPr>
          <w:rFonts w:hint="eastAsia" w:ascii="宋体" w:hAnsi="宋体"/>
          <w:sz w:val="24"/>
        </w:rPr>
      </w:r>
      <w:r/>
    </w:p>
    <w:p>
      <w:pPr>
        <w:pStyle w:val="895"/>
        <w:contextualSpacing/>
        <w:spacing w:line="360" w:lineRule="auto"/>
        <w:rPr>
          <w:rFonts w:hint="eastAsia" w:ascii="宋体" w:hAnsi="宋体"/>
          <w:b/>
          <w:sz w:val="24"/>
        </w:rPr>
        <w:outlineLvl w:val="0"/>
      </w:pPr>
      <w:r/>
      <w:bookmarkStart w:id="216" w:name="_Toc133149830"/>
      <w:r/>
      <w:bookmarkStart w:id="217" w:name="_Toc36801136"/>
      <w:r>
        <w:rPr>
          <w:rFonts w:hint="eastAsia" w:ascii="宋体" w:hAnsi="宋体"/>
          <w:b/>
          <w:sz w:val="24"/>
        </w:rPr>
        <w:t xml:space="preserve">备注：</w:t>
      </w:r>
      <w:bookmarkEnd w:id="216"/>
      <w:r/>
      <w:bookmarkEnd w:id="217"/>
      <w:r>
        <w:rPr>
          <w:rFonts w:hint="eastAsia" w:ascii="宋体" w:hAnsi="宋体"/>
          <w:b/>
          <w:sz w:val="24"/>
        </w:rPr>
      </w:r>
      <w:r/>
    </w:p>
    <w:p>
      <w:pPr>
        <w:pStyle w:val="895"/>
        <w:contextualSpacing/>
        <w:ind w:firstLine="420"/>
        <w:spacing w:line="360" w:lineRule="auto"/>
        <w:rPr>
          <w:rFonts w:ascii="宋体" w:hAnsi="宋体"/>
          <w:sz w:val="24"/>
        </w:rPr>
      </w:pPr>
      <w:r>
        <w:rPr>
          <w:rFonts w:hint="eastAsia" w:ascii="宋体" w:hAnsi="宋体"/>
          <w:sz w:val="24"/>
        </w:rPr>
        <w:t xml:space="preserve">1.针对评分标准中评分的每一条，投标人均应提供相关资料并作出相应说明供评委评判，不提供相关资料的视为不具备该项得分的条件。</w:t>
      </w:r>
      <w:r>
        <w:rPr>
          <w:rFonts w:ascii="宋体" w:hAnsi="宋体"/>
          <w:sz w:val="24"/>
        </w:rPr>
      </w:r>
      <w:r/>
    </w:p>
    <w:p>
      <w:pPr>
        <w:pStyle w:val="895"/>
        <w:contextualSpacing/>
        <w:ind w:firstLine="420"/>
        <w:spacing w:line="360" w:lineRule="auto"/>
        <w:rPr>
          <w:rFonts w:ascii="宋体" w:hAnsi="宋体"/>
          <w:sz w:val="24"/>
        </w:rPr>
      </w:pPr>
      <w:r>
        <w:rPr>
          <w:rFonts w:hint="eastAsia" w:ascii="宋体" w:hAnsi="宋体"/>
          <w:sz w:val="24"/>
        </w:rPr>
        <w:t xml:space="preserve">2.投标文件中如出现前后不一致时，评委有权请投标人澄清说明，澄清说明事项涉及评分时，评委有权酌情扣分。</w:t>
      </w:r>
      <w:r>
        <w:rPr>
          <w:rFonts w:ascii="宋体" w:hAnsi="宋体"/>
          <w:sz w:val="24"/>
        </w:rPr>
      </w:r>
      <w:r/>
    </w:p>
    <w:p>
      <w:pPr>
        <w:pStyle w:val="895"/>
        <w:contextualSpacing/>
        <w:ind w:firstLine="420"/>
        <w:spacing w:line="360" w:lineRule="auto"/>
        <w:rPr>
          <w:rFonts w:hint="eastAsia" w:ascii="宋体" w:hAnsi="宋体"/>
          <w:sz w:val="24"/>
        </w:rPr>
      </w:pPr>
      <w:r>
        <w:rPr>
          <w:rFonts w:hint="eastAsia" w:ascii="宋体" w:hAnsi="宋体"/>
          <w:sz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sectPr>
      <w:headerReference w:type="default" r:id="rId9"/>
      <w:footerReference w:type="default" r:id="rId10"/>
      <w:footerReference w:type="even" r:id="rId11"/>
      <w:footnotePr/>
      <w:endnotePr/>
      <w:type w:val="nextPage"/>
      <w:pgSz w:w="11906" w:h="16838" w:orient="portrait"/>
      <w:pgMar w:top="1418" w:right="1531" w:bottom="1418"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宋体;SimSun">
    <w:panose1 w:val="02010600030101010101"/>
  </w:font>
  <w:font w:name="华文新魏">
    <w:panose1 w:val="02010800040101010101"/>
  </w:font>
  <w:font w:name="Symbol">
    <w:panose1 w:val="05050102010706020507"/>
  </w:font>
  <w:font w:name="Wingdings">
    <w:panose1 w:val="05000000000000000000"/>
  </w:font>
  <w:font w:name="宋体-18030">
    <w:panose1 w:val="02010600030101010101"/>
  </w:font>
  <w:font w:name="楷体_GB2312;楷体">
    <w:panose1 w:val="02010609060101010101"/>
  </w:font>
  <w:font w:name="Courier New">
    <w:panose1 w:val="02070309020205020404"/>
  </w:font>
  <w:font w:name="方正仿宋简体">
    <w:panose1 w:val="020B0503020202020204"/>
  </w:font>
  <w:font w:name="Tahoma">
    <w:panose1 w:val="020B0604030504040204"/>
  </w:font>
  <w:font w:name="Calibri">
    <w:panose1 w:val="020F0502020204030204"/>
  </w:font>
  <w:font w:name="方正大黑简体">
    <w:panose1 w:val="020B0503020202020204"/>
  </w:font>
  <w:font w:name="华文中宋">
    <w:panose1 w:val="02010600040101010101"/>
  </w:font>
  <w:font w:name="仿宋_GB2312">
    <w:panose1 w:val="02010609060101010101"/>
  </w:font>
  <w:font w:name="黑体">
    <w:panose1 w:val="02010609060101010101"/>
  </w:font>
  <w:font w:name="Cambria">
    <w:panose1 w:val="020405030504060302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38"/>
      </w:rPr>
      <w:framePr w:wrap="around" w:vAnchor="text" w:hAnchor="margin" w:xAlign="center" w:y="1"/>
    </w:pPr>
    <w:r>
      <w:fldChar w:fldCharType="begin"/>
    </w:r>
    <w:r>
      <w:rPr>
        <w:rStyle w:val="938"/>
      </w:rPr>
      <w:instrText xml:space="preserve">PAGE  </w:instrText>
    </w:r>
    <w:r>
      <w:fldChar w:fldCharType="separate"/>
    </w:r>
    <w:r>
      <w:rPr>
        <w:rStyle w:val="938"/>
      </w:rPr>
      <w:t xml:space="preserve">50</w:t>
    </w:r>
    <w:r>
      <w:fldChar w:fldCharType="end"/>
    </w:r>
    <w:r>
      <w:rPr>
        <w:rStyle w:val="938"/>
      </w:rPr>
    </w:r>
    <w:r/>
  </w:p>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38"/>
      </w:rPr>
      <w:framePr w:wrap="around" w:vAnchor="text" w:hAnchor="margin" w:xAlign="center" w:y="1"/>
    </w:pPr>
    <w:r>
      <w:fldChar w:fldCharType="begin"/>
    </w:r>
    <w:r>
      <w:rPr>
        <w:rStyle w:val="938"/>
      </w:rPr>
      <w:instrText xml:space="preserve">PAGE  </w:instrText>
    </w:r>
    <w:r>
      <w:fldChar w:fldCharType="end"/>
    </w:r>
    <w:r>
      <w:rPr>
        <w:rStyle w:val="938"/>
      </w:rPr>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both"/>
      <w:rPr>
        <w:rFonts w:hint="eastAsia" w:ascii="华文新魏" w:hAnsi="华文中宋" w:eastAsia="华文新魏"/>
      </w:rPr>
    </w:pPr>
    <w:r>
      <w:rPr>
        <w:rFonts w:hint="eastAsia" w:ascii="华文新魏" w:hAnsi="华文中宋" w:eastAsia="华文新魏"/>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95"/>
        <w:ind w:left="567" w:hanging="567"/>
        <w:tabs>
          <w:tab w:val="num" w:pos="567" w:leader="none"/>
        </w:tabs>
      </w:pPr>
    </w:lvl>
    <w:lvl w:ilvl="1">
      <w:start w:val="1"/>
      <w:numFmt w:val="lowerLetter"/>
      <w:isLgl w:val="false"/>
      <w:suff w:val="tab"/>
      <w:lvlText w:val="%2)"/>
      <w:lvlJc w:val="left"/>
      <w:pPr>
        <w:pStyle w:val="895"/>
        <w:ind w:left="840" w:hanging="420"/>
      </w:pPr>
    </w:lvl>
    <w:lvl w:ilvl="2">
      <w:start w:val="1"/>
      <w:numFmt w:val="lowerRoman"/>
      <w:isLgl w:val="false"/>
      <w:suff w:val="tab"/>
      <w:lvlText w:val="%3."/>
      <w:lvlJc w:val="right"/>
      <w:pPr>
        <w:pStyle w:val="895"/>
        <w:ind w:left="1260" w:hanging="420"/>
      </w:pPr>
    </w:lvl>
    <w:lvl w:ilvl="3">
      <w:start w:val="1"/>
      <w:numFmt w:val="decimal"/>
      <w:isLgl w:val="false"/>
      <w:suff w:val="tab"/>
      <w:lvlText w:val="%4."/>
      <w:lvlJc w:val="left"/>
      <w:pPr>
        <w:pStyle w:val="895"/>
        <w:ind w:left="1680" w:hanging="420"/>
      </w:pPr>
    </w:lvl>
    <w:lvl w:ilvl="4">
      <w:start w:val="1"/>
      <w:numFmt w:val="lowerLetter"/>
      <w:isLgl w:val="false"/>
      <w:suff w:val="tab"/>
      <w:lvlText w:val="%5)"/>
      <w:lvlJc w:val="left"/>
      <w:pPr>
        <w:pStyle w:val="895"/>
        <w:ind w:left="2100" w:hanging="420"/>
      </w:pPr>
    </w:lvl>
    <w:lvl w:ilvl="5">
      <w:start w:val="1"/>
      <w:numFmt w:val="lowerRoman"/>
      <w:isLgl w:val="false"/>
      <w:suff w:val="tab"/>
      <w:lvlText w:val="%6."/>
      <w:lvlJc w:val="right"/>
      <w:pPr>
        <w:pStyle w:val="895"/>
        <w:ind w:left="2520" w:hanging="420"/>
      </w:pPr>
    </w:lvl>
    <w:lvl w:ilvl="6">
      <w:start w:val="1"/>
      <w:numFmt w:val="decimal"/>
      <w:isLgl w:val="false"/>
      <w:suff w:val="tab"/>
      <w:lvlText w:val="%7."/>
      <w:lvlJc w:val="left"/>
      <w:pPr>
        <w:pStyle w:val="895"/>
        <w:ind w:left="2940" w:hanging="420"/>
      </w:pPr>
    </w:lvl>
    <w:lvl w:ilvl="7">
      <w:start w:val="1"/>
      <w:numFmt w:val="lowerLetter"/>
      <w:isLgl w:val="false"/>
      <w:suff w:val="tab"/>
      <w:lvlText w:val="%8)"/>
      <w:lvlJc w:val="left"/>
      <w:pPr>
        <w:pStyle w:val="895"/>
        <w:ind w:left="3360" w:hanging="420"/>
      </w:pPr>
    </w:lvl>
    <w:lvl w:ilvl="8">
      <w:start w:val="1"/>
      <w:numFmt w:val="lowerRoman"/>
      <w:isLgl w:val="false"/>
      <w:suff w:val="tab"/>
      <w:lvlText w:val="%9."/>
      <w:lvlJc w:val="right"/>
      <w:pPr>
        <w:pStyle w:val="895"/>
        <w:ind w:left="3780" w:hanging="420"/>
      </w:pPr>
    </w:lvl>
  </w:abstractNum>
  <w:abstractNum w:abstractNumId="1">
    <w:multiLevelType w:val="hybridMultilevel"/>
    <w:lvl w:ilvl="0">
      <w:start w:val="1"/>
      <w:numFmt w:val="decimalEnclosedCircle"/>
      <w:isLgl w:val="false"/>
      <w:suff w:val="tab"/>
      <w:lvlText w:val="%1"/>
      <w:lvlJc w:val="left"/>
      <w:pPr>
        <w:pStyle w:val="895"/>
        <w:ind w:left="927" w:hanging="360"/>
      </w:pPr>
    </w:lvl>
    <w:lvl w:ilvl="1">
      <w:start w:val="1"/>
      <w:numFmt w:val="lowerLetter"/>
      <w:isLgl w:val="false"/>
      <w:suff w:val="tab"/>
      <w:lvlText w:val="%2)"/>
      <w:lvlJc w:val="left"/>
      <w:pPr>
        <w:pStyle w:val="895"/>
        <w:ind w:left="1407" w:hanging="420"/>
      </w:pPr>
    </w:lvl>
    <w:lvl w:ilvl="2">
      <w:start w:val="1"/>
      <w:numFmt w:val="lowerRoman"/>
      <w:isLgl w:val="false"/>
      <w:suff w:val="tab"/>
      <w:lvlText w:val="%3."/>
      <w:lvlJc w:val="right"/>
      <w:pPr>
        <w:pStyle w:val="895"/>
        <w:ind w:left="1827" w:hanging="420"/>
      </w:pPr>
    </w:lvl>
    <w:lvl w:ilvl="3">
      <w:start w:val="1"/>
      <w:numFmt w:val="decimal"/>
      <w:isLgl w:val="false"/>
      <w:suff w:val="tab"/>
      <w:lvlText w:val="%4."/>
      <w:lvlJc w:val="left"/>
      <w:pPr>
        <w:pStyle w:val="895"/>
        <w:ind w:left="2247" w:hanging="420"/>
      </w:pPr>
    </w:lvl>
    <w:lvl w:ilvl="4">
      <w:start w:val="1"/>
      <w:numFmt w:val="lowerLetter"/>
      <w:isLgl w:val="false"/>
      <w:suff w:val="tab"/>
      <w:lvlText w:val="%5)"/>
      <w:lvlJc w:val="left"/>
      <w:pPr>
        <w:pStyle w:val="895"/>
        <w:ind w:left="2667" w:hanging="420"/>
      </w:pPr>
    </w:lvl>
    <w:lvl w:ilvl="5">
      <w:start w:val="1"/>
      <w:numFmt w:val="lowerRoman"/>
      <w:isLgl w:val="false"/>
      <w:suff w:val="tab"/>
      <w:lvlText w:val="%6."/>
      <w:lvlJc w:val="right"/>
      <w:pPr>
        <w:pStyle w:val="895"/>
        <w:ind w:left="3087" w:hanging="420"/>
      </w:pPr>
    </w:lvl>
    <w:lvl w:ilvl="6">
      <w:start w:val="1"/>
      <w:numFmt w:val="decimal"/>
      <w:isLgl w:val="false"/>
      <w:suff w:val="tab"/>
      <w:lvlText w:val="%7."/>
      <w:lvlJc w:val="left"/>
      <w:pPr>
        <w:pStyle w:val="895"/>
        <w:ind w:left="3507" w:hanging="420"/>
      </w:pPr>
    </w:lvl>
    <w:lvl w:ilvl="7">
      <w:start w:val="1"/>
      <w:numFmt w:val="lowerLetter"/>
      <w:isLgl w:val="false"/>
      <w:suff w:val="tab"/>
      <w:lvlText w:val="%8)"/>
      <w:lvlJc w:val="left"/>
      <w:pPr>
        <w:pStyle w:val="895"/>
        <w:ind w:left="3927" w:hanging="420"/>
      </w:pPr>
    </w:lvl>
    <w:lvl w:ilvl="8">
      <w:start w:val="1"/>
      <w:numFmt w:val="lowerRoman"/>
      <w:isLgl w:val="false"/>
      <w:suff w:val="tab"/>
      <w:lvlText w:val="%9."/>
      <w:lvlJc w:val="right"/>
      <w:pPr>
        <w:pStyle w:val="895"/>
        <w:ind w:left="4347" w:hanging="420"/>
      </w:pPr>
    </w:lvl>
  </w:abstractNum>
  <w:abstractNum w:abstractNumId="2">
    <w:multiLevelType w:val="hybridMultilevel"/>
    <w:lvl w:ilvl="0">
      <w:start w:val="33"/>
      <w:numFmt w:val="decimal"/>
      <w:isLgl w:val="false"/>
      <w:suff w:val="space"/>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95"/>
        <w:ind w:left="420" w:hanging="420"/>
      </w:pPr>
    </w:lvl>
    <w:lvl w:ilvl="1">
      <w:start w:val="1"/>
      <w:numFmt w:val="lowerLetter"/>
      <w:isLgl w:val="false"/>
      <w:suff w:val="tab"/>
      <w:lvlText w:val="%2)"/>
      <w:lvlJc w:val="left"/>
      <w:pPr>
        <w:pStyle w:val="895"/>
        <w:ind w:left="840" w:hanging="420"/>
      </w:pPr>
    </w:lvl>
    <w:lvl w:ilvl="2">
      <w:start w:val="1"/>
      <w:numFmt w:val="lowerRoman"/>
      <w:isLgl w:val="false"/>
      <w:suff w:val="tab"/>
      <w:lvlText w:val="%3."/>
      <w:lvlJc w:val="right"/>
      <w:pPr>
        <w:pStyle w:val="895"/>
        <w:ind w:left="1260" w:hanging="420"/>
      </w:pPr>
    </w:lvl>
    <w:lvl w:ilvl="3">
      <w:start w:val="1"/>
      <w:numFmt w:val="decimal"/>
      <w:isLgl w:val="false"/>
      <w:suff w:val="tab"/>
      <w:lvlText w:val="%4."/>
      <w:lvlJc w:val="left"/>
      <w:pPr>
        <w:pStyle w:val="895"/>
        <w:ind w:left="1680" w:hanging="420"/>
      </w:pPr>
    </w:lvl>
    <w:lvl w:ilvl="4">
      <w:start w:val="1"/>
      <w:numFmt w:val="lowerLetter"/>
      <w:isLgl w:val="false"/>
      <w:suff w:val="tab"/>
      <w:lvlText w:val="%5)"/>
      <w:lvlJc w:val="left"/>
      <w:pPr>
        <w:pStyle w:val="895"/>
        <w:ind w:left="2100" w:hanging="420"/>
      </w:pPr>
    </w:lvl>
    <w:lvl w:ilvl="5">
      <w:start w:val="1"/>
      <w:numFmt w:val="lowerRoman"/>
      <w:isLgl w:val="false"/>
      <w:suff w:val="tab"/>
      <w:lvlText w:val="%6."/>
      <w:lvlJc w:val="right"/>
      <w:pPr>
        <w:pStyle w:val="895"/>
        <w:ind w:left="2520" w:hanging="420"/>
      </w:pPr>
    </w:lvl>
    <w:lvl w:ilvl="6">
      <w:start w:val="1"/>
      <w:numFmt w:val="decimal"/>
      <w:isLgl w:val="false"/>
      <w:suff w:val="tab"/>
      <w:lvlText w:val="%7."/>
      <w:lvlJc w:val="left"/>
      <w:pPr>
        <w:pStyle w:val="895"/>
        <w:ind w:left="2940" w:hanging="420"/>
      </w:pPr>
    </w:lvl>
    <w:lvl w:ilvl="7">
      <w:start w:val="1"/>
      <w:numFmt w:val="lowerLetter"/>
      <w:isLgl w:val="false"/>
      <w:suff w:val="tab"/>
      <w:lvlText w:val="%8)"/>
      <w:lvlJc w:val="left"/>
      <w:pPr>
        <w:pStyle w:val="895"/>
        <w:ind w:left="3360" w:hanging="420"/>
      </w:pPr>
    </w:lvl>
    <w:lvl w:ilvl="8">
      <w:start w:val="1"/>
      <w:numFmt w:val="lowerRoman"/>
      <w:isLgl w:val="false"/>
      <w:suff w:val="tab"/>
      <w:lvlText w:val="%9."/>
      <w:lvlJc w:val="right"/>
      <w:pPr>
        <w:pStyle w:val="895"/>
        <w:ind w:left="3780" w:hanging="420"/>
      </w:pPr>
    </w:lvl>
  </w:abstractNum>
  <w:abstractNum w:abstractNumId="4">
    <w:multiLevelType w:val="hybridMultilevel"/>
    <w:lvl w:ilvl="0">
      <w:start w:val="1"/>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95"/>
        <w:ind w:left="420" w:hanging="420"/>
      </w:pPr>
    </w:lvl>
    <w:lvl w:ilvl="1">
      <w:start w:val="1"/>
      <w:numFmt w:val="lowerLetter"/>
      <w:isLgl w:val="false"/>
      <w:suff w:val="tab"/>
      <w:lvlText w:val="%2)"/>
      <w:lvlJc w:val="left"/>
      <w:pPr>
        <w:pStyle w:val="895"/>
        <w:ind w:left="840" w:hanging="420"/>
      </w:pPr>
    </w:lvl>
    <w:lvl w:ilvl="2">
      <w:start w:val="1"/>
      <w:numFmt w:val="lowerRoman"/>
      <w:isLgl w:val="false"/>
      <w:suff w:val="tab"/>
      <w:lvlText w:val="%3."/>
      <w:lvlJc w:val="right"/>
      <w:pPr>
        <w:pStyle w:val="895"/>
        <w:ind w:left="1260" w:hanging="420"/>
      </w:pPr>
    </w:lvl>
    <w:lvl w:ilvl="3">
      <w:start w:val="1"/>
      <w:numFmt w:val="decimal"/>
      <w:isLgl w:val="false"/>
      <w:suff w:val="tab"/>
      <w:lvlText w:val="%4."/>
      <w:lvlJc w:val="left"/>
      <w:pPr>
        <w:pStyle w:val="895"/>
        <w:ind w:left="1680" w:hanging="420"/>
      </w:pPr>
    </w:lvl>
    <w:lvl w:ilvl="4">
      <w:start w:val="1"/>
      <w:numFmt w:val="lowerLetter"/>
      <w:isLgl w:val="false"/>
      <w:suff w:val="tab"/>
      <w:lvlText w:val="%5)"/>
      <w:lvlJc w:val="left"/>
      <w:pPr>
        <w:pStyle w:val="895"/>
        <w:ind w:left="2100" w:hanging="420"/>
      </w:pPr>
    </w:lvl>
    <w:lvl w:ilvl="5">
      <w:start w:val="1"/>
      <w:numFmt w:val="lowerRoman"/>
      <w:isLgl w:val="false"/>
      <w:suff w:val="tab"/>
      <w:lvlText w:val="%6."/>
      <w:lvlJc w:val="right"/>
      <w:pPr>
        <w:pStyle w:val="895"/>
        <w:ind w:left="2520" w:hanging="420"/>
      </w:pPr>
    </w:lvl>
    <w:lvl w:ilvl="6">
      <w:start w:val="1"/>
      <w:numFmt w:val="decimal"/>
      <w:isLgl w:val="false"/>
      <w:suff w:val="tab"/>
      <w:lvlText w:val="%7."/>
      <w:lvlJc w:val="left"/>
      <w:pPr>
        <w:pStyle w:val="895"/>
        <w:ind w:left="2940" w:hanging="420"/>
      </w:pPr>
    </w:lvl>
    <w:lvl w:ilvl="7">
      <w:start w:val="1"/>
      <w:numFmt w:val="lowerLetter"/>
      <w:isLgl w:val="false"/>
      <w:suff w:val="tab"/>
      <w:lvlText w:val="%8)"/>
      <w:lvlJc w:val="left"/>
      <w:pPr>
        <w:pStyle w:val="895"/>
        <w:ind w:left="3360" w:hanging="420"/>
      </w:pPr>
    </w:lvl>
    <w:lvl w:ilvl="8">
      <w:start w:val="1"/>
      <w:numFmt w:val="lowerRoman"/>
      <w:isLgl w:val="false"/>
      <w:suff w:val="tab"/>
      <w:lvlText w:val="%9."/>
      <w:lvlJc w:val="right"/>
      <w:pPr>
        <w:pStyle w:val="895"/>
        <w:ind w:left="3780" w:hanging="420"/>
      </w:pPr>
    </w:lvl>
  </w:abstractNum>
  <w:abstractNum w:abstractNumId="6">
    <w:multiLevelType w:val="hybridMultilevel"/>
    <w:lvl w:ilvl="0">
      <w:start w:val="1"/>
      <w:numFmt w:val="bullet"/>
      <w:isLgl w:val="false"/>
      <w:suff w:val="tab"/>
      <w:lvlText w:val=""/>
      <w:lvlJc w:val="left"/>
      <w:pPr>
        <w:pStyle w:val="895"/>
        <w:ind w:left="420" w:hanging="420"/>
      </w:pPr>
      <w:rPr>
        <w:rFonts w:ascii="Wingdings" w:hAnsi="Wingdings"/>
      </w:rPr>
    </w:lvl>
    <w:lvl w:ilvl="1">
      <w:start w:val="1"/>
      <w:numFmt w:val="bullet"/>
      <w:isLgl w:val="false"/>
      <w:suff w:val="tab"/>
      <w:lvlText w:val=""/>
      <w:lvlJc w:val="left"/>
      <w:pPr>
        <w:pStyle w:val="895"/>
        <w:ind w:left="840" w:hanging="420"/>
      </w:pPr>
      <w:rPr>
        <w:rFonts w:ascii="Wingdings" w:hAnsi="Wingdings"/>
      </w:rPr>
    </w:lvl>
    <w:lvl w:ilvl="2">
      <w:start w:val="1"/>
      <w:numFmt w:val="bullet"/>
      <w:isLgl w:val="false"/>
      <w:suff w:val="tab"/>
      <w:lvlText w:val=""/>
      <w:lvlJc w:val="left"/>
      <w:pPr>
        <w:pStyle w:val="895"/>
        <w:ind w:left="1260" w:hanging="420"/>
      </w:pPr>
      <w:rPr>
        <w:rFonts w:ascii="Wingdings" w:hAnsi="Wingdings"/>
      </w:rPr>
    </w:lvl>
    <w:lvl w:ilvl="3">
      <w:start w:val="1"/>
      <w:numFmt w:val="bullet"/>
      <w:isLgl w:val="false"/>
      <w:suff w:val="tab"/>
      <w:lvlText w:val=""/>
      <w:lvlJc w:val="left"/>
      <w:pPr>
        <w:pStyle w:val="895"/>
        <w:ind w:left="1680" w:hanging="420"/>
      </w:pPr>
      <w:rPr>
        <w:rFonts w:ascii="Wingdings" w:hAnsi="Wingdings"/>
      </w:rPr>
    </w:lvl>
    <w:lvl w:ilvl="4">
      <w:start w:val="1"/>
      <w:numFmt w:val="bullet"/>
      <w:isLgl w:val="false"/>
      <w:suff w:val="tab"/>
      <w:lvlText w:val=""/>
      <w:lvlJc w:val="left"/>
      <w:pPr>
        <w:pStyle w:val="895"/>
        <w:ind w:left="2100" w:hanging="420"/>
      </w:pPr>
      <w:rPr>
        <w:rFonts w:ascii="Wingdings" w:hAnsi="Wingdings"/>
      </w:rPr>
    </w:lvl>
    <w:lvl w:ilvl="5">
      <w:start w:val="1"/>
      <w:numFmt w:val="bullet"/>
      <w:isLgl w:val="false"/>
      <w:suff w:val="tab"/>
      <w:lvlText w:val=""/>
      <w:lvlJc w:val="left"/>
      <w:pPr>
        <w:pStyle w:val="895"/>
        <w:ind w:left="2520" w:hanging="420"/>
      </w:pPr>
      <w:rPr>
        <w:rFonts w:ascii="Wingdings" w:hAnsi="Wingdings"/>
      </w:rPr>
    </w:lvl>
    <w:lvl w:ilvl="6">
      <w:start w:val="1"/>
      <w:numFmt w:val="bullet"/>
      <w:isLgl w:val="false"/>
      <w:suff w:val="tab"/>
      <w:lvlText w:val=""/>
      <w:lvlJc w:val="left"/>
      <w:pPr>
        <w:pStyle w:val="895"/>
        <w:ind w:left="2940" w:hanging="420"/>
      </w:pPr>
      <w:rPr>
        <w:rFonts w:ascii="Wingdings" w:hAnsi="Wingdings"/>
      </w:rPr>
    </w:lvl>
    <w:lvl w:ilvl="7">
      <w:start w:val="1"/>
      <w:numFmt w:val="bullet"/>
      <w:isLgl w:val="false"/>
      <w:suff w:val="tab"/>
      <w:lvlText w:val=""/>
      <w:lvlJc w:val="left"/>
      <w:pPr>
        <w:pStyle w:val="895"/>
        <w:ind w:left="3360" w:hanging="420"/>
      </w:pPr>
      <w:rPr>
        <w:rFonts w:ascii="Wingdings" w:hAnsi="Wingdings"/>
      </w:rPr>
    </w:lvl>
    <w:lvl w:ilvl="8">
      <w:start w:val="1"/>
      <w:numFmt w:val="bullet"/>
      <w:isLgl w:val="false"/>
      <w:suff w:val="tab"/>
      <w:lvlText w:val=""/>
      <w:lvlJc w:val="left"/>
      <w:pPr>
        <w:pStyle w:val="895"/>
        <w:ind w:left="3780" w:hanging="420"/>
      </w:pPr>
      <w:rPr>
        <w:rFonts w:ascii="Wingdings" w:hAnsi="Wingdings"/>
      </w:rPr>
    </w:lvl>
  </w:abstractNum>
  <w:abstractNum w:abstractNumId="7">
    <w:multiLevelType w:val="hybridMultilevel"/>
    <w:lvl w:ilvl="0">
      <w:start w:val="1"/>
      <w:numFmt w:val="decimal"/>
      <w:isLgl w:val="false"/>
      <w:suff w:val="tab"/>
      <w:lvlText w:val="(%1)"/>
      <w:lvlJc w:val="left"/>
      <w:pPr>
        <w:pStyle w:val="895"/>
        <w:ind w:left="420" w:hanging="420"/>
      </w:pPr>
    </w:lvl>
    <w:lvl w:ilvl="1">
      <w:start w:val="1"/>
      <w:numFmt w:val="lowerLetter"/>
      <w:isLgl w:val="false"/>
      <w:suff w:val="tab"/>
      <w:lvlText w:val="%2)"/>
      <w:lvlJc w:val="left"/>
      <w:pPr>
        <w:pStyle w:val="895"/>
        <w:ind w:left="840" w:hanging="420"/>
      </w:pPr>
    </w:lvl>
    <w:lvl w:ilvl="2">
      <w:start w:val="1"/>
      <w:numFmt w:val="lowerRoman"/>
      <w:isLgl w:val="false"/>
      <w:suff w:val="tab"/>
      <w:lvlText w:val="%3."/>
      <w:lvlJc w:val="right"/>
      <w:pPr>
        <w:pStyle w:val="895"/>
        <w:ind w:left="1260" w:hanging="420"/>
      </w:pPr>
    </w:lvl>
    <w:lvl w:ilvl="3">
      <w:start w:val="1"/>
      <w:numFmt w:val="decimal"/>
      <w:isLgl w:val="false"/>
      <w:suff w:val="tab"/>
      <w:lvlText w:val="%4."/>
      <w:lvlJc w:val="left"/>
      <w:pPr>
        <w:pStyle w:val="895"/>
        <w:ind w:left="1680" w:hanging="420"/>
      </w:pPr>
    </w:lvl>
    <w:lvl w:ilvl="4">
      <w:start w:val="1"/>
      <w:numFmt w:val="lowerLetter"/>
      <w:isLgl w:val="false"/>
      <w:suff w:val="tab"/>
      <w:lvlText w:val="%5)"/>
      <w:lvlJc w:val="left"/>
      <w:pPr>
        <w:pStyle w:val="895"/>
        <w:ind w:left="2100" w:hanging="420"/>
      </w:pPr>
    </w:lvl>
    <w:lvl w:ilvl="5">
      <w:start w:val="1"/>
      <w:numFmt w:val="lowerRoman"/>
      <w:isLgl w:val="false"/>
      <w:suff w:val="tab"/>
      <w:lvlText w:val="%6."/>
      <w:lvlJc w:val="right"/>
      <w:pPr>
        <w:pStyle w:val="895"/>
        <w:ind w:left="2520" w:hanging="420"/>
      </w:pPr>
    </w:lvl>
    <w:lvl w:ilvl="6">
      <w:start w:val="1"/>
      <w:numFmt w:val="decimal"/>
      <w:isLgl w:val="false"/>
      <w:suff w:val="tab"/>
      <w:lvlText w:val="%7."/>
      <w:lvlJc w:val="left"/>
      <w:pPr>
        <w:pStyle w:val="895"/>
        <w:ind w:left="2940" w:hanging="420"/>
      </w:pPr>
    </w:lvl>
    <w:lvl w:ilvl="7">
      <w:start w:val="1"/>
      <w:numFmt w:val="lowerLetter"/>
      <w:isLgl w:val="false"/>
      <w:suff w:val="tab"/>
      <w:lvlText w:val="%8)"/>
      <w:lvlJc w:val="left"/>
      <w:pPr>
        <w:pStyle w:val="895"/>
        <w:ind w:left="3360" w:hanging="420"/>
      </w:pPr>
    </w:lvl>
    <w:lvl w:ilvl="8">
      <w:start w:val="1"/>
      <w:numFmt w:val="lowerRoman"/>
      <w:isLgl w:val="false"/>
      <w:suff w:val="tab"/>
      <w:lvlText w:val="%9."/>
      <w:lvlJc w:val="right"/>
      <w:pPr>
        <w:pStyle w:val="895"/>
        <w:ind w:left="3780" w:hanging="420"/>
      </w:pPr>
    </w:lvl>
  </w:abstractNum>
  <w:abstractNum w:abstractNumId="8">
    <w:multiLevelType w:val="hybridMultilevel"/>
    <w:lvl w:ilvl="0">
      <w:start w:val="4"/>
      <w:numFmt w:val="decimal"/>
      <w:pStyle w:val="972"/>
      <w:isLgl w:val="false"/>
      <w:suff w:val="tab"/>
      <w:lvlText w:val="%1"/>
      <w:lvlJc w:val="left"/>
      <w:pPr>
        <w:pStyle w:val="895"/>
        <w:ind w:left="495" w:hanging="495"/>
        <w:tabs>
          <w:tab w:val="num" w:pos="495" w:leader="none"/>
        </w:tabs>
      </w:pPr>
    </w:lvl>
    <w:lvl w:ilvl="1">
      <w:start w:val="1"/>
      <w:numFmt w:val="decimal"/>
      <w:isLgl w:val="false"/>
      <w:suff w:val="tab"/>
      <w:lvlText w:val="%1.%2"/>
      <w:lvlJc w:val="left"/>
      <w:pPr>
        <w:pStyle w:val="895"/>
        <w:ind w:left="915" w:hanging="495"/>
        <w:tabs>
          <w:tab w:val="num" w:pos="915" w:leader="none"/>
        </w:tabs>
      </w:pPr>
    </w:lvl>
    <w:lvl w:ilvl="2">
      <w:start w:val="1"/>
      <w:numFmt w:val="decimal"/>
      <w:isLgl w:val="false"/>
      <w:suff w:val="tab"/>
      <w:lvlText w:val="%1.%2.%3"/>
      <w:lvlJc w:val="left"/>
      <w:pPr>
        <w:pStyle w:val="895"/>
        <w:ind w:left="1335" w:hanging="495"/>
        <w:tabs>
          <w:tab w:val="num" w:pos="1335" w:leader="none"/>
        </w:tabs>
      </w:pPr>
    </w:lvl>
    <w:lvl w:ilvl="3">
      <w:start w:val="1"/>
      <w:numFmt w:val="decimal"/>
      <w:isLgl w:val="false"/>
      <w:suff w:val="tab"/>
      <w:lvlText w:val="%1.%2.%3.%4"/>
      <w:lvlJc w:val="left"/>
      <w:pPr>
        <w:pStyle w:val="895"/>
        <w:ind w:left="1755" w:hanging="495"/>
        <w:tabs>
          <w:tab w:val="num" w:pos="1755" w:leader="none"/>
        </w:tabs>
      </w:pPr>
    </w:lvl>
    <w:lvl w:ilvl="4">
      <w:start w:val="1"/>
      <w:numFmt w:val="decimal"/>
      <w:isLgl w:val="false"/>
      <w:suff w:val="tab"/>
      <w:lvlText w:val="%1.%2.%3.%4.%5"/>
      <w:lvlJc w:val="left"/>
      <w:pPr>
        <w:pStyle w:val="895"/>
        <w:ind w:left="2175" w:hanging="495"/>
        <w:tabs>
          <w:tab w:val="num" w:pos="2175" w:leader="none"/>
        </w:tabs>
      </w:pPr>
    </w:lvl>
    <w:lvl w:ilvl="5">
      <w:start w:val="1"/>
      <w:numFmt w:val="decimal"/>
      <w:isLgl w:val="false"/>
      <w:suff w:val="tab"/>
      <w:lvlText w:val="%1.%2.%3.%4.%5.%6"/>
      <w:lvlJc w:val="left"/>
      <w:pPr>
        <w:pStyle w:val="895"/>
        <w:ind w:left="2595" w:hanging="495"/>
        <w:tabs>
          <w:tab w:val="num" w:pos="2595" w:leader="none"/>
        </w:tabs>
      </w:pPr>
    </w:lvl>
    <w:lvl w:ilvl="6">
      <w:start w:val="1"/>
      <w:numFmt w:val="decimal"/>
      <w:isLgl w:val="false"/>
      <w:suff w:val="tab"/>
      <w:lvlText w:val="%1.%2.%3.%4.%5.%6.%7"/>
      <w:lvlJc w:val="left"/>
      <w:pPr>
        <w:pStyle w:val="895"/>
        <w:ind w:left="3015" w:hanging="495"/>
        <w:tabs>
          <w:tab w:val="num" w:pos="3015" w:leader="none"/>
        </w:tabs>
      </w:pPr>
    </w:lvl>
    <w:lvl w:ilvl="7">
      <w:start w:val="1"/>
      <w:numFmt w:val="decimal"/>
      <w:isLgl w:val="false"/>
      <w:suff w:val="tab"/>
      <w:lvlText w:val="%1.%2.%3.%4.%5.%6.%7.%8"/>
      <w:lvlJc w:val="left"/>
      <w:pPr>
        <w:pStyle w:val="895"/>
        <w:ind w:left="3435" w:hanging="495"/>
        <w:tabs>
          <w:tab w:val="num" w:pos="3435" w:leader="none"/>
        </w:tabs>
      </w:pPr>
    </w:lvl>
    <w:lvl w:ilvl="8">
      <w:start w:val="1"/>
      <w:numFmt w:val="decimal"/>
      <w:isLgl w:val="false"/>
      <w:suff w:val="tab"/>
      <w:lvlText w:val="%1.%2.%3.%4.%5.%6.%7.%8.%9"/>
      <w:lvlJc w:val="left"/>
      <w:pPr>
        <w:pStyle w:val="895"/>
        <w:ind w:left="3855" w:hanging="495"/>
        <w:tabs>
          <w:tab w:val="num" w:pos="3855" w:leader="none"/>
        </w:tabs>
      </w:pPr>
    </w:lvl>
  </w:abstractNum>
  <w:abstractNum w:abstractNumId="9">
    <w:multiLevelType w:val="hybridMultilevel"/>
    <w:lvl w:ilvl="0">
      <w:start w:val="1"/>
      <w:numFmt w:val="decimal"/>
      <w:isLgl w:val="false"/>
      <w:suff w:val="tab"/>
      <w:lvlText w:val="(%1)"/>
      <w:lvlJc w:val="left"/>
      <w:pPr>
        <w:pStyle w:val="895"/>
        <w:ind w:left="420" w:hanging="420"/>
      </w:pPr>
    </w:lvl>
    <w:lvl w:ilvl="1">
      <w:start w:val="1"/>
      <w:numFmt w:val="lowerLetter"/>
      <w:isLgl w:val="false"/>
      <w:suff w:val="tab"/>
      <w:lvlText w:val="%2)"/>
      <w:lvlJc w:val="left"/>
      <w:pPr>
        <w:pStyle w:val="895"/>
        <w:ind w:left="840" w:hanging="420"/>
      </w:pPr>
    </w:lvl>
    <w:lvl w:ilvl="2">
      <w:start w:val="1"/>
      <w:numFmt w:val="lowerRoman"/>
      <w:isLgl w:val="false"/>
      <w:suff w:val="tab"/>
      <w:lvlText w:val="%3."/>
      <w:lvlJc w:val="right"/>
      <w:pPr>
        <w:pStyle w:val="895"/>
        <w:ind w:left="1260" w:hanging="420"/>
      </w:pPr>
    </w:lvl>
    <w:lvl w:ilvl="3">
      <w:start w:val="1"/>
      <w:numFmt w:val="decimal"/>
      <w:isLgl w:val="false"/>
      <w:suff w:val="tab"/>
      <w:lvlText w:val="%4."/>
      <w:lvlJc w:val="left"/>
      <w:pPr>
        <w:pStyle w:val="895"/>
        <w:ind w:left="1680" w:hanging="420"/>
      </w:pPr>
    </w:lvl>
    <w:lvl w:ilvl="4">
      <w:start w:val="1"/>
      <w:numFmt w:val="lowerLetter"/>
      <w:isLgl w:val="false"/>
      <w:suff w:val="tab"/>
      <w:lvlText w:val="%5)"/>
      <w:lvlJc w:val="left"/>
      <w:pPr>
        <w:pStyle w:val="895"/>
        <w:ind w:left="2100" w:hanging="420"/>
      </w:pPr>
    </w:lvl>
    <w:lvl w:ilvl="5">
      <w:start w:val="1"/>
      <w:numFmt w:val="lowerRoman"/>
      <w:isLgl w:val="false"/>
      <w:suff w:val="tab"/>
      <w:lvlText w:val="%6."/>
      <w:lvlJc w:val="right"/>
      <w:pPr>
        <w:pStyle w:val="895"/>
        <w:ind w:left="2520" w:hanging="420"/>
      </w:pPr>
    </w:lvl>
    <w:lvl w:ilvl="6">
      <w:start w:val="1"/>
      <w:numFmt w:val="decimal"/>
      <w:isLgl w:val="false"/>
      <w:suff w:val="tab"/>
      <w:lvlText w:val="%7."/>
      <w:lvlJc w:val="left"/>
      <w:pPr>
        <w:pStyle w:val="895"/>
        <w:ind w:left="2940" w:hanging="420"/>
      </w:pPr>
    </w:lvl>
    <w:lvl w:ilvl="7">
      <w:start w:val="1"/>
      <w:numFmt w:val="lowerLetter"/>
      <w:isLgl w:val="false"/>
      <w:suff w:val="tab"/>
      <w:lvlText w:val="%8)"/>
      <w:lvlJc w:val="left"/>
      <w:pPr>
        <w:pStyle w:val="895"/>
        <w:ind w:left="3360" w:hanging="420"/>
      </w:pPr>
    </w:lvl>
    <w:lvl w:ilvl="8">
      <w:start w:val="1"/>
      <w:numFmt w:val="lowerRoman"/>
      <w:isLgl w:val="false"/>
      <w:suff w:val="tab"/>
      <w:lvlText w:val="%9."/>
      <w:lvlJc w:val="right"/>
      <w:pPr>
        <w:pStyle w:val="895"/>
        <w:ind w:left="3780" w:hanging="420"/>
      </w:pPr>
    </w:lvl>
  </w:abstractNum>
  <w:abstractNum w:abstractNumId="10">
    <w:multiLevelType w:val="hybridMultilevel"/>
    <w:lvl w:ilvl="0">
      <w:start w:val="3"/>
      <w:numFmt w:val="chineseCounting"/>
      <w:isLgl w:val="false"/>
      <w:suff w:val="nothing"/>
      <w:lvlText w:val="%1、"/>
      <w:lvlJc w:val="left"/>
      <w:pPr>
        <w:pStyle w:val="8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895"/>
        <w:ind w:left="420" w:hanging="420"/>
      </w:pPr>
    </w:lvl>
    <w:lvl w:ilvl="1">
      <w:start w:val="1"/>
      <w:numFmt w:val="lowerLetter"/>
      <w:isLgl w:val="false"/>
      <w:suff w:val="tab"/>
      <w:lvlText w:val="%2)"/>
      <w:lvlJc w:val="left"/>
      <w:pPr>
        <w:pStyle w:val="895"/>
        <w:ind w:left="840" w:hanging="420"/>
      </w:pPr>
    </w:lvl>
    <w:lvl w:ilvl="2">
      <w:start w:val="1"/>
      <w:numFmt w:val="lowerRoman"/>
      <w:isLgl w:val="false"/>
      <w:suff w:val="tab"/>
      <w:lvlText w:val="%3."/>
      <w:lvlJc w:val="right"/>
      <w:pPr>
        <w:pStyle w:val="895"/>
        <w:ind w:left="1260" w:hanging="420"/>
      </w:pPr>
    </w:lvl>
    <w:lvl w:ilvl="3">
      <w:start w:val="1"/>
      <w:numFmt w:val="decimal"/>
      <w:isLgl w:val="false"/>
      <w:suff w:val="tab"/>
      <w:lvlText w:val="%4."/>
      <w:lvlJc w:val="left"/>
      <w:pPr>
        <w:pStyle w:val="895"/>
        <w:ind w:left="1680" w:hanging="420"/>
      </w:pPr>
    </w:lvl>
    <w:lvl w:ilvl="4">
      <w:start w:val="1"/>
      <w:numFmt w:val="lowerLetter"/>
      <w:isLgl w:val="false"/>
      <w:suff w:val="tab"/>
      <w:lvlText w:val="%5)"/>
      <w:lvlJc w:val="left"/>
      <w:pPr>
        <w:pStyle w:val="895"/>
        <w:ind w:left="2100" w:hanging="420"/>
      </w:pPr>
    </w:lvl>
    <w:lvl w:ilvl="5">
      <w:start w:val="1"/>
      <w:numFmt w:val="lowerRoman"/>
      <w:isLgl w:val="false"/>
      <w:suff w:val="tab"/>
      <w:lvlText w:val="%6."/>
      <w:lvlJc w:val="right"/>
      <w:pPr>
        <w:pStyle w:val="895"/>
        <w:ind w:left="2520" w:hanging="420"/>
      </w:pPr>
    </w:lvl>
    <w:lvl w:ilvl="6">
      <w:start w:val="1"/>
      <w:numFmt w:val="decimal"/>
      <w:isLgl w:val="false"/>
      <w:suff w:val="tab"/>
      <w:lvlText w:val="%7."/>
      <w:lvlJc w:val="left"/>
      <w:pPr>
        <w:pStyle w:val="895"/>
        <w:ind w:left="2940" w:hanging="420"/>
      </w:pPr>
    </w:lvl>
    <w:lvl w:ilvl="7">
      <w:start w:val="1"/>
      <w:numFmt w:val="lowerLetter"/>
      <w:isLgl w:val="false"/>
      <w:suff w:val="tab"/>
      <w:lvlText w:val="%8)"/>
      <w:lvlJc w:val="left"/>
      <w:pPr>
        <w:pStyle w:val="895"/>
        <w:ind w:left="3360" w:hanging="420"/>
      </w:pPr>
    </w:lvl>
    <w:lvl w:ilvl="8">
      <w:start w:val="1"/>
      <w:numFmt w:val="lowerRoman"/>
      <w:isLgl w:val="false"/>
      <w:suff w:val="tab"/>
      <w:lvlText w:val="%9."/>
      <w:lvlJc w:val="right"/>
      <w:pPr>
        <w:pStyle w:val="895"/>
        <w:ind w:left="3780" w:hanging="420"/>
      </w:pPr>
    </w:lvl>
  </w:abstractNum>
  <w:abstractNum w:abstractNumId="12">
    <w:multiLevelType w:val="hybridMultilevel"/>
    <w:lvl w:ilvl="0">
      <w:start w:val="1"/>
      <w:numFmt w:val="decimal"/>
      <w:isLgl w:val="false"/>
      <w:suff w:val="tab"/>
      <w:lvlText w:val="(%1)"/>
      <w:lvlJc w:val="left"/>
      <w:pPr>
        <w:pStyle w:val="895"/>
        <w:ind w:left="420" w:hanging="420"/>
      </w:pPr>
    </w:lvl>
    <w:lvl w:ilvl="1">
      <w:start w:val="1"/>
      <w:numFmt w:val="lowerLetter"/>
      <w:isLgl w:val="false"/>
      <w:suff w:val="tab"/>
      <w:lvlText w:val="%2)"/>
      <w:lvlJc w:val="left"/>
      <w:pPr>
        <w:pStyle w:val="895"/>
        <w:ind w:left="840" w:hanging="420"/>
      </w:pPr>
    </w:lvl>
    <w:lvl w:ilvl="2">
      <w:start w:val="1"/>
      <w:numFmt w:val="lowerRoman"/>
      <w:isLgl w:val="false"/>
      <w:suff w:val="tab"/>
      <w:lvlText w:val="%3."/>
      <w:lvlJc w:val="right"/>
      <w:pPr>
        <w:pStyle w:val="895"/>
        <w:ind w:left="1260" w:hanging="420"/>
      </w:pPr>
    </w:lvl>
    <w:lvl w:ilvl="3">
      <w:start w:val="1"/>
      <w:numFmt w:val="decimal"/>
      <w:isLgl w:val="false"/>
      <w:suff w:val="tab"/>
      <w:lvlText w:val="%4."/>
      <w:lvlJc w:val="left"/>
      <w:pPr>
        <w:pStyle w:val="895"/>
        <w:ind w:left="1680" w:hanging="420"/>
      </w:pPr>
    </w:lvl>
    <w:lvl w:ilvl="4">
      <w:start w:val="1"/>
      <w:numFmt w:val="lowerLetter"/>
      <w:isLgl w:val="false"/>
      <w:suff w:val="tab"/>
      <w:lvlText w:val="%5)"/>
      <w:lvlJc w:val="left"/>
      <w:pPr>
        <w:pStyle w:val="895"/>
        <w:ind w:left="2100" w:hanging="420"/>
      </w:pPr>
    </w:lvl>
    <w:lvl w:ilvl="5">
      <w:start w:val="1"/>
      <w:numFmt w:val="lowerRoman"/>
      <w:isLgl w:val="false"/>
      <w:suff w:val="tab"/>
      <w:lvlText w:val="%6."/>
      <w:lvlJc w:val="right"/>
      <w:pPr>
        <w:pStyle w:val="895"/>
        <w:ind w:left="2520" w:hanging="420"/>
      </w:pPr>
    </w:lvl>
    <w:lvl w:ilvl="6">
      <w:start w:val="1"/>
      <w:numFmt w:val="decimal"/>
      <w:isLgl w:val="false"/>
      <w:suff w:val="tab"/>
      <w:lvlText w:val="%7."/>
      <w:lvlJc w:val="left"/>
      <w:pPr>
        <w:pStyle w:val="895"/>
        <w:ind w:left="2940" w:hanging="420"/>
      </w:pPr>
    </w:lvl>
    <w:lvl w:ilvl="7">
      <w:start w:val="1"/>
      <w:numFmt w:val="lowerLetter"/>
      <w:isLgl w:val="false"/>
      <w:suff w:val="tab"/>
      <w:lvlText w:val="%8)"/>
      <w:lvlJc w:val="left"/>
      <w:pPr>
        <w:pStyle w:val="895"/>
        <w:ind w:left="3360" w:hanging="420"/>
      </w:pPr>
    </w:lvl>
    <w:lvl w:ilvl="8">
      <w:start w:val="1"/>
      <w:numFmt w:val="lowerRoman"/>
      <w:isLgl w:val="false"/>
      <w:suff w:val="tab"/>
      <w:lvlText w:val="%9."/>
      <w:lvlJc w:val="right"/>
      <w:pPr>
        <w:pStyle w:val="895"/>
        <w:ind w:left="3780" w:hanging="420"/>
      </w:pPr>
    </w:lvl>
  </w:abstractNum>
  <w:abstractNum w:abstractNumId="13">
    <w:multiLevelType w:val="hybridMultilevel"/>
    <w:lvl w:ilvl="0">
      <w:start w:val="1"/>
      <w:numFmt w:val="chineseCounting"/>
      <w:isLgl w:val="false"/>
      <w:suff w:val="nothing"/>
      <w:lvlText w:val="（%1）"/>
      <w:lvlJc w:val="left"/>
      <w:pPr>
        <w:pStyle w:val="8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
      <w:isLgl w:val="false"/>
      <w:suff w:val="tab"/>
      <w:lvlText w:val="%1"/>
      <w:lvlJc w:val="left"/>
      <w:pPr>
        <w:pStyle w:val="895"/>
        <w:ind w:left="780" w:hanging="360"/>
      </w:pPr>
    </w:lvl>
    <w:lvl w:ilvl="1">
      <w:start w:val="1"/>
      <w:numFmt w:val="lowerLetter"/>
      <w:isLgl w:val="false"/>
      <w:suff w:val="tab"/>
      <w:lvlText w:val="%2)"/>
      <w:lvlJc w:val="left"/>
      <w:pPr>
        <w:pStyle w:val="895"/>
        <w:ind w:left="1260" w:hanging="420"/>
      </w:pPr>
    </w:lvl>
    <w:lvl w:ilvl="2">
      <w:start w:val="1"/>
      <w:numFmt w:val="lowerRoman"/>
      <w:isLgl w:val="false"/>
      <w:suff w:val="tab"/>
      <w:lvlText w:val="%3."/>
      <w:lvlJc w:val="right"/>
      <w:pPr>
        <w:pStyle w:val="895"/>
        <w:ind w:left="1680" w:hanging="420"/>
      </w:pPr>
    </w:lvl>
    <w:lvl w:ilvl="3">
      <w:start w:val="1"/>
      <w:numFmt w:val="decimal"/>
      <w:isLgl w:val="false"/>
      <w:suff w:val="tab"/>
      <w:lvlText w:val="%4."/>
      <w:lvlJc w:val="left"/>
      <w:pPr>
        <w:pStyle w:val="895"/>
        <w:ind w:left="2100" w:hanging="420"/>
      </w:pPr>
    </w:lvl>
    <w:lvl w:ilvl="4">
      <w:start w:val="1"/>
      <w:numFmt w:val="lowerLetter"/>
      <w:isLgl w:val="false"/>
      <w:suff w:val="tab"/>
      <w:lvlText w:val="%5)"/>
      <w:lvlJc w:val="left"/>
      <w:pPr>
        <w:pStyle w:val="895"/>
        <w:ind w:left="2520" w:hanging="420"/>
      </w:pPr>
    </w:lvl>
    <w:lvl w:ilvl="5">
      <w:start w:val="1"/>
      <w:numFmt w:val="lowerRoman"/>
      <w:isLgl w:val="false"/>
      <w:suff w:val="tab"/>
      <w:lvlText w:val="%6."/>
      <w:lvlJc w:val="right"/>
      <w:pPr>
        <w:pStyle w:val="895"/>
        <w:ind w:left="2940" w:hanging="420"/>
      </w:pPr>
    </w:lvl>
    <w:lvl w:ilvl="6">
      <w:start w:val="1"/>
      <w:numFmt w:val="decimal"/>
      <w:isLgl w:val="false"/>
      <w:suff w:val="tab"/>
      <w:lvlText w:val="%7."/>
      <w:lvlJc w:val="left"/>
      <w:pPr>
        <w:pStyle w:val="895"/>
        <w:ind w:left="3360" w:hanging="420"/>
      </w:pPr>
    </w:lvl>
    <w:lvl w:ilvl="7">
      <w:start w:val="1"/>
      <w:numFmt w:val="lowerLetter"/>
      <w:isLgl w:val="false"/>
      <w:suff w:val="tab"/>
      <w:lvlText w:val="%8)"/>
      <w:lvlJc w:val="left"/>
      <w:pPr>
        <w:pStyle w:val="895"/>
        <w:ind w:left="3780" w:hanging="420"/>
      </w:pPr>
    </w:lvl>
    <w:lvl w:ilvl="8">
      <w:start w:val="1"/>
      <w:numFmt w:val="lowerRoman"/>
      <w:isLgl w:val="false"/>
      <w:suff w:val="tab"/>
      <w:lvlText w:val="%9."/>
      <w:lvlJc w:val="right"/>
      <w:pPr>
        <w:pStyle w:val="895"/>
        <w:ind w:left="4200" w:hanging="420"/>
      </w:pPr>
    </w:lvl>
  </w:abstractNum>
  <w:abstractNum w:abstractNumId="15">
    <w:multiLevelType w:val="hybridMultilevel"/>
    <w:lvl w:ilvl="0">
      <w:start w:val="1"/>
      <w:numFmt w:val="decimal"/>
      <w:isLgl w:val="false"/>
      <w:suff w:val="nothing"/>
      <w:lvlText w:val="%1、"/>
      <w:lvlJc w:val="left"/>
      <w:pPr>
        <w:pStyle w:val="8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isLgl w:val="false"/>
      <w:suff w:val="tab"/>
      <w:lvlText w:val=""/>
      <w:lvlJc w:val="left"/>
      <w:pPr>
        <w:pStyle w:val="895"/>
        <w:ind w:left="420" w:hanging="420"/>
      </w:pPr>
      <w:rPr>
        <w:rFonts w:ascii="Wingdings" w:hAnsi="Wingdings"/>
      </w:rPr>
    </w:lvl>
    <w:lvl w:ilvl="1">
      <w:start w:val="1"/>
      <w:numFmt w:val="bullet"/>
      <w:isLgl w:val="false"/>
      <w:suff w:val="tab"/>
      <w:lvlText w:val=""/>
      <w:lvlJc w:val="left"/>
      <w:pPr>
        <w:pStyle w:val="895"/>
        <w:ind w:left="840" w:hanging="420"/>
      </w:pPr>
      <w:rPr>
        <w:rFonts w:ascii="Wingdings" w:hAnsi="Wingdings"/>
      </w:rPr>
    </w:lvl>
    <w:lvl w:ilvl="2">
      <w:start w:val="1"/>
      <w:numFmt w:val="bullet"/>
      <w:isLgl w:val="false"/>
      <w:suff w:val="tab"/>
      <w:lvlText w:val=""/>
      <w:lvlJc w:val="left"/>
      <w:pPr>
        <w:pStyle w:val="895"/>
        <w:ind w:left="1260" w:hanging="420"/>
      </w:pPr>
      <w:rPr>
        <w:rFonts w:ascii="Wingdings" w:hAnsi="Wingdings"/>
      </w:rPr>
    </w:lvl>
    <w:lvl w:ilvl="3">
      <w:start w:val="1"/>
      <w:numFmt w:val="bullet"/>
      <w:isLgl w:val="false"/>
      <w:suff w:val="tab"/>
      <w:lvlText w:val=""/>
      <w:lvlJc w:val="left"/>
      <w:pPr>
        <w:pStyle w:val="895"/>
        <w:ind w:left="1680" w:hanging="420"/>
      </w:pPr>
      <w:rPr>
        <w:rFonts w:ascii="Wingdings" w:hAnsi="Wingdings"/>
      </w:rPr>
    </w:lvl>
    <w:lvl w:ilvl="4">
      <w:start w:val="1"/>
      <w:numFmt w:val="bullet"/>
      <w:isLgl w:val="false"/>
      <w:suff w:val="tab"/>
      <w:lvlText w:val=""/>
      <w:lvlJc w:val="left"/>
      <w:pPr>
        <w:pStyle w:val="895"/>
        <w:ind w:left="2100" w:hanging="420"/>
      </w:pPr>
      <w:rPr>
        <w:rFonts w:ascii="Wingdings" w:hAnsi="Wingdings"/>
      </w:rPr>
    </w:lvl>
    <w:lvl w:ilvl="5">
      <w:start w:val="1"/>
      <w:numFmt w:val="bullet"/>
      <w:isLgl w:val="false"/>
      <w:suff w:val="tab"/>
      <w:lvlText w:val=""/>
      <w:lvlJc w:val="left"/>
      <w:pPr>
        <w:pStyle w:val="895"/>
        <w:ind w:left="2520" w:hanging="420"/>
      </w:pPr>
      <w:rPr>
        <w:rFonts w:ascii="Wingdings" w:hAnsi="Wingdings"/>
      </w:rPr>
    </w:lvl>
    <w:lvl w:ilvl="6">
      <w:start w:val="1"/>
      <w:numFmt w:val="bullet"/>
      <w:isLgl w:val="false"/>
      <w:suff w:val="tab"/>
      <w:lvlText w:val=""/>
      <w:lvlJc w:val="left"/>
      <w:pPr>
        <w:pStyle w:val="895"/>
        <w:ind w:left="2940" w:hanging="420"/>
      </w:pPr>
      <w:rPr>
        <w:rFonts w:ascii="Wingdings" w:hAnsi="Wingdings"/>
      </w:rPr>
    </w:lvl>
    <w:lvl w:ilvl="7">
      <w:start w:val="1"/>
      <w:numFmt w:val="bullet"/>
      <w:isLgl w:val="false"/>
      <w:suff w:val="tab"/>
      <w:lvlText w:val=""/>
      <w:lvlJc w:val="left"/>
      <w:pPr>
        <w:pStyle w:val="895"/>
        <w:ind w:left="3360" w:hanging="420"/>
      </w:pPr>
      <w:rPr>
        <w:rFonts w:ascii="Wingdings" w:hAnsi="Wingdings"/>
      </w:rPr>
    </w:lvl>
    <w:lvl w:ilvl="8">
      <w:start w:val="1"/>
      <w:numFmt w:val="bullet"/>
      <w:isLgl w:val="false"/>
      <w:suff w:val="tab"/>
      <w:lvlText w:val=""/>
      <w:lvlJc w:val="left"/>
      <w:pPr>
        <w:pStyle w:val="895"/>
        <w:ind w:left="3780" w:hanging="420"/>
      </w:pPr>
      <w:rPr>
        <w:rFonts w:ascii="Wingdings" w:hAnsi="Wingdings"/>
      </w:rPr>
    </w:lvl>
  </w:abstractNum>
  <w:abstractNum w:abstractNumId="17">
    <w:multiLevelType w:val="hybridMultilevel"/>
    <w:lvl w:ilvl="0">
      <w:start w:val="1"/>
      <w:numFmt w:val="decimalEnclosedCircle"/>
      <w:isLgl w:val="false"/>
      <w:suff w:val="tab"/>
      <w:lvlText w:val="%1"/>
      <w:lvlJc w:val="left"/>
      <w:pPr>
        <w:pStyle w:val="895"/>
        <w:ind w:left="927" w:hanging="360"/>
      </w:pPr>
    </w:lvl>
    <w:lvl w:ilvl="1">
      <w:start w:val="1"/>
      <w:numFmt w:val="lowerLetter"/>
      <w:isLgl w:val="false"/>
      <w:suff w:val="tab"/>
      <w:lvlText w:val="%2)"/>
      <w:lvlJc w:val="left"/>
      <w:pPr>
        <w:pStyle w:val="895"/>
        <w:ind w:left="1407" w:hanging="420"/>
      </w:pPr>
    </w:lvl>
    <w:lvl w:ilvl="2">
      <w:start w:val="1"/>
      <w:numFmt w:val="lowerRoman"/>
      <w:isLgl w:val="false"/>
      <w:suff w:val="tab"/>
      <w:lvlText w:val="%3."/>
      <w:lvlJc w:val="right"/>
      <w:pPr>
        <w:pStyle w:val="895"/>
        <w:ind w:left="1827" w:hanging="420"/>
      </w:pPr>
    </w:lvl>
    <w:lvl w:ilvl="3">
      <w:start w:val="1"/>
      <w:numFmt w:val="decimal"/>
      <w:isLgl w:val="false"/>
      <w:suff w:val="tab"/>
      <w:lvlText w:val="%4."/>
      <w:lvlJc w:val="left"/>
      <w:pPr>
        <w:pStyle w:val="895"/>
        <w:ind w:left="2247" w:hanging="420"/>
      </w:pPr>
    </w:lvl>
    <w:lvl w:ilvl="4">
      <w:start w:val="1"/>
      <w:numFmt w:val="lowerLetter"/>
      <w:isLgl w:val="false"/>
      <w:suff w:val="tab"/>
      <w:lvlText w:val="%5)"/>
      <w:lvlJc w:val="left"/>
      <w:pPr>
        <w:pStyle w:val="895"/>
        <w:ind w:left="2667" w:hanging="420"/>
      </w:pPr>
    </w:lvl>
    <w:lvl w:ilvl="5">
      <w:start w:val="1"/>
      <w:numFmt w:val="lowerRoman"/>
      <w:isLgl w:val="false"/>
      <w:suff w:val="tab"/>
      <w:lvlText w:val="%6."/>
      <w:lvlJc w:val="right"/>
      <w:pPr>
        <w:pStyle w:val="895"/>
        <w:ind w:left="3087" w:hanging="420"/>
      </w:pPr>
    </w:lvl>
    <w:lvl w:ilvl="6">
      <w:start w:val="1"/>
      <w:numFmt w:val="decimal"/>
      <w:isLgl w:val="false"/>
      <w:suff w:val="tab"/>
      <w:lvlText w:val="%7."/>
      <w:lvlJc w:val="left"/>
      <w:pPr>
        <w:pStyle w:val="895"/>
        <w:ind w:left="3507" w:hanging="420"/>
      </w:pPr>
    </w:lvl>
    <w:lvl w:ilvl="7">
      <w:start w:val="1"/>
      <w:numFmt w:val="lowerLetter"/>
      <w:isLgl w:val="false"/>
      <w:suff w:val="tab"/>
      <w:lvlText w:val="%8)"/>
      <w:lvlJc w:val="left"/>
      <w:pPr>
        <w:pStyle w:val="895"/>
        <w:ind w:left="3927" w:hanging="420"/>
      </w:pPr>
    </w:lvl>
    <w:lvl w:ilvl="8">
      <w:start w:val="1"/>
      <w:numFmt w:val="lowerRoman"/>
      <w:isLgl w:val="false"/>
      <w:suff w:val="tab"/>
      <w:lvlText w:val="%9."/>
      <w:lvlJc w:val="right"/>
      <w:pPr>
        <w:pStyle w:val="895"/>
        <w:ind w:left="4347" w:hanging="420"/>
      </w:pPr>
    </w:lvl>
  </w:abstractNum>
  <w:abstractNum w:abstractNumId="18">
    <w:multiLevelType w:val="hybridMultilevel"/>
    <w:lvl w:ilvl="0">
      <w:start w:val="7"/>
      <w:numFmt w:val="japaneseCounting"/>
      <w:isLgl w:val="false"/>
      <w:suff w:val="tab"/>
      <w:lvlText w:val="（%1）"/>
      <w:lvlJc w:val="left"/>
      <w:pPr>
        <w:pStyle w:val="895"/>
        <w:ind w:left="1247" w:hanging="765"/>
      </w:pPr>
    </w:lvl>
    <w:lvl w:ilvl="1">
      <w:start w:val="1"/>
      <w:numFmt w:val="lowerLetter"/>
      <w:isLgl w:val="false"/>
      <w:suff w:val="tab"/>
      <w:lvlText w:val="%2)"/>
      <w:lvlJc w:val="left"/>
      <w:pPr>
        <w:pStyle w:val="895"/>
        <w:ind w:left="1322" w:hanging="420"/>
      </w:pPr>
    </w:lvl>
    <w:lvl w:ilvl="2">
      <w:start w:val="1"/>
      <w:numFmt w:val="lowerRoman"/>
      <w:isLgl w:val="false"/>
      <w:suff w:val="tab"/>
      <w:lvlText w:val="%3."/>
      <w:lvlJc w:val="right"/>
      <w:pPr>
        <w:pStyle w:val="895"/>
        <w:ind w:left="1742" w:hanging="420"/>
      </w:pPr>
    </w:lvl>
    <w:lvl w:ilvl="3">
      <w:start w:val="1"/>
      <w:numFmt w:val="decimal"/>
      <w:isLgl w:val="false"/>
      <w:suff w:val="tab"/>
      <w:lvlText w:val="%4."/>
      <w:lvlJc w:val="left"/>
      <w:pPr>
        <w:pStyle w:val="895"/>
        <w:ind w:left="2162" w:hanging="420"/>
      </w:pPr>
    </w:lvl>
    <w:lvl w:ilvl="4">
      <w:start w:val="1"/>
      <w:numFmt w:val="lowerLetter"/>
      <w:isLgl w:val="false"/>
      <w:suff w:val="tab"/>
      <w:lvlText w:val="%5)"/>
      <w:lvlJc w:val="left"/>
      <w:pPr>
        <w:pStyle w:val="895"/>
        <w:ind w:left="2582" w:hanging="420"/>
      </w:pPr>
    </w:lvl>
    <w:lvl w:ilvl="5">
      <w:start w:val="1"/>
      <w:numFmt w:val="lowerRoman"/>
      <w:isLgl w:val="false"/>
      <w:suff w:val="tab"/>
      <w:lvlText w:val="%6."/>
      <w:lvlJc w:val="right"/>
      <w:pPr>
        <w:pStyle w:val="895"/>
        <w:ind w:left="3002" w:hanging="420"/>
      </w:pPr>
    </w:lvl>
    <w:lvl w:ilvl="6">
      <w:start w:val="1"/>
      <w:numFmt w:val="decimal"/>
      <w:isLgl w:val="false"/>
      <w:suff w:val="tab"/>
      <w:lvlText w:val="%7."/>
      <w:lvlJc w:val="left"/>
      <w:pPr>
        <w:pStyle w:val="895"/>
        <w:ind w:left="3422" w:hanging="420"/>
      </w:pPr>
    </w:lvl>
    <w:lvl w:ilvl="7">
      <w:start w:val="1"/>
      <w:numFmt w:val="lowerLetter"/>
      <w:isLgl w:val="false"/>
      <w:suff w:val="tab"/>
      <w:lvlText w:val="%8)"/>
      <w:lvlJc w:val="left"/>
      <w:pPr>
        <w:pStyle w:val="895"/>
        <w:ind w:left="3842" w:hanging="420"/>
      </w:pPr>
    </w:lvl>
    <w:lvl w:ilvl="8">
      <w:start w:val="1"/>
      <w:numFmt w:val="lowerRoman"/>
      <w:isLgl w:val="false"/>
      <w:suff w:val="tab"/>
      <w:lvlText w:val="%9."/>
      <w:lvlJc w:val="right"/>
      <w:pPr>
        <w:pStyle w:val="895"/>
        <w:ind w:left="4262" w:hanging="420"/>
      </w:pPr>
    </w:lvl>
  </w:abstractNum>
  <w:num w:numId="1">
    <w:abstractNumId w:val="8"/>
  </w:num>
  <w:num w:numId="2">
    <w:abstractNumId w:val="2"/>
  </w:num>
  <w:num w:numId="3">
    <w:abstractNumId w:val="15"/>
  </w:num>
  <w:num w:numId="4">
    <w:abstractNumId w:val="10"/>
  </w:num>
  <w:num w:numId="5">
    <w:abstractNumId w:val="5"/>
  </w:num>
  <w:num w:numId="6">
    <w:abstractNumId w:val="18"/>
  </w:num>
  <w:num w:numId="7">
    <w:abstractNumId w:val="4"/>
  </w:num>
  <w:num w:numId="8">
    <w:abstractNumId w:val="16"/>
  </w:num>
  <w:num w:numId="9">
    <w:abstractNumId w:val="6"/>
  </w:num>
  <w:num w:numId="10">
    <w:abstractNumId w:val="13"/>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7"/>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name w:val="Heading 1"/>
    <w:basedOn w:val="895"/>
    <w:next w:val="895"/>
    <w:link w:val="719"/>
    <w:uiPriority w:val="9"/>
    <w:qFormat/>
    <w:pPr>
      <w:keepLines/>
      <w:keepNext/>
      <w:spacing w:before="480" w:after="200"/>
      <w:outlineLvl w:val="0"/>
    </w:pPr>
    <w:rPr>
      <w:rFonts w:ascii="Arial" w:hAnsi="Arial" w:eastAsia="Arial" w:cs="Arial"/>
      <w:sz w:val="40"/>
      <w:szCs w:val="40"/>
    </w:rPr>
  </w:style>
  <w:style w:type="character" w:styleId="719">
    <w:name w:val="Heading 1 Char"/>
    <w:link w:val="718"/>
    <w:uiPriority w:val="9"/>
    <w:rPr>
      <w:rFonts w:ascii="Arial" w:hAnsi="Arial" w:eastAsia="Arial" w:cs="Arial"/>
      <w:sz w:val="40"/>
      <w:szCs w:val="40"/>
    </w:rPr>
  </w:style>
  <w:style w:type="paragraph" w:styleId="720">
    <w:name w:val="Heading 2"/>
    <w:basedOn w:val="895"/>
    <w:next w:val="895"/>
    <w:link w:val="721"/>
    <w:uiPriority w:val="9"/>
    <w:unhideWhenUsed/>
    <w:qFormat/>
    <w:pPr>
      <w:keepLines/>
      <w:keepNext/>
      <w:spacing w:before="360" w:after="200"/>
      <w:outlineLvl w:val="1"/>
    </w:pPr>
    <w:rPr>
      <w:rFonts w:ascii="Arial" w:hAnsi="Arial" w:eastAsia="Arial" w:cs="Arial"/>
      <w:sz w:val="34"/>
    </w:rPr>
  </w:style>
  <w:style w:type="character" w:styleId="721">
    <w:name w:val="Heading 2 Char"/>
    <w:link w:val="720"/>
    <w:uiPriority w:val="9"/>
    <w:rPr>
      <w:rFonts w:ascii="Arial" w:hAnsi="Arial" w:eastAsia="Arial" w:cs="Arial"/>
      <w:sz w:val="34"/>
    </w:rPr>
  </w:style>
  <w:style w:type="paragraph" w:styleId="722">
    <w:name w:val="Heading 3"/>
    <w:basedOn w:val="895"/>
    <w:next w:val="895"/>
    <w:link w:val="723"/>
    <w:uiPriority w:val="9"/>
    <w:unhideWhenUsed/>
    <w:qFormat/>
    <w:pPr>
      <w:keepLines/>
      <w:keepNext/>
      <w:spacing w:before="320" w:after="200"/>
      <w:outlineLvl w:val="2"/>
    </w:pPr>
    <w:rPr>
      <w:rFonts w:ascii="Arial" w:hAnsi="Arial" w:eastAsia="Arial" w:cs="Arial"/>
      <w:sz w:val="30"/>
      <w:szCs w:val="30"/>
    </w:rPr>
  </w:style>
  <w:style w:type="character" w:styleId="723">
    <w:name w:val="Heading 3 Char"/>
    <w:link w:val="722"/>
    <w:uiPriority w:val="9"/>
    <w:rPr>
      <w:rFonts w:ascii="Arial" w:hAnsi="Arial" w:eastAsia="Arial" w:cs="Arial"/>
      <w:sz w:val="30"/>
      <w:szCs w:val="30"/>
    </w:rPr>
  </w:style>
  <w:style w:type="paragraph" w:styleId="724">
    <w:name w:val="Heading 4"/>
    <w:basedOn w:val="895"/>
    <w:next w:val="895"/>
    <w:link w:val="725"/>
    <w:uiPriority w:val="9"/>
    <w:unhideWhenUsed/>
    <w:qFormat/>
    <w:pPr>
      <w:keepLines/>
      <w:keepNext/>
      <w:spacing w:before="320" w:after="200"/>
      <w:outlineLvl w:val="3"/>
    </w:pPr>
    <w:rPr>
      <w:rFonts w:ascii="Arial" w:hAnsi="Arial" w:eastAsia="Arial" w:cs="Arial"/>
      <w:b/>
      <w:bCs/>
      <w:sz w:val="26"/>
      <w:szCs w:val="26"/>
    </w:rPr>
  </w:style>
  <w:style w:type="character" w:styleId="725">
    <w:name w:val="Heading 4 Char"/>
    <w:link w:val="724"/>
    <w:uiPriority w:val="9"/>
    <w:rPr>
      <w:rFonts w:ascii="Arial" w:hAnsi="Arial" w:eastAsia="Arial" w:cs="Arial"/>
      <w:b/>
      <w:bCs/>
      <w:sz w:val="26"/>
      <w:szCs w:val="26"/>
    </w:rPr>
  </w:style>
  <w:style w:type="paragraph" w:styleId="726">
    <w:name w:val="Heading 5"/>
    <w:basedOn w:val="895"/>
    <w:next w:val="895"/>
    <w:link w:val="727"/>
    <w:uiPriority w:val="9"/>
    <w:unhideWhenUsed/>
    <w:qFormat/>
    <w:pPr>
      <w:keepLines/>
      <w:keepNext/>
      <w:spacing w:before="320" w:after="200"/>
      <w:outlineLvl w:val="4"/>
    </w:pPr>
    <w:rPr>
      <w:rFonts w:ascii="Arial" w:hAnsi="Arial" w:eastAsia="Arial" w:cs="Arial"/>
      <w:b/>
      <w:bCs/>
      <w:sz w:val="24"/>
      <w:szCs w:val="24"/>
    </w:rPr>
  </w:style>
  <w:style w:type="character" w:styleId="727">
    <w:name w:val="Heading 5 Char"/>
    <w:link w:val="726"/>
    <w:uiPriority w:val="9"/>
    <w:rPr>
      <w:rFonts w:ascii="Arial" w:hAnsi="Arial" w:eastAsia="Arial" w:cs="Arial"/>
      <w:b/>
      <w:bCs/>
      <w:sz w:val="24"/>
      <w:szCs w:val="24"/>
    </w:rPr>
  </w:style>
  <w:style w:type="paragraph" w:styleId="728">
    <w:name w:val="Heading 6"/>
    <w:basedOn w:val="895"/>
    <w:next w:val="895"/>
    <w:link w:val="729"/>
    <w:uiPriority w:val="9"/>
    <w:unhideWhenUsed/>
    <w:qFormat/>
    <w:pPr>
      <w:keepLines/>
      <w:keepNext/>
      <w:spacing w:before="320" w:after="200"/>
      <w:outlineLvl w:val="5"/>
    </w:pPr>
    <w:rPr>
      <w:rFonts w:ascii="Arial" w:hAnsi="Arial" w:eastAsia="Arial" w:cs="Arial"/>
      <w:b/>
      <w:bCs/>
      <w:sz w:val="22"/>
      <w:szCs w:val="22"/>
    </w:rPr>
  </w:style>
  <w:style w:type="character" w:styleId="729">
    <w:name w:val="Heading 6 Char"/>
    <w:link w:val="728"/>
    <w:uiPriority w:val="9"/>
    <w:rPr>
      <w:rFonts w:ascii="Arial" w:hAnsi="Arial" w:eastAsia="Arial" w:cs="Arial"/>
      <w:b/>
      <w:bCs/>
      <w:sz w:val="22"/>
      <w:szCs w:val="22"/>
    </w:rPr>
  </w:style>
  <w:style w:type="paragraph" w:styleId="730">
    <w:name w:val="Heading 7"/>
    <w:basedOn w:val="895"/>
    <w:next w:val="895"/>
    <w:link w:val="731"/>
    <w:uiPriority w:val="9"/>
    <w:unhideWhenUsed/>
    <w:qFormat/>
    <w:pPr>
      <w:keepLines/>
      <w:keepNext/>
      <w:spacing w:before="320" w:after="200"/>
      <w:outlineLvl w:val="6"/>
    </w:pPr>
    <w:rPr>
      <w:rFonts w:ascii="Arial" w:hAnsi="Arial" w:eastAsia="Arial" w:cs="Arial"/>
      <w:b/>
      <w:bCs/>
      <w:i/>
      <w:iCs/>
      <w:sz w:val="22"/>
      <w:szCs w:val="22"/>
    </w:rPr>
  </w:style>
  <w:style w:type="character" w:styleId="731">
    <w:name w:val="Heading 7 Char"/>
    <w:link w:val="730"/>
    <w:uiPriority w:val="9"/>
    <w:rPr>
      <w:rFonts w:ascii="Arial" w:hAnsi="Arial" w:eastAsia="Arial" w:cs="Arial"/>
      <w:b/>
      <w:bCs/>
      <w:i/>
      <w:iCs/>
      <w:sz w:val="22"/>
      <w:szCs w:val="22"/>
    </w:rPr>
  </w:style>
  <w:style w:type="paragraph" w:styleId="732">
    <w:name w:val="Heading 8"/>
    <w:basedOn w:val="895"/>
    <w:next w:val="895"/>
    <w:link w:val="733"/>
    <w:uiPriority w:val="9"/>
    <w:unhideWhenUsed/>
    <w:qFormat/>
    <w:pPr>
      <w:keepLines/>
      <w:keepNext/>
      <w:spacing w:before="320" w:after="200"/>
      <w:outlineLvl w:val="7"/>
    </w:pPr>
    <w:rPr>
      <w:rFonts w:ascii="Arial" w:hAnsi="Arial" w:eastAsia="Arial" w:cs="Arial"/>
      <w:i/>
      <w:iCs/>
      <w:sz w:val="22"/>
      <w:szCs w:val="22"/>
    </w:rPr>
  </w:style>
  <w:style w:type="character" w:styleId="733">
    <w:name w:val="Heading 8 Char"/>
    <w:link w:val="732"/>
    <w:uiPriority w:val="9"/>
    <w:rPr>
      <w:rFonts w:ascii="Arial" w:hAnsi="Arial" w:eastAsia="Arial" w:cs="Arial"/>
      <w:i/>
      <w:iCs/>
      <w:sz w:val="22"/>
      <w:szCs w:val="22"/>
    </w:rPr>
  </w:style>
  <w:style w:type="paragraph" w:styleId="734">
    <w:name w:val="Heading 9"/>
    <w:basedOn w:val="895"/>
    <w:next w:val="895"/>
    <w:link w:val="735"/>
    <w:uiPriority w:val="9"/>
    <w:unhideWhenUsed/>
    <w:qFormat/>
    <w:pPr>
      <w:keepLines/>
      <w:keepNext/>
      <w:spacing w:before="320" w:after="200"/>
      <w:outlineLvl w:val="8"/>
    </w:pPr>
    <w:rPr>
      <w:rFonts w:ascii="Arial" w:hAnsi="Arial" w:eastAsia="Arial" w:cs="Arial"/>
      <w:i/>
      <w:iCs/>
      <w:sz w:val="21"/>
      <w:szCs w:val="21"/>
    </w:rPr>
  </w:style>
  <w:style w:type="character" w:styleId="735">
    <w:name w:val="Heading 9 Char"/>
    <w:link w:val="734"/>
    <w:uiPriority w:val="9"/>
    <w:rPr>
      <w:rFonts w:ascii="Arial" w:hAnsi="Arial" w:eastAsia="Arial" w:cs="Arial"/>
      <w:i/>
      <w:iCs/>
      <w:sz w:val="21"/>
      <w:szCs w:val="21"/>
    </w:r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903"/>
    <w:link w:val="895"/>
    <w:qFormat/>
    <w:pPr>
      <w:jc w:val="both"/>
      <w:widowControl w:val="off"/>
    </w:pPr>
    <w:rPr>
      <w:sz w:val="21"/>
      <w:szCs w:val="24"/>
      <w:lang w:val="en-US" w:eastAsia="zh-CN" w:bidi="ar-SA"/>
    </w:rPr>
  </w:style>
  <w:style w:type="paragraph" w:styleId="896">
    <w:name w:val="标题 1"/>
    <w:basedOn w:val="895"/>
    <w:next w:val="895"/>
    <w:link w:val="905"/>
    <w:qFormat/>
    <w:pPr>
      <w:keepLines/>
      <w:keepNext/>
      <w:spacing w:before="340" w:after="330" w:line="576" w:lineRule="auto"/>
      <w:outlineLvl w:val="0"/>
    </w:pPr>
    <w:rPr>
      <w:rFonts w:eastAsia="楷体_GB2312"/>
      <w:b/>
      <w:sz w:val="44"/>
      <w:szCs w:val="20"/>
    </w:rPr>
  </w:style>
  <w:style w:type="paragraph" w:styleId="897">
    <w:name w:val="标题 2"/>
    <w:basedOn w:val="895"/>
    <w:next w:val="895"/>
    <w:link w:val="906"/>
    <w:qFormat/>
    <w:pPr>
      <w:keepLines/>
      <w:keepNext/>
      <w:spacing w:before="260" w:after="260" w:line="416" w:lineRule="auto"/>
      <w:outlineLvl w:val="1"/>
    </w:pPr>
    <w:rPr>
      <w:rFonts w:ascii="Cambria" w:hAnsi="Cambria"/>
      <w:b/>
      <w:bCs/>
      <w:sz w:val="32"/>
      <w:szCs w:val="32"/>
    </w:rPr>
  </w:style>
  <w:style w:type="paragraph" w:styleId="898">
    <w:name w:val="标题 3"/>
    <w:basedOn w:val="895"/>
    <w:next w:val="895"/>
    <w:link w:val="907"/>
    <w:qFormat/>
    <w:pPr>
      <w:keepLines/>
      <w:keepNext/>
      <w:spacing w:before="260" w:after="260" w:line="416" w:lineRule="auto"/>
      <w:outlineLvl w:val="2"/>
    </w:pPr>
    <w:rPr>
      <w:b/>
      <w:bCs/>
      <w:sz w:val="32"/>
      <w:szCs w:val="32"/>
    </w:rPr>
  </w:style>
  <w:style w:type="paragraph" w:styleId="899">
    <w:name w:val="标题 4"/>
    <w:basedOn w:val="895"/>
    <w:next w:val="895"/>
    <w:link w:val="895"/>
    <w:qFormat/>
    <w:pPr>
      <w:keepLines/>
      <w:keepNext/>
      <w:spacing w:before="280" w:after="290" w:line="376" w:lineRule="auto"/>
      <w:outlineLvl w:val="3"/>
    </w:pPr>
    <w:rPr>
      <w:rFonts w:ascii="Arial" w:hAnsi="Arial" w:eastAsia="黑体"/>
      <w:b/>
      <w:bCs/>
      <w:sz w:val="28"/>
      <w:szCs w:val="28"/>
    </w:rPr>
  </w:style>
  <w:style w:type="character" w:styleId="900">
    <w:name w:val="默认段落字体"/>
    <w:next w:val="900"/>
    <w:link w:val="895"/>
    <w:semiHidden/>
  </w:style>
  <w:style w:type="table" w:styleId="901">
    <w:name w:val="普通表格"/>
    <w:next w:val="901"/>
    <w:link w:val="895"/>
    <w:semiHidden/>
    <w:tblPr/>
  </w:style>
  <w:style w:type="numbering" w:styleId="902">
    <w:name w:val="无列表"/>
    <w:next w:val="902"/>
    <w:link w:val="895"/>
    <w:uiPriority w:val="99"/>
    <w:semiHidden/>
    <w:unhideWhenUsed/>
  </w:style>
  <w:style w:type="paragraph" w:styleId="903">
    <w:name w:val="正文首行缩进 211"/>
    <w:basedOn w:val="904"/>
    <w:next w:val="895"/>
    <w:link w:val="895"/>
    <w:pPr>
      <w:ind w:left="420"/>
      <w:spacing w:after="120" w:line="240" w:lineRule="auto"/>
    </w:pPr>
    <w:rPr>
      <w:rFonts w:ascii="Times New Roman" w:hAnsi="Times New Roman"/>
      <w:sz w:val="21"/>
      <w:szCs w:val="20"/>
      <w:lang w:val="en-US" w:eastAsia="zh-CN"/>
    </w:rPr>
  </w:style>
  <w:style w:type="paragraph" w:styleId="904">
    <w:name w:val="正文文本缩进111"/>
    <w:basedOn w:val="895"/>
    <w:next w:val="895"/>
    <w:link w:val="895"/>
    <w:pPr>
      <w:ind w:firstLine="420"/>
      <w:spacing w:line="360" w:lineRule="exact"/>
    </w:pPr>
    <w:rPr>
      <w:sz w:val="24"/>
    </w:rPr>
  </w:style>
  <w:style w:type="character" w:styleId="905">
    <w:name w:val="标题 1 Char"/>
    <w:next w:val="905"/>
    <w:link w:val="896"/>
    <w:qFormat/>
    <w:rPr>
      <w:rFonts w:eastAsia="楷体_GB2312"/>
      <w:b/>
      <w:sz w:val="44"/>
    </w:rPr>
  </w:style>
  <w:style w:type="character" w:styleId="906">
    <w:name w:val="标题 2 Char"/>
    <w:next w:val="906"/>
    <w:link w:val="897"/>
    <w:rPr>
      <w:rFonts w:ascii="Cambria" w:hAnsi="Cambria"/>
      <w:b/>
      <w:bCs/>
      <w:sz w:val="32"/>
      <w:szCs w:val="32"/>
    </w:rPr>
  </w:style>
  <w:style w:type="character" w:styleId="907">
    <w:name w:val="标题 3 Char"/>
    <w:next w:val="907"/>
    <w:link w:val="898"/>
    <w:rPr>
      <w:b/>
      <w:bCs/>
      <w:sz w:val="32"/>
      <w:szCs w:val="32"/>
    </w:rPr>
  </w:style>
  <w:style w:type="paragraph" w:styleId="908">
    <w:name w:val="正文缩进"/>
    <w:basedOn w:val="895"/>
    <w:next w:val="908"/>
    <w:link w:val="909"/>
    <w:qFormat/>
    <w:pPr>
      <w:ind w:firstLine="420"/>
      <w:jc w:val="left"/>
    </w:pPr>
    <w:rPr>
      <w:rFonts w:eastAsia="楷体_GB2312"/>
      <w:sz w:val="24"/>
      <w:szCs w:val="20"/>
    </w:rPr>
  </w:style>
  <w:style w:type="character" w:styleId="909">
    <w:name w:val="正文缩进 Char"/>
    <w:next w:val="909"/>
    <w:link w:val="908"/>
    <w:qFormat/>
    <w:rPr>
      <w:rFonts w:eastAsia="楷体_GB2312"/>
      <w:sz w:val="24"/>
      <w:lang w:val="en-US" w:eastAsia="zh-CN" w:bidi="ar-SA"/>
    </w:rPr>
  </w:style>
  <w:style w:type="paragraph" w:styleId="910">
    <w:name w:val="文档结构图"/>
    <w:basedOn w:val="895"/>
    <w:next w:val="910"/>
    <w:link w:val="911"/>
    <w:rPr>
      <w:rFonts w:ascii="宋体"/>
      <w:sz w:val="18"/>
      <w:szCs w:val="18"/>
    </w:rPr>
  </w:style>
  <w:style w:type="character" w:styleId="911">
    <w:name w:val="文档结构图 Char"/>
    <w:next w:val="911"/>
    <w:link w:val="910"/>
    <w:rPr>
      <w:rFonts w:ascii="宋体"/>
      <w:sz w:val="18"/>
      <w:szCs w:val="18"/>
    </w:rPr>
  </w:style>
  <w:style w:type="paragraph" w:styleId="912">
    <w:name w:val="批注文字"/>
    <w:basedOn w:val="895"/>
    <w:next w:val="912"/>
    <w:link w:val="913"/>
    <w:pPr>
      <w:jc w:val="left"/>
    </w:pPr>
  </w:style>
  <w:style w:type="character" w:styleId="913">
    <w:name w:val="批注文字 Char"/>
    <w:next w:val="913"/>
    <w:link w:val="912"/>
    <w:rPr>
      <w:sz w:val="21"/>
      <w:szCs w:val="24"/>
    </w:rPr>
  </w:style>
  <w:style w:type="paragraph" w:styleId="914">
    <w:name w:val="正文文本 3"/>
    <w:basedOn w:val="895"/>
    <w:next w:val="914"/>
    <w:link w:val="895"/>
    <w:pPr>
      <w:spacing w:after="120"/>
    </w:pPr>
    <w:rPr>
      <w:sz w:val="16"/>
      <w:szCs w:val="16"/>
    </w:rPr>
  </w:style>
  <w:style w:type="paragraph" w:styleId="915">
    <w:name w:val="正文文本"/>
    <w:basedOn w:val="895"/>
    <w:next w:val="915"/>
    <w:link w:val="895"/>
    <w:pPr>
      <w:jc w:val="center"/>
    </w:pPr>
    <w:rPr>
      <w:rFonts w:ascii="方正大黑简体" w:eastAsia="方正大黑简体"/>
      <w:position w:val="6"/>
      <w:sz w:val="30"/>
      <w:szCs w:val="20"/>
    </w:rPr>
  </w:style>
  <w:style w:type="paragraph" w:styleId="916">
    <w:name w:val="正文文本缩进"/>
    <w:basedOn w:val="895"/>
    <w:next w:val="895"/>
    <w:link w:val="895"/>
    <w:pPr>
      <w:ind w:left="570"/>
      <w:spacing w:line="520" w:lineRule="exact"/>
    </w:pPr>
    <w:rPr>
      <w:rFonts w:ascii="方正仿宋简体" w:hAnsi="创艺简仿宋" w:eastAsia="方正仿宋简体"/>
      <w:sz w:val="24"/>
      <w:szCs w:val="20"/>
    </w:rPr>
  </w:style>
  <w:style w:type="paragraph" w:styleId="917">
    <w:name w:val="纯文本"/>
    <w:basedOn w:val="895"/>
    <w:next w:val="917"/>
    <w:link w:val="918"/>
    <w:rPr>
      <w:rFonts w:ascii="宋体" w:hAnsi="Courier New" w:eastAsia="楷体_GB2312"/>
      <w:sz w:val="28"/>
      <w:szCs w:val="20"/>
    </w:rPr>
  </w:style>
  <w:style w:type="character" w:styleId="918">
    <w:name w:val="纯文本 Char"/>
    <w:next w:val="918"/>
    <w:link w:val="917"/>
    <w:rPr>
      <w:rFonts w:ascii="宋体" w:hAnsi="Courier New" w:eastAsia="楷体_GB2312"/>
      <w:sz w:val="28"/>
      <w:lang w:val="en-US" w:eastAsia="zh-CN" w:bidi="ar-SA"/>
    </w:rPr>
  </w:style>
  <w:style w:type="paragraph" w:styleId="919">
    <w:name w:val="日期"/>
    <w:basedOn w:val="895"/>
    <w:next w:val="895"/>
    <w:link w:val="895"/>
    <w:rPr>
      <w:rFonts w:hint="eastAsia" w:ascii="宋体" w:hAnsi="宋体" w:eastAsia="楷体_GB2312"/>
      <w:sz w:val="24"/>
      <w:szCs w:val="20"/>
    </w:rPr>
  </w:style>
  <w:style w:type="paragraph" w:styleId="920">
    <w:name w:val="正文文本缩进 2"/>
    <w:basedOn w:val="895"/>
    <w:next w:val="920"/>
    <w:link w:val="895"/>
    <w:pPr>
      <w:ind w:firstLine="540"/>
      <w:spacing w:line="360" w:lineRule="auto"/>
    </w:pPr>
    <w:rPr>
      <w:rFonts w:ascii="宋体" w:hAnsi="宋体"/>
      <w:sz w:val="24"/>
    </w:rPr>
  </w:style>
  <w:style w:type="paragraph" w:styleId="921">
    <w:name w:val="批注框文本"/>
    <w:basedOn w:val="895"/>
    <w:next w:val="921"/>
    <w:link w:val="895"/>
    <w:semiHidden/>
    <w:rPr>
      <w:sz w:val="18"/>
      <w:szCs w:val="18"/>
    </w:rPr>
  </w:style>
  <w:style w:type="paragraph" w:styleId="922">
    <w:name w:val="页脚"/>
    <w:basedOn w:val="895"/>
    <w:next w:val="922"/>
    <w:link w:val="923"/>
    <w:uiPriority w:val="99"/>
    <w:pPr>
      <w:jc w:val="left"/>
      <w:tabs>
        <w:tab w:val="center" w:pos="4153" w:leader="none"/>
        <w:tab w:val="right" w:pos="8306" w:leader="none"/>
      </w:tabs>
    </w:pPr>
    <w:rPr>
      <w:sz w:val="18"/>
      <w:szCs w:val="18"/>
    </w:rPr>
  </w:style>
  <w:style w:type="character" w:styleId="923">
    <w:name w:val="页脚 Char"/>
    <w:next w:val="923"/>
    <w:link w:val="922"/>
    <w:uiPriority w:val="99"/>
    <w:rPr>
      <w:sz w:val="18"/>
      <w:szCs w:val="18"/>
    </w:rPr>
  </w:style>
  <w:style w:type="paragraph" w:styleId="924">
    <w:name w:val="寄信人地址"/>
    <w:basedOn w:val="895"/>
    <w:next w:val="924"/>
    <w:link w:val="895"/>
    <w:qFormat/>
    <w:rPr>
      <w:rFonts w:ascii="Arial" w:hAnsi="Arial" w:eastAsia="楷体_GB2312"/>
      <w:sz w:val="26"/>
    </w:rPr>
  </w:style>
  <w:style w:type="paragraph" w:styleId="925">
    <w:name w:val="页眉"/>
    <w:basedOn w:val="895"/>
    <w:next w:val="925"/>
    <w:link w:val="895"/>
    <w:pPr>
      <w:jc w:val="center"/>
      <w:tabs>
        <w:tab w:val="center" w:pos="4153" w:leader="none"/>
        <w:tab w:val="right" w:pos="8306" w:leader="none"/>
      </w:tabs>
      <w:pBdr>
        <w:bottom w:val="single" w:color="000000" w:sz="6" w:space="1"/>
      </w:pBdr>
    </w:pPr>
    <w:rPr>
      <w:rFonts w:eastAsia="楷体_GB2312"/>
      <w:sz w:val="18"/>
      <w:szCs w:val="20"/>
    </w:rPr>
  </w:style>
  <w:style w:type="paragraph" w:styleId="926">
    <w:name w:val="目录 1"/>
    <w:basedOn w:val="895"/>
    <w:next w:val="895"/>
    <w:link w:val="895"/>
    <w:qFormat/>
    <w:pPr>
      <w:jc w:val="left"/>
    </w:pPr>
    <w:rPr>
      <w:rFonts w:eastAsia="楷体_GB2312"/>
      <w:sz w:val="24"/>
      <w:szCs w:val="20"/>
    </w:rPr>
  </w:style>
  <w:style w:type="paragraph" w:styleId="927">
    <w:name w:val="副标题"/>
    <w:basedOn w:val="895"/>
    <w:next w:val="895"/>
    <w:link w:val="928"/>
    <w:qFormat/>
    <w:pPr>
      <w:jc w:val="center"/>
      <w:spacing w:before="240" w:after="60" w:line="312" w:lineRule="auto"/>
      <w:outlineLvl w:val="1"/>
    </w:pPr>
    <w:rPr>
      <w:rFonts w:ascii="Cambria" w:hAnsi="Cambria"/>
      <w:b/>
      <w:bCs/>
      <w:sz w:val="32"/>
      <w:szCs w:val="32"/>
    </w:rPr>
  </w:style>
  <w:style w:type="character" w:styleId="928">
    <w:name w:val="副标题 Char"/>
    <w:next w:val="928"/>
    <w:link w:val="927"/>
    <w:rPr>
      <w:rFonts w:ascii="Cambria" w:hAnsi="Cambria" w:cs="Times New Roman"/>
      <w:b/>
      <w:bCs/>
      <w:sz w:val="32"/>
      <w:szCs w:val="32"/>
    </w:rPr>
  </w:style>
  <w:style w:type="paragraph" w:styleId="929">
    <w:name w:val="正文文本缩进 3"/>
    <w:basedOn w:val="895"/>
    <w:next w:val="929"/>
    <w:link w:val="895"/>
    <w:pPr>
      <w:ind w:firstLine="570"/>
      <w:spacing w:line="520" w:lineRule="exact"/>
    </w:pPr>
    <w:rPr>
      <w:rFonts w:ascii="宋体" w:hAnsi="宋体"/>
      <w:sz w:val="24"/>
    </w:rPr>
  </w:style>
  <w:style w:type="paragraph" w:styleId="930">
    <w:name w:val="正文文本 2"/>
    <w:basedOn w:val="895"/>
    <w:next w:val="930"/>
    <w:link w:val="895"/>
    <w:pPr>
      <w:spacing w:line="400" w:lineRule="exact"/>
    </w:pPr>
    <w:rPr>
      <w:rFonts w:ascii="Arial" w:hAnsi="Arial" w:cs="Arial"/>
      <w:sz w:val="24"/>
    </w:rPr>
  </w:style>
  <w:style w:type="paragraph" w:styleId="931">
    <w:name w:val="普通(网站)"/>
    <w:basedOn w:val="895"/>
    <w:next w:val="931"/>
    <w:link w:val="932"/>
    <w:qFormat/>
    <w:pPr>
      <w:jc w:val="left"/>
      <w:spacing w:before="100" w:beforeAutospacing="1" w:after="100" w:afterAutospacing="1"/>
      <w:widowControl/>
    </w:pPr>
    <w:rPr>
      <w:rFonts w:ascii="宋体" w:hAnsi="宋体"/>
      <w:sz w:val="24"/>
      <w:szCs w:val="20"/>
    </w:rPr>
  </w:style>
  <w:style w:type="character" w:styleId="932">
    <w:name w:val="普通(网站) Char"/>
    <w:next w:val="932"/>
    <w:link w:val="931"/>
    <w:rPr>
      <w:rFonts w:ascii="宋体" w:hAnsi="宋体" w:cs="宋体"/>
      <w:sz w:val="24"/>
    </w:rPr>
  </w:style>
  <w:style w:type="paragraph" w:styleId="933">
    <w:name w:val="批注主题"/>
    <w:basedOn w:val="912"/>
    <w:next w:val="912"/>
    <w:link w:val="934"/>
    <w:rPr>
      <w:b/>
      <w:bCs/>
    </w:rPr>
  </w:style>
  <w:style w:type="character" w:styleId="934">
    <w:name w:val="批注主题 Char"/>
    <w:next w:val="934"/>
    <w:link w:val="933"/>
    <w:rPr>
      <w:b/>
      <w:bCs/>
      <w:sz w:val="21"/>
      <w:szCs w:val="24"/>
    </w:rPr>
  </w:style>
  <w:style w:type="paragraph" w:styleId="935">
    <w:name w:val="正文首行缩进"/>
    <w:basedOn w:val="915"/>
    <w:next w:val="935"/>
    <w:link w:val="895"/>
    <w:qFormat/>
    <w:pPr>
      <w:ind w:firstLine="200"/>
      <w:spacing w:line="360" w:lineRule="auto"/>
    </w:pPr>
    <w:rPr>
      <w:rFonts w:ascii="仿宋_GB2312" w:hAnsi="宋体" w:eastAsia="仿宋_GB2312" w:cs="宋体"/>
      <w:sz w:val="30"/>
      <w:szCs w:val="30"/>
    </w:rPr>
  </w:style>
  <w:style w:type="table" w:styleId="936">
    <w:name w:val="网格型"/>
    <w:basedOn w:val="901"/>
    <w:next w:val="936"/>
    <w:link w:val="895"/>
    <w:tblPr/>
  </w:style>
  <w:style w:type="character" w:styleId="937">
    <w:name w:val="要点"/>
    <w:next w:val="937"/>
    <w:link w:val="895"/>
    <w:qFormat/>
    <w:rPr>
      <w:b/>
      <w:bCs/>
    </w:rPr>
  </w:style>
  <w:style w:type="character" w:styleId="938">
    <w:name w:val="页码"/>
    <w:next w:val="938"/>
    <w:link w:val="895"/>
  </w:style>
  <w:style w:type="character" w:styleId="939">
    <w:name w:val="访问过的超链接"/>
    <w:next w:val="939"/>
    <w:link w:val="895"/>
    <w:rPr>
      <w:color w:val="800080"/>
      <w:u w:val="single"/>
    </w:rPr>
  </w:style>
  <w:style w:type="character" w:styleId="940">
    <w:name w:val="HTML 打字机"/>
    <w:next w:val="940"/>
    <w:link w:val="895"/>
    <w:rPr>
      <w:rFonts w:ascii="黑体" w:hAnsi="Courier New" w:eastAsia="黑体" w:cs="Courier New"/>
      <w:sz w:val="14"/>
      <w:szCs w:val="14"/>
    </w:rPr>
  </w:style>
  <w:style w:type="character" w:styleId="941">
    <w:name w:val="超链接"/>
    <w:next w:val="941"/>
    <w:link w:val="895"/>
    <w:uiPriority w:val="99"/>
    <w:qFormat/>
    <w:rPr>
      <w:color w:val="0000ff"/>
      <w:u w:val="single"/>
    </w:rPr>
  </w:style>
  <w:style w:type="character" w:styleId="942">
    <w:name w:val="批注引用"/>
    <w:next w:val="942"/>
    <w:link w:val="895"/>
    <w:rPr>
      <w:sz w:val="21"/>
      <w:szCs w:val="21"/>
    </w:rPr>
  </w:style>
  <w:style w:type="paragraph" w:styleId="943">
    <w:name w:val="列出段落1"/>
    <w:basedOn w:val="895"/>
    <w:next w:val="943"/>
    <w:link w:val="895"/>
    <w:qFormat/>
    <w:pPr>
      <w:ind w:firstLine="420"/>
    </w:pPr>
    <w:rPr>
      <w:rFonts w:ascii="Calibri" w:hAnsi="Calibri" w:eastAsia="宋体" w:cs="Times New Roman"/>
    </w:rPr>
  </w:style>
  <w:style w:type="paragraph" w:styleId="944">
    <w:name w:val="标题 31"/>
    <w:basedOn w:val="895"/>
    <w:next w:val="895"/>
    <w:link w:val="895"/>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45">
    <w:name w:val="ca-21"/>
    <w:next w:val="945"/>
    <w:link w:val="895"/>
    <w:rPr>
      <w:rFonts w:hint="eastAsia" w:ascii="宋体" w:hAnsi="宋体" w:eastAsia="宋体"/>
      <w:b/>
      <w:bCs/>
      <w:color w:val="000000"/>
      <w:spacing w:val="-20"/>
      <w:sz w:val="24"/>
      <w:szCs w:val="24"/>
    </w:rPr>
  </w:style>
  <w:style w:type="character" w:styleId="946">
    <w:name w:val="Plain Text Char Char"/>
    <w:next w:val="946"/>
    <w:link w:val="947"/>
    <w:qFormat/>
    <w:rPr>
      <w:rFonts w:ascii="宋体" w:hAnsi="宋体" w:eastAsia="楷体_GB2312" w:cs="Courier New"/>
      <w:sz w:val="26"/>
    </w:rPr>
  </w:style>
  <w:style w:type="paragraph" w:styleId="947">
    <w:name w:val="纯文本1"/>
    <w:basedOn w:val="895"/>
    <w:next w:val="947"/>
    <w:link w:val="946"/>
    <w:qFormat/>
    <w:rPr>
      <w:rFonts w:ascii="宋体" w:hAnsi="宋体" w:eastAsia="楷体_GB2312"/>
      <w:sz w:val="26"/>
      <w:szCs w:val="20"/>
    </w:rPr>
  </w:style>
  <w:style w:type="character" w:styleId="948">
    <w:name w:val="apple-converted-space"/>
    <w:next w:val="948"/>
    <w:link w:val="895"/>
  </w:style>
  <w:style w:type="character" w:styleId="949">
    <w:name w:val="Plain Text Char"/>
    <w:next w:val="949"/>
    <w:link w:val="950"/>
    <w:qFormat/>
    <w:rPr>
      <w:rFonts w:ascii="宋体" w:hAnsi="Courier New" w:eastAsia="楷体_GB2312"/>
      <w:sz w:val="28"/>
    </w:rPr>
  </w:style>
  <w:style w:type="paragraph" w:styleId="950">
    <w:name w:val="Plain Text"/>
    <w:basedOn w:val="895"/>
    <w:next w:val="950"/>
    <w:link w:val="949"/>
    <w:rPr>
      <w:rFonts w:ascii="宋体" w:hAnsi="Courier New" w:eastAsia="楷体_GB2312"/>
      <w:sz w:val="28"/>
      <w:szCs w:val="20"/>
    </w:rPr>
  </w:style>
  <w:style w:type="character" w:styleId="951">
    <w:name w:val="ca-11"/>
    <w:next w:val="951"/>
    <w:link w:val="895"/>
    <w:qFormat/>
    <w:rPr>
      <w:rFonts w:hint="eastAsia" w:ascii="宋体" w:hAnsi="宋体" w:eastAsia="宋体"/>
      <w:sz w:val="24"/>
      <w:szCs w:val="24"/>
    </w:rPr>
  </w:style>
  <w:style w:type="character" w:styleId="952">
    <w:name w:val="公路正文缩进 Char,表正文 Char,正文缩进 Char Char Char Char Char Char Char Char Char Char Char,±íÕýÎÄ Char,ÕýÎÄ·ÇËõ½ø Char,段1 Char,±í Char Char"/>
    <w:next w:val="952"/>
    <w:link w:val="895"/>
    <w:rPr>
      <w:rFonts w:eastAsia="楷体_GB2312"/>
      <w:sz w:val="24"/>
      <w:lang w:val="en-US" w:eastAsia="zh-CN" w:bidi="ar-SA"/>
    </w:rPr>
  </w:style>
  <w:style w:type="character" w:styleId="953">
    <w:name w:val=" Char Char3"/>
    <w:next w:val="953"/>
    <w:link w:val="895"/>
    <w:rPr>
      <w:rFonts w:ascii="宋体" w:hAnsi="Courier New" w:eastAsia="楷体_GB2312"/>
      <w:sz w:val="28"/>
      <w:lang w:val="en-US" w:eastAsia="zh-CN" w:bidi="ar-SA"/>
    </w:rPr>
  </w:style>
  <w:style w:type="character" w:styleId="954">
    <w:name w:val="投标文件正文 Char"/>
    <w:next w:val="954"/>
    <w:link w:val="955"/>
    <w:rPr>
      <w:rFonts w:ascii="仿宋_GB2312" w:eastAsia="仿宋_GB2312"/>
      <w:bCs/>
      <w:sz w:val="28"/>
      <w:szCs w:val="28"/>
      <w:lang w:val="en-US" w:eastAsia="zh-CN" w:bidi="ar-SA"/>
    </w:rPr>
  </w:style>
  <w:style w:type="paragraph" w:styleId="955">
    <w:name w:val="投标文件正文"/>
    <w:basedOn w:val="895"/>
    <w:next w:val="955"/>
    <w:link w:val="954"/>
    <w:pPr>
      <w:ind w:firstLine="560"/>
      <w:spacing w:line="440" w:lineRule="exact"/>
    </w:pPr>
    <w:rPr>
      <w:rFonts w:ascii="仿宋_GB2312" w:eastAsia="仿宋_GB2312"/>
      <w:bCs/>
      <w:sz w:val="28"/>
      <w:szCs w:val="28"/>
    </w:rPr>
  </w:style>
  <w:style w:type="paragraph" w:styleId="956">
    <w:name w:val="表格文字"/>
    <w:basedOn w:val="895"/>
    <w:next w:val="956"/>
    <w:link w:val="895"/>
  </w:style>
  <w:style w:type="paragraph" w:styleId="957">
    <w:name w:val="默认段落字体 Para Char Char Char Char Char Char Char Char Char Char Char Char Char Char Char Char Char"/>
    <w:basedOn w:val="895"/>
    <w:next w:val="957"/>
    <w:link w:val="895"/>
    <w:rPr>
      <w:rFonts w:eastAsia="仿宋_GB2312"/>
      <w:sz w:val="30"/>
      <w:szCs w:val="20"/>
    </w:rPr>
  </w:style>
  <w:style w:type="paragraph" w:styleId="958">
    <w:name w:val="默认段落字体 Para Char Char Char Char"/>
    <w:basedOn w:val="895"/>
    <w:next w:val="958"/>
    <w:link w:val="895"/>
  </w:style>
  <w:style w:type="paragraph" w:styleId="959">
    <w:name w:val="font5"/>
    <w:basedOn w:val="895"/>
    <w:next w:val="959"/>
    <w:link w:val="895"/>
    <w:pPr>
      <w:jc w:val="left"/>
      <w:spacing w:before="100" w:beforeAutospacing="1" w:after="100" w:afterAutospacing="1"/>
      <w:widowControl/>
    </w:pPr>
    <w:rPr>
      <w:rFonts w:hint="eastAsia" w:ascii="宋体" w:hAnsi="宋体"/>
      <w:sz w:val="18"/>
      <w:szCs w:val="18"/>
    </w:rPr>
  </w:style>
  <w:style w:type="paragraph" w:styleId="960">
    <w:name w:val="xl27"/>
    <w:basedOn w:val="895"/>
    <w:next w:val="960"/>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61">
    <w:name w:val="xl26"/>
    <w:basedOn w:val="895"/>
    <w:next w:val="961"/>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62">
    <w:name w:val="WW-正文缩进1"/>
    <w:basedOn w:val="895"/>
    <w:next w:val="962"/>
    <w:link w:val="895"/>
    <w:qFormat/>
    <w:pPr>
      <w:ind w:firstLine="420"/>
      <w:jc w:val="left"/>
    </w:pPr>
    <w:rPr>
      <w:rFonts w:eastAsia="楷体_GB2312;楷体"/>
      <w:sz w:val="24"/>
      <w:szCs w:val="20"/>
    </w:rPr>
  </w:style>
  <w:style w:type="paragraph" w:styleId="963">
    <w:name w:val=" Char Char2 Char"/>
    <w:basedOn w:val="895"/>
    <w:next w:val="963"/>
    <w:link w:val="895"/>
    <w:pPr>
      <w:ind w:left="845" w:hanging="420"/>
      <w:keepLines/>
      <w:keepNext/>
      <w:pageBreakBefore/>
      <w:tabs>
        <w:tab w:val="left" w:pos="845" w:leader="none"/>
      </w:tabs>
    </w:pPr>
    <w:rPr>
      <w:rFonts w:ascii="Tahoma" w:hAnsi="Tahoma"/>
      <w:sz w:val="24"/>
      <w:szCs w:val="20"/>
    </w:rPr>
  </w:style>
  <w:style w:type="paragraph" w:styleId="964">
    <w:name w:val="pa-4"/>
    <w:basedOn w:val="895"/>
    <w:next w:val="964"/>
    <w:link w:val="895"/>
    <w:pPr>
      <w:spacing w:line="360" w:lineRule="atLeast"/>
      <w:widowControl/>
    </w:pPr>
    <w:rPr>
      <w:rFonts w:ascii="宋体" w:hAnsi="宋体" w:cs="宋体"/>
      <w:sz w:val="24"/>
    </w:rPr>
  </w:style>
  <w:style w:type="paragraph" w:styleId="965">
    <w:name w:val="table_lines"/>
    <w:basedOn w:val="895"/>
    <w:next w:val="965"/>
    <w:link w:val="895"/>
    <w:pPr>
      <w:jc w:val="left"/>
      <w:widowControl/>
    </w:pPr>
    <w:rPr>
      <w:sz w:val="20"/>
      <w:szCs w:val="20"/>
      <w:lang w:val="de-DE" w:eastAsia="de-DE"/>
    </w:rPr>
  </w:style>
  <w:style w:type="paragraph" w:styleId="966">
    <w:name w:val="xl25"/>
    <w:basedOn w:val="895"/>
    <w:next w:val="966"/>
    <w:link w:val="89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67">
    <w:name w:val="xl24"/>
    <w:basedOn w:val="895"/>
    <w:next w:val="967"/>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68">
    <w:name w:val="样式5"/>
    <w:basedOn w:val="895"/>
    <w:next w:val="968"/>
    <w:link w:val="895"/>
    <w:pPr>
      <w:spacing w:line="360" w:lineRule="auto"/>
      <w:widowControl/>
    </w:pPr>
    <w:rPr>
      <w:rFonts w:ascii="宋体" w:hAnsi="宋体" w:eastAsia="黑体"/>
      <w:color w:val="000000"/>
      <w:sz w:val="24"/>
      <w:szCs w:val="21"/>
    </w:rPr>
  </w:style>
  <w:style w:type="paragraph" w:styleId="969">
    <w:name w:val="Char1 Char Char Char Char Char Char Char Char Char Char Char Char Char Char Char Char Char Char1 Char"/>
    <w:basedOn w:val="895"/>
    <w:next w:val="969"/>
    <w:link w:val="895"/>
    <w:pPr>
      <w:ind w:firstLine="200"/>
      <w:spacing w:line="360" w:lineRule="auto"/>
    </w:pPr>
    <w:rPr>
      <w:rFonts w:eastAsia="仿宋_GB2312"/>
      <w:sz w:val="24"/>
    </w:rPr>
  </w:style>
  <w:style w:type="paragraph" w:styleId="970">
    <w:name w:val="样式3"/>
    <w:basedOn w:val="917"/>
    <w:next w:val="970"/>
    <w:link w:val="895"/>
    <w:pPr>
      <w:spacing w:line="0" w:lineRule="atLeast"/>
      <w:outlineLvl w:val="0"/>
    </w:pPr>
    <w:rPr>
      <w:rFonts w:eastAsia="宋体"/>
    </w:rPr>
  </w:style>
  <w:style w:type="paragraph" w:styleId="971">
    <w:name w:val="Default"/>
    <w:next w:val="971"/>
    <w:link w:val="895"/>
    <w:pPr>
      <w:widowControl w:val="off"/>
    </w:pPr>
    <w:rPr>
      <w:rFonts w:ascii="宋体" w:hAnsi="Calibri" w:cs="宋体"/>
      <w:color w:val="000000"/>
      <w:sz w:val="24"/>
      <w:szCs w:val="24"/>
      <w:lang w:val="en-US" w:eastAsia="zh-CN" w:bidi="ar-SA"/>
    </w:rPr>
  </w:style>
  <w:style w:type="paragraph" w:styleId="972">
    <w:name w:val=" Char"/>
    <w:basedOn w:val="895"/>
    <w:next w:val="972"/>
    <w:link w:val="895"/>
    <w:pPr>
      <w:numPr>
        <w:ilvl w:val="0"/>
        <w:numId w:val="1"/>
      </w:numPr>
      <w:tabs>
        <w:tab w:val="left" w:pos="495" w:leader="none"/>
      </w:tabs>
    </w:pPr>
    <w:rPr>
      <w:sz w:val="24"/>
    </w:rPr>
  </w:style>
  <w:style w:type="paragraph" w:styleId="973">
    <w:name w:val=" Char Char Char Char Char Char Char"/>
    <w:basedOn w:val="895"/>
    <w:next w:val="973"/>
    <w:link w:val="895"/>
    <w:rPr>
      <w:rFonts w:ascii="Tahoma" w:hAnsi="Tahoma"/>
      <w:sz w:val="24"/>
      <w:szCs w:val="20"/>
    </w:rPr>
  </w:style>
  <w:style w:type="paragraph" w:styleId="974">
    <w:name w:val="table_1stline"/>
    <w:basedOn w:val="895"/>
    <w:next w:val="974"/>
    <w:link w:val="895"/>
    <w:pPr>
      <w:jc w:val="left"/>
      <w:spacing w:before="120"/>
      <w:widowControl/>
    </w:pPr>
    <w:rPr>
      <w:bCs/>
      <w:sz w:val="20"/>
      <w:szCs w:val="20"/>
      <w:lang w:val="de-DE" w:eastAsia="de-DE"/>
    </w:rPr>
  </w:style>
  <w:style w:type="paragraph" w:styleId="975">
    <w:name w:val="pa-3"/>
    <w:basedOn w:val="895"/>
    <w:next w:val="975"/>
    <w:link w:val="895"/>
    <w:pPr>
      <w:ind w:firstLine="480"/>
      <w:spacing w:line="360" w:lineRule="atLeast"/>
      <w:widowControl/>
    </w:pPr>
    <w:rPr>
      <w:rFonts w:ascii="宋体" w:hAnsi="宋体" w:cs="宋体"/>
      <w:sz w:val="24"/>
    </w:rPr>
  </w:style>
  <w:style w:type="paragraph" w:styleId="976">
    <w:name w:val="WW-正文缩进"/>
    <w:basedOn w:val="895"/>
    <w:next w:val="976"/>
    <w:link w:val="895"/>
    <w:pPr>
      <w:ind w:firstLine="420"/>
      <w:jc w:val="left"/>
    </w:pPr>
    <w:rPr>
      <w:rFonts w:eastAsia="楷体_GB2312"/>
      <w:sz w:val="24"/>
      <w:szCs w:val="20"/>
    </w:rPr>
  </w:style>
  <w:style w:type="paragraph" w:styleId="977">
    <w:name w:val="Normal Indent"/>
    <w:basedOn w:val="895"/>
    <w:next w:val="977"/>
    <w:link w:val="895"/>
    <w:pPr>
      <w:ind w:firstLine="420"/>
    </w:pPr>
    <w:rPr>
      <w:szCs w:val="20"/>
    </w:rPr>
  </w:style>
  <w:style w:type="paragraph" w:styleId="978">
    <w:name w:val="ÕýÎÄ"/>
    <w:next w:val="978"/>
    <w:link w:val="895"/>
    <w:pPr>
      <w:ind w:firstLine="419"/>
      <w:jc w:val="both"/>
      <w:spacing w:line="351" w:lineRule="atLeast"/>
      <w:widowControl w:val="off"/>
    </w:pPr>
    <w:rPr>
      <w:color w:val="000000"/>
      <w:sz w:val="21"/>
      <w:lang w:val="en-US" w:eastAsia="zh-CN" w:bidi="ar-SA"/>
    </w:rPr>
  </w:style>
  <w:style w:type="paragraph" w:styleId="979">
    <w:name w:val="纯文本2"/>
    <w:basedOn w:val="895"/>
    <w:next w:val="979"/>
    <w:link w:val="895"/>
    <w:qFormat/>
    <w:rPr>
      <w:rFonts w:hint="eastAsia" w:ascii="宋体" w:hAnsi="Courier New" w:eastAsia="楷体_GB2312"/>
      <w:sz w:val="28"/>
      <w:szCs w:val="20"/>
    </w:rPr>
  </w:style>
  <w:style w:type="paragraph" w:styleId="980">
    <w:name w:val="FA正文+标号"/>
    <w:basedOn w:val="895"/>
    <w:next w:val="980"/>
    <w:link w:val="895"/>
    <w:pPr>
      <w:spacing w:line="360" w:lineRule="auto"/>
      <w:tabs>
        <w:tab w:val="left" w:pos="2110" w:leader="none"/>
      </w:tabs>
    </w:pPr>
    <w:rPr>
      <w:rFonts w:ascii="仿宋_GB2312" w:eastAsia="仿宋_GB2312" w:cs="宋体"/>
      <w:sz w:val="24"/>
    </w:rPr>
  </w:style>
  <w:style w:type="paragraph" w:styleId="981">
    <w:name w:val="Char1"/>
    <w:basedOn w:val="895"/>
    <w:next w:val="981"/>
    <w:link w:val="895"/>
    <w:rPr>
      <w:rFonts w:ascii="宋体" w:hAnsi="宋体"/>
      <w:b/>
      <w:sz w:val="24"/>
      <w:szCs w:val="20"/>
    </w:rPr>
  </w:style>
  <w:style w:type="paragraph" w:styleId="982">
    <w:name w:val="纯文本3"/>
    <w:basedOn w:val="895"/>
    <w:next w:val="982"/>
    <w:link w:val="895"/>
    <w:qFormat/>
    <w:rPr>
      <w:rFonts w:hint="eastAsia" w:ascii="宋体" w:hAnsi="Courier New" w:eastAsia="楷体_GB2312"/>
      <w:sz w:val="28"/>
      <w:szCs w:val="20"/>
    </w:rPr>
  </w:style>
  <w:style w:type="paragraph" w:styleId="983">
    <w:name w:val="纯文本6"/>
    <w:basedOn w:val="895"/>
    <w:next w:val="983"/>
    <w:link w:val="895"/>
    <w:qFormat/>
    <w:rPr>
      <w:rFonts w:ascii="宋体" w:hAnsi="Courier New" w:eastAsia="楷体_GB2312"/>
      <w:sz w:val="28"/>
      <w:szCs w:val="20"/>
    </w:rPr>
  </w:style>
  <w:style w:type="character" w:styleId="984">
    <w:name w:val="font31"/>
    <w:next w:val="984"/>
    <w:link w:val="895"/>
    <w:rPr>
      <w:rFonts w:hint="eastAsia" w:ascii="宋体" w:hAnsi="宋体" w:eastAsia="宋体" w:cs="宋体"/>
      <w:i w:val="0"/>
      <w:color w:val="000000"/>
      <w:sz w:val="20"/>
      <w:szCs w:val="20"/>
      <w:u w:val="none"/>
    </w:rPr>
  </w:style>
  <w:style w:type="character" w:styleId="985">
    <w:name w:val="font21"/>
    <w:next w:val="985"/>
    <w:link w:val="895"/>
    <w:rPr>
      <w:rFonts w:hint="eastAsia" w:ascii="宋体" w:hAnsi="宋体" w:eastAsia="宋体" w:cs="宋体"/>
      <w:i w:val="0"/>
      <w:color w:val="000000"/>
      <w:sz w:val="20"/>
      <w:szCs w:val="20"/>
      <w:u w:val="none"/>
    </w:rPr>
  </w:style>
  <w:style w:type="paragraph" w:styleId="986">
    <w:name w:val="无间隔"/>
    <w:next w:val="986"/>
    <w:link w:val="895"/>
    <w:uiPriority w:val="1"/>
    <w:qFormat/>
    <w:pPr>
      <w:jc w:val="both"/>
      <w:widowControl w:val="off"/>
    </w:pPr>
    <w:rPr>
      <w:rFonts w:ascii="Calibri" w:hAnsi="Calibri"/>
      <w:sz w:val="21"/>
      <w:szCs w:val="22"/>
      <w:lang w:val="en-US" w:eastAsia="zh-CN" w:bidi="ar-SA"/>
    </w:rPr>
  </w:style>
  <w:style w:type="character" w:styleId="987">
    <w:name w:val="font51"/>
    <w:next w:val="987"/>
    <w:link w:val="895"/>
    <w:rPr>
      <w:rFonts w:hint="eastAsia" w:ascii="宋体" w:hAnsi="宋体" w:eastAsia="宋体" w:cs="宋体"/>
      <w:i w:val="0"/>
      <w:color w:val="000000"/>
      <w:sz w:val="20"/>
      <w:szCs w:val="20"/>
      <w:u w:val="none"/>
    </w:rPr>
  </w:style>
  <w:style w:type="character" w:styleId="988">
    <w:name w:val="font41"/>
    <w:next w:val="988"/>
    <w:link w:val="895"/>
    <w:rPr>
      <w:rFonts w:ascii="Calibri" w:hAnsi="Calibri" w:cs="Calibri"/>
      <w:i w:val="0"/>
      <w:color w:val="000000"/>
      <w:sz w:val="20"/>
      <w:szCs w:val="20"/>
      <w:u w:val="none"/>
    </w:rPr>
  </w:style>
  <w:style w:type="character" w:styleId="989">
    <w:name w:val="font81"/>
    <w:next w:val="989"/>
    <w:link w:val="895"/>
    <w:rPr>
      <w:rFonts w:ascii="Calibri" w:hAnsi="Calibri" w:cs="Calibri"/>
      <w:i w:val="0"/>
      <w:color w:val="000000"/>
      <w:sz w:val="20"/>
      <w:szCs w:val="20"/>
      <w:u w:val="none"/>
    </w:rPr>
  </w:style>
  <w:style w:type="character" w:styleId="990">
    <w:name w:val="font71"/>
    <w:next w:val="990"/>
    <w:link w:val="895"/>
    <w:rPr>
      <w:rFonts w:hint="eastAsia" w:ascii="宋体" w:hAnsi="宋体" w:eastAsia="宋体" w:cs="宋体"/>
      <w:i w:val="0"/>
      <w:color w:val="000000"/>
      <w:sz w:val="20"/>
      <w:szCs w:val="20"/>
      <w:u w:val="none"/>
    </w:rPr>
  </w:style>
  <w:style w:type="paragraph" w:styleId="991">
    <w:name w:val="段"/>
    <w:next w:val="895"/>
    <w:link w:val="895"/>
    <w:qFormat/>
    <w:pPr>
      <w:ind w:firstLine="200"/>
      <w:jc w:val="both"/>
    </w:pPr>
    <w:rPr>
      <w:rFonts w:ascii="宋体" w:hAnsi="Calibri"/>
      <w:lang w:val="en-US" w:eastAsia="zh-CN" w:bidi="ar-SA"/>
    </w:rPr>
  </w:style>
  <w:style w:type="paragraph" w:styleId="992">
    <w:name w:val="Andy_正文"/>
    <w:basedOn w:val="895"/>
    <w:next w:val="992"/>
    <w:link w:val="895"/>
    <w:qFormat/>
    <w:pPr>
      <w:ind w:firstLine="480"/>
      <w:spacing w:line="360" w:lineRule="auto"/>
    </w:pPr>
    <w:rPr>
      <w:rFonts w:ascii="Calibri" w:hAnsi="Calibri"/>
      <w:sz w:val="24"/>
    </w:rPr>
  </w:style>
  <w:style w:type="paragraph" w:styleId="993">
    <w:name w:val="正文缩进1"/>
    <w:basedOn w:val="895"/>
    <w:next w:val="993"/>
    <w:link w:val="895"/>
    <w:qFormat/>
    <w:pPr>
      <w:ind w:firstLine="420"/>
      <w:jc w:val="left"/>
    </w:pPr>
    <w:rPr>
      <w:rFonts w:eastAsia="楷体_GB2312"/>
      <w:sz w:val="24"/>
      <w:szCs w:val="20"/>
    </w:rPr>
  </w:style>
  <w:style w:type="paragraph" w:styleId="994">
    <w:name w:val="列出段落"/>
    <w:basedOn w:val="895"/>
    <w:next w:val="994"/>
    <w:link w:val="895"/>
    <w:uiPriority w:val="34"/>
    <w:qFormat/>
    <w:pPr>
      <w:ind w:firstLine="420"/>
    </w:pPr>
  </w:style>
  <w:style w:type="paragraph" w:styleId="995">
    <w:name w:val="p0"/>
    <w:basedOn w:val="895"/>
    <w:next w:val="995"/>
    <w:link w:val="895"/>
    <w:qFormat/>
    <w:pPr>
      <w:widowControl/>
    </w:pPr>
    <w:rPr>
      <w:rFonts w:ascii="Times New Roman" w:hAnsi="Times New Roman" w:eastAsia="宋体" w:cs="Times New Roman"/>
      <w:szCs w:val="21"/>
    </w:rPr>
  </w:style>
  <w:style w:type="character" w:styleId="996">
    <w:name w:val="font11"/>
    <w:next w:val="996"/>
    <w:link w:val="895"/>
    <w:qFormat/>
    <w:rPr>
      <w:rFonts w:hint="eastAsia" w:ascii="宋体" w:hAnsi="宋体" w:eastAsia="宋体" w:cs="宋体"/>
      <w:color w:val="000000"/>
      <w:sz w:val="22"/>
      <w:szCs w:val="22"/>
      <w:u w:val="none"/>
    </w:rPr>
  </w:style>
  <w:style w:type="paragraph" w:styleId="997">
    <w:name w:val="正文文本缩进1"/>
    <w:basedOn w:val="895"/>
    <w:next w:val="895"/>
    <w:link w:val="895"/>
    <w:qFormat/>
    <w:pPr>
      <w:ind w:left="420"/>
      <w:spacing w:after="120"/>
    </w:pPr>
  </w:style>
  <w:style w:type="character" w:styleId="998">
    <w:name w:val="font61"/>
    <w:next w:val="998"/>
    <w:link w:val="895"/>
    <w:rPr>
      <w:rFonts w:hint="eastAsia" w:ascii="宋体" w:hAnsi="宋体" w:eastAsia="宋体" w:cs="宋体"/>
      <w:i w:val="0"/>
      <w:iCs w:val="0"/>
      <w:color w:val="000000"/>
      <w:sz w:val="21"/>
      <w:szCs w:val="21"/>
      <w:u w:val="none"/>
    </w:rPr>
  </w:style>
  <w:style w:type="character" w:styleId="999">
    <w:name w:val="font91"/>
    <w:next w:val="999"/>
    <w:link w:val="895"/>
    <w:rPr>
      <w:rFonts w:hint="eastAsia" w:ascii="宋体" w:hAnsi="宋体" w:eastAsia="宋体" w:cs="宋体"/>
      <w:i w:val="0"/>
      <w:iCs w:val="0"/>
      <w:color w:val="ff0000"/>
      <w:sz w:val="21"/>
      <w:szCs w:val="21"/>
      <w:u w:val="none"/>
    </w:rPr>
  </w:style>
  <w:style w:type="character" w:styleId="1000">
    <w:name w:val="font101"/>
    <w:next w:val="1000"/>
    <w:link w:val="895"/>
    <w:rPr>
      <w:rFonts w:hint="eastAsia" w:ascii="宋体" w:hAnsi="宋体" w:eastAsia="宋体" w:cs="宋体"/>
      <w:i w:val="0"/>
      <w:iCs w:val="0"/>
      <w:color w:val="008000"/>
      <w:sz w:val="21"/>
      <w:szCs w:val="21"/>
      <w:u w:val="none"/>
    </w:rPr>
  </w:style>
  <w:style w:type="paragraph" w:styleId="1001">
    <w:name w:val="首行缩进"/>
    <w:basedOn w:val="895"/>
    <w:next w:val="1001"/>
    <w:link w:val="895"/>
    <w:qFormat/>
    <w:pPr>
      <w:ind w:firstLine="480"/>
      <w:jc w:val="left"/>
      <w:spacing w:line="360" w:lineRule="auto"/>
    </w:pPr>
    <w:rPr>
      <w:rFonts w:ascii="宋体" w:hAnsi="宋体"/>
      <w:sz w:val="24"/>
      <w:szCs w:val="24"/>
    </w:rPr>
  </w:style>
  <w:style w:type="paragraph" w:styleId="1002">
    <w:name w:val="正文文本缩进11"/>
    <w:basedOn w:val="895"/>
    <w:next w:val="895"/>
    <w:link w:val="895"/>
    <w:qFormat/>
    <w:pPr>
      <w:ind w:firstLine="420"/>
      <w:spacing w:line="360" w:lineRule="exact"/>
    </w:pPr>
    <w:rPr>
      <w:sz w:val="24"/>
    </w:rPr>
  </w:style>
  <w:style w:type="paragraph" w:styleId="1003">
    <w:name w:val="List Paragraph"/>
    <w:basedOn w:val="895"/>
    <w:next w:val="1003"/>
    <w:link w:val="895"/>
    <w:uiPriority w:val="34"/>
    <w:qFormat/>
    <w:pPr>
      <w:ind w:firstLine="420"/>
    </w:pPr>
    <w:rPr>
      <w:rFonts w:ascii="Calibri" w:hAnsi="Calibri"/>
      <w:szCs w:val="22"/>
    </w:rPr>
  </w:style>
  <w:style w:type="paragraph" w:styleId="1004">
    <w:name w:val="修订"/>
    <w:next w:val="1004"/>
    <w:link w:val="895"/>
    <w:uiPriority w:val="99"/>
    <w:unhideWhenUsed/>
    <w:rPr>
      <w:sz w:val="21"/>
      <w:szCs w:val="24"/>
      <w:lang w:val="en-US" w:eastAsia="zh-CN" w:bidi="ar-SA"/>
    </w:rPr>
  </w:style>
  <w:style w:type="character" w:styleId="1005">
    <w:name w:val="正文文本缩进 字符"/>
    <w:next w:val="1005"/>
    <w:link w:val="1006"/>
    <w:rPr>
      <w:rFonts w:ascii="宋体" w:hAnsi="宋体"/>
      <w:sz w:val="24"/>
      <w:szCs w:val="21"/>
    </w:rPr>
  </w:style>
  <w:style w:type="paragraph" w:styleId="1006">
    <w:name w:val="正文文本缩进2"/>
    <w:basedOn w:val="895"/>
    <w:next w:val="895"/>
    <w:link w:val="1005"/>
    <w:pPr>
      <w:ind w:firstLine="420"/>
      <w:spacing w:line="360" w:lineRule="exact"/>
    </w:pPr>
    <w:rPr>
      <w:rFonts w:ascii="宋体" w:hAnsi="宋体"/>
      <w:sz w:val="24"/>
      <w:szCs w:val="21"/>
    </w:r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123456</dc:creator>
  <cp:lastModifiedBy>营财经办2</cp:lastModifiedBy>
  <cp:revision>30</cp:revision>
  <dcterms:created xsi:type="dcterms:W3CDTF">2026-05-06T08:41:00Z</dcterms:created>
  <dcterms:modified xsi:type="dcterms:W3CDTF">2026-05-08T03:32:12Z</dcterms:modified>
  <cp:version>917504</cp:version>
</cp:coreProperties>
</file>