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EB8D843">
      <w:pPr>
        <w:spacing w:line="360" w:lineRule="auto"/>
        <w:ind w:firstLine="160" w:firstLineChars="50"/>
        <w:rPr>
          <w:rFonts w:ascii="CESI黑体-GB2312" w:hAnsi="CESI黑体-GB2312" w:eastAsia="CESI黑体-GB2312" w:cs="CESI黑体-GB2312"/>
          <w:color w:val="auto"/>
          <w:sz w:val="32"/>
          <w:szCs w:val="32"/>
          <w:highlight w:val="none"/>
        </w:rPr>
      </w:pPr>
      <w:bookmarkStart w:id="910" w:name="_GoBack"/>
    </w:p>
    <w:p w14:paraId="05840779">
      <w:pPr>
        <w:spacing w:line="360" w:lineRule="auto"/>
        <w:ind w:firstLine="300" w:firstLineChars="50"/>
        <w:rPr>
          <w:color w:val="auto"/>
          <w:sz w:val="60"/>
          <w:szCs w:val="60"/>
          <w:highlight w:val="none"/>
        </w:rPr>
      </w:pPr>
    </w:p>
    <w:p w14:paraId="19799DE8">
      <w:pPr>
        <w:jc w:val="center"/>
        <w:rPr>
          <w:b/>
          <w:bCs/>
          <w:color w:val="auto"/>
          <w:sz w:val="60"/>
          <w:szCs w:val="60"/>
          <w:highlight w:val="none"/>
        </w:rPr>
      </w:pPr>
      <w:r>
        <w:rPr>
          <w:rFonts w:hint="eastAsia"/>
          <w:b/>
          <w:bCs/>
          <w:color w:val="auto"/>
          <w:sz w:val="56"/>
          <w:szCs w:val="56"/>
          <w:highlight w:val="none"/>
          <w:lang w:eastAsia="zh-CN"/>
        </w:rPr>
        <w:t>常州市中医医院医疗废物收集处置服务项目</w:t>
      </w:r>
      <w:r>
        <w:rPr>
          <w:rFonts w:hint="eastAsia"/>
          <w:b/>
          <w:bCs/>
          <w:color w:val="auto"/>
          <w:sz w:val="60"/>
          <w:szCs w:val="60"/>
          <w:highlight w:val="none"/>
        </w:rPr>
        <w:t>公开招标文件</w:t>
      </w:r>
    </w:p>
    <w:p w14:paraId="5DA70A45">
      <w:pPr>
        <w:jc w:val="center"/>
        <w:rPr>
          <w:b/>
          <w:bCs/>
          <w:color w:val="auto"/>
          <w:sz w:val="60"/>
          <w:szCs w:val="60"/>
          <w:highlight w:val="none"/>
        </w:rPr>
      </w:pPr>
    </w:p>
    <w:p w14:paraId="36A79595">
      <w:pPr>
        <w:jc w:val="center"/>
        <w:rPr>
          <w:b/>
          <w:bCs/>
          <w:color w:val="auto"/>
          <w:sz w:val="60"/>
          <w:szCs w:val="60"/>
          <w:highlight w:val="none"/>
        </w:rPr>
      </w:pPr>
    </w:p>
    <w:p w14:paraId="371816B4">
      <w:pPr>
        <w:spacing w:line="360" w:lineRule="auto"/>
        <w:jc w:val="center"/>
        <w:rPr>
          <w:color w:val="auto"/>
          <w:sz w:val="60"/>
          <w:szCs w:val="60"/>
          <w:highlight w:val="none"/>
        </w:rPr>
      </w:pPr>
    </w:p>
    <w:p w14:paraId="40053AB8">
      <w:pPr>
        <w:tabs>
          <w:tab w:val="left" w:pos="3240"/>
          <w:tab w:val="left" w:pos="3420"/>
        </w:tabs>
        <w:spacing w:line="360" w:lineRule="auto"/>
        <w:ind w:left="2832" w:leftChars="444" w:hanging="1900" w:hangingChars="528"/>
        <w:jc w:val="left"/>
        <w:rPr>
          <w:rFonts w:hint="eastAsia" w:eastAsia="宋体"/>
          <w:bCs/>
          <w:color w:val="auto"/>
          <w:sz w:val="36"/>
          <w:szCs w:val="36"/>
          <w:highlight w:val="none"/>
          <w:lang w:eastAsia="zh-CN"/>
        </w:rPr>
      </w:pPr>
      <w:r>
        <w:rPr>
          <w:bCs/>
          <w:color w:val="auto"/>
          <w:sz w:val="36"/>
          <w:szCs w:val="36"/>
          <w:highlight w:val="none"/>
        </w:rPr>
        <w:t>项目名称：</w:t>
      </w:r>
      <w:r>
        <w:rPr>
          <w:rFonts w:hint="eastAsia"/>
          <w:bCs/>
          <w:color w:val="auto"/>
          <w:sz w:val="36"/>
          <w:szCs w:val="36"/>
          <w:highlight w:val="none"/>
          <w:lang w:eastAsia="zh-CN"/>
        </w:rPr>
        <w:t>常州市中医医院医疗废物收集处置服务项目</w:t>
      </w:r>
    </w:p>
    <w:p w14:paraId="72DABBD2">
      <w:pPr>
        <w:tabs>
          <w:tab w:val="left" w:pos="3240"/>
          <w:tab w:val="left" w:pos="3420"/>
        </w:tabs>
        <w:spacing w:line="360" w:lineRule="auto"/>
        <w:ind w:left="2832" w:leftChars="444" w:hanging="1900" w:hangingChars="528"/>
        <w:jc w:val="left"/>
        <w:rPr>
          <w:rFonts w:hint="eastAsia" w:eastAsia="宋体"/>
          <w:bCs/>
          <w:color w:val="auto"/>
          <w:sz w:val="36"/>
          <w:szCs w:val="36"/>
          <w:highlight w:val="none"/>
          <w:lang w:eastAsia="zh-CN"/>
        </w:rPr>
      </w:pPr>
      <w:r>
        <w:rPr>
          <w:bCs/>
          <w:color w:val="auto"/>
          <w:sz w:val="36"/>
          <w:szCs w:val="36"/>
          <w:highlight w:val="none"/>
        </w:rPr>
        <w:t>项目编号：</w:t>
      </w:r>
      <w:r>
        <w:rPr>
          <w:rFonts w:hint="eastAsia"/>
          <w:bCs/>
          <w:color w:val="auto"/>
          <w:sz w:val="36"/>
          <w:szCs w:val="36"/>
          <w:highlight w:val="none"/>
          <w:lang w:eastAsia="zh-CN"/>
        </w:rPr>
        <w:t>JSZC-320400-SYZB-G2026-0039</w:t>
      </w:r>
    </w:p>
    <w:p w14:paraId="6C6484FE">
      <w:pPr>
        <w:tabs>
          <w:tab w:val="left" w:pos="3240"/>
          <w:tab w:val="left" w:pos="3420"/>
        </w:tabs>
        <w:spacing w:line="360" w:lineRule="auto"/>
        <w:ind w:left="2832" w:leftChars="444" w:hanging="1900" w:hangingChars="528"/>
        <w:jc w:val="left"/>
        <w:rPr>
          <w:rFonts w:hint="eastAsia" w:eastAsia="宋体"/>
          <w:bCs/>
          <w:color w:val="auto"/>
          <w:sz w:val="36"/>
          <w:szCs w:val="36"/>
          <w:highlight w:val="none"/>
          <w:lang w:eastAsia="zh-CN"/>
        </w:rPr>
      </w:pPr>
      <w:r>
        <w:rPr>
          <w:bCs/>
          <w:color w:val="auto"/>
          <w:sz w:val="36"/>
          <w:szCs w:val="36"/>
          <w:highlight w:val="none"/>
        </w:rPr>
        <w:t>采 购 人：</w:t>
      </w:r>
      <w:r>
        <w:rPr>
          <w:rFonts w:hint="eastAsia"/>
          <w:bCs/>
          <w:color w:val="auto"/>
          <w:sz w:val="36"/>
          <w:szCs w:val="36"/>
          <w:highlight w:val="none"/>
          <w:lang w:eastAsia="zh-CN"/>
        </w:rPr>
        <w:t>常州市中医医院</w:t>
      </w:r>
    </w:p>
    <w:p w14:paraId="3B31B31E">
      <w:pPr>
        <w:tabs>
          <w:tab w:val="left" w:pos="3240"/>
          <w:tab w:val="left" w:pos="3420"/>
        </w:tabs>
        <w:spacing w:line="360" w:lineRule="auto"/>
        <w:ind w:left="2832" w:leftChars="444" w:hanging="1900" w:hangingChars="528"/>
        <w:jc w:val="left"/>
        <w:rPr>
          <w:bCs/>
          <w:color w:val="auto"/>
          <w:sz w:val="36"/>
          <w:szCs w:val="36"/>
          <w:highlight w:val="none"/>
        </w:rPr>
      </w:pPr>
      <w:r>
        <w:rPr>
          <w:rFonts w:hint="eastAsia"/>
          <w:bCs/>
          <w:color w:val="auto"/>
          <w:sz w:val="36"/>
          <w:szCs w:val="36"/>
          <w:highlight w:val="none"/>
        </w:rPr>
        <w:t>采购</w:t>
      </w:r>
      <w:r>
        <w:rPr>
          <w:bCs/>
          <w:color w:val="auto"/>
          <w:sz w:val="36"/>
          <w:szCs w:val="36"/>
          <w:highlight w:val="none"/>
        </w:rPr>
        <w:t>代理机构：</w:t>
      </w:r>
      <w:r>
        <w:rPr>
          <w:rFonts w:hint="eastAsia"/>
          <w:bCs/>
          <w:color w:val="auto"/>
          <w:sz w:val="36"/>
          <w:szCs w:val="36"/>
          <w:highlight w:val="none"/>
        </w:rPr>
        <w:t>江苏尚阳工程管理有限公司</w:t>
      </w:r>
    </w:p>
    <w:p w14:paraId="0019DA70">
      <w:pPr>
        <w:spacing w:line="360" w:lineRule="auto"/>
        <w:jc w:val="center"/>
        <w:rPr>
          <w:b/>
          <w:bCs/>
          <w:color w:val="auto"/>
          <w:sz w:val="44"/>
          <w:highlight w:val="none"/>
        </w:rPr>
      </w:pPr>
      <w:r>
        <w:rPr>
          <w:b/>
          <w:bCs/>
          <w:color w:val="auto"/>
          <w:sz w:val="44"/>
          <w:highlight w:val="none"/>
        </w:rPr>
        <w:br w:type="page"/>
      </w:r>
      <w:bookmarkStart w:id="0" w:name="_Toc99301418"/>
    </w:p>
    <w:p w14:paraId="29661374">
      <w:pPr>
        <w:spacing w:line="360" w:lineRule="auto"/>
        <w:jc w:val="center"/>
        <w:rPr>
          <w:b/>
          <w:bCs/>
          <w:color w:val="auto"/>
          <w:sz w:val="44"/>
          <w:highlight w:val="none"/>
        </w:rPr>
      </w:pPr>
      <w:r>
        <w:rPr>
          <w:b/>
          <w:bCs/>
          <w:color w:val="auto"/>
          <w:sz w:val="44"/>
          <w:highlight w:val="none"/>
        </w:rPr>
        <w:t>目      录</w:t>
      </w:r>
      <w:bookmarkEnd w:id="0"/>
    </w:p>
    <w:p w14:paraId="26C72809">
      <w:pPr>
        <w:spacing w:line="360" w:lineRule="auto"/>
        <w:rPr>
          <w:rFonts w:ascii="宋体" w:hAnsi="宋体" w:cs="宋体"/>
          <w:color w:val="auto"/>
          <w:sz w:val="32"/>
          <w:szCs w:val="32"/>
          <w:highlight w:val="none"/>
        </w:rPr>
      </w:pPr>
    </w:p>
    <w:p w14:paraId="3CF57BB8">
      <w:pPr>
        <w:pStyle w:val="32"/>
        <w:spacing w:line="360" w:lineRule="auto"/>
        <w:rPr>
          <w:b w:val="0"/>
          <w:bCs/>
          <w:color w:val="auto"/>
          <w:sz w:val="44"/>
          <w:highlight w:val="none"/>
        </w:rPr>
      </w:pPr>
    </w:p>
    <w:p w14:paraId="036DD580">
      <w:pPr>
        <w:pStyle w:val="32"/>
        <w:spacing w:line="360" w:lineRule="auto"/>
        <w:rPr>
          <w:rFonts w:cs="宋体"/>
          <w:color w:val="auto"/>
          <w:sz w:val="32"/>
          <w:szCs w:val="32"/>
          <w:highlight w:val="none"/>
        </w:rPr>
      </w:pPr>
      <w:r>
        <w:rPr>
          <w:rFonts w:hint="eastAsia" w:cs="宋体"/>
          <w:color w:val="auto"/>
          <w:sz w:val="32"/>
          <w:szCs w:val="32"/>
          <w:highlight w:val="none"/>
        </w:rPr>
        <w:fldChar w:fldCharType="begin"/>
      </w:r>
      <w:r>
        <w:rPr>
          <w:rFonts w:hint="eastAsia" w:cs="宋体"/>
          <w:color w:val="auto"/>
          <w:sz w:val="32"/>
          <w:szCs w:val="32"/>
          <w:highlight w:val="none"/>
        </w:rPr>
        <w:instrText xml:space="preserve">TOC \o "1-1" \h \u </w:instrText>
      </w:r>
      <w:r>
        <w:rPr>
          <w:rFonts w:hint="eastAsia" w:cs="宋体"/>
          <w:color w:val="auto"/>
          <w:sz w:val="32"/>
          <w:szCs w:val="32"/>
          <w:highlight w:val="none"/>
        </w:rPr>
        <w:fldChar w:fldCharType="separate"/>
      </w:r>
      <w:r>
        <w:rPr>
          <w:color w:val="auto"/>
          <w:highlight w:val="none"/>
        </w:rPr>
        <w:fldChar w:fldCharType="begin"/>
      </w:r>
      <w:r>
        <w:rPr>
          <w:color w:val="auto"/>
          <w:highlight w:val="none"/>
        </w:rPr>
        <w:instrText xml:space="preserve"> HYPERLINK \l "_Toc15932" </w:instrText>
      </w:r>
      <w:r>
        <w:rPr>
          <w:color w:val="auto"/>
          <w:highlight w:val="none"/>
        </w:rPr>
        <w:fldChar w:fldCharType="separate"/>
      </w:r>
      <w:r>
        <w:rPr>
          <w:rFonts w:hint="eastAsia" w:cs="宋体"/>
          <w:color w:val="auto"/>
          <w:sz w:val="32"/>
          <w:szCs w:val="32"/>
          <w:highlight w:val="none"/>
        </w:rPr>
        <w:t>第一章   投标邀请</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_Toc15932 \h </w:instrText>
      </w:r>
      <w:r>
        <w:rPr>
          <w:rFonts w:hint="eastAsia" w:cs="宋体"/>
          <w:color w:val="auto"/>
          <w:sz w:val="32"/>
          <w:szCs w:val="32"/>
          <w:highlight w:val="none"/>
        </w:rPr>
        <w:fldChar w:fldCharType="separate"/>
      </w:r>
      <w:r>
        <w:rPr>
          <w:rFonts w:hint="eastAsia" w:cs="宋体"/>
          <w:color w:val="auto"/>
          <w:sz w:val="32"/>
          <w:szCs w:val="32"/>
          <w:highlight w:val="none"/>
        </w:rPr>
        <w:t>3</w:t>
      </w:r>
      <w:r>
        <w:rPr>
          <w:rFonts w:hint="eastAsia" w:cs="宋体"/>
          <w:color w:val="auto"/>
          <w:sz w:val="32"/>
          <w:szCs w:val="32"/>
          <w:highlight w:val="none"/>
        </w:rPr>
        <w:fldChar w:fldCharType="end"/>
      </w:r>
      <w:r>
        <w:rPr>
          <w:rFonts w:hint="eastAsia" w:cs="宋体"/>
          <w:color w:val="auto"/>
          <w:sz w:val="32"/>
          <w:szCs w:val="32"/>
          <w:highlight w:val="none"/>
        </w:rPr>
        <w:fldChar w:fldCharType="end"/>
      </w:r>
    </w:p>
    <w:p w14:paraId="4BA39DB4">
      <w:pPr>
        <w:pStyle w:val="32"/>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"_Toc11085" </w:instrText>
      </w:r>
      <w:r>
        <w:rPr>
          <w:color w:val="auto"/>
          <w:highlight w:val="none"/>
        </w:rPr>
        <w:fldChar w:fldCharType="separate"/>
      </w:r>
      <w:r>
        <w:rPr>
          <w:rFonts w:hint="eastAsia" w:cs="宋体"/>
          <w:color w:val="auto"/>
          <w:sz w:val="32"/>
          <w:szCs w:val="32"/>
          <w:highlight w:val="none"/>
        </w:rPr>
        <w:t>第二章   投标人须知</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_Toc11085 \h </w:instrText>
      </w:r>
      <w:r>
        <w:rPr>
          <w:rFonts w:hint="eastAsia" w:cs="宋体"/>
          <w:color w:val="auto"/>
          <w:sz w:val="32"/>
          <w:szCs w:val="32"/>
          <w:highlight w:val="none"/>
        </w:rPr>
        <w:fldChar w:fldCharType="separate"/>
      </w:r>
      <w:r>
        <w:rPr>
          <w:rFonts w:hint="eastAsia" w:cs="宋体"/>
          <w:color w:val="auto"/>
          <w:sz w:val="32"/>
          <w:szCs w:val="32"/>
          <w:highlight w:val="none"/>
        </w:rPr>
        <w:t>7</w:t>
      </w:r>
      <w:r>
        <w:rPr>
          <w:rFonts w:hint="eastAsia" w:cs="宋体"/>
          <w:color w:val="auto"/>
          <w:sz w:val="32"/>
          <w:szCs w:val="32"/>
          <w:highlight w:val="none"/>
        </w:rPr>
        <w:fldChar w:fldCharType="end"/>
      </w:r>
      <w:r>
        <w:rPr>
          <w:rFonts w:hint="eastAsia" w:cs="宋体"/>
          <w:color w:val="auto"/>
          <w:sz w:val="32"/>
          <w:szCs w:val="32"/>
          <w:highlight w:val="none"/>
        </w:rPr>
        <w:fldChar w:fldCharType="end"/>
      </w:r>
    </w:p>
    <w:p w14:paraId="13300068">
      <w:pPr>
        <w:pStyle w:val="32"/>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"_Toc4607" </w:instrText>
      </w:r>
      <w:r>
        <w:rPr>
          <w:color w:val="auto"/>
          <w:highlight w:val="none"/>
        </w:rPr>
        <w:fldChar w:fldCharType="separate"/>
      </w:r>
      <w:r>
        <w:rPr>
          <w:rFonts w:hint="eastAsia" w:cs="宋体"/>
          <w:color w:val="auto"/>
          <w:sz w:val="32"/>
          <w:szCs w:val="32"/>
          <w:highlight w:val="none"/>
        </w:rPr>
        <w:t>第三章   资格审查</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_Toc4607 \h </w:instrText>
      </w:r>
      <w:r>
        <w:rPr>
          <w:rFonts w:hint="eastAsia" w:cs="宋体"/>
          <w:color w:val="auto"/>
          <w:sz w:val="32"/>
          <w:szCs w:val="32"/>
          <w:highlight w:val="none"/>
        </w:rPr>
        <w:fldChar w:fldCharType="separate"/>
      </w:r>
      <w:r>
        <w:rPr>
          <w:rFonts w:hint="eastAsia" w:cs="宋体"/>
          <w:color w:val="auto"/>
          <w:sz w:val="32"/>
          <w:szCs w:val="32"/>
          <w:highlight w:val="none"/>
        </w:rPr>
        <w:t>24</w:t>
      </w:r>
      <w:r>
        <w:rPr>
          <w:rFonts w:hint="eastAsia" w:cs="宋体"/>
          <w:color w:val="auto"/>
          <w:sz w:val="32"/>
          <w:szCs w:val="32"/>
          <w:highlight w:val="none"/>
        </w:rPr>
        <w:fldChar w:fldCharType="end"/>
      </w:r>
      <w:r>
        <w:rPr>
          <w:rFonts w:hint="eastAsia" w:cs="宋体"/>
          <w:color w:val="auto"/>
          <w:sz w:val="32"/>
          <w:szCs w:val="32"/>
          <w:highlight w:val="none"/>
        </w:rPr>
        <w:fldChar w:fldCharType="end"/>
      </w:r>
    </w:p>
    <w:p w14:paraId="79573212">
      <w:pPr>
        <w:pStyle w:val="32"/>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"_Toc8940" </w:instrText>
      </w:r>
      <w:r>
        <w:rPr>
          <w:color w:val="auto"/>
          <w:highlight w:val="none"/>
        </w:rPr>
        <w:fldChar w:fldCharType="separate"/>
      </w:r>
      <w:r>
        <w:rPr>
          <w:rFonts w:hint="eastAsia" w:cs="宋体"/>
          <w:color w:val="auto"/>
          <w:sz w:val="32"/>
          <w:szCs w:val="32"/>
          <w:highlight w:val="none"/>
        </w:rPr>
        <w:t>第四章   评标程序、评标方法和评标标准</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_Toc8940 \h </w:instrText>
      </w:r>
      <w:r>
        <w:rPr>
          <w:rFonts w:hint="eastAsia" w:cs="宋体"/>
          <w:color w:val="auto"/>
          <w:sz w:val="32"/>
          <w:szCs w:val="32"/>
          <w:highlight w:val="none"/>
        </w:rPr>
        <w:fldChar w:fldCharType="separate"/>
      </w:r>
      <w:r>
        <w:rPr>
          <w:rFonts w:hint="eastAsia" w:cs="宋体"/>
          <w:color w:val="auto"/>
          <w:sz w:val="32"/>
          <w:szCs w:val="32"/>
          <w:highlight w:val="none"/>
        </w:rPr>
        <w:t>26</w:t>
      </w:r>
      <w:r>
        <w:rPr>
          <w:rFonts w:hint="eastAsia" w:cs="宋体"/>
          <w:color w:val="auto"/>
          <w:sz w:val="32"/>
          <w:szCs w:val="32"/>
          <w:highlight w:val="none"/>
        </w:rPr>
        <w:fldChar w:fldCharType="end"/>
      </w:r>
      <w:r>
        <w:rPr>
          <w:rFonts w:hint="eastAsia" w:cs="宋体"/>
          <w:color w:val="auto"/>
          <w:sz w:val="32"/>
          <w:szCs w:val="32"/>
          <w:highlight w:val="none"/>
        </w:rPr>
        <w:fldChar w:fldCharType="end"/>
      </w:r>
    </w:p>
    <w:p w14:paraId="5DAAF632">
      <w:pPr>
        <w:pStyle w:val="32"/>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"_Toc29962" </w:instrText>
      </w:r>
      <w:r>
        <w:rPr>
          <w:color w:val="auto"/>
          <w:highlight w:val="none"/>
        </w:rPr>
        <w:fldChar w:fldCharType="separate"/>
      </w:r>
      <w:r>
        <w:rPr>
          <w:rFonts w:hint="eastAsia" w:cs="宋体"/>
          <w:color w:val="auto"/>
          <w:sz w:val="32"/>
          <w:szCs w:val="32"/>
          <w:highlight w:val="none"/>
        </w:rPr>
        <w:t>第五章   采购需求</w:t>
      </w:r>
      <w:r>
        <w:rPr>
          <w:rFonts w:hint="eastAsia" w:cs="宋体"/>
          <w:color w:val="auto"/>
          <w:sz w:val="32"/>
          <w:szCs w:val="32"/>
          <w:highlight w:val="none"/>
        </w:rPr>
        <w:tab/>
      </w:r>
      <w:r>
        <w:rPr>
          <w:rFonts w:hint="eastAsia" w:cs="宋体"/>
          <w:color w:val="auto"/>
          <w:sz w:val="32"/>
          <w:szCs w:val="32"/>
          <w:highlight w:val="none"/>
        </w:rPr>
        <w:t>3</w:t>
      </w:r>
      <w:r>
        <w:rPr>
          <w:rFonts w:hint="eastAsia" w:cs="宋体"/>
          <w:color w:val="auto"/>
          <w:sz w:val="32"/>
          <w:szCs w:val="32"/>
          <w:highlight w:val="none"/>
        </w:rPr>
        <w:fldChar w:fldCharType="end"/>
      </w:r>
      <w:r>
        <w:rPr>
          <w:rFonts w:hint="eastAsia" w:cs="宋体"/>
          <w:color w:val="auto"/>
          <w:sz w:val="32"/>
          <w:szCs w:val="32"/>
          <w:highlight w:val="none"/>
        </w:rPr>
        <w:t>2</w:t>
      </w:r>
    </w:p>
    <w:p w14:paraId="7913C950">
      <w:pPr>
        <w:pStyle w:val="32"/>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"_Toc13366" </w:instrText>
      </w:r>
      <w:r>
        <w:rPr>
          <w:color w:val="auto"/>
          <w:highlight w:val="none"/>
        </w:rPr>
        <w:fldChar w:fldCharType="separate"/>
      </w:r>
      <w:r>
        <w:rPr>
          <w:rFonts w:hint="eastAsia" w:cs="宋体"/>
          <w:color w:val="auto"/>
          <w:sz w:val="32"/>
          <w:szCs w:val="32"/>
          <w:highlight w:val="none"/>
        </w:rPr>
        <w:t>第六章   拟签订的合同文本</w:t>
      </w:r>
      <w:r>
        <w:rPr>
          <w:rFonts w:hint="eastAsia" w:cs="宋体"/>
          <w:color w:val="auto"/>
          <w:sz w:val="32"/>
          <w:szCs w:val="32"/>
          <w:highlight w:val="none"/>
        </w:rPr>
        <w:tab/>
      </w:r>
      <w:r>
        <w:rPr>
          <w:rFonts w:hint="eastAsia" w:cs="宋体"/>
          <w:color w:val="auto"/>
          <w:sz w:val="32"/>
          <w:szCs w:val="32"/>
          <w:highlight w:val="none"/>
        </w:rPr>
        <w:t>4</w:t>
      </w:r>
      <w:r>
        <w:rPr>
          <w:rFonts w:hint="eastAsia" w:cs="宋体"/>
          <w:color w:val="auto"/>
          <w:sz w:val="32"/>
          <w:szCs w:val="32"/>
          <w:highlight w:val="none"/>
        </w:rPr>
        <w:fldChar w:fldCharType="end"/>
      </w:r>
      <w:r>
        <w:rPr>
          <w:rFonts w:hint="eastAsia" w:cs="宋体"/>
          <w:color w:val="auto"/>
          <w:sz w:val="32"/>
          <w:szCs w:val="32"/>
          <w:highlight w:val="none"/>
        </w:rPr>
        <w:t>1</w:t>
      </w:r>
    </w:p>
    <w:p w14:paraId="1E20CF7A">
      <w:pPr>
        <w:pStyle w:val="32"/>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"_Toc18832" </w:instrText>
      </w:r>
      <w:r>
        <w:rPr>
          <w:color w:val="auto"/>
          <w:highlight w:val="none"/>
        </w:rPr>
        <w:fldChar w:fldCharType="separate"/>
      </w:r>
      <w:r>
        <w:rPr>
          <w:rFonts w:hint="eastAsia" w:cs="宋体"/>
          <w:color w:val="auto"/>
          <w:sz w:val="32"/>
          <w:szCs w:val="32"/>
          <w:highlight w:val="none"/>
        </w:rPr>
        <w:t>第七章   投标文件格式</w:t>
      </w:r>
      <w:r>
        <w:rPr>
          <w:rFonts w:hint="eastAsia" w:cs="宋体"/>
          <w:color w:val="auto"/>
          <w:sz w:val="32"/>
          <w:szCs w:val="32"/>
          <w:highlight w:val="none"/>
        </w:rPr>
        <w:tab/>
      </w:r>
      <w:r>
        <w:rPr>
          <w:rFonts w:hint="eastAsia" w:cs="宋体"/>
          <w:color w:val="auto"/>
          <w:sz w:val="32"/>
          <w:szCs w:val="32"/>
          <w:highlight w:val="none"/>
        </w:rPr>
        <w:t>4</w:t>
      </w:r>
      <w:r>
        <w:rPr>
          <w:rFonts w:hint="eastAsia" w:cs="宋体"/>
          <w:color w:val="auto"/>
          <w:sz w:val="32"/>
          <w:szCs w:val="32"/>
          <w:highlight w:val="none"/>
        </w:rPr>
        <w:fldChar w:fldCharType="end"/>
      </w:r>
      <w:r>
        <w:rPr>
          <w:rFonts w:hint="eastAsia" w:cs="宋体"/>
          <w:color w:val="auto"/>
          <w:sz w:val="32"/>
          <w:szCs w:val="32"/>
          <w:highlight w:val="none"/>
        </w:rPr>
        <w:t>4</w:t>
      </w:r>
    </w:p>
    <w:p w14:paraId="3612D7D8">
      <w:pPr>
        <w:pStyle w:val="32"/>
        <w:spacing w:line="360" w:lineRule="auto"/>
        <w:rPr>
          <w:rFonts w:cs="宋体"/>
          <w:color w:val="auto"/>
          <w:sz w:val="32"/>
          <w:szCs w:val="32"/>
          <w:highlight w:val="none"/>
        </w:rPr>
      </w:pPr>
      <w:r>
        <w:rPr>
          <w:rFonts w:hint="eastAsia" w:cs="宋体"/>
          <w:color w:val="auto"/>
          <w:sz w:val="32"/>
          <w:szCs w:val="32"/>
          <w:highlight w:val="none"/>
        </w:rPr>
        <w:fldChar w:fldCharType="end"/>
      </w:r>
    </w:p>
    <w:p w14:paraId="3965B4A3">
      <w:pPr>
        <w:pStyle w:val="32"/>
        <w:spacing w:line="360" w:lineRule="auto"/>
        <w:jc w:val="center"/>
        <w:rPr>
          <w:color w:val="auto"/>
          <w:sz w:val="36"/>
          <w:szCs w:val="36"/>
          <w:highlight w:val="none"/>
        </w:rPr>
      </w:pPr>
      <w:r>
        <w:rPr>
          <w:rFonts w:hint="eastAsia" w:cs="宋体"/>
          <w:color w:val="auto"/>
          <w:sz w:val="32"/>
          <w:szCs w:val="32"/>
          <w:highlight w:val="none"/>
        </w:rPr>
        <w:br w:type="page"/>
      </w:r>
      <w:bookmarkStart w:id="1" w:name="_Toc99301419"/>
      <w:bookmarkStart w:id="2" w:name="_Toc15932"/>
      <w:r>
        <w:rPr>
          <w:color w:val="auto"/>
          <w:sz w:val="36"/>
          <w:szCs w:val="36"/>
          <w:highlight w:val="none"/>
        </w:rPr>
        <w:t>第一章   投标邀请</w:t>
      </w:r>
      <w:bookmarkEnd w:id="1"/>
      <w:bookmarkEnd w:id="2"/>
    </w:p>
    <w:p w14:paraId="550DE427">
      <w:pPr>
        <w:snapToGrid w:val="0"/>
        <w:spacing w:line="360" w:lineRule="auto"/>
        <w:rPr>
          <w:rFonts w:ascii="宋体" w:hAnsi="宋体"/>
          <w:b/>
          <w:bCs/>
          <w:color w:val="auto"/>
          <w:sz w:val="24"/>
          <w:highlight w:val="none"/>
        </w:rPr>
      </w:pPr>
      <w:bookmarkStart w:id="3" w:name="_Toc28359002"/>
      <w:bookmarkStart w:id="4" w:name="_Toc28359079"/>
      <w:bookmarkStart w:id="5" w:name="_Toc35393790"/>
      <w:bookmarkStart w:id="6" w:name="_Toc35393621"/>
      <w:bookmarkStart w:id="7" w:name="_Hlk24379207"/>
      <w:r>
        <w:rPr>
          <w:rFonts w:hint="eastAsia" w:ascii="宋体" w:hAnsi="宋体"/>
          <w:b/>
          <w:bCs/>
          <w:color w:val="auto"/>
          <w:sz w:val="24"/>
          <w:highlight w:val="none"/>
        </w:rPr>
        <w:t>一、项目基本情况</w:t>
      </w:r>
      <w:bookmarkEnd w:id="3"/>
      <w:bookmarkEnd w:id="4"/>
      <w:bookmarkEnd w:id="5"/>
      <w:bookmarkEnd w:id="6"/>
    </w:p>
    <w:p w14:paraId="7377C4D0">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JSZC-320400-SYZB-G2026-0039</w:t>
      </w:r>
      <w:r>
        <w:rPr>
          <w:rFonts w:hint="eastAsia" w:ascii="宋体" w:hAnsi="宋体" w:cs="宋体"/>
          <w:color w:val="auto"/>
          <w:sz w:val="24"/>
          <w:highlight w:val="none"/>
          <w:u w:val="single"/>
        </w:rPr>
        <w:t xml:space="preserve"> </w:t>
      </w:r>
    </w:p>
    <w:p w14:paraId="19587F5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2.项目名称：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常州市中医医院医疗废物收集处置服务项目</w:t>
      </w:r>
      <w:r>
        <w:rPr>
          <w:rFonts w:hint="eastAsia" w:ascii="宋体" w:hAnsi="宋体" w:cs="宋体"/>
          <w:color w:val="auto"/>
          <w:sz w:val="24"/>
          <w:highlight w:val="none"/>
          <w:u w:val="single"/>
        </w:rPr>
        <w:t xml:space="preserve"> </w:t>
      </w:r>
    </w:p>
    <w:p w14:paraId="32FAB910">
      <w:pPr>
        <w:keepNext w:val="0"/>
        <w:keepLines w:val="0"/>
        <w:pageBreakBefore w:val="0"/>
        <w:widowControl w:val="0"/>
        <w:spacing w:line="360" w:lineRule="auto"/>
        <w:ind w:firstLine="480"/>
        <w:outlineLvl w:val="9"/>
        <w:rPr>
          <w:rFonts w:hint="default" w:ascii="宋体" w:hAnsi="宋体" w:eastAsia="宋体" w:cs="宋体"/>
          <w:color w:val="auto"/>
          <w:sz w:val="24"/>
          <w:szCs w:val="24"/>
          <w:highlight w:val="none"/>
          <w:u w:val="singl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.项目预算金额：</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450</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w:t>
      </w:r>
      <w:r>
        <w:rPr>
          <w:rFonts w:hint="eastAsia" w:ascii="宋体" w:hAnsi="宋体" w:cs="宋体"/>
          <w:color w:val="auto"/>
          <w:sz w:val="24"/>
          <w:szCs w:val="24"/>
          <w:highlight w:val="none"/>
          <w:lang w:val="en-US" w:eastAsia="zh-CN"/>
        </w:rPr>
        <w:t>/二年</w:t>
      </w:r>
      <w:r>
        <w:rPr>
          <w:rFonts w:hint="eastAsia" w:ascii="宋体" w:hAnsi="宋体" w:eastAsia="宋体" w:cs="宋体"/>
          <w:color w:val="auto"/>
          <w:sz w:val="24"/>
          <w:szCs w:val="24"/>
          <w:highlight w:val="none"/>
        </w:rPr>
        <w:t>、项目最高限价：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w:t>
      </w:r>
      <w:r>
        <w:rPr>
          <w:rFonts w:hint="eastAsia" w:ascii="宋体" w:hAnsi="宋体" w:cs="宋体"/>
          <w:color w:val="auto"/>
          <w:sz w:val="24"/>
          <w:szCs w:val="24"/>
          <w:highlight w:val="none"/>
          <w:u w:val="single"/>
          <w:lang w:val="en-US" w:eastAsia="zh-CN"/>
        </w:rPr>
        <w:t>1</w:t>
      </w:r>
      <w:r>
        <w:rPr>
          <w:rFonts w:hint="eastAsia" w:ascii="宋体" w:hAnsi="宋体" w:cs="宋体"/>
          <w:color w:val="auto"/>
          <w:sz w:val="24"/>
          <w:szCs w:val="24"/>
          <w:highlight w:val="none"/>
          <w:u w:val="single"/>
          <w:lang w:eastAsia="zh-CN"/>
        </w:rPr>
        <w:t>）感染性、损伤性、化学性、药物性医废：</w:t>
      </w:r>
      <w:r>
        <w:rPr>
          <w:rFonts w:hint="eastAsia" w:ascii="宋体" w:hAnsi="宋体" w:cs="宋体"/>
          <w:color w:val="auto"/>
          <w:sz w:val="24"/>
          <w:szCs w:val="24"/>
          <w:highlight w:val="none"/>
          <w:u w:val="single"/>
          <w:lang w:val="en-US" w:eastAsia="zh-CN"/>
        </w:rPr>
        <w:t>4800元/吨；（2）</w:t>
      </w:r>
      <w:r>
        <w:rPr>
          <w:rFonts w:hint="eastAsia" w:ascii="宋体" w:hAnsi="宋体" w:cs="宋体"/>
          <w:color w:val="auto"/>
          <w:sz w:val="24"/>
          <w:szCs w:val="24"/>
          <w:highlight w:val="none"/>
          <w:u w:val="single"/>
          <w:lang w:eastAsia="zh-CN"/>
        </w:rPr>
        <w:t>病理性医废：①处置费用：</w:t>
      </w:r>
      <w:r>
        <w:rPr>
          <w:rFonts w:hint="eastAsia" w:ascii="宋体" w:hAnsi="宋体" w:cs="宋体"/>
          <w:color w:val="auto"/>
          <w:sz w:val="24"/>
          <w:szCs w:val="24"/>
          <w:highlight w:val="none"/>
          <w:u w:val="single"/>
          <w:lang w:val="en-US" w:eastAsia="zh-CN"/>
        </w:rPr>
        <w:t>60</w:t>
      </w:r>
      <w:r>
        <w:rPr>
          <w:rFonts w:hint="eastAsia" w:ascii="宋体" w:hAnsi="宋体" w:cs="宋体"/>
          <w:color w:val="auto"/>
          <w:sz w:val="24"/>
          <w:szCs w:val="24"/>
          <w:highlight w:val="none"/>
          <w:u w:val="single"/>
          <w:lang w:eastAsia="zh-CN"/>
        </w:rPr>
        <w:t>元/</w:t>
      </w:r>
      <w:r>
        <w:rPr>
          <w:rFonts w:hint="eastAsia" w:ascii="宋体" w:hAnsi="宋体" w:cs="宋体"/>
          <w:color w:val="auto"/>
          <w:sz w:val="24"/>
          <w:szCs w:val="24"/>
          <w:highlight w:val="none"/>
          <w:u w:val="single"/>
          <w:lang w:val="en-US" w:eastAsia="zh-CN"/>
        </w:rPr>
        <w:t>公斤</w:t>
      </w:r>
      <w:r>
        <w:rPr>
          <w:rFonts w:hint="eastAsia" w:ascii="宋体" w:hAnsi="宋体" w:cs="宋体"/>
          <w:color w:val="auto"/>
          <w:sz w:val="24"/>
          <w:szCs w:val="24"/>
          <w:highlight w:val="none"/>
          <w:u w:val="single"/>
          <w:lang w:val="en-US" w:eastAsia="zh-CN"/>
        </w:rPr>
        <w:t>、②运输费用：</w:t>
      </w:r>
      <w:r>
        <w:rPr>
          <w:rFonts w:hint="eastAsia" w:ascii="宋体" w:hAnsi="宋体" w:cs="宋体"/>
          <w:color w:val="auto"/>
          <w:sz w:val="24"/>
          <w:szCs w:val="24"/>
          <w:highlight w:val="none"/>
          <w:u w:val="single"/>
          <w:lang w:val="en-US" w:eastAsia="zh-CN"/>
        </w:rPr>
        <w:t>15</w:t>
      </w:r>
      <w:r>
        <w:rPr>
          <w:rFonts w:hint="eastAsia" w:ascii="宋体" w:hAnsi="宋体" w:cs="宋体"/>
          <w:color w:val="auto"/>
          <w:sz w:val="24"/>
          <w:szCs w:val="24"/>
          <w:highlight w:val="none"/>
          <w:u w:val="single"/>
          <w:lang w:val="en-US" w:eastAsia="zh-CN"/>
        </w:rPr>
        <w:t>元/</w:t>
      </w:r>
      <w:r>
        <w:rPr>
          <w:rFonts w:hint="eastAsia" w:ascii="宋体" w:hAnsi="宋体" w:cs="宋体"/>
          <w:color w:val="auto"/>
          <w:sz w:val="24"/>
          <w:szCs w:val="24"/>
          <w:highlight w:val="none"/>
          <w:u w:val="single"/>
          <w:lang w:val="en-US" w:eastAsia="zh-CN"/>
        </w:rPr>
        <w:t xml:space="preserve">公斤 </w:t>
      </w:r>
    </w:p>
    <w:p w14:paraId="7C04FB5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4.采购需求：</w:t>
      </w:r>
    </w:p>
    <w:bookmarkEnd w:id="7"/>
    <w:tbl>
      <w:tblPr>
        <w:tblStyle w:val="47"/>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7"/>
        <w:gridCol w:w="2105"/>
        <w:gridCol w:w="845"/>
        <w:gridCol w:w="4764"/>
      </w:tblGrid>
      <w:tr w14:paraId="69AE9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4" w:type="pct"/>
            <w:noWrap w:val="0"/>
            <w:vAlign w:val="center"/>
          </w:tcPr>
          <w:p w14:paraId="420AF927">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标的名称</w:t>
            </w:r>
          </w:p>
        </w:tc>
        <w:tc>
          <w:tcPr>
            <w:tcW w:w="1134" w:type="pct"/>
            <w:noWrap w:val="0"/>
            <w:vAlign w:val="center"/>
          </w:tcPr>
          <w:p w14:paraId="75446AB9">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w:t>
            </w:r>
            <w:r>
              <w:rPr>
                <w:rFonts w:hint="eastAsia" w:ascii="宋体" w:hAnsi="宋体" w:eastAsia="宋体" w:cs="宋体"/>
                <w:bCs/>
                <w:color w:val="auto"/>
                <w:sz w:val="24"/>
                <w:szCs w:val="24"/>
                <w:highlight w:val="none"/>
                <w:lang w:val="en-US" w:eastAsia="zh-CN"/>
              </w:rPr>
              <w:t>包</w:t>
            </w:r>
            <w:r>
              <w:rPr>
                <w:rFonts w:hint="eastAsia" w:ascii="宋体" w:hAnsi="宋体" w:eastAsia="宋体" w:cs="宋体"/>
                <w:bCs/>
                <w:color w:val="auto"/>
                <w:sz w:val="24"/>
                <w:szCs w:val="24"/>
                <w:highlight w:val="none"/>
              </w:rPr>
              <w:t>预算金额</w:t>
            </w:r>
          </w:p>
          <w:p w14:paraId="30A993CC">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（万元</w:t>
            </w:r>
            <w:r>
              <w:rPr>
                <w:rFonts w:hint="eastAsia" w:ascii="宋体" w:hAnsi="宋体" w:cs="宋体"/>
                <w:bCs/>
                <w:color w:val="auto"/>
                <w:sz w:val="24"/>
                <w:szCs w:val="24"/>
                <w:highlight w:val="none"/>
                <w:lang w:val="en-US" w:eastAsia="zh-CN"/>
              </w:rPr>
              <w:t>/二年</w:t>
            </w:r>
            <w:r>
              <w:rPr>
                <w:rFonts w:hint="eastAsia" w:ascii="宋体" w:hAnsi="宋体" w:eastAsia="宋体" w:cs="宋体"/>
                <w:bCs/>
                <w:color w:val="auto"/>
                <w:sz w:val="24"/>
                <w:szCs w:val="24"/>
                <w:highlight w:val="none"/>
              </w:rPr>
              <w:t>）</w:t>
            </w:r>
          </w:p>
        </w:tc>
        <w:tc>
          <w:tcPr>
            <w:tcW w:w="455" w:type="pct"/>
            <w:noWrap w:val="0"/>
            <w:vAlign w:val="center"/>
          </w:tcPr>
          <w:p w14:paraId="0E2352F5">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数量</w:t>
            </w:r>
          </w:p>
        </w:tc>
        <w:tc>
          <w:tcPr>
            <w:tcW w:w="2566" w:type="pct"/>
            <w:noWrap w:val="0"/>
            <w:vAlign w:val="center"/>
          </w:tcPr>
          <w:p w14:paraId="695E323F">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简要技术需求或服务要求</w:t>
            </w:r>
          </w:p>
        </w:tc>
      </w:tr>
      <w:tr w14:paraId="5C6DB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844" w:type="pct"/>
            <w:shd w:val="clear" w:color="auto" w:fill="auto"/>
            <w:noWrap w:val="0"/>
            <w:vAlign w:val="center"/>
          </w:tcPr>
          <w:p w14:paraId="3C93099C">
            <w:pPr>
              <w:keepNext w:val="0"/>
              <w:keepLines w:val="0"/>
              <w:pageBreakBefore w:val="0"/>
              <w:widowControl w:val="0"/>
              <w:kinsoku/>
              <w:wordWrap/>
              <w:overflowPunct/>
              <w:topLinePunct w:val="0"/>
              <w:autoSpaceDE/>
              <w:autoSpaceDN/>
              <w:bidi w:val="0"/>
              <w:adjustRightInd/>
              <w:snapToGrid/>
              <w:jc w:val="center"/>
              <w:textAlignment w:val="auto"/>
              <w:outlineLvl w:val="9"/>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eastAsia="zh-CN"/>
              </w:rPr>
              <w:t>常州市中医医院医疗废物收集处置服务</w:t>
            </w:r>
          </w:p>
        </w:tc>
        <w:tc>
          <w:tcPr>
            <w:tcW w:w="1134" w:type="pct"/>
            <w:shd w:val="clear" w:color="auto" w:fill="auto"/>
            <w:noWrap w:val="0"/>
            <w:vAlign w:val="center"/>
          </w:tcPr>
          <w:p w14:paraId="434B2237">
            <w:pPr>
              <w:keepNext w:val="0"/>
              <w:keepLines w:val="0"/>
              <w:pageBreakBefore w:val="0"/>
              <w:widowControl w:val="0"/>
              <w:kinsoku/>
              <w:wordWrap/>
              <w:overflowPunct/>
              <w:topLinePunct w:val="0"/>
              <w:autoSpaceDE/>
              <w:autoSpaceDN/>
              <w:bidi w:val="0"/>
              <w:adjustRightInd/>
              <w:snapToGrid/>
              <w:jc w:val="center"/>
              <w:textAlignment w:val="auto"/>
              <w:outlineLvl w:val="9"/>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450</w:t>
            </w:r>
          </w:p>
        </w:tc>
        <w:tc>
          <w:tcPr>
            <w:tcW w:w="455" w:type="pct"/>
            <w:shd w:val="clear" w:color="auto" w:fill="auto"/>
            <w:noWrap w:val="0"/>
            <w:vAlign w:val="center"/>
          </w:tcPr>
          <w:p w14:paraId="3DF21394">
            <w:pPr>
              <w:keepNext w:val="0"/>
              <w:keepLines w:val="0"/>
              <w:pageBreakBefore w:val="0"/>
              <w:widowControl w:val="0"/>
              <w:jc w:val="center"/>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lang w:val="en-US" w:eastAsia="zh-CN"/>
              </w:rPr>
              <w:t>1</w:t>
            </w:r>
          </w:p>
        </w:tc>
        <w:tc>
          <w:tcPr>
            <w:tcW w:w="2566" w:type="pct"/>
            <w:shd w:val="clear" w:color="auto" w:fill="auto"/>
            <w:noWrap w:val="0"/>
            <w:vAlign w:val="center"/>
          </w:tcPr>
          <w:p w14:paraId="7A620642">
            <w:pPr>
              <w:keepNext w:val="0"/>
              <w:keepLines w:val="0"/>
              <w:pageBreakBefore w:val="0"/>
              <w:widowControl w:val="0"/>
              <w:jc w:val="both"/>
              <w:outlineLvl w:val="9"/>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eastAsia="zh-CN"/>
              </w:rPr>
              <w:t>本项目是常州市中医医院医疗废物收集处置服务项目，</w:t>
            </w:r>
            <w:r>
              <w:rPr>
                <w:rFonts w:hint="eastAsia" w:ascii="宋体" w:hAnsi="宋体" w:cs="宋体"/>
                <w:color w:val="auto"/>
                <w:sz w:val="24"/>
                <w:szCs w:val="24"/>
                <w:highlight w:val="none"/>
                <w:lang w:val="en-US" w:eastAsia="zh-CN"/>
              </w:rPr>
              <w:t xml:space="preserve">根据《医疗废物管理条例》《医疗卫生机构医疗废物管理办法》等规定，常州市中医医院产生的各类医疗废弃物须交由具备专业处置资质单位进行无害化清运处置，确保符合国家环保与卫生标准。 </w:t>
            </w:r>
          </w:p>
        </w:tc>
      </w:tr>
    </w:tbl>
    <w:p w14:paraId="652951C5">
      <w:pPr>
        <w:spacing w:before="120" w:beforeLines="50" w:line="360" w:lineRule="auto"/>
        <w:ind w:firstLine="480" w:firstLineChars="200"/>
        <w:rPr>
          <w:rFonts w:ascii="宋体" w:hAnsi="宋体" w:cs="宋体"/>
          <w:color w:val="auto"/>
          <w:sz w:val="24"/>
          <w:highlight w:val="none"/>
          <w:u w:val="single"/>
        </w:rPr>
      </w:pPr>
      <w:r>
        <w:rPr>
          <w:rFonts w:hint="eastAsia" w:ascii="宋体" w:hAnsi="宋体" w:cs="宋体"/>
          <w:color w:val="auto"/>
          <w:sz w:val="24"/>
          <w:highlight w:val="none"/>
        </w:rPr>
        <w:t>5.合同履行期限：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自合同签订之日起二年，</w:t>
      </w:r>
      <w:r>
        <w:rPr>
          <w:rFonts w:hint="eastAsia" w:ascii="宋体" w:hAnsi="宋体" w:cs="宋体"/>
          <w:color w:val="auto"/>
          <w:sz w:val="24"/>
          <w:highlight w:val="none"/>
          <w:u w:val="single"/>
          <w:lang w:val="en-US" w:eastAsia="zh-CN"/>
        </w:rPr>
        <w:t>合同两年一签</w:t>
      </w:r>
      <w:r>
        <w:rPr>
          <w:rFonts w:hint="eastAsia" w:ascii="宋体" w:hAnsi="宋体" w:cs="宋体"/>
          <w:color w:val="auto"/>
          <w:sz w:val="24"/>
          <w:highlight w:val="none"/>
          <w:u w:val="single"/>
          <w:lang w:eastAsia="zh-CN"/>
        </w:rPr>
        <w:t xml:space="preserve">。 </w:t>
      </w:r>
    </w:p>
    <w:p w14:paraId="5EE7FDB8">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6.本项目是否接受联合体：□是  ■否。</w:t>
      </w:r>
    </w:p>
    <w:p w14:paraId="5308BEE9">
      <w:pPr>
        <w:snapToGrid w:val="0"/>
        <w:spacing w:line="360" w:lineRule="auto"/>
        <w:rPr>
          <w:rFonts w:ascii="宋体" w:hAnsi="宋体"/>
          <w:b/>
          <w:bCs/>
          <w:color w:val="auto"/>
          <w:sz w:val="24"/>
          <w:highlight w:val="none"/>
        </w:rPr>
      </w:pPr>
      <w:bookmarkStart w:id="8" w:name="_Toc28359003"/>
      <w:bookmarkStart w:id="9" w:name="_Toc35393622"/>
      <w:bookmarkStart w:id="10" w:name="_Toc35393791"/>
      <w:bookmarkStart w:id="11" w:name="_Toc28359080"/>
      <w:r>
        <w:rPr>
          <w:rFonts w:hint="eastAsia" w:ascii="宋体" w:hAnsi="宋体"/>
          <w:b/>
          <w:bCs/>
          <w:color w:val="auto"/>
          <w:sz w:val="24"/>
          <w:highlight w:val="none"/>
        </w:rPr>
        <w:t>二、申请人的资格要求（须同时满足）</w:t>
      </w:r>
      <w:bookmarkEnd w:id="8"/>
      <w:bookmarkEnd w:id="9"/>
      <w:bookmarkEnd w:id="10"/>
      <w:bookmarkEnd w:id="11"/>
    </w:p>
    <w:p w14:paraId="744239A9">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1.满足《中华人民共和国政府采购法》第二十二条规定以及下列情形：</w:t>
      </w:r>
    </w:p>
    <w:p w14:paraId="46CD0ADD">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1.1未被“信用中国”网站（WWW.creditchina.gov.cn）或“中国政府采购网”网站（www.ccgp.gov.cn）列入失信被执行人、重大税收违法案件当事人名单、政府采购严重失信行为记录名单；</w:t>
      </w:r>
    </w:p>
    <w:p w14:paraId="6165623E">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1.2单位负责人为同一人或者存在直接控股、管理关系的不同</w:t>
      </w:r>
      <w:r>
        <w:rPr>
          <w:rFonts w:hint="eastAsia" w:ascii="宋体" w:hAnsi="宋体" w:cs="宋体"/>
          <w:color w:val="auto"/>
          <w:sz w:val="24"/>
          <w:highlight w:val="none"/>
          <w:lang w:val="en-US" w:eastAsia="zh-CN"/>
        </w:rPr>
        <w:t>投标人</w:t>
      </w:r>
      <w:r>
        <w:rPr>
          <w:rFonts w:hint="eastAsia" w:ascii="宋体" w:hAnsi="宋体" w:cs="宋体"/>
          <w:color w:val="auto"/>
          <w:sz w:val="24"/>
          <w:highlight w:val="none"/>
        </w:rPr>
        <w:t>（包含法定代表人为同一个人的两个及两个以上法人，母公司、全资子公司及其控股公司），不得参加同一合同项下的政府采购活动。</w:t>
      </w:r>
    </w:p>
    <w:p w14:paraId="54692125">
      <w:pPr>
        <w:spacing w:line="360" w:lineRule="auto"/>
        <w:ind w:firstLine="480" w:firstLineChars="200"/>
        <w:rPr>
          <w:rFonts w:ascii="宋体" w:hAnsi="宋体" w:cs="宋体"/>
          <w:color w:val="auto"/>
          <w:sz w:val="24"/>
          <w:highlight w:val="none"/>
        </w:rPr>
      </w:pPr>
      <w:bookmarkStart w:id="12" w:name="_Toc28359004"/>
      <w:bookmarkStart w:id="13" w:name="_Toc28359081"/>
      <w:r>
        <w:rPr>
          <w:rFonts w:hint="eastAsia" w:ascii="宋体" w:hAnsi="宋体" w:cs="宋体"/>
          <w:color w:val="auto"/>
          <w:sz w:val="24"/>
          <w:highlight w:val="none"/>
        </w:rPr>
        <w:t>2.落实政府采购政策需满足的资格要求：</w:t>
      </w:r>
    </w:p>
    <w:p w14:paraId="24194BC2">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2.1 中小企业政策</w:t>
      </w:r>
    </w:p>
    <w:p w14:paraId="53B677EA">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■本项目不专门面向中小企业预留采购份额。</w:t>
      </w:r>
    </w:p>
    <w:p w14:paraId="2CBCC2B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□本项目专门面向  □中小 □小微企业  采购。即：提供的服务全部由符合政策要求的中小企业承接。</w:t>
      </w:r>
    </w:p>
    <w:p w14:paraId="6D1312B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55FBA61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2.2 其它落实政府采购政策的资格要求：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0CB54743">
      <w:pPr>
        <w:spacing w:line="360" w:lineRule="auto"/>
        <w:ind w:firstLine="480" w:firstLineChars="200"/>
        <w:rPr>
          <w:rFonts w:ascii="宋体" w:hAnsi="宋体" w:cs="宋体"/>
          <w:i/>
          <w:iCs/>
          <w:color w:val="auto"/>
          <w:sz w:val="24"/>
          <w:highlight w:val="none"/>
          <w:u w:val="single"/>
        </w:rPr>
      </w:pPr>
      <w:r>
        <w:rPr>
          <w:rFonts w:hint="eastAsia" w:ascii="宋体" w:hAnsi="宋体" w:cs="宋体"/>
          <w:color w:val="auto"/>
          <w:sz w:val="24"/>
          <w:highlight w:val="none"/>
        </w:rPr>
        <w:t>3.本项目的特定资格要求：</w:t>
      </w:r>
    </w:p>
    <w:p w14:paraId="4EF66B4E">
      <w:pPr>
        <w:tabs>
          <w:tab w:val="left" w:pos="900"/>
          <w:tab w:val="left" w:pos="1134"/>
          <w:tab w:val="left" w:pos="1589"/>
          <w:tab w:val="left" w:pos="5521"/>
        </w:tabs>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3.1本项目是否接受分支机构参与投标：□是   ■否；</w:t>
      </w:r>
    </w:p>
    <w:p w14:paraId="5BBF7CBF">
      <w:pPr>
        <w:tabs>
          <w:tab w:val="left" w:pos="900"/>
          <w:tab w:val="left" w:pos="1134"/>
          <w:tab w:val="left" w:pos="1589"/>
          <w:tab w:val="left" w:pos="5521"/>
        </w:tabs>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3.2 本项目是否属于政府购买服务：</w:t>
      </w:r>
    </w:p>
    <w:p w14:paraId="2E768297">
      <w:pPr>
        <w:tabs>
          <w:tab w:val="left" w:pos="900"/>
          <w:tab w:val="left" w:pos="1134"/>
          <w:tab w:val="left" w:pos="1589"/>
          <w:tab w:val="left" w:pos="5521"/>
        </w:tabs>
        <w:snapToGrid w:val="0"/>
        <w:spacing w:line="360" w:lineRule="auto"/>
        <w:ind w:left="991" w:leftChars="472" w:firstLine="2"/>
        <w:rPr>
          <w:rFonts w:ascii="宋体" w:hAnsi="宋体" w:cs="宋体"/>
          <w:color w:val="auto"/>
          <w:sz w:val="24"/>
          <w:highlight w:val="none"/>
        </w:rPr>
      </w:pPr>
      <w:r>
        <w:rPr>
          <w:rFonts w:hint="eastAsia" w:ascii="宋体" w:hAnsi="宋体" w:cs="宋体"/>
          <w:color w:val="auto"/>
          <w:sz w:val="24"/>
          <w:highlight w:val="none"/>
        </w:rPr>
        <w:t>■否</w:t>
      </w:r>
    </w:p>
    <w:p w14:paraId="4F542389">
      <w:pPr>
        <w:tabs>
          <w:tab w:val="left" w:pos="900"/>
          <w:tab w:val="left" w:pos="1134"/>
          <w:tab w:val="left" w:pos="1589"/>
          <w:tab w:val="left" w:pos="5521"/>
        </w:tabs>
        <w:snapToGrid w:val="0"/>
        <w:spacing w:line="360" w:lineRule="auto"/>
        <w:ind w:left="991" w:leftChars="472" w:firstLine="2"/>
        <w:rPr>
          <w:rFonts w:ascii="宋体" w:hAnsi="宋体" w:cs="宋体"/>
          <w:color w:val="auto"/>
          <w:sz w:val="24"/>
          <w:highlight w:val="none"/>
        </w:rPr>
      </w:pPr>
      <w:r>
        <w:rPr>
          <w:rFonts w:hint="eastAsia" w:ascii="宋体" w:hAnsi="宋体" w:cs="宋体"/>
          <w:color w:val="auto"/>
          <w:sz w:val="24"/>
          <w:highlight w:val="none"/>
        </w:rPr>
        <w:t>□是，公益一类事业单位、使用事业编制且由财政拨款保障的群团组织，不得作为承接主体；</w:t>
      </w:r>
    </w:p>
    <w:p w14:paraId="7D328331">
      <w:pPr>
        <w:tabs>
          <w:tab w:val="left" w:pos="900"/>
          <w:tab w:val="left" w:pos="1134"/>
          <w:tab w:val="left" w:pos="1589"/>
          <w:tab w:val="left" w:pos="5521"/>
        </w:tabs>
        <w:snapToGrid w:val="0"/>
        <w:spacing w:line="360" w:lineRule="auto"/>
        <w:ind w:firstLine="480" w:firstLineChars="200"/>
        <w:rPr>
          <w:rFonts w:ascii="宋体" w:hAnsi="宋体" w:cs="宋体"/>
          <w:color w:val="auto"/>
          <w:sz w:val="24"/>
          <w:highlight w:val="none"/>
          <w:u w:val="none"/>
        </w:rPr>
      </w:pPr>
      <w:r>
        <w:rPr>
          <w:rFonts w:hint="eastAsia" w:ascii="宋体" w:hAnsi="宋体" w:cs="宋体"/>
          <w:color w:val="auto"/>
          <w:sz w:val="24"/>
          <w:highlight w:val="none"/>
        </w:rPr>
        <w:t>3.3其他特定资格要求：</w:t>
      </w:r>
    </w:p>
    <w:bookmarkEnd w:id="12"/>
    <w:bookmarkEnd w:id="13"/>
    <w:p w14:paraId="1F1655BB">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outlineLvl w:val="9"/>
        <w:rPr>
          <w:rFonts w:hint="eastAsia" w:ascii="宋体" w:hAnsi="宋体" w:eastAsia="宋体" w:cs="宋体"/>
          <w:color w:val="auto"/>
          <w:sz w:val="24"/>
          <w:szCs w:val="24"/>
          <w:highlight w:val="none"/>
          <w:u w:val="single"/>
          <w:lang w:val="en-US" w:eastAsia="zh-CN"/>
        </w:rPr>
      </w:pPr>
      <w:bookmarkStart w:id="14" w:name="_Toc35393792"/>
      <w:bookmarkStart w:id="15" w:name="_Toc35393623"/>
      <w:r>
        <w:rPr>
          <w:rFonts w:hint="eastAsia" w:ascii="宋体" w:hAnsi="宋体" w:eastAsia="宋体" w:cs="宋体"/>
          <w:color w:val="auto"/>
          <w:sz w:val="24"/>
          <w:szCs w:val="24"/>
          <w:highlight w:val="none"/>
          <w:u w:val="single"/>
          <w:lang w:val="en-US" w:eastAsia="zh-CN"/>
        </w:rPr>
        <w:t xml:space="preserve"> 3.3.1投标人具备有效的《危险废物经营许可证》（经营范围包含：处置医疗废物HW</w:t>
      </w:r>
      <w:r>
        <w:rPr>
          <w:rFonts w:hint="eastAsia" w:ascii="宋体" w:hAnsi="宋体" w:cs="宋体"/>
          <w:color w:val="auto"/>
          <w:sz w:val="24"/>
          <w:szCs w:val="24"/>
          <w:highlight w:val="none"/>
          <w:u w:val="single"/>
          <w:lang w:val="en-US" w:eastAsia="zh-CN"/>
        </w:rPr>
        <w:t>0</w:t>
      </w:r>
      <w:r>
        <w:rPr>
          <w:rFonts w:hint="eastAsia" w:ascii="宋体" w:hAnsi="宋体" w:eastAsia="宋体" w:cs="宋体"/>
          <w:color w:val="auto"/>
          <w:sz w:val="24"/>
          <w:szCs w:val="24"/>
          <w:highlight w:val="none"/>
          <w:u w:val="single"/>
          <w:lang w:val="en-US" w:eastAsia="zh-CN"/>
        </w:rPr>
        <w:t xml:space="preserve">1）； </w:t>
      </w:r>
    </w:p>
    <w:p w14:paraId="468D99EE">
      <w:pPr>
        <w:keepNext w:val="0"/>
        <w:keepLines w:val="0"/>
        <w:pageBreakBefore w:val="0"/>
        <w:widowControl w:val="0"/>
        <w:tabs>
          <w:tab w:val="left" w:pos="900"/>
          <w:tab w:val="left" w:pos="1134"/>
          <w:tab w:val="left" w:pos="1589"/>
          <w:tab w:val="left" w:pos="5521"/>
        </w:tabs>
        <w:kinsoku/>
        <w:wordWrap/>
        <w:overflowPunct/>
        <w:topLinePunct w:val="0"/>
        <w:autoSpaceDE/>
        <w:autoSpaceDN/>
        <w:bidi w:val="0"/>
        <w:adjustRightInd/>
        <w:snapToGrid w:val="0"/>
        <w:spacing w:line="360" w:lineRule="auto"/>
        <w:ind w:firstLine="480" w:firstLineChars="200"/>
        <w:textAlignment w:val="auto"/>
        <w:outlineLvl w:val="9"/>
        <w:rPr>
          <w:rFonts w:hint="default" w:ascii="宋体" w:hAnsi="宋体" w:eastAsia="宋体" w:cs="宋体"/>
          <w:color w:val="auto"/>
          <w:sz w:val="24"/>
          <w:szCs w:val="24"/>
          <w:highlight w:val="none"/>
          <w:u w:val="single"/>
          <w:lang w:val="en-US"/>
        </w:rPr>
      </w:pPr>
      <w:r>
        <w:rPr>
          <w:rFonts w:hint="eastAsia" w:ascii="宋体" w:hAnsi="宋体" w:eastAsia="宋体" w:cs="宋体"/>
          <w:color w:val="auto"/>
          <w:sz w:val="24"/>
          <w:szCs w:val="24"/>
          <w:highlight w:val="none"/>
          <w:u w:val="single"/>
          <w:lang w:val="en-US" w:eastAsia="zh-CN"/>
        </w:rPr>
        <w:t xml:space="preserve"> 3.3.2投标人具备有效的《道路危险货物运输许可证》（包含医疗废物、危险废物）。 </w:t>
      </w:r>
    </w:p>
    <w:p w14:paraId="0DC5F48E">
      <w:pPr>
        <w:snapToGrid w:val="0"/>
        <w:spacing w:line="360" w:lineRule="auto"/>
        <w:rPr>
          <w:rFonts w:ascii="宋体" w:hAnsi="宋体"/>
          <w:b/>
          <w:bCs/>
          <w:color w:val="auto"/>
          <w:sz w:val="24"/>
          <w:highlight w:val="none"/>
        </w:rPr>
      </w:pPr>
      <w:r>
        <w:rPr>
          <w:rFonts w:hint="eastAsia" w:ascii="宋体" w:hAnsi="宋体"/>
          <w:b/>
          <w:bCs/>
          <w:color w:val="auto"/>
          <w:sz w:val="24"/>
          <w:highlight w:val="none"/>
        </w:rPr>
        <w:t>三、获取招标文件</w:t>
      </w:r>
      <w:bookmarkEnd w:id="14"/>
      <w:bookmarkEnd w:id="15"/>
    </w:p>
    <w:p w14:paraId="11A94191">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宋体" w:hAnsi="宋体" w:eastAsia="宋体" w:cs="宋体"/>
          <w:color w:val="auto"/>
          <w:sz w:val="24"/>
          <w:highlight w:val="none"/>
          <w:lang w:bidi="ar"/>
        </w:rPr>
      </w:pPr>
      <w:bookmarkStart w:id="16" w:name="_Toc28359005"/>
      <w:bookmarkStart w:id="17" w:name="_Toc28359082"/>
      <w:bookmarkStart w:id="18" w:name="_Toc35393624"/>
      <w:bookmarkStart w:id="19" w:name="_Toc35393793"/>
      <w:r>
        <w:rPr>
          <w:rFonts w:hint="eastAsia" w:ascii="宋体" w:hAnsi="宋体" w:eastAsia="宋体" w:cs="宋体"/>
          <w:color w:val="auto"/>
          <w:sz w:val="24"/>
          <w:highlight w:val="none"/>
          <w:lang w:bidi="ar"/>
        </w:rPr>
        <w:t>1.时间：自招标文件公告发布之日起5个工作日。</w:t>
      </w:r>
    </w:p>
    <w:p w14:paraId="332E9C43">
      <w:pPr>
        <w:adjustRightInd w:val="0"/>
        <w:snapToGrid w:val="0"/>
        <w:spacing w:line="360" w:lineRule="auto"/>
        <w:ind w:firstLine="480" w:firstLineChars="200"/>
        <w:rPr>
          <w:rFonts w:ascii="宋体" w:hAnsi="宋体" w:cs="宋体"/>
          <w:color w:val="auto"/>
          <w:sz w:val="24"/>
          <w:highlight w:val="none"/>
          <w:lang w:bidi="ar"/>
        </w:rPr>
      </w:pPr>
      <w:r>
        <w:rPr>
          <w:rFonts w:hint="eastAsia" w:ascii="宋体" w:hAnsi="宋体" w:cs="宋体"/>
          <w:color w:val="auto"/>
          <w:sz w:val="24"/>
          <w:highlight w:val="none"/>
          <w:lang w:bidi="ar"/>
        </w:rPr>
        <w:t>2.地点：</w:t>
      </w:r>
      <w:r>
        <w:rPr>
          <w:rFonts w:hint="eastAsia" w:ascii="宋体" w:hAnsi="宋体" w:cs="宋体"/>
          <w:color w:val="auto"/>
          <w:sz w:val="24"/>
          <w:highlight w:val="none"/>
          <w:u w:val="single"/>
        </w:rPr>
        <w:t>“苏采云”政府采购一体化平台</w:t>
      </w:r>
      <w:r>
        <w:rPr>
          <w:rFonts w:hint="eastAsia" w:ascii="宋体" w:hAnsi="宋体" w:cs="宋体"/>
          <w:color w:val="auto"/>
          <w:sz w:val="24"/>
          <w:highlight w:val="none"/>
        </w:rPr>
        <w:t>。</w:t>
      </w:r>
    </w:p>
    <w:p w14:paraId="3FF6EBF2">
      <w:pPr>
        <w:adjustRightInd w:val="0"/>
        <w:snapToGrid w:val="0"/>
        <w:spacing w:line="360" w:lineRule="auto"/>
        <w:ind w:firstLine="480" w:firstLineChars="200"/>
        <w:rPr>
          <w:rFonts w:ascii="宋体" w:hAnsi="宋体" w:cs="宋体"/>
          <w:color w:val="auto"/>
          <w:sz w:val="24"/>
          <w:highlight w:val="none"/>
          <w:lang w:bidi="ar"/>
        </w:rPr>
      </w:pPr>
      <w:r>
        <w:rPr>
          <w:rFonts w:hint="eastAsia" w:ascii="宋体" w:hAnsi="宋体" w:cs="宋体"/>
          <w:color w:val="auto"/>
          <w:sz w:val="24"/>
          <w:highlight w:val="none"/>
          <w:lang w:bidi="ar"/>
        </w:rPr>
        <w:t>3.方式：</w:t>
      </w:r>
      <w:r>
        <w:rPr>
          <w:rFonts w:hint="eastAsia" w:ascii="宋体" w:hAnsi="宋体" w:cs="宋体"/>
          <w:color w:val="auto"/>
          <w:sz w:val="24"/>
          <w:highlight w:val="none"/>
          <w:u w:val="single"/>
          <w:lang w:bidi="ar"/>
        </w:rPr>
        <w:t>投标人登</w:t>
      </w:r>
      <w:r>
        <w:rPr>
          <w:rFonts w:hint="eastAsia" w:ascii="宋体" w:hAnsi="宋体" w:cs="宋体"/>
          <w:color w:val="auto"/>
          <w:sz w:val="24"/>
          <w:highlight w:val="none"/>
          <w:u w:val="single"/>
          <w:lang w:val="en-US" w:eastAsia="zh-CN" w:bidi="ar"/>
        </w:rPr>
        <w:t>录</w:t>
      </w:r>
      <w:r>
        <w:rPr>
          <w:rFonts w:hint="eastAsia" w:ascii="宋体" w:hAnsi="宋体" w:cs="宋体"/>
          <w:color w:val="auto"/>
          <w:sz w:val="24"/>
          <w:highlight w:val="none"/>
          <w:u w:val="single"/>
          <w:lang w:bidi="ar"/>
        </w:rPr>
        <w:t>“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color w:val="auto"/>
          <w:sz w:val="24"/>
          <w:highlight w:val="none"/>
          <w:lang w:bidi="ar"/>
        </w:rPr>
        <w:t>。</w:t>
      </w:r>
    </w:p>
    <w:p w14:paraId="0384C8C4">
      <w:pPr>
        <w:adjustRightInd w:val="0"/>
        <w:snapToGrid w:val="0"/>
        <w:spacing w:line="360" w:lineRule="auto"/>
        <w:ind w:firstLine="480" w:firstLineChars="200"/>
        <w:rPr>
          <w:rFonts w:ascii="宋体" w:hAnsi="宋体" w:cs="宋体"/>
          <w:color w:val="auto"/>
          <w:sz w:val="24"/>
          <w:highlight w:val="none"/>
          <w:lang w:bidi="ar"/>
        </w:rPr>
      </w:pPr>
      <w:r>
        <w:rPr>
          <w:rFonts w:hint="eastAsia" w:ascii="宋体" w:hAnsi="宋体" w:cs="宋体"/>
          <w:color w:val="auto"/>
          <w:sz w:val="24"/>
          <w:highlight w:val="none"/>
          <w:lang w:bidi="ar"/>
        </w:rPr>
        <w:t>4.售价：</w:t>
      </w:r>
      <w:r>
        <w:rPr>
          <w:rFonts w:hint="eastAsia" w:ascii="宋体" w:hAnsi="宋体" w:cs="宋体"/>
          <w:color w:val="auto"/>
          <w:sz w:val="24"/>
          <w:highlight w:val="none"/>
          <w:u w:val="single"/>
          <w:lang w:bidi="ar"/>
        </w:rPr>
        <w:t xml:space="preserve"> 0 </w:t>
      </w:r>
      <w:r>
        <w:rPr>
          <w:rFonts w:hint="eastAsia" w:ascii="宋体" w:hAnsi="宋体" w:cs="宋体"/>
          <w:color w:val="auto"/>
          <w:sz w:val="24"/>
          <w:highlight w:val="none"/>
          <w:lang w:bidi="ar"/>
        </w:rPr>
        <w:t>元。</w:t>
      </w:r>
    </w:p>
    <w:p w14:paraId="793ACBD7">
      <w:pPr>
        <w:snapToGrid w:val="0"/>
        <w:spacing w:line="360" w:lineRule="auto"/>
        <w:rPr>
          <w:rFonts w:ascii="宋体" w:hAnsi="宋体"/>
          <w:b/>
          <w:bCs/>
          <w:color w:val="auto"/>
          <w:sz w:val="24"/>
          <w:highlight w:val="none"/>
        </w:rPr>
      </w:pPr>
      <w:r>
        <w:rPr>
          <w:rFonts w:hint="eastAsia" w:ascii="宋体" w:hAnsi="宋体"/>
          <w:b/>
          <w:bCs/>
          <w:color w:val="auto"/>
          <w:sz w:val="24"/>
          <w:highlight w:val="none"/>
        </w:rPr>
        <w:t>四、提交投标文件</w:t>
      </w:r>
      <w:bookmarkEnd w:id="16"/>
      <w:bookmarkEnd w:id="17"/>
      <w:r>
        <w:rPr>
          <w:rFonts w:hint="eastAsia" w:ascii="宋体" w:hAnsi="宋体"/>
          <w:b/>
          <w:bCs/>
          <w:color w:val="auto"/>
          <w:sz w:val="24"/>
          <w:highlight w:val="none"/>
        </w:rPr>
        <w:t>截止时间、开标时间和地点</w:t>
      </w:r>
      <w:bookmarkEnd w:id="18"/>
      <w:bookmarkEnd w:id="19"/>
    </w:p>
    <w:p w14:paraId="5A0DC98A">
      <w:pPr>
        <w:spacing w:line="360" w:lineRule="auto"/>
        <w:ind w:firstLine="480" w:firstLineChars="200"/>
        <w:rPr>
          <w:rFonts w:ascii="宋体" w:hAnsi="宋体" w:cs="宋体"/>
          <w:iCs/>
          <w:color w:val="auto"/>
          <w:sz w:val="24"/>
          <w:highlight w:val="none"/>
          <w:lang w:bidi="ar"/>
        </w:rPr>
      </w:pPr>
      <w:r>
        <w:rPr>
          <w:color w:val="auto"/>
          <w:sz w:val="24"/>
          <w:highlight w:val="none"/>
          <w:lang w:bidi="ar"/>
        </w:rPr>
        <w:t>投标截止时间、开标时间：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202</w:t>
      </w:r>
      <w:r>
        <w:rPr>
          <w:rFonts w:hint="eastAsia" w:ascii="宋体" w:hAnsi="宋体" w:cs="宋体"/>
          <w:color w:val="auto"/>
          <w:sz w:val="24"/>
          <w:highlight w:val="none"/>
          <w:u w:val="single"/>
          <w:lang w:val="en-US" w:eastAsia="zh-CN"/>
        </w:rPr>
        <w:t>6</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bidi="ar"/>
        </w:rPr>
        <w:t>年</w:t>
      </w:r>
      <w:r>
        <w:rPr>
          <w:rFonts w:hint="eastAsia" w:ascii="宋体" w:hAnsi="宋体" w:cs="宋体"/>
          <w:color w:val="auto"/>
          <w:sz w:val="24"/>
          <w:highlight w:val="none"/>
          <w:u w:val="single"/>
          <w:lang w:val="en-US" w:eastAsia="zh-CN"/>
        </w:rPr>
        <w:t xml:space="preserve"> 7 </w:t>
      </w:r>
      <w:r>
        <w:rPr>
          <w:rFonts w:hint="eastAsia" w:ascii="宋体" w:hAnsi="宋体" w:cs="宋体"/>
          <w:color w:val="auto"/>
          <w:sz w:val="24"/>
          <w:highlight w:val="none"/>
          <w:lang w:bidi="ar"/>
        </w:rPr>
        <w:t>月</w:t>
      </w:r>
      <w:r>
        <w:rPr>
          <w:rFonts w:hint="eastAsia" w:ascii="宋体" w:hAnsi="宋体" w:cs="宋体"/>
          <w:color w:val="auto"/>
          <w:sz w:val="24"/>
          <w:highlight w:val="none"/>
          <w:u w:val="single"/>
          <w:lang w:val="en-US" w:eastAsia="zh-CN"/>
        </w:rPr>
        <w:t xml:space="preserve"> 9 </w:t>
      </w:r>
      <w:r>
        <w:rPr>
          <w:rFonts w:hint="eastAsia" w:ascii="宋体" w:hAnsi="宋体" w:cs="宋体"/>
          <w:color w:val="auto"/>
          <w:sz w:val="24"/>
          <w:highlight w:val="none"/>
          <w:lang w:bidi="ar"/>
        </w:rPr>
        <w:t>日</w:t>
      </w:r>
      <w:r>
        <w:rPr>
          <w:rFonts w:hint="eastAsia" w:ascii="宋体" w:hAnsi="宋体" w:cs="宋体"/>
          <w:color w:val="auto"/>
          <w:sz w:val="24"/>
          <w:highlight w:val="none"/>
          <w:u w:val="single"/>
          <w:lang w:val="en-US" w:eastAsia="zh-CN"/>
        </w:rPr>
        <w:t xml:space="preserve"> 14 </w:t>
      </w:r>
      <w:r>
        <w:rPr>
          <w:rFonts w:hint="eastAsia" w:ascii="宋体" w:hAnsi="宋体" w:cs="宋体"/>
          <w:color w:val="auto"/>
          <w:sz w:val="24"/>
          <w:highlight w:val="none"/>
          <w:lang w:bidi="ar"/>
        </w:rPr>
        <w:t>点</w:t>
      </w:r>
      <w:r>
        <w:rPr>
          <w:rFonts w:hint="eastAsia" w:ascii="宋体" w:hAnsi="宋体" w:cs="宋体"/>
          <w:color w:val="auto"/>
          <w:sz w:val="24"/>
          <w:highlight w:val="none"/>
          <w:u w:val="single"/>
          <w:lang w:val="en-US" w:eastAsia="zh-CN"/>
        </w:rPr>
        <w:t xml:space="preserve"> 00 </w:t>
      </w:r>
      <w:r>
        <w:rPr>
          <w:rFonts w:hint="eastAsia" w:ascii="宋体" w:hAnsi="宋体" w:cs="宋体"/>
          <w:color w:val="auto"/>
          <w:sz w:val="24"/>
          <w:highlight w:val="none"/>
          <w:lang w:bidi="ar"/>
        </w:rPr>
        <w:t>分</w:t>
      </w:r>
      <w:r>
        <w:rPr>
          <w:rFonts w:hint="eastAsia" w:ascii="宋体" w:hAnsi="宋体" w:cs="宋体"/>
          <w:bCs/>
          <w:color w:val="auto"/>
          <w:sz w:val="24"/>
          <w:highlight w:val="none"/>
          <w:lang w:bidi="ar"/>
        </w:rPr>
        <w:t>（北京时间）</w:t>
      </w:r>
      <w:r>
        <w:rPr>
          <w:rFonts w:hint="eastAsia" w:ascii="宋体" w:hAnsi="宋体" w:cs="宋体"/>
          <w:iCs/>
          <w:color w:val="auto"/>
          <w:sz w:val="24"/>
          <w:highlight w:val="none"/>
          <w:lang w:bidi="ar"/>
        </w:rPr>
        <w:t>。</w:t>
      </w:r>
    </w:p>
    <w:p w14:paraId="1259D024">
      <w:pPr>
        <w:spacing w:line="360" w:lineRule="auto"/>
        <w:ind w:firstLine="480" w:firstLineChars="200"/>
        <w:rPr>
          <w:rFonts w:ascii="宋体" w:hAnsi="宋体" w:cs="宋体"/>
          <w:color w:val="auto"/>
          <w:sz w:val="24"/>
          <w:highlight w:val="none"/>
          <w:u w:val="single"/>
          <w:lang w:bidi="ar"/>
        </w:rPr>
      </w:pPr>
      <w:bookmarkStart w:id="20" w:name="_Toc35393794"/>
      <w:bookmarkStart w:id="21" w:name="_Toc28359084"/>
      <w:bookmarkStart w:id="22" w:name="_Toc35393625"/>
      <w:bookmarkStart w:id="23" w:name="_Toc28359007"/>
      <w:r>
        <w:rPr>
          <w:rFonts w:hint="eastAsia" w:ascii="宋体" w:hAnsi="宋体" w:cs="宋体"/>
          <w:color w:val="auto"/>
          <w:sz w:val="24"/>
          <w:highlight w:val="none"/>
          <w:lang w:bidi="ar"/>
        </w:rPr>
        <w:t>地点：</w:t>
      </w:r>
      <w:r>
        <w:rPr>
          <w:rFonts w:hint="eastAsia" w:ascii="宋体" w:hAnsi="宋体" w:cs="宋体"/>
          <w:color w:val="auto"/>
          <w:sz w:val="24"/>
          <w:highlight w:val="none"/>
          <w:u w:val="single"/>
          <w:lang w:bidi="ar"/>
        </w:rPr>
        <w:t>“苏采云”政府采购</w:t>
      </w:r>
      <w:r>
        <w:rPr>
          <w:rFonts w:hint="eastAsia" w:ascii="宋体" w:hAnsi="宋体" w:cs="宋体"/>
          <w:color w:val="auto"/>
          <w:sz w:val="24"/>
          <w:highlight w:val="none"/>
          <w:u w:val="single"/>
        </w:rPr>
        <w:t>一体化平台</w:t>
      </w:r>
      <w:r>
        <w:rPr>
          <w:rFonts w:hint="eastAsia" w:ascii="宋体" w:hAnsi="宋体" w:cs="宋体"/>
          <w:color w:val="auto"/>
          <w:sz w:val="24"/>
          <w:highlight w:val="none"/>
          <w:u w:val="single"/>
          <w:lang w:bidi="ar"/>
        </w:rPr>
        <w:t>网上开标大厅</w:t>
      </w:r>
      <w:r>
        <w:rPr>
          <w:rFonts w:hint="eastAsia" w:ascii="宋体" w:hAnsi="宋体" w:cs="宋体"/>
          <w:color w:val="auto"/>
          <w:sz w:val="24"/>
          <w:highlight w:val="none"/>
          <w:lang w:bidi="ar"/>
        </w:rPr>
        <w:t>。</w:t>
      </w:r>
    </w:p>
    <w:p w14:paraId="3C158BAB">
      <w:pPr>
        <w:snapToGrid w:val="0"/>
        <w:spacing w:line="360" w:lineRule="auto"/>
        <w:rPr>
          <w:rFonts w:ascii="宋体" w:hAnsi="宋体"/>
          <w:b/>
          <w:bCs/>
          <w:color w:val="auto"/>
          <w:sz w:val="24"/>
          <w:highlight w:val="none"/>
        </w:rPr>
      </w:pPr>
      <w:r>
        <w:rPr>
          <w:rFonts w:hint="eastAsia" w:ascii="宋体" w:hAnsi="宋体"/>
          <w:b/>
          <w:bCs/>
          <w:color w:val="auto"/>
          <w:sz w:val="24"/>
          <w:highlight w:val="none"/>
        </w:rPr>
        <w:t>五、公告期限</w:t>
      </w:r>
      <w:bookmarkEnd w:id="20"/>
      <w:bookmarkEnd w:id="21"/>
      <w:bookmarkEnd w:id="22"/>
      <w:bookmarkEnd w:id="23"/>
    </w:p>
    <w:p w14:paraId="7F15B059">
      <w:pPr>
        <w:spacing w:line="360" w:lineRule="auto"/>
        <w:ind w:firstLine="480" w:firstLineChars="200"/>
        <w:rPr>
          <w:color w:val="auto"/>
          <w:kern w:val="0"/>
          <w:sz w:val="24"/>
          <w:highlight w:val="none"/>
        </w:rPr>
      </w:pPr>
      <w:r>
        <w:rPr>
          <w:color w:val="auto"/>
          <w:kern w:val="0"/>
          <w:sz w:val="24"/>
          <w:highlight w:val="none"/>
        </w:rPr>
        <w:t>自本公告发布之日起5个工作日。</w:t>
      </w:r>
    </w:p>
    <w:p w14:paraId="1DA2319D">
      <w:pPr>
        <w:snapToGrid w:val="0"/>
        <w:spacing w:line="360" w:lineRule="auto"/>
        <w:rPr>
          <w:rFonts w:ascii="宋体" w:hAnsi="宋体"/>
          <w:b/>
          <w:bCs/>
          <w:color w:val="auto"/>
          <w:sz w:val="24"/>
          <w:highlight w:val="none"/>
        </w:rPr>
      </w:pPr>
      <w:bookmarkStart w:id="24" w:name="_Toc35393626"/>
      <w:bookmarkStart w:id="25" w:name="_Toc35393795"/>
      <w:r>
        <w:rPr>
          <w:rFonts w:hint="eastAsia" w:ascii="宋体" w:hAnsi="宋体"/>
          <w:b/>
          <w:bCs/>
          <w:color w:val="auto"/>
          <w:sz w:val="24"/>
          <w:highlight w:val="none"/>
        </w:rPr>
        <w:t>六、其他补充事宜</w:t>
      </w:r>
      <w:bookmarkEnd w:id="24"/>
      <w:bookmarkEnd w:id="25"/>
    </w:p>
    <w:p w14:paraId="4BFADE59">
      <w:pPr>
        <w:spacing w:line="360" w:lineRule="auto"/>
        <w:ind w:firstLine="480" w:firstLineChars="200"/>
        <w:rPr>
          <w:rFonts w:hint="eastAsia" w:ascii="宋体" w:hAnsi="宋体" w:cs="宋体"/>
          <w:color w:val="auto"/>
          <w:sz w:val="24"/>
          <w:highlight w:val="none"/>
        </w:rPr>
      </w:pPr>
      <w:bookmarkStart w:id="26" w:name="_Toc35393627"/>
      <w:bookmarkStart w:id="27" w:name="_Toc35393796"/>
      <w:bookmarkStart w:id="28" w:name="_Toc28359085"/>
      <w:bookmarkStart w:id="29" w:name="_Toc28359008"/>
      <w:r>
        <w:rPr>
          <w:rFonts w:hint="eastAsia" w:ascii="宋体" w:hAnsi="宋体" w:cs="宋体"/>
          <w:color w:val="auto"/>
          <w:sz w:val="24"/>
          <w:highlight w:val="none"/>
        </w:rPr>
        <w:t>1.本项目需要落实的政府采购政策：</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对小型和微型企业的价格给予20%的扣除，用扣除后的价格参与评审。监狱企业、残疾人福利性单位视同小微企业，给予价格扣除</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2A9D8722">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通过苏采云系统参与政府采购项目，需要更换CA数字证书和电子签章。</w:t>
      </w:r>
    </w:p>
    <w:p w14:paraId="7D78A1EA">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p>
    <w:p w14:paraId="3BDDBE73">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.本项目采用远程“不见面”交易方式，无需到现场提交，请</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在提交时间截止前提前登入“苏采云”，通过系统在线提交电子投标文件。</w:t>
      </w:r>
    </w:p>
    <w:p w14:paraId="0125DFC4">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.有关本次招标的事项若存在变动或修改，敬请及时关注“江苏政府采购网”、“常州市政府采购网”发布的更正公告。</w:t>
      </w:r>
    </w:p>
    <w:p w14:paraId="4193AEC4">
      <w:pPr>
        <w:widowControl/>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.本项目不收取投标保证金。</w:t>
      </w:r>
    </w:p>
    <w:p w14:paraId="72EB116C">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注意事项</w:t>
      </w:r>
    </w:p>
    <w:p w14:paraId="149AAB1D">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在开标前应当使用“验证CA”功能验证本地计算机的控件环境是否正常（电脑需配备摄像头、音响和麦克风，用于保障不见面交易能够完成相关视频对话），并且在开标、评审过程中不可随意更换计算机，必须使用验证成功的计算机进行操作，否则造成相应后果由</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自行承担。</w:t>
      </w:r>
    </w:p>
    <w:p w14:paraId="541B5D43">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rPr>
        <w:t>.</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可以在“江苏政府采购网”或者“常州市政府采购网”自行免费下载采购文件，但本项目通过“苏采云”系统采用电子化不见面交易的模式，</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通过“江苏政府采购网”或“常州市政府采购网”下载采购文件后，还必须登录“苏采云”系统按照获取采购文件方式要求进行登记、参与及下载电子采购文件方可通过系统进行投标文件的编制和提交。</w:t>
      </w:r>
    </w:p>
    <w:p w14:paraId="1D711F5F">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9</w:t>
      </w:r>
      <w:r>
        <w:rPr>
          <w:rFonts w:hint="eastAsia" w:ascii="宋体" w:hAnsi="宋体" w:cs="宋体"/>
          <w:color w:val="auto"/>
          <w:sz w:val="24"/>
          <w:highlight w:val="none"/>
        </w:rPr>
        <w:t>.</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在“苏采云”系统进行登记、参与及下载电子采购文件，选择“我要参与”点提交的日期视同为依法获取采购文件日期。报名成功后须打印、保留“投标供应商确认函”，质疑时“投标供应商确认函”与质疑函一并提交；未依照招标公告要求实行网上报名的</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，视为未参与该项政府采购活动，不具备对该政府采购项目提出质疑的法定权利，但因</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资格条件或报名时间设定不符合有关法律法规规定等原因使</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权益受损的除外。</w:t>
      </w:r>
    </w:p>
    <w:p w14:paraId="63773148">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10</w:t>
      </w:r>
      <w:r>
        <w:rPr>
          <w:rFonts w:hint="eastAsia" w:ascii="宋体" w:hAnsi="宋体" w:cs="宋体"/>
          <w:color w:val="auto"/>
          <w:sz w:val="24"/>
          <w:highlight w:val="none"/>
        </w:rPr>
        <w:t>.如潜在</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未按上述要求操作，将自行承担所产生的风险。</w:t>
      </w:r>
    </w:p>
    <w:p w14:paraId="0EDD7E93">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.关于常州市中小企业政府采购信用融资：</w:t>
      </w:r>
    </w:p>
    <w:p w14:paraId="75F86F7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2C11CFF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12</w:t>
      </w:r>
      <w:r>
        <w:rPr>
          <w:rFonts w:hint="eastAsia" w:ascii="宋体" w:hAnsi="宋体" w:cs="宋体"/>
          <w:color w:val="auto"/>
          <w:sz w:val="24"/>
          <w:highlight w:val="none"/>
        </w:rPr>
        <w:t>.关于深入开展常州市政府采购线上合同信用融资：</w:t>
      </w:r>
    </w:p>
    <w:p w14:paraId="6A25701D">
      <w:pPr>
        <w:spacing w:line="360" w:lineRule="auto"/>
        <w:ind w:firstLine="480" w:firstLineChars="200"/>
        <w:rPr>
          <w:color w:val="auto"/>
          <w:kern w:val="0"/>
          <w:sz w:val="24"/>
          <w:highlight w:val="none"/>
        </w:rPr>
      </w:pPr>
      <w:r>
        <w:rPr>
          <w:rFonts w:hint="eastAsia" w:ascii="宋体" w:hAnsi="宋体" w:cs="宋体"/>
          <w:color w:val="auto"/>
          <w:sz w:val="24"/>
          <w:highlight w:val="none"/>
        </w:rPr>
        <w:t>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p>
    <w:p w14:paraId="0DD495B6">
      <w:pPr>
        <w:snapToGrid w:val="0"/>
        <w:spacing w:line="360" w:lineRule="auto"/>
        <w:rPr>
          <w:rFonts w:ascii="宋体" w:hAnsi="宋体"/>
          <w:b/>
          <w:bCs/>
          <w:color w:val="auto"/>
          <w:sz w:val="24"/>
          <w:highlight w:val="none"/>
        </w:rPr>
      </w:pPr>
      <w:r>
        <w:rPr>
          <w:rFonts w:hint="eastAsia" w:ascii="宋体" w:hAnsi="宋体"/>
          <w:b/>
          <w:bCs/>
          <w:color w:val="auto"/>
          <w:sz w:val="24"/>
          <w:highlight w:val="none"/>
        </w:rPr>
        <w:t>七、对本次招标提出询问，请按以下方式联系。</w:t>
      </w:r>
      <w:bookmarkEnd w:id="26"/>
      <w:bookmarkEnd w:id="27"/>
      <w:bookmarkEnd w:id="28"/>
      <w:bookmarkEnd w:id="29"/>
    </w:p>
    <w:p w14:paraId="3E41D114">
      <w:pPr>
        <w:widowControl/>
        <w:spacing w:line="360" w:lineRule="auto"/>
        <w:ind w:firstLine="482" w:firstLineChars="200"/>
        <w:jc w:val="left"/>
        <w:rPr>
          <w:rFonts w:ascii="宋体" w:hAnsi="宋体" w:cs="宋体"/>
          <w:b/>
          <w:bCs/>
          <w:color w:val="auto"/>
          <w:sz w:val="24"/>
          <w:highlight w:val="none"/>
          <w:lang w:val="zh-TW" w:bidi="ar"/>
        </w:rPr>
      </w:pPr>
      <w:bookmarkStart w:id="30" w:name="_Toc305158854"/>
      <w:bookmarkStart w:id="31" w:name="_Toc150774783"/>
      <w:bookmarkStart w:id="32" w:name="_Toc127151777"/>
      <w:bookmarkStart w:id="33" w:name="_Toc264969275"/>
      <w:bookmarkStart w:id="34" w:name="_Toc353873938"/>
      <w:bookmarkStart w:id="35" w:name="_Toc226965856"/>
      <w:bookmarkStart w:id="36" w:name="_Toc265228423"/>
      <w:bookmarkStart w:id="37" w:name="_Toc127161488"/>
      <w:bookmarkStart w:id="38" w:name="_Toc305158928"/>
      <w:bookmarkStart w:id="39" w:name="_Toc99301420"/>
      <w:bookmarkStart w:id="40" w:name="_Toc353825548"/>
      <w:bookmarkStart w:id="41" w:name="_Toc512937850"/>
      <w:bookmarkStart w:id="42" w:name="_Toc195842950"/>
      <w:r>
        <w:rPr>
          <w:rFonts w:hint="eastAsia" w:ascii="宋体" w:hAnsi="宋体" w:cs="宋体"/>
          <w:b/>
          <w:bCs/>
          <w:color w:val="auto"/>
          <w:sz w:val="24"/>
          <w:highlight w:val="none"/>
          <w:lang w:val="zh-TW" w:bidi="ar"/>
        </w:rPr>
        <w:t>1.采购人信息</w:t>
      </w:r>
    </w:p>
    <w:p w14:paraId="492C6F94">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名    称：</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eastAsia="zh-CN" w:bidi="ar"/>
        </w:rPr>
        <w:t>常州市中医医院</w:t>
      </w:r>
      <w:r>
        <w:rPr>
          <w:rFonts w:hint="eastAsia" w:ascii="宋体" w:hAnsi="宋体" w:cs="宋体"/>
          <w:color w:val="auto"/>
          <w:sz w:val="24"/>
          <w:highlight w:val="none"/>
          <w:u w:val="single"/>
          <w:lang w:bidi="ar"/>
        </w:rPr>
        <w:t xml:space="preserve"> </w:t>
      </w:r>
    </w:p>
    <w:p w14:paraId="4B199E0B">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default" w:ascii="宋体" w:hAnsi="宋体" w:eastAsia="宋体" w:cs="宋体"/>
          <w:color w:val="auto"/>
          <w:sz w:val="24"/>
          <w:highlight w:val="none"/>
          <w:u w:val="single"/>
          <w:lang w:val="en-US" w:eastAsia="zh-CN" w:bidi="ar"/>
        </w:rPr>
      </w:pPr>
      <w:r>
        <w:rPr>
          <w:rFonts w:hint="eastAsia" w:ascii="宋体" w:hAnsi="宋体" w:eastAsia="宋体" w:cs="宋体"/>
          <w:color w:val="auto"/>
          <w:sz w:val="24"/>
          <w:highlight w:val="none"/>
          <w:lang w:val="zh-TW" w:bidi="ar"/>
        </w:rPr>
        <w:t>地    址：</w:t>
      </w:r>
      <w:r>
        <w:rPr>
          <w:rFonts w:hint="eastAsia" w:ascii="宋体" w:hAnsi="宋体" w:eastAsia="宋体" w:cs="宋体"/>
          <w:color w:val="auto"/>
          <w:sz w:val="24"/>
          <w:highlight w:val="none"/>
          <w:u w:val="single"/>
          <w:lang w:val="zh-TW" w:bidi="ar"/>
        </w:rPr>
        <w:t xml:space="preserve"> 常州市和平北路25号8号</w:t>
      </w:r>
      <w:r>
        <w:rPr>
          <w:rFonts w:hint="eastAsia" w:ascii="宋体" w:hAnsi="宋体" w:eastAsia="宋体" w:cs="宋体"/>
          <w:color w:val="auto"/>
          <w:sz w:val="24"/>
          <w:highlight w:val="none"/>
          <w:u w:val="single"/>
          <w:lang w:val="en-US" w:eastAsia="zh-CN" w:bidi="ar"/>
        </w:rPr>
        <w:t xml:space="preserve"> </w:t>
      </w:r>
    </w:p>
    <w:p w14:paraId="33CEED18">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highlight w:val="none"/>
          <w:lang w:val="zh-TW" w:bidi="ar"/>
        </w:rPr>
      </w:pPr>
      <w:r>
        <w:rPr>
          <w:rFonts w:hint="eastAsia" w:ascii="宋体" w:hAnsi="宋体" w:eastAsia="宋体" w:cs="宋体"/>
          <w:color w:val="auto"/>
          <w:sz w:val="24"/>
          <w:highlight w:val="none"/>
          <w:lang w:val="zh-TW" w:bidi="ar"/>
        </w:rPr>
        <w:t>联系方式：</w:t>
      </w:r>
      <w:r>
        <w:rPr>
          <w:rFonts w:hint="eastAsia" w:ascii="宋体" w:hAnsi="宋体" w:eastAsia="宋体" w:cs="宋体"/>
          <w:color w:val="auto"/>
          <w:sz w:val="24"/>
          <w:highlight w:val="none"/>
          <w:u w:val="single"/>
          <w:lang w:val="zh-TW" w:bidi="ar"/>
        </w:rPr>
        <w:t xml:space="preserve"> </w:t>
      </w:r>
      <w:r>
        <w:rPr>
          <w:rFonts w:hint="eastAsia" w:ascii="宋体" w:hAnsi="宋体" w:eastAsia="宋体" w:cs="宋体"/>
          <w:color w:val="auto"/>
          <w:sz w:val="24"/>
          <w:highlight w:val="none"/>
          <w:u w:val="single"/>
          <w:lang w:val="en-US" w:eastAsia="zh-CN" w:bidi="ar"/>
        </w:rPr>
        <w:t xml:space="preserve">许先生、0519-89896987 </w:t>
      </w:r>
    </w:p>
    <w:p w14:paraId="79143383">
      <w:pPr>
        <w:widowControl/>
        <w:spacing w:line="360" w:lineRule="auto"/>
        <w:ind w:firstLine="482" w:firstLineChars="200"/>
        <w:jc w:val="left"/>
        <w:rPr>
          <w:rFonts w:ascii="宋体" w:hAnsi="宋体" w:cs="宋体"/>
          <w:b/>
          <w:bCs/>
          <w:color w:val="auto"/>
          <w:sz w:val="24"/>
          <w:highlight w:val="none"/>
          <w:lang w:val="zh-TW" w:bidi="ar"/>
        </w:rPr>
      </w:pPr>
      <w:r>
        <w:rPr>
          <w:rFonts w:hint="eastAsia" w:ascii="宋体" w:hAnsi="宋体" w:cs="宋体"/>
          <w:b/>
          <w:bCs/>
          <w:color w:val="auto"/>
          <w:sz w:val="24"/>
          <w:highlight w:val="none"/>
          <w:lang w:val="zh-TW" w:bidi="ar"/>
        </w:rPr>
        <w:t>2.采购代理机构信息</w:t>
      </w:r>
    </w:p>
    <w:p w14:paraId="0A5A5CFB">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名    称：</w:t>
      </w:r>
      <w:r>
        <w:rPr>
          <w:rFonts w:hint="eastAsia" w:ascii="宋体" w:hAnsi="宋体" w:cs="宋体"/>
          <w:color w:val="auto"/>
          <w:sz w:val="24"/>
          <w:highlight w:val="none"/>
          <w:u w:val="single"/>
          <w:lang w:val="zh-TW" w:bidi="ar"/>
        </w:rPr>
        <w:t xml:space="preserve"> 江苏尚阳工程管理有限公司</w:t>
      </w:r>
      <w:r>
        <w:rPr>
          <w:rFonts w:hint="eastAsia" w:ascii="宋体" w:hAnsi="宋体" w:cs="宋体"/>
          <w:color w:val="auto"/>
          <w:sz w:val="24"/>
          <w:highlight w:val="none"/>
          <w:u w:val="single"/>
          <w:lang w:bidi="ar"/>
        </w:rPr>
        <w:t xml:space="preserve"> </w:t>
      </w:r>
    </w:p>
    <w:p w14:paraId="1CCB2680">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地    址：</w:t>
      </w:r>
      <w:r>
        <w:rPr>
          <w:rFonts w:hint="eastAsia" w:ascii="宋体" w:hAnsi="宋体" w:cs="宋体"/>
          <w:color w:val="auto"/>
          <w:sz w:val="24"/>
          <w:highlight w:val="none"/>
          <w:u w:val="single"/>
          <w:lang w:val="zh-TW" w:bidi="ar"/>
        </w:rPr>
        <w:t xml:space="preserve"> 常州市新北区嵩山路1-301号（太湖明珠苑综合市场3楼）</w:t>
      </w:r>
      <w:r>
        <w:rPr>
          <w:rFonts w:hint="eastAsia" w:ascii="宋体" w:hAnsi="宋体" w:cs="宋体"/>
          <w:color w:val="auto"/>
          <w:sz w:val="24"/>
          <w:highlight w:val="none"/>
          <w:u w:val="single"/>
          <w:lang w:bidi="ar"/>
        </w:rPr>
        <w:t xml:space="preserve"> </w:t>
      </w:r>
    </w:p>
    <w:p w14:paraId="0DBC39C1">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联系方式：</w:t>
      </w:r>
      <w:r>
        <w:rPr>
          <w:rFonts w:hint="eastAsia" w:ascii="宋体" w:hAnsi="宋体" w:cs="宋体"/>
          <w:color w:val="auto"/>
          <w:sz w:val="24"/>
          <w:highlight w:val="none"/>
          <w:u w:val="single"/>
          <w:lang w:val="zh-TW" w:bidi="ar"/>
        </w:rPr>
        <w:t xml:space="preserve"> 0519-88818225</w:t>
      </w:r>
      <w:r>
        <w:rPr>
          <w:rFonts w:hint="eastAsia" w:ascii="宋体" w:hAnsi="宋体" w:cs="宋体"/>
          <w:color w:val="auto"/>
          <w:sz w:val="24"/>
          <w:highlight w:val="none"/>
          <w:u w:val="single"/>
          <w:lang w:bidi="ar"/>
        </w:rPr>
        <w:t xml:space="preserve"> </w:t>
      </w:r>
    </w:p>
    <w:p w14:paraId="6B168B2C">
      <w:pPr>
        <w:widowControl/>
        <w:spacing w:line="360" w:lineRule="auto"/>
        <w:ind w:firstLine="482" w:firstLineChars="200"/>
        <w:jc w:val="left"/>
        <w:rPr>
          <w:rFonts w:ascii="宋体" w:hAnsi="宋体" w:cs="宋体"/>
          <w:b/>
          <w:bCs/>
          <w:color w:val="auto"/>
          <w:sz w:val="24"/>
          <w:highlight w:val="none"/>
          <w:lang w:val="zh-TW" w:bidi="ar"/>
        </w:rPr>
      </w:pPr>
      <w:r>
        <w:rPr>
          <w:rFonts w:hint="eastAsia" w:ascii="宋体" w:hAnsi="宋体" w:cs="宋体"/>
          <w:b/>
          <w:bCs/>
          <w:color w:val="auto"/>
          <w:sz w:val="24"/>
          <w:highlight w:val="none"/>
          <w:lang w:val="zh-TW" w:bidi="ar"/>
        </w:rPr>
        <w:t>3.项目联系方式</w:t>
      </w:r>
    </w:p>
    <w:p w14:paraId="4C19D37F">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项目联系人：</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val="en-US" w:eastAsia="zh-CN" w:bidi="ar"/>
        </w:rPr>
        <w:t>嵇玲</w:t>
      </w:r>
      <w:r>
        <w:rPr>
          <w:rFonts w:hint="eastAsia" w:ascii="宋体" w:hAnsi="宋体" w:cs="宋体"/>
          <w:color w:val="auto"/>
          <w:sz w:val="24"/>
          <w:highlight w:val="none"/>
          <w:u w:val="single"/>
          <w:lang w:bidi="ar"/>
        </w:rPr>
        <w:t xml:space="preserve"> </w:t>
      </w:r>
    </w:p>
    <w:p w14:paraId="2B11310B">
      <w:pPr>
        <w:widowControl/>
        <w:spacing w:line="360" w:lineRule="auto"/>
        <w:ind w:firstLine="480" w:firstLineChars="200"/>
        <w:jc w:val="left"/>
        <w:rPr>
          <w:rFonts w:ascii="宋体" w:hAnsi="宋体" w:cs="宋体"/>
          <w:color w:val="auto"/>
          <w:sz w:val="24"/>
          <w:highlight w:val="none"/>
          <w:u w:val="single"/>
          <w:lang w:bidi="ar"/>
        </w:rPr>
      </w:pPr>
      <w:r>
        <w:rPr>
          <w:rFonts w:hint="eastAsia" w:ascii="宋体" w:hAnsi="宋体" w:cs="宋体"/>
          <w:color w:val="auto"/>
          <w:sz w:val="24"/>
          <w:highlight w:val="none"/>
          <w:lang w:val="zh-TW" w:bidi="ar"/>
        </w:rPr>
        <w:t>电      话：</w:t>
      </w:r>
      <w:r>
        <w:rPr>
          <w:rFonts w:hint="eastAsia" w:ascii="宋体" w:hAnsi="宋体" w:cs="宋体"/>
          <w:color w:val="auto"/>
          <w:sz w:val="24"/>
          <w:highlight w:val="none"/>
          <w:u w:val="single"/>
          <w:lang w:val="zh-TW" w:bidi="ar"/>
        </w:rPr>
        <w:t xml:space="preserve"> 0519-88818295（800</w:t>
      </w:r>
      <w:r>
        <w:rPr>
          <w:rFonts w:hint="eastAsia" w:ascii="宋体" w:hAnsi="宋体" w:cs="宋体"/>
          <w:color w:val="auto"/>
          <w:sz w:val="24"/>
          <w:highlight w:val="none"/>
          <w:u w:val="single"/>
          <w:lang w:val="en-US" w:eastAsia="zh-CN" w:bidi="ar"/>
        </w:rPr>
        <w:t>0</w:t>
      </w:r>
      <w:r>
        <w:rPr>
          <w:rFonts w:hint="eastAsia" w:ascii="宋体" w:hAnsi="宋体" w:cs="宋体"/>
          <w:color w:val="auto"/>
          <w:sz w:val="24"/>
          <w:highlight w:val="none"/>
          <w:u w:val="single"/>
          <w:lang w:val="zh-TW" w:bidi="ar"/>
        </w:rPr>
        <w:t>）</w:t>
      </w:r>
      <w:r>
        <w:rPr>
          <w:rFonts w:hint="eastAsia" w:ascii="宋体" w:hAnsi="宋体" w:cs="宋体"/>
          <w:color w:val="auto"/>
          <w:sz w:val="24"/>
          <w:highlight w:val="none"/>
          <w:u w:val="single"/>
          <w:lang w:bidi="ar"/>
        </w:rPr>
        <w:t xml:space="preserve"> </w:t>
      </w:r>
    </w:p>
    <w:p w14:paraId="4438B901">
      <w:pPr>
        <w:widowControl/>
        <w:spacing w:line="360" w:lineRule="auto"/>
        <w:ind w:firstLine="480" w:firstLineChars="200"/>
        <w:jc w:val="left"/>
        <w:rPr>
          <w:rFonts w:ascii="宋体" w:hAnsi="宋体" w:cs="宋体"/>
          <w:color w:val="auto"/>
          <w:sz w:val="24"/>
          <w:highlight w:val="none"/>
          <w:lang w:val="zh-TW" w:bidi="ar"/>
        </w:rPr>
      </w:pPr>
    </w:p>
    <w:p w14:paraId="5728D3BC">
      <w:pPr>
        <w:spacing w:line="360" w:lineRule="auto"/>
        <w:jc w:val="center"/>
        <w:rPr>
          <w:rFonts w:ascii="宋体" w:hAnsi="宋体" w:cs="宋体"/>
          <w:color w:val="auto"/>
          <w:sz w:val="24"/>
          <w:highlight w:val="none"/>
        </w:rPr>
        <w:sectPr>
          <w:headerReference r:id="rId4" w:type="first"/>
          <w:footerReference r:id="rId6" w:type="first"/>
          <w:headerReference r:id="rId3" w:type="default"/>
          <w:footerReference r:id="rId5" w:type="default"/>
          <w:type w:val="nextColumn"/>
          <w:pgSz w:w="11907" w:h="16840"/>
          <w:pgMar w:top="1418" w:right="1134" w:bottom="1418" w:left="1701" w:header="851" w:footer="851" w:gutter="0"/>
          <w:pgBorders>
            <w:top w:val="none" w:sz="0" w:space="0"/>
            <w:left w:val="none" w:sz="0" w:space="0"/>
            <w:bottom w:val="none" w:sz="0" w:space="0"/>
            <w:right w:val="none" w:sz="0" w:space="0"/>
          </w:pgBorders>
          <w:pgNumType w:fmt="decimal" w:start="1"/>
          <w:cols w:space="720" w:num="1"/>
          <w:titlePg/>
          <w:docGrid w:linePitch="462" w:charSpace="0"/>
        </w:sectPr>
      </w:pPr>
    </w:p>
    <w:p w14:paraId="0D2C9DE3">
      <w:pPr>
        <w:spacing w:line="360" w:lineRule="auto"/>
        <w:jc w:val="center"/>
        <w:outlineLvl w:val="0"/>
        <w:rPr>
          <w:b/>
          <w:color w:val="auto"/>
          <w:sz w:val="36"/>
          <w:szCs w:val="36"/>
          <w:highlight w:val="none"/>
        </w:rPr>
      </w:pPr>
      <w:bookmarkStart w:id="43" w:name="_Toc11085"/>
      <w:r>
        <w:rPr>
          <w:b/>
          <w:color w:val="auto"/>
          <w:sz w:val="36"/>
          <w:szCs w:val="36"/>
          <w:highlight w:val="none"/>
        </w:rPr>
        <w:t>第二章   投标人须知</w:t>
      </w:r>
      <w:bookmarkEnd w:id="30"/>
      <w:bookmarkEnd w:id="31"/>
      <w:bookmarkEnd w:id="32"/>
      <w:bookmarkEnd w:id="33"/>
      <w:bookmarkEnd w:id="34"/>
      <w:bookmarkEnd w:id="35"/>
      <w:bookmarkEnd w:id="36"/>
      <w:bookmarkEnd w:id="37"/>
      <w:bookmarkEnd w:id="38"/>
      <w:bookmarkEnd w:id="39"/>
      <w:bookmarkEnd w:id="40"/>
      <w:bookmarkEnd w:id="41"/>
      <w:bookmarkEnd w:id="42"/>
      <w:bookmarkEnd w:id="43"/>
    </w:p>
    <w:p w14:paraId="338717FC">
      <w:pPr>
        <w:snapToGrid w:val="0"/>
        <w:spacing w:line="360" w:lineRule="auto"/>
        <w:jc w:val="center"/>
        <w:rPr>
          <w:rFonts w:ascii="宋体" w:hAnsi="宋体"/>
          <w:b/>
          <w:bCs/>
          <w:color w:val="auto"/>
          <w:sz w:val="28"/>
          <w:szCs w:val="28"/>
          <w:highlight w:val="none"/>
        </w:rPr>
      </w:pPr>
      <w:bookmarkStart w:id="44" w:name="_Toc164229214"/>
      <w:bookmarkStart w:id="45" w:name="_Toc164608788"/>
      <w:bookmarkStart w:id="46" w:name="_Toc142311021"/>
      <w:bookmarkStart w:id="47" w:name="_Toc127151519"/>
      <w:bookmarkStart w:id="48" w:name="_Toc149720812"/>
      <w:bookmarkStart w:id="49" w:name="_Toc164229360"/>
      <w:bookmarkStart w:id="50" w:name="_Toc151193689"/>
      <w:bookmarkStart w:id="51" w:name="_Toc150774619"/>
      <w:bookmarkStart w:id="52" w:name="_Toc150480757"/>
      <w:bookmarkStart w:id="53" w:name="_Toc127161433"/>
      <w:bookmarkStart w:id="54" w:name="_Toc520356144"/>
      <w:bookmarkStart w:id="55" w:name="_Toc127151720"/>
      <w:bookmarkStart w:id="56" w:name="_Toc151193907"/>
      <w:bookmarkStart w:id="57" w:name="_Toc195842884"/>
      <w:bookmarkStart w:id="58" w:name="_Toc226337215"/>
      <w:bookmarkStart w:id="59" w:name="_Toc226965792"/>
      <w:bookmarkStart w:id="60" w:name="_Toc164351613"/>
      <w:bookmarkStart w:id="61" w:name="_Toc151190146"/>
      <w:bookmarkStart w:id="62" w:name="_Toc226309763"/>
      <w:bookmarkStart w:id="63" w:name="_Toc226965709"/>
      <w:bookmarkStart w:id="64" w:name="_Toc150509270"/>
      <w:bookmarkStart w:id="65" w:name="_Toc151193617"/>
      <w:bookmarkStart w:id="66" w:name="_Toc151193761"/>
      <w:bookmarkStart w:id="67" w:name="_Toc151193833"/>
      <w:bookmarkStart w:id="68" w:name="_Toc150774724"/>
      <w:bookmarkStart w:id="69" w:name="_Toc164608633"/>
      <w:r>
        <w:rPr>
          <w:rFonts w:hint="eastAsia" w:ascii="宋体" w:hAnsi="宋体"/>
          <w:b/>
          <w:bCs/>
          <w:color w:val="auto"/>
          <w:sz w:val="28"/>
          <w:szCs w:val="28"/>
          <w:highlight w:val="none"/>
        </w:rPr>
        <w:t>投标人须知资料表</w:t>
      </w:r>
    </w:p>
    <w:p w14:paraId="7196FC12">
      <w:pPr>
        <w:jc w:val="center"/>
        <w:rPr>
          <w:b/>
          <w:color w:val="auto"/>
          <w:sz w:val="28"/>
          <w:szCs w:val="28"/>
          <w:highlight w:val="none"/>
        </w:rPr>
      </w:pPr>
    </w:p>
    <w:p w14:paraId="6E7D381E">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本表是对投标人须知的具体补充和修改，如有矛盾，均以本资料表为准。</w:t>
      </w:r>
    </w:p>
    <w:p w14:paraId="1042ED7E">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标记“■”的选项意为适用于本项目，标记“□”的选项意为不适用于本项目。</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2201D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05F239A3">
            <w:pPr>
              <w:jc w:val="center"/>
              <w:rPr>
                <w:b/>
                <w:bCs/>
                <w:color w:val="auto"/>
                <w:sz w:val="24"/>
                <w:highlight w:val="none"/>
              </w:rPr>
            </w:pPr>
            <w:r>
              <w:rPr>
                <w:b/>
                <w:color w:val="auto"/>
                <w:sz w:val="24"/>
                <w:highlight w:val="none"/>
              </w:rPr>
              <w:t>条款号</w:t>
            </w:r>
          </w:p>
        </w:tc>
        <w:tc>
          <w:tcPr>
            <w:tcW w:w="1701" w:type="dxa"/>
            <w:vAlign w:val="center"/>
          </w:tcPr>
          <w:p w14:paraId="1A9FC34A">
            <w:pPr>
              <w:jc w:val="center"/>
              <w:rPr>
                <w:b/>
                <w:bCs/>
                <w:color w:val="auto"/>
                <w:sz w:val="24"/>
                <w:highlight w:val="none"/>
              </w:rPr>
            </w:pPr>
            <w:r>
              <w:rPr>
                <w:b/>
                <w:bCs/>
                <w:color w:val="auto"/>
                <w:sz w:val="24"/>
                <w:highlight w:val="none"/>
              </w:rPr>
              <w:t>条目</w:t>
            </w:r>
          </w:p>
        </w:tc>
        <w:tc>
          <w:tcPr>
            <w:tcW w:w="7540" w:type="dxa"/>
            <w:vAlign w:val="center"/>
          </w:tcPr>
          <w:p w14:paraId="72A7EAFC">
            <w:pPr>
              <w:jc w:val="center"/>
              <w:rPr>
                <w:b/>
                <w:bCs/>
                <w:color w:val="auto"/>
                <w:sz w:val="24"/>
                <w:highlight w:val="none"/>
              </w:rPr>
            </w:pPr>
            <w:r>
              <w:rPr>
                <w:b/>
                <w:bCs/>
                <w:color w:val="auto"/>
                <w:sz w:val="24"/>
                <w:highlight w:val="none"/>
              </w:rPr>
              <w:t>内容</w:t>
            </w:r>
          </w:p>
        </w:tc>
      </w:tr>
      <w:tr w14:paraId="70237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8" w:hRule="atLeast"/>
          <w:jc w:val="center"/>
        </w:trPr>
        <w:tc>
          <w:tcPr>
            <w:tcW w:w="988" w:type="dxa"/>
            <w:vAlign w:val="center"/>
          </w:tcPr>
          <w:p w14:paraId="102869A0">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2.2</w:t>
            </w:r>
          </w:p>
        </w:tc>
        <w:tc>
          <w:tcPr>
            <w:tcW w:w="1701" w:type="dxa"/>
            <w:vAlign w:val="center"/>
          </w:tcPr>
          <w:p w14:paraId="2F8F4597">
            <w:pPr>
              <w:jc w:val="center"/>
              <w:rPr>
                <w:color w:val="auto"/>
                <w:sz w:val="24"/>
                <w:highlight w:val="none"/>
              </w:rPr>
            </w:pPr>
            <w:r>
              <w:rPr>
                <w:color w:val="auto"/>
                <w:sz w:val="24"/>
                <w:highlight w:val="none"/>
              </w:rPr>
              <w:t>项目属性</w:t>
            </w:r>
          </w:p>
        </w:tc>
        <w:tc>
          <w:tcPr>
            <w:tcW w:w="7540" w:type="dxa"/>
            <w:vAlign w:val="center"/>
          </w:tcPr>
          <w:p w14:paraId="7B2FAD63">
            <w:pPr>
              <w:jc w:val="left"/>
              <w:rPr>
                <w:rFonts w:ascii="宋体" w:hAnsi="宋体" w:cs="宋体"/>
                <w:color w:val="auto"/>
                <w:sz w:val="24"/>
                <w:highlight w:val="none"/>
              </w:rPr>
            </w:pPr>
            <w:r>
              <w:rPr>
                <w:rFonts w:hint="eastAsia" w:ascii="宋体" w:hAnsi="宋体" w:cs="宋体"/>
                <w:color w:val="auto"/>
                <w:sz w:val="24"/>
                <w:highlight w:val="none"/>
              </w:rPr>
              <w:t>项目属性：</w:t>
            </w:r>
          </w:p>
          <w:p w14:paraId="0B344293">
            <w:pPr>
              <w:jc w:val="left"/>
              <w:rPr>
                <w:rFonts w:ascii="宋体" w:hAnsi="宋体" w:cs="宋体"/>
                <w:color w:val="auto"/>
                <w:sz w:val="24"/>
                <w:highlight w:val="none"/>
              </w:rPr>
            </w:pPr>
            <w:r>
              <w:rPr>
                <w:rFonts w:hint="eastAsia" w:ascii="宋体" w:hAnsi="宋体" w:cs="宋体"/>
                <w:color w:val="auto"/>
                <w:sz w:val="24"/>
                <w:highlight w:val="none"/>
              </w:rPr>
              <w:t>■服务</w:t>
            </w:r>
          </w:p>
          <w:p w14:paraId="16F34056">
            <w:pPr>
              <w:jc w:val="left"/>
              <w:rPr>
                <w:rFonts w:ascii="宋体" w:hAnsi="宋体" w:cs="宋体"/>
                <w:color w:val="auto"/>
                <w:sz w:val="24"/>
                <w:highlight w:val="none"/>
              </w:rPr>
            </w:pPr>
            <w:r>
              <w:rPr>
                <w:rFonts w:hint="eastAsia" w:ascii="宋体" w:hAnsi="宋体" w:cs="宋体"/>
                <w:color w:val="auto"/>
                <w:sz w:val="24"/>
                <w:highlight w:val="none"/>
              </w:rPr>
              <w:t>□货物</w:t>
            </w:r>
          </w:p>
        </w:tc>
      </w:tr>
      <w:tr w14:paraId="0A14E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988" w:type="dxa"/>
            <w:vMerge w:val="restart"/>
            <w:vAlign w:val="center"/>
          </w:tcPr>
          <w:p w14:paraId="01BCE3FA">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3.1</w:t>
            </w:r>
          </w:p>
        </w:tc>
        <w:tc>
          <w:tcPr>
            <w:tcW w:w="1701" w:type="dxa"/>
            <w:vAlign w:val="center"/>
          </w:tcPr>
          <w:p w14:paraId="2370B3E1">
            <w:pPr>
              <w:jc w:val="center"/>
              <w:rPr>
                <w:color w:val="auto"/>
                <w:sz w:val="24"/>
                <w:highlight w:val="none"/>
              </w:rPr>
            </w:pPr>
            <w:r>
              <w:rPr>
                <w:color w:val="auto"/>
                <w:sz w:val="24"/>
                <w:highlight w:val="none"/>
              </w:rPr>
              <w:t>现场考察</w:t>
            </w:r>
          </w:p>
        </w:tc>
        <w:tc>
          <w:tcPr>
            <w:tcW w:w="7540" w:type="dxa"/>
            <w:vAlign w:val="center"/>
          </w:tcPr>
          <w:p w14:paraId="79DD7758">
            <w:pPr>
              <w:jc w:val="left"/>
              <w:rPr>
                <w:rFonts w:ascii="宋体" w:hAnsi="宋体" w:cs="宋体"/>
                <w:color w:val="auto"/>
                <w:sz w:val="24"/>
                <w:highlight w:val="none"/>
              </w:rPr>
            </w:pPr>
            <w:r>
              <w:rPr>
                <w:rFonts w:hint="eastAsia" w:ascii="宋体" w:hAnsi="宋体" w:cs="宋体"/>
                <w:color w:val="auto"/>
                <w:sz w:val="24"/>
                <w:highlight w:val="none"/>
              </w:rPr>
              <w:t>■不组织</w:t>
            </w:r>
          </w:p>
          <w:p w14:paraId="2C5ADE6D">
            <w:pPr>
              <w:jc w:val="left"/>
              <w:rPr>
                <w:rFonts w:ascii="宋体" w:hAnsi="宋体" w:cs="宋体"/>
                <w:bCs/>
                <w:color w:val="auto"/>
                <w:sz w:val="24"/>
                <w:highlight w:val="none"/>
              </w:rPr>
            </w:pPr>
            <w:r>
              <w:rPr>
                <w:rFonts w:hint="eastAsia" w:ascii="宋体" w:hAnsi="宋体" w:cs="宋体"/>
                <w:color w:val="auto"/>
                <w:sz w:val="24"/>
                <w:highlight w:val="none"/>
              </w:rPr>
              <w:t>□组织，考察时间：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月</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日</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分</w:t>
            </w:r>
          </w:p>
          <w:p w14:paraId="61D50E20">
            <w:pPr>
              <w:pStyle w:val="24"/>
              <w:adjustRightInd w:val="0"/>
              <w:snapToGrid w:val="0"/>
              <w:rPr>
                <w:rFonts w:hint="default" w:hAnsi="宋体" w:cs="宋体"/>
                <w:color w:val="auto"/>
                <w:sz w:val="24"/>
                <w:szCs w:val="24"/>
                <w:highlight w:val="none"/>
              </w:rPr>
            </w:pPr>
            <w:r>
              <w:rPr>
                <w:rFonts w:hAnsi="宋体" w:cs="宋体"/>
                <w:color w:val="auto"/>
                <w:sz w:val="24"/>
                <w:szCs w:val="24"/>
                <w:highlight w:val="none"/>
              </w:rPr>
              <w:t>考察地点：</w:t>
            </w:r>
            <w:r>
              <w:rPr>
                <w:rFonts w:hAnsi="宋体" w:cs="宋体"/>
                <w:color w:val="auto"/>
                <w:sz w:val="24"/>
                <w:szCs w:val="24"/>
                <w:highlight w:val="none"/>
                <w:u w:val="single"/>
              </w:rPr>
              <w:t xml:space="preserve">  /  </w:t>
            </w:r>
            <w:r>
              <w:rPr>
                <w:rFonts w:hAnsi="宋体" w:cs="宋体"/>
                <w:color w:val="auto"/>
                <w:sz w:val="24"/>
                <w:szCs w:val="24"/>
                <w:highlight w:val="none"/>
              </w:rPr>
              <w:t>。</w:t>
            </w:r>
          </w:p>
        </w:tc>
      </w:tr>
      <w:tr w14:paraId="50476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988" w:type="dxa"/>
            <w:vMerge w:val="continue"/>
            <w:vAlign w:val="center"/>
          </w:tcPr>
          <w:p w14:paraId="5E70D6DA">
            <w:pPr>
              <w:pStyle w:val="24"/>
              <w:adjustRightInd w:val="0"/>
              <w:snapToGrid w:val="0"/>
              <w:jc w:val="center"/>
              <w:rPr>
                <w:rFonts w:hint="default" w:ascii="Times New Roman" w:hAnsi="Times New Roman"/>
                <w:color w:val="auto"/>
                <w:sz w:val="24"/>
                <w:szCs w:val="24"/>
                <w:highlight w:val="none"/>
              </w:rPr>
            </w:pPr>
          </w:p>
        </w:tc>
        <w:tc>
          <w:tcPr>
            <w:tcW w:w="1701" w:type="dxa"/>
            <w:vAlign w:val="center"/>
          </w:tcPr>
          <w:p w14:paraId="28D4C45B">
            <w:pPr>
              <w:jc w:val="center"/>
              <w:rPr>
                <w:color w:val="auto"/>
                <w:sz w:val="24"/>
                <w:highlight w:val="none"/>
              </w:rPr>
            </w:pPr>
            <w:r>
              <w:rPr>
                <w:color w:val="auto"/>
                <w:sz w:val="24"/>
                <w:highlight w:val="none"/>
              </w:rPr>
              <w:t>开标前答疑会</w:t>
            </w:r>
          </w:p>
        </w:tc>
        <w:tc>
          <w:tcPr>
            <w:tcW w:w="7540" w:type="dxa"/>
            <w:vAlign w:val="center"/>
          </w:tcPr>
          <w:p w14:paraId="021B3BE4">
            <w:pPr>
              <w:jc w:val="left"/>
              <w:rPr>
                <w:rFonts w:ascii="宋体" w:hAnsi="宋体" w:cs="宋体"/>
                <w:color w:val="auto"/>
                <w:sz w:val="24"/>
                <w:highlight w:val="none"/>
              </w:rPr>
            </w:pPr>
            <w:r>
              <w:rPr>
                <w:rFonts w:hint="eastAsia" w:ascii="宋体" w:hAnsi="宋体" w:cs="宋体"/>
                <w:color w:val="auto"/>
                <w:sz w:val="24"/>
                <w:highlight w:val="none"/>
              </w:rPr>
              <w:t>■不召开</w:t>
            </w:r>
          </w:p>
          <w:p w14:paraId="02C03D12">
            <w:pPr>
              <w:jc w:val="left"/>
              <w:rPr>
                <w:rFonts w:ascii="宋体" w:hAnsi="宋体" w:cs="宋体"/>
                <w:color w:val="auto"/>
                <w:sz w:val="24"/>
                <w:highlight w:val="none"/>
              </w:rPr>
            </w:pPr>
            <w:r>
              <w:rPr>
                <w:rFonts w:hint="eastAsia" w:ascii="宋体" w:hAnsi="宋体" w:cs="宋体"/>
                <w:color w:val="auto"/>
                <w:sz w:val="24"/>
                <w:highlight w:val="none"/>
              </w:rPr>
              <w:t>□召开，召开时间：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月</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日</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分</w:t>
            </w:r>
          </w:p>
          <w:p w14:paraId="5A851202">
            <w:pPr>
              <w:jc w:val="left"/>
              <w:rPr>
                <w:rFonts w:ascii="宋体" w:hAnsi="宋体" w:cs="宋体"/>
                <w:color w:val="auto"/>
                <w:sz w:val="24"/>
                <w:highlight w:val="none"/>
              </w:rPr>
            </w:pPr>
            <w:r>
              <w:rPr>
                <w:rFonts w:hint="eastAsia" w:ascii="宋体" w:hAnsi="宋体" w:cs="宋体"/>
                <w:color w:val="auto"/>
                <w:sz w:val="24"/>
                <w:highlight w:val="none"/>
              </w:rPr>
              <w:t>召开地点：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tc>
      </w:tr>
      <w:tr w14:paraId="34FA1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88" w:type="dxa"/>
            <w:vAlign w:val="center"/>
          </w:tcPr>
          <w:p w14:paraId="7A5B1AA1">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5.2.5</w:t>
            </w:r>
          </w:p>
        </w:tc>
        <w:tc>
          <w:tcPr>
            <w:tcW w:w="1701" w:type="dxa"/>
            <w:vAlign w:val="center"/>
          </w:tcPr>
          <w:p w14:paraId="5B2B74B3">
            <w:pPr>
              <w:jc w:val="center"/>
              <w:rPr>
                <w:color w:val="auto"/>
                <w:sz w:val="24"/>
                <w:highlight w:val="none"/>
              </w:rPr>
            </w:pPr>
            <w:r>
              <w:rPr>
                <w:color w:val="auto"/>
                <w:sz w:val="24"/>
                <w:highlight w:val="none"/>
              </w:rPr>
              <w:t>标的所属行业</w:t>
            </w:r>
          </w:p>
        </w:tc>
        <w:tc>
          <w:tcPr>
            <w:tcW w:w="7540" w:type="dxa"/>
            <w:vAlign w:val="center"/>
          </w:tcPr>
          <w:p w14:paraId="707BDE4B">
            <w:pPr>
              <w:widowControl/>
              <w:jc w:val="left"/>
              <w:rPr>
                <w:rFonts w:hint="default" w:ascii="宋体" w:hAnsi="宋体" w:cs="宋体"/>
                <w:color w:val="auto"/>
                <w:sz w:val="24"/>
                <w:highlight w:val="none"/>
                <w:lang w:val="en-US"/>
              </w:rPr>
            </w:pPr>
            <w:r>
              <w:rPr>
                <w:rFonts w:hint="eastAsia" w:ascii="宋体" w:hAnsi="宋体" w:cs="宋体"/>
                <w:color w:val="auto"/>
                <w:sz w:val="24"/>
                <w:highlight w:val="none"/>
              </w:rPr>
              <w:t>本项目采购标的对应的中小企业划分标准所属行业：</w:t>
            </w:r>
            <w:r>
              <w:rPr>
                <w:rFonts w:hint="eastAsia" w:ascii="宋体" w:hAnsi="宋体" w:cs="宋体"/>
                <w:b/>
                <w:bCs/>
                <w:color w:val="auto"/>
                <w:kern w:val="0"/>
                <w:sz w:val="24"/>
                <w:highlight w:val="none"/>
                <w:u w:val="single"/>
                <w:lang w:val="en-US" w:eastAsia="zh-CN" w:bidi="ar"/>
              </w:rPr>
              <w:t xml:space="preserve"> 其他未列明行业 </w:t>
            </w:r>
          </w:p>
        </w:tc>
      </w:tr>
      <w:tr w14:paraId="31A2D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8" w:hRule="atLeast"/>
          <w:jc w:val="center"/>
        </w:trPr>
        <w:tc>
          <w:tcPr>
            <w:tcW w:w="988" w:type="dxa"/>
            <w:vAlign w:val="center"/>
          </w:tcPr>
          <w:p w14:paraId="2723B625">
            <w:pPr>
              <w:pStyle w:val="24"/>
              <w:adjustRightInd w:val="0"/>
              <w:snapToGrid w:val="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w:t>
            </w:r>
            <w:r>
              <w:rPr>
                <w:rFonts w:hint="default" w:ascii="Times New Roman" w:hAnsi="Times New Roman"/>
                <w:color w:val="auto"/>
                <w:sz w:val="24"/>
                <w:szCs w:val="24"/>
                <w:highlight w:val="none"/>
              </w:rPr>
              <w:t>1.2</w:t>
            </w:r>
          </w:p>
        </w:tc>
        <w:tc>
          <w:tcPr>
            <w:tcW w:w="1701" w:type="dxa"/>
            <w:vAlign w:val="center"/>
          </w:tcPr>
          <w:p w14:paraId="65A40066">
            <w:pPr>
              <w:jc w:val="center"/>
              <w:rPr>
                <w:color w:val="auto"/>
                <w:sz w:val="24"/>
                <w:highlight w:val="none"/>
              </w:rPr>
            </w:pPr>
            <w:r>
              <w:rPr>
                <w:rFonts w:hint="eastAsia"/>
                <w:color w:val="auto"/>
                <w:sz w:val="24"/>
                <w:highlight w:val="none"/>
              </w:rPr>
              <w:t>投标报价</w:t>
            </w:r>
          </w:p>
        </w:tc>
        <w:tc>
          <w:tcPr>
            <w:tcW w:w="7540" w:type="dxa"/>
            <w:vAlign w:val="center"/>
          </w:tcPr>
          <w:p w14:paraId="7C7980D0">
            <w:pPr>
              <w:jc w:val="left"/>
              <w:rPr>
                <w:rFonts w:ascii="宋体" w:hAnsi="宋体" w:cs="宋体"/>
                <w:color w:val="auto"/>
                <w:sz w:val="24"/>
                <w:highlight w:val="none"/>
              </w:rPr>
            </w:pPr>
            <w:r>
              <w:rPr>
                <w:rFonts w:hint="eastAsia" w:ascii="宋体" w:hAnsi="宋体" w:cs="宋体"/>
                <w:color w:val="auto"/>
                <w:sz w:val="24"/>
                <w:highlight w:val="none"/>
              </w:rPr>
              <w:t>投标报价的特殊规定：</w:t>
            </w:r>
          </w:p>
          <w:p w14:paraId="4B9A5A1A">
            <w:pPr>
              <w:jc w:val="left"/>
              <w:rPr>
                <w:rFonts w:ascii="宋体" w:hAnsi="宋体" w:cs="宋体"/>
                <w:color w:val="auto"/>
                <w:sz w:val="24"/>
                <w:highlight w:val="none"/>
              </w:rPr>
            </w:pPr>
            <w:r>
              <w:rPr>
                <w:rFonts w:hint="eastAsia" w:ascii="宋体" w:hAnsi="宋体" w:cs="宋体"/>
                <w:color w:val="auto"/>
                <w:sz w:val="24"/>
                <w:highlight w:val="none"/>
              </w:rPr>
              <w:t>■无</w:t>
            </w:r>
          </w:p>
          <w:p w14:paraId="5CB48AC7">
            <w:pPr>
              <w:jc w:val="left"/>
              <w:rPr>
                <w:rFonts w:ascii="宋体" w:hAnsi="宋体" w:cs="宋体"/>
                <w:color w:val="auto"/>
                <w:sz w:val="24"/>
                <w:highlight w:val="none"/>
              </w:rPr>
            </w:pPr>
            <w:r>
              <w:rPr>
                <w:rFonts w:hint="eastAsia" w:ascii="宋体" w:hAnsi="宋体" w:cs="宋体"/>
                <w:color w:val="auto"/>
                <w:sz w:val="24"/>
                <w:highlight w:val="none"/>
              </w:rPr>
              <w:t>□有，具体情形：</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tc>
      </w:tr>
      <w:tr w14:paraId="683FE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88" w:type="dxa"/>
            <w:vAlign w:val="center"/>
          </w:tcPr>
          <w:p w14:paraId="6A1CC753">
            <w:pPr>
              <w:pStyle w:val="24"/>
              <w:adjustRightInd w:val="0"/>
              <w:snapToGrid w:val="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12</w:t>
            </w:r>
          </w:p>
        </w:tc>
        <w:tc>
          <w:tcPr>
            <w:tcW w:w="1701" w:type="dxa"/>
            <w:vAlign w:val="center"/>
          </w:tcPr>
          <w:p w14:paraId="44CC78C1">
            <w:pPr>
              <w:jc w:val="center"/>
              <w:rPr>
                <w:color w:val="auto"/>
                <w:sz w:val="24"/>
                <w:highlight w:val="none"/>
              </w:rPr>
            </w:pPr>
            <w:r>
              <w:rPr>
                <w:rFonts w:hint="eastAsia"/>
                <w:color w:val="auto"/>
                <w:sz w:val="24"/>
                <w:highlight w:val="none"/>
              </w:rPr>
              <w:t>投标保证金</w:t>
            </w:r>
          </w:p>
        </w:tc>
        <w:tc>
          <w:tcPr>
            <w:tcW w:w="7540" w:type="dxa"/>
            <w:vAlign w:val="center"/>
          </w:tcPr>
          <w:p w14:paraId="4AF2EBE9">
            <w:pPr>
              <w:jc w:val="left"/>
              <w:rPr>
                <w:rFonts w:ascii="宋体" w:hAnsi="宋体" w:cs="宋体"/>
                <w:color w:val="auto"/>
                <w:sz w:val="24"/>
                <w:highlight w:val="none"/>
              </w:rPr>
            </w:pPr>
            <w:r>
              <w:rPr>
                <w:rFonts w:hint="eastAsia" w:ascii="宋体" w:hAnsi="宋体" w:cs="宋体"/>
                <w:color w:val="auto"/>
                <w:sz w:val="24"/>
                <w:highlight w:val="none"/>
              </w:rPr>
              <w:t>免收</w:t>
            </w:r>
          </w:p>
        </w:tc>
      </w:tr>
      <w:tr w14:paraId="6450E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88" w:type="dxa"/>
            <w:vAlign w:val="center"/>
          </w:tcPr>
          <w:p w14:paraId="1B9157A6">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13.1</w:t>
            </w:r>
          </w:p>
        </w:tc>
        <w:tc>
          <w:tcPr>
            <w:tcW w:w="1701" w:type="dxa"/>
            <w:vAlign w:val="center"/>
          </w:tcPr>
          <w:p w14:paraId="04E98525">
            <w:pPr>
              <w:jc w:val="center"/>
              <w:rPr>
                <w:color w:val="auto"/>
                <w:sz w:val="24"/>
                <w:highlight w:val="none"/>
              </w:rPr>
            </w:pPr>
            <w:r>
              <w:rPr>
                <w:color w:val="auto"/>
                <w:sz w:val="24"/>
                <w:highlight w:val="none"/>
              </w:rPr>
              <w:t>投标有效期</w:t>
            </w:r>
          </w:p>
        </w:tc>
        <w:tc>
          <w:tcPr>
            <w:tcW w:w="7540" w:type="dxa"/>
            <w:vAlign w:val="center"/>
          </w:tcPr>
          <w:p w14:paraId="520EE00F">
            <w:pPr>
              <w:jc w:val="left"/>
              <w:rPr>
                <w:rFonts w:ascii="宋体" w:hAnsi="宋体" w:cs="宋体"/>
                <w:color w:val="auto"/>
                <w:sz w:val="24"/>
                <w:highlight w:val="none"/>
              </w:rPr>
            </w:pPr>
            <w:r>
              <w:rPr>
                <w:rFonts w:hint="eastAsia" w:ascii="宋体" w:hAnsi="宋体" w:cs="宋体"/>
                <w:color w:val="auto"/>
                <w:sz w:val="24"/>
                <w:highlight w:val="none"/>
              </w:rPr>
              <w:t>自提交投标文件的截止之日起算</w:t>
            </w:r>
            <w:r>
              <w:rPr>
                <w:rFonts w:hint="eastAsia" w:ascii="宋体" w:hAnsi="宋体" w:cs="宋体"/>
                <w:color w:val="auto"/>
                <w:sz w:val="24"/>
                <w:highlight w:val="none"/>
                <w:u w:val="single"/>
              </w:rPr>
              <w:t xml:space="preserve"> 60 </w:t>
            </w:r>
            <w:r>
              <w:rPr>
                <w:rFonts w:hint="eastAsia" w:ascii="宋体" w:hAnsi="宋体" w:cs="宋体"/>
                <w:color w:val="auto"/>
                <w:sz w:val="24"/>
                <w:highlight w:val="none"/>
              </w:rPr>
              <w:t>日历天。</w:t>
            </w:r>
          </w:p>
        </w:tc>
      </w:tr>
      <w:tr w14:paraId="2A1F4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7" w:hRule="atLeast"/>
          <w:jc w:val="center"/>
        </w:trPr>
        <w:tc>
          <w:tcPr>
            <w:tcW w:w="988" w:type="dxa"/>
            <w:vAlign w:val="center"/>
          </w:tcPr>
          <w:p w14:paraId="4D9B9CBB">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25.5</w:t>
            </w:r>
          </w:p>
        </w:tc>
        <w:tc>
          <w:tcPr>
            <w:tcW w:w="1701" w:type="dxa"/>
            <w:vAlign w:val="center"/>
          </w:tcPr>
          <w:p w14:paraId="6FE136CE">
            <w:pPr>
              <w:jc w:val="center"/>
              <w:rPr>
                <w:color w:val="auto"/>
                <w:sz w:val="24"/>
                <w:highlight w:val="none"/>
              </w:rPr>
            </w:pPr>
            <w:r>
              <w:rPr>
                <w:color w:val="auto"/>
                <w:sz w:val="24"/>
                <w:highlight w:val="none"/>
              </w:rPr>
              <w:t>分包</w:t>
            </w:r>
          </w:p>
        </w:tc>
        <w:tc>
          <w:tcPr>
            <w:tcW w:w="7540" w:type="dxa"/>
            <w:vAlign w:val="center"/>
          </w:tcPr>
          <w:p w14:paraId="051D741C">
            <w:pPr>
              <w:jc w:val="left"/>
              <w:rPr>
                <w:rFonts w:ascii="宋体" w:hAnsi="宋体" w:cs="宋体"/>
                <w:color w:val="auto"/>
                <w:sz w:val="24"/>
                <w:highlight w:val="none"/>
              </w:rPr>
            </w:pPr>
            <w:r>
              <w:rPr>
                <w:rFonts w:hint="eastAsia" w:ascii="宋体" w:hAnsi="宋体" w:cs="宋体"/>
                <w:color w:val="auto"/>
                <w:sz w:val="24"/>
                <w:highlight w:val="none"/>
              </w:rPr>
              <w:t xml:space="preserve">本项目的非主体、非关键性工作是否允许分包： </w:t>
            </w:r>
          </w:p>
          <w:p w14:paraId="42FDB0CC">
            <w:pPr>
              <w:jc w:val="left"/>
              <w:rPr>
                <w:rFonts w:ascii="宋体" w:hAnsi="宋体" w:cs="宋体"/>
                <w:color w:val="auto"/>
                <w:sz w:val="24"/>
                <w:highlight w:val="none"/>
              </w:rPr>
            </w:pPr>
            <w:r>
              <w:rPr>
                <w:rFonts w:hint="eastAsia" w:ascii="宋体" w:hAnsi="宋体" w:cs="宋体"/>
                <w:color w:val="auto"/>
                <w:sz w:val="24"/>
                <w:highlight w:val="none"/>
              </w:rPr>
              <w:t>■不允许</w:t>
            </w:r>
          </w:p>
          <w:p w14:paraId="546866DB">
            <w:pPr>
              <w:jc w:val="left"/>
              <w:rPr>
                <w:rFonts w:ascii="宋体" w:hAnsi="宋体" w:cs="宋体"/>
                <w:color w:val="auto"/>
                <w:sz w:val="24"/>
                <w:highlight w:val="none"/>
              </w:rPr>
            </w:pPr>
            <w:r>
              <w:rPr>
                <w:rFonts w:hint="eastAsia" w:ascii="宋体" w:hAnsi="宋体" w:cs="宋体"/>
                <w:color w:val="auto"/>
                <w:sz w:val="24"/>
                <w:highlight w:val="none"/>
              </w:rPr>
              <w:t>□允许，具体要求：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5B036D34">
            <w:pPr>
              <w:jc w:val="left"/>
              <w:rPr>
                <w:rFonts w:ascii="宋体" w:hAnsi="宋体" w:cs="宋体"/>
                <w:color w:val="auto"/>
                <w:sz w:val="24"/>
                <w:highlight w:val="none"/>
              </w:rPr>
            </w:pPr>
            <w:r>
              <w:rPr>
                <w:rFonts w:hint="eastAsia" w:ascii="宋体" w:hAnsi="宋体" w:cs="宋体"/>
                <w:color w:val="auto"/>
                <w:sz w:val="24"/>
                <w:highlight w:val="none"/>
              </w:rPr>
              <w:t>（1）可以分包履行的具体内容：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45AE0190">
            <w:pPr>
              <w:jc w:val="left"/>
              <w:rPr>
                <w:rFonts w:ascii="宋体" w:hAnsi="宋体" w:cs="宋体"/>
                <w:color w:val="auto"/>
                <w:sz w:val="24"/>
                <w:highlight w:val="none"/>
              </w:rPr>
            </w:pPr>
            <w:r>
              <w:rPr>
                <w:rFonts w:hint="eastAsia" w:ascii="宋体" w:hAnsi="宋体" w:cs="宋体"/>
                <w:color w:val="auto"/>
                <w:sz w:val="24"/>
                <w:highlight w:val="none"/>
              </w:rPr>
              <w:t>（2）允许分包的金额或者比例：</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49BC697A">
            <w:pPr>
              <w:jc w:val="left"/>
              <w:rPr>
                <w:rFonts w:ascii="宋体" w:hAnsi="宋体" w:cs="宋体"/>
                <w:color w:val="auto"/>
                <w:sz w:val="24"/>
                <w:highlight w:val="none"/>
              </w:rPr>
            </w:pPr>
            <w:r>
              <w:rPr>
                <w:rFonts w:hint="eastAsia" w:ascii="宋体" w:hAnsi="宋体" w:cs="宋体"/>
                <w:color w:val="auto"/>
                <w:sz w:val="24"/>
                <w:highlight w:val="none"/>
              </w:rPr>
              <w:t>（3）其他要求：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tc>
      </w:tr>
      <w:tr w14:paraId="03D07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2" w:hRule="atLeast"/>
          <w:jc w:val="center"/>
        </w:trPr>
        <w:tc>
          <w:tcPr>
            <w:tcW w:w="988" w:type="dxa"/>
            <w:vAlign w:val="center"/>
          </w:tcPr>
          <w:p w14:paraId="39058D71">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26.1.1</w:t>
            </w:r>
          </w:p>
        </w:tc>
        <w:tc>
          <w:tcPr>
            <w:tcW w:w="1701" w:type="dxa"/>
            <w:vAlign w:val="center"/>
          </w:tcPr>
          <w:p w14:paraId="2B2D3DBB">
            <w:pPr>
              <w:jc w:val="center"/>
              <w:rPr>
                <w:color w:val="auto"/>
                <w:sz w:val="24"/>
                <w:highlight w:val="none"/>
              </w:rPr>
            </w:pPr>
            <w:r>
              <w:rPr>
                <w:color w:val="auto"/>
                <w:sz w:val="24"/>
                <w:highlight w:val="none"/>
              </w:rPr>
              <w:t>询问</w:t>
            </w:r>
          </w:p>
        </w:tc>
        <w:tc>
          <w:tcPr>
            <w:tcW w:w="7540" w:type="dxa"/>
            <w:vAlign w:val="center"/>
          </w:tcPr>
          <w:p w14:paraId="46548D12">
            <w:pPr>
              <w:jc w:val="left"/>
              <w:rPr>
                <w:rFonts w:ascii="宋体" w:hAnsi="宋体" w:cs="宋体"/>
                <w:color w:val="auto"/>
                <w:sz w:val="24"/>
                <w:highlight w:val="none"/>
              </w:rPr>
            </w:pPr>
            <w:r>
              <w:rPr>
                <w:rFonts w:hint="eastAsia" w:ascii="宋体" w:hAnsi="宋体" w:cs="宋体"/>
                <w:color w:val="auto"/>
                <w:sz w:val="24"/>
                <w:highlight w:val="none"/>
              </w:rPr>
              <w:t>询问送达形式：</w:t>
            </w:r>
            <w:r>
              <w:rPr>
                <w:rFonts w:hint="eastAsia" w:ascii="宋体" w:hAnsi="宋体" w:cs="宋体"/>
                <w:color w:val="auto"/>
                <w:sz w:val="24"/>
                <w:highlight w:val="none"/>
                <w:u w:val="single"/>
              </w:rPr>
              <w:t xml:space="preserve"> 于</w:t>
            </w:r>
            <w:r>
              <w:rPr>
                <w:rFonts w:hint="eastAsia" w:ascii="宋体" w:hAnsi="宋体" w:cs="宋体"/>
                <w:color w:val="auto"/>
                <w:sz w:val="24"/>
                <w:highlight w:val="none"/>
                <w:u w:val="single"/>
                <w:lang w:eastAsia="zh-CN"/>
              </w:rPr>
              <w:t>202</w:t>
            </w:r>
            <w:r>
              <w:rPr>
                <w:rFonts w:hint="eastAsia" w:ascii="宋体" w:hAnsi="宋体" w:cs="宋体"/>
                <w:color w:val="auto"/>
                <w:sz w:val="24"/>
                <w:highlight w:val="none"/>
                <w:u w:val="single"/>
                <w:lang w:val="en-US" w:eastAsia="zh-CN"/>
              </w:rPr>
              <w:t>6</w:t>
            </w:r>
            <w:r>
              <w:rPr>
                <w:rFonts w:hint="eastAsia" w:ascii="宋体" w:hAnsi="宋体" w:cs="宋体"/>
                <w:color w:val="auto"/>
                <w:sz w:val="24"/>
                <w:highlight w:val="none"/>
                <w:u w:val="single"/>
              </w:rPr>
              <w:t>年</w:t>
            </w:r>
            <w:r>
              <w:rPr>
                <w:rFonts w:hint="eastAsia" w:ascii="宋体" w:hAnsi="宋体" w:cs="宋体"/>
                <w:color w:val="auto"/>
                <w:sz w:val="24"/>
                <w:highlight w:val="none"/>
                <w:u w:val="single"/>
                <w:lang w:val="en-US" w:eastAsia="zh-CN"/>
              </w:rPr>
              <w:t>6</w:t>
            </w:r>
            <w:r>
              <w:rPr>
                <w:rFonts w:hint="eastAsia" w:ascii="宋体" w:hAnsi="宋体" w:cs="宋体"/>
                <w:color w:val="auto"/>
                <w:sz w:val="24"/>
                <w:highlight w:val="none"/>
                <w:u w:val="single"/>
              </w:rPr>
              <w:t>月</w:t>
            </w:r>
            <w:r>
              <w:rPr>
                <w:rFonts w:hint="eastAsia" w:ascii="宋体" w:hAnsi="宋体" w:cs="宋体"/>
                <w:color w:val="auto"/>
                <w:sz w:val="24"/>
                <w:highlight w:val="none"/>
                <w:u w:val="single"/>
                <w:lang w:val="en-US" w:eastAsia="zh-CN"/>
              </w:rPr>
              <w:t>25</w:t>
            </w:r>
            <w:r>
              <w:rPr>
                <w:rFonts w:hint="eastAsia" w:ascii="宋体" w:hAnsi="宋体" w:cs="宋体"/>
                <w:color w:val="auto"/>
                <w:sz w:val="24"/>
                <w:highlight w:val="none"/>
                <w:u w:val="single"/>
              </w:rPr>
              <w:t xml:space="preserve">日11:00（北京时间）前以书面形式递交至江苏尚阳工程管理有限公司 </w:t>
            </w:r>
            <w:r>
              <w:rPr>
                <w:rFonts w:hint="eastAsia" w:ascii="宋体" w:hAnsi="宋体" w:cs="宋体"/>
                <w:color w:val="auto"/>
                <w:sz w:val="24"/>
                <w:highlight w:val="none"/>
              </w:rPr>
              <w:t>。</w:t>
            </w:r>
          </w:p>
        </w:tc>
      </w:tr>
      <w:tr w14:paraId="7E062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0" w:hRule="atLeast"/>
          <w:jc w:val="center"/>
        </w:trPr>
        <w:tc>
          <w:tcPr>
            <w:tcW w:w="988" w:type="dxa"/>
            <w:vAlign w:val="center"/>
          </w:tcPr>
          <w:p w14:paraId="18DAD158">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26.3</w:t>
            </w:r>
          </w:p>
        </w:tc>
        <w:tc>
          <w:tcPr>
            <w:tcW w:w="1701" w:type="dxa"/>
            <w:vAlign w:val="center"/>
          </w:tcPr>
          <w:p w14:paraId="449340D4">
            <w:pPr>
              <w:jc w:val="center"/>
              <w:rPr>
                <w:color w:val="auto"/>
                <w:sz w:val="24"/>
                <w:highlight w:val="none"/>
              </w:rPr>
            </w:pPr>
            <w:r>
              <w:rPr>
                <w:color w:val="auto"/>
                <w:sz w:val="24"/>
                <w:highlight w:val="none"/>
              </w:rPr>
              <w:t>联系方式</w:t>
            </w:r>
          </w:p>
        </w:tc>
        <w:tc>
          <w:tcPr>
            <w:tcW w:w="7540" w:type="dxa"/>
            <w:vAlign w:val="center"/>
          </w:tcPr>
          <w:p w14:paraId="47D4B5DC">
            <w:pPr>
              <w:jc w:val="left"/>
              <w:rPr>
                <w:rFonts w:ascii="宋体" w:hAnsi="宋体" w:cs="宋体"/>
                <w:color w:val="auto"/>
                <w:sz w:val="24"/>
                <w:highlight w:val="none"/>
              </w:rPr>
            </w:pPr>
            <w:r>
              <w:rPr>
                <w:rFonts w:hint="eastAsia" w:ascii="宋体" w:hAnsi="宋体" w:cs="宋体"/>
                <w:color w:val="auto"/>
                <w:sz w:val="24"/>
                <w:highlight w:val="none"/>
              </w:rPr>
              <w:t>接收询问和质疑的联系方式</w:t>
            </w:r>
          </w:p>
          <w:p w14:paraId="19342CF9">
            <w:pPr>
              <w:jc w:val="left"/>
              <w:rPr>
                <w:rFonts w:ascii="宋体" w:hAnsi="宋体" w:cs="宋体"/>
                <w:color w:val="auto"/>
                <w:sz w:val="24"/>
                <w:highlight w:val="none"/>
              </w:rPr>
            </w:pPr>
            <w:r>
              <w:rPr>
                <w:rFonts w:hint="eastAsia" w:ascii="宋体" w:hAnsi="宋体" w:cs="宋体"/>
                <w:color w:val="auto"/>
                <w:sz w:val="24"/>
                <w:highlight w:val="none"/>
              </w:rPr>
              <w:t>联系部门：</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嵇玲</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6311AF67">
            <w:pPr>
              <w:jc w:val="left"/>
              <w:rPr>
                <w:rFonts w:ascii="宋体" w:hAnsi="宋体" w:cs="宋体"/>
                <w:color w:val="auto"/>
                <w:sz w:val="24"/>
                <w:highlight w:val="none"/>
              </w:rPr>
            </w:pPr>
            <w:r>
              <w:rPr>
                <w:rFonts w:hint="eastAsia" w:ascii="宋体" w:hAnsi="宋体" w:cs="宋体"/>
                <w:color w:val="auto"/>
                <w:sz w:val="24"/>
                <w:highlight w:val="none"/>
              </w:rPr>
              <w:t>联系电话：</w:t>
            </w:r>
            <w:r>
              <w:rPr>
                <w:rFonts w:hint="eastAsia" w:ascii="宋体" w:hAnsi="宋体" w:cs="宋体"/>
                <w:color w:val="auto"/>
                <w:sz w:val="24"/>
                <w:highlight w:val="none"/>
                <w:u w:val="single"/>
              </w:rPr>
              <w:t xml:space="preserve">  0519-88818295（800</w:t>
            </w:r>
            <w:r>
              <w:rPr>
                <w:rFonts w:hint="eastAsia" w:ascii="宋体" w:hAnsi="宋体" w:cs="宋体"/>
                <w:color w:val="auto"/>
                <w:sz w:val="24"/>
                <w:highlight w:val="none"/>
                <w:u w:val="single"/>
                <w:lang w:val="en-US" w:eastAsia="zh-CN"/>
              </w:rPr>
              <w:t>0</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5182BC7A">
            <w:pPr>
              <w:jc w:val="left"/>
              <w:rPr>
                <w:rFonts w:ascii="宋体" w:hAnsi="宋体" w:cs="宋体"/>
                <w:color w:val="auto"/>
                <w:sz w:val="24"/>
                <w:highlight w:val="none"/>
              </w:rPr>
            </w:pPr>
            <w:r>
              <w:rPr>
                <w:rFonts w:hint="eastAsia" w:ascii="宋体" w:hAnsi="宋体" w:cs="宋体"/>
                <w:color w:val="auto"/>
                <w:sz w:val="24"/>
                <w:highlight w:val="none"/>
              </w:rPr>
              <w:t>通讯地址：</w:t>
            </w:r>
            <w:r>
              <w:rPr>
                <w:rFonts w:hint="eastAsia" w:ascii="宋体" w:hAnsi="宋体" w:cs="宋体"/>
                <w:color w:val="auto"/>
                <w:sz w:val="24"/>
                <w:highlight w:val="none"/>
                <w:u w:val="single"/>
              </w:rPr>
              <w:t xml:space="preserve">  常州市新北区嵩山路1-301号  </w:t>
            </w:r>
            <w:r>
              <w:rPr>
                <w:rFonts w:hint="eastAsia" w:ascii="宋体" w:hAnsi="宋体" w:cs="宋体"/>
                <w:color w:val="auto"/>
                <w:sz w:val="24"/>
                <w:highlight w:val="none"/>
              </w:rPr>
              <w:t>。</w:t>
            </w:r>
          </w:p>
        </w:tc>
      </w:tr>
      <w:tr w14:paraId="0C0C3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5317892B">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27</w:t>
            </w:r>
          </w:p>
        </w:tc>
        <w:tc>
          <w:tcPr>
            <w:tcW w:w="1701" w:type="dxa"/>
            <w:tcBorders>
              <w:top w:val="single" w:color="auto" w:sz="4" w:space="0"/>
              <w:left w:val="single" w:color="auto" w:sz="4" w:space="0"/>
              <w:bottom w:val="single" w:color="auto" w:sz="4" w:space="0"/>
              <w:right w:val="single" w:color="auto" w:sz="4" w:space="0"/>
            </w:tcBorders>
            <w:vAlign w:val="center"/>
          </w:tcPr>
          <w:p w14:paraId="3853E0C2">
            <w:pPr>
              <w:jc w:val="center"/>
              <w:rPr>
                <w:color w:val="auto"/>
                <w:sz w:val="24"/>
                <w:highlight w:val="none"/>
              </w:rPr>
            </w:pPr>
            <w:r>
              <w:rPr>
                <w:color w:val="auto"/>
                <w:sz w:val="24"/>
                <w:highlight w:val="none"/>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00674A30">
            <w:pPr>
              <w:jc w:val="left"/>
              <w:rPr>
                <w:rFonts w:ascii="宋体" w:hAnsi="宋体" w:cs="宋体"/>
                <w:color w:val="auto"/>
                <w:sz w:val="24"/>
                <w:highlight w:val="none"/>
              </w:rPr>
            </w:pPr>
            <w:r>
              <w:rPr>
                <w:rFonts w:hint="eastAsia" w:ascii="宋体" w:hAnsi="宋体" w:cs="宋体"/>
                <w:color w:val="auto"/>
                <w:sz w:val="24"/>
                <w:highlight w:val="none"/>
              </w:rPr>
              <w:t>收费对象：</w:t>
            </w:r>
          </w:p>
          <w:p w14:paraId="137D419D">
            <w:pPr>
              <w:jc w:val="left"/>
              <w:rPr>
                <w:rFonts w:ascii="宋体" w:hAnsi="宋体" w:cs="宋体"/>
                <w:color w:val="auto"/>
                <w:sz w:val="24"/>
                <w:highlight w:val="none"/>
              </w:rPr>
            </w:pPr>
            <w:r>
              <w:rPr>
                <w:rFonts w:hint="eastAsia" w:ascii="宋体" w:hAnsi="宋体" w:cs="宋体"/>
                <w:color w:val="auto"/>
                <w:sz w:val="24"/>
                <w:highlight w:val="none"/>
              </w:rPr>
              <w:t>□采购人</w:t>
            </w:r>
          </w:p>
          <w:p w14:paraId="69CCF764">
            <w:pPr>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w:t>
            </w:r>
            <w:r>
              <w:rPr>
                <w:rFonts w:hint="eastAsia" w:ascii="宋体" w:hAnsi="宋体" w:cs="宋体"/>
                <w:color w:val="auto"/>
                <w:sz w:val="24"/>
                <w:highlight w:val="none"/>
                <w:lang w:eastAsia="zh-CN"/>
              </w:rPr>
              <w:t>中标人</w:t>
            </w:r>
          </w:p>
          <w:p w14:paraId="5BC32ABF">
            <w:pPr>
              <w:jc w:val="left"/>
              <w:rPr>
                <w:rFonts w:ascii="宋体" w:hAnsi="宋体" w:cs="宋体"/>
                <w:color w:val="auto"/>
                <w:sz w:val="24"/>
                <w:highlight w:val="none"/>
                <w:u w:val="single"/>
              </w:rPr>
            </w:pPr>
            <w:r>
              <w:rPr>
                <w:rFonts w:hint="eastAsia" w:ascii="宋体" w:hAnsi="宋体" w:cs="宋体"/>
                <w:color w:val="auto"/>
                <w:sz w:val="24"/>
                <w:highlight w:val="none"/>
              </w:rPr>
              <w:t>收费标准：</w:t>
            </w:r>
            <w:r>
              <w:rPr>
                <w:rFonts w:hint="eastAsia" w:ascii="宋体" w:hAnsi="宋体" w:cs="宋体"/>
                <w:color w:val="auto"/>
                <w:sz w:val="24"/>
                <w:highlight w:val="none"/>
                <w:u w:val="single"/>
              </w:rPr>
              <w:t xml:space="preserve"> </w:t>
            </w:r>
            <w:r>
              <w:rPr>
                <w:rFonts w:hint="eastAsia" w:ascii="宋体" w:hAnsi="宋体" w:eastAsia="宋体" w:cs="宋体"/>
                <w:color w:val="auto"/>
                <w:sz w:val="24"/>
                <w:szCs w:val="24"/>
                <w:highlight w:val="none"/>
                <w:u w:val="single"/>
              </w:rPr>
              <w:t>中标人须按其</w:t>
            </w:r>
            <w:r>
              <w:rPr>
                <w:rFonts w:hint="eastAsia" w:ascii="宋体" w:hAnsi="宋体" w:cs="宋体"/>
                <w:color w:val="auto"/>
                <w:sz w:val="24"/>
                <w:szCs w:val="24"/>
                <w:highlight w:val="none"/>
                <w:u w:val="single"/>
                <w:lang w:val="en-US" w:eastAsia="zh-CN"/>
              </w:rPr>
              <w:t>成交金额（二年合计）</w:t>
            </w:r>
            <w:r>
              <w:rPr>
                <w:rFonts w:hint="eastAsia" w:ascii="宋体" w:hAnsi="宋体" w:eastAsia="宋体" w:cs="宋体"/>
                <w:color w:val="auto"/>
                <w:sz w:val="24"/>
                <w:szCs w:val="24"/>
                <w:highlight w:val="none"/>
                <w:u w:val="single"/>
              </w:rPr>
              <w:t>的0.8%计算并支付</w:t>
            </w:r>
            <w:r>
              <w:rPr>
                <w:rFonts w:hint="eastAsia" w:ascii="宋体" w:hAnsi="宋体" w:eastAsia="宋体" w:cs="宋体"/>
                <w:color w:val="auto"/>
                <w:sz w:val="24"/>
                <w:szCs w:val="24"/>
                <w:highlight w:val="none"/>
                <w:u w:val="single"/>
                <w:lang w:val="en-US" w:eastAsia="zh-CN"/>
              </w:rPr>
              <w:t>代理</w:t>
            </w:r>
            <w:r>
              <w:rPr>
                <w:rFonts w:hint="eastAsia" w:ascii="宋体" w:hAnsi="宋体" w:eastAsia="宋体" w:cs="宋体"/>
                <w:color w:val="auto"/>
                <w:sz w:val="24"/>
                <w:szCs w:val="24"/>
                <w:highlight w:val="none"/>
                <w:u w:val="single"/>
              </w:rPr>
              <w:t>服务费，不足人民币3000元的，按人民币3000元收取</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0A4C3B81">
            <w:pPr>
              <w:jc w:val="left"/>
              <w:rPr>
                <w:rFonts w:ascii="宋体" w:hAnsi="宋体" w:cs="宋体"/>
                <w:color w:val="auto"/>
                <w:sz w:val="24"/>
                <w:highlight w:val="none"/>
              </w:rPr>
            </w:pPr>
            <w:r>
              <w:rPr>
                <w:rFonts w:hint="eastAsia" w:ascii="宋体" w:hAnsi="宋体" w:cs="宋体"/>
                <w:color w:val="auto"/>
                <w:sz w:val="24"/>
                <w:highlight w:val="none"/>
              </w:rPr>
              <w:t>缴纳时间：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中标人</w:t>
            </w:r>
            <w:r>
              <w:rPr>
                <w:rFonts w:hint="eastAsia" w:ascii="宋体" w:hAnsi="宋体" w:cs="宋体"/>
                <w:color w:val="auto"/>
                <w:sz w:val="24"/>
                <w:highlight w:val="none"/>
                <w:u w:val="single"/>
              </w:rPr>
              <w:t xml:space="preserve">应在领取中标通知书时将中标服务费付至采购代理机构的账户并备注项目编号 </w:t>
            </w:r>
            <w:r>
              <w:rPr>
                <w:rFonts w:hint="eastAsia" w:ascii="宋体" w:hAnsi="宋体" w:cs="宋体"/>
                <w:color w:val="auto"/>
                <w:sz w:val="24"/>
                <w:highlight w:val="none"/>
              </w:rPr>
              <w:t>。</w:t>
            </w:r>
          </w:p>
          <w:p w14:paraId="0DA76C12">
            <w:pPr>
              <w:jc w:val="left"/>
              <w:rPr>
                <w:rFonts w:ascii="宋体" w:hAnsi="宋体" w:cs="宋体"/>
                <w:color w:val="auto"/>
                <w:sz w:val="24"/>
                <w:highlight w:val="none"/>
                <w:u w:val="single"/>
              </w:rPr>
            </w:pPr>
            <w:r>
              <w:rPr>
                <w:rFonts w:hint="eastAsia" w:ascii="宋体" w:hAnsi="宋体" w:cs="宋体"/>
                <w:color w:val="auto"/>
                <w:sz w:val="24"/>
                <w:highlight w:val="none"/>
                <w:u w:val="single"/>
              </w:rPr>
              <w:t>收款单位：江苏尚阳工程管理有限公司</w:t>
            </w:r>
          </w:p>
          <w:p w14:paraId="69AAA30E">
            <w:pPr>
              <w:jc w:val="left"/>
              <w:rPr>
                <w:rFonts w:ascii="宋体" w:hAnsi="宋体" w:cs="宋体"/>
                <w:color w:val="auto"/>
                <w:sz w:val="24"/>
                <w:highlight w:val="none"/>
                <w:u w:val="single"/>
              </w:rPr>
            </w:pPr>
            <w:r>
              <w:rPr>
                <w:rFonts w:hint="eastAsia" w:ascii="宋体" w:hAnsi="宋体" w:cs="宋体"/>
                <w:color w:val="auto"/>
                <w:sz w:val="24"/>
                <w:highlight w:val="none"/>
                <w:u w:val="single"/>
              </w:rPr>
              <w:t>银行账号：406010100100626575</w:t>
            </w:r>
          </w:p>
          <w:p w14:paraId="4573D42D">
            <w:pPr>
              <w:jc w:val="left"/>
              <w:outlineLvl w:val="9"/>
              <w:rPr>
                <w:rFonts w:hint="eastAsia" w:ascii="宋体" w:hAnsi="宋体" w:cs="宋体"/>
                <w:color w:val="auto"/>
                <w:sz w:val="24"/>
                <w:highlight w:val="none"/>
                <w:u w:val="single"/>
              </w:rPr>
            </w:pPr>
            <w:r>
              <w:rPr>
                <w:rFonts w:hint="eastAsia" w:ascii="宋体" w:hAnsi="宋体" w:cs="宋体"/>
                <w:color w:val="auto"/>
                <w:sz w:val="24"/>
                <w:highlight w:val="none"/>
                <w:u w:val="single"/>
              </w:rPr>
              <w:t>开户银行：兴业银行股份有限公司常州分行</w:t>
            </w:r>
          </w:p>
          <w:p w14:paraId="29603586">
            <w:pPr>
              <w:jc w:val="left"/>
              <w:outlineLvl w:val="9"/>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24"/>
                <w:szCs w:val="24"/>
                <w:highlight w:val="none"/>
                <w:u w:val="none"/>
              </w:rPr>
              <w:t>代理服务费支付说明及原因：</w:t>
            </w:r>
          </w:p>
          <w:p w14:paraId="5671043C">
            <w:pPr>
              <w:jc w:val="left"/>
              <w:outlineLvl w:val="9"/>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1.支付依据：根据《政府采购代理机构管理暂行办法》第十五条规定，代理费用可以由中标、成交</w:t>
            </w:r>
            <w:r>
              <w:rPr>
                <w:rFonts w:hint="eastAsia" w:ascii="宋体" w:hAnsi="宋体" w:eastAsia="宋体" w:cs="宋体"/>
                <w:color w:val="auto"/>
                <w:sz w:val="24"/>
                <w:szCs w:val="24"/>
                <w:highlight w:val="none"/>
                <w:u w:val="none"/>
                <w:lang w:eastAsia="zh-CN"/>
              </w:rPr>
              <w:t>投标人</w:t>
            </w:r>
            <w:r>
              <w:rPr>
                <w:rFonts w:hint="eastAsia" w:ascii="宋体" w:hAnsi="宋体" w:eastAsia="宋体" w:cs="宋体"/>
                <w:color w:val="auto"/>
                <w:sz w:val="24"/>
                <w:szCs w:val="24"/>
                <w:highlight w:val="none"/>
                <w:u w:val="none"/>
              </w:rPr>
              <w:t>支付。本项目经采购人与采购代理机构在《委托代理协议》中约定，代理服务费由中标/成交</w:t>
            </w:r>
            <w:r>
              <w:rPr>
                <w:rFonts w:hint="eastAsia" w:ascii="宋体" w:hAnsi="宋体" w:eastAsia="宋体" w:cs="宋体"/>
                <w:color w:val="auto"/>
                <w:sz w:val="24"/>
                <w:szCs w:val="24"/>
                <w:highlight w:val="none"/>
                <w:u w:val="none"/>
                <w:lang w:eastAsia="zh-CN"/>
              </w:rPr>
              <w:t>投标人</w:t>
            </w:r>
            <w:r>
              <w:rPr>
                <w:rFonts w:hint="eastAsia" w:ascii="宋体" w:hAnsi="宋体" w:eastAsia="宋体" w:cs="宋体"/>
                <w:color w:val="auto"/>
                <w:sz w:val="24"/>
                <w:szCs w:val="24"/>
                <w:highlight w:val="none"/>
                <w:u w:val="none"/>
              </w:rPr>
              <w:t>支付。</w:t>
            </w:r>
          </w:p>
          <w:p w14:paraId="5B51C017">
            <w:pPr>
              <w:jc w:val="left"/>
              <w:outlineLvl w:val="9"/>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2.定价原则：本项目代理服务费遵循市场调节原则，由采购人与代理机构根据项目特点、服务成本及市场行情协商确定收费标准。</w:t>
            </w:r>
          </w:p>
          <w:p w14:paraId="59492A0F">
            <w:pPr>
              <w:jc w:val="left"/>
              <w:rPr>
                <w:rFonts w:ascii="宋体" w:hAnsi="宋体" w:cs="宋体"/>
                <w:color w:val="auto"/>
                <w:sz w:val="24"/>
                <w:highlight w:val="none"/>
              </w:rPr>
            </w:pPr>
            <w:r>
              <w:rPr>
                <w:rFonts w:hint="eastAsia" w:ascii="宋体" w:hAnsi="宋体" w:eastAsia="宋体" w:cs="宋体"/>
                <w:color w:val="auto"/>
                <w:sz w:val="24"/>
                <w:szCs w:val="24"/>
                <w:highlight w:val="none"/>
                <w:u w:val="none"/>
              </w:rPr>
              <w:t>3.报价要求：</w:t>
            </w:r>
            <w:r>
              <w:rPr>
                <w:rFonts w:hint="eastAsia" w:ascii="宋体" w:hAnsi="宋体" w:eastAsia="宋体" w:cs="宋体"/>
                <w:color w:val="auto"/>
                <w:sz w:val="24"/>
                <w:szCs w:val="24"/>
                <w:highlight w:val="none"/>
                <w:u w:val="none"/>
                <w:lang w:eastAsia="zh-CN"/>
              </w:rPr>
              <w:t>投标人</w:t>
            </w:r>
            <w:r>
              <w:rPr>
                <w:rFonts w:hint="eastAsia" w:ascii="宋体" w:hAnsi="宋体" w:eastAsia="宋体" w:cs="宋体"/>
                <w:color w:val="auto"/>
                <w:sz w:val="24"/>
                <w:szCs w:val="24"/>
                <w:highlight w:val="none"/>
                <w:u w:val="none"/>
              </w:rPr>
              <w:t>在编制响应报价时，应当将代理服务费包含在总报价中。若</w:t>
            </w:r>
            <w:r>
              <w:rPr>
                <w:rFonts w:hint="eastAsia" w:ascii="宋体" w:hAnsi="宋体" w:eastAsia="宋体" w:cs="宋体"/>
                <w:color w:val="auto"/>
                <w:sz w:val="24"/>
                <w:szCs w:val="24"/>
                <w:highlight w:val="none"/>
                <w:u w:val="none"/>
                <w:lang w:eastAsia="zh-CN"/>
              </w:rPr>
              <w:t>投标人</w:t>
            </w:r>
            <w:r>
              <w:rPr>
                <w:rFonts w:hint="eastAsia" w:ascii="宋体" w:hAnsi="宋体" w:eastAsia="宋体" w:cs="宋体"/>
                <w:color w:val="auto"/>
                <w:sz w:val="24"/>
                <w:szCs w:val="24"/>
                <w:highlight w:val="none"/>
                <w:u w:val="none"/>
              </w:rPr>
              <w:t>未将此项费用计入报价，视为其已承诺自行承担或放弃相关权利，但仍须按采购文件规定的标准足额缴纳代理服务费后方可领取成交通知书。</w:t>
            </w:r>
          </w:p>
        </w:tc>
      </w:tr>
      <w:tr w14:paraId="6E1F6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1"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09DC870D">
            <w:pPr>
              <w:pStyle w:val="24"/>
              <w:adjustRightInd w:val="0"/>
              <w:snapToGrid w:val="0"/>
              <w:jc w:val="center"/>
              <w:rPr>
                <w:rFonts w:hint="default"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28</w:t>
            </w:r>
          </w:p>
        </w:tc>
        <w:tc>
          <w:tcPr>
            <w:tcW w:w="1701" w:type="dxa"/>
            <w:tcBorders>
              <w:top w:val="single" w:color="auto" w:sz="4" w:space="0"/>
              <w:left w:val="single" w:color="auto" w:sz="4" w:space="0"/>
              <w:bottom w:val="single" w:color="auto" w:sz="4" w:space="0"/>
              <w:right w:val="single" w:color="auto" w:sz="4" w:space="0"/>
            </w:tcBorders>
            <w:vAlign w:val="center"/>
          </w:tcPr>
          <w:p w14:paraId="029C5CBB">
            <w:pPr>
              <w:pStyle w:val="24"/>
              <w:adjustRightInd w:val="0"/>
              <w:snapToGrid w:val="0"/>
              <w:jc w:val="center"/>
              <w:rPr>
                <w:rFonts w:hint="eastAsia"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val="en-US" w:eastAsia="zh-CN"/>
              </w:rPr>
              <w:t>电子系统意外情况处理条款</w:t>
            </w:r>
          </w:p>
        </w:tc>
        <w:tc>
          <w:tcPr>
            <w:tcW w:w="7540" w:type="dxa"/>
            <w:tcBorders>
              <w:top w:val="single" w:color="auto" w:sz="4" w:space="0"/>
              <w:left w:val="single" w:color="auto" w:sz="4" w:space="0"/>
              <w:bottom w:val="single" w:color="auto" w:sz="4" w:space="0"/>
              <w:right w:val="single" w:color="auto" w:sz="4" w:space="0"/>
            </w:tcBorders>
            <w:vAlign w:val="center"/>
          </w:tcPr>
          <w:p w14:paraId="2AB2C642">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为确保本项目电子化采购活动顺利进行，防范化解采购风险，特制定相关情形处置举措。所有潜在投标人及参与各方均应知悉并遵守以下规定：</w:t>
            </w:r>
          </w:p>
          <w:p w14:paraId="063694D6">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1.意外情况定义：本条款所称“电子交易系统无法访问等意外情况”，是指在政府采购电子交易平台使用过程中，出现包括但不限于网络中断、服务器故障、应用软件或数据库错误等情形，导致采购活动无法正常进行。</w:t>
            </w:r>
          </w:p>
          <w:p w14:paraId="1ED51C95">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2.开标前环节故障处置：在</w:t>
            </w:r>
            <w:r>
              <w:rPr>
                <w:rFonts w:hint="eastAsia" w:ascii="宋体" w:hAnsi="宋体" w:cs="宋体"/>
                <w:color w:val="auto"/>
                <w:sz w:val="24"/>
                <w:highlight w:val="none"/>
                <w:u w:val="none"/>
                <w:lang w:val="en-US" w:eastAsia="zh-CN"/>
              </w:rPr>
              <w:t>投标人</w:t>
            </w:r>
            <w:r>
              <w:rPr>
                <w:rFonts w:hint="eastAsia" w:ascii="宋体" w:hAnsi="宋体" w:cs="宋体"/>
                <w:color w:val="auto"/>
                <w:sz w:val="24"/>
                <w:highlight w:val="none"/>
                <w:u w:val="none"/>
              </w:rPr>
              <w:t>报名、投标文件上传、投标文件解密及唱标环节等开标活动开始前的任何环节出现系统无法访问的情形，采购代理机构将按照以下原则处置：</w:t>
            </w:r>
          </w:p>
          <w:p w14:paraId="75030A37">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（一）若故障可在短时间内排除，采购代理机构将等待系统修复后，继续开展采购活动。</w:t>
            </w:r>
          </w:p>
          <w:p w14:paraId="5D451022">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（二）若故障无法在预定开标时间前排除，或故障情况严重影响公平竞争，采购代理机构将通过发布更正公告推迟开标。</w:t>
            </w:r>
          </w:p>
          <w:p w14:paraId="78828061">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（三）若因故障导致有效投标人不足法定家数或出现其他法定废标情形，采购代理机构将发布废标（终止）公告，重新开展采购活动。</w:t>
            </w:r>
          </w:p>
          <w:p w14:paraId="2E966B57">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特别说明：本项目投标文件递交方式以招标文件载明为准。在电子系统发生故障时，采购代理机构仅依据上述程序处理，不接受任何现场提交的纸质、U盘等非招标文件规定的投标文件。</w:t>
            </w:r>
          </w:p>
          <w:p w14:paraId="528293C5">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3.评审过程中故障处置：在评审委员会组建后至评审报告出具前的评审过程中出现系统无法访问的情形，采购代理机构将按照以下原则处置：</w:t>
            </w:r>
          </w:p>
          <w:p w14:paraId="6B8422BD">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（一）立即暂停评审：采购代理机构将立即宣布暂停评审活动，并采取必要措施封存所有投标文件及评审记录。</w:t>
            </w:r>
          </w:p>
          <w:p w14:paraId="0955FB65">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（二）处置方案：视故障排除情况，采购代理机构将选择：</w:t>
            </w:r>
          </w:p>
          <w:p w14:paraId="06DDE7A5">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1.若故障可在短时间内排除，采购代理机构将等待系统修复后，由原评审委员会继续完成评审；</w:t>
            </w:r>
          </w:p>
          <w:p w14:paraId="086EF134">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2.若故障无法在当日排除，或故障导致评审无法公正进行，将发布废标（终止）公告，重新开展采购活动；</w:t>
            </w:r>
          </w:p>
          <w:p w14:paraId="13A6D88A">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3.若需在第二日继续评审，采购代理机构将重新从政府采购评审专家库中抽取专家，组建新的评审委员会，在系统修复后继续评审活动。</w:t>
            </w:r>
          </w:p>
          <w:p w14:paraId="1C61D8D3">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三）公告发布程序：如需发布更正公告或废标（终止）公告，采购代理机构将按规定编制公告文本，连同项目相关信息、附件等详细公告内容提交至市财政局政府采购管理处，由市财政局统一报送省财政厅通过江苏政府采购网后台发布。</w:t>
            </w:r>
            <w:r>
              <w:rPr>
                <w:rFonts w:hint="eastAsia" w:ascii="宋体" w:hAnsi="宋体" w:cs="宋体"/>
                <w:color w:val="auto"/>
                <w:sz w:val="24"/>
                <w:highlight w:val="none"/>
                <w:u w:val="none"/>
                <w:lang w:val="en-US" w:eastAsia="zh-CN"/>
              </w:rPr>
              <w:t>投标人</w:t>
            </w:r>
            <w:r>
              <w:rPr>
                <w:rFonts w:hint="eastAsia" w:ascii="宋体" w:hAnsi="宋体" w:cs="宋体"/>
                <w:color w:val="auto"/>
                <w:sz w:val="24"/>
                <w:highlight w:val="none"/>
                <w:u w:val="none"/>
              </w:rPr>
              <w:t>应密切关注上述网站公告，公告内容对各方具有约束力。</w:t>
            </w:r>
          </w:p>
          <w:p w14:paraId="1F645DA7">
            <w:pPr>
              <w:jc w:val="left"/>
              <w:rPr>
                <w:rFonts w:hint="eastAsia" w:ascii="宋体" w:hAnsi="宋体" w:cs="宋体"/>
                <w:color w:val="auto"/>
                <w:sz w:val="24"/>
                <w:highlight w:val="none"/>
                <w:u w:val="single"/>
              </w:rPr>
            </w:pPr>
            <w:r>
              <w:rPr>
                <w:rFonts w:hint="eastAsia" w:ascii="宋体" w:hAnsi="宋体" w:cs="宋体"/>
                <w:color w:val="auto"/>
                <w:sz w:val="24"/>
                <w:highlight w:val="none"/>
                <w:u w:val="none"/>
              </w:rPr>
              <w:t>（四）</w:t>
            </w:r>
            <w:r>
              <w:rPr>
                <w:rFonts w:hint="eastAsia" w:ascii="宋体" w:hAnsi="宋体" w:cs="宋体"/>
                <w:color w:val="auto"/>
                <w:sz w:val="24"/>
                <w:highlight w:val="none"/>
                <w:u w:val="none"/>
                <w:lang w:val="en-US" w:eastAsia="zh-CN"/>
              </w:rPr>
              <w:t>投标人</w:t>
            </w:r>
            <w:r>
              <w:rPr>
                <w:rFonts w:hint="eastAsia" w:ascii="宋体" w:hAnsi="宋体" w:cs="宋体"/>
                <w:color w:val="auto"/>
                <w:sz w:val="24"/>
                <w:highlight w:val="none"/>
                <w:u w:val="none"/>
              </w:rPr>
              <w:t>责任：</w:t>
            </w:r>
            <w:r>
              <w:rPr>
                <w:rFonts w:hint="eastAsia" w:ascii="宋体" w:hAnsi="宋体" w:cs="宋体"/>
                <w:color w:val="auto"/>
                <w:sz w:val="24"/>
                <w:highlight w:val="none"/>
                <w:u w:val="none"/>
                <w:lang w:val="en-US" w:eastAsia="zh-CN"/>
              </w:rPr>
              <w:t>投标人</w:t>
            </w:r>
            <w:r>
              <w:rPr>
                <w:rFonts w:hint="eastAsia" w:ascii="宋体" w:hAnsi="宋体" w:cs="宋体"/>
                <w:color w:val="auto"/>
                <w:sz w:val="24"/>
                <w:highlight w:val="none"/>
                <w:u w:val="none"/>
              </w:rPr>
              <w:t>有责任确保自身网络环境、设备及数字证书（CA）的正常，并在招标文件规定的期限内完成文件上传、解密等操作。因</w:t>
            </w:r>
            <w:r>
              <w:rPr>
                <w:rFonts w:hint="eastAsia" w:ascii="宋体" w:hAnsi="宋体" w:cs="宋体"/>
                <w:color w:val="auto"/>
                <w:sz w:val="24"/>
                <w:highlight w:val="none"/>
                <w:u w:val="none"/>
                <w:lang w:val="en-US" w:eastAsia="zh-CN"/>
              </w:rPr>
              <w:t>投标人</w:t>
            </w:r>
            <w:r>
              <w:rPr>
                <w:rFonts w:hint="eastAsia" w:ascii="宋体" w:hAnsi="宋体" w:cs="宋体"/>
                <w:color w:val="auto"/>
                <w:sz w:val="24"/>
                <w:highlight w:val="none"/>
                <w:u w:val="none"/>
              </w:rPr>
              <w:t>自身原因导致的操作失败，不适用本意外情况处理条款。</w:t>
            </w:r>
          </w:p>
        </w:tc>
      </w:tr>
    </w:tbl>
    <w:p w14:paraId="131671AA">
      <w:pPr>
        <w:widowControl/>
        <w:spacing w:line="360" w:lineRule="auto"/>
        <w:ind w:firstLine="480" w:firstLineChars="200"/>
        <w:jc w:val="left"/>
        <w:rPr>
          <w:rFonts w:hint="eastAsia" w:ascii="宋体" w:hAnsi="宋体" w:cs="宋体"/>
          <w:color w:val="auto"/>
          <w:sz w:val="24"/>
          <w:highlight w:val="none"/>
        </w:rPr>
      </w:pPr>
    </w:p>
    <w:p w14:paraId="0756CC98">
      <w:pPr>
        <w:tabs>
          <w:tab w:val="left" w:pos="5580"/>
        </w:tabs>
        <w:adjustRightInd w:val="0"/>
        <w:spacing w:line="360" w:lineRule="auto"/>
        <w:jc w:val="distribute"/>
        <w:rPr>
          <w:color w:val="auto"/>
          <w:sz w:val="24"/>
          <w:highlight w:val="none"/>
        </w:rPr>
      </w:pPr>
    </w:p>
    <w:p w14:paraId="7FE9FB09">
      <w:pPr>
        <w:tabs>
          <w:tab w:val="left" w:pos="5580"/>
        </w:tabs>
        <w:adjustRightInd w:val="0"/>
        <w:spacing w:line="360" w:lineRule="auto"/>
        <w:jc w:val="distribute"/>
        <w:rPr>
          <w:color w:val="auto"/>
          <w:sz w:val="24"/>
          <w:highlight w:val="none"/>
        </w:rPr>
        <w:sectPr>
          <w:headerReference r:id="rId8" w:type="first"/>
          <w:footerReference r:id="rId10" w:type="first"/>
          <w:headerReference r:id="rId7" w:type="default"/>
          <w:footerReference r:id="rId9" w:type="default"/>
          <w:type w:val="nextColumn"/>
          <w:pgSz w:w="11907" w:h="16840"/>
          <w:pgMar w:top="1418" w:right="1134" w:bottom="1418" w:left="1701" w:header="851" w:footer="851" w:gutter="0"/>
          <w:pgBorders>
            <w:top w:val="none" w:sz="0" w:space="0"/>
            <w:left w:val="none" w:sz="0" w:space="0"/>
            <w:bottom w:val="none" w:sz="0" w:space="0"/>
            <w:right w:val="none" w:sz="0" w:space="0"/>
          </w:pgBorders>
          <w:pgNumType w:fmt="decimal"/>
          <w:cols w:space="720" w:num="1"/>
          <w:titlePg/>
          <w:docGrid w:linePitch="462" w:charSpace="0"/>
        </w:sectPr>
      </w:pPr>
    </w:p>
    <w:p w14:paraId="4DA1B2F8">
      <w:pPr>
        <w:spacing w:before="312" w:beforeLines="100" w:after="312" w:afterLines="100"/>
        <w:jc w:val="center"/>
        <w:rPr>
          <w:b/>
          <w:color w:val="auto"/>
          <w:sz w:val="28"/>
          <w:szCs w:val="28"/>
          <w:highlight w:val="none"/>
        </w:rPr>
      </w:pPr>
      <w:bookmarkStart w:id="70" w:name="_Toc127151517"/>
      <w:bookmarkStart w:id="71" w:name="_Toc226337213"/>
      <w:bookmarkStart w:id="72" w:name="_Toc142311019"/>
      <w:bookmarkStart w:id="73" w:name="_Toc305158785"/>
      <w:bookmarkStart w:id="74" w:name="_Toc226965790"/>
      <w:bookmarkStart w:id="75" w:name="_Toc353873932"/>
      <w:bookmarkStart w:id="76" w:name="_Toc353873662"/>
      <w:bookmarkStart w:id="77" w:name="_Toc353825542"/>
      <w:bookmarkStart w:id="78" w:name="_Toc195842882"/>
      <w:bookmarkStart w:id="79" w:name="_Toc150480755"/>
      <w:bookmarkStart w:id="80" w:name="_Toc305158859"/>
      <w:bookmarkStart w:id="81" w:name="_Toc150774722"/>
      <w:bookmarkStart w:id="82" w:name="_Toc265228355"/>
      <w:bookmarkStart w:id="83" w:name="_Toc264969207"/>
      <w:r>
        <w:rPr>
          <w:b/>
          <w:color w:val="auto"/>
          <w:sz w:val="28"/>
          <w:szCs w:val="28"/>
          <w:highlight w:val="none"/>
        </w:rPr>
        <w:t>投标人须知</w:t>
      </w:r>
      <w:bookmarkEnd w:id="70"/>
      <w:bookmarkEnd w:id="71"/>
      <w:bookmarkEnd w:id="72"/>
      <w:bookmarkEnd w:id="73"/>
      <w:bookmarkEnd w:id="74"/>
      <w:bookmarkEnd w:id="75"/>
      <w:bookmarkEnd w:id="76"/>
      <w:bookmarkEnd w:id="77"/>
      <w:bookmarkEnd w:id="78"/>
      <w:bookmarkEnd w:id="79"/>
      <w:bookmarkEnd w:id="80"/>
      <w:bookmarkEnd w:id="81"/>
      <w:bookmarkEnd w:id="82"/>
      <w:bookmarkEnd w:id="83"/>
    </w:p>
    <w:p w14:paraId="2A6665BA">
      <w:pPr>
        <w:snapToGrid w:val="0"/>
        <w:spacing w:line="360" w:lineRule="auto"/>
        <w:jc w:val="center"/>
        <w:rPr>
          <w:rFonts w:ascii="宋体" w:hAnsi="宋体"/>
          <w:b/>
          <w:bCs/>
          <w:color w:val="auto"/>
          <w:sz w:val="28"/>
          <w:szCs w:val="28"/>
          <w:highlight w:val="none"/>
        </w:rPr>
      </w:pPr>
      <w:bookmarkStart w:id="84" w:name="_Toc264969208"/>
      <w:bookmarkStart w:id="85" w:name="_Toc142311020"/>
      <w:bookmarkStart w:id="86" w:name="_Toc150509269"/>
      <w:bookmarkStart w:id="87" w:name="_Toc150774618"/>
      <w:bookmarkStart w:id="88" w:name="_Toc195842883"/>
      <w:bookmarkStart w:id="89" w:name="_Toc226965708"/>
      <w:bookmarkStart w:id="90" w:name="_Toc151193688"/>
      <w:bookmarkStart w:id="91" w:name="_Toc226965791"/>
      <w:bookmarkStart w:id="92" w:name="_Toc226309762"/>
      <w:bookmarkStart w:id="93" w:name="_Toc151190145"/>
      <w:bookmarkStart w:id="94" w:name="_Toc151193760"/>
      <w:bookmarkStart w:id="95" w:name="_Toc151193832"/>
      <w:bookmarkStart w:id="96" w:name="_Toc520356143"/>
      <w:bookmarkStart w:id="97" w:name="_Toc226337214"/>
      <w:bookmarkStart w:id="98" w:name="_Toc150774723"/>
      <w:bookmarkStart w:id="99" w:name="_Toc305158786"/>
      <w:bookmarkStart w:id="100" w:name="_Toc151193616"/>
      <w:bookmarkStart w:id="101" w:name="_Toc150480756"/>
      <w:bookmarkStart w:id="102" w:name="_Toc151193906"/>
      <w:bookmarkStart w:id="103" w:name="_Toc127151518"/>
      <w:bookmarkStart w:id="104" w:name="_Toc305158860"/>
      <w:bookmarkStart w:id="105" w:name="_Toc265228356"/>
      <w:r>
        <w:rPr>
          <w:rFonts w:hint="eastAsia" w:ascii="宋体" w:hAnsi="宋体"/>
          <w:b/>
          <w:bCs/>
          <w:color w:val="auto"/>
          <w:sz w:val="28"/>
          <w:szCs w:val="28"/>
          <w:highlight w:val="none"/>
        </w:rPr>
        <w:t>一   说  明</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14:paraId="5DBBF200">
      <w:pPr>
        <w:numPr>
          <w:ilvl w:val="0"/>
          <w:numId w:val="8"/>
        </w:numPr>
        <w:tabs>
          <w:tab w:val="left" w:pos="360"/>
          <w:tab w:val="clear" w:pos="900"/>
        </w:tabs>
        <w:snapToGrid w:val="0"/>
        <w:spacing w:line="360" w:lineRule="auto"/>
        <w:ind w:left="357" w:hanging="357"/>
        <w:rPr>
          <w:rFonts w:ascii="宋体" w:hAnsi="宋体" w:cs="宋体"/>
          <w:color w:val="auto"/>
          <w:sz w:val="24"/>
          <w:highlight w:val="none"/>
        </w:rPr>
      </w:pPr>
      <w:bookmarkStart w:id="106" w:name="_Toc265228357"/>
      <w:bookmarkStart w:id="107" w:name="_Toc305158861"/>
      <w:bookmarkStart w:id="108" w:name="_Toc305158787"/>
      <w:bookmarkStart w:id="109" w:name="_Toc264969209"/>
      <w:r>
        <w:rPr>
          <w:rFonts w:hint="eastAsia" w:ascii="宋体" w:hAnsi="宋体" w:cs="宋体"/>
          <w:color w:val="auto"/>
          <w:sz w:val="24"/>
          <w:highlight w:val="none"/>
        </w:rPr>
        <w:t>采购人、采购代理机构、投标人</w:t>
      </w:r>
      <w:bookmarkEnd w:id="106"/>
      <w:bookmarkEnd w:id="107"/>
      <w:bookmarkEnd w:id="108"/>
      <w:bookmarkEnd w:id="109"/>
      <w:r>
        <w:rPr>
          <w:rFonts w:hint="eastAsia" w:ascii="宋体" w:hAnsi="宋体" w:cs="宋体"/>
          <w:color w:val="auto"/>
          <w:sz w:val="24"/>
          <w:highlight w:val="none"/>
        </w:rPr>
        <w:t>、联合体</w:t>
      </w:r>
    </w:p>
    <w:p w14:paraId="6725B7FA">
      <w:pPr>
        <w:numPr>
          <w:ilvl w:val="1"/>
          <w:numId w:val="8"/>
        </w:numPr>
        <w:tabs>
          <w:tab w:val="left" w:pos="1080"/>
          <w:tab w:val="left" w:pos="2014"/>
          <w:tab w:val="left" w:pos="5521"/>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采购人、采购代理机构：指依法进行政府采购的国家机关、事业单位、团体组织，及其委托的采购代理机构。本项目采购人、采购代理机构见第一章《投标邀请》。</w:t>
      </w:r>
    </w:p>
    <w:p w14:paraId="02C86947">
      <w:pPr>
        <w:numPr>
          <w:ilvl w:val="1"/>
          <w:numId w:val="8"/>
        </w:numPr>
        <w:tabs>
          <w:tab w:val="left" w:pos="1080"/>
          <w:tab w:val="left" w:pos="2014"/>
          <w:tab w:val="left" w:pos="5521"/>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投标人（也称“供应商”、“申请人”）：指向采购人提供货物、工程或者服务的法人、其他组织或者自然人。</w:t>
      </w:r>
    </w:p>
    <w:p w14:paraId="50DC78F7">
      <w:pPr>
        <w:numPr>
          <w:ilvl w:val="1"/>
          <w:numId w:val="8"/>
        </w:numPr>
        <w:tabs>
          <w:tab w:val="left" w:pos="1080"/>
          <w:tab w:val="left" w:pos="2014"/>
          <w:tab w:val="left" w:pos="5521"/>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联合体：指两个以上的自然人、法人或者其他组织组成一个联合体，以一个供应商的身份共同参加政府采购。</w:t>
      </w:r>
    </w:p>
    <w:p w14:paraId="6E7CA269">
      <w:pPr>
        <w:numPr>
          <w:ilvl w:val="0"/>
          <w:numId w:val="8"/>
        </w:numPr>
        <w:tabs>
          <w:tab w:val="left" w:pos="360"/>
          <w:tab w:val="clear" w:pos="900"/>
        </w:tabs>
        <w:snapToGrid w:val="0"/>
        <w:spacing w:line="360" w:lineRule="auto"/>
        <w:ind w:left="357" w:hanging="357"/>
        <w:rPr>
          <w:rFonts w:ascii="宋体" w:hAnsi="宋体" w:cs="宋体"/>
          <w:color w:val="auto"/>
          <w:sz w:val="24"/>
          <w:highlight w:val="none"/>
        </w:rPr>
      </w:pPr>
      <w:bookmarkStart w:id="110" w:name="_Toc164608789"/>
      <w:bookmarkStart w:id="111" w:name="_Toc164351614"/>
      <w:bookmarkStart w:id="112" w:name="_Toc127151721"/>
      <w:bookmarkStart w:id="113" w:name="_Toc226965793"/>
      <w:bookmarkStart w:id="114" w:name="_Toc127151520"/>
      <w:bookmarkStart w:id="115" w:name="_Toc150480758"/>
      <w:bookmarkStart w:id="116" w:name="_Toc151193834"/>
      <w:bookmarkStart w:id="117" w:name="_Toc305158862"/>
      <w:bookmarkStart w:id="118" w:name="_Toc265228358"/>
      <w:bookmarkStart w:id="119" w:name="_Toc164608634"/>
      <w:bookmarkStart w:id="120" w:name="_Toc226309764"/>
      <w:bookmarkStart w:id="121" w:name="_Toc150774725"/>
      <w:bookmarkStart w:id="122" w:name="_Toc127161434"/>
      <w:bookmarkStart w:id="123" w:name="_Toc151193908"/>
      <w:bookmarkStart w:id="124" w:name="_Toc164229215"/>
      <w:bookmarkStart w:id="125" w:name="_Toc151193690"/>
      <w:bookmarkStart w:id="126" w:name="_Toc226337216"/>
      <w:bookmarkStart w:id="127" w:name="_Toc226965710"/>
      <w:bookmarkStart w:id="128" w:name="_Toc142311022"/>
      <w:bookmarkStart w:id="129" w:name="_Toc164229361"/>
      <w:bookmarkStart w:id="130" w:name="_Toc305158788"/>
      <w:bookmarkStart w:id="131" w:name="_Toc264969210"/>
      <w:bookmarkStart w:id="132" w:name="_Toc149720813"/>
      <w:bookmarkStart w:id="133" w:name="_Toc151193762"/>
      <w:bookmarkStart w:id="134" w:name="_Toc151193618"/>
      <w:bookmarkStart w:id="135" w:name="_Toc150509271"/>
      <w:bookmarkStart w:id="136" w:name="_Toc151190147"/>
      <w:bookmarkStart w:id="137" w:name="_Toc195842885"/>
      <w:bookmarkStart w:id="138" w:name="_Toc150774620"/>
      <w:r>
        <w:rPr>
          <w:rFonts w:hint="eastAsia" w:ascii="宋体" w:hAnsi="宋体" w:cs="宋体"/>
          <w:color w:val="auto"/>
          <w:sz w:val="24"/>
          <w:highlight w:val="none"/>
        </w:rPr>
        <w:t>资金来源</w:t>
      </w:r>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r>
        <w:rPr>
          <w:rFonts w:hint="eastAsia" w:ascii="宋体" w:hAnsi="宋体" w:cs="宋体"/>
          <w:color w:val="auto"/>
          <w:sz w:val="24"/>
          <w:highlight w:val="none"/>
        </w:rPr>
        <w:t>、项目属性、科研仪器设备采购、核心产品</w:t>
      </w:r>
    </w:p>
    <w:p w14:paraId="6D1BE6AD">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资金来源为财政性资金和/或本项目采购中无法与财政性资金分割的非财政性资金。</w:t>
      </w:r>
    </w:p>
    <w:p w14:paraId="22269C2D">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项目属性见《投标人须知资料表》。</w:t>
      </w:r>
    </w:p>
    <w:p w14:paraId="1C1A3AB8">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是否属于科研仪器设备采购见《投标人须知资料表》。（本项目不涉及）</w:t>
      </w:r>
    </w:p>
    <w:p w14:paraId="27F4E68F">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核心产品见《投标人须知资料表》。（本项目不涉及）</w:t>
      </w:r>
    </w:p>
    <w:p w14:paraId="70E7B557">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现场考察、开标前答疑会</w:t>
      </w:r>
    </w:p>
    <w:p w14:paraId="2D3DC56C">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若《投标人须知资料表》中规定了组织现场考察、召开开标前答疑会，则投标人应按要求在规定的时间和地点参加。</w:t>
      </w:r>
      <w:bookmarkStart w:id="139" w:name="_Toc195842887"/>
      <w:bookmarkStart w:id="140" w:name="_Toc150480760"/>
      <w:bookmarkStart w:id="141" w:name="_Toc151193910"/>
      <w:bookmarkStart w:id="142" w:name="_Toc151193764"/>
      <w:bookmarkStart w:id="143" w:name="_Toc151190149"/>
      <w:bookmarkStart w:id="144" w:name="_Toc151193692"/>
      <w:bookmarkStart w:id="145" w:name="_Toc305158864"/>
      <w:bookmarkStart w:id="146" w:name="_Toc520356146"/>
      <w:bookmarkStart w:id="147" w:name="_Toc226337218"/>
      <w:bookmarkStart w:id="148" w:name="_Toc142311024"/>
      <w:bookmarkStart w:id="149" w:name="_Toc127151522"/>
      <w:bookmarkStart w:id="150" w:name="_Toc150774727"/>
      <w:bookmarkStart w:id="151" w:name="_Toc264969212"/>
      <w:bookmarkStart w:id="152" w:name="_Toc305158790"/>
      <w:bookmarkStart w:id="153" w:name="_Toc226309766"/>
      <w:bookmarkStart w:id="154" w:name="_Toc150509273"/>
      <w:bookmarkStart w:id="155" w:name="_Toc151193836"/>
      <w:bookmarkStart w:id="156" w:name="_Toc226965712"/>
      <w:bookmarkStart w:id="157" w:name="_Toc265228360"/>
      <w:bookmarkStart w:id="158" w:name="_Toc150774622"/>
      <w:bookmarkStart w:id="159" w:name="_Toc226965795"/>
      <w:bookmarkStart w:id="160" w:name="_Toc151193620"/>
    </w:p>
    <w:p w14:paraId="1BE825F0">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由于未参加现场考察或开标前答疑会而导致对项目实际情况不了解，影响投标文件编制、投标报价准确性、综合因素响应不全面等问题的，由投标人自行承担不利评审后果。</w:t>
      </w:r>
    </w:p>
    <w:p w14:paraId="752CA369">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样品（本项目不涉及）</w:t>
      </w:r>
    </w:p>
    <w:p w14:paraId="624B71E4">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本项目是否要求投标人提供样品，以及样品制作的标准和要求、是否需要随样品提交相关检测报告、样品的递交与退还等要求见《投标人须知资料表》。</w:t>
      </w:r>
    </w:p>
    <w:p w14:paraId="0DEAD51F">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样品的评审方法以及评审标准等内容见第四章《评标方法和评标标准》。</w:t>
      </w:r>
    </w:p>
    <w:p w14:paraId="3AA6BA98">
      <w:pPr>
        <w:numPr>
          <w:ilvl w:val="0"/>
          <w:numId w:val="8"/>
        </w:numPr>
        <w:tabs>
          <w:tab w:val="left" w:pos="360"/>
          <w:tab w:val="clear" w:pos="90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政府采购政策（包括但不限于下列具体政策要求）</w:t>
      </w:r>
    </w:p>
    <w:p w14:paraId="23555BC8">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进口产品（本项目不涉及）</w:t>
      </w:r>
    </w:p>
    <w:p w14:paraId="1C36AE69">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AAC2526">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中小企业、监狱企业及残疾人福利性单位</w:t>
      </w:r>
    </w:p>
    <w:p w14:paraId="0ED38EF3">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中小企业定义：</w:t>
      </w:r>
    </w:p>
    <w:p w14:paraId="1A77F083">
      <w:pPr>
        <w:pStyle w:val="114"/>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2607C0F7">
      <w:pPr>
        <w:pStyle w:val="114"/>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1518775C">
      <w:pPr>
        <w:pStyle w:val="114"/>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6D1449F7">
      <w:pPr>
        <w:pStyle w:val="114"/>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5A566694">
      <w:pPr>
        <w:pStyle w:val="114"/>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7ECB6EE4">
      <w:pPr>
        <w:pStyle w:val="114"/>
        <w:numPr>
          <w:ilvl w:val="1"/>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4947A46B">
      <w:pPr>
        <w:pStyle w:val="114"/>
        <w:numPr>
          <w:ilvl w:val="1"/>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74666565">
      <w:pPr>
        <w:pStyle w:val="114"/>
        <w:numPr>
          <w:ilvl w:val="2"/>
          <w:numId w:val="9"/>
        </w:numPr>
        <w:tabs>
          <w:tab w:val="left" w:pos="2035"/>
          <w:tab w:val="left" w:pos="2977"/>
        </w:tabs>
        <w:snapToGrid w:val="0"/>
        <w:spacing w:line="360" w:lineRule="auto"/>
        <w:ind w:firstLineChars="0"/>
        <w:rPr>
          <w:rFonts w:ascii="宋体" w:hAnsi="宋体" w:cs="宋体"/>
          <w:vanish/>
          <w:color w:val="auto"/>
          <w:sz w:val="24"/>
          <w:szCs w:val="24"/>
          <w:highlight w:val="none"/>
        </w:rPr>
      </w:pPr>
    </w:p>
    <w:p w14:paraId="0EBE7880">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62266155">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供应商提供的货物、工程或者服务符合下列情形的，享受中小企业扶持政策：</w:t>
      </w:r>
    </w:p>
    <w:p w14:paraId="41CD0F29">
      <w:pPr>
        <w:tabs>
          <w:tab w:val="left" w:pos="1980"/>
        </w:tabs>
        <w:snapToGrid w:val="0"/>
        <w:spacing w:line="360" w:lineRule="auto"/>
        <w:ind w:left="2835" w:leftChars="1350"/>
        <w:rPr>
          <w:rFonts w:ascii="宋体" w:hAnsi="宋体" w:cs="宋体"/>
          <w:color w:val="auto"/>
          <w:sz w:val="24"/>
          <w:highlight w:val="none"/>
        </w:rPr>
      </w:pPr>
      <w:r>
        <w:rPr>
          <w:rFonts w:hint="eastAsia" w:ascii="宋体" w:hAnsi="宋体" w:cs="宋体"/>
          <w:color w:val="auto"/>
          <w:sz w:val="24"/>
          <w:highlight w:val="none"/>
        </w:rPr>
        <w:t>（1）在货物采购项目中，货物由中小企业制造，即货物由中小企业生产且使用该中小企业商号或者注册商标；</w:t>
      </w:r>
    </w:p>
    <w:p w14:paraId="66D136A6">
      <w:pPr>
        <w:tabs>
          <w:tab w:val="left" w:pos="1980"/>
        </w:tabs>
        <w:snapToGrid w:val="0"/>
        <w:spacing w:line="360" w:lineRule="auto"/>
        <w:ind w:left="2835" w:leftChars="1350"/>
        <w:rPr>
          <w:rFonts w:ascii="宋体" w:hAnsi="宋体" w:cs="宋体"/>
          <w:color w:val="auto"/>
          <w:sz w:val="24"/>
          <w:highlight w:val="none"/>
        </w:rPr>
      </w:pPr>
      <w:r>
        <w:rPr>
          <w:rFonts w:hint="eastAsia" w:ascii="宋体" w:hAnsi="宋体" w:cs="宋体"/>
          <w:color w:val="auto"/>
          <w:sz w:val="24"/>
          <w:highlight w:val="none"/>
        </w:rPr>
        <w:t>（2）在工程采购项目中，工程由中小企业承建，即工程施工单位为中小企业；</w:t>
      </w:r>
    </w:p>
    <w:p w14:paraId="461011A3">
      <w:pPr>
        <w:tabs>
          <w:tab w:val="left" w:pos="1980"/>
        </w:tabs>
        <w:snapToGrid w:val="0"/>
        <w:spacing w:line="360" w:lineRule="auto"/>
        <w:ind w:left="2835" w:leftChars="1350"/>
        <w:rPr>
          <w:rFonts w:ascii="宋体" w:hAnsi="宋体" w:cs="宋体"/>
          <w:color w:val="auto"/>
          <w:sz w:val="24"/>
          <w:highlight w:val="none"/>
        </w:rPr>
      </w:pPr>
      <w:r>
        <w:rPr>
          <w:rFonts w:hint="eastAsia" w:ascii="宋体" w:hAnsi="宋体" w:cs="宋体"/>
          <w:color w:val="auto"/>
          <w:sz w:val="24"/>
          <w:highlight w:val="none"/>
        </w:rPr>
        <w:t>（3）在服务采购项目中，服务由中小企业承接，即提供服务的人员为中小企业依照《中华人民共和国劳动合同法》订立劳动合同的从业人员。</w:t>
      </w:r>
    </w:p>
    <w:p w14:paraId="40DC4AD0">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在货物采购项目中，供应商提供的货物既有中小企业制造货物，也有大型企业制造货物的，不享受中小企业扶持政策。</w:t>
      </w:r>
    </w:p>
    <w:p w14:paraId="6DEEBF93">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以联合体形式参加政府采购活动，联合体各方均为中小企业的，联合体视同中小企业。其中，联合体各方均为小微企业的，联合体视同小微企业。</w:t>
      </w:r>
    </w:p>
    <w:p w14:paraId="6045C69F">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36D4164">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残疾人福利单位定义：享受政府采购支持政策的残疾人福利性单位应当同时满足以下条件：</w:t>
      </w:r>
    </w:p>
    <w:p w14:paraId="2768EBDA">
      <w:pPr>
        <w:pStyle w:val="114"/>
        <w:numPr>
          <w:ilvl w:val="2"/>
          <w:numId w:val="9"/>
        </w:numPr>
        <w:tabs>
          <w:tab w:val="left" w:pos="2035"/>
          <w:tab w:val="left" w:pos="2977"/>
        </w:tabs>
        <w:snapToGrid w:val="0"/>
        <w:spacing w:line="360" w:lineRule="auto"/>
        <w:ind w:firstLineChars="0"/>
        <w:rPr>
          <w:rFonts w:ascii="宋体" w:hAnsi="宋体" w:cs="宋体"/>
          <w:vanish/>
          <w:color w:val="auto"/>
          <w:sz w:val="24"/>
          <w:szCs w:val="24"/>
          <w:highlight w:val="none"/>
        </w:rPr>
      </w:pPr>
    </w:p>
    <w:p w14:paraId="233E88D2">
      <w:pPr>
        <w:pStyle w:val="114"/>
        <w:numPr>
          <w:ilvl w:val="2"/>
          <w:numId w:val="9"/>
        </w:numPr>
        <w:tabs>
          <w:tab w:val="left" w:pos="2035"/>
          <w:tab w:val="left" w:pos="2977"/>
        </w:tabs>
        <w:snapToGrid w:val="0"/>
        <w:spacing w:line="360" w:lineRule="auto"/>
        <w:ind w:firstLineChars="0"/>
        <w:rPr>
          <w:rFonts w:ascii="宋体" w:hAnsi="宋体" w:cs="宋体"/>
          <w:vanish/>
          <w:color w:val="auto"/>
          <w:sz w:val="24"/>
          <w:szCs w:val="24"/>
          <w:highlight w:val="none"/>
        </w:rPr>
      </w:pPr>
    </w:p>
    <w:p w14:paraId="2E61A799">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安置的残疾人占本单位在职职工人数的比例不低于25%（含25%），并且安置的残疾人人数不少于10 人（含10 人）；</w:t>
      </w:r>
    </w:p>
    <w:p w14:paraId="017D1C3E">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依法与安置的每位残疾人签订了一年以上（含一年）的劳动合同或服务协议；</w:t>
      </w:r>
    </w:p>
    <w:p w14:paraId="42F9E42A">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为安置的每位残疾人按月足额缴纳了基本养老保险、基本医疗保险、失业保险、工伤保险和生育保险等社会保险费；</w:t>
      </w:r>
    </w:p>
    <w:p w14:paraId="70D5FCB4">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通过银行等金融机构向安置的每位残疾人，按月支付了不低于单位所在区县适用的经省级人民政府批准的月最低工资标准的工资；</w:t>
      </w:r>
    </w:p>
    <w:p w14:paraId="3D917695">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提供本单位制造的货物、承担的工程或者服务（以下简称产品），或者提供其他残疾人福利性单位制造的货物（不包括使用非残疾人福利性单位注册商标的货物）；</w:t>
      </w:r>
    </w:p>
    <w:p w14:paraId="6A1FAA69">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16FBB70">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本项目是否专门面向中小企业预留采购份额见第一章《投标邀请》。</w:t>
      </w:r>
    </w:p>
    <w:p w14:paraId="3D63AE57">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采购标的对应的中小企业划分标准所属行业见《投标人须知资料表》。</w:t>
      </w:r>
    </w:p>
    <w:p w14:paraId="53955D6A">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小微企业价格评审优惠的政策调整：见第四章《评标方法和评标标准》。</w:t>
      </w:r>
    </w:p>
    <w:p w14:paraId="24F5AB68">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政府采购节能产品、环境标志产品（本项目不涉及）</w:t>
      </w:r>
    </w:p>
    <w:p w14:paraId="2524BB63">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66D8386">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3CA8A835">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auto"/>
          <w:kern w:val="0"/>
          <w:sz w:val="24"/>
          <w:highlight w:val="none"/>
        </w:rPr>
        <w:t>否则</w:t>
      </w:r>
      <w:r>
        <w:rPr>
          <w:rFonts w:hint="eastAsia" w:ascii="宋体" w:hAnsi="宋体" w:cs="宋体"/>
          <w:b/>
          <w:color w:val="auto"/>
          <w:kern w:val="0"/>
          <w:sz w:val="24"/>
          <w:highlight w:val="none"/>
        </w:rPr>
        <w:t>投标无效</w:t>
      </w:r>
      <w:r>
        <w:rPr>
          <w:rFonts w:hint="eastAsia" w:ascii="宋体" w:hAnsi="宋体" w:cs="宋体"/>
          <w:color w:val="auto"/>
          <w:sz w:val="24"/>
          <w:highlight w:val="none"/>
        </w:rPr>
        <w:t>；</w:t>
      </w:r>
    </w:p>
    <w:p w14:paraId="43CBD3BB">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非政府强制采购的节能产品或环境标志产品，依据品目清单和认证证书实施政府优先采购。优先采购的具体规定见第四章《评标方法和评标标准》（本项目不涉及）。</w:t>
      </w:r>
    </w:p>
    <w:p w14:paraId="4C9540D9">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依据《关于印发〈商品包装政府采购需求标准（试行）〉、〈快递包装政府采购需求标准（试行）〉的通知》（财办库〔2020〕123号）、财政部 生态环境部 工业和信息化部关于印发《绿色数据中心政府采购需求标准（试行）》的通知（财库{2023}7号）文件精神，采购人在采购文件中明确政府采购供应商提供产品及相关快递服务的具体包装要求的，在政府采购合同中载明对政府采购供应商提供产品及相关快递服务的具体包装要求和履约验收相关条款的，</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必须严格执行，必要时应按照要求在履约验收环节出具检测报告。</w:t>
      </w:r>
    </w:p>
    <w:p w14:paraId="349D1C8C">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支持乡村产业振兴管理（本项目不涉及）</w:t>
      </w:r>
    </w:p>
    <w:p w14:paraId="2087A5E4">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为落实《关于运用政府采购政策支持乡村产业振兴的通知》（财库〔2021〕19号）有关要求，做好支持脱贫攻坚工作，本项目采购活动中对于支持乡村振兴管理的相关要求见第五章《采购需求》。</w:t>
      </w:r>
    </w:p>
    <w:p w14:paraId="5F043D9B">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正版软件（本项目不涉及）</w:t>
      </w:r>
    </w:p>
    <w:p w14:paraId="3A89FE59">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auto"/>
          <w:kern w:val="0"/>
          <w:sz w:val="24"/>
          <w:highlight w:val="none"/>
        </w:rPr>
        <w:t>否则</w:t>
      </w:r>
      <w:r>
        <w:rPr>
          <w:rFonts w:hint="eastAsia" w:ascii="宋体" w:hAnsi="宋体" w:cs="宋体"/>
          <w:b/>
          <w:color w:val="auto"/>
          <w:kern w:val="0"/>
          <w:sz w:val="24"/>
          <w:highlight w:val="none"/>
        </w:rPr>
        <w:t>投标无效</w:t>
      </w:r>
      <w:r>
        <w:rPr>
          <w:rFonts w:hint="eastAsia" w:ascii="宋体" w:hAnsi="宋体" w:cs="宋体"/>
          <w:color w:val="auto"/>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23826A08">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4AE36B8E">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政府采购创新产品政策（本项目不涉及）</w:t>
      </w:r>
    </w:p>
    <w:p w14:paraId="4EF3F123">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3851E09F">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绿色采购政策</w:t>
      </w:r>
    </w:p>
    <w:p w14:paraId="5409C01D">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绿色数据中心政策 </w:t>
      </w:r>
    </w:p>
    <w:p w14:paraId="1B0330A2">
      <w:pPr>
        <w:tabs>
          <w:tab w:val="left" w:pos="1980"/>
          <w:tab w:val="left" w:pos="2520"/>
        </w:tabs>
        <w:snapToGrid w:val="0"/>
        <w:spacing w:line="360" w:lineRule="auto"/>
        <w:ind w:left="1445"/>
        <w:rPr>
          <w:rFonts w:ascii="宋体" w:hAnsi="宋体" w:cs="宋体"/>
          <w:color w:val="auto"/>
          <w:sz w:val="24"/>
          <w:highlight w:val="none"/>
        </w:rPr>
      </w:pPr>
      <w:r>
        <w:rPr>
          <w:rFonts w:hint="eastAsia" w:ascii="宋体" w:hAnsi="宋体" w:cs="宋体"/>
          <w:color w:val="auto"/>
          <w:sz w:val="24"/>
          <w:highlight w:val="none"/>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F6A84CA">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推广应用绿色建材</w:t>
      </w:r>
    </w:p>
    <w:p w14:paraId="64BCAAD0">
      <w:pPr>
        <w:tabs>
          <w:tab w:val="left" w:pos="1980"/>
          <w:tab w:val="left" w:pos="2520"/>
        </w:tabs>
        <w:snapToGrid w:val="0"/>
        <w:spacing w:line="360" w:lineRule="auto"/>
        <w:ind w:left="1445"/>
        <w:rPr>
          <w:rFonts w:ascii="宋体" w:hAnsi="宋体" w:cs="宋体"/>
          <w:color w:val="auto"/>
          <w:sz w:val="24"/>
          <w:highlight w:val="none"/>
        </w:rPr>
      </w:pPr>
      <w:r>
        <w:rPr>
          <w:rFonts w:hint="eastAsia" w:ascii="宋体" w:hAnsi="宋体" w:cs="宋体"/>
          <w:color w:val="auto"/>
          <w:sz w:val="24"/>
          <w:highlight w:val="none"/>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693A228D">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优先使用低挥发性有机化合物产品</w:t>
      </w:r>
    </w:p>
    <w:p w14:paraId="33A44812">
      <w:pPr>
        <w:tabs>
          <w:tab w:val="left" w:pos="1980"/>
          <w:tab w:val="left" w:pos="2520"/>
        </w:tabs>
        <w:snapToGrid w:val="0"/>
        <w:spacing w:line="360" w:lineRule="auto"/>
        <w:ind w:left="1445"/>
        <w:rPr>
          <w:rFonts w:ascii="宋体" w:hAnsi="宋体" w:cs="宋体"/>
          <w:color w:val="auto"/>
          <w:sz w:val="24"/>
          <w:highlight w:val="none"/>
        </w:rPr>
      </w:pPr>
      <w:r>
        <w:rPr>
          <w:rFonts w:hint="eastAsia" w:ascii="宋体" w:hAnsi="宋体" w:cs="宋体"/>
          <w:color w:val="auto"/>
          <w:sz w:val="24"/>
          <w:highlight w:val="none"/>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13C2A693">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投标费用</w:t>
      </w:r>
    </w:p>
    <w:p w14:paraId="6B712080">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投标人应自行承担所有与准备和参加投标有关的费用，无论投标的结果如何，采购人或采购代理机构在任何情况下均无承担这些费用的义务和责任。</w:t>
      </w:r>
    </w:p>
    <w:p w14:paraId="5964A8D3">
      <w:pPr>
        <w:snapToGrid w:val="0"/>
        <w:spacing w:line="360" w:lineRule="auto"/>
        <w:jc w:val="center"/>
        <w:rPr>
          <w:rFonts w:ascii="宋体" w:hAnsi="宋体"/>
          <w:b/>
          <w:bCs/>
          <w:color w:val="auto"/>
          <w:sz w:val="28"/>
          <w:szCs w:val="28"/>
          <w:highlight w:val="none"/>
        </w:rPr>
      </w:pPr>
      <w:bookmarkStart w:id="161" w:name="_1.8_计量单位"/>
      <w:bookmarkEnd w:id="161"/>
    </w:p>
    <w:p w14:paraId="022970EB">
      <w:pPr>
        <w:snapToGrid w:val="0"/>
        <w:spacing w:line="360" w:lineRule="auto"/>
        <w:jc w:val="center"/>
        <w:rPr>
          <w:rFonts w:ascii="宋体" w:hAnsi="宋体"/>
          <w:b/>
          <w:bCs/>
          <w:color w:val="auto"/>
          <w:sz w:val="28"/>
          <w:szCs w:val="28"/>
          <w:highlight w:val="none"/>
        </w:rPr>
      </w:pPr>
      <w:r>
        <w:rPr>
          <w:rFonts w:hint="eastAsia" w:ascii="宋体" w:hAnsi="宋体"/>
          <w:b/>
          <w:bCs/>
          <w:color w:val="auto"/>
          <w:sz w:val="28"/>
          <w:szCs w:val="28"/>
          <w:highlight w:val="none"/>
        </w:rPr>
        <w:t>二   招标文件</w:t>
      </w:r>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p w14:paraId="2E127A9A">
      <w:pPr>
        <w:numPr>
          <w:ilvl w:val="0"/>
          <w:numId w:val="8"/>
        </w:numPr>
        <w:tabs>
          <w:tab w:val="left" w:pos="360"/>
        </w:tabs>
        <w:snapToGrid w:val="0"/>
        <w:spacing w:line="360" w:lineRule="auto"/>
        <w:ind w:left="357" w:hanging="357"/>
        <w:rPr>
          <w:rFonts w:ascii="宋体" w:hAnsi="宋体" w:cs="宋体"/>
          <w:color w:val="auto"/>
          <w:sz w:val="24"/>
          <w:highlight w:val="none"/>
        </w:rPr>
      </w:pPr>
      <w:bookmarkStart w:id="162" w:name="_Toc305158791"/>
      <w:bookmarkStart w:id="163" w:name="_Toc151190150"/>
      <w:bookmarkStart w:id="164" w:name="_Toc150774623"/>
      <w:bookmarkStart w:id="165" w:name="_Toc151193765"/>
      <w:bookmarkStart w:id="166" w:name="_Toc127151724"/>
      <w:bookmarkStart w:id="167" w:name="_Toc149720816"/>
      <w:bookmarkStart w:id="168" w:name="_Toc151193911"/>
      <w:bookmarkStart w:id="169" w:name="_Toc151193837"/>
      <w:bookmarkStart w:id="170" w:name="_Toc150774728"/>
      <w:bookmarkStart w:id="171" w:name="_Toc305158865"/>
      <w:bookmarkStart w:id="172" w:name="_Toc226965713"/>
      <w:bookmarkStart w:id="173" w:name="_Toc226965796"/>
      <w:bookmarkStart w:id="174" w:name="_Toc142311025"/>
      <w:bookmarkStart w:id="175" w:name="_Toc151193693"/>
      <w:bookmarkStart w:id="176" w:name="_Toc520356147"/>
      <w:bookmarkStart w:id="177" w:name="_Toc150480761"/>
      <w:bookmarkStart w:id="178" w:name="_Toc164229364"/>
      <w:bookmarkStart w:id="179" w:name="_Toc164608637"/>
      <w:bookmarkStart w:id="180" w:name="_Toc226309767"/>
      <w:bookmarkStart w:id="181" w:name="_Toc195842888"/>
      <w:bookmarkStart w:id="182" w:name="_Toc264969213"/>
      <w:bookmarkStart w:id="183" w:name="_Toc127161437"/>
      <w:bookmarkStart w:id="184" w:name="_Toc150509274"/>
      <w:bookmarkStart w:id="185" w:name="_Toc164351617"/>
      <w:bookmarkStart w:id="186" w:name="_Toc164608792"/>
      <w:bookmarkStart w:id="187" w:name="_Toc164229218"/>
      <w:bookmarkStart w:id="188" w:name="_Toc265228361"/>
      <w:bookmarkStart w:id="189" w:name="_Toc226337219"/>
      <w:bookmarkStart w:id="190" w:name="_Toc151193621"/>
      <w:bookmarkStart w:id="191" w:name="_Toc127151523"/>
      <w:r>
        <w:rPr>
          <w:rFonts w:hint="eastAsia" w:ascii="宋体" w:hAnsi="宋体" w:cs="宋体"/>
          <w:color w:val="auto"/>
          <w:sz w:val="24"/>
          <w:highlight w:val="none"/>
        </w:rPr>
        <w:t>招标文件构</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r>
        <w:rPr>
          <w:rFonts w:hint="eastAsia" w:ascii="宋体" w:hAnsi="宋体" w:cs="宋体"/>
          <w:color w:val="auto"/>
          <w:sz w:val="24"/>
          <w:highlight w:val="none"/>
        </w:rPr>
        <w:t>成</w:t>
      </w:r>
    </w:p>
    <w:p w14:paraId="3D27CAA9">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招标文件包括以下部分：</w:t>
      </w:r>
    </w:p>
    <w:p w14:paraId="0673A284">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投标邀请</w:t>
      </w:r>
    </w:p>
    <w:p w14:paraId="3C72ACDB">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投标人须知</w:t>
      </w:r>
    </w:p>
    <w:p w14:paraId="12D2AEFF">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资格审查</w:t>
      </w:r>
    </w:p>
    <w:p w14:paraId="22DAC709">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评标程序、评标方法和评标标准</w:t>
      </w:r>
    </w:p>
    <w:p w14:paraId="6DCACD5C">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采购需求</w:t>
      </w:r>
    </w:p>
    <w:p w14:paraId="2C786089">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拟签订的合同文本</w:t>
      </w:r>
    </w:p>
    <w:p w14:paraId="55F89AC9">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投标文件格式</w:t>
      </w:r>
    </w:p>
    <w:p w14:paraId="3681E3AC">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3B372AA3">
      <w:pPr>
        <w:numPr>
          <w:ilvl w:val="0"/>
          <w:numId w:val="8"/>
        </w:numPr>
        <w:tabs>
          <w:tab w:val="left" w:pos="1080"/>
          <w:tab w:val="left" w:pos="2014"/>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对招标文件的澄清或修改</w:t>
      </w:r>
    </w:p>
    <w:p w14:paraId="2F01F902">
      <w:pPr>
        <w:numPr>
          <w:ilvl w:val="1"/>
          <w:numId w:val="8"/>
        </w:numPr>
        <w:tabs>
          <w:tab w:val="left" w:pos="1080"/>
          <w:tab w:val="left" w:pos="1561"/>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采购人或采购代理机构对已发出的招标文件进行必要澄清或者修改的，将在原公告发布媒体上以发布更正公告的形式通知所有获取招标文件的潜在投标人。</w:t>
      </w:r>
    </w:p>
    <w:p w14:paraId="1079BC2C">
      <w:pPr>
        <w:numPr>
          <w:ilvl w:val="1"/>
          <w:numId w:val="8"/>
        </w:numPr>
        <w:tabs>
          <w:tab w:val="left" w:pos="1080"/>
          <w:tab w:val="left" w:pos="1561"/>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p>
    <w:p w14:paraId="141F13DD">
      <w:pPr>
        <w:snapToGrid w:val="0"/>
        <w:spacing w:line="360" w:lineRule="auto"/>
        <w:jc w:val="center"/>
        <w:rPr>
          <w:rFonts w:ascii="宋体" w:hAnsi="宋体"/>
          <w:b/>
          <w:bCs/>
          <w:color w:val="auto"/>
          <w:sz w:val="28"/>
          <w:szCs w:val="28"/>
          <w:highlight w:val="none"/>
        </w:rPr>
      </w:pPr>
      <w:bookmarkStart w:id="192" w:name="_Toc516367020"/>
      <w:bookmarkStart w:id="193" w:name="_Toc150774626"/>
      <w:bookmarkStart w:id="194" w:name="_Toc151193840"/>
      <w:bookmarkStart w:id="195" w:name="_Toc305158794"/>
      <w:bookmarkStart w:id="196" w:name="_Toc226309770"/>
      <w:bookmarkStart w:id="197" w:name="_Toc151193914"/>
      <w:bookmarkStart w:id="198" w:name="_Toc150509277"/>
      <w:bookmarkStart w:id="199" w:name="_Toc142311028"/>
      <w:bookmarkStart w:id="200" w:name="_Toc264969216"/>
      <w:bookmarkStart w:id="201" w:name="_Toc226337222"/>
      <w:bookmarkStart w:id="202" w:name="_Toc305158868"/>
      <w:bookmarkStart w:id="203" w:name="_Toc151190153"/>
      <w:bookmarkStart w:id="204" w:name="_Toc265228364"/>
      <w:bookmarkStart w:id="205" w:name="_Toc151193624"/>
      <w:bookmarkStart w:id="206" w:name="_Toc150480764"/>
      <w:bookmarkStart w:id="207" w:name="_Toc127151526"/>
      <w:bookmarkStart w:id="208" w:name="_Toc151193768"/>
      <w:bookmarkStart w:id="209" w:name="_Toc195842891"/>
      <w:bookmarkStart w:id="210" w:name="_Toc520356150"/>
      <w:bookmarkStart w:id="211" w:name="_Toc151193696"/>
      <w:bookmarkStart w:id="212" w:name="_Toc226965799"/>
      <w:bookmarkStart w:id="213" w:name="_Toc150774731"/>
      <w:bookmarkStart w:id="214" w:name="_Toc226965716"/>
    </w:p>
    <w:p w14:paraId="53AACEDF">
      <w:pPr>
        <w:snapToGrid w:val="0"/>
        <w:spacing w:line="360" w:lineRule="auto"/>
        <w:jc w:val="center"/>
        <w:rPr>
          <w:rFonts w:ascii="宋体" w:hAnsi="宋体"/>
          <w:b/>
          <w:bCs/>
          <w:color w:val="auto"/>
          <w:sz w:val="28"/>
          <w:szCs w:val="28"/>
          <w:highlight w:val="none"/>
        </w:rPr>
      </w:pPr>
      <w:r>
        <w:rPr>
          <w:rFonts w:hint="eastAsia" w:ascii="宋体" w:hAnsi="宋体"/>
          <w:b/>
          <w:bCs/>
          <w:color w:val="auto"/>
          <w:sz w:val="28"/>
          <w:szCs w:val="28"/>
          <w:highlight w:val="none"/>
        </w:rPr>
        <w:t>三   投标文件</w:t>
      </w:r>
      <w:bookmarkEnd w:id="192"/>
      <w:r>
        <w:rPr>
          <w:rFonts w:hint="eastAsia" w:ascii="宋体" w:hAnsi="宋体"/>
          <w:b/>
          <w:bCs/>
          <w:color w:val="auto"/>
          <w:sz w:val="28"/>
          <w:szCs w:val="28"/>
          <w:highlight w:val="none"/>
        </w:rPr>
        <w:t>的编制</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p w14:paraId="4A7967E9">
      <w:pPr>
        <w:numPr>
          <w:ilvl w:val="0"/>
          <w:numId w:val="8"/>
        </w:numPr>
        <w:tabs>
          <w:tab w:val="left" w:pos="360"/>
        </w:tabs>
        <w:snapToGrid w:val="0"/>
        <w:spacing w:line="360" w:lineRule="auto"/>
        <w:ind w:left="357" w:hanging="357"/>
        <w:rPr>
          <w:rFonts w:ascii="宋体" w:hAnsi="宋体" w:cs="宋体"/>
          <w:color w:val="auto"/>
          <w:sz w:val="24"/>
          <w:highlight w:val="none"/>
        </w:rPr>
      </w:pPr>
      <w:bookmarkStart w:id="215" w:name="_Toc150774732"/>
      <w:bookmarkStart w:id="216" w:name="_Toc127151527"/>
      <w:bookmarkStart w:id="217" w:name="_Toc164229222"/>
      <w:bookmarkStart w:id="218" w:name="_Toc516367021"/>
      <w:bookmarkStart w:id="219" w:name="_Toc265228365"/>
      <w:bookmarkStart w:id="220" w:name="_Toc226965800"/>
      <w:bookmarkStart w:id="221" w:name="_Toc305158869"/>
      <w:bookmarkStart w:id="222" w:name="_Toc264969217"/>
      <w:bookmarkStart w:id="223" w:name="_Toc150509278"/>
      <w:bookmarkStart w:id="224" w:name="_Toc305158795"/>
      <w:bookmarkStart w:id="225" w:name="_Toc142311029"/>
      <w:bookmarkStart w:id="226" w:name="_Toc150480765"/>
      <w:bookmarkStart w:id="227" w:name="_Toc164351621"/>
      <w:bookmarkStart w:id="228" w:name="_Toc226965717"/>
      <w:bookmarkStart w:id="229" w:name="_Toc127161441"/>
      <w:bookmarkStart w:id="230" w:name="_Toc149720820"/>
      <w:bookmarkStart w:id="231" w:name="_Toc164229368"/>
      <w:bookmarkStart w:id="232" w:name="_Toc151190154"/>
      <w:bookmarkStart w:id="233" w:name="_Toc150774627"/>
      <w:bookmarkStart w:id="234" w:name="_Toc195842892"/>
      <w:bookmarkStart w:id="235" w:name="_Toc226337223"/>
      <w:bookmarkStart w:id="236" w:name="_Toc151193769"/>
      <w:bookmarkStart w:id="237" w:name="_Toc164608796"/>
      <w:bookmarkStart w:id="238" w:name="_Toc164608641"/>
      <w:bookmarkStart w:id="239" w:name="_Toc226309771"/>
      <w:bookmarkStart w:id="240" w:name="_Toc520356151"/>
      <w:bookmarkStart w:id="241" w:name="_Toc151193697"/>
      <w:bookmarkStart w:id="242" w:name="_Toc151193841"/>
      <w:bookmarkStart w:id="243" w:name="_Toc151193915"/>
      <w:bookmarkStart w:id="244" w:name="_Toc127151728"/>
      <w:bookmarkStart w:id="245" w:name="_Toc151193625"/>
      <w:r>
        <w:rPr>
          <w:rFonts w:hint="eastAsia" w:ascii="宋体" w:hAnsi="宋体" w:cs="宋体"/>
          <w:color w:val="auto"/>
          <w:sz w:val="24"/>
          <w:highlight w:val="none"/>
        </w:rPr>
        <w:t>投标范围、投标文件中计量单位的使用</w:t>
      </w:r>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r>
        <w:rPr>
          <w:rFonts w:hint="eastAsia" w:ascii="宋体" w:hAnsi="宋体" w:cs="宋体"/>
          <w:color w:val="auto"/>
          <w:sz w:val="24"/>
          <w:highlight w:val="none"/>
        </w:rPr>
        <w:t>及投标语言</w:t>
      </w:r>
    </w:p>
    <w:p w14:paraId="4AB1030A">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auto"/>
          <w:sz w:val="24"/>
          <w:highlight w:val="none"/>
        </w:rPr>
        <w:t>无效投标</w:t>
      </w:r>
      <w:r>
        <w:rPr>
          <w:rFonts w:hint="eastAsia" w:ascii="宋体" w:hAnsi="宋体" w:cs="宋体"/>
          <w:color w:val="auto"/>
          <w:sz w:val="24"/>
          <w:highlight w:val="none"/>
        </w:rPr>
        <w:t>。</w:t>
      </w:r>
    </w:p>
    <w:p w14:paraId="734B2342">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除招标文件有特殊要求外，本项目投标所使用的计量单位，应采用中华人民共和国法定计量单位。</w:t>
      </w:r>
    </w:p>
    <w:p w14:paraId="7CC77F27">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2D7B438A">
      <w:pPr>
        <w:numPr>
          <w:ilvl w:val="0"/>
          <w:numId w:val="8"/>
        </w:numPr>
        <w:tabs>
          <w:tab w:val="left" w:pos="360"/>
        </w:tabs>
        <w:snapToGrid w:val="0"/>
        <w:spacing w:line="360" w:lineRule="auto"/>
        <w:ind w:left="357" w:hanging="357"/>
        <w:rPr>
          <w:rFonts w:ascii="宋体" w:hAnsi="宋体" w:cs="宋体"/>
          <w:color w:val="auto"/>
          <w:sz w:val="24"/>
          <w:highlight w:val="none"/>
        </w:rPr>
      </w:pPr>
      <w:bookmarkStart w:id="246" w:name="_Ref467306676"/>
      <w:bookmarkStart w:id="247" w:name="_Toc516367022"/>
      <w:bookmarkStart w:id="248" w:name="_Ref467306195"/>
      <w:bookmarkStart w:id="249" w:name="_Toc150480766"/>
      <w:bookmarkStart w:id="250" w:name="_Toc164229369"/>
      <w:bookmarkStart w:id="251" w:name="_Toc151193770"/>
      <w:bookmarkStart w:id="252" w:name="_Toc226965801"/>
      <w:bookmarkStart w:id="253" w:name="_Toc164351622"/>
      <w:bookmarkStart w:id="254" w:name="_Toc151193698"/>
      <w:bookmarkStart w:id="255" w:name="_Toc195842893"/>
      <w:bookmarkStart w:id="256" w:name="_Toc151193626"/>
      <w:bookmarkStart w:id="257" w:name="_Toc151193916"/>
      <w:bookmarkStart w:id="258" w:name="_Toc149720821"/>
      <w:bookmarkStart w:id="259" w:name="_Toc305158796"/>
      <w:bookmarkStart w:id="260" w:name="_Toc150774628"/>
      <w:bookmarkStart w:id="261" w:name="_Toc226309772"/>
      <w:bookmarkStart w:id="262" w:name="_Toc164608642"/>
      <w:bookmarkStart w:id="263" w:name="_Toc127151729"/>
      <w:bookmarkStart w:id="264" w:name="_Toc151193842"/>
      <w:bookmarkStart w:id="265" w:name="_Toc127151528"/>
      <w:bookmarkStart w:id="266" w:name="_Toc265228366"/>
      <w:bookmarkStart w:id="267" w:name="_Toc164229223"/>
      <w:bookmarkStart w:id="268" w:name="_Toc520356152"/>
      <w:bookmarkStart w:id="269" w:name="_Toc164608797"/>
      <w:bookmarkStart w:id="270" w:name="_Toc264969218"/>
      <w:bookmarkStart w:id="271" w:name="_Toc226965718"/>
      <w:bookmarkStart w:id="272" w:name="_Toc226337224"/>
      <w:bookmarkStart w:id="273" w:name="_Toc127161442"/>
      <w:bookmarkStart w:id="274" w:name="_Toc151190155"/>
      <w:bookmarkStart w:id="275" w:name="_Toc150509279"/>
      <w:bookmarkStart w:id="276" w:name="_Toc150774733"/>
      <w:bookmarkStart w:id="277" w:name="_Toc142311030"/>
      <w:bookmarkStart w:id="278" w:name="_Toc305158870"/>
      <w:r>
        <w:rPr>
          <w:rFonts w:hint="eastAsia" w:ascii="宋体" w:hAnsi="宋体" w:cs="宋体"/>
          <w:color w:val="auto"/>
          <w:sz w:val="24"/>
          <w:highlight w:val="none"/>
        </w:rPr>
        <w:t>投标文件</w:t>
      </w:r>
      <w:bookmarkEnd w:id="246"/>
      <w:bookmarkEnd w:id="247"/>
      <w:bookmarkEnd w:id="248"/>
      <w:r>
        <w:rPr>
          <w:rFonts w:hint="eastAsia" w:ascii="宋体" w:hAnsi="宋体" w:cs="宋体"/>
          <w:color w:val="auto"/>
          <w:sz w:val="24"/>
          <w:highlight w:val="none"/>
        </w:rPr>
        <w:t>构成</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14:paraId="5CFA1B64">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bookmarkStart w:id="279" w:name="_Ref467052588"/>
      <w:r>
        <w:rPr>
          <w:rFonts w:hint="eastAsia" w:ascii="宋体" w:hAnsi="宋体" w:cs="宋体"/>
          <w:color w:val="auto"/>
          <w:sz w:val="24"/>
          <w:highlight w:val="none"/>
        </w:rPr>
        <w:t>投标人应当按照招标文件的要求编制投标文件。投标文件应由《资格证明文件》、《商务技术文件》两部分构成。投标文件的部分格式要求，见第七章《投标文件格式》。</w:t>
      </w:r>
    </w:p>
    <w:p w14:paraId="365BCD6F">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kern w:val="0"/>
          <w:sz w:val="24"/>
          <w:highlight w:val="none"/>
        </w:rPr>
        <w:t>对于招标文件中标记了“实质性格式”文件的，</w:t>
      </w:r>
      <w:r>
        <w:rPr>
          <w:rFonts w:hint="eastAsia" w:ascii="宋体" w:hAnsi="宋体" w:cs="宋体"/>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auto"/>
          <w:kern w:val="0"/>
          <w:sz w:val="24"/>
          <w:highlight w:val="none"/>
        </w:rPr>
        <w:t>否则</w:t>
      </w:r>
      <w:r>
        <w:rPr>
          <w:rFonts w:hint="eastAsia" w:ascii="宋体" w:hAnsi="宋体" w:cs="宋体"/>
          <w:b/>
          <w:color w:val="auto"/>
          <w:kern w:val="0"/>
          <w:sz w:val="24"/>
          <w:highlight w:val="none"/>
        </w:rPr>
        <w:t>投标无效</w:t>
      </w:r>
      <w:r>
        <w:rPr>
          <w:rFonts w:hint="eastAsia" w:ascii="宋体" w:hAnsi="宋体" w:cs="宋体"/>
          <w:color w:val="auto"/>
          <w:kern w:val="0"/>
          <w:sz w:val="24"/>
          <w:highlight w:val="none"/>
        </w:rPr>
        <w:t>。未标记“实质性格式”的文件和招标文件未提供格式的内容，可由投标人自行编写。</w:t>
      </w:r>
    </w:p>
    <w:p w14:paraId="694369FE">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第四章《评标程序、评标方法和评标标准》中涉及的证明文件。</w:t>
      </w:r>
    </w:p>
    <w:p w14:paraId="6D65C9E2">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286884B7">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投标人认为应附的其他材料。</w:t>
      </w:r>
      <w:bookmarkEnd w:id="279"/>
    </w:p>
    <w:p w14:paraId="542BF7C7">
      <w:pPr>
        <w:numPr>
          <w:ilvl w:val="0"/>
          <w:numId w:val="8"/>
        </w:numPr>
        <w:tabs>
          <w:tab w:val="left" w:pos="360"/>
        </w:tabs>
        <w:snapToGrid w:val="0"/>
        <w:spacing w:line="360" w:lineRule="auto"/>
        <w:ind w:left="357" w:hanging="357"/>
        <w:rPr>
          <w:rFonts w:ascii="宋体" w:hAnsi="宋体" w:cs="宋体"/>
          <w:color w:val="auto"/>
          <w:sz w:val="24"/>
          <w:highlight w:val="none"/>
        </w:rPr>
      </w:pPr>
      <w:bookmarkStart w:id="280" w:name="_Toc195842895"/>
      <w:bookmarkStart w:id="281" w:name="_Toc150480768"/>
      <w:bookmarkStart w:id="282" w:name="_Toc164608644"/>
      <w:bookmarkStart w:id="283" w:name="_Toc150774630"/>
      <w:bookmarkStart w:id="284" w:name="_Toc151193772"/>
      <w:bookmarkStart w:id="285" w:name="_Toc151193844"/>
      <w:bookmarkStart w:id="286" w:name="_Toc164229371"/>
      <w:bookmarkStart w:id="287" w:name="_Toc127161444"/>
      <w:bookmarkStart w:id="288" w:name="_Toc150509281"/>
      <w:bookmarkStart w:id="289" w:name="_Toc127151530"/>
      <w:bookmarkStart w:id="290" w:name="_Toc127151731"/>
      <w:bookmarkStart w:id="291" w:name="_Toc142311032"/>
      <w:bookmarkStart w:id="292" w:name="_Toc150774735"/>
      <w:bookmarkStart w:id="293" w:name="_Toc164608799"/>
      <w:bookmarkStart w:id="294" w:name="_Toc151193700"/>
      <w:bookmarkStart w:id="295" w:name="_Toc520356155"/>
      <w:bookmarkStart w:id="296" w:name="_Toc151193628"/>
      <w:bookmarkStart w:id="297" w:name="_Toc149720823"/>
      <w:bookmarkStart w:id="298" w:name="_Toc164229225"/>
      <w:bookmarkStart w:id="299" w:name="_Toc164351624"/>
      <w:bookmarkStart w:id="300" w:name="_Toc151190157"/>
      <w:bookmarkStart w:id="301" w:name="_Toc151193918"/>
      <w:r>
        <w:rPr>
          <w:rFonts w:hint="eastAsia" w:ascii="宋体" w:hAnsi="宋体" w:cs="宋体"/>
          <w:color w:val="auto"/>
          <w:sz w:val="24"/>
          <w:highlight w:val="none"/>
        </w:rPr>
        <w:t>投标报价</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p>
    <w:p w14:paraId="5EEB8233">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所有投标均以人民币报价。</w:t>
      </w:r>
    </w:p>
    <w:p w14:paraId="1915FC8A">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投标人的报价应包括为完成本项目所发生的一切费用和税费，采购人将不再支付报价以外的任何费用。投标人的报价应包括但不限于下列内容，《投标人须知资料表》中有特殊规定的，从其规定。</w:t>
      </w:r>
    </w:p>
    <w:p w14:paraId="782A8370">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总价应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p>
    <w:p w14:paraId="5854D257">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按照招标文件要求完成本项目的全部相关服务费用。 </w:t>
      </w:r>
    </w:p>
    <w:p w14:paraId="090AA8BF">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采购人不得向供应商索要或者接受其给予的赠品、回扣或者与采购无关的其他商品、服务。</w:t>
      </w:r>
    </w:p>
    <w:p w14:paraId="59462B42">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投标人不能提供任何有选择性或可调整的报价，否则其</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3924186A">
      <w:pPr>
        <w:numPr>
          <w:ilvl w:val="0"/>
          <w:numId w:val="8"/>
        </w:numPr>
        <w:tabs>
          <w:tab w:val="left" w:pos="360"/>
        </w:tabs>
        <w:snapToGrid w:val="0"/>
        <w:spacing w:line="360" w:lineRule="auto"/>
        <w:ind w:left="357" w:hanging="357"/>
        <w:rPr>
          <w:rFonts w:ascii="宋体" w:hAnsi="宋体" w:cs="宋体"/>
          <w:color w:val="auto"/>
          <w:sz w:val="24"/>
          <w:highlight w:val="none"/>
        </w:rPr>
      </w:pPr>
      <w:bookmarkStart w:id="302" w:name="_Toc127151531"/>
      <w:bookmarkStart w:id="303" w:name="_Toc164608800"/>
      <w:bookmarkStart w:id="304" w:name="_Toc127151732"/>
      <w:bookmarkStart w:id="305" w:name="_Toc265228369"/>
      <w:bookmarkStart w:id="306" w:name="_Ref467306513"/>
      <w:bookmarkStart w:id="307" w:name="_Toc520356156"/>
      <w:bookmarkStart w:id="308" w:name="_Toc151193919"/>
      <w:bookmarkStart w:id="309" w:name="_Toc226309775"/>
      <w:bookmarkStart w:id="310" w:name="_Toc151193629"/>
      <w:bookmarkStart w:id="311" w:name="_Toc151193845"/>
      <w:bookmarkStart w:id="312" w:name="_Toc264969221"/>
      <w:bookmarkStart w:id="313" w:name="_Toc151193773"/>
      <w:bookmarkStart w:id="314" w:name="_Toc149720824"/>
      <w:bookmarkStart w:id="315" w:name="_Toc305158873"/>
      <w:bookmarkStart w:id="316" w:name="_Toc151193701"/>
      <w:bookmarkStart w:id="317" w:name="_Toc164229372"/>
      <w:bookmarkStart w:id="318" w:name="_Toc150480769"/>
      <w:bookmarkStart w:id="319" w:name="_Toc151190158"/>
      <w:bookmarkStart w:id="320" w:name="_Toc195842896"/>
      <w:bookmarkStart w:id="321" w:name="_Toc226965804"/>
      <w:bookmarkStart w:id="322" w:name="_Toc150509282"/>
      <w:bookmarkStart w:id="323" w:name="_Toc164229226"/>
      <w:bookmarkStart w:id="324" w:name="_Toc127161445"/>
      <w:bookmarkStart w:id="325" w:name="_Toc150774736"/>
      <w:bookmarkStart w:id="326" w:name="_Toc164351625"/>
      <w:bookmarkStart w:id="327" w:name="_Toc164608645"/>
      <w:bookmarkStart w:id="328" w:name="_Toc226965721"/>
      <w:bookmarkStart w:id="329" w:name="_Toc305158799"/>
      <w:bookmarkStart w:id="330" w:name="_Toc226337227"/>
      <w:bookmarkStart w:id="331" w:name="_Toc150774631"/>
      <w:bookmarkStart w:id="332" w:name="_Toc142311033"/>
      <w:r>
        <w:rPr>
          <w:rFonts w:hint="eastAsia" w:ascii="宋体" w:hAnsi="宋体" w:cs="宋体"/>
          <w:color w:val="auto"/>
          <w:sz w:val="24"/>
          <w:highlight w:val="none"/>
        </w:rPr>
        <w:t>投标保证金</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p w14:paraId="3BFA88F7">
      <w:pPr>
        <w:tabs>
          <w:tab w:val="left" w:pos="360"/>
        </w:tabs>
        <w:snapToGrid w:val="0"/>
        <w:spacing w:line="360" w:lineRule="auto"/>
        <w:ind w:left="357"/>
        <w:rPr>
          <w:rFonts w:ascii="宋体" w:hAnsi="宋体" w:cs="宋体"/>
          <w:color w:val="auto"/>
          <w:sz w:val="24"/>
          <w:highlight w:val="none"/>
        </w:rPr>
      </w:pPr>
      <w:r>
        <w:rPr>
          <w:rFonts w:hint="eastAsia" w:ascii="宋体" w:hAnsi="宋体" w:cs="宋体"/>
          <w:color w:val="auto"/>
          <w:sz w:val="24"/>
          <w:highlight w:val="none"/>
        </w:rPr>
        <w:t>根据江苏省和常州市的相关文件规定，免收投标保证金。</w:t>
      </w:r>
    </w:p>
    <w:p w14:paraId="6C1CC8C8">
      <w:pPr>
        <w:numPr>
          <w:ilvl w:val="0"/>
          <w:numId w:val="8"/>
        </w:numPr>
        <w:tabs>
          <w:tab w:val="left" w:pos="360"/>
        </w:tabs>
        <w:snapToGrid w:val="0"/>
        <w:spacing w:line="360" w:lineRule="auto"/>
        <w:ind w:left="357" w:hanging="357"/>
        <w:rPr>
          <w:rFonts w:ascii="宋体" w:hAnsi="宋体" w:cs="宋体"/>
          <w:color w:val="auto"/>
          <w:sz w:val="24"/>
          <w:highlight w:val="none"/>
        </w:rPr>
      </w:pPr>
      <w:bookmarkStart w:id="333" w:name="_Toc305158874"/>
      <w:bookmarkStart w:id="334" w:name="_Toc150480770"/>
      <w:bookmarkStart w:id="335" w:name="_Toc164608801"/>
      <w:bookmarkStart w:id="336" w:name="_Toc151190159"/>
      <w:bookmarkStart w:id="337" w:name="_Toc151193702"/>
      <w:bookmarkStart w:id="338" w:name="_Toc151193920"/>
      <w:bookmarkStart w:id="339" w:name="_Toc127151733"/>
      <w:bookmarkStart w:id="340" w:name="_Toc150774737"/>
      <w:bookmarkStart w:id="341" w:name="_Toc164229227"/>
      <w:bookmarkStart w:id="342" w:name="_Toc164229373"/>
      <w:bookmarkStart w:id="343" w:name="_Toc149720825"/>
      <w:bookmarkStart w:id="344" w:name="_Toc151193846"/>
      <w:bookmarkStart w:id="345" w:name="_Toc127151532"/>
      <w:bookmarkStart w:id="346" w:name="_Toc520356157"/>
      <w:bookmarkStart w:id="347" w:name="_Toc151193774"/>
      <w:bookmarkStart w:id="348" w:name="_Toc305158800"/>
      <w:bookmarkStart w:id="349" w:name="_Toc195842897"/>
      <w:bookmarkStart w:id="350" w:name="_Toc151193630"/>
      <w:bookmarkStart w:id="351" w:name="_Toc264969222"/>
      <w:bookmarkStart w:id="352" w:name="_Toc226309776"/>
      <w:bookmarkStart w:id="353" w:name="_Toc142311034"/>
      <w:bookmarkStart w:id="354" w:name="_Toc150509283"/>
      <w:bookmarkStart w:id="355" w:name="_Toc226965722"/>
      <w:bookmarkStart w:id="356" w:name="_Toc226337228"/>
      <w:bookmarkStart w:id="357" w:name="_Toc226965805"/>
      <w:bookmarkStart w:id="358" w:name="_Toc265228370"/>
      <w:bookmarkStart w:id="359" w:name="_Toc127161446"/>
      <w:bookmarkStart w:id="360" w:name="_Toc150774632"/>
      <w:bookmarkStart w:id="361" w:name="_Toc164608646"/>
      <w:bookmarkStart w:id="362" w:name="_Toc164351626"/>
      <w:r>
        <w:rPr>
          <w:rFonts w:hint="eastAsia" w:ascii="宋体" w:hAnsi="宋体" w:cs="宋体"/>
          <w:color w:val="auto"/>
          <w:sz w:val="24"/>
          <w:highlight w:val="none"/>
        </w:rPr>
        <w:t>投标有效期</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p>
    <w:p w14:paraId="43E9E38D">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投标文件应在本招标文件《投标人须知资料表》中规定的投标有效期内保持有效，投标有效期少于招标文件规定期限的，其</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72607596">
      <w:pPr>
        <w:numPr>
          <w:ilvl w:val="0"/>
          <w:numId w:val="8"/>
        </w:numPr>
        <w:tabs>
          <w:tab w:val="left" w:pos="360"/>
        </w:tabs>
        <w:snapToGrid w:val="0"/>
        <w:spacing w:line="360" w:lineRule="auto"/>
        <w:ind w:left="357" w:hanging="357"/>
        <w:outlineLvl w:val="1"/>
        <w:rPr>
          <w:color w:val="auto"/>
          <w:sz w:val="24"/>
          <w:highlight w:val="none"/>
        </w:rPr>
      </w:pPr>
      <w:bookmarkStart w:id="363" w:name="_Toc127151533"/>
      <w:bookmarkStart w:id="364" w:name="_Toc226965806"/>
      <w:bookmarkStart w:id="365" w:name="_Toc151193703"/>
      <w:bookmarkStart w:id="366" w:name="_Toc164229228"/>
      <w:bookmarkStart w:id="367" w:name="_Toc164608647"/>
      <w:bookmarkStart w:id="368" w:name="_Toc520356158"/>
      <w:bookmarkStart w:id="369" w:name="_Toc226965723"/>
      <w:bookmarkStart w:id="370" w:name="_Toc265228371"/>
      <w:bookmarkStart w:id="371" w:name="_Toc164351627"/>
      <w:bookmarkStart w:id="372" w:name="_Toc151193921"/>
      <w:bookmarkStart w:id="373" w:name="_Toc151193847"/>
      <w:bookmarkStart w:id="374" w:name="_Toc151193631"/>
      <w:bookmarkStart w:id="375" w:name="_Toc149720826"/>
      <w:bookmarkStart w:id="376" w:name="_Toc150774633"/>
      <w:bookmarkStart w:id="377" w:name="_Toc151193775"/>
      <w:bookmarkStart w:id="378" w:name="_Toc195842898"/>
      <w:bookmarkStart w:id="379" w:name="_Toc151190160"/>
      <w:bookmarkStart w:id="380" w:name="_Toc150509284"/>
      <w:bookmarkStart w:id="381" w:name="_Toc164229374"/>
      <w:bookmarkStart w:id="382" w:name="_Toc164608802"/>
      <w:bookmarkStart w:id="383" w:name="_Toc264969223"/>
      <w:bookmarkStart w:id="384" w:name="_Toc226337229"/>
      <w:bookmarkStart w:id="385" w:name="_Toc305158801"/>
      <w:bookmarkStart w:id="386" w:name="_Toc127151734"/>
      <w:bookmarkStart w:id="387" w:name="_Toc142311035"/>
      <w:bookmarkStart w:id="388" w:name="_Toc226309777"/>
      <w:bookmarkStart w:id="389" w:name="_Toc150480771"/>
      <w:bookmarkStart w:id="390" w:name="_Toc150774738"/>
      <w:bookmarkStart w:id="391" w:name="_Toc305158875"/>
      <w:bookmarkStart w:id="392" w:name="_Toc127161447"/>
      <w:bookmarkStart w:id="393" w:name="_Toc226965807"/>
      <w:bookmarkStart w:id="394" w:name="_Toc151193848"/>
      <w:bookmarkStart w:id="395" w:name="_Toc127151534"/>
      <w:bookmarkStart w:id="396" w:name="_Toc265228372"/>
      <w:bookmarkStart w:id="397" w:name="_Toc151193922"/>
      <w:bookmarkStart w:id="398" w:name="_Toc226309778"/>
      <w:bookmarkStart w:id="399" w:name="_Toc151193776"/>
      <w:bookmarkStart w:id="400" w:name="_Toc195842899"/>
      <w:bookmarkStart w:id="401" w:name="_Toc150509285"/>
      <w:bookmarkStart w:id="402" w:name="_Toc151190161"/>
      <w:bookmarkStart w:id="403" w:name="_Toc305158876"/>
      <w:bookmarkStart w:id="404" w:name="_Toc226337230"/>
      <w:bookmarkStart w:id="405" w:name="_Toc305158802"/>
      <w:bookmarkStart w:id="406" w:name="_Toc142311036"/>
      <w:bookmarkStart w:id="407" w:name="_Toc150480772"/>
      <w:bookmarkStart w:id="408" w:name="_Toc264969224"/>
      <w:bookmarkStart w:id="409" w:name="_Toc226965724"/>
      <w:bookmarkStart w:id="410" w:name="_Toc151193632"/>
      <w:bookmarkStart w:id="411" w:name="_Toc150774739"/>
      <w:bookmarkStart w:id="412" w:name="_Toc151193704"/>
      <w:bookmarkStart w:id="413" w:name="_Toc150774634"/>
      <w:bookmarkStart w:id="414" w:name="_Toc520356159"/>
      <w:r>
        <w:rPr>
          <w:color w:val="auto"/>
          <w:sz w:val="24"/>
          <w:highlight w:val="none"/>
        </w:rPr>
        <w:t>投标文件的签署</w:t>
      </w:r>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r>
        <w:rPr>
          <w:color w:val="auto"/>
          <w:sz w:val="24"/>
          <w:highlight w:val="none"/>
        </w:rPr>
        <w:t>、加盖公章</w:t>
      </w:r>
    </w:p>
    <w:p w14:paraId="04BEBDC2">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招标文件要求签字的内容（如授权委托书等），</w:t>
      </w:r>
      <w:r>
        <w:rPr>
          <w:rFonts w:hint="eastAsia"/>
          <w:color w:val="auto"/>
          <w:sz w:val="24"/>
          <w:highlight w:val="none"/>
        </w:rPr>
        <w:t>可以使用电子签章或使用原件的电子件（电子件指扫描件、照片等形式电子文件）；要求</w:t>
      </w:r>
      <w:r>
        <w:rPr>
          <w:color w:val="auto"/>
          <w:sz w:val="24"/>
          <w:highlight w:val="none"/>
        </w:rPr>
        <w:t>第三方出具的加盖公章原件（如联合协议、分包意向协议、制造商授权书等），投标文件中应使用原件的电子件。</w:t>
      </w:r>
    </w:p>
    <w:p w14:paraId="38866474">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招标文件要求加盖公章的内容，</w:t>
      </w:r>
      <w:r>
        <w:rPr>
          <w:rFonts w:hint="eastAsia"/>
          <w:color w:val="auto"/>
          <w:sz w:val="24"/>
          <w:highlight w:val="none"/>
        </w:rPr>
        <w:t>一般</w:t>
      </w:r>
      <w:r>
        <w:rPr>
          <w:color w:val="auto"/>
          <w:sz w:val="24"/>
          <w:highlight w:val="none"/>
        </w:rPr>
        <w:t>通过投标文件编制工具加盖电子签章。</w:t>
      </w:r>
    </w:p>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p w14:paraId="71A03112">
      <w:pPr>
        <w:pStyle w:val="3"/>
        <w:spacing w:before="0" w:line="360" w:lineRule="auto"/>
        <w:rPr>
          <w:rFonts w:ascii="Times New Roman" w:hAnsi="Times New Roman" w:eastAsia="宋体"/>
          <w:color w:val="auto"/>
          <w:sz w:val="28"/>
          <w:highlight w:val="none"/>
        </w:rPr>
      </w:pPr>
      <w:bookmarkStart w:id="415" w:name="_Toc520356169"/>
      <w:r>
        <w:rPr>
          <w:rFonts w:ascii="Times New Roman" w:hAnsi="Times New Roman" w:eastAsia="宋体"/>
          <w:color w:val="auto"/>
          <w:sz w:val="28"/>
          <w:highlight w:val="none"/>
        </w:rPr>
        <w:t>四   投标文件的提交</w:t>
      </w:r>
    </w:p>
    <w:p w14:paraId="1D58F4B3">
      <w:pPr>
        <w:numPr>
          <w:ilvl w:val="0"/>
          <w:numId w:val="8"/>
        </w:numPr>
        <w:tabs>
          <w:tab w:val="left" w:pos="360"/>
        </w:tabs>
        <w:snapToGrid w:val="0"/>
        <w:spacing w:line="360" w:lineRule="auto"/>
        <w:ind w:left="357" w:hanging="357"/>
        <w:outlineLvl w:val="1"/>
        <w:rPr>
          <w:color w:val="auto"/>
          <w:sz w:val="24"/>
          <w:highlight w:val="none"/>
        </w:rPr>
      </w:pPr>
      <w:bookmarkStart w:id="416" w:name="_Toc305158803"/>
      <w:bookmarkStart w:id="417" w:name="_Toc151193705"/>
      <w:bookmarkStart w:id="418" w:name="_Toc151193633"/>
      <w:bookmarkStart w:id="419" w:name="_Toc164229230"/>
      <w:bookmarkStart w:id="420" w:name="_Toc142311037"/>
      <w:bookmarkStart w:id="421" w:name="_Toc150509286"/>
      <w:bookmarkStart w:id="422" w:name="_Toc164608804"/>
      <w:bookmarkStart w:id="423" w:name="_Toc151190162"/>
      <w:bookmarkStart w:id="424" w:name="_Toc127161449"/>
      <w:bookmarkStart w:id="425" w:name="_Toc265228373"/>
      <w:bookmarkStart w:id="426" w:name="_Toc195842900"/>
      <w:bookmarkStart w:id="427" w:name="_Toc164608649"/>
      <w:bookmarkStart w:id="428" w:name="_Toc164351629"/>
      <w:bookmarkStart w:id="429" w:name="_Toc127151535"/>
      <w:bookmarkStart w:id="430" w:name="_Toc226309779"/>
      <w:bookmarkStart w:id="431" w:name="_Toc151193849"/>
      <w:bookmarkStart w:id="432" w:name="_Toc150774740"/>
      <w:bookmarkStart w:id="433" w:name="_Toc520356160"/>
      <w:bookmarkStart w:id="434" w:name="_Toc164229376"/>
      <w:bookmarkStart w:id="435" w:name="_Toc149720828"/>
      <w:bookmarkStart w:id="436" w:name="_Toc151193923"/>
      <w:bookmarkStart w:id="437" w:name="_Toc264969225"/>
      <w:bookmarkStart w:id="438" w:name="_Toc305158877"/>
      <w:bookmarkStart w:id="439" w:name="_Toc226965725"/>
      <w:bookmarkStart w:id="440" w:name="_Toc127151736"/>
      <w:bookmarkStart w:id="441" w:name="_Toc150774635"/>
      <w:bookmarkStart w:id="442" w:name="_Toc226965808"/>
      <w:bookmarkStart w:id="443" w:name="_Toc151193777"/>
      <w:bookmarkStart w:id="444" w:name="_Toc226337231"/>
      <w:bookmarkStart w:id="445" w:name="_Toc150480773"/>
      <w:r>
        <w:rPr>
          <w:color w:val="auto"/>
          <w:sz w:val="24"/>
          <w:highlight w:val="none"/>
        </w:rPr>
        <w:t>投标文件的</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r>
        <w:rPr>
          <w:color w:val="auto"/>
          <w:sz w:val="24"/>
          <w:highlight w:val="none"/>
        </w:rPr>
        <w:t>提交</w:t>
      </w:r>
    </w:p>
    <w:p w14:paraId="7EDA88FB">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本项目使用</w:t>
      </w:r>
      <w:r>
        <w:rPr>
          <w:rFonts w:hint="eastAsia"/>
          <w:color w:val="auto"/>
          <w:sz w:val="24"/>
          <w:highlight w:val="none"/>
          <w:lang w:bidi="ar"/>
        </w:rPr>
        <w:t>“苏采云”政府采购一体化平台</w:t>
      </w:r>
      <w:r>
        <w:rPr>
          <w:color w:val="auto"/>
          <w:sz w:val="24"/>
          <w:highlight w:val="none"/>
        </w:rPr>
        <w:t>。投标人根据招标文件及</w:t>
      </w:r>
      <w:r>
        <w:rPr>
          <w:rFonts w:hint="eastAsia"/>
          <w:color w:val="auto"/>
          <w:sz w:val="24"/>
          <w:highlight w:val="none"/>
          <w:lang w:bidi="ar"/>
        </w:rPr>
        <w:t>“苏采云”政府采购一体化平台</w:t>
      </w:r>
      <w:r>
        <w:rPr>
          <w:color w:val="auto"/>
          <w:sz w:val="24"/>
          <w:highlight w:val="none"/>
        </w:rPr>
        <w:t>供应商操作手册要求编制、生成并提交电子投标文件。</w:t>
      </w:r>
    </w:p>
    <w:p w14:paraId="1AC229E8">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采购人及采购代理机构拒绝接受通过</w:t>
      </w:r>
      <w:r>
        <w:rPr>
          <w:rFonts w:hint="eastAsia"/>
          <w:color w:val="auto"/>
          <w:sz w:val="24"/>
          <w:highlight w:val="none"/>
        </w:rPr>
        <w:t>“苏采云”政府采购一体化平台</w:t>
      </w:r>
      <w:r>
        <w:rPr>
          <w:color w:val="auto"/>
          <w:sz w:val="24"/>
          <w:highlight w:val="none"/>
        </w:rPr>
        <w:t>以外任何形式提交的投标文件。</w:t>
      </w:r>
    </w:p>
    <w:p w14:paraId="72CC3BB0">
      <w:pPr>
        <w:numPr>
          <w:ilvl w:val="0"/>
          <w:numId w:val="8"/>
        </w:numPr>
        <w:tabs>
          <w:tab w:val="left" w:pos="360"/>
        </w:tabs>
        <w:snapToGrid w:val="0"/>
        <w:spacing w:line="360" w:lineRule="auto"/>
        <w:ind w:left="357" w:hanging="357"/>
        <w:outlineLvl w:val="1"/>
        <w:rPr>
          <w:color w:val="auto"/>
          <w:sz w:val="24"/>
          <w:highlight w:val="none"/>
        </w:rPr>
      </w:pPr>
      <w:bookmarkStart w:id="446" w:name="_Toc151190163"/>
      <w:bookmarkStart w:id="447" w:name="_Toc151193850"/>
      <w:bookmarkStart w:id="448" w:name="_Toc265228374"/>
      <w:bookmarkStart w:id="449" w:name="_Toc150774636"/>
      <w:bookmarkStart w:id="450" w:name="_Toc150480774"/>
      <w:bookmarkStart w:id="451" w:name="_Toc151193778"/>
      <w:bookmarkStart w:id="452" w:name="_Toc305158878"/>
      <w:bookmarkStart w:id="453" w:name="_Toc164229231"/>
      <w:bookmarkStart w:id="454" w:name="_Toc127151737"/>
      <w:bookmarkStart w:id="455" w:name="_Toc164608805"/>
      <w:bookmarkStart w:id="456" w:name="_Toc305158804"/>
      <w:bookmarkStart w:id="457" w:name="_Toc164351630"/>
      <w:bookmarkStart w:id="458" w:name="_Toc150774741"/>
      <w:bookmarkStart w:id="459" w:name="_Toc226965726"/>
      <w:bookmarkStart w:id="460" w:name="_Toc226965809"/>
      <w:bookmarkStart w:id="461" w:name="_Toc164229377"/>
      <w:bookmarkStart w:id="462" w:name="_Toc151193924"/>
      <w:bookmarkStart w:id="463" w:name="_Toc226309780"/>
      <w:bookmarkStart w:id="464" w:name="_Toc142311038"/>
      <w:bookmarkStart w:id="465" w:name="_Toc164608650"/>
      <w:bookmarkStart w:id="466" w:name="_Toc127151536"/>
      <w:bookmarkStart w:id="467" w:name="_Toc127161450"/>
      <w:bookmarkStart w:id="468" w:name="_Toc150509287"/>
      <w:bookmarkStart w:id="469" w:name="_Toc520356161"/>
      <w:bookmarkStart w:id="470" w:name="_Toc264969226"/>
      <w:bookmarkStart w:id="471" w:name="_Toc226337232"/>
      <w:bookmarkStart w:id="472" w:name="_Toc149720829"/>
      <w:bookmarkStart w:id="473" w:name="_Toc151193706"/>
      <w:bookmarkStart w:id="474" w:name="_Toc195842901"/>
      <w:bookmarkStart w:id="475" w:name="_Toc151193634"/>
      <w:r>
        <w:rPr>
          <w:color w:val="auto"/>
          <w:sz w:val="24"/>
          <w:highlight w:val="none"/>
        </w:rPr>
        <w:t>投标截止</w:t>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r>
        <w:rPr>
          <w:color w:val="auto"/>
          <w:sz w:val="24"/>
          <w:highlight w:val="none"/>
        </w:rPr>
        <w:t>时间</w:t>
      </w:r>
    </w:p>
    <w:p w14:paraId="47F4E249">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投标人应在招标文件要求提交投标文件截止时间前，将电子投标文件提交至</w:t>
      </w:r>
      <w:r>
        <w:rPr>
          <w:rFonts w:hint="eastAsia"/>
          <w:color w:val="auto"/>
          <w:sz w:val="24"/>
          <w:highlight w:val="none"/>
        </w:rPr>
        <w:t>“苏采云”政府采购一体化平台</w:t>
      </w:r>
      <w:r>
        <w:rPr>
          <w:color w:val="auto"/>
          <w:sz w:val="24"/>
          <w:highlight w:val="none"/>
        </w:rPr>
        <w:t>。</w:t>
      </w:r>
    </w:p>
    <w:p w14:paraId="01611F3D">
      <w:pPr>
        <w:numPr>
          <w:ilvl w:val="0"/>
          <w:numId w:val="8"/>
        </w:numPr>
        <w:tabs>
          <w:tab w:val="left" w:pos="360"/>
        </w:tabs>
        <w:snapToGrid w:val="0"/>
        <w:spacing w:line="360" w:lineRule="auto"/>
        <w:ind w:left="357" w:hanging="357"/>
        <w:outlineLvl w:val="1"/>
        <w:rPr>
          <w:color w:val="auto"/>
          <w:sz w:val="24"/>
          <w:highlight w:val="none"/>
        </w:rPr>
      </w:pPr>
      <w:bookmarkStart w:id="476" w:name="_Toc264969227"/>
      <w:bookmarkStart w:id="477" w:name="_Toc226309781"/>
      <w:bookmarkStart w:id="478" w:name="_Toc151190164"/>
      <w:bookmarkStart w:id="479" w:name="_Toc127151738"/>
      <w:bookmarkStart w:id="480" w:name="_Toc151193779"/>
      <w:bookmarkStart w:id="481" w:name="_Toc164608806"/>
      <w:bookmarkStart w:id="482" w:name="_Toc150774637"/>
      <w:bookmarkStart w:id="483" w:name="_Toc164608651"/>
      <w:bookmarkStart w:id="484" w:name="_Toc164351631"/>
      <w:bookmarkStart w:id="485" w:name="_Toc265228375"/>
      <w:bookmarkStart w:id="486" w:name="_Toc150480775"/>
      <w:bookmarkStart w:id="487" w:name="_Toc305158805"/>
      <w:bookmarkStart w:id="488" w:name="_Toc151193635"/>
      <w:bookmarkStart w:id="489" w:name="_Toc305158879"/>
      <w:bookmarkStart w:id="490" w:name="_Toc149720830"/>
      <w:bookmarkStart w:id="491" w:name="_Toc127151537"/>
      <w:bookmarkStart w:id="492" w:name="_Toc151193925"/>
      <w:bookmarkStart w:id="493" w:name="_Toc142311039"/>
      <w:bookmarkStart w:id="494" w:name="_Toc164229378"/>
      <w:bookmarkStart w:id="495" w:name="_Toc195842902"/>
      <w:bookmarkStart w:id="496" w:name="_Toc226337233"/>
      <w:bookmarkStart w:id="497" w:name="_Toc127161451"/>
      <w:bookmarkStart w:id="498" w:name="_Toc151193707"/>
      <w:bookmarkStart w:id="499" w:name="_Toc151193851"/>
      <w:bookmarkStart w:id="500" w:name="_Toc226965727"/>
      <w:bookmarkStart w:id="501" w:name="_Toc520356162"/>
      <w:bookmarkStart w:id="502" w:name="_Toc164229232"/>
      <w:bookmarkStart w:id="503" w:name="_Toc226965810"/>
      <w:bookmarkStart w:id="504" w:name="_Toc150509288"/>
      <w:bookmarkStart w:id="505" w:name="_Toc150774742"/>
      <w:r>
        <w:rPr>
          <w:color w:val="auto"/>
          <w:sz w:val="24"/>
          <w:highlight w:val="none"/>
        </w:rPr>
        <w:t>投标文件的修改与撤回</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p w14:paraId="68B255F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投标截止时间前，投标人可以通过</w:t>
      </w:r>
      <w:r>
        <w:rPr>
          <w:rFonts w:hint="eastAsia"/>
          <w:color w:val="auto"/>
          <w:sz w:val="24"/>
          <w:highlight w:val="none"/>
        </w:rPr>
        <w:t>“苏采云”政府采购一体化平台</w:t>
      </w:r>
      <w:r>
        <w:rPr>
          <w:color w:val="auto"/>
          <w:sz w:val="24"/>
          <w:highlight w:val="none"/>
        </w:rPr>
        <w:t>对所提交的投标文件进行补充、修改或者撤回。</w:t>
      </w:r>
    </w:p>
    <w:p w14:paraId="4532C1D7">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投标人对投标文件的补充、修改的内容应当按照招标文件要求签署、加盖公章，作为投标文件的组成部分。</w:t>
      </w:r>
    </w:p>
    <w:p w14:paraId="4C2E1F81">
      <w:pPr>
        <w:spacing w:line="360" w:lineRule="auto"/>
        <w:rPr>
          <w:color w:val="auto"/>
          <w:sz w:val="24"/>
          <w:highlight w:val="none"/>
        </w:rPr>
      </w:pPr>
    </w:p>
    <w:p w14:paraId="055908D8">
      <w:pPr>
        <w:pStyle w:val="3"/>
        <w:spacing w:before="0" w:line="360" w:lineRule="auto"/>
        <w:rPr>
          <w:rFonts w:ascii="Times New Roman" w:hAnsi="Times New Roman" w:eastAsia="宋体"/>
          <w:color w:val="auto"/>
          <w:sz w:val="28"/>
          <w:highlight w:val="none"/>
        </w:rPr>
      </w:pPr>
      <w:bookmarkStart w:id="506" w:name="_Toc151193926"/>
      <w:bookmarkStart w:id="507" w:name="_Toc151190165"/>
      <w:bookmarkStart w:id="508" w:name="_Toc151193852"/>
      <w:bookmarkStart w:id="509" w:name="_Toc150774638"/>
      <w:bookmarkStart w:id="510" w:name="_Toc264969228"/>
      <w:bookmarkStart w:id="511" w:name="_Toc226965811"/>
      <w:bookmarkStart w:id="512" w:name="_Toc305158806"/>
      <w:bookmarkStart w:id="513" w:name="_Toc195842903"/>
      <w:bookmarkStart w:id="514" w:name="_Toc151193708"/>
      <w:bookmarkStart w:id="515" w:name="_Toc226965728"/>
      <w:bookmarkStart w:id="516" w:name="_Toc142311040"/>
      <w:bookmarkStart w:id="517" w:name="_Toc151193636"/>
      <w:bookmarkStart w:id="518" w:name="_Toc127151538"/>
      <w:bookmarkStart w:id="519" w:name="_Toc226309782"/>
      <w:bookmarkStart w:id="520" w:name="_Toc150774743"/>
      <w:bookmarkStart w:id="521" w:name="_Toc150480776"/>
      <w:bookmarkStart w:id="522" w:name="_Toc520356163"/>
      <w:bookmarkStart w:id="523" w:name="_Toc305158880"/>
      <w:bookmarkStart w:id="524" w:name="_Toc151193780"/>
      <w:bookmarkStart w:id="525" w:name="_Toc265228376"/>
      <w:bookmarkStart w:id="526" w:name="_Toc226337234"/>
      <w:bookmarkStart w:id="527" w:name="_Toc150509289"/>
      <w:r>
        <w:rPr>
          <w:rFonts w:ascii="Times New Roman" w:hAnsi="Times New Roman" w:eastAsia="宋体"/>
          <w:color w:val="auto"/>
          <w:sz w:val="28"/>
          <w:highlight w:val="none"/>
        </w:rPr>
        <w:t>五   开标、资格审查及评标</w:t>
      </w:r>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p w14:paraId="43E1C497">
      <w:pPr>
        <w:numPr>
          <w:ilvl w:val="0"/>
          <w:numId w:val="8"/>
        </w:numPr>
        <w:tabs>
          <w:tab w:val="left" w:pos="360"/>
        </w:tabs>
        <w:snapToGrid w:val="0"/>
        <w:spacing w:line="360" w:lineRule="auto"/>
        <w:ind w:left="357" w:hanging="357"/>
        <w:outlineLvl w:val="1"/>
        <w:rPr>
          <w:color w:val="auto"/>
          <w:sz w:val="24"/>
          <w:highlight w:val="none"/>
        </w:rPr>
      </w:pPr>
      <w:bookmarkStart w:id="528" w:name="_Toc150774639"/>
      <w:bookmarkStart w:id="529" w:name="_Toc164608808"/>
      <w:bookmarkStart w:id="530" w:name="_Toc151190166"/>
      <w:bookmarkStart w:id="531" w:name="_Toc127151740"/>
      <w:bookmarkStart w:id="532" w:name="_Toc226965729"/>
      <w:bookmarkStart w:id="533" w:name="_Toc164229380"/>
      <w:bookmarkStart w:id="534" w:name="_Toc520356164"/>
      <w:bookmarkStart w:id="535" w:name="_Toc264969229"/>
      <w:bookmarkStart w:id="536" w:name="_Toc150480777"/>
      <w:bookmarkStart w:id="537" w:name="_Toc127151539"/>
      <w:bookmarkStart w:id="538" w:name="_Toc151193709"/>
      <w:bookmarkStart w:id="539" w:name="_Toc151193927"/>
      <w:bookmarkStart w:id="540" w:name="_Toc226965812"/>
      <w:bookmarkStart w:id="541" w:name="_Toc164229234"/>
      <w:bookmarkStart w:id="542" w:name="_Toc150774744"/>
      <w:bookmarkStart w:id="543" w:name="_Toc164351633"/>
      <w:bookmarkStart w:id="544" w:name="_Toc195842904"/>
      <w:bookmarkStart w:id="545" w:name="_Toc305158807"/>
      <w:bookmarkStart w:id="546" w:name="_Toc151193781"/>
      <w:bookmarkStart w:id="547" w:name="_Toc226337235"/>
      <w:bookmarkStart w:id="548" w:name="_Toc142311041"/>
      <w:bookmarkStart w:id="549" w:name="_Toc151193853"/>
      <w:bookmarkStart w:id="550" w:name="_Toc149720832"/>
      <w:bookmarkStart w:id="551" w:name="_Toc226309783"/>
      <w:bookmarkStart w:id="552" w:name="_Toc164608653"/>
      <w:bookmarkStart w:id="553" w:name="_Toc151193637"/>
      <w:bookmarkStart w:id="554" w:name="_Toc127161453"/>
      <w:bookmarkStart w:id="555" w:name="_Toc150509290"/>
      <w:bookmarkStart w:id="556" w:name="_Toc305158881"/>
      <w:bookmarkStart w:id="557" w:name="_Toc265228377"/>
      <w:r>
        <w:rPr>
          <w:color w:val="auto"/>
          <w:sz w:val="24"/>
          <w:highlight w:val="none"/>
        </w:rPr>
        <w:t>开标</w:t>
      </w:r>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p>
    <w:p w14:paraId="0C5FF3AC">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采购人或采购代理机构将按招标文件的规定，在投标截止时间的同一时间和招标文件预先确定的地点组织开标。</w:t>
      </w:r>
    </w:p>
    <w:p w14:paraId="52B35BC7">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本项目开标</w:t>
      </w:r>
      <w:r>
        <w:rPr>
          <w:rFonts w:ascii="宋体" w:hAnsi="宋体"/>
          <w:color w:val="auto"/>
          <w:sz w:val="24"/>
          <w:highlight w:val="none"/>
        </w:rPr>
        <w:t>采用不见面招投标模式</w:t>
      </w:r>
      <w:r>
        <w:rPr>
          <w:rFonts w:hint="eastAsia" w:ascii="宋体" w:hAnsi="宋体"/>
          <w:color w:val="auto"/>
          <w:sz w:val="24"/>
          <w:highlight w:val="none"/>
        </w:rPr>
        <w:t>，</w:t>
      </w:r>
      <w:r>
        <w:rPr>
          <w:color w:val="auto"/>
          <w:sz w:val="24"/>
          <w:highlight w:val="none"/>
        </w:rPr>
        <w:t>使用</w:t>
      </w:r>
      <w:r>
        <w:rPr>
          <w:rFonts w:hint="eastAsia"/>
          <w:color w:val="auto"/>
          <w:sz w:val="24"/>
          <w:highlight w:val="none"/>
        </w:rPr>
        <w:t>“苏采云”政府采购一体化平台在线进行开标</w:t>
      </w:r>
      <w:r>
        <w:rPr>
          <w:color w:val="auto"/>
          <w:sz w:val="24"/>
          <w:highlight w:val="none"/>
        </w:rPr>
        <w:t>。投标人应在规定的时间内对投标文件进行解密，因非系统原因导致的解密失败，视为</w:t>
      </w:r>
      <w:r>
        <w:rPr>
          <w:b/>
          <w:color w:val="auto"/>
          <w:sz w:val="24"/>
          <w:highlight w:val="none"/>
        </w:rPr>
        <w:t>投标无效</w:t>
      </w:r>
      <w:r>
        <w:rPr>
          <w:color w:val="auto"/>
          <w:sz w:val="24"/>
          <w:highlight w:val="none"/>
        </w:rPr>
        <w:t>。</w:t>
      </w:r>
    </w:p>
    <w:p w14:paraId="23DF21CA">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开标过程将使用</w:t>
      </w:r>
      <w:r>
        <w:rPr>
          <w:rFonts w:hint="eastAsia"/>
          <w:color w:val="auto"/>
          <w:sz w:val="24"/>
          <w:highlight w:val="none"/>
        </w:rPr>
        <w:t>“苏采云”政府采购一体化平台公</w:t>
      </w:r>
      <w:r>
        <w:rPr>
          <w:color w:val="auto"/>
          <w:sz w:val="24"/>
          <w:highlight w:val="none"/>
        </w:rPr>
        <w:t>布投标人名称、投标价格和招标文件规定的需要宣布的其他内容并进行记录，并由参加开标的各投标人代表</w:t>
      </w:r>
      <w:r>
        <w:rPr>
          <w:rFonts w:hint="eastAsia"/>
          <w:color w:val="auto"/>
          <w:sz w:val="24"/>
          <w:highlight w:val="none"/>
        </w:rPr>
        <w:t>在规定时间内</w:t>
      </w:r>
      <w:r>
        <w:rPr>
          <w:color w:val="auto"/>
          <w:sz w:val="24"/>
          <w:highlight w:val="none"/>
        </w:rPr>
        <w:t>确认</w:t>
      </w:r>
      <w:bookmarkStart w:id="558" w:name="_Toc520356165"/>
      <w:r>
        <w:rPr>
          <w:rFonts w:hint="eastAsia"/>
          <w:color w:val="auto"/>
          <w:sz w:val="24"/>
          <w:highlight w:val="none"/>
        </w:rPr>
        <w:t>。投标人超过规定时间未确认但是未提出疑义的，系统将视同已确认</w:t>
      </w:r>
      <w:r>
        <w:rPr>
          <w:color w:val="auto"/>
          <w:sz w:val="24"/>
          <w:highlight w:val="none"/>
        </w:rPr>
        <w:t>。</w:t>
      </w:r>
    </w:p>
    <w:p w14:paraId="189BB114">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投标人代表对开标过程和开标记录有疑义，以及认为采购人、采购代理机构相关工作人员有需要回避的情形的，应当场</w:t>
      </w:r>
      <w:r>
        <w:rPr>
          <w:rFonts w:hint="eastAsia"/>
          <w:color w:val="auto"/>
          <w:sz w:val="24"/>
          <w:highlight w:val="none"/>
        </w:rPr>
        <w:t>通过业务系统</w:t>
      </w:r>
      <w:r>
        <w:rPr>
          <w:color w:val="auto"/>
          <w:sz w:val="24"/>
          <w:highlight w:val="none"/>
        </w:rPr>
        <w:t>提出询问或者回避申请。采购人、采购代理机构对投标人代表提出的询问或者回避申请将及时处理。</w:t>
      </w:r>
    </w:p>
    <w:p w14:paraId="1CECED73">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投标人不足3家的，不予开标。</w:t>
      </w:r>
    </w:p>
    <w:p w14:paraId="0A0B9CA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投标人须在开标前使用“验证CA”功能验证本地计算机的控件环境是否正常，并且在开标</w:t>
      </w:r>
      <w:r>
        <w:rPr>
          <w:rFonts w:hint="eastAsia"/>
          <w:color w:val="auto"/>
          <w:sz w:val="24"/>
          <w:highlight w:val="none"/>
        </w:rPr>
        <w:t>评审</w:t>
      </w:r>
      <w:r>
        <w:rPr>
          <w:color w:val="auto"/>
          <w:sz w:val="24"/>
          <w:highlight w:val="none"/>
        </w:rPr>
        <w:t>过程中不可随意更换</w:t>
      </w:r>
      <w:r>
        <w:rPr>
          <w:rFonts w:hint="eastAsia"/>
          <w:color w:val="auto"/>
          <w:sz w:val="24"/>
          <w:highlight w:val="none"/>
        </w:rPr>
        <w:t>计算机</w:t>
      </w:r>
      <w:r>
        <w:rPr>
          <w:color w:val="auto"/>
          <w:sz w:val="24"/>
          <w:highlight w:val="none"/>
        </w:rPr>
        <w:t>，必须使用验证成功的计算机进行操作，否则造成相应后果由投标</w:t>
      </w:r>
      <w:r>
        <w:rPr>
          <w:rFonts w:hint="eastAsia"/>
          <w:color w:val="auto"/>
          <w:sz w:val="24"/>
          <w:highlight w:val="none"/>
        </w:rPr>
        <w:t>人</w:t>
      </w:r>
      <w:r>
        <w:rPr>
          <w:color w:val="auto"/>
          <w:sz w:val="24"/>
          <w:highlight w:val="none"/>
        </w:rPr>
        <w:t>自行承担。本地计算机</w:t>
      </w:r>
      <w:r>
        <w:rPr>
          <w:rFonts w:hint="eastAsia"/>
          <w:color w:val="auto"/>
          <w:sz w:val="24"/>
          <w:highlight w:val="none"/>
        </w:rPr>
        <w:t>要求安装摄像头、麦克风和音箱，保持网络通畅。</w:t>
      </w:r>
    </w:p>
    <w:p w14:paraId="12F2D8D7">
      <w:pPr>
        <w:numPr>
          <w:ilvl w:val="1"/>
          <w:numId w:val="8"/>
        </w:numPr>
        <w:tabs>
          <w:tab w:val="left" w:pos="1080"/>
          <w:tab w:val="left" w:pos="2014"/>
        </w:tabs>
        <w:snapToGrid w:val="0"/>
        <w:spacing w:line="360" w:lineRule="auto"/>
        <w:ind w:left="1077" w:hanging="720"/>
        <w:rPr>
          <w:color w:val="auto"/>
          <w:sz w:val="24"/>
          <w:highlight w:val="none"/>
        </w:rPr>
      </w:pPr>
      <w:r>
        <w:rPr>
          <w:rFonts w:hint="eastAsia"/>
          <w:color w:val="auto"/>
          <w:sz w:val="24"/>
          <w:highlight w:val="none"/>
        </w:rPr>
        <w:t>因本项目</w:t>
      </w:r>
      <w:r>
        <w:rPr>
          <w:color w:val="auto"/>
          <w:sz w:val="24"/>
          <w:highlight w:val="none"/>
        </w:rPr>
        <w:t>采用不见面交易的</w:t>
      </w:r>
      <w:r>
        <w:rPr>
          <w:rFonts w:hint="eastAsia"/>
          <w:color w:val="auto"/>
          <w:sz w:val="24"/>
          <w:highlight w:val="none"/>
        </w:rPr>
        <w:t>方式</w:t>
      </w:r>
      <w:r>
        <w:rPr>
          <w:color w:val="auto"/>
          <w:sz w:val="24"/>
          <w:highlight w:val="none"/>
        </w:rPr>
        <w:t>，在</w:t>
      </w:r>
      <w:r>
        <w:rPr>
          <w:rFonts w:hint="eastAsia"/>
          <w:color w:val="auto"/>
          <w:sz w:val="24"/>
          <w:highlight w:val="none"/>
        </w:rPr>
        <w:t>开标、评审</w:t>
      </w:r>
      <w:r>
        <w:rPr>
          <w:color w:val="auto"/>
          <w:sz w:val="24"/>
          <w:highlight w:val="none"/>
        </w:rPr>
        <w:t>过程中，</w:t>
      </w:r>
      <w:r>
        <w:rPr>
          <w:rFonts w:hint="eastAsia"/>
          <w:color w:val="auto"/>
          <w:sz w:val="24"/>
          <w:highlight w:val="none"/>
        </w:rPr>
        <w:t>投标人</w:t>
      </w:r>
      <w:r>
        <w:rPr>
          <w:color w:val="auto"/>
          <w:sz w:val="24"/>
          <w:highlight w:val="none"/>
        </w:rPr>
        <w:t>需</w:t>
      </w:r>
      <w:r>
        <w:rPr>
          <w:rFonts w:hint="eastAsia"/>
          <w:color w:val="auto"/>
          <w:sz w:val="24"/>
          <w:highlight w:val="none"/>
        </w:rPr>
        <w:t>要</w:t>
      </w:r>
      <w:r>
        <w:rPr>
          <w:color w:val="auto"/>
          <w:sz w:val="24"/>
          <w:highlight w:val="none"/>
        </w:rPr>
        <w:t>保持操作计算机前有相关责任人</w:t>
      </w:r>
      <w:r>
        <w:rPr>
          <w:rFonts w:hint="eastAsia"/>
          <w:color w:val="auto"/>
          <w:sz w:val="24"/>
          <w:highlight w:val="none"/>
        </w:rPr>
        <w:t>值守，及时对于系统或者</w:t>
      </w:r>
      <w:r>
        <w:rPr>
          <w:rFonts w:hint="eastAsia"/>
          <w:color w:val="auto"/>
          <w:sz w:val="24"/>
          <w:highlight w:val="none"/>
          <w:lang w:val="en-US" w:eastAsia="zh-CN"/>
        </w:rPr>
        <w:t>评标委员会</w:t>
      </w:r>
      <w:r>
        <w:rPr>
          <w:rFonts w:hint="eastAsia"/>
          <w:color w:val="auto"/>
          <w:sz w:val="24"/>
          <w:highlight w:val="none"/>
        </w:rPr>
        <w:t>发出的指令和要求进行响应操作。如果因为无人值守造成不能及时回应系统或者</w:t>
      </w:r>
      <w:r>
        <w:rPr>
          <w:rFonts w:hint="eastAsia"/>
          <w:color w:val="auto"/>
          <w:sz w:val="24"/>
          <w:highlight w:val="none"/>
          <w:lang w:val="en-US" w:eastAsia="zh-CN"/>
        </w:rPr>
        <w:t>评标委员会</w:t>
      </w:r>
      <w:r>
        <w:rPr>
          <w:rFonts w:hint="eastAsia"/>
          <w:color w:val="auto"/>
          <w:sz w:val="24"/>
          <w:highlight w:val="none"/>
        </w:rPr>
        <w:t>指令和要求从而导致影响开标、评审结果的，责任由投标人承担</w:t>
      </w:r>
      <w:r>
        <w:rPr>
          <w:color w:val="auto"/>
          <w:sz w:val="24"/>
          <w:highlight w:val="none"/>
        </w:rPr>
        <w:t>。</w:t>
      </w:r>
    </w:p>
    <w:p w14:paraId="2EA04FDF">
      <w:pPr>
        <w:numPr>
          <w:ilvl w:val="1"/>
          <w:numId w:val="8"/>
        </w:numPr>
        <w:tabs>
          <w:tab w:val="left" w:pos="1080"/>
          <w:tab w:val="left" w:pos="2014"/>
        </w:tabs>
        <w:snapToGrid w:val="0"/>
        <w:spacing w:line="360" w:lineRule="auto"/>
        <w:ind w:left="1077" w:hanging="720"/>
        <w:rPr>
          <w:color w:val="auto"/>
          <w:sz w:val="24"/>
          <w:highlight w:val="none"/>
        </w:rPr>
      </w:pPr>
      <w:r>
        <w:rPr>
          <w:rFonts w:hint="eastAsia"/>
          <w:color w:val="auto"/>
          <w:sz w:val="24"/>
          <w:highlight w:val="none"/>
        </w:rPr>
        <w:t>如果在</w:t>
      </w:r>
      <w:r>
        <w:rPr>
          <w:color w:val="auto"/>
          <w:sz w:val="24"/>
          <w:highlight w:val="none"/>
        </w:rPr>
        <w:t>采购</w:t>
      </w:r>
      <w:r>
        <w:rPr>
          <w:rFonts w:hint="eastAsia"/>
          <w:color w:val="auto"/>
          <w:sz w:val="24"/>
          <w:highlight w:val="none"/>
        </w:rPr>
        <w:t>活动</w:t>
      </w:r>
      <w:r>
        <w:rPr>
          <w:color w:val="auto"/>
          <w:sz w:val="24"/>
          <w:highlight w:val="none"/>
        </w:rPr>
        <w:t>过程中出现以下情形，导致</w:t>
      </w:r>
      <w:r>
        <w:rPr>
          <w:rFonts w:hint="eastAsia"/>
          <w:color w:val="auto"/>
          <w:sz w:val="24"/>
          <w:highlight w:val="none"/>
        </w:rPr>
        <w:t>“苏采云”政府采购一体化平台系统</w:t>
      </w:r>
      <w:r>
        <w:rPr>
          <w:color w:val="auto"/>
          <w:sz w:val="24"/>
          <w:highlight w:val="none"/>
        </w:rPr>
        <w:t>无法正常运行，或者无法保证</w:t>
      </w:r>
      <w:r>
        <w:rPr>
          <w:rFonts w:hint="eastAsia"/>
          <w:color w:val="auto"/>
          <w:sz w:val="24"/>
          <w:highlight w:val="none"/>
        </w:rPr>
        <w:t>本项目采购活动</w:t>
      </w:r>
      <w:r>
        <w:rPr>
          <w:color w:val="auto"/>
          <w:sz w:val="24"/>
          <w:highlight w:val="none"/>
        </w:rPr>
        <w:t>的公平、公正和安全时，</w:t>
      </w:r>
      <w:r>
        <w:rPr>
          <w:rFonts w:hint="eastAsia"/>
          <w:color w:val="auto"/>
          <w:sz w:val="24"/>
          <w:highlight w:val="none"/>
        </w:rPr>
        <w:t>代理机构</w:t>
      </w:r>
      <w:r>
        <w:rPr>
          <w:color w:val="auto"/>
          <w:sz w:val="24"/>
          <w:highlight w:val="none"/>
        </w:rPr>
        <w:t>可</w:t>
      </w:r>
      <w:r>
        <w:rPr>
          <w:rFonts w:hint="eastAsia"/>
          <w:color w:val="auto"/>
          <w:sz w:val="24"/>
          <w:highlight w:val="none"/>
        </w:rPr>
        <w:t>以延缓或者暂停采购活动，情况严重的可以终止采购</w:t>
      </w:r>
      <w:r>
        <w:rPr>
          <w:color w:val="auto"/>
          <w:sz w:val="24"/>
          <w:highlight w:val="none"/>
        </w:rPr>
        <w:t>活动：</w:t>
      </w:r>
      <w:r>
        <w:rPr>
          <w:color w:val="auto"/>
          <w:sz w:val="24"/>
          <w:highlight w:val="none"/>
        </w:rPr>
        <w:br w:type="textWrapping"/>
      </w:r>
      <w:r>
        <w:rPr>
          <w:rFonts w:hint="eastAsia"/>
          <w:color w:val="auto"/>
          <w:sz w:val="24"/>
          <w:highlight w:val="none"/>
        </w:rPr>
        <w:t xml:space="preserve"> 1)</w:t>
      </w:r>
      <w:r>
        <w:rPr>
          <w:color w:val="auto"/>
          <w:sz w:val="24"/>
          <w:highlight w:val="none"/>
        </w:rPr>
        <w:t>平台</w:t>
      </w:r>
      <w:r>
        <w:rPr>
          <w:rFonts w:hint="eastAsia"/>
          <w:color w:val="auto"/>
          <w:sz w:val="24"/>
          <w:highlight w:val="none"/>
        </w:rPr>
        <w:t>系统</w:t>
      </w:r>
      <w:r>
        <w:rPr>
          <w:color w:val="auto"/>
          <w:sz w:val="24"/>
          <w:highlight w:val="none"/>
        </w:rPr>
        <w:t>发生故障而无法登录访问的；</w:t>
      </w:r>
    </w:p>
    <w:p w14:paraId="5E8A5002">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2)</w:t>
      </w:r>
      <w:r>
        <w:rPr>
          <w:color w:val="auto"/>
          <w:sz w:val="24"/>
          <w:highlight w:val="none"/>
        </w:rPr>
        <w:t>平台</w:t>
      </w:r>
      <w:r>
        <w:rPr>
          <w:rFonts w:hint="eastAsia"/>
          <w:color w:val="auto"/>
          <w:sz w:val="24"/>
          <w:highlight w:val="none"/>
        </w:rPr>
        <w:t>系统</w:t>
      </w:r>
      <w:r>
        <w:rPr>
          <w:color w:val="auto"/>
          <w:sz w:val="24"/>
          <w:highlight w:val="none"/>
        </w:rPr>
        <w:t>应用或数据库出现错误，不能进行正常操作的；</w:t>
      </w:r>
    </w:p>
    <w:p w14:paraId="19884841">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3)</w:t>
      </w:r>
      <w:r>
        <w:rPr>
          <w:color w:val="auto"/>
          <w:sz w:val="24"/>
          <w:highlight w:val="none"/>
        </w:rPr>
        <w:t>平台</w:t>
      </w:r>
      <w:r>
        <w:rPr>
          <w:rFonts w:hint="eastAsia"/>
          <w:color w:val="auto"/>
          <w:sz w:val="24"/>
          <w:highlight w:val="none"/>
        </w:rPr>
        <w:t>系统</w:t>
      </w:r>
      <w:r>
        <w:rPr>
          <w:color w:val="auto"/>
          <w:sz w:val="24"/>
          <w:highlight w:val="none"/>
        </w:rPr>
        <w:t>发现严重安全漏洞，有潜在泄密危险的；</w:t>
      </w:r>
    </w:p>
    <w:p w14:paraId="32869D03">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4)</w:t>
      </w:r>
      <w:r>
        <w:rPr>
          <w:color w:val="auto"/>
          <w:sz w:val="24"/>
          <w:highlight w:val="none"/>
        </w:rPr>
        <w:t>病毒发作导致平台</w:t>
      </w:r>
      <w:r>
        <w:rPr>
          <w:rFonts w:hint="eastAsia"/>
          <w:color w:val="auto"/>
          <w:sz w:val="24"/>
          <w:highlight w:val="none"/>
        </w:rPr>
        <w:t>系统</w:t>
      </w:r>
      <w:r>
        <w:rPr>
          <w:color w:val="auto"/>
          <w:sz w:val="24"/>
          <w:highlight w:val="none"/>
        </w:rPr>
        <w:t>不能进行正常操作的；</w:t>
      </w:r>
    </w:p>
    <w:p w14:paraId="1285E0DC">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5)</w:t>
      </w:r>
      <w:r>
        <w:rPr>
          <w:color w:val="auto"/>
          <w:sz w:val="24"/>
          <w:highlight w:val="none"/>
        </w:rPr>
        <w:t>其他无法保证</w:t>
      </w:r>
      <w:r>
        <w:rPr>
          <w:rFonts w:hint="eastAsia"/>
          <w:color w:val="auto"/>
          <w:sz w:val="24"/>
          <w:highlight w:val="none"/>
        </w:rPr>
        <w:t>本次采购活动</w:t>
      </w:r>
      <w:r>
        <w:rPr>
          <w:color w:val="auto"/>
          <w:sz w:val="24"/>
          <w:highlight w:val="none"/>
        </w:rPr>
        <w:t>的公平、公正和安全的情况。</w:t>
      </w:r>
    </w:p>
    <w:p w14:paraId="10B1C3C8">
      <w:pPr>
        <w:tabs>
          <w:tab w:val="left" w:pos="1080"/>
          <w:tab w:val="left" w:pos="1589"/>
          <w:tab w:val="left" w:pos="2014"/>
        </w:tabs>
        <w:snapToGrid w:val="0"/>
        <w:spacing w:line="360" w:lineRule="auto"/>
        <w:ind w:left="1134" w:leftChars="540"/>
        <w:rPr>
          <w:color w:val="auto"/>
          <w:sz w:val="24"/>
          <w:highlight w:val="none"/>
        </w:rPr>
      </w:pPr>
      <w:r>
        <w:rPr>
          <w:color w:val="auto"/>
          <w:sz w:val="24"/>
          <w:highlight w:val="none"/>
        </w:rPr>
        <w:t>出现</w:t>
      </w:r>
      <w:r>
        <w:rPr>
          <w:rFonts w:hint="eastAsia"/>
          <w:color w:val="auto"/>
          <w:sz w:val="24"/>
          <w:highlight w:val="none"/>
        </w:rPr>
        <w:t>上述</w:t>
      </w:r>
      <w:r>
        <w:rPr>
          <w:color w:val="auto"/>
          <w:sz w:val="24"/>
          <w:highlight w:val="none"/>
        </w:rPr>
        <w:t>情形，不影响采购</w:t>
      </w:r>
      <w:r>
        <w:rPr>
          <w:rFonts w:hint="eastAsia"/>
          <w:color w:val="auto"/>
          <w:sz w:val="24"/>
          <w:highlight w:val="none"/>
        </w:rPr>
        <w:t>活动</w:t>
      </w:r>
      <w:r>
        <w:rPr>
          <w:color w:val="auto"/>
          <w:sz w:val="24"/>
          <w:highlight w:val="none"/>
        </w:rPr>
        <w:t>公平、公正性的，</w:t>
      </w:r>
      <w:r>
        <w:rPr>
          <w:rFonts w:hint="eastAsia"/>
          <w:color w:val="auto"/>
          <w:sz w:val="24"/>
          <w:highlight w:val="none"/>
        </w:rPr>
        <w:t>代理机构</w:t>
      </w:r>
      <w:r>
        <w:rPr>
          <w:color w:val="auto"/>
          <w:sz w:val="24"/>
          <w:highlight w:val="none"/>
        </w:rPr>
        <w:t>可以待上述情形消除后继续组织</w:t>
      </w:r>
      <w:r>
        <w:rPr>
          <w:rFonts w:hint="eastAsia"/>
          <w:color w:val="auto"/>
          <w:sz w:val="24"/>
          <w:highlight w:val="none"/>
        </w:rPr>
        <w:t>不见面</w:t>
      </w:r>
      <w:r>
        <w:rPr>
          <w:color w:val="auto"/>
          <w:sz w:val="24"/>
          <w:highlight w:val="none"/>
        </w:rPr>
        <w:t>交易</w:t>
      </w:r>
      <w:r>
        <w:rPr>
          <w:rFonts w:hint="eastAsia"/>
          <w:color w:val="auto"/>
          <w:sz w:val="24"/>
          <w:highlight w:val="none"/>
        </w:rPr>
        <w:t>采购</w:t>
      </w:r>
      <w:r>
        <w:rPr>
          <w:color w:val="auto"/>
          <w:sz w:val="24"/>
          <w:highlight w:val="none"/>
        </w:rPr>
        <w:t>活动，也可以决定某些环节以纸质形式进行；影响或可能影响采购</w:t>
      </w:r>
      <w:r>
        <w:rPr>
          <w:rFonts w:hint="eastAsia"/>
          <w:color w:val="auto"/>
          <w:sz w:val="24"/>
          <w:highlight w:val="none"/>
        </w:rPr>
        <w:t>活动</w:t>
      </w:r>
      <w:r>
        <w:rPr>
          <w:color w:val="auto"/>
          <w:sz w:val="24"/>
          <w:highlight w:val="none"/>
        </w:rPr>
        <w:t>公平、公正性的，应当</w:t>
      </w:r>
      <w:r>
        <w:rPr>
          <w:rFonts w:hint="eastAsia"/>
          <w:color w:val="auto"/>
          <w:sz w:val="24"/>
          <w:highlight w:val="none"/>
        </w:rPr>
        <w:t>终止本次项目，</w:t>
      </w:r>
      <w:r>
        <w:rPr>
          <w:color w:val="auto"/>
          <w:sz w:val="24"/>
          <w:highlight w:val="none"/>
        </w:rPr>
        <w:t>重新</w:t>
      </w:r>
      <w:r>
        <w:rPr>
          <w:rFonts w:hint="eastAsia"/>
          <w:color w:val="auto"/>
          <w:sz w:val="24"/>
          <w:highlight w:val="none"/>
        </w:rPr>
        <w:t>组织</w:t>
      </w:r>
      <w:r>
        <w:rPr>
          <w:color w:val="auto"/>
          <w:sz w:val="24"/>
          <w:highlight w:val="none"/>
        </w:rPr>
        <w:t>采购。</w:t>
      </w:r>
    </w:p>
    <w:p w14:paraId="0A428923">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资格审查</w:t>
      </w:r>
    </w:p>
    <w:p w14:paraId="570CB1F7">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见第三章《资格审查》。</w:t>
      </w:r>
    </w:p>
    <w:bookmarkEnd w:id="558"/>
    <w:p w14:paraId="5F2E04A8">
      <w:pPr>
        <w:numPr>
          <w:ilvl w:val="0"/>
          <w:numId w:val="8"/>
        </w:numPr>
        <w:tabs>
          <w:tab w:val="left" w:pos="360"/>
        </w:tabs>
        <w:snapToGrid w:val="0"/>
        <w:spacing w:line="360" w:lineRule="auto"/>
        <w:ind w:left="357" w:hanging="357"/>
        <w:outlineLvl w:val="1"/>
        <w:rPr>
          <w:color w:val="auto"/>
          <w:sz w:val="24"/>
          <w:highlight w:val="none"/>
        </w:rPr>
      </w:pPr>
      <w:bookmarkStart w:id="559" w:name="_Toc265228378"/>
      <w:bookmarkStart w:id="560" w:name="_Toc151193854"/>
      <w:bookmarkStart w:id="561" w:name="_Toc142311042"/>
      <w:bookmarkStart w:id="562" w:name="_Toc226337236"/>
      <w:bookmarkStart w:id="563" w:name="_Toc127161454"/>
      <w:bookmarkStart w:id="564" w:name="_Toc127151540"/>
      <w:bookmarkStart w:id="565" w:name="_Toc151190167"/>
      <w:bookmarkStart w:id="566" w:name="_Toc164229381"/>
      <w:bookmarkStart w:id="567" w:name="_Toc151193928"/>
      <w:bookmarkStart w:id="568" w:name="_Toc151193782"/>
      <w:bookmarkStart w:id="569" w:name="_Toc149720833"/>
      <w:bookmarkStart w:id="570" w:name="_Toc305158882"/>
      <w:bookmarkStart w:id="571" w:name="_Toc164608654"/>
      <w:bookmarkStart w:id="572" w:name="_Toc151193710"/>
      <w:bookmarkStart w:id="573" w:name="_Toc150480778"/>
      <w:bookmarkStart w:id="574" w:name="_Toc226965730"/>
      <w:bookmarkStart w:id="575" w:name="_Toc305158808"/>
      <w:bookmarkStart w:id="576" w:name="_Toc150509291"/>
      <w:bookmarkStart w:id="577" w:name="_Toc164351634"/>
      <w:bookmarkStart w:id="578" w:name="_Toc150774640"/>
      <w:bookmarkStart w:id="579" w:name="_Toc127151741"/>
      <w:bookmarkStart w:id="580" w:name="_Toc226309784"/>
      <w:bookmarkStart w:id="581" w:name="_Toc195842905"/>
      <w:bookmarkStart w:id="582" w:name="_Toc150774745"/>
      <w:bookmarkStart w:id="583" w:name="_Toc226965813"/>
      <w:bookmarkStart w:id="584" w:name="_Toc151193638"/>
      <w:bookmarkStart w:id="585" w:name="_Toc164608809"/>
      <w:bookmarkStart w:id="586" w:name="_Toc164229235"/>
      <w:bookmarkStart w:id="587" w:name="_Toc264969230"/>
      <w:r>
        <w:rPr>
          <w:color w:val="auto"/>
          <w:sz w:val="24"/>
          <w:highlight w:val="none"/>
        </w:rPr>
        <w:t>评标委员会</w:t>
      </w:r>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p>
    <w:p w14:paraId="79EE076A">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评标委员会根据政府采购有关规定和本次招标采购项目的特点进行组建，并负责具体评标事务，独立履行职责。</w:t>
      </w:r>
      <w:bookmarkStart w:id="588" w:name="_Toc520356166"/>
    </w:p>
    <w:p w14:paraId="508C6DB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评审专家须符合</w:t>
      </w:r>
      <w:r>
        <w:rPr>
          <w:rFonts w:hint="eastAsia"/>
          <w:color w:val="auto"/>
          <w:sz w:val="24"/>
          <w:highlight w:val="none"/>
        </w:rPr>
        <w:t>相关</w:t>
      </w:r>
      <w:r>
        <w:rPr>
          <w:color w:val="auto"/>
          <w:sz w:val="24"/>
          <w:highlight w:val="none"/>
        </w:rPr>
        <w:t>规定。依法自行选定评审专家的，采购人和采购代理机构将查询有关信用记录，对具有行贿、受贿、欺诈等不良信用记录的人员，拒绝其参与政府采购活动。</w:t>
      </w:r>
      <w:bookmarkEnd w:id="588"/>
    </w:p>
    <w:p w14:paraId="10D84A7E">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评标程序、评标方法和评标标准</w:t>
      </w:r>
    </w:p>
    <w:p w14:paraId="23F320AA">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见第四章《评标程序、评标方法和评标标准》。</w:t>
      </w:r>
    </w:p>
    <w:p w14:paraId="5D903D2D">
      <w:pPr>
        <w:snapToGrid w:val="0"/>
        <w:spacing w:line="360" w:lineRule="auto"/>
        <w:jc w:val="center"/>
        <w:rPr>
          <w:rFonts w:ascii="宋体" w:hAnsi="宋体"/>
          <w:b/>
          <w:bCs/>
          <w:color w:val="auto"/>
          <w:sz w:val="28"/>
          <w:szCs w:val="28"/>
          <w:highlight w:val="none"/>
        </w:rPr>
      </w:pPr>
      <w:bookmarkStart w:id="589" w:name="_Toc226965818"/>
      <w:bookmarkStart w:id="590" w:name="_Toc127151545"/>
      <w:bookmarkStart w:id="591" w:name="_Toc305158813"/>
      <w:bookmarkStart w:id="592" w:name="_Toc142311047"/>
      <w:bookmarkStart w:id="593" w:name="_Toc151193933"/>
      <w:bookmarkStart w:id="594" w:name="_Toc151193859"/>
      <w:bookmarkStart w:id="595" w:name="_Toc150480783"/>
      <w:bookmarkStart w:id="596" w:name="_Toc226965735"/>
      <w:bookmarkStart w:id="597" w:name="_Toc265228383"/>
      <w:bookmarkStart w:id="598" w:name="_Toc151193643"/>
      <w:bookmarkStart w:id="599" w:name="_Toc150774750"/>
      <w:bookmarkStart w:id="600" w:name="_Toc151190172"/>
      <w:bookmarkStart w:id="601" w:name="_Toc226337241"/>
      <w:bookmarkStart w:id="602" w:name="_Toc150509296"/>
      <w:bookmarkStart w:id="603" w:name="_Toc195842910"/>
      <w:bookmarkStart w:id="604" w:name="_Toc305158887"/>
      <w:bookmarkStart w:id="605" w:name="_Toc226309789"/>
      <w:bookmarkStart w:id="606" w:name="_Toc151193787"/>
      <w:bookmarkStart w:id="607" w:name="_Toc264969235"/>
      <w:bookmarkStart w:id="608" w:name="_Toc150774645"/>
      <w:bookmarkStart w:id="609" w:name="_Toc151193715"/>
      <w:r>
        <w:rPr>
          <w:rFonts w:hint="eastAsia" w:ascii="宋体" w:hAnsi="宋体"/>
          <w:b/>
          <w:bCs/>
          <w:color w:val="auto"/>
          <w:sz w:val="28"/>
          <w:szCs w:val="28"/>
          <w:highlight w:val="none"/>
        </w:rPr>
        <w:t xml:space="preserve">六   </w:t>
      </w:r>
      <w:bookmarkEnd w:id="415"/>
      <w:r>
        <w:rPr>
          <w:rFonts w:hint="eastAsia" w:ascii="宋体" w:hAnsi="宋体"/>
          <w:b/>
          <w:bCs/>
          <w:color w:val="auto"/>
          <w:sz w:val="28"/>
          <w:szCs w:val="28"/>
          <w:highlight w:val="none"/>
        </w:rPr>
        <w:t>确定中标</w:t>
      </w:r>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Start w:id="610" w:name="_Toc151193717"/>
      <w:bookmarkStart w:id="611" w:name="_Toc127161461"/>
      <w:bookmarkStart w:id="612" w:name="_Toc127151748"/>
      <w:bookmarkStart w:id="613" w:name="_Toc305158815"/>
      <w:bookmarkStart w:id="614" w:name="_Toc150774752"/>
      <w:bookmarkStart w:id="615" w:name="_Toc151193861"/>
      <w:bookmarkStart w:id="616" w:name="_Toc151193789"/>
      <w:bookmarkStart w:id="617" w:name="_Toc150774647"/>
      <w:bookmarkStart w:id="618" w:name="_Toc151190174"/>
      <w:bookmarkStart w:id="619" w:name="_Toc151193935"/>
      <w:bookmarkStart w:id="620" w:name="_Toc151193645"/>
      <w:bookmarkStart w:id="621" w:name="_Toc226965737"/>
      <w:bookmarkStart w:id="622" w:name="_Toc164229388"/>
      <w:bookmarkStart w:id="623" w:name="_Toc264969237"/>
      <w:bookmarkStart w:id="624" w:name="_Toc142311049"/>
      <w:bookmarkStart w:id="625" w:name="_Toc226965820"/>
      <w:bookmarkStart w:id="626" w:name="_Toc164351641"/>
      <w:bookmarkStart w:id="627" w:name="_Toc305158889"/>
      <w:bookmarkStart w:id="628" w:name="_Toc164229242"/>
      <w:bookmarkStart w:id="629" w:name="_Toc164608661"/>
      <w:bookmarkStart w:id="630" w:name="_Toc226337243"/>
      <w:bookmarkStart w:id="631" w:name="_Toc265228385"/>
      <w:bookmarkStart w:id="632" w:name="_Toc164608816"/>
      <w:bookmarkStart w:id="633" w:name="_Toc127151547"/>
      <w:bookmarkStart w:id="634" w:name="_Toc195842912"/>
      <w:bookmarkStart w:id="635" w:name="_Toc150509298"/>
      <w:bookmarkStart w:id="636" w:name="_Toc149720840"/>
      <w:bookmarkStart w:id="637" w:name="_Toc226309791"/>
      <w:bookmarkStart w:id="638" w:name="_Toc150480785"/>
    </w:p>
    <w:p w14:paraId="1A9C351C">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确定</w:t>
      </w:r>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r>
        <w:rPr>
          <w:rFonts w:hint="eastAsia" w:ascii="宋体" w:hAnsi="宋体" w:cs="宋体"/>
          <w:color w:val="auto"/>
          <w:sz w:val="24"/>
          <w:highlight w:val="none"/>
          <w:lang w:eastAsia="zh-CN"/>
        </w:rPr>
        <w:t>中标人</w:t>
      </w:r>
    </w:p>
    <w:p w14:paraId="2EEDD272">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采购人将在评标报告确定的中标候选人名单中按顺序确定</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，中标候选人并列的，由采购人依法确定。</w:t>
      </w:r>
    </w:p>
    <w:p w14:paraId="0B2907B0">
      <w:pPr>
        <w:numPr>
          <w:ilvl w:val="0"/>
          <w:numId w:val="8"/>
        </w:numPr>
        <w:tabs>
          <w:tab w:val="left" w:pos="360"/>
        </w:tabs>
        <w:snapToGrid w:val="0"/>
        <w:spacing w:line="360" w:lineRule="auto"/>
        <w:ind w:left="357" w:hanging="357"/>
        <w:rPr>
          <w:rFonts w:ascii="宋体" w:hAnsi="宋体" w:cs="宋体"/>
          <w:color w:val="auto"/>
          <w:sz w:val="24"/>
          <w:highlight w:val="none"/>
        </w:rPr>
      </w:pPr>
      <w:bookmarkStart w:id="639" w:name="_Toc305158817"/>
      <w:bookmarkStart w:id="640" w:name="_Toc305158891"/>
      <w:bookmarkStart w:id="641" w:name="_Toc226309793"/>
      <w:bookmarkStart w:id="642" w:name="_Toc164608818"/>
      <w:bookmarkStart w:id="643" w:name="_Toc226337245"/>
      <w:bookmarkStart w:id="644" w:name="_Toc164351643"/>
      <w:bookmarkStart w:id="645" w:name="_Toc226965822"/>
      <w:bookmarkStart w:id="646" w:name="_Toc149720842"/>
      <w:bookmarkStart w:id="647" w:name="_Toc151193719"/>
      <w:bookmarkStart w:id="648" w:name="_Toc226965739"/>
      <w:bookmarkStart w:id="649" w:name="_Toc151193647"/>
      <w:bookmarkStart w:id="650" w:name="_Toc264969239"/>
      <w:bookmarkStart w:id="651" w:name="_Toc151193791"/>
      <w:bookmarkStart w:id="652" w:name="_Toc164229244"/>
      <w:bookmarkStart w:id="653" w:name="_Toc265228387"/>
      <w:bookmarkStart w:id="654" w:name="_Toc164608663"/>
      <w:bookmarkStart w:id="655" w:name="_Toc127151750"/>
      <w:bookmarkStart w:id="656" w:name="_Toc150774754"/>
      <w:bookmarkStart w:id="657" w:name="_Toc164229390"/>
      <w:bookmarkStart w:id="658" w:name="_Toc150774649"/>
      <w:bookmarkStart w:id="659" w:name="_Toc142311051"/>
      <w:bookmarkStart w:id="660" w:name="_Toc150480787"/>
      <w:bookmarkStart w:id="661" w:name="_Toc151190176"/>
      <w:bookmarkStart w:id="662" w:name="_Toc127161463"/>
      <w:bookmarkStart w:id="663" w:name="_Toc127151549"/>
      <w:bookmarkStart w:id="664" w:name="_Toc151193863"/>
      <w:bookmarkStart w:id="665" w:name="_Toc150509300"/>
      <w:bookmarkStart w:id="666" w:name="_Toc195842914"/>
      <w:bookmarkStart w:id="667" w:name="_Toc151193937"/>
      <w:bookmarkStart w:id="668" w:name="_Ref467307090"/>
      <w:bookmarkStart w:id="669" w:name="_Ref467306425"/>
      <w:bookmarkStart w:id="670" w:name="_Toc520356176"/>
      <w:r>
        <w:rPr>
          <w:rFonts w:hint="eastAsia" w:ascii="宋体" w:hAnsi="宋体" w:cs="宋体"/>
          <w:color w:val="auto"/>
          <w:sz w:val="24"/>
          <w:highlight w:val="none"/>
        </w:rPr>
        <w:t>中标公告与中标通知书</w:t>
      </w:r>
      <w:bookmarkEnd w:id="639"/>
      <w:bookmarkEnd w:id="640"/>
    </w:p>
    <w:p w14:paraId="1A591482">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采购人或采购代理机构自</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确定之日起2个工作日内，</w:t>
      </w:r>
      <w:r>
        <w:rPr>
          <w:rFonts w:hint="eastAsia" w:ascii="宋体" w:hAnsi="宋体" w:cs="宋体"/>
          <w:color w:val="auto"/>
          <w:kern w:val="0"/>
          <w:sz w:val="24"/>
          <w:highlight w:val="none"/>
        </w:rPr>
        <w:t>在江苏政府采购网、常州市政府采购网</w:t>
      </w:r>
      <w:r>
        <w:rPr>
          <w:rFonts w:hint="eastAsia" w:ascii="宋体" w:hAnsi="宋体" w:cs="宋体"/>
          <w:color w:val="auto"/>
          <w:sz w:val="24"/>
          <w:highlight w:val="none"/>
        </w:rPr>
        <w:t>和江苏尚阳工程管理有限公司网</w:t>
      </w:r>
      <w:r>
        <w:rPr>
          <w:rFonts w:hint="eastAsia" w:ascii="宋体" w:hAnsi="宋体" w:cs="宋体"/>
          <w:color w:val="auto"/>
          <w:kern w:val="0"/>
          <w:sz w:val="24"/>
          <w:highlight w:val="none"/>
        </w:rPr>
        <w:t>公告中标结果</w:t>
      </w:r>
      <w:r>
        <w:rPr>
          <w:rFonts w:hint="eastAsia" w:ascii="宋体" w:hAnsi="宋体" w:cs="宋体"/>
          <w:color w:val="auto"/>
          <w:sz w:val="24"/>
          <w:highlight w:val="none"/>
        </w:rPr>
        <w:t>，同时向</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发出中标通知书，中标公告期限为1个工作日。</w:t>
      </w:r>
    </w:p>
    <w:p w14:paraId="18BA22CA">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中标通知书对采购人和</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均具有法律效力。中标通知书发出后，采购人改变中标结果的，或者</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放弃中标项目的，应当依法承担法律责任。</w:t>
      </w:r>
    </w:p>
    <w:p w14:paraId="2462FA5C">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废标</w:t>
      </w:r>
    </w:p>
    <w:p w14:paraId="166ACA30">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在招标采购中，出现下列情形之一的，应予废标：</w:t>
      </w:r>
    </w:p>
    <w:p w14:paraId="7A1C2FB8">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符合专业条件的</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或者对招标文件作实质响应的</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不足三家的；</w:t>
      </w:r>
    </w:p>
    <w:p w14:paraId="609A5948">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出现影响采购公正的违法、违规行为的；</w:t>
      </w:r>
    </w:p>
    <w:p w14:paraId="64104275">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投标人的报价均超过了采购预算，采购人不能支付的；</w:t>
      </w:r>
    </w:p>
    <w:p w14:paraId="4555CDC1">
      <w:pPr>
        <w:numPr>
          <w:ilvl w:val="2"/>
          <w:numId w:val="8"/>
        </w:numPr>
        <w:snapToGrid w:val="0"/>
        <w:spacing w:line="360" w:lineRule="auto"/>
        <w:rPr>
          <w:color w:val="auto"/>
          <w:sz w:val="24"/>
          <w:highlight w:val="none"/>
        </w:rPr>
      </w:pPr>
      <w:r>
        <w:rPr>
          <w:rFonts w:hint="eastAsia" w:ascii="宋体" w:hAnsi="宋体" w:cs="宋体"/>
          <w:color w:val="auto"/>
          <w:sz w:val="24"/>
          <w:highlight w:val="none"/>
        </w:rPr>
        <w:t>因重大变故，采购任务取消的。</w:t>
      </w:r>
    </w:p>
    <w:p w14:paraId="328A120A">
      <w:pPr>
        <w:numPr>
          <w:ilvl w:val="2"/>
          <w:numId w:val="8"/>
        </w:numPr>
        <w:snapToGrid w:val="0"/>
        <w:spacing w:line="360" w:lineRule="auto"/>
        <w:rPr>
          <w:rFonts w:ascii="宋体" w:hAnsi="宋体" w:cs="宋体"/>
          <w:color w:val="auto"/>
          <w:sz w:val="24"/>
          <w:highlight w:val="none"/>
        </w:rPr>
      </w:pPr>
      <w:r>
        <w:rPr>
          <w:rFonts w:hint="eastAsia" w:ascii="宋体" w:hAnsi="宋体"/>
          <w:color w:val="auto"/>
          <w:spacing w:val="2"/>
          <w:sz w:val="24"/>
          <w:highlight w:val="none"/>
        </w:rPr>
        <w:t>平台系统</w:t>
      </w:r>
      <w:r>
        <w:rPr>
          <w:rFonts w:ascii="宋体" w:hAnsi="宋体"/>
          <w:color w:val="auto"/>
          <w:sz w:val="24"/>
          <w:highlight w:val="none"/>
        </w:rPr>
        <w:t>出现</w:t>
      </w:r>
      <w:r>
        <w:rPr>
          <w:rFonts w:hint="eastAsia" w:ascii="宋体" w:hAnsi="宋体"/>
          <w:color w:val="auto"/>
          <w:sz w:val="24"/>
          <w:highlight w:val="none"/>
        </w:rPr>
        <w:t>序号18.8的所述</w:t>
      </w:r>
      <w:r>
        <w:rPr>
          <w:rFonts w:ascii="宋体" w:hAnsi="宋体"/>
          <w:color w:val="auto"/>
          <w:sz w:val="24"/>
          <w:highlight w:val="none"/>
        </w:rPr>
        <w:t>情形，</w:t>
      </w:r>
      <w:r>
        <w:rPr>
          <w:rFonts w:hint="eastAsia" w:ascii="宋体" w:hAnsi="宋体"/>
          <w:color w:val="auto"/>
          <w:sz w:val="24"/>
          <w:highlight w:val="none"/>
        </w:rPr>
        <w:t>情况严重且</w:t>
      </w:r>
      <w:r>
        <w:rPr>
          <w:rFonts w:ascii="宋体" w:hAnsi="宋体"/>
          <w:color w:val="auto"/>
          <w:sz w:val="24"/>
          <w:highlight w:val="none"/>
        </w:rPr>
        <w:t>影响采购</w:t>
      </w:r>
      <w:r>
        <w:rPr>
          <w:rFonts w:hint="eastAsia" w:ascii="宋体" w:hAnsi="宋体"/>
          <w:color w:val="auto"/>
          <w:sz w:val="24"/>
          <w:highlight w:val="none"/>
        </w:rPr>
        <w:t>活动</w:t>
      </w:r>
      <w:r>
        <w:rPr>
          <w:rFonts w:ascii="宋体" w:hAnsi="宋体"/>
          <w:color w:val="auto"/>
          <w:sz w:val="24"/>
          <w:highlight w:val="none"/>
        </w:rPr>
        <w:t>公平、公正性的</w:t>
      </w:r>
      <w:r>
        <w:rPr>
          <w:rFonts w:hint="eastAsia" w:ascii="宋体" w:hAnsi="宋体"/>
          <w:color w:val="auto"/>
          <w:sz w:val="24"/>
          <w:highlight w:val="none"/>
        </w:rPr>
        <w:t>。</w:t>
      </w:r>
    </w:p>
    <w:p w14:paraId="46711B63">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废标后，采购人将废标理由通知所有投标人。</w:t>
      </w:r>
    </w:p>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p w14:paraId="44E2BD9F">
      <w:pPr>
        <w:numPr>
          <w:ilvl w:val="0"/>
          <w:numId w:val="8"/>
        </w:numPr>
        <w:tabs>
          <w:tab w:val="left" w:pos="360"/>
        </w:tabs>
        <w:snapToGrid w:val="0"/>
        <w:spacing w:line="360" w:lineRule="auto"/>
        <w:ind w:left="357" w:hanging="357"/>
        <w:rPr>
          <w:rFonts w:ascii="宋体" w:hAnsi="宋体" w:cs="宋体"/>
          <w:color w:val="auto"/>
          <w:sz w:val="24"/>
          <w:highlight w:val="none"/>
        </w:rPr>
      </w:pPr>
      <w:bookmarkStart w:id="671" w:name="_Toc305158892"/>
      <w:bookmarkStart w:id="672" w:name="_Toc164229245"/>
      <w:bookmarkStart w:id="673" w:name="_Toc151193864"/>
      <w:bookmarkStart w:id="674" w:name="_Toc226337246"/>
      <w:bookmarkStart w:id="675" w:name="_Toc226965823"/>
      <w:bookmarkStart w:id="676" w:name="_Toc264969240"/>
      <w:bookmarkStart w:id="677" w:name="_Toc151193792"/>
      <w:bookmarkStart w:id="678" w:name="_Toc164608819"/>
      <w:bookmarkStart w:id="679" w:name="_Toc226965740"/>
      <w:bookmarkStart w:id="680" w:name="_Toc164229391"/>
      <w:bookmarkStart w:id="681" w:name="_Toc164608664"/>
      <w:bookmarkStart w:id="682" w:name="_Ref467307204"/>
      <w:bookmarkStart w:id="683" w:name="_Toc150509301"/>
      <w:bookmarkStart w:id="684" w:name="_Toc142311052"/>
      <w:bookmarkStart w:id="685" w:name="_Ref467306978"/>
      <w:bookmarkStart w:id="686" w:name="_Toc150480788"/>
      <w:bookmarkStart w:id="687" w:name="_Toc149720843"/>
      <w:bookmarkStart w:id="688" w:name="_Ref467306377"/>
      <w:bookmarkStart w:id="689" w:name="_Toc520356175"/>
      <w:bookmarkStart w:id="690" w:name="_Toc150774650"/>
      <w:bookmarkStart w:id="691" w:name="_Toc305158818"/>
      <w:bookmarkStart w:id="692" w:name="_Toc151190177"/>
      <w:bookmarkStart w:id="693" w:name="_Toc150774755"/>
      <w:bookmarkStart w:id="694" w:name="_Toc164351644"/>
      <w:bookmarkStart w:id="695" w:name="_Toc151193720"/>
      <w:bookmarkStart w:id="696" w:name="_Toc127161464"/>
      <w:bookmarkStart w:id="697" w:name="_Toc127151550"/>
      <w:bookmarkStart w:id="698" w:name="_Toc127151751"/>
      <w:bookmarkStart w:id="699" w:name="_Ref467307062"/>
      <w:bookmarkStart w:id="700" w:name="_Toc265228388"/>
      <w:bookmarkStart w:id="701" w:name="_Toc226309794"/>
      <w:bookmarkStart w:id="702" w:name="_Toc195842915"/>
      <w:bookmarkStart w:id="703" w:name="_Toc151193938"/>
      <w:bookmarkStart w:id="704" w:name="_Toc151193648"/>
      <w:r>
        <w:rPr>
          <w:rFonts w:hint="eastAsia" w:ascii="宋体" w:hAnsi="宋体" w:cs="宋体"/>
          <w:color w:val="auto"/>
          <w:sz w:val="24"/>
          <w:highlight w:val="none"/>
        </w:rPr>
        <w:t>签订合同</w:t>
      </w:r>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p>
    <w:p w14:paraId="43B34B4C">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lang w:eastAsia="zh-CN"/>
        </w:rPr>
        <w:t>中标人</w:t>
      </w:r>
      <w:r>
        <w:rPr>
          <w:rFonts w:hint="eastAsia" w:ascii="宋体" w:hAnsi="宋体" w:cs="宋体"/>
          <w:color w:val="auto"/>
          <w:sz w:val="24"/>
          <w:highlight w:val="none"/>
        </w:rPr>
        <w:t>、采购人应当自中标通知书发出之日起30日内，按照招标文件和</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投标文件的规定签订书面合同。所签订的合同不得对招标文件确定的事项和</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的投标文件作实质性修改。</w:t>
      </w:r>
    </w:p>
    <w:p w14:paraId="0F4C72DE">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lang w:eastAsia="zh-CN"/>
        </w:rPr>
        <w:t>中标人</w:t>
      </w:r>
      <w:r>
        <w:rPr>
          <w:rFonts w:hint="eastAsia" w:ascii="宋体" w:hAnsi="宋体" w:cs="宋体"/>
          <w:color w:val="auto"/>
          <w:sz w:val="24"/>
          <w:highlight w:val="none"/>
        </w:rPr>
        <w:t>拒绝与采购人签订合同的，采购人可以按照评标报告推荐的中标候选人名单排序，确定下一候选人为</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，也可以重新开展政府采购活动。</w:t>
      </w:r>
    </w:p>
    <w:p w14:paraId="4258D6B8">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联合体中标的，联合体各方应当共同与采购人签订合同，就中标项目向采购人承担连带责任。</w:t>
      </w:r>
    </w:p>
    <w:p w14:paraId="41384B19">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政府采购合同不能转包。</w:t>
      </w:r>
    </w:p>
    <w:p w14:paraId="0C736207">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本项目的非主体、非关键性工作是否允许分包，见《投标人须知资料表》。</w:t>
      </w:r>
    </w:p>
    <w:bookmarkEnd w:id="668"/>
    <w:bookmarkEnd w:id="669"/>
    <w:bookmarkEnd w:id="670"/>
    <w:p w14:paraId="1D00567C">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询问与质疑</w:t>
      </w:r>
    </w:p>
    <w:p w14:paraId="675E55F3">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询问</w:t>
      </w:r>
    </w:p>
    <w:p w14:paraId="0E46F3EF">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投标人对政府采购活动事项有疑问的，可依法提出询问，并按《投标人须知资料表》载明的形式送达采购人或采购代理机构。</w:t>
      </w:r>
    </w:p>
    <w:p w14:paraId="685C9115">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采购人或采购代理机构对</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依法提出的询问，在3个工作日内作出答复，但答复的内容不得涉及商业秘密。</w:t>
      </w:r>
    </w:p>
    <w:p w14:paraId="5B201BDD">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质疑</w:t>
      </w:r>
    </w:p>
    <w:p w14:paraId="6695F22C">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239906D1">
      <w:pPr>
        <w:numPr>
          <w:ilvl w:val="2"/>
          <w:numId w:val="8"/>
        </w:numPr>
        <w:snapToGrid w:val="0"/>
        <w:spacing w:line="360" w:lineRule="auto"/>
        <w:rPr>
          <w:rFonts w:ascii="宋体" w:hAnsi="宋体" w:cs="宋体"/>
          <w:color w:val="auto"/>
          <w:sz w:val="24"/>
          <w:highlight w:val="none"/>
        </w:rPr>
      </w:pPr>
      <w:r>
        <w:rPr>
          <w:rFonts w:hint="eastAsia" w:ascii="宋体" w:hAnsi="宋体" w:cs="宋体"/>
          <w:b/>
          <w:color w:val="auto"/>
          <w:sz w:val="24"/>
          <w:highlight w:val="none"/>
        </w:rPr>
        <w:t>招标文件中采购需求以及相关部分（第四章、第五章以及投标人资格要求）由采购人负责制定和管理，对该部分内容有询问或者质疑的，投标人应当向采购人书面提出，由采购人负责接收和回复。</w:t>
      </w:r>
    </w:p>
    <w:p w14:paraId="61835E49">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质疑函须使用财政部制定的范本文件。（下载网址：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55"/>
          <w:rFonts w:hint="eastAsia" w:ascii="宋体" w:hAnsi="宋体" w:cs="宋体"/>
          <w:color w:val="auto"/>
          <w:sz w:val="24"/>
          <w:highlight w:val="none"/>
        </w:rPr>
        <w:t>http://gk</w:t>
      </w:r>
      <w:bookmarkStart w:id="705" w:name="_Hlt100654014"/>
      <w:r>
        <w:rPr>
          <w:rStyle w:val="55"/>
          <w:rFonts w:hint="eastAsia" w:ascii="宋体" w:hAnsi="宋体" w:cs="宋体"/>
          <w:color w:val="auto"/>
          <w:sz w:val="24"/>
          <w:highlight w:val="none"/>
        </w:rPr>
        <w:t>s</w:t>
      </w:r>
      <w:bookmarkEnd w:id="705"/>
      <w:r>
        <w:rPr>
          <w:rStyle w:val="55"/>
          <w:rFonts w:hint="eastAsia" w:ascii="宋体" w:hAnsi="宋体" w:cs="宋体"/>
          <w:color w:val="auto"/>
          <w:sz w:val="24"/>
          <w:highlight w:val="none"/>
        </w:rPr>
        <w:t>.m</w:t>
      </w:r>
      <w:bookmarkStart w:id="706" w:name="_Hlt100653993"/>
      <w:bookmarkStart w:id="707" w:name="_Hlt100653994"/>
      <w:r>
        <w:rPr>
          <w:rStyle w:val="55"/>
          <w:rFonts w:hint="eastAsia" w:ascii="宋体" w:hAnsi="宋体" w:cs="宋体"/>
          <w:color w:val="auto"/>
          <w:sz w:val="24"/>
          <w:highlight w:val="none"/>
        </w:rPr>
        <w:t>o</w:t>
      </w:r>
      <w:bookmarkEnd w:id="706"/>
      <w:bookmarkEnd w:id="707"/>
      <w:r>
        <w:rPr>
          <w:rStyle w:val="55"/>
          <w:rFonts w:hint="eastAsia" w:ascii="宋体" w:hAnsi="宋体" w:cs="宋体"/>
          <w:color w:val="auto"/>
          <w:sz w:val="24"/>
          <w:highlight w:val="none"/>
        </w:rPr>
        <w:t>f.gov.cn/ztztz/zhengfucaigouguanli/201802/t20180201_2804589.htm</w:t>
      </w:r>
      <w:r>
        <w:rPr>
          <w:rStyle w:val="55"/>
          <w:rFonts w:hint="eastAsia" w:ascii="宋体" w:hAnsi="宋体" w:cs="宋体"/>
          <w:color w:val="auto"/>
          <w:sz w:val="24"/>
          <w:highlight w:val="none"/>
        </w:rPr>
        <w:fldChar w:fldCharType="end"/>
      </w:r>
      <w:r>
        <w:rPr>
          <w:rFonts w:hint="eastAsia" w:ascii="宋体" w:hAnsi="宋体" w:cs="宋体"/>
          <w:color w:val="auto"/>
          <w:sz w:val="24"/>
          <w:highlight w:val="none"/>
        </w:rPr>
        <w:t>）</w:t>
      </w:r>
    </w:p>
    <w:p w14:paraId="69A88B3A">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投标人为自然人的，应当由本人签字；投标人为法人或者其他组织的，应当由法定代表人、主要负责人，或者其授权代表签字或者加盖公章，并加盖公章。</w:t>
      </w:r>
    </w:p>
    <w:p w14:paraId="599DA47D">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投标人应在法定质疑期内一次性提出针对同一采购程序环节的质疑，法定质疑期内针对同一采购程序环节再次提出的质疑，采购人、采购代理机构有权不予答复。</w:t>
      </w:r>
    </w:p>
    <w:p w14:paraId="1CCEE3E3">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接收询问和质疑的联系部门、联系电话和通讯地址见《投标人须知资料表》。</w:t>
      </w:r>
    </w:p>
    <w:p w14:paraId="127A01DA">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代理费</w:t>
      </w:r>
    </w:p>
    <w:p w14:paraId="290B21DE">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宋体" w:hAnsi="宋体" w:cs="宋体"/>
          <w:color w:val="auto"/>
          <w:sz w:val="24"/>
          <w:highlight w:val="none"/>
        </w:rPr>
        <w:t>收费对象、收费标准及缴纳时间见《投标人须知资料表》。由</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支付的，</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须一次性向采购代理机构缴纳代理费，投标报价应包含代理费用。</w:t>
      </w:r>
    </w:p>
    <w:p w14:paraId="0CDE4C00">
      <w:pPr>
        <w:spacing w:line="360" w:lineRule="auto"/>
        <w:jc w:val="center"/>
        <w:outlineLvl w:val="0"/>
        <w:rPr>
          <w:b/>
          <w:color w:val="auto"/>
          <w:sz w:val="36"/>
          <w:szCs w:val="36"/>
          <w:highlight w:val="none"/>
        </w:rPr>
      </w:pPr>
      <w:bookmarkStart w:id="708" w:name="_Toc353825544"/>
      <w:bookmarkStart w:id="709" w:name="_Toc264969244"/>
      <w:bookmarkStart w:id="710" w:name="_Toc265228392"/>
      <w:bookmarkStart w:id="711" w:name="_Toc305158896"/>
      <w:bookmarkStart w:id="712" w:name="_Toc305158822"/>
      <w:bookmarkStart w:id="713" w:name="_Toc142311056"/>
      <w:bookmarkStart w:id="714" w:name="_Toc353873664"/>
      <w:bookmarkStart w:id="715" w:name="_Toc353873934"/>
      <w:bookmarkStart w:id="716" w:name="_Toc150774759"/>
      <w:bookmarkStart w:id="717" w:name="_Toc226337250"/>
      <w:bookmarkStart w:id="718" w:name="_Toc226965827"/>
      <w:bookmarkStart w:id="719" w:name="_Toc150480792"/>
      <w:bookmarkStart w:id="720" w:name="_Toc127151554"/>
      <w:bookmarkStart w:id="721" w:name="_Toc99301421"/>
      <w:bookmarkStart w:id="722" w:name="_Toc4607"/>
      <w:r>
        <w:rPr>
          <w:b/>
          <w:color w:val="auto"/>
          <w:sz w:val="36"/>
          <w:szCs w:val="36"/>
          <w:highlight w:val="none"/>
        </w:rPr>
        <w:t xml:space="preserve">第三章   </w:t>
      </w:r>
      <w:bookmarkEnd w:id="708"/>
      <w:bookmarkEnd w:id="709"/>
      <w:bookmarkEnd w:id="710"/>
      <w:bookmarkEnd w:id="711"/>
      <w:bookmarkEnd w:id="712"/>
      <w:bookmarkEnd w:id="713"/>
      <w:bookmarkEnd w:id="714"/>
      <w:bookmarkEnd w:id="715"/>
      <w:bookmarkEnd w:id="716"/>
      <w:bookmarkEnd w:id="717"/>
      <w:bookmarkEnd w:id="718"/>
      <w:bookmarkEnd w:id="719"/>
      <w:bookmarkEnd w:id="720"/>
      <w:r>
        <w:rPr>
          <w:b/>
          <w:color w:val="auto"/>
          <w:sz w:val="36"/>
          <w:szCs w:val="36"/>
          <w:highlight w:val="none"/>
        </w:rPr>
        <w:t>资格审查</w:t>
      </w:r>
      <w:bookmarkEnd w:id="721"/>
      <w:bookmarkEnd w:id="722"/>
      <w:bookmarkStart w:id="723" w:name="_Toc487900382"/>
    </w:p>
    <w:p w14:paraId="3EB5A40B">
      <w:pPr>
        <w:snapToGrid w:val="0"/>
        <w:spacing w:line="360" w:lineRule="auto"/>
        <w:jc w:val="center"/>
        <w:rPr>
          <w:rFonts w:ascii="宋体" w:hAnsi="宋体"/>
          <w:b/>
          <w:bCs/>
          <w:color w:val="auto"/>
          <w:sz w:val="28"/>
          <w:szCs w:val="28"/>
          <w:highlight w:val="none"/>
        </w:rPr>
      </w:pPr>
      <w:bookmarkStart w:id="724" w:name="_Toc99301422"/>
      <w:r>
        <w:rPr>
          <w:rFonts w:hint="eastAsia" w:ascii="宋体" w:hAnsi="宋体"/>
          <w:b/>
          <w:bCs/>
          <w:color w:val="auto"/>
          <w:sz w:val="28"/>
          <w:szCs w:val="28"/>
          <w:highlight w:val="none"/>
        </w:rPr>
        <w:t>一、资格审查程序</w:t>
      </w:r>
      <w:bookmarkEnd w:id="724"/>
    </w:p>
    <w:p w14:paraId="2E022221">
      <w:pPr>
        <w:numPr>
          <w:ilvl w:val="0"/>
          <w:numId w:val="11"/>
        </w:numPr>
        <w:tabs>
          <w:tab w:val="left" w:pos="426"/>
          <w:tab w:val="left" w:pos="851"/>
          <w:tab w:val="clear" w:pos="900"/>
        </w:tabs>
        <w:snapToGrid w:val="0"/>
        <w:spacing w:line="360" w:lineRule="auto"/>
        <w:ind w:left="425" w:hanging="425"/>
        <w:rPr>
          <w:rFonts w:ascii="宋体" w:hAnsi="宋体" w:cs="宋体"/>
          <w:color w:val="auto"/>
          <w:sz w:val="24"/>
          <w:highlight w:val="none"/>
        </w:rPr>
      </w:pPr>
      <w:r>
        <w:rPr>
          <w:rFonts w:hint="eastAsia" w:ascii="宋体" w:hAnsi="宋体" w:cs="宋体"/>
          <w:color w:val="auto"/>
          <w:sz w:val="24"/>
          <w:highlight w:val="none"/>
        </w:rPr>
        <w:t>开标结束后，采购人将根据《资格审查要求》中的规定，对投标人进行资格审查，并形成资格审查结果。</w:t>
      </w:r>
    </w:p>
    <w:p w14:paraId="0D6CFF01">
      <w:pPr>
        <w:numPr>
          <w:ilvl w:val="0"/>
          <w:numId w:val="11"/>
        </w:numPr>
        <w:tabs>
          <w:tab w:val="left" w:pos="426"/>
          <w:tab w:val="left" w:pos="851"/>
          <w:tab w:val="clear" w:pos="900"/>
        </w:tabs>
        <w:snapToGrid w:val="0"/>
        <w:spacing w:line="360" w:lineRule="auto"/>
        <w:ind w:left="425" w:hanging="425"/>
        <w:rPr>
          <w:rFonts w:ascii="宋体" w:hAnsi="宋体" w:cs="宋体"/>
          <w:color w:val="auto"/>
          <w:sz w:val="24"/>
          <w:highlight w:val="none"/>
        </w:rPr>
      </w:pPr>
      <w:r>
        <w:rPr>
          <w:rFonts w:hint="eastAsia" w:ascii="宋体" w:hAnsi="宋体" w:cs="宋体"/>
          <w:color w:val="auto"/>
          <w:sz w:val="24"/>
          <w:highlight w:val="none"/>
        </w:rPr>
        <w:t>《资格审查要求》中对格式有要求的，除招标文件另有规定外，均为“实质性格式”文件。</w:t>
      </w:r>
    </w:p>
    <w:p w14:paraId="0DACA74C">
      <w:pPr>
        <w:numPr>
          <w:ilvl w:val="0"/>
          <w:numId w:val="11"/>
        </w:numPr>
        <w:tabs>
          <w:tab w:val="left" w:pos="426"/>
          <w:tab w:val="left" w:pos="851"/>
          <w:tab w:val="clear" w:pos="900"/>
        </w:tabs>
        <w:snapToGrid w:val="0"/>
        <w:spacing w:line="360" w:lineRule="auto"/>
        <w:ind w:left="425" w:hanging="425"/>
        <w:rPr>
          <w:rFonts w:ascii="宋体" w:hAnsi="宋体" w:cs="宋体"/>
          <w:color w:val="auto"/>
          <w:sz w:val="24"/>
          <w:highlight w:val="none"/>
        </w:rPr>
      </w:pPr>
      <w:r>
        <w:rPr>
          <w:rFonts w:hint="eastAsia" w:ascii="宋体" w:hAnsi="宋体" w:cs="宋体"/>
          <w:color w:val="auto"/>
          <w:sz w:val="24"/>
          <w:highlight w:val="none"/>
        </w:rPr>
        <w:t>投标人《资格证明文件》有任何一项不符合《资格审查要求》的，资格审查不合格，其</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3EAFD3BF">
      <w:pPr>
        <w:numPr>
          <w:ilvl w:val="0"/>
          <w:numId w:val="11"/>
        </w:numPr>
        <w:tabs>
          <w:tab w:val="left" w:pos="426"/>
          <w:tab w:val="left" w:pos="851"/>
          <w:tab w:val="clear" w:pos="900"/>
        </w:tabs>
        <w:snapToGrid w:val="0"/>
        <w:spacing w:line="360" w:lineRule="auto"/>
        <w:ind w:left="425" w:hanging="425"/>
        <w:rPr>
          <w:rFonts w:ascii="宋体" w:hAnsi="宋体" w:cs="宋体"/>
          <w:color w:val="auto"/>
          <w:sz w:val="24"/>
          <w:highlight w:val="none"/>
        </w:rPr>
      </w:pPr>
      <w:r>
        <w:rPr>
          <w:rFonts w:hint="eastAsia" w:ascii="宋体" w:hAnsi="宋体" w:cs="宋体"/>
          <w:color w:val="auto"/>
          <w:sz w:val="24"/>
          <w:highlight w:val="none"/>
        </w:rPr>
        <w:t>资格审查合格的投标人不足3家的，不进行评标。</w:t>
      </w:r>
    </w:p>
    <w:p w14:paraId="55287519">
      <w:pPr>
        <w:snapToGrid w:val="0"/>
        <w:spacing w:line="360" w:lineRule="auto"/>
        <w:jc w:val="center"/>
        <w:rPr>
          <w:rFonts w:ascii="宋体" w:hAnsi="宋体"/>
          <w:b/>
          <w:bCs/>
          <w:color w:val="auto"/>
          <w:sz w:val="28"/>
          <w:szCs w:val="28"/>
          <w:highlight w:val="none"/>
        </w:rPr>
      </w:pPr>
      <w:r>
        <w:rPr>
          <w:rFonts w:hint="eastAsia" w:ascii="宋体" w:hAnsi="宋体"/>
          <w:b/>
          <w:bCs/>
          <w:color w:val="auto"/>
          <w:sz w:val="28"/>
          <w:szCs w:val="28"/>
          <w:highlight w:val="none"/>
        </w:rPr>
        <w:t>二、资格审查要求</w:t>
      </w:r>
    </w:p>
    <w:tbl>
      <w:tblPr>
        <w:tblStyle w:val="47"/>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1982"/>
        <w:gridCol w:w="4822"/>
        <w:gridCol w:w="1638"/>
      </w:tblGrid>
      <w:tr w14:paraId="17967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46" w:type="dxa"/>
            <w:vAlign w:val="center"/>
          </w:tcPr>
          <w:p w14:paraId="03A08F22">
            <w:pPr>
              <w:tabs>
                <w:tab w:val="left" w:pos="1080"/>
              </w:tabs>
              <w:snapToGrid w:val="0"/>
              <w:jc w:val="center"/>
              <w:rPr>
                <w:b/>
                <w:color w:val="auto"/>
                <w:sz w:val="24"/>
                <w:highlight w:val="none"/>
              </w:rPr>
            </w:pPr>
            <w:bookmarkStart w:id="725" w:name="_Hlt487972895"/>
            <w:bookmarkEnd w:id="725"/>
            <w:r>
              <w:rPr>
                <w:b/>
                <w:color w:val="auto"/>
                <w:sz w:val="24"/>
                <w:highlight w:val="none"/>
              </w:rPr>
              <w:t>序号</w:t>
            </w:r>
          </w:p>
        </w:tc>
        <w:tc>
          <w:tcPr>
            <w:tcW w:w="1982" w:type="dxa"/>
            <w:vAlign w:val="center"/>
          </w:tcPr>
          <w:p w14:paraId="720DDB21">
            <w:pPr>
              <w:tabs>
                <w:tab w:val="left" w:pos="1080"/>
              </w:tabs>
              <w:snapToGrid w:val="0"/>
              <w:jc w:val="center"/>
              <w:rPr>
                <w:b/>
                <w:color w:val="auto"/>
                <w:sz w:val="24"/>
                <w:highlight w:val="none"/>
              </w:rPr>
            </w:pPr>
            <w:r>
              <w:rPr>
                <w:b/>
                <w:color w:val="auto"/>
                <w:sz w:val="24"/>
                <w:highlight w:val="none"/>
              </w:rPr>
              <w:t>审查因素</w:t>
            </w:r>
          </w:p>
        </w:tc>
        <w:tc>
          <w:tcPr>
            <w:tcW w:w="4822" w:type="dxa"/>
            <w:vAlign w:val="center"/>
          </w:tcPr>
          <w:p w14:paraId="1B4B80C7">
            <w:pPr>
              <w:tabs>
                <w:tab w:val="left" w:pos="1080"/>
              </w:tabs>
              <w:snapToGrid w:val="0"/>
              <w:jc w:val="center"/>
              <w:rPr>
                <w:b/>
                <w:color w:val="auto"/>
                <w:sz w:val="24"/>
                <w:highlight w:val="none"/>
              </w:rPr>
            </w:pPr>
            <w:r>
              <w:rPr>
                <w:b/>
                <w:color w:val="auto"/>
                <w:sz w:val="24"/>
                <w:highlight w:val="none"/>
              </w:rPr>
              <w:t>审查内容</w:t>
            </w:r>
          </w:p>
        </w:tc>
        <w:tc>
          <w:tcPr>
            <w:tcW w:w="1638" w:type="dxa"/>
            <w:vAlign w:val="center"/>
          </w:tcPr>
          <w:p w14:paraId="14B2A99F">
            <w:pPr>
              <w:tabs>
                <w:tab w:val="left" w:pos="1080"/>
              </w:tabs>
              <w:snapToGrid w:val="0"/>
              <w:jc w:val="center"/>
              <w:rPr>
                <w:b/>
                <w:color w:val="auto"/>
                <w:sz w:val="24"/>
                <w:highlight w:val="none"/>
              </w:rPr>
            </w:pPr>
            <w:r>
              <w:rPr>
                <w:b/>
                <w:color w:val="auto"/>
                <w:sz w:val="24"/>
                <w:highlight w:val="none"/>
              </w:rPr>
              <w:t>格式要求</w:t>
            </w:r>
          </w:p>
        </w:tc>
      </w:tr>
      <w:tr w14:paraId="0E2897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2E1D1023">
            <w:pPr>
              <w:tabs>
                <w:tab w:val="left" w:pos="1080"/>
              </w:tabs>
              <w:snapToGrid w:val="0"/>
              <w:jc w:val="center"/>
              <w:rPr>
                <w:rFonts w:ascii="宋体" w:hAnsi="宋体" w:cs="宋体"/>
                <w:color w:val="auto"/>
                <w:sz w:val="24"/>
                <w:highlight w:val="none"/>
              </w:rPr>
            </w:pPr>
            <w:r>
              <w:rPr>
                <w:rFonts w:hint="eastAsia" w:ascii="宋体" w:hAnsi="宋体" w:cs="宋体"/>
                <w:color w:val="auto"/>
                <w:sz w:val="24"/>
                <w:highlight w:val="none"/>
              </w:rPr>
              <w:t>1</w:t>
            </w:r>
          </w:p>
        </w:tc>
        <w:tc>
          <w:tcPr>
            <w:tcW w:w="1982" w:type="dxa"/>
            <w:vAlign w:val="center"/>
          </w:tcPr>
          <w:p w14:paraId="3E43B579">
            <w:pPr>
              <w:tabs>
                <w:tab w:val="left" w:pos="1080"/>
              </w:tabs>
              <w:snapToGrid w:val="0"/>
              <w:rPr>
                <w:color w:val="auto"/>
                <w:sz w:val="24"/>
                <w:highlight w:val="none"/>
              </w:rPr>
            </w:pPr>
            <w:r>
              <w:rPr>
                <w:color w:val="auto"/>
                <w:sz w:val="24"/>
                <w:highlight w:val="none"/>
              </w:rPr>
              <w:t>满足《中华人民共和国政府采购法》第二十二条规定及法律法规的其他规定</w:t>
            </w:r>
          </w:p>
        </w:tc>
        <w:tc>
          <w:tcPr>
            <w:tcW w:w="4822" w:type="dxa"/>
            <w:vAlign w:val="center"/>
          </w:tcPr>
          <w:p w14:paraId="6F28E0F1">
            <w:pPr>
              <w:tabs>
                <w:tab w:val="left" w:pos="1080"/>
              </w:tabs>
              <w:snapToGrid w:val="0"/>
              <w:rPr>
                <w:color w:val="auto"/>
                <w:sz w:val="24"/>
                <w:highlight w:val="none"/>
              </w:rPr>
            </w:pPr>
            <w:r>
              <w:rPr>
                <w:color w:val="auto"/>
                <w:sz w:val="24"/>
                <w:highlight w:val="none"/>
              </w:rPr>
              <w:t>具体规定见第一章《投标邀请》</w:t>
            </w:r>
          </w:p>
        </w:tc>
        <w:tc>
          <w:tcPr>
            <w:tcW w:w="1638" w:type="dxa"/>
            <w:vAlign w:val="center"/>
          </w:tcPr>
          <w:p w14:paraId="43F45D15">
            <w:pPr>
              <w:tabs>
                <w:tab w:val="left" w:pos="1080"/>
              </w:tabs>
              <w:snapToGrid w:val="0"/>
              <w:rPr>
                <w:color w:val="auto"/>
                <w:sz w:val="24"/>
                <w:highlight w:val="none"/>
              </w:rPr>
            </w:pPr>
          </w:p>
        </w:tc>
      </w:tr>
      <w:tr w14:paraId="65249A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553C93E3">
            <w:pPr>
              <w:tabs>
                <w:tab w:val="left" w:pos="1080"/>
              </w:tabs>
              <w:snapToGrid w:val="0"/>
              <w:jc w:val="center"/>
              <w:rPr>
                <w:rFonts w:ascii="宋体" w:hAnsi="宋体" w:cs="宋体"/>
                <w:color w:val="auto"/>
                <w:sz w:val="24"/>
                <w:highlight w:val="none"/>
              </w:rPr>
            </w:pPr>
            <w:r>
              <w:rPr>
                <w:rFonts w:hint="eastAsia" w:ascii="宋体" w:hAnsi="宋体" w:cs="宋体"/>
                <w:color w:val="auto"/>
                <w:sz w:val="24"/>
                <w:highlight w:val="none"/>
              </w:rPr>
              <w:t>1-1</w:t>
            </w:r>
          </w:p>
        </w:tc>
        <w:tc>
          <w:tcPr>
            <w:tcW w:w="1982" w:type="dxa"/>
            <w:vAlign w:val="center"/>
          </w:tcPr>
          <w:p w14:paraId="2102858B">
            <w:pPr>
              <w:tabs>
                <w:tab w:val="left" w:pos="1080"/>
              </w:tabs>
              <w:snapToGrid w:val="0"/>
              <w:rPr>
                <w:color w:val="auto"/>
                <w:sz w:val="24"/>
                <w:highlight w:val="none"/>
              </w:rPr>
            </w:pPr>
            <w:r>
              <w:rPr>
                <w:rFonts w:hint="eastAsia"/>
                <w:color w:val="auto"/>
                <w:sz w:val="24"/>
                <w:highlight w:val="none"/>
              </w:rPr>
              <w:t>投标人资格声明函</w:t>
            </w:r>
          </w:p>
        </w:tc>
        <w:tc>
          <w:tcPr>
            <w:tcW w:w="4822" w:type="dxa"/>
            <w:vAlign w:val="center"/>
          </w:tcPr>
          <w:p w14:paraId="73E10F75">
            <w:pPr>
              <w:tabs>
                <w:tab w:val="left" w:pos="1080"/>
              </w:tabs>
              <w:snapToGrid w:val="0"/>
              <w:rPr>
                <w:color w:val="auto"/>
                <w:sz w:val="24"/>
                <w:highlight w:val="none"/>
              </w:rPr>
            </w:pPr>
            <w:r>
              <w:rPr>
                <w:color w:val="auto"/>
                <w:sz w:val="24"/>
                <w:highlight w:val="none"/>
              </w:rPr>
              <w:t>提供了符合招标文件要求的《</w:t>
            </w:r>
            <w:r>
              <w:rPr>
                <w:rFonts w:hint="eastAsia"/>
                <w:color w:val="auto"/>
                <w:sz w:val="24"/>
                <w:highlight w:val="none"/>
              </w:rPr>
              <w:t>投标人资格声明函</w:t>
            </w:r>
            <w:r>
              <w:rPr>
                <w:color w:val="auto"/>
                <w:sz w:val="24"/>
                <w:highlight w:val="none"/>
              </w:rPr>
              <w:t>》。</w:t>
            </w:r>
          </w:p>
        </w:tc>
        <w:tc>
          <w:tcPr>
            <w:tcW w:w="1638" w:type="dxa"/>
            <w:vAlign w:val="center"/>
          </w:tcPr>
          <w:p w14:paraId="014B918F">
            <w:pPr>
              <w:tabs>
                <w:tab w:val="left" w:pos="1080"/>
              </w:tabs>
              <w:snapToGrid w:val="0"/>
              <w:rPr>
                <w:color w:val="auto"/>
                <w:sz w:val="24"/>
                <w:highlight w:val="none"/>
              </w:rPr>
            </w:pPr>
            <w:r>
              <w:rPr>
                <w:color w:val="auto"/>
                <w:sz w:val="24"/>
                <w:highlight w:val="none"/>
              </w:rPr>
              <w:t>格式见《投标文件格式》</w:t>
            </w:r>
          </w:p>
        </w:tc>
      </w:tr>
      <w:tr w14:paraId="414A62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654F0FF5">
            <w:pPr>
              <w:tabs>
                <w:tab w:val="left" w:pos="1080"/>
              </w:tabs>
              <w:snapToGrid w:val="0"/>
              <w:jc w:val="center"/>
              <w:rPr>
                <w:rFonts w:ascii="宋体" w:hAnsi="宋体" w:cs="宋体"/>
                <w:color w:val="auto"/>
                <w:sz w:val="24"/>
                <w:highlight w:val="none"/>
              </w:rPr>
            </w:pPr>
            <w:r>
              <w:rPr>
                <w:rFonts w:hint="eastAsia" w:ascii="宋体" w:hAnsi="宋体" w:cs="宋体"/>
                <w:color w:val="auto"/>
                <w:sz w:val="24"/>
                <w:highlight w:val="none"/>
              </w:rPr>
              <w:t>1-2</w:t>
            </w:r>
          </w:p>
        </w:tc>
        <w:tc>
          <w:tcPr>
            <w:tcW w:w="1982" w:type="dxa"/>
            <w:vAlign w:val="center"/>
          </w:tcPr>
          <w:p w14:paraId="3B6AD919">
            <w:pPr>
              <w:tabs>
                <w:tab w:val="left" w:pos="1080"/>
              </w:tabs>
              <w:snapToGrid w:val="0"/>
              <w:rPr>
                <w:color w:val="auto"/>
                <w:sz w:val="24"/>
                <w:highlight w:val="none"/>
              </w:rPr>
            </w:pPr>
            <w:r>
              <w:rPr>
                <w:color w:val="auto"/>
                <w:sz w:val="24"/>
                <w:highlight w:val="none"/>
              </w:rPr>
              <w:t>投标人信用记录</w:t>
            </w:r>
          </w:p>
        </w:tc>
        <w:tc>
          <w:tcPr>
            <w:tcW w:w="4822" w:type="dxa"/>
            <w:vAlign w:val="center"/>
          </w:tcPr>
          <w:p w14:paraId="224681DC">
            <w:pPr>
              <w:tabs>
                <w:tab w:val="left" w:pos="1080"/>
              </w:tabs>
              <w:snapToGrid w:val="0"/>
              <w:rPr>
                <w:color w:val="auto"/>
                <w:sz w:val="24"/>
                <w:highlight w:val="none"/>
              </w:rPr>
            </w:pPr>
            <w:r>
              <w:rPr>
                <w:color w:val="auto"/>
                <w:sz w:val="24"/>
                <w:highlight w:val="none"/>
              </w:rPr>
              <w:t>查询渠道：信用中国网站和中国政府采购网（</w:t>
            </w:r>
            <w:r>
              <w:rPr>
                <w:color w:val="auto"/>
                <w:highlight w:val="none"/>
              </w:rPr>
              <w:t>www.creditchina.gov.cn</w:t>
            </w:r>
            <w:r>
              <w:rPr>
                <w:color w:val="auto"/>
                <w:sz w:val="24"/>
                <w:highlight w:val="none"/>
              </w:rPr>
              <w:t>、</w:t>
            </w:r>
            <w:r>
              <w:rPr>
                <w:color w:val="auto"/>
                <w:highlight w:val="none"/>
              </w:rPr>
              <w:t>www.ccgp.gov.cn</w:t>
            </w:r>
            <w:r>
              <w:rPr>
                <w:color w:val="auto"/>
                <w:sz w:val="24"/>
                <w:highlight w:val="none"/>
              </w:rPr>
              <w:t>）；</w:t>
            </w:r>
          </w:p>
          <w:p w14:paraId="33679757">
            <w:pPr>
              <w:tabs>
                <w:tab w:val="left" w:pos="900"/>
                <w:tab w:val="left" w:pos="1980"/>
              </w:tabs>
              <w:snapToGrid w:val="0"/>
              <w:rPr>
                <w:color w:val="auto"/>
                <w:sz w:val="24"/>
                <w:highlight w:val="none"/>
              </w:rPr>
            </w:pPr>
            <w:r>
              <w:rPr>
                <w:color w:val="auto"/>
                <w:sz w:val="24"/>
                <w:highlight w:val="none"/>
              </w:rPr>
              <w:t>截止时点：投标截止时间以后、</w:t>
            </w:r>
            <w:r>
              <w:rPr>
                <w:rFonts w:hint="eastAsia"/>
                <w:color w:val="auto"/>
                <w:sz w:val="24"/>
                <w:highlight w:val="none"/>
              </w:rPr>
              <w:t>资格审查阶段采购人或</w:t>
            </w:r>
            <w:r>
              <w:rPr>
                <w:color w:val="auto"/>
                <w:sz w:val="24"/>
                <w:highlight w:val="none"/>
              </w:rPr>
              <w:t>采购代理机构的实际查询时间；</w:t>
            </w:r>
          </w:p>
          <w:p w14:paraId="0EBAF796">
            <w:pPr>
              <w:tabs>
                <w:tab w:val="left" w:pos="900"/>
                <w:tab w:val="left" w:pos="1980"/>
              </w:tabs>
              <w:snapToGrid w:val="0"/>
              <w:rPr>
                <w:color w:val="auto"/>
                <w:sz w:val="24"/>
                <w:highlight w:val="none"/>
              </w:rPr>
            </w:pPr>
            <w:r>
              <w:rPr>
                <w:color w:val="auto"/>
                <w:sz w:val="24"/>
                <w:highlight w:val="none"/>
              </w:rPr>
              <w:t>信用信息查询记录和证据留存具体方式：查询结果网页打印页作为查询记录和证据，与其他采购文件一并保存；</w:t>
            </w:r>
          </w:p>
          <w:p w14:paraId="5B668C54">
            <w:pPr>
              <w:tabs>
                <w:tab w:val="left" w:pos="1080"/>
              </w:tabs>
              <w:snapToGrid w:val="0"/>
              <w:rPr>
                <w:color w:val="auto"/>
                <w:sz w:val="24"/>
                <w:highlight w:val="none"/>
              </w:rPr>
            </w:pPr>
            <w:r>
              <w:rPr>
                <w:color w:val="auto"/>
                <w:sz w:val="24"/>
                <w:highlight w:val="none"/>
              </w:rPr>
              <w:t>信用信息的使用原则：经认定的被列入失信被执行人、重大税收违法案件当事人名单、政府采购严重违法失信行为记录名单的投标人，其</w:t>
            </w:r>
            <w:r>
              <w:rPr>
                <w:b/>
                <w:color w:val="auto"/>
                <w:sz w:val="24"/>
                <w:highlight w:val="none"/>
              </w:rPr>
              <w:t>投标无效</w:t>
            </w:r>
            <w:r>
              <w:rPr>
                <w:color w:val="auto"/>
                <w:sz w:val="24"/>
                <w:highlight w:val="none"/>
              </w:rPr>
              <w:t>。</w:t>
            </w:r>
          </w:p>
        </w:tc>
        <w:tc>
          <w:tcPr>
            <w:tcW w:w="1638" w:type="dxa"/>
            <w:vAlign w:val="center"/>
          </w:tcPr>
          <w:p w14:paraId="653F47BC">
            <w:pPr>
              <w:tabs>
                <w:tab w:val="left" w:pos="1080"/>
              </w:tabs>
              <w:snapToGrid w:val="0"/>
              <w:rPr>
                <w:color w:val="auto"/>
                <w:sz w:val="24"/>
                <w:highlight w:val="none"/>
              </w:rPr>
            </w:pPr>
            <w:r>
              <w:rPr>
                <w:rFonts w:hint="eastAsia"/>
                <w:color w:val="auto"/>
                <w:sz w:val="24"/>
                <w:highlight w:val="none"/>
              </w:rPr>
              <w:t>无须投标人提供，由采购人查询。</w:t>
            </w:r>
          </w:p>
        </w:tc>
      </w:tr>
      <w:tr w14:paraId="6D6F1B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846" w:type="dxa"/>
            <w:noWrap w:val="0"/>
            <w:vAlign w:val="center"/>
          </w:tcPr>
          <w:p w14:paraId="4E283025">
            <w:pPr>
              <w:keepNext w:val="0"/>
              <w:keepLines w:val="0"/>
              <w:pageBreakBefore w:val="0"/>
              <w:widowControl w:val="0"/>
              <w:tabs>
                <w:tab w:val="left" w:pos="1080"/>
              </w:tabs>
              <w:kinsoku/>
              <w:wordWrap/>
              <w:overflowPunct/>
              <w:topLinePunct w:val="0"/>
              <w:autoSpaceDE/>
              <w:autoSpaceDN/>
              <w:bidi w:val="0"/>
              <w:adjustRightInd/>
              <w:snapToGrid w:val="0"/>
              <w:jc w:val="center"/>
              <w:textAlignment w:val="auto"/>
              <w:outlineLvl w:val="9"/>
              <w:rPr>
                <w:rFonts w:hint="eastAsia" w:ascii="宋体" w:hAnsi="宋体" w:eastAsia="宋体" w:cs="宋体"/>
                <w:color w:val="auto"/>
                <w:sz w:val="24"/>
                <w:highlight w:val="none"/>
              </w:rPr>
            </w:pPr>
            <w:bookmarkStart w:id="726" w:name="_Toc127151779"/>
            <w:bookmarkStart w:id="727" w:name="_Toc226965858"/>
            <w:bookmarkStart w:id="728" w:name="_Toc353873940"/>
            <w:bookmarkStart w:id="729" w:name="_Toc127161490"/>
            <w:bookmarkStart w:id="730" w:name="_Toc353825550"/>
            <w:r>
              <w:rPr>
                <w:rFonts w:hint="eastAsia" w:ascii="宋体" w:hAnsi="宋体" w:eastAsia="宋体" w:cs="宋体"/>
                <w:color w:val="auto"/>
                <w:sz w:val="24"/>
                <w:highlight w:val="none"/>
              </w:rPr>
              <w:t>2</w:t>
            </w:r>
          </w:p>
        </w:tc>
        <w:tc>
          <w:tcPr>
            <w:tcW w:w="1982" w:type="dxa"/>
            <w:noWrap w:val="0"/>
            <w:vAlign w:val="center"/>
          </w:tcPr>
          <w:p w14:paraId="134E1DB2">
            <w:pPr>
              <w:tabs>
                <w:tab w:val="left" w:pos="1080"/>
              </w:tabs>
              <w:snapToGrid w:val="0"/>
              <w:rPr>
                <w:rFonts w:hint="eastAsia" w:ascii="宋体" w:hAnsi="宋体" w:eastAsia="宋体" w:cs="宋体"/>
                <w:color w:val="auto"/>
                <w:sz w:val="24"/>
                <w:highlight w:val="none"/>
              </w:rPr>
            </w:pPr>
            <w:r>
              <w:rPr>
                <w:rFonts w:hint="eastAsia" w:ascii="宋体" w:hAnsi="宋体" w:cs="宋体"/>
                <w:color w:val="auto"/>
                <w:sz w:val="24"/>
                <w:highlight w:val="none"/>
              </w:rPr>
              <w:t>本项目的特定资格要求</w:t>
            </w:r>
          </w:p>
        </w:tc>
        <w:tc>
          <w:tcPr>
            <w:tcW w:w="4822" w:type="dxa"/>
            <w:noWrap w:val="0"/>
            <w:vAlign w:val="center"/>
          </w:tcPr>
          <w:p w14:paraId="42382468">
            <w:pPr>
              <w:tabs>
                <w:tab w:val="left" w:pos="1080"/>
              </w:tabs>
              <w:snapToGrid w:val="0"/>
              <w:rPr>
                <w:rFonts w:hint="eastAsia" w:ascii="宋体" w:hAnsi="宋体" w:eastAsia="宋体" w:cs="宋体"/>
                <w:color w:val="auto"/>
                <w:sz w:val="24"/>
                <w:highlight w:val="none"/>
              </w:rPr>
            </w:pPr>
            <w:r>
              <w:rPr>
                <w:rFonts w:hint="eastAsia" w:ascii="宋体" w:hAnsi="宋体" w:cs="宋体"/>
                <w:color w:val="auto"/>
                <w:sz w:val="24"/>
                <w:highlight w:val="none"/>
              </w:rPr>
              <w:t>见第一章《采购邀请》</w:t>
            </w:r>
          </w:p>
        </w:tc>
        <w:tc>
          <w:tcPr>
            <w:tcW w:w="1638" w:type="dxa"/>
            <w:noWrap w:val="0"/>
            <w:vAlign w:val="center"/>
          </w:tcPr>
          <w:p w14:paraId="054CF5A7">
            <w:pPr>
              <w:keepNext w:val="0"/>
              <w:keepLines w:val="0"/>
              <w:pageBreakBefore w:val="0"/>
              <w:widowControl w:val="0"/>
              <w:tabs>
                <w:tab w:val="left" w:pos="1080"/>
              </w:tabs>
              <w:kinsoku/>
              <w:wordWrap/>
              <w:overflowPunct/>
              <w:topLinePunct w:val="0"/>
              <w:autoSpaceDE/>
              <w:autoSpaceDN/>
              <w:bidi w:val="0"/>
              <w:adjustRightInd/>
              <w:snapToGrid w:val="0"/>
              <w:textAlignment w:val="auto"/>
              <w:outlineLvl w:val="9"/>
              <w:rPr>
                <w:rFonts w:hint="eastAsia" w:ascii="宋体" w:hAnsi="宋体" w:eastAsia="宋体" w:cs="宋体"/>
                <w:color w:val="auto"/>
                <w:sz w:val="24"/>
                <w:highlight w:val="none"/>
              </w:rPr>
            </w:pPr>
          </w:p>
        </w:tc>
      </w:tr>
      <w:tr w14:paraId="56A7EA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846" w:type="dxa"/>
            <w:noWrap w:val="0"/>
            <w:vAlign w:val="center"/>
          </w:tcPr>
          <w:p w14:paraId="1C715588">
            <w:pPr>
              <w:keepNext w:val="0"/>
              <w:keepLines w:val="0"/>
              <w:pageBreakBefore w:val="0"/>
              <w:widowControl w:val="0"/>
              <w:tabs>
                <w:tab w:val="left" w:pos="1080"/>
              </w:tabs>
              <w:kinsoku/>
              <w:wordWrap/>
              <w:overflowPunct/>
              <w:topLinePunct w:val="0"/>
              <w:autoSpaceDE/>
              <w:autoSpaceDN/>
              <w:bidi w:val="0"/>
              <w:adjustRightInd/>
              <w:snapToGrid w:val="0"/>
              <w:jc w:val="center"/>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2-1</w:t>
            </w:r>
          </w:p>
        </w:tc>
        <w:tc>
          <w:tcPr>
            <w:tcW w:w="1982" w:type="dxa"/>
            <w:noWrap w:val="0"/>
            <w:vAlign w:val="center"/>
          </w:tcPr>
          <w:p w14:paraId="3ACFAA47">
            <w:pPr>
              <w:tabs>
                <w:tab w:val="left" w:pos="1080"/>
              </w:tabs>
              <w:snapToGrid w:val="0"/>
              <w:rPr>
                <w:rFonts w:hint="eastAsia" w:ascii="宋体" w:hAnsi="宋体" w:eastAsia="宋体" w:cs="宋体"/>
                <w:color w:val="auto"/>
                <w:sz w:val="24"/>
                <w:highlight w:val="none"/>
              </w:rPr>
            </w:pPr>
            <w:r>
              <w:rPr>
                <w:rFonts w:hint="eastAsia" w:ascii="宋体" w:hAnsi="宋体" w:cs="宋体"/>
                <w:color w:val="auto"/>
                <w:sz w:val="24"/>
                <w:highlight w:val="none"/>
              </w:rPr>
              <w:t>其他特定资格要求</w:t>
            </w:r>
          </w:p>
        </w:tc>
        <w:tc>
          <w:tcPr>
            <w:tcW w:w="4822" w:type="dxa"/>
            <w:noWrap w:val="0"/>
            <w:vAlign w:val="center"/>
          </w:tcPr>
          <w:p w14:paraId="05B109DC">
            <w:pPr>
              <w:tabs>
                <w:tab w:val="left" w:pos="1080"/>
              </w:tabs>
              <w:snapToGrid w:val="0"/>
              <w:rPr>
                <w:rFonts w:hint="eastAsia" w:ascii="宋体" w:hAnsi="宋体" w:eastAsia="宋体" w:cs="宋体"/>
                <w:b/>
                <w:color w:val="auto"/>
                <w:sz w:val="24"/>
                <w:highlight w:val="none"/>
              </w:rPr>
            </w:pPr>
            <w:r>
              <w:rPr>
                <w:rFonts w:hint="eastAsia" w:ascii="宋体" w:hAnsi="宋体" w:cs="宋体"/>
                <w:color w:val="auto"/>
                <w:sz w:val="24"/>
                <w:highlight w:val="none"/>
              </w:rPr>
              <w:t>见第一章《采购邀请》</w:t>
            </w:r>
          </w:p>
        </w:tc>
        <w:tc>
          <w:tcPr>
            <w:tcW w:w="1638" w:type="dxa"/>
            <w:noWrap w:val="0"/>
            <w:vAlign w:val="center"/>
          </w:tcPr>
          <w:p w14:paraId="362A975B">
            <w:pPr>
              <w:tabs>
                <w:tab w:val="left" w:pos="1080"/>
              </w:tabs>
              <w:snapToGrid w:val="0"/>
              <w:rPr>
                <w:rFonts w:hint="eastAsia" w:ascii="宋体" w:hAnsi="宋体" w:eastAsia="宋体" w:cs="宋体"/>
                <w:color w:val="auto"/>
                <w:sz w:val="24"/>
                <w:highlight w:val="none"/>
              </w:rPr>
            </w:pPr>
            <w:r>
              <w:rPr>
                <w:rFonts w:ascii="Times New Roman" w:hAnsi="Times New Roman" w:eastAsia="宋体" w:cs="Times New Roman"/>
                <w:color w:val="auto"/>
                <w:sz w:val="24"/>
                <w:highlight w:val="none"/>
              </w:rPr>
              <w:t>提供</w:t>
            </w:r>
            <w:r>
              <w:rPr>
                <w:rFonts w:hint="eastAsia" w:ascii="Times New Roman" w:hAnsi="Times New Roman" w:eastAsia="宋体" w:cs="Times New Roman"/>
                <w:color w:val="auto"/>
                <w:sz w:val="24"/>
                <w:highlight w:val="none"/>
                <w:lang w:val="en-US" w:eastAsia="zh-CN"/>
              </w:rPr>
              <w:t>证书</w:t>
            </w:r>
            <w:r>
              <w:rPr>
                <w:rFonts w:ascii="Times New Roman" w:hAnsi="Times New Roman" w:eastAsia="宋体" w:cs="Times New Roman"/>
                <w:color w:val="auto"/>
                <w:sz w:val="24"/>
                <w:highlight w:val="none"/>
              </w:rPr>
              <w:t>的电子件或电子证照</w:t>
            </w:r>
          </w:p>
        </w:tc>
      </w:t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23"/>
    </w:tbl>
    <w:p w14:paraId="3CFE9F90">
      <w:pPr>
        <w:widowControl/>
        <w:jc w:val="center"/>
        <w:rPr>
          <w:color w:val="auto"/>
          <w:sz w:val="24"/>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1C57D076">
      <w:pPr>
        <w:widowControl/>
        <w:jc w:val="center"/>
        <w:outlineLvl w:val="0"/>
        <w:rPr>
          <w:b/>
          <w:color w:val="auto"/>
          <w:sz w:val="36"/>
          <w:szCs w:val="36"/>
          <w:highlight w:val="none"/>
        </w:rPr>
      </w:pPr>
      <w:bookmarkStart w:id="731" w:name="_Toc99301423"/>
      <w:bookmarkStart w:id="732" w:name="_Toc8940"/>
      <w:r>
        <w:rPr>
          <w:b/>
          <w:color w:val="auto"/>
          <w:sz w:val="36"/>
          <w:szCs w:val="36"/>
          <w:highlight w:val="none"/>
        </w:rPr>
        <w:t xml:space="preserve">第四章   </w:t>
      </w:r>
      <w:bookmarkEnd w:id="726"/>
      <w:bookmarkEnd w:id="727"/>
      <w:bookmarkEnd w:id="728"/>
      <w:bookmarkEnd w:id="729"/>
      <w:bookmarkEnd w:id="730"/>
      <w:bookmarkStart w:id="733" w:name="_Hlt164229061"/>
      <w:bookmarkEnd w:id="733"/>
      <w:r>
        <w:rPr>
          <w:b/>
          <w:color w:val="auto"/>
          <w:sz w:val="36"/>
          <w:szCs w:val="36"/>
          <w:highlight w:val="none"/>
        </w:rPr>
        <w:t>评标程序、评标方法和评标标准</w:t>
      </w:r>
      <w:bookmarkEnd w:id="731"/>
      <w:bookmarkEnd w:id="732"/>
    </w:p>
    <w:p w14:paraId="4453F903">
      <w:pPr>
        <w:tabs>
          <w:tab w:val="left" w:pos="360"/>
          <w:tab w:val="left" w:pos="900"/>
        </w:tabs>
        <w:snapToGrid w:val="0"/>
        <w:spacing w:line="360" w:lineRule="auto"/>
        <w:jc w:val="center"/>
        <w:rPr>
          <w:b/>
          <w:color w:val="auto"/>
          <w:highlight w:val="none"/>
        </w:rPr>
      </w:pPr>
      <w:r>
        <w:rPr>
          <w:b/>
          <w:color w:val="auto"/>
          <w:sz w:val="24"/>
          <w:highlight w:val="none"/>
        </w:rPr>
        <w:t>一、评标</w:t>
      </w:r>
      <w:r>
        <w:rPr>
          <w:rFonts w:hint="eastAsia"/>
          <w:b/>
          <w:color w:val="auto"/>
          <w:sz w:val="24"/>
          <w:highlight w:val="none"/>
        </w:rPr>
        <w:t>程序</w:t>
      </w:r>
    </w:p>
    <w:p w14:paraId="7EDD7A35">
      <w:pPr>
        <w:numPr>
          <w:ilvl w:val="0"/>
          <w:numId w:val="12"/>
        </w:numPr>
        <w:tabs>
          <w:tab w:val="left" w:pos="360"/>
        </w:tabs>
        <w:snapToGrid w:val="0"/>
        <w:spacing w:line="360" w:lineRule="auto"/>
        <w:rPr>
          <w:color w:val="auto"/>
          <w:sz w:val="24"/>
          <w:highlight w:val="none"/>
        </w:rPr>
      </w:pPr>
      <w:bookmarkStart w:id="734" w:name="_Toc151193639"/>
      <w:bookmarkStart w:id="735" w:name="_Toc127151541"/>
      <w:bookmarkStart w:id="736" w:name="_Toc164608655"/>
      <w:bookmarkStart w:id="737" w:name="_Toc164229382"/>
      <w:bookmarkStart w:id="738" w:name="_Toc150509292"/>
      <w:bookmarkStart w:id="739" w:name="_Toc142311043"/>
      <w:bookmarkStart w:id="740" w:name="_Toc127151742"/>
      <w:bookmarkStart w:id="741" w:name="_Toc264969231"/>
      <w:bookmarkStart w:id="742" w:name="_Toc226309785"/>
      <w:bookmarkStart w:id="743" w:name="_Toc151193855"/>
      <w:bookmarkStart w:id="744" w:name="_Toc226337237"/>
      <w:bookmarkStart w:id="745" w:name="_Toc149720834"/>
      <w:bookmarkStart w:id="746" w:name="_Toc151193783"/>
      <w:bookmarkStart w:id="747" w:name="_Toc164608810"/>
      <w:bookmarkStart w:id="748" w:name="_Toc164351635"/>
      <w:bookmarkStart w:id="749" w:name="_Toc305158809"/>
      <w:bookmarkStart w:id="750" w:name="_Toc150480779"/>
      <w:bookmarkStart w:id="751" w:name="_Toc151193711"/>
      <w:bookmarkStart w:id="752" w:name="_Toc226965731"/>
      <w:bookmarkStart w:id="753" w:name="_Toc226965814"/>
      <w:bookmarkStart w:id="754" w:name="_Toc151193929"/>
      <w:bookmarkStart w:id="755" w:name="_Toc127161455"/>
      <w:bookmarkStart w:id="756" w:name="_Toc164229236"/>
      <w:bookmarkStart w:id="757" w:name="_Toc195842906"/>
      <w:bookmarkStart w:id="758" w:name="_Toc150774746"/>
      <w:bookmarkStart w:id="759" w:name="_Toc265228379"/>
      <w:bookmarkStart w:id="760" w:name="_Toc305158883"/>
      <w:bookmarkStart w:id="761" w:name="_Toc150774641"/>
      <w:bookmarkStart w:id="762" w:name="_Toc151190168"/>
      <w:bookmarkStart w:id="763" w:name="_Toc353873941"/>
      <w:bookmarkStart w:id="764" w:name="_Toc353825551"/>
      <w:bookmarkStart w:id="765" w:name="_Toc195842920"/>
      <w:bookmarkStart w:id="766" w:name="_Toc264969245"/>
      <w:bookmarkStart w:id="767" w:name="_Toc265228393"/>
      <w:bookmarkStart w:id="768" w:name="_Toc150480793"/>
      <w:bookmarkStart w:id="769" w:name="_Toc226337251"/>
      <w:bookmarkStart w:id="770" w:name="_Toc353873665"/>
      <w:bookmarkStart w:id="771" w:name="_Toc150774760"/>
      <w:bookmarkStart w:id="772" w:name="_Toc305158823"/>
      <w:bookmarkStart w:id="773" w:name="_Toc353873935"/>
      <w:bookmarkStart w:id="774" w:name="_Toc226965828"/>
      <w:bookmarkStart w:id="775" w:name="_Toc127151555"/>
      <w:bookmarkStart w:id="776" w:name="_Toc142311057"/>
      <w:bookmarkStart w:id="777" w:name="_Toc353825545"/>
      <w:bookmarkStart w:id="778" w:name="_Toc305158897"/>
      <w:r>
        <w:rPr>
          <w:color w:val="auto"/>
          <w:sz w:val="24"/>
          <w:highlight w:val="none"/>
        </w:rPr>
        <w:t>投标文件的符合性审查</w:t>
      </w:r>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p>
    <w:p w14:paraId="69633B1C">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评标委员会对资格审查合格的投标人的投标文件进行符合性审查，以确定其是否满足招标文件的实质性要求。</w:t>
      </w:r>
      <w:bookmarkStart w:id="779" w:name="_Toc520356167"/>
    </w:p>
    <w:p w14:paraId="28559B35">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评标委员会根据《符合性审查</w:t>
      </w:r>
      <w:r>
        <w:rPr>
          <w:rFonts w:hint="eastAsia"/>
          <w:color w:val="auto"/>
          <w:sz w:val="24"/>
          <w:highlight w:val="none"/>
        </w:rPr>
        <w:t>要求</w:t>
      </w:r>
      <w:r>
        <w:rPr>
          <w:color w:val="auto"/>
          <w:sz w:val="24"/>
          <w:highlight w:val="none"/>
        </w:rPr>
        <w:t>》中规定的审查因素和审查内容，对投标人的投标文件是否实质上响应招标文件进行符合性审查，并形成符合性审查评审结果。</w:t>
      </w:r>
      <w:r>
        <w:rPr>
          <w:rFonts w:hint="eastAsia"/>
          <w:color w:val="auto"/>
          <w:sz w:val="24"/>
          <w:highlight w:val="none"/>
        </w:rPr>
        <w:t>投标人《商务技术文件》有任何一项不符合</w:t>
      </w:r>
      <w:r>
        <w:rPr>
          <w:color w:val="auto"/>
          <w:sz w:val="24"/>
          <w:highlight w:val="none"/>
        </w:rPr>
        <w:t>《符合性审查</w:t>
      </w:r>
      <w:r>
        <w:rPr>
          <w:rFonts w:hint="eastAsia"/>
          <w:color w:val="auto"/>
          <w:sz w:val="24"/>
          <w:highlight w:val="none"/>
        </w:rPr>
        <w:t>要求</w:t>
      </w:r>
      <w:r>
        <w:rPr>
          <w:color w:val="auto"/>
          <w:sz w:val="24"/>
          <w:highlight w:val="none"/>
        </w:rPr>
        <w:t>》</w:t>
      </w:r>
      <w:bookmarkEnd w:id="779"/>
      <w:r>
        <w:rPr>
          <w:rFonts w:hint="eastAsia"/>
          <w:color w:val="auto"/>
          <w:sz w:val="24"/>
          <w:highlight w:val="none"/>
        </w:rPr>
        <w:t>要求的，</w:t>
      </w:r>
      <w:r>
        <w:rPr>
          <w:rFonts w:hint="eastAsia"/>
          <w:b/>
          <w:color w:val="auto"/>
          <w:sz w:val="24"/>
          <w:highlight w:val="none"/>
        </w:rPr>
        <w:t>投标无效</w:t>
      </w:r>
      <w:r>
        <w:rPr>
          <w:rFonts w:hint="eastAsia"/>
          <w:color w:val="auto"/>
          <w:sz w:val="24"/>
          <w:highlight w:val="none"/>
        </w:rPr>
        <w:t>。</w:t>
      </w:r>
    </w:p>
    <w:p w14:paraId="38BB882C">
      <w:pPr>
        <w:tabs>
          <w:tab w:val="left" w:pos="900"/>
          <w:tab w:val="left" w:pos="1080"/>
          <w:tab w:val="left" w:pos="1589"/>
        </w:tabs>
        <w:snapToGrid w:val="0"/>
        <w:spacing w:line="360" w:lineRule="auto"/>
        <w:ind w:leftChars="-170" w:hanging="357" w:hangingChars="148"/>
        <w:jc w:val="center"/>
        <w:rPr>
          <w:b/>
          <w:color w:val="auto"/>
          <w:sz w:val="24"/>
          <w:highlight w:val="none"/>
        </w:rPr>
      </w:pPr>
      <w:r>
        <w:rPr>
          <w:b/>
          <w:color w:val="auto"/>
          <w:sz w:val="24"/>
          <w:highlight w:val="none"/>
        </w:rPr>
        <w:t>符合性审查</w:t>
      </w:r>
      <w:r>
        <w:rPr>
          <w:rFonts w:hint="eastAsia"/>
          <w:b/>
          <w:color w:val="auto"/>
          <w:sz w:val="24"/>
          <w:highlight w:val="none"/>
        </w:rPr>
        <w:t>要求</w:t>
      </w:r>
    </w:p>
    <w:tbl>
      <w:tblPr>
        <w:tblStyle w:val="47"/>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813"/>
        <w:gridCol w:w="6725"/>
      </w:tblGrid>
      <w:tr w14:paraId="6EEEC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50" w:type="dxa"/>
            <w:vAlign w:val="center"/>
          </w:tcPr>
          <w:p w14:paraId="75EA23C1">
            <w:pPr>
              <w:widowControl/>
              <w:jc w:val="center"/>
              <w:rPr>
                <w:b/>
                <w:color w:val="auto"/>
                <w:kern w:val="0"/>
                <w:sz w:val="24"/>
                <w:highlight w:val="none"/>
              </w:rPr>
            </w:pPr>
            <w:r>
              <w:rPr>
                <w:b/>
                <w:color w:val="auto"/>
                <w:kern w:val="0"/>
                <w:sz w:val="24"/>
                <w:highlight w:val="none"/>
              </w:rPr>
              <w:t>序号</w:t>
            </w:r>
          </w:p>
        </w:tc>
        <w:tc>
          <w:tcPr>
            <w:tcW w:w="1813" w:type="dxa"/>
            <w:vAlign w:val="center"/>
          </w:tcPr>
          <w:p w14:paraId="568DE3CD">
            <w:pPr>
              <w:widowControl/>
              <w:jc w:val="center"/>
              <w:rPr>
                <w:b/>
                <w:color w:val="auto"/>
                <w:kern w:val="0"/>
                <w:sz w:val="24"/>
                <w:highlight w:val="none"/>
              </w:rPr>
            </w:pPr>
            <w:r>
              <w:rPr>
                <w:b/>
                <w:color w:val="auto"/>
                <w:kern w:val="0"/>
                <w:sz w:val="24"/>
                <w:highlight w:val="none"/>
              </w:rPr>
              <w:t>审查因素</w:t>
            </w:r>
          </w:p>
        </w:tc>
        <w:tc>
          <w:tcPr>
            <w:tcW w:w="6725" w:type="dxa"/>
            <w:vAlign w:val="center"/>
          </w:tcPr>
          <w:p w14:paraId="30E98068">
            <w:pPr>
              <w:widowControl/>
              <w:jc w:val="center"/>
              <w:rPr>
                <w:b/>
                <w:color w:val="auto"/>
                <w:kern w:val="0"/>
                <w:sz w:val="24"/>
                <w:highlight w:val="none"/>
              </w:rPr>
            </w:pPr>
            <w:r>
              <w:rPr>
                <w:b/>
                <w:color w:val="auto"/>
                <w:kern w:val="0"/>
                <w:sz w:val="24"/>
                <w:highlight w:val="none"/>
              </w:rPr>
              <w:t>审查内容</w:t>
            </w:r>
          </w:p>
        </w:tc>
      </w:tr>
      <w:tr w14:paraId="50B4B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704804C1">
            <w:pPr>
              <w:widowControl/>
              <w:jc w:val="center"/>
              <w:rPr>
                <w:color w:val="auto"/>
                <w:kern w:val="0"/>
                <w:sz w:val="24"/>
                <w:highlight w:val="none"/>
              </w:rPr>
            </w:pPr>
            <w:r>
              <w:rPr>
                <w:color w:val="auto"/>
                <w:kern w:val="0"/>
                <w:sz w:val="24"/>
                <w:highlight w:val="none"/>
              </w:rPr>
              <w:t>1</w:t>
            </w:r>
          </w:p>
        </w:tc>
        <w:tc>
          <w:tcPr>
            <w:tcW w:w="1813" w:type="dxa"/>
            <w:vAlign w:val="center"/>
          </w:tcPr>
          <w:p w14:paraId="4E020D6F">
            <w:pPr>
              <w:widowControl/>
              <w:jc w:val="left"/>
              <w:rPr>
                <w:color w:val="auto"/>
                <w:kern w:val="0"/>
                <w:sz w:val="24"/>
                <w:highlight w:val="none"/>
              </w:rPr>
            </w:pPr>
            <w:r>
              <w:rPr>
                <w:rFonts w:hint="eastAsia"/>
                <w:color w:val="auto"/>
                <w:kern w:val="0"/>
                <w:sz w:val="24"/>
                <w:highlight w:val="none"/>
              </w:rPr>
              <w:t>投标函、</w:t>
            </w:r>
            <w:r>
              <w:rPr>
                <w:rFonts w:hint="eastAsia"/>
                <w:color w:val="auto"/>
                <w:sz w:val="24"/>
                <w:highlight w:val="none"/>
              </w:rPr>
              <w:t>法定代表人资格证明书和政府采购供应商信用承诺书</w:t>
            </w:r>
          </w:p>
        </w:tc>
        <w:tc>
          <w:tcPr>
            <w:tcW w:w="6725" w:type="dxa"/>
            <w:vAlign w:val="center"/>
          </w:tcPr>
          <w:p w14:paraId="5AD9C1F8">
            <w:pPr>
              <w:widowControl/>
              <w:jc w:val="left"/>
              <w:rPr>
                <w:color w:val="auto"/>
                <w:kern w:val="0"/>
                <w:sz w:val="24"/>
                <w:highlight w:val="none"/>
              </w:rPr>
            </w:pPr>
            <w:r>
              <w:rPr>
                <w:color w:val="auto"/>
                <w:kern w:val="0"/>
                <w:sz w:val="24"/>
                <w:highlight w:val="none"/>
              </w:rPr>
              <w:t>按招标文件要求提供</w:t>
            </w:r>
            <w:r>
              <w:rPr>
                <w:rFonts w:hint="eastAsia"/>
                <w:color w:val="auto"/>
                <w:kern w:val="0"/>
                <w:sz w:val="24"/>
                <w:highlight w:val="none"/>
              </w:rPr>
              <w:t>投标函、</w:t>
            </w:r>
            <w:r>
              <w:rPr>
                <w:rFonts w:hint="eastAsia"/>
                <w:color w:val="auto"/>
                <w:sz w:val="24"/>
                <w:highlight w:val="none"/>
              </w:rPr>
              <w:t>法定代表人资格证明书和政府采购供应商信用承诺书</w:t>
            </w:r>
            <w:r>
              <w:rPr>
                <w:color w:val="auto"/>
                <w:kern w:val="0"/>
                <w:sz w:val="24"/>
                <w:highlight w:val="none"/>
              </w:rPr>
              <w:t>；</w:t>
            </w:r>
          </w:p>
        </w:tc>
      </w:tr>
      <w:tr w14:paraId="51318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72963E96">
            <w:pPr>
              <w:widowControl/>
              <w:jc w:val="center"/>
              <w:rPr>
                <w:color w:val="auto"/>
                <w:kern w:val="0"/>
                <w:sz w:val="24"/>
                <w:highlight w:val="none"/>
              </w:rPr>
            </w:pPr>
            <w:r>
              <w:rPr>
                <w:color w:val="auto"/>
                <w:kern w:val="0"/>
                <w:sz w:val="24"/>
                <w:highlight w:val="none"/>
              </w:rPr>
              <w:t>2</w:t>
            </w:r>
          </w:p>
        </w:tc>
        <w:tc>
          <w:tcPr>
            <w:tcW w:w="1813" w:type="dxa"/>
            <w:vAlign w:val="center"/>
          </w:tcPr>
          <w:p w14:paraId="494EC01E">
            <w:pPr>
              <w:widowControl/>
              <w:jc w:val="left"/>
              <w:rPr>
                <w:color w:val="auto"/>
                <w:kern w:val="0"/>
                <w:sz w:val="24"/>
                <w:highlight w:val="none"/>
              </w:rPr>
            </w:pPr>
            <w:r>
              <w:rPr>
                <w:color w:val="auto"/>
                <w:kern w:val="0"/>
                <w:sz w:val="24"/>
                <w:highlight w:val="none"/>
              </w:rPr>
              <w:t>投标完整性</w:t>
            </w:r>
          </w:p>
        </w:tc>
        <w:tc>
          <w:tcPr>
            <w:tcW w:w="6725" w:type="dxa"/>
            <w:vAlign w:val="center"/>
          </w:tcPr>
          <w:p w14:paraId="19B613D7">
            <w:pPr>
              <w:widowControl/>
              <w:jc w:val="left"/>
              <w:rPr>
                <w:color w:val="auto"/>
                <w:kern w:val="0"/>
                <w:sz w:val="24"/>
                <w:highlight w:val="none"/>
              </w:rPr>
            </w:pPr>
            <w:r>
              <w:rPr>
                <w:rFonts w:hint="eastAsia"/>
                <w:color w:val="auto"/>
                <w:sz w:val="24"/>
                <w:highlight w:val="none"/>
              </w:rPr>
              <w:t>未</w:t>
            </w:r>
            <w:r>
              <w:rPr>
                <w:color w:val="auto"/>
                <w:sz w:val="24"/>
                <w:highlight w:val="none"/>
              </w:rPr>
              <w:t>将一个采购</w:t>
            </w:r>
            <w:r>
              <w:rPr>
                <w:rFonts w:hint="eastAsia"/>
                <w:color w:val="auto"/>
                <w:sz w:val="24"/>
                <w:highlight w:val="none"/>
                <w:lang w:val="en-US" w:eastAsia="zh-CN"/>
              </w:rPr>
              <w:t>项目</w:t>
            </w:r>
            <w:r>
              <w:rPr>
                <w:color w:val="auto"/>
                <w:sz w:val="24"/>
                <w:highlight w:val="none"/>
              </w:rPr>
              <w:t>中的内容拆开投标；</w:t>
            </w:r>
          </w:p>
        </w:tc>
      </w:tr>
      <w:tr w14:paraId="4A8F0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1F42E538">
            <w:pPr>
              <w:widowControl/>
              <w:jc w:val="center"/>
              <w:rPr>
                <w:color w:val="auto"/>
                <w:kern w:val="0"/>
                <w:sz w:val="24"/>
                <w:highlight w:val="none"/>
              </w:rPr>
            </w:pPr>
            <w:r>
              <w:rPr>
                <w:color w:val="auto"/>
                <w:kern w:val="0"/>
                <w:sz w:val="24"/>
                <w:highlight w:val="none"/>
              </w:rPr>
              <w:t>3</w:t>
            </w:r>
          </w:p>
        </w:tc>
        <w:tc>
          <w:tcPr>
            <w:tcW w:w="1813" w:type="dxa"/>
            <w:vAlign w:val="center"/>
          </w:tcPr>
          <w:p w14:paraId="285D784F">
            <w:pPr>
              <w:widowControl/>
              <w:jc w:val="left"/>
              <w:rPr>
                <w:color w:val="auto"/>
                <w:kern w:val="0"/>
                <w:sz w:val="24"/>
                <w:highlight w:val="none"/>
              </w:rPr>
            </w:pPr>
            <w:r>
              <w:rPr>
                <w:color w:val="auto"/>
                <w:kern w:val="0"/>
                <w:sz w:val="24"/>
                <w:highlight w:val="none"/>
              </w:rPr>
              <w:t>投标报价</w:t>
            </w:r>
          </w:p>
        </w:tc>
        <w:tc>
          <w:tcPr>
            <w:tcW w:w="6725" w:type="dxa"/>
            <w:vAlign w:val="center"/>
          </w:tcPr>
          <w:p w14:paraId="7110F7D0">
            <w:pPr>
              <w:widowControl/>
              <w:jc w:val="left"/>
              <w:rPr>
                <w:color w:val="auto"/>
                <w:kern w:val="0"/>
                <w:sz w:val="24"/>
                <w:highlight w:val="none"/>
              </w:rPr>
            </w:pPr>
            <w:r>
              <w:rPr>
                <w:color w:val="auto"/>
                <w:kern w:val="0"/>
                <w:sz w:val="24"/>
                <w:highlight w:val="none"/>
              </w:rPr>
              <w:t>投标报价</w:t>
            </w:r>
            <w:r>
              <w:rPr>
                <w:rFonts w:hint="eastAsia"/>
                <w:color w:val="auto"/>
                <w:kern w:val="0"/>
                <w:sz w:val="24"/>
                <w:highlight w:val="none"/>
              </w:rPr>
              <w:t>未</w:t>
            </w:r>
            <w:r>
              <w:rPr>
                <w:color w:val="auto"/>
                <w:sz w:val="24"/>
                <w:highlight w:val="none"/>
              </w:rPr>
              <w:t>超过招标文件中规定的项目预算金额或者项目最高限价</w:t>
            </w:r>
            <w:r>
              <w:rPr>
                <w:color w:val="auto"/>
                <w:kern w:val="0"/>
                <w:sz w:val="24"/>
                <w:highlight w:val="none"/>
              </w:rPr>
              <w:t>；</w:t>
            </w:r>
          </w:p>
        </w:tc>
      </w:tr>
      <w:tr w14:paraId="2E526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64BE14E8">
            <w:pPr>
              <w:widowControl/>
              <w:jc w:val="center"/>
              <w:rPr>
                <w:color w:val="auto"/>
                <w:kern w:val="0"/>
                <w:sz w:val="24"/>
                <w:highlight w:val="none"/>
              </w:rPr>
            </w:pPr>
            <w:r>
              <w:rPr>
                <w:color w:val="auto"/>
                <w:kern w:val="0"/>
                <w:sz w:val="24"/>
                <w:highlight w:val="none"/>
              </w:rPr>
              <w:t>4</w:t>
            </w:r>
          </w:p>
        </w:tc>
        <w:tc>
          <w:tcPr>
            <w:tcW w:w="1813" w:type="dxa"/>
            <w:vAlign w:val="center"/>
          </w:tcPr>
          <w:p w14:paraId="4A4B1A07">
            <w:pPr>
              <w:widowControl/>
              <w:jc w:val="left"/>
              <w:rPr>
                <w:color w:val="auto"/>
                <w:kern w:val="0"/>
                <w:sz w:val="24"/>
                <w:highlight w:val="none"/>
              </w:rPr>
            </w:pPr>
            <w:r>
              <w:rPr>
                <w:color w:val="auto"/>
                <w:kern w:val="0"/>
                <w:sz w:val="24"/>
                <w:highlight w:val="none"/>
              </w:rPr>
              <w:t>报价唯一性</w:t>
            </w:r>
          </w:p>
        </w:tc>
        <w:tc>
          <w:tcPr>
            <w:tcW w:w="6725" w:type="dxa"/>
            <w:vAlign w:val="center"/>
          </w:tcPr>
          <w:p w14:paraId="27749B64">
            <w:pPr>
              <w:widowControl/>
              <w:jc w:val="left"/>
              <w:rPr>
                <w:color w:val="auto"/>
                <w:kern w:val="0"/>
                <w:sz w:val="24"/>
                <w:highlight w:val="none"/>
              </w:rPr>
            </w:pPr>
            <w:r>
              <w:rPr>
                <w:color w:val="auto"/>
                <w:kern w:val="0"/>
                <w:sz w:val="24"/>
                <w:highlight w:val="none"/>
              </w:rPr>
              <w:t>投标文件</w:t>
            </w:r>
            <w:r>
              <w:rPr>
                <w:rFonts w:hint="eastAsia"/>
                <w:color w:val="auto"/>
                <w:kern w:val="0"/>
                <w:sz w:val="24"/>
                <w:highlight w:val="none"/>
              </w:rPr>
              <w:t>未</w:t>
            </w:r>
            <w:r>
              <w:rPr>
                <w:rFonts w:hint="eastAsia"/>
                <w:color w:val="auto"/>
                <w:sz w:val="24"/>
                <w:highlight w:val="none"/>
              </w:rPr>
              <w:t>出现可选择性或可调整的报价（招标文件另有规定的除外）</w:t>
            </w:r>
            <w:r>
              <w:rPr>
                <w:color w:val="auto"/>
                <w:kern w:val="0"/>
                <w:sz w:val="24"/>
                <w:highlight w:val="none"/>
              </w:rPr>
              <w:t>；</w:t>
            </w:r>
          </w:p>
        </w:tc>
      </w:tr>
      <w:tr w14:paraId="682DB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7481D6FC">
            <w:pPr>
              <w:widowControl/>
              <w:jc w:val="center"/>
              <w:rPr>
                <w:color w:val="auto"/>
                <w:kern w:val="0"/>
                <w:sz w:val="24"/>
                <w:highlight w:val="none"/>
              </w:rPr>
            </w:pPr>
            <w:r>
              <w:rPr>
                <w:color w:val="auto"/>
                <w:kern w:val="0"/>
                <w:sz w:val="24"/>
                <w:highlight w:val="none"/>
              </w:rPr>
              <w:t>5</w:t>
            </w:r>
          </w:p>
        </w:tc>
        <w:tc>
          <w:tcPr>
            <w:tcW w:w="1813" w:type="dxa"/>
            <w:vAlign w:val="center"/>
          </w:tcPr>
          <w:p w14:paraId="4CAA56B3">
            <w:pPr>
              <w:widowControl/>
              <w:jc w:val="left"/>
              <w:rPr>
                <w:color w:val="auto"/>
                <w:kern w:val="0"/>
                <w:sz w:val="24"/>
                <w:highlight w:val="none"/>
              </w:rPr>
            </w:pPr>
            <w:r>
              <w:rPr>
                <w:color w:val="auto"/>
                <w:kern w:val="0"/>
                <w:sz w:val="24"/>
                <w:highlight w:val="none"/>
              </w:rPr>
              <w:t>投标有效期</w:t>
            </w:r>
          </w:p>
        </w:tc>
        <w:tc>
          <w:tcPr>
            <w:tcW w:w="6725" w:type="dxa"/>
            <w:vAlign w:val="center"/>
          </w:tcPr>
          <w:p w14:paraId="2C45E044">
            <w:pPr>
              <w:widowControl/>
              <w:jc w:val="left"/>
              <w:rPr>
                <w:color w:val="auto"/>
                <w:kern w:val="0"/>
                <w:sz w:val="24"/>
                <w:highlight w:val="none"/>
              </w:rPr>
            </w:pPr>
            <w:r>
              <w:rPr>
                <w:color w:val="auto"/>
                <w:kern w:val="0"/>
                <w:sz w:val="24"/>
                <w:highlight w:val="none"/>
              </w:rPr>
              <w:t>投标文件中承诺的投标有效期</w:t>
            </w:r>
            <w:r>
              <w:rPr>
                <w:rFonts w:hint="eastAsia"/>
                <w:color w:val="auto"/>
                <w:kern w:val="0"/>
                <w:sz w:val="24"/>
                <w:highlight w:val="none"/>
              </w:rPr>
              <w:t>满足</w:t>
            </w:r>
            <w:r>
              <w:rPr>
                <w:color w:val="auto"/>
                <w:kern w:val="0"/>
                <w:sz w:val="24"/>
                <w:highlight w:val="none"/>
              </w:rPr>
              <w:t>招标文件中载明的投标有效期的；</w:t>
            </w:r>
          </w:p>
        </w:tc>
      </w:tr>
      <w:tr w14:paraId="5F064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4A2E8BF6">
            <w:pPr>
              <w:widowControl/>
              <w:jc w:val="center"/>
              <w:rPr>
                <w:color w:val="auto"/>
                <w:kern w:val="0"/>
                <w:sz w:val="24"/>
                <w:highlight w:val="none"/>
              </w:rPr>
            </w:pPr>
            <w:r>
              <w:rPr>
                <w:color w:val="auto"/>
                <w:kern w:val="0"/>
                <w:sz w:val="24"/>
                <w:highlight w:val="none"/>
              </w:rPr>
              <w:t>6</w:t>
            </w:r>
          </w:p>
        </w:tc>
        <w:tc>
          <w:tcPr>
            <w:tcW w:w="1813" w:type="dxa"/>
            <w:vAlign w:val="center"/>
          </w:tcPr>
          <w:p w14:paraId="66EF4B07">
            <w:pPr>
              <w:widowControl/>
              <w:jc w:val="left"/>
              <w:rPr>
                <w:color w:val="auto"/>
                <w:kern w:val="0"/>
                <w:sz w:val="24"/>
                <w:highlight w:val="none"/>
              </w:rPr>
            </w:pPr>
            <w:r>
              <w:rPr>
                <w:color w:val="auto"/>
                <w:kern w:val="0"/>
                <w:sz w:val="24"/>
                <w:highlight w:val="none"/>
              </w:rPr>
              <w:t>签署、加盖公章</w:t>
            </w:r>
          </w:p>
        </w:tc>
        <w:tc>
          <w:tcPr>
            <w:tcW w:w="6725" w:type="dxa"/>
            <w:vAlign w:val="center"/>
          </w:tcPr>
          <w:p w14:paraId="7BABC60B">
            <w:pPr>
              <w:widowControl/>
              <w:jc w:val="left"/>
              <w:rPr>
                <w:color w:val="auto"/>
                <w:kern w:val="0"/>
                <w:sz w:val="24"/>
                <w:highlight w:val="none"/>
              </w:rPr>
            </w:pPr>
            <w:r>
              <w:rPr>
                <w:color w:val="auto"/>
                <w:kern w:val="0"/>
                <w:sz w:val="24"/>
                <w:highlight w:val="none"/>
              </w:rPr>
              <w:t>按照招标文件要求签署、加盖公章的；</w:t>
            </w:r>
          </w:p>
        </w:tc>
      </w:tr>
      <w:tr w14:paraId="10BBC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7942CBA6">
            <w:pPr>
              <w:widowControl/>
              <w:jc w:val="center"/>
              <w:rPr>
                <w:color w:val="auto"/>
                <w:kern w:val="0"/>
                <w:sz w:val="24"/>
                <w:highlight w:val="none"/>
              </w:rPr>
            </w:pPr>
            <w:r>
              <w:rPr>
                <w:rFonts w:hint="eastAsia"/>
                <w:color w:val="auto"/>
                <w:kern w:val="0"/>
                <w:sz w:val="24"/>
                <w:highlight w:val="none"/>
              </w:rPr>
              <w:t>7</w:t>
            </w:r>
          </w:p>
        </w:tc>
        <w:tc>
          <w:tcPr>
            <w:tcW w:w="1813" w:type="dxa"/>
            <w:vAlign w:val="center"/>
          </w:tcPr>
          <w:p w14:paraId="6BDAE896">
            <w:pPr>
              <w:widowControl/>
              <w:jc w:val="left"/>
              <w:rPr>
                <w:color w:val="auto"/>
                <w:kern w:val="0"/>
                <w:sz w:val="24"/>
                <w:highlight w:val="none"/>
              </w:rPr>
            </w:pPr>
            <w:r>
              <w:rPr>
                <w:rFonts w:hint="eastAsia"/>
                <w:color w:val="auto"/>
                <w:kern w:val="0"/>
                <w:sz w:val="24"/>
                <w:highlight w:val="none"/>
              </w:rPr>
              <w:t>实质性格式</w:t>
            </w:r>
          </w:p>
        </w:tc>
        <w:tc>
          <w:tcPr>
            <w:tcW w:w="6725" w:type="dxa"/>
            <w:vAlign w:val="center"/>
          </w:tcPr>
          <w:p w14:paraId="58DFF32B">
            <w:pPr>
              <w:widowControl/>
              <w:jc w:val="left"/>
              <w:rPr>
                <w:color w:val="auto"/>
                <w:kern w:val="0"/>
                <w:sz w:val="24"/>
                <w:highlight w:val="none"/>
              </w:rPr>
            </w:pPr>
            <w:r>
              <w:rPr>
                <w:rFonts w:hint="eastAsia"/>
                <w:color w:val="auto"/>
                <w:kern w:val="0"/>
                <w:sz w:val="24"/>
                <w:highlight w:val="none"/>
              </w:rPr>
              <w:t>标记为</w:t>
            </w:r>
            <w:r>
              <w:rPr>
                <w:color w:val="auto"/>
                <w:kern w:val="0"/>
                <w:sz w:val="24"/>
                <w:highlight w:val="none"/>
              </w:rPr>
              <w:t>“实质性格式”的</w:t>
            </w:r>
            <w:r>
              <w:rPr>
                <w:rFonts w:hint="eastAsia"/>
                <w:color w:val="auto"/>
                <w:kern w:val="0"/>
                <w:sz w:val="24"/>
                <w:highlight w:val="none"/>
              </w:rPr>
              <w:t>文件均按</w:t>
            </w:r>
            <w:r>
              <w:rPr>
                <w:color w:val="auto"/>
                <w:kern w:val="0"/>
                <w:sz w:val="24"/>
                <w:highlight w:val="none"/>
              </w:rPr>
              <w:t>招标文件</w:t>
            </w:r>
            <w:r>
              <w:rPr>
                <w:rFonts w:hint="eastAsia"/>
                <w:color w:val="auto"/>
                <w:kern w:val="0"/>
                <w:sz w:val="24"/>
                <w:highlight w:val="none"/>
              </w:rPr>
              <w:t>要求提供；</w:t>
            </w:r>
          </w:p>
        </w:tc>
      </w:tr>
      <w:tr w14:paraId="4BCAF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14:paraId="13BA65A2">
            <w:pPr>
              <w:widowControl/>
              <w:jc w:val="center"/>
              <w:rPr>
                <w:rFonts w:hint="eastAsia" w:ascii="Times New Roman" w:hAnsi="Times New Roman" w:eastAsia="宋体" w:cs="Times New Roman"/>
                <w:color w:val="auto"/>
                <w:kern w:val="0"/>
                <w:sz w:val="24"/>
                <w:szCs w:val="24"/>
                <w:highlight w:val="none"/>
                <w:lang w:val="en-US" w:eastAsia="zh-CN" w:bidi="ar-SA"/>
              </w:rPr>
            </w:pPr>
            <w:r>
              <w:rPr>
                <w:rFonts w:hint="eastAsia"/>
                <w:color w:val="auto"/>
                <w:kern w:val="0"/>
                <w:sz w:val="24"/>
                <w:highlight w:val="none"/>
                <w:lang w:val="en-US" w:eastAsia="zh-CN"/>
              </w:rPr>
              <w:t>8</w:t>
            </w:r>
          </w:p>
        </w:tc>
        <w:tc>
          <w:tcPr>
            <w:tcW w:w="1813" w:type="dxa"/>
            <w:shd w:val="clear" w:color="auto" w:fill="auto"/>
            <w:vAlign w:val="center"/>
          </w:tcPr>
          <w:p w14:paraId="13E28E49">
            <w:pPr>
              <w:widowControl/>
              <w:jc w:val="left"/>
              <w:rPr>
                <w:rFonts w:hint="eastAsia" w:ascii="Times New Roman" w:hAnsi="Times New Roman" w:eastAsia="宋体" w:cs="Times New Roman"/>
                <w:color w:val="auto"/>
                <w:kern w:val="0"/>
                <w:sz w:val="24"/>
                <w:szCs w:val="24"/>
                <w:highlight w:val="none"/>
                <w:lang w:val="en-US" w:eastAsia="zh-CN" w:bidi="ar-SA"/>
              </w:rPr>
            </w:pPr>
            <w:r>
              <w:rPr>
                <w:color w:val="auto"/>
                <w:kern w:val="0"/>
                <w:sz w:val="24"/>
                <w:highlight w:val="none"/>
              </w:rPr>
              <w:t>报价的修正</w:t>
            </w:r>
            <w:r>
              <w:rPr>
                <w:rFonts w:hint="eastAsia"/>
                <w:color w:val="auto"/>
                <w:kern w:val="0"/>
                <w:sz w:val="24"/>
                <w:highlight w:val="none"/>
                <w:lang w:val="en-US" w:eastAsia="zh-CN"/>
              </w:rPr>
              <w:t xml:space="preserve"> </w:t>
            </w:r>
          </w:p>
        </w:tc>
        <w:tc>
          <w:tcPr>
            <w:tcW w:w="6725" w:type="dxa"/>
            <w:shd w:val="clear" w:color="auto" w:fill="auto"/>
            <w:vAlign w:val="center"/>
          </w:tcPr>
          <w:p w14:paraId="5FAB1972">
            <w:pPr>
              <w:widowControl/>
              <w:jc w:val="left"/>
              <w:rPr>
                <w:rFonts w:hint="eastAsia" w:ascii="Times New Roman" w:hAnsi="Times New Roman" w:eastAsia="宋体" w:cs="Times New Roman"/>
                <w:color w:val="auto"/>
                <w:kern w:val="0"/>
                <w:sz w:val="24"/>
                <w:szCs w:val="24"/>
                <w:highlight w:val="none"/>
                <w:lang w:val="en-US" w:eastAsia="zh-CN" w:bidi="ar-SA"/>
              </w:rPr>
            </w:pPr>
            <w:r>
              <w:rPr>
                <w:color w:val="auto"/>
                <w:kern w:val="0"/>
                <w:sz w:val="24"/>
                <w:highlight w:val="none"/>
              </w:rPr>
              <w:t>投标文件报价出现前后不一致</w:t>
            </w:r>
            <w:r>
              <w:rPr>
                <w:rFonts w:hint="eastAsia"/>
                <w:color w:val="auto"/>
                <w:kern w:val="0"/>
                <w:sz w:val="24"/>
                <w:highlight w:val="none"/>
              </w:rPr>
              <w:t>时</w:t>
            </w:r>
            <w:r>
              <w:rPr>
                <w:color w:val="auto"/>
                <w:kern w:val="0"/>
                <w:sz w:val="24"/>
                <w:highlight w:val="none"/>
              </w:rPr>
              <w:t>，投标人对修正后的报价予</w:t>
            </w:r>
            <w:r>
              <w:rPr>
                <w:rFonts w:hint="eastAsia"/>
                <w:color w:val="auto"/>
                <w:kern w:val="0"/>
                <w:sz w:val="24"/>
                <w:highlight w:val="none"/>
              </w:rPr>
              <w:t>以</w:t>
            </w:r>
            <w:r>
              <w:rPr>
                <w:color w:val="auto"/>
                <w:kern w:val="0"/>
                <w:sz w:val="24"/>
                <w:highlight w:val="none"/>
              </w:rPr>
              <w:t>确认；</w:t>
            </w:r>
          </w:p>
        </w:tc>
      </w:tr>
      <w:tr w14:paraId="69EAC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14:paraId="3E93E629">
            <w:pPr>
              <w:widowControl/>
              <w:jc w:val="center"/>
              <w:rPr>
                <w:rFonts w:hint="eastAsia" w:ascii="Times New Roman" w:hAnsi="Times New Roman" w:eastAsia="宋体" w:cs="Times New Roman"/>
                <w:color w:val="auto"/>
                <w:kern w:val="0"/>
                <w:sz w:val="24"/>
                <w:szCs w:val="24"/>
                <w:highlight w:val="none"/>
                <w:lang w:val="en-US" w:eastAsia="zh-CN" w:bidi="ar-SA"/>
              </w:rPr>
            </w:pPr>
            <w:r>
              <w:rPr>
                <w:rFonts w:hint="eastAsia"/>
                <w:color w:val="auto"/>
                <w:kern w:val="0"/>
                <w:sz w:val="24"/>
                <w:highlight w:val="none"/>
                <w:lang w:val="en-US" w:eastAsia="zh-CN"/>
              </w:rPr>
              <w:t>9</w:t>
            </w:r>
          </w:p>
        </w:tc>
        <w:tc>
          <w:tcPr>
            <w:tcW w:w="1813" w:type="dxa"/>
            <w:shd w:val="clear" w:color="auto" w:fill="auto"/>
            <w:vAlign w:val="center"/>
          </w:tcPr>
          <w:p w14:paraId="4272F213">
            <w:pPr>
              <w:widowControl/>
              <w:jc w:val="left"/>
              <w:rPr>
                <w:rFonts w:hint="default" w:ascii="Times New Roman" w:hAnsi="Times New Roman" w:eastAsia="宋体" w:cs="Times New Roman"/>
                <w:color w:val="auto"/>
                <w:kern w:val="0"/>
                <w:sz w:val="24"/>
                <w:szCs w:val="24"/>
                <w:highlight w:val="none"/>
                <w:lang w:val="en-US" w:eastAsia="zh-CN" w:bidi="ar-SA"/>
              </w:rPr>
            </w:pPr>
            <w:r>
              <w:rPr>
                <w:color w:val="auto"/>
                <w:kern w:val="0"/>
                <w:sz w:val="24"/>
                <w:highlight w:val="none"/>
              </w:rPr>
              <w:t>报价合理性</w:t>
            </w:r>
          </w:p>
        </w:tc>
        <w:tc>
          <w:tcPr>
            <w:tcW w:w="6725" w:type="dxa"/>
            <w:shd w:val="clear" w:color="auto" w:fill="auto"/>
            <w:vAlign w:val="center"/>
          </w:tcPr>
          <w:p w14:paraId="074519BF">
            <w:pPr>
              <w:widowControl/>
              <w:jc w:val="left"/>
              <w:rPr>
                <w:rFonts w:hint="eastAsia" w:ascii="Times New Roman" w:hAnsi="Times New Roman" w:eastAsia="宋体" w:cs="Times New Roman"/>
                <w:color w:val="auto"/>
                <w:kern w:val="0"/>
                <w:sz w:val="24"/>
                <w:szCs w:val="24"/>
                <w:highlight w:val="none"/>
                <w:lang w:val="en-US" w:eastAsia="zh-CN" w:bidi="ar-SA"/>
              </w:rPr>
            </w:pPr>
            <w:r>
              <w:rPr>
                <w:color w:val="auto"/>
                <w:kern w:val="0"/>
                <w:sz w:val="24"/>
                <w:highlight w:val="none"/>
              </w:rPr>
              <w:t>报价合理，或</w:t>
            </w:r>
            <w:r>
              <w:rPr>
                <w:rFonts w:hint="eastAsia"/>
                <w:color w:val="auto"/>
                <w:sz w:val="24"/>
                <w:highlight w:val="none"/>
              </w:rPr>
              <w:t>投标人的报价明显低于其他通过符合性审查投标人的报价，</w:t>
            </w:r>
            <w:r>
              <w:rPr>
                <w:color w:val="auto"/>
                <w:sz w:val="24"/>
                <w:highlight w:val="none"/>
              </w:rPr>
              <w:t>有可能影响</w:t>
            </w:r>
            <w:r>
              <w:rPr>
                <w:rFonts w:hint="eastAsia"/>
                <w:color w:val="auto"/>
                <w:sz w:val="24"/>
                <w:highlight w:val="none"/>
              </w:rPr>
              <w:t>服务</w:t>
            </w:r>
            <w:r>
              <w:rPr>
                <w:color w:val="auto"/>
                <w:sz w:val="24"/>
                <w:highlight w:val="none"/>
              </w:rPr>
              <w:t>质量或者不能诚信履约的</w:t>
            </w:r>
            <w:r>
              <w:rPr>
                <w:rFonts w:hint="eastAsia"/>
                <w:color w:val="auto"/>
                <w:sz w:val="24"/>
                <w:highlight w:val="none"/>
              </w:rPr>
              <w:t>，能够应评标委员会要求在规定时间内证明其报价合理性的</w:t>
            </w:r>
            <w:r>
              <w:rPr>
                <w:color w:val="auto"/>
                <w:kern w:val="0"/>
                <w:sz w:val="24"/>
                <w:highlight w:val="none"/>
              </w:rPr>
              <w:t>；</w:t>
            </w:r>
          </w:p>
        </w:tc>
      </w:tr>
      <w:tr w14:paraId="2FC7E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14:paraId="44202ADB">
            <w:pPr>
              <w:widowControl/>
              <w:jc w:val="center"/>
              <w:rPr>
                <w:rFonts w:hint="eastAsia" w:ascii="Times New Roman" w:hAnsi="Times New Roman" w:eastAsia="宋体" w:cs="Times New Roman"/>
                <w:color w:val="auto"/>
                <w:kern w:val="0"/>
                <w:sz w:val="24"/>
                <w:szCs w:val="24"/>
                <w:highlight w:val="none"/>
                <w:lang w:val="en-US" w:eastAsia="zh-CN" w:bidi="ar-SA"/>
              </w:rPr>
            </w:pPr>
            <w:r>
              <w:rPr>
                <w:rFonts w:hint="eastAsia"/>
                <w:color w:val="auto"/>
                <w:kern w:val="0"/>
                <w:sz w:val="24"/>
                <w:highlight w:val="none"/>
                <w:lang w:val="en-US" w:eastAsia="zh-CN"/>
              </w:rPr>
              <w:t>10</w:t>
            </w:r>
          </w:p>
        </w:tc>
        <w:tc>
          <w:tcPr>
            <w:tcW w:w="1813" w:type="dxa"/>
            <w:shd w:val="clear" w:color="auto" w:fill="auto"/>
            <w:vAlign w:val="center"/>
          </w:tcPr>
          <w:p w14:paraId="22CBD9FB">
            <w:pPr>
              <w:widowControl/>
              <w:jc w:val="left"/>
              <w:rPr>
                <w:rFonts w:hint="eastAsia" w:ascii="Times New Roman" w:hAnsi="Times New Roman" w:eastAsia="宋体" w:cs="Times New Roman"/>
                <w:color w:val="auto"/>
                <w:kern w:val="0"/>
                <w:sz w:val="24"/>
                <w:szCs w:val="24"/>
                <w:highlight w:val="none"/>
                <w:lang w:val="en-US" w:eastAsia="zh-CN" w:bidi="ar-SA"/>
              </w:rPr>
            </w:pPr>
            <w:r>
              <w:rPr>
                <w:color w:val="auto"/>
                <w:kern w:val="0"/>
                <w:sz w:val="24"/>
                <w:highlight w:val="none"/>
              </w:rPr>
              <w:t>公平竞争</w:t>
            </w:r>
          </w:p>
        </w:tc>
        <w:tc>
          <w:tcPr>
            <w:tcW w:w="6725" w:type="dxa"/>
            <w:shd w:val="clear" w:color="auto" w:fill="auto"/>
            <w:vAlign w:val="center"/>
          </w:tcPr>
          <w:p w14:paraId="74B3D98D">
            <w:pPr>
              <w:widowControl/>
              <w:jc w:val="left"/>
              <w:rPr>
                <w:rFonts w:ascii="Times New Roman" w:hAnsi="Times New Roman" w:eastAsia="宋体" w:cs="Times New Roman"/>
                <w:color w:val="auto"/>
                <w:kern w:val="0"/>
                <w:sz w:val="24"/>
                <w:szCs w:val="24"/>
                <w:highlight w:val="none"/>
                <w:lang w:val="en-US" w:eastAsia="zh-CN" w:bidi="ar-SA"/>
              </w:rPr>
            </w:pPr>
            <w:r>
              <w:rPr>
                <w:color w:val="auto"/>
                <w:sz w:val="24"/>
                <w:highlight w:val="none"/>
              </w:rPr>
              <w:t>投标人遵循公平竞争的原则，不存在恶意串通，妨碍其他投标人的竞争行为，不存在损害采购人或者其他投标人的合法权益情形的；</w:t>
            </w:r>
          </w:p>
        </w:tc>
      </w:tr>
      <w:tr w14:paraId="49492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14:paraId="2D4D0E73">
            <w:pPr>
              <w:widowControl/>
              <w:jc w:val="center"/>
              <w:rPr>
                <w:rFonts w:hint="default" w:ascii="Times New Roman" w:hAnsi="Times New Roman" w:eastAsia="宋体" w:cs="Times New Roman"/>
                <w:color w:val="auto"/>
                <w:kern w:val="0"/>
                <w:sz w:val="24"/>
                <w:szCs w:val="24"/>
                <w:highlight w:val="none"/>
                <w:lang w:val="en-US" w:eastAsia="zh-CN" w:bidi="ar-SA"/>
              </w:rPr>
            </w:pPr>
            <w:r>
              <w:rPr>
                <w:rFonts w:hint="eastAsia"/>
                <w:color w:val="auto"/>
                <w:kern w:val="0"/>
                <w:sz w:val="24"/>
                <w:highlight w:val="none"/>
                <w:lang w:val="en-US" w:eastAsia="zh-CN"/>
              </w:rPr>
              <w:t>11</w:t>
            </w:r>
          </w:p>
        </w:tc>
        <w:tc>
          <w:tcPr>
            <w:tcW w:w="1813" w:type="dxa"/>
            <w:shd w:val="clear" w:color="auto" w:fill="auto"/>
            <w:vAlign w:val="center"/>
          </w:tcPr>
          <w:p w14:paraId="43A2C364">
            <w:pPr>
              <w:widowControl/>
              <w:jc w:val="left"/>
              <w:rPr>
                <w:rFonts w:ascii="Times New Roman" w:hAnsi="Times New Roman" w:eastAsia="宋体" w:cs="Times New Roman"/>
                <w:color w:val="auto"/>
                <w:kern w:val="0"/>
                <w:sz w:val="24"/>
                <w:szCs w:val="24"/>
                <w:highlight w:val="none"/>
                <w:lang w:val="en-US" w:eastAsia="zh-CN" w:bidi="ar-SA"/>
              </w:rPr>
            </w:pPr>
            <w:r>
              <w:rPr>
                <w:color w:val="auto"/>
                <w:kern w:val="0"/>
                <w:sz w:val="24"/>
                <w:highlight w:val="none"/>
              </w:rPr>
              <w:t>串通投标</w:t>
            </w:r>
          </w:p>
        </w:tc>
        <w:tc>
          <w:tcPr>
            <w:tcW w:w="6725" w:type="dxa"/>
            <w:shd w:val="clear" w:color="auto" w:fill="auto"/>
            <w:vAlign w:val="center"/>
          </w:tcPr>
          <w:p w14:paraId="456ADB7E">
            <w:pPr>
              <w:widowControl/>
              <w:jc w:val="left"/>
              <w:rPr>
                <w:rFonts w:ascii="Times New Roman" w:hAnsi="Times New Roman" w:eastAsia="宋体" w:cs="Times New Roman"/>
                <w:color w:val="auto"/>
                <w:kern w:val="0"/>
                <w:sz w:val="24"/>
                <w:szCs w:val="24"/>
                <w:highlight w:val="none"/>
                <w:lang w:val="en-US" w:eastAsia="zh-CN" w:bidi="ar-SA"/>
              </w:rPr>
            </w:pPr>
            <w:r>
              <w:rPr>
                <w:rFonts w:hint="eastAsia"/>
                <w:color w:val="auto"/>
                <w:sz w:val="24"/>
                <w:highlight w:val="none"/>
              </w:rPr>
              <w:t>不存在《政府采购货物和服务招标投标管理办法》视为投标人串通投标的情形：（一）不同投标人的投标文件由同一单位或者个人编制</w:t>
            </w:r>
            <w:r>
              <w:rPr>
                <w:rFonts w:hint="eastAsia" w:ascii="宋体" w:hAnsi="宋体"/>
                <w:color w:val="auto"/>
                <w:sz w:val="24"/>
                <w:highlight w:val="none"/>
              </w:rPr>
              <w:t>（包含使用同一MAC地址的计算机制作电子投标文件的情形）</w:t>
            </w:r>
            <w:r>
              <w:rPr>
                <w:rFonts w:hint="eastAsia"/>
                <w:color w:val="auto"/>
                <w:sz w:val="24"/>
                <w:highlight w:val="none"/>
              </w:rPr>
              <w:t>；（二）不同投标人委托同一单位或者个人办理投标事宜</w:t>
            </w:r>
            <w:r>
              <w:rPr>
                <w:rFonts w:hint="eastAsia" w:ascii="宋体" w:hAnsi="宋体"/>
                <w:color w:val="auto"/>
                <w:sz w:val="24"/>
                <w:highlight w:val="none"/>
              </w:rPr>
              <w:t>（包含使用同一MAC地址的计算机提交或者解密电子投标文件的情形）</w:t>
            </w:r>
            <w:r>
              <w:rPr>
                <w:rFonts w:hint="eastAsia"/>
                <w:color w:val="auto"/>
                <w:sz w:val="24"/>
                <w:highlight w:val="none"/>
              </w:rPr>
              <w:t>；（三）不同投标人的投标文件载明的项目管理成员或者联系人员为同一人；（四）不同投标人的投标文件异常一致或者投标报价呈规律性差异；</w:t>
            </w:r>
          </w:p>
        </w:tc>
      </w:tr>
      <w:tr w14:paraId="0417F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14:paraId="14B494B3">
            <w:pPr>
              <w:widowControl/>
              <w:jc w:val="center"/>
              <w:rPr>
                <w:rFonts w:hint="default" w:ascii="Times New Roman" w:hAnsi="Times New Roman" w:eastAsia="宋体" w:cs="Times New Roman"/>
                <w:color w:val="auto"/>
                <w:kern w:val="0"/>
                <w:sz w:val="24"/>
                <w:szCs w:val="24"/>
                <w:highlight w:val="none"/>
                <w:lang w:val="en-US" w:eastAsia="zh-CN" w:bidi="ar-SA"/>
              </w:rPr>
            </w:pPr>
            <w:r>
              <w:rPr>
                <w:rFonts w:hint="eastAsia"/>
                <w:color w:val="auto"/>
                <w:kern w:val="0"/>
                <w:sz w:val="24"/>
                <w:highlight w:val="none"/>
                <w:lang w:val="en-US" w:eastAsia="zh-CN"/>
              </w:rPr>
              <w:t>12</w:t>
            </w:r>
          </w:p>
        </w:tc>
        <w:tc>
          <w:tcPr>
            <w:tcW w:w="1813" w:type="dxa"/>
            <w:shd w:val="clear" w:color="auto" w:fill="auto"/>
            <w:vAlign w:val="center"/>
          </w:tcPr>
          <w:p w14:paraId="425DBEC3">
            <w:pPr>
              <w:widowControl/>
              <w:jc w:val="left"/>
              <w:rPr>
                <w:rFonts w:ascii="Times New Roman" w:hAnsi="Times New Roman" w:eastAsia="宋体" w:cs="Times New Roman"/>
                <w:color w:val="auto"/>
                <w:kern w:val="0"/>
                <w:sz w:val="24"/>
                <w:szCs w:val="24"/>
                <w:highlight w:val="none"/>
                <w:lang w:val="en-US" w:eastAsia="zh-CN" w:bidi="ar-SA"/>
              </w:rPr>
            </w:pPr>
            <w:r>
              <w:rPr>
                <w:color w:val="auto"/>
                <w:kern w:val="0"/>
                <w:sz w:val="24"/>
                <w:highlight w:val="none"/>
              </w:rPr>
              <w:t>附加条件</w:t>
            </w:r>
          </w:p>
        </w:tc>
        <w:tc>
          <w:tcPr>
            <w:tcW w:w="6725" w:type="dxa"/>
            <w:shd w:val="clear" w:color="auto" w:fill="auto"/>
            <w:vAlign w:val="center"/>
          </w:tcPr>
          <w:p w14:paraId="3EB8FB65">
            <w:pPr>
              <w:widowControl/>
              <w:jc w:val="left"/>
              <w:rPr>
                <w:rFonts w:ascii="Times New Roman" w:hAnsi="Times New Roman" w:eastAsia="宋体" w:cs="Times New Roman"/>
                <w:color w:val="auto"/>
                <w:kern w:val="0"/>
                <w:sz w:val="24"/>
                <w:szCs w:val="24"/>
                <w:highlight w:val="none"/>
                <w:lang w:val="en-US" w:eastAsia="zh-CN" w:bidi="ar-SA"/>
              </w:rPr>
            </w:pPr>
            <w:r>
              <w:rPr>
                <w:color w:val="auto"/>
                <w:kern w:val="0"/>
                <w:sz w:val="24"/>
                <w:highlight w:val="none"/>
              </w:rPr>
              <w:t>投标文件</w:t>
            </w:r>
            <w:r>
              <w:rPr>
                <w:rFonts w:hint="eastAsia"/>
                <w:color w:val="auto"/>
                <w:kern w:val="0"/>
                <w:sz w:val="24"/>
                <w:highlight w:val="none"/>
              </w:rPr>
              <w:t>未</w:t>
            </w:r>
            <w:r>
              <w:rPr>
                <w:color w:val="auto"/>
                <w:kern w:val="0"/>
                <w:sz w:val="24"/>
                <w:highlight w:val="none"/>
              </w:rPr>
              <w:t>含有采购人不能接受的附加条件的；</w:t>
            </w:r>
          </w:p>
        </w:tc>
      </w:tr>
      <w:tr w14:paraId="4EBC0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14:paraId="4710FE1C">
            <w:pPr>
              <w:widowControl/>
              <w:jc w:val="center"/>
              <w:rPr>
                <w:rFonts w:hint="default" w:ascii="Times New Roman" w:hAnsi="Times New Roman" w:eastAsia="宋体" w:cs="Times New Roman"/>
                <w:color w:val="auto"/>
                <w:kern w:val="0"/>
                <w:sz w:val="24"/>
                <w:szCs w:val="24"/>
                <w:highlight w:val="none"/>
                <w:lang w:val="en-US" w:eastAsia="zh-CN" w:bidi="ar-SA"/>
              </w:rPr>
            </w:pPr>
            <w:r>
              <w:rPr>
                <w:rFonts w:hint="eastAsia"/>
                <w:color w:val="auto"/>
                <w:kern w:val="0"/>
                <w:sz w:val="24"/>
                <w:highlight w:val="none"/>
                <w:lang w:val="en-US" w:eastAsia="zh-CN"/>
              </w:rPr>
              <w:t>13</w:t>
            </w:r>
          </w:p>
        </w:tc>
        <w:tc>
          <w:tcPr>
            <w:tcW w:w="1813" w:type="dxa"/>
            <w:shd w:val="clear" w:color="auto" w:fill="auto"/>
            <w:vAlign w:val="center"/>
          </w:tcPr>
          <w:p w14:paraId="629AAA13">
            <w:pPr>
              <w:widowControl/>
              <w:jc w:val="left"/>
              <w:rPr>
                <w:rFonts w:ascii="Times New Roman" w:hAnsi="Times New Roman" w:eastAsia="宋体" w:cs="Times New Roman"/>
                <w:color w:val="auto"/>
                <w:kern w:val="0"/>
                <w:sz w:val="24"/>
                <w:szCs w:val="24"/>
                <w:highlight w:val="none"/>
                <w:lang w:val="en-US" w:eastAsia="zh-CN" w:bidi="ar-SA"/>
              </w:rPr>
            </w:pPr>
            <w:r>
              <w:rPr>
                <w:color w:val="auto"/>
                <w:kern w:val="0"/>
                <w:sz w:val="24"/>
                <w:highlight w:val="none"/>
              </w:rPr>
              <w:t>其他无效情形</w:t>
            </w:r>
          </w:p>
        </w:tc>
        <w:tc>
          <w:tcPr>
            <w:tcW w:w="6725" w:type="dxa"/>
            <w:shd w:val="clear" w:color="auto" w:fill="auto"/>
            <w:vAlign w:val="center"/>
          </w:tcPr>
          <w:p w14:paraId="7AC04DA5">
            <w:pPr>
              <w:widowControl/>
              <w:jc w:val="left"/>
              <w:rPr>
                <w:rFonts w:ascii="Times New Roman" w:hAnsi="Times New Roman" w:eastAsia="宋体" w:cs="Times New Roman"/>
                <w:color w:val="auto"/>
                <w:kern w:val="0"/>
                <w:sz w:val="24"/>
                <w:szCs w:val="24"/>
                <w:highlight w:val="none"/>
                <w:lang w:val="en-US" w:eastAsia="zh-CN" w:bidi="ar-SA"/>
              </w:rPr>
            </w:pPr>
            <w:r>
              <w:rPr>
                <w:color w:val="auto"/>
                <w:sz w:val="24"/>
                <w:highlight w:val="none"/>
              </w:rPr>
              <w:t>投标人、投标文件</w:t>
            </w:r>
            <w:r>
              <w:rPr>
                <w:rFonts w:hint="eastAsia"/>
                <w:color w:val="auto"/>
                <w:sz w:val="24"/>
                <w:highlight w:val="none"/>
              </w:rPr>
              <w:t>不存在</w:t>
            </w:r>
            <w:r>
              <w:rPr>
                <w:color w:val="auto"/>
                <w:sz w:val="24"/>
                <w:highlight w:val="none"/>
              </w:rPr>
              <w:t>不符合法律、法规和招标文件规定的其他无效情形。</w:t>
            </w:r>
          </w:p>
        </w:tc>
      </w:tr>
    </w:tbl>
    <w:p w14:paraId="3553FED7">
      <w:pPr>
        <w:numPr>
          <w:ilvl w:val="0"/>
          <w:numId w:val="12"/>
        </w:numPr>
        <w:tabs>
          <w:tab w:val="left" w:pos="360"/>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投标文件有关事项的澄清或者说明</w:t>
      </w:r>
    </w:p>
    <w:p w14:paraId="09B84A9F">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评标过程中，评标委员会将</w:t>
      </w:r>
      <w:r>
        <w:rPr>
          <w:rFonts w:hint="eastAsia"/>
          <w:color w:val="auto"/>
          <w:sz w:val="24"/>
          <w:highlight w:val="none"/>
        </w:rPr>
        <w:t>通过“苏采云”政府采购一体化平台系统</w:t>
      </w:r>
      <w:r>
        <w:rPr>
          <w:color w:val="auto"/>
          <w:sz w:val="24"/>
          <w:highlight w:val="none"/>
        </w:rPr>
        <w:t>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auto"/>
          <w:sz w:val="24"/>
          <w:highlight w:val="none"/>
        </w:rPr>
        <w:t>电子</w:t>
      </w:r>
      <w:r>
        <w:rPr>
          <w:color w:val="auto"/>
          <w:sz w:val="24"/>
          <w:highlight w:val="none"/>
        </w:rPr>
        <w:t>公章。投标人的澄清、说明或者补正不得超出投标文件的范围或者改变投标文件的实质性内容。澄清文件将作为投标文件内容的一部分。</w:t>
      </w:r>
    </w:p>
    <w:p w14:paraId="0D0D8652">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评标委员会认为投标人的报价明显低于其他通过符合性审查投标人的报价，有可能影响</w:t>
      </w:r>
      <w:r>
        <w:rPr>
          <w:rFonts w:hint="eastAsia" w:ascii="宋体" w:hAnsi="宋体" w:cs="宋体"/>
          <w:color w:val="auto"/>
          <w:sz w:val="24"/>
          <w:highlight w:val="none"/>
          <w:lang w:val="en-US" w:eastAsia="zh-CN"/>
        </w:rPr>
        <w:t>服务</w:t>
      </w:r>
      <w:r>
        <w:rPr>
          <w:rFonts w:hint="eastAsia" w:ascii="宋体" w:hAnsi="宋体" w:cs="宋体"/>
          <w:color w:val="auto"/>
          <w:sz w:val="24"/>
          <w:highlight w:val="none"/>
        </w:rPr>
        <w:t>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auto"/>
          <w:sz w:val="24"/>
          <w:highlight w:val="none"/>
        </w:rPr>
        <w:t>无效投标处理</w:t>
      </w:r>
      <w:r>
        <w:rPr>
          <w:rFonts w:hint="eastAsia" w:ascii="宋体" w:hAnsi="宋体" w:cs="宋体"/>
          <w:color w:val="auto"/>
          <w:sz w:val="24"/>
          <w:highlight w:val="none"/>
        </w:rPr>
        <w:t>。</w:t>
      </w:r>
    </w:p>
    <w:p w14:paraId="6821C407">
      <w:pPr>
        <w:numPr>
          <w:ilvl w:val="2"/>
          <w:numId w:val="12"/>
        </w:numPr>
        <w:tabs>
          <w:tab w:val="left" w:pos="1080"/>
          <w:tab w:val="left" w:pos="1589"/>
          <w:tab w:val="left" w:pos="2035"/>
          <w:tab w:val="left" w:pos="2114"/>
        </w:tabs>
        <w:snapToGrid w:val="0"/>
        <w:spacing w:line="360" w:lineRule="auto"/>
        <w:ind w:left="2035"/>
        <w:rPr>
          <w:rFonts w:hint="eastAsia" w:ascii="宋体" w:hAnsi="宋体" w:eastAsia="宋体" w:cs="宋体"/>
          <w:color w:val="auto"/>
          <w:sz w:val="24"/>
          <w:highlight w:val="none"/>
        </w:rPr>
      </w:pPr>
      <w:r>
        <w:rPr>
          <w:rFonts w:hint="eastAsia" w:ascii="宋体" w:hAnsi="宋体" w:eastAsia="宋体" w:cs="宋体"/>
          <w:color w:val="auto"/>
          <w:sz w:val="24"/>
          <w:highlight w:val="none"/>
        </w:rPr>
        <w:t>实施政府采购异常低价审查的有关要求：具体按照</w:t>
      </w:r>
      <w:r>
        <w:rPr>
          <w:rFonts w:hint="eastAsia" w:ascii="宋体" w:hAnsi="宋体" w:cs="宋体"/>
          <w:color w:val="auto"/>
          <w:sz w:val="24"/>
          <w:highlight w:val="none"/>
          <w:lang w:eastAsia="zh-CN"/>
        </w:rPr>
        <w:t>财库〔2026〕2号</w:t>
      </w:r>
      <w:r>
        <w:rPr>
          <w:rFonts w:hint="eastAsia" w:ascii="宋体" w:hAnsi="宋体" w:eastAsia="宋体" w:cs="宋体"/>
          <w:color w:val="auto"/>
          <w:sz w:val="24"/>
          <w:highlight w:val="none"/>
        </w:rPr>
        <w:t>《关于推动解决政府采购异常低价问题的通知》要求</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w:t>
      </w:r>
    </w:p>
    <w:p w14:paraId="0097EE06">
      <w:pPr>
        <w:tabs>
          <w:tab w:val="left" w:pos="900"/>
          <w:tab w:val="left" w:pos="1589"/>
          <w:tab w:val="left" w:pos="1701"/>
        </w:tabs>
        <w:snapToGrid w:val="0"/>
        <w:spacing w:line="360" w:lineRule="auto"/>
        <w:ind w:left="1985"/>
        <w:rPr>
          <w:rFonts w:hint="eastAsia" w:ascii="宋体" w:hAnsi="宋体" w:eastAsia="宋体" w:cs="宋体"/>
          <w:color w:val="auto"/>
          <w:sz w:val="24"/>
          <w:highlight w:val="none"/>
        </w:rPr>
      </w:pPr>
      <w:r>
        <w:rPr>
          <w:rFonts w:hint="eastAsia" w:ascii="宋体" w:hAnsi="宋体" w:eastAsia="宋体" w:cs="宋体"/>
          <w:color w:val="auto"/>
          <w:sz w:val="24"/>
          <w:highlight w:val="none"/>
        </w:rPr>
        <w:t>（一）政府采购评审中出现下列情形之一的，评审委员会应当启动异常低价投标（响应）审查程序：</w:t>
      </w:r>
    </w:p>
    <w:p w14:paraId="0FA7FA66">
      <w:pPr>
        <w:tabs>
          <w:tab w:val="left" w:pos="900"/>
          <w:tab w:val="left" w:pos="1589"/>
          <w:tab w:val="left" w:pos="1701"/>
        </w:tabs>
        <w:snapToGrid w:val="0"/>
        <w:spacing w:line="360" w:lineRule="auto"/>
        <w:ind w:left="1985"/>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1.投标（响应）报价低于全部通过符合性审查供应商投标（响应）报价平均值50%的，即投标（响应）报价&lt;全部通过符合性审查供应商投标（响应）报价平均值×50%；</w:t>
      </w:r>
    </w:p>
    <w:p w14:paraId="30E7E7E3">
      <w:pPr>
        <w:tabs>
          <w:tab w:val="left" w:pos="900"/>
          <w:tab w:val="left" w:pos="1589"/>
          <w:tab w:val="left" w:pos="1701"/>
        </w:tabs>
        <w:snapToGrid w:val="0"/>
        <w:spacing w:line="360" w:lineRule="auto"/>
        <w:ind w:left="1985"/>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2.投标（响应）报价低于通过符合性审查的次低报价供应商投标（响应）报价50%的，即投标（响应）报价&lt;通过符合性审查的次低报价供应商投标（响应）报价×50%；</w:t>
      </w:r>
    </w:p>
    <w:p w14:paraId="0A351CAB">
      <w:pPr>
        <w:tabs>
          <w:tab w:val="left" w:pos="900"/>
          <w:tab w:val="left" w:pos="1589"/>
          <w:tab w:val="left" w:pos="1701"/>
        </w:tabs>
        <w:snapToGrid w:val="0"/>
        <w:spacing w:line="360" w:lineRule="auto"/>
        <w:ind w:left="1985"/>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3.投标（响应）报价低于采购项目最高限价45%的，即投标（响应）报价&lt;采购项目最高限价×45%；</w:t>
      </w:r>
    </w:p>
    <w:p w14:paraId="4D759EFC">
      <w:pPr>
        <w:tabs>
          <w:tab w:val="left" w:pos="900"/>
          <w:tab w:val="left" w:pos="1589"/>
          <w:tab w:val="left" w:pos="1701"/>
        </w:tabs>
        <w:snapToGrid w:val="0"/>
        <w:spacing w:line="360" w:lineRule="auto"/>
        <w:ind w:left="1985"/>
        <w:rPr>
          <w:rFonts w:hint="eastAsia" w:ascii="宋体" w:hAnsi="宋体" w:eastAsia="宋体" w:cs="宋体"/>
          <w:color w:val="auto"/>
          <w:sz w:val="24"/>
          <w:highlight w:val="none"/>
        </w:rPr>
      </w:pPr>
      <w:r>
        <w:rPr>
          <w:rFonts w:hint="eastAsia" w:ascii="宋体" w:hAnsi="宋体" w:eastAsia="宋体" w:cs="宋体"/>
          <w:color w:val="auto"/>
          <w:sz w:val="24"/>
          <w:highlight w:val="none"/>
        </w:rPr>
        <w:t>4.评审委员会基于专业判断，认为供应商报价过低，有可能影响产品质量或者不能诚信履约的其他情形。</w:t>
      </w:r>
    </w:p>
    <w:p w14:paraId="7E6251D0">
      <w:pPr>
        <w:tabs>
          <w:tab w:val="left" w:pos="900"/>
          <w:tab w:val="left" w:pos="1589"/>
          <w:tab w:val="left" w:pos="1701"/>
        </w:tabs>
        <w:snapToGrid w:val="0"/>
        <w:spacing w:line="360" w:lineRule="auto"/>
        <w:ind w:left="1985"/>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采购人可以结合具体项目实际情况，提高上述第1项至第3项中启动异常低价投标（响应）审查的数值标准，但是最高不得超过65%。</w:t>
      </w:r>
    </w:p>
    <w:p w14:paraId="638413B9">
      <w:pPr>
        <w:tabs>
          <w:tab w:val="left" w:pos="900"/>
          <w:tab w:val="left" w:pos="1589"/>
          <w:tab w:val="left" w:pos="1701"/>
        </w:tabs>
        <w:snapToGrid w:val="0"/>
        <w:spacing w:line="360" w:lineRule="auto"/>
        <w:ind w:left="1985"/>
        <w:rPr>
          <w:rFonts w:hint="eastAsia" w:ascii="宋体" w:hAnsi="宋体" w:eastAsia="宋体" w:cs="宋体"/>
          <w:color w:val="auto"/>
          <w:sz w:val="24"/>
          <w:highlight w:val="none"/>
        </w:rPr>
      </w:pPr>
      <w:r>
        <w:rPr>
          <w:rFonts w:hint="eastAsia" w:ascii="宋体" w:hAnsi="宋体" w:eastAsia="宋体" w:cs="宋体"/>
          <w:color w:val="auto"/>
          <w:sz w:val="24"/>
          <w:highlight w:val="none"/>
        </w:rPr>
        <w:t>相关法律法规对供应商报价有规定的，从其规定。</w:t>
      </w:r>
    </w:p>
    <w:p w14:paraId="0C4F837C">
      <w:pPr>
        <w:tabs>
          <w:tab w:val="left" w:pos="900"/>
          <w:tab w:val="left" w:pos="1589"/>
          <w:tab w:val="left" w:pos="1701"/>
        </w:tabs>
        <w:snapToGrid w:val="0"/>
        <w:spacing w:line="360" w:lineRule="auto"/>
        <w:ind w:left="1985"/>
        <w:rPr>
          <w:rFonts w:hint="eastAsia" w:ascii="宋体" w:hAnsi="宋体" w:eastAsia="宋体" w:cs="宋体"/>
          <w:color w:val="auto"/>
          <w:sz w:val="24"/>
          <w:highlight w:val="none"/>
        </w:rPr>
      </w:pPr>
      <w:r>
        <w:rPr>
          <w:rFonts w:hint="eastAsia" w:ascii="宋体" w:hAnsi="宋体" w:eastAsia="宋体" w:cs="宋体"/>
          <w:color w:val="auto"/>
          <w:sz w:val="24"/>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A74EBF7">
      <w:pPr>
        <w:tabs>
          <w:tab w:val="left" w:pos="900"/>
          <w:tab w:val="left" w:pos="1589"/>
          <w:tab w:val="left" w:pos="1701"/>
        </w:tabs>
        <w:snapToGrid w:val="0"/>
        <w:spacing w:line="360" w:lineRule="auto"/>
        <w:ind w:left="1985"/>
        <w:rPr>
          <w:rFonts w:hint="eastAsia" w:ascii="宋体" w:hAnsi="宋体" w:eastAsia="宋体" w:cs="宋体"/>
          <w:color w:val="auto"/>
          <w:sz w:val="24"/>
          <w:highlight w:val="none"/>
        </w:rPr>
      </w:pPr>
      <w:r>
        <w:rPr>
          <w:rFonts w:hint="eastAsia" w:ascii="宋体" w:hAnsi="宋体" w:eastAsia="宋体" w:cs="宋体"/>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C768E72">
      <w:pPr>
        <w:tabs>
          <w:tab w:val="left" w:pos="900"/>
          <w:tab w:val="left" w:pos="1589"/>
          <w:tab w:val="left" w:pos="1701"/>
        </w:tabs>
        <w:snapToGrid w:val="0"/>
        <w:spacing w:line="360" w:lineRule="auto"/>
        <w:ind w:left="1985"/>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p>
    <w:p w14:paraId="548BE1E2">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eastAsia="宋体" w:cs="宋体"/>
          <w:color w:val="auto"/>
          <w:sz w:val="24"/>
          <w:highlight w:val="none"/>
        </w:rPr>
        <w:t>投标报价须包含招标文件全部内容，如分项报价表有缺漏视为已含在其他各项报价中，将不对投标总价进行调整。评标委员会有权要求投标人在规定的时间内对此进行书面确认，投标人不确认的，视为将一个</w:t>
      </w:r>
      <w:r>
        <w:rPr>
          <w:rFonts w:hint="eastAsia" w:ascii="宋体" w:hAnsi="宋体" w:eastAsia="宋体" w:cs="宋体"/>
          <w:color w:val="auto"/>
          <w:sz w:val="24"/>
          <w:highlight w:val="none"/>
          <w:lang w:eastAsia="zh-CN"/>
        </w:rPr>
        <w:t>采购</w:t>
      </w:r>
      <w:r>
        <w:rPr>
          <w:rFonts w:hint="eastAsia" w:ascii="宋体" w:hAnsi="宋体" w:cs="宋体"/>
          <w:color w:val="auto"/>
          <w:sz w:val="24"/>
          <w:highlight w:val="none"/>
          <w:lang w:val="en-US" w:eastAsia="zh-CN"/>
        </w:rPr>
        <w:t>项目</w:t>
      </w:r>
      <w:r>
        <w:rPr>
          <w:rFonts w:hint="eastAsia" w:ascii="宋体" w:hAnsi="宋体" w:eastAsia="宋体" w:cs="宋体"/>
          <w:color w:val="auto"/>
          <w:sz w:val="24"/>
          <w:highlight w:val="none"/>
        </w:rPr>
        <w:t>中的内容拆开投标，其</w:t>
      </w:r>
      <w:r>
        <w:rPr>
          <w:rFonts w:hint="eastAsia" w:ascii="宋体" w:hAnsi="宋体" w:eastAsia="宋体" w:cs="宋体"/>
          <w:b/>
          <w:color w:val="auto"/>
          <w:sz w:val="24"/>
          <w:highlight w:val="none"/>
        </w:rPr>
        <w:t>投标无效</w:t>
      </w:r>
      <w:r>
        <w:rPr>
          <w:rFonts w:hint="eastAsia" w:ascii="宋体" w:hAnsi="宋体" w:cs="宋体"/>
          <w:color w:val="auto"/>
          <w:sz w:val="24"/>
          <w:highlight w:val="none"/>
        </w:rPr>
        <w:t>。</w:t>
      </w:r>
    </w:p>
    <w:p w14:paraId="05B741B6">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投标文件报价出现前后不一致的，按照下列规定修正：</w:t>
      </w:r>
    </w:p>
    <w:p w14:paraId="01FAEB5E">
      <w:pPr>
        <w:numPr>
          <w:ilvl w:val="2"/>
          <w:numId w:val="12"/>
        </w:numPr>
        <w:tabs>
          <w:tab w:val="left" w:pos="1080"/>
          <w:tab w:val="left" w:pos="1589"/>
          <w:tab w:val="left" w:pos="2035"/>
          <w:tab w:val="left" w:pos="2114"/>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招标文件对于报价修正是否另有规定：</w:t>
      </w:r>
    </w:p>
    <w:p w14:paraId="6A39C56C">
      <w:pPr>
        <w:tabs>
          <w:tab w:val="left" w:pos="1080"/>
          <w:tab w:val="left" w:pos="1589"/>
          <w:tab w:val="left" w:pos="2035"/>
          <w:tab w:val="left" w:pos="2114"/>
        </w:tabs>
        <w:snapToGrid w:val="0"/>
        <w:spacing w:line="360" w:lineRule="auto"/>
        <w:ind w:left="2035"/>
        <w:rPr>
          <w:rFonts w:ascii="宋体" w:hAnsi="宋体" w:cs="宋体"/>
          <w:color w:val="auto"/>
          <w:sz w:val="24"/>
          <w:highlight w:val="none"/>
          <w:u w:val="single"/>
        </w:rPr>
      </w:pPr>
      <w:r>
        <w:rPr>
          <w:rFonts w:hint="eastAsia" w:ascii="宋体" w:hAnsi="宋体" w:cs="宋体"/>
          <w:color w:val="auto"/>
          <w:sz w:val="24"/>
          <w:highlight w:val="none"/>
        </w:rPr>
        <w:t>□有，具体规定为：</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400D35DF">
      <w:pPr>
        <w:tabs>
          <w:tab w:val="left" w:pos="1080"/>
          <w:tab w:val="left" w:pos="1589"/>
          <w:tab w:val="left" w:pos="2035"/>
          <w:tab w:val="left" w:pos="2114"/>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■无，按下述2.4.2-2.4.7项规定修正。</w:t>
      </w:r>
    </w:p>
    <w:p w14:paraId="2E278870">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单独递交的开标一览表（报价表）与投标文件中开标一览表（报价表）内容不一致的，以单独递交的开标一览表（报价表）为准；</w:t>
      </w:r>
    </w:p>
    <w:p w14:paraId="7398FCCD">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投标文件中开标一览表（报价表）内容与投标文件中相应内容不一致的，以开标一览表（报价表）为准；</w:t>
      </w:r>
    </w:p>
    <w:p w14:paraId="2B519559">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大写金额和小写金额不一致的，以大写金额为准；</w:t>
      </w:r>
    </w:p>
    <w:p w14:paraId="68F0071C">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单价金额小数点或者百分比有明显错位的，以开标一览表的总价为准，并修改单价；</w:t>
      </w:r>
    </w:p>
    <w:p w14:paraId="0886053D">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总价金额与按单价汇总金额不一致的，以单价金额计算结果为准。</w:t>
      </w:r>
    </w:p>
    <w:p w14:paraId="55FA075C">
      <w:pPr>
        <w:numPr>
          <w:ilvl w:val="2"/>
          <w:numId w:val="12"/>
        </w:numPr>
        <w:tabs>
          <w:tab w:val="left" w:pos="1080"/>
          <w:tab w:val="left" w:pos="1589"/>
          <w:tab w:val="left" w:pos="2035"/>
          <w:tab w:val="left" w:pos="2114"/>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同时出现两种以上不一致的，按照前款规定的顺序修正。修正后的报价经投标人书面确认后产生约束力，投标人不确认的，其</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01BB1C4B">
      <w:pPr>
        <w:keepNext w:val="0"/>
        <w:keepLines w:val="0"/>
        <w:pageBreakBefore w:val="0"/>
        <w:numPr>
          <w:ilvl w:val="1"/>
          <w:numId w:val="12"/>
        </w:numPr>
        <w:tabs>
          <w:tab w:val="left" w:pos="1080"/>
        </w:tabs>
        <w:kinsoku/>
        <w:wordWrap/>
        <w:overflowPunct/>
        <w:topLinePunct w:val="0"/>
        <w:autoSpaceDE/>
        <w:autoSpaceDN/>
        <w:bidi w:val="0"/>
        <w:snapToGrid w:val="0"/>
        <w:spacing w:line="360" w:lineRule="auto"/>
        <w:ind w:left="1077" w:hanging="720"/>
        <w:textAlignment w:val="auto"/>
        <w:outlineLvl w:val="9"/>
        <w:rPr>
          <w:rFonts w:hint="eastAsia" w:ascii="宋体" w:hAnsi="宋体" w:eastAsia="宋体" w:cs="宋体"/>
          <w:color w:val="auto"/>
          <w:sz w:val="24"/>
          <w:highlight w:val="none"/>
        </w:rPr>
      </w:pPr>
      <w:r>
        <w:rPr>
          <w:rFonts w:hint="eastAsia" w:ascii="宋体" w:hAnsi="宋体" w:cs="宋体"/>
          <w:color w:val="auto"/>
          <w:sz w:val="24"/>
          <w:highlight w:val="none"/>
        </w:rPr>
        <w:t>落实政府采购政策的价格调整：</w:t>
      </w:r>
      <w:r>
        <w:rPr>
          <w:rFonts w:hint="eastAsia" w:ascii="宋体" w:hAnsi="宋体" w:eastAsia="宋体" w:cs="宋体"/>
          <w:color w:val="auto"/>
          <w:sz w:val="24"/>
          <w:highlight w:val="none"/>
          <w:lang w:val="en-US" w:eastAsia="zh-CN"/>
        </w:rPr>
        <w:t>只</w:t>
      </w:r>
      <w:r>
        <w:rPr>
          <w:rFonts w:hint="eastAsia" w:ascii="宋体" w:hAnsi="宋体" w:eastAsia="宋体" w:cs="宋体"/>
          <w:color w:val="auto"/>
          <w:sz w:val="24"/>
          <w:highlight w:val="none"/>
        </w:rPr>
        <w:t>有符合第二章《投标人须知》5.2条规定情形的，可以享受中小企业扶持政策，用扣除后的价格参加评审；否则，评标时价格不予扣除。</w:t>
      </w:r>
    </w:p>
    <w:p w14:paraId="2DCBBE13">
      <w:pPr>
        <w:keepNext w:val="0"/>
        <w:keepLines w:val="0"/>
        <w:pageBreakBefore w:val="0"/>
        <w:numPr>
          <w:ilvl w:val="2"/>
          <w:numId w:val="12"/>
        </w:numPr>
        <w:tabs>
          <w:tab w:val="left" w:pos="1080"/>
          <w:tab w:val="left" w:pos="1589"/>
          <w:tab w:val="left" w:pos="2035"/>
        </w:tabs>
        <w:kinsoku/>
        <w:wordWrap/>
        <w:overflowPunct/>
        <w:topLinePunct w:val="0"/>
        <w:autoSpaceDE/>
        <w:autoSpaceDN/>
        <w:bidi w:val="0"/>
        <w:snapToGrid w:val="0"/>
        <w:spacing w:line="360" w:lineRule="auto"/>
        <w:ind w:left="2035"/>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对于未预留份额专门面向中小企业采购的采购项目，对</w:t>
      </w:r>
      <w:r>
        <w:rPr>
          <w:rFonts w:hint="eastAsia" w:ascii="宋体" w:hAnsi="宋体" w:eastAsia="宋体" w:cs="宋体"/>
          <w:b/>
          <w:color w:val="auto"/>
          <w:sz w:val="24"/>
          <w:highlight w:val="none"/>
        </w:rPr>
        <w:t>小微企业</w:t>
      </w:r>
      <w:r>
        <w:rPr>
          <w:rFonts w:hint="eastAsia" w:ascii="宋体" w:hAnsi="宋体" w:eastAsia="宋体" w:cs="宋体"/>
          <w:color w:val="auto"/>
          <w:sz w:val="24"/>
          <w:highlight w:val="none"/>
        </w:rPr>
        <w:t>报价给予</w:t>
      </w:r>
      <w:r>
        <w:rPr>
          <w:rFonts w:hint="eastAsia" w:ascii="宋体" w:hAnsi="宋体" w:eastAsia="宋体" w:cs="宋体"/>
          <w:color w:val="auto"/>
          <w:sz w:val="24"/>
          <w:highlight w:val="none"/>
          <w:lang w:val="en-US" w:eastAsia="zh-CN"/>
        </w:rPr>
        <w:t>20</w:t>
      </w:r>
      <w:r>
        <w:rPr>
          <w:rFonts w:hint="eastAsia" w:ascii="宋体" w:hAnsi="宋体" w:eastAsia="宋体" w:cs="宋体"/>
          <w:color w:val="auto"/>
          <w:sz w:val="24"/>
          <w:highlight w:val="none"/>
        </w:rPr>
        <w:t>%的扣除，用扣除后的价格参加评审。</w:t>
      </w:r>
    </w:p>
    <w:p w14:paraId="2D8463AA">
      <w:pPr>
        <w:keepNext w:val="0"/>
        <w:keepLines w:val="0"/>
        <w:pageBreakBefore w:val="0"/>
        <w:numPr>
          <w:ilvl w:val="2"/>
          <w:numId w:val="12"/>
        </w:numPr>
        <w:tabs>
          <w:tab w:val="left" w:pos="1080"/>
          <w:tab w:val="left" w:pos="1589"/>
          <w:tab w:val="left" w:pos="2035"/>
        </w:tabs>
        <w:kinsoku/>
        <w:wordWrap/>
        <w:overflowPunct/>
        <w:topLinePunct w:val="0"/>
        <w:autoSpaceDE/>
        <w:autoSpaceDN/>
        <w:bidi w:val="0"/>
        <w:snapToGrid w:val="0"/>
        <w:spacing w:line="360" w:lineRule="auto"/>
        <w:ind w:left="2035"/>
        <w:textAlignment w:val="auto"/>
        <w:outlineLvl w:val="9"/>
        <w:rPr>
          <w:rFonts w:hint="eastAsia" w:ascii="宋体" w:hAnsi="宋体" w:eastAsia="宋体" w:cs="宋体"/>
          <w:color w:val="auto"/>
          <w:sz w:val="24"/>
          <w:highlight w:val="none"/>
        </w:rPr>
      </w:pPr>
      <w:r>
        <w:rPr>
          <w:rFonts w:ascii="宋体" w:hAnsi="宋体" w:eastAsia="宋体" w:cs="宋体"/>
          <w:color w:val="auto"/>
          <w:sz w:val="24"/>
          <w:szCs w:val="24"/>
          <w:highlight w:val="none"/>
        </w:rPr>
        <w:t>组成联合体的小微企业与联合体内其他企业之间存在直接控股、管理关系的，不享受价格扣除优惠政策。</w:t>
      </w:r>
    </w:p>
    <w:p w14:paraId="4CBD5FE8">
      <w:pPr>
        <w:keepNext w:val="0"/>
        <w:keepLines w:val="0"/>
        <w:pageBreakBefore w:val="0"/>
        <w:numPr>
          <w:ilvl w:val="2"/>
          <w:numId w:val="12"/>
        </w:numPr>
        <w:tabs>
          <w:tab w:val="left" w:pos="1080"/>
          <w:tab w:val="left" w:pos="1589"/>
          <w:tab w:val="left" w:pos="2035"/>
        </w:tabs>
        <w:kinsoku/>
        <w:wordWrap/>
        <w:overflowPunct/>
        <w:topLinePunct w:val="0"/>
        <w:autoSpaceDE/>
        <w:autoSpaceDN/>
        <w:bidi w:val="0"/>
        <w:snapToGrid w:val="0"/>
        <w:spacing w:line="360" w:lineRule="auto"/>
        <w:ind w:left="2035"/>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价格扣除比例对小型企业和微型企业同等对待，不作区分。</w:t>
      </w:r>
    </w:p>
    <w:p w14:paraId="5639E599">
      <w:pPr>
        <w:keepNext w:val="0"/>
        <w:keepLines w:val="0"/>
        <w:pageBreakBefore w:val="0"/>
        <w:numPr>
          <w:ilvl w:val="2"/>
          <w:numId w:val="12"/>
        </w:numPr>
        <w:tabs>
          <w:tab w:val="left" w:pos="1080"/>
          <w:tab w:val="left" w:pos="1589"/>
          <w:tab w:val="left" w:pos="2035"/>
        </w:tabs>
        <w:kinsoku/>
        <w:wordWrap/>
        <w:overflowPunct/>
        <w:topLinePunct w:val="0"/>
        <w:autoSpaceDE/>
        <w:autoSpaceDN/>
        <w:bidi w:val="0"/>
        <w:snapToGrid w:val="0"/>
        <w:spacing w:line="360" w:lineRule="auto"/>
        <w:ind w:left="2035"/>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中小企业参加政府采购活动，应当按照招标文件给定的格式出具《中小企业声明函》，否则不得享受相关中小企业扶持政策。</w:t>
      </w:r>
    </w:p>
    <w:p w14:paraId="063A743E">
      <w:pPr>
        <w:keepNext w:val="0"/>
        <w:keepLines w:val="0"/>
        <w:pageBreakBefore w:val="0"/>
        <w:numPr>
          <w:ilvl w:val="2"/>
          <w:numId w:val="12"/>
        </w:numPr>
        <w:tabs>
          <w:tab w:val="left" w:pos="1080"/>
          <w:tab w:val="left" w:pos="1589"/>
          <w:tab w:val="left" w:pos="2035"/>
        </w:tabs>
        <w:kinsoku/>
        <w:wordWrap/>
        <w:overflowPunct/>
        <w:topLinePunct w:val="0"/>
        <w:autoSpaceDE/>
        <w:autoSpaceDN/>
        <w:bidi w:val="0"/>
        <w:snapToGrid w:val="0"/>
        <w:spacing w:line="360" w:lineRule="auto"/>
        <w:ind w:left="2035"/>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监狱企业提供了由省级以上监狱管理局（常州市含教育矫治局）、戒毒管理局（含新疆生产建设兵团）出具的属于监狱企业的证明文件的，视同小微企业。</w:t>
      </w:r>
    </w:p>
    <w:p w14:paraId="01AC6476">
      <w:pPr>
        <w:keepNext w:val="0"/>
        <w:keepLines w:val="0"/>
        <w:pageBreakBefore w:val="0"/>
        <w:numPr>
          <w:ilvl w:val="2"/>
          <w:numId w:val="12"/>
        </w:numPr>
        <w:tabs>
          <w:tab w:val="left" w:pos="1080"/>
          <w:tab w:val="left" w:pos="1589"/>
          <w:tab w:val="left" w:pos="2035"/>
        </w:tabs>
        <w:kinsoku/>
        <w:wordWrap/>
        <w:overflowPunct/>
        <w:topLinePunct w:val="0"/>
        <w:autoSpaceDE/>
        <w:autoSpaceDN/>
        <w:bidi w:val="0"/>
        <w:snapToGrid w:val="0"/>
        <w:spacing w:line="360" w:lineRule="auto"/>
        <w:ind w:left="2035"/>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残疾人福利性单位按招标文件要求提供了《残疾人福利性单位声明函》（见附件）的，视同小微企业。</w:t>
      </w:r>
    </w:p>
    <w:p w14:paraId="19FC1794">
      <w:pPr>
        <w:keepNext w:val="0"/>
        <w:keepLines w:val="0"/>
        <w:pageBreakBefore w:val="0"/>
        <w:numPr>
          <w:ilvl w:val="1"/>
          <w:numId w:val="12"/>
        </w:numPr>
        <w:tabs>
          <w:tab w:val="left" w:pos="1080"/>
        </w:tabs>
        <w:kinsoku/>
        <w:wordWrap/>
        <w:overflowPunct/>
        <w:topLinePunct w:val="0"/>
        <w:autoSpaceDE/>
        <w:autoSpaceDN/>
        <w:bidi w:val="0"/>
        <w:snapToGrid w:val="0"/>
        <w:spacing w:line="360" w:lineRule="auto"/>
        <w:ind w:left="1077" w:hanging="72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若投标人同时属于小型或微型企业、监狱企业、残疾人福利性单位中的两种及以上，将不重复享受小微企业价格扣减的优惠政策</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lang w:val="en-US" w:eastAsia="zh-CN"/>
        </w:rPr>
        <w:t xml:space="preserve">  /  </w:t>
      </w:r>
      <w:r>
        <w:rPr>
          <w:rFonts w:hint="eastAsia" w:ascii="宋体" w:hAnsi="宋体" w:eastAsia="宋体" w:cs="宋体"/>
          <w:color w:val="auto"/>
          <w:sz w:val="24"/>
          <w:highlight w:val="none"/>
        </w:rPr>
        <w:t>。</w:t>
      </w:r>
    </w:p>
    <w:p w14:paraId="2652BD6D">
      <w:pPr>
        <w:numPr>
          <w:ilvl w:val="0"/>
          <w:numId w:val="12"/>
        </w:numPr>
        <w:tabs>
          <w:tab w:val="left" w:pos="360"/>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投标文件的比较和评价</w:t>
      </w:r>
      <w:bookmarkEnd w:id="763"/>
      <w:bookmarkEnd w:id="764"/>
    </w:p>
    <w:p w14:paraId="4FDD5CD4">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67532498">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评标方法和评标标准</w:t>
      </w:r>
    </w:p>
    <w:p w14:paraId="5E03172D">
      <w:pPr>
        <w:numPr>
          <w:ilvl w:val="2"/>
          <w:numId w:val="12"/>
        </w:num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本项目采用的评标方法为：</w:t>
      </w:r>
    </w:p>
    <w:p w14:paraId="7AC45497">
      <w:pPr>
        <w:tabs>
          <w:tab w:val="left" w:pos="900"/>
          <w:tab w:val="left" w:pos="1589"/>
          <w:tab w:val="left" w:pos="1701"/>
        </w:tabs>
        <w:snapToGrid w:val="0"/>
        <w:spacing w:line="360" w:lineRule="auto"/>
        <w:ind w:left="1985"/>
        <w:rPr>
          <w:rFonts w:ascii="宋体" w:hAnsi="宋体" w:cs="宋体"/>
          <w:color w:val="auto"/>
          <w:sz w:val="24"/>
          <w:highlight w:val="none"/>
        </w:rPr>
      </w:pPr>
      <w:r>
        <w:rPr>
          <w:rFonts w:hint="eastAsia" w:ascii="宋体" w:hAnsi="宋体" w:cs="宋体"/>
          <w:color w:val="auto"/>
          <w:sz w:val="24"/>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0227CD31">
      <w:pPr>
        <w:tabs>
          <w:tab w:val="left" w:pos="900"/>
          <w:tab w:val="left" w:pos="1589"/>
          <w:tab w:val="left" w:pos="1701"/>
        </w:tabs>
        <w:snapToGrid w:val="0"/>
        <w:spacing w:line="360" w:lineRule="auto"/>
        <w:ind w:left="1985"/>
        <w:rPr>
          <w:rFonts w:ascii="宋体" w:hAnsi="宋体" w:cs="宋体"/>
          <w:color w:val="auto"/>
          <w:sz w:val="24"/>
          <w:highlight w:val="none"/>
        </w:rPr>
      </w:pPr>
      <w:r>
        <w:rPr>
          <w:rFonts w:hint="eastAsia" w:ascii="宋体" w:hAnsi="宋体" w:cs="宋体"/>
          <w:color w:val="auto"/>
          <w:sz w:val="24"/>
          <w:highlight w:val="none"/>
        </w:rPr>
        <w:t>□最低评标价法，指投标文件满足招标文件全部实质性要求，且投标报价最低的投标人为中标候选人的评标方法。</w:t>
      </w:r>
    </w:p>
    <w:p w14:paraId="5A93B09B">
      <w:pPr>
        <w:numPr>
          <w:ilvl w:val="2"/>
          <w:numId w:val="12"/>
        </w:num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5276B281">
      <w:p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□随机抽取</w:t>
      </w:r>
    </w:p>
    <w:p w14:paraId="07CD82AC">
      <w:pPr>
        <w:tabs>
          <w:tab w:val="left" w:pos="1080"/>
          <w:tab w:val="left" w:pos="1589"/>
          <w:tab w:val="left" w:pos="2035"/>
        </w:tabs>
        <w:snapToGrid w:val="0"/>
        <w:spacing w:line="360" w:lineRule="auto"/>
        <w:ind w:left="2035"/>
        <w:rPr>
          <w:rFonts w:ascii="宋体" w:hAnsi="宋体" w:cs="宋体"/>
          <w:color w:val="auto"/>
          <w:sz w:val="24"/>
          <w:highlight w:val="none"/>
          <w:u w:val="single"/>
        </w:rPr>
      </w:pPr>
      <w:r>
        <w:rPr>
          <w:rFonts w:hint="eastAsia" w:ascii="宋体" w:hAnsi="宋体" w:cs="宋体"/>
          <w:color w:val="auto"/>
          <w:sz w:val="24"/>
          <w:highlight w:val="none"/>
        </w:rPr>
        <w:t>□其他方式，具体要求：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74304A0E">
      <w:pPr>
        <w:numPr>
          <w:ilvl w:val="2"/>
          <w:numId w:val="12"/>
        </w:num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非政府强制采购的节能产品或环境标志产品，依据品目清单和认证证书实施政府优先采购。优先采购的具体规定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3DB50EC9">
      <w:pPr>
        <w:numPr>
          <w:ilvl w:val="2"/>
          <w:numId w:val="12"/>
        </w:num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关于无线局域网认证产品政府采购清单中的产品，优先采购的具体规定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7A78E463">
      <w:pPr>
        <w:numPr>
          <w:ilvl w:val="0"/>
          <w:numId w:val="12"/>
        </w:numPr>
        <w:tabs>
          <w:tab w:val="left" w:pos="360"/>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确定</w:t>
      </w:r>
      <w:bookmarkStart w:id="780" w:name="_Toc305158814"/>
      <w:bookmarkStart w:id="781" w:name="_Toc164229387"/>
      <w:bookmarkStart w:id="782" w:name="_Toc151193788"/>
      <w:bookmarkStart w:id="783" w:name="_Toc195842911"/>
      <w:bookmarkStart w:id="784" w:name="_Toc520356170"/>
      <w:bookmarkStart w:id="785" w:name="_Toc226337242"/>
      <w:bookmarkStart w:id="786" w:name="_Toc151193644"/>
      <w:bookmarkStart w:id="787" w:name="_Toc164229241"/>
      <w:bookmarkStart w:id="788" w:name="_Toc150480784"/>
      <w:bookmarkStart w:id="789" w:name="_Toc164608660"/>
      <w:bookmarkStart w:id="790" w:name="_Toc151193860"/>
      <w:bookmarkStart w:id="791" w:name="_Toc264969236"/>
      <w:bookmarkStart w:id="792" w:name="_Toc149720839"/>
      <w:bookmarkStart w:id="793" w:name="_Toc151193934"/>
      <w:bookmarkStart w:id="794" w:name="_Toc150509297"/>
      <w:bookmarkStart w:id="795" w:name="_Toc127151546"/>
      <w:bookmarkStart w:id="796" w:name="_Toc164608815"/>
      <w:bookmarkStart w:id="797" w:name="_Ref467307010"/>
      <w:bookmarkStart w:id="798" w:name="_Toc226965736"/>
      <w:bookmarkStart w:id="799" w:name="_Toc226965819"/>
      <w:bookmarkStart w:id="800" w:name="_Toc305158888"/>
      <w:bookmarkStart w:id="801" w:name="_Toc150774646"/>
      <w:bookmarkStart w:id="802" w:name="_Toc142311048"/>
      <w:bookmarkStart w:id="803" w:name="_Toc127151747"/>
      <w:bookmarkStart w:id="804" w:name="_Toc151193716"/>
      <w:bookmarkStart w:id="805" w:name="_Toc164351640"/>
      <w:bookmarkStart w:id="806" w:name="_Toc265228384"/>
      <w:bookmarkStart w:id="807" w:name="_Toc226309790"/>
      <w:bookmarkStart w:id="808" w:name="_Toc150774751"/>
      <w:bookmarkStart w:id="809" w:name="_Toc151190173"/>
      <w:bookmarkStart w:id="810" w:name="_Toc127161460"/>
      <w:r>
        <w:rPr>
          <w:rFonts w:hint="eastAsia" w:ascii="宋体" w:hAnsi="宋体" w:cs="宋体"/>
          <w:color w:val="auto"/>
          <w:sz w:val="24"/>
          <w:highlight w:val="none"/>
        </w:rPr>
        <w:t>中标候选人名单</w:t>
      </w:r>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p>
    <w:p w14:paraId="17E0151A">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247B8A87">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3972AFA5">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评标委员会要对评分汇总情况进行复核，特别是对排名第一的、报价最低的、投标或投标文件被认定为无效的情形进行重点复核。</w:t>
      </w:r>
    </w:p>
    <w:p w14:paraId="3E54EEAD">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eastAsia="宋体" w:cs="宋体"/>
          <w:color w:val="auto"/>
          <w:sz w:val="24"/>
          <w:highlight w:val="none"/>
        </w:rPr>
        <w:t>评标委员会将根据各投标人的评标排序，依次推荐本项目的中标候选人，起草并签署评标报告。本项目评标委员会共推荐不少于3名中标候选人</w:t>
      </w:r>
      <w:r>
        <w:rPr>
          <w:rFonts w:hint="eastAsia" w:ascii="宋体" w:hAnsi="宋体" w:cs="宋体"/>
          <w:color w:val="auto"/>
          <w:sz w:val="24"/>
          <w:highlight w:val="none"/>
        </w:rPr>
        <w:t>。</w:t>
      </w:r>
    </w:p>
    <w:p w14:paraId="3031CCDD">
      <w:pPr>
        <w:numPr>
          <w:ilvl w:val="0"/>
          <w:numId w:val="12"/>
        </w:numPr>
        <w:tabs>
          <w:tab w:val="left" w:pos="360"/>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报告违法行为</w:t>
      </w:r>
    </w:p>
    <w:p w14:paraId="16EA1A9E">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评标委员会在评标过程中发现投标人有行贿、提供虚假材料或者串通等违法行为时，有向采购人、采购代理机构或者有关部门报告的职责。</w:t>
      </w:r>
    </w:p>
    <w:p w14:paraId="5CE47583">
      <w:pPr>
        <w:widowControl/>
        <w:numPr>
          <w:ilvl w:val="0"/>
          <w:numId w:val="13"/>
        </w:numPr>
        <w:spacing w:line="360" w:lineRule="auto"/>
        <w:jc w:val="center"/>
        <w:rPr>
          <w:rFonts w:ascii="宋体" w:hAnsi="宋体"/>
          <w:b/>
          <w:bCs/>
          <w:color w:val="auto"/>
          <w:sz w:val="28"/>
          <w:szCs w:val="28"/>
          <w:highlight w:val="none"/>
        </w:rPr>
      </w:pPr>
      <w:r>
        <w:rPr>
          <w:rFonts w:hint="eastAsia" w:ascii="宋体" w:hAnsi="宋体" w:cs="宋体"/>
          <w:b/>
          <w:color w:val="auto"/>
          <w:sz w:val="24"/>
          <w:highlight w:val="none"/>
        </w:rPr>
        <w:br w:type="page"/>
      </w:r>
      <w:r>
        <w:rPr>
          <w:rFonts w:hint="eastAsia" w:ascii="宋体" w:hAnsi="宋体"/>
          <w:b/>
          <w:bCs/>
          <w:color w:val="auto"/>
          <w:sz w:val="28"/>
          <w:szCs w:val="28"/>
          <w:highlight w:val="none"/>
        </w:rPr>
        <w:t>评标标准</w:t>
      </w:r>
    </w:p>
    <w:tbl>
      <w:tblPr>
        <w:tblStyle w:val="47"/>
        <w:tblW w:w="500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466"/>
        <w:gridCol w:w="613"/>
        <w:gridCol w:w="604"/>
        <w:gridCol w:w="6640"/>
      </w:tblGrid>
      <w:tr w14:paraId="14E1F8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280" w:type="pct"/>
            <w:noWrap w:val="0"/>
            <w:vAlign w:val="center"/>
          </w:tcPr>
          <w:p w14:paraId="3185B9C3">
            <w:pPr>
              <w:tabs>
                <w:tab w:val="left" w:pos="426"/>
              </w:tabs>
              <w:autoSpaceDE w:val="0"/>
              <w:autoSpaceDN w:val="0"/>
              <w:adjustRightInd w:val="0"/>
              <w:spacing w:line="360" w:lineRule="exact"/>
              <w:jc w:val="center"/>
              <w:rPr>
                <w:rFonts w:hint="eastAsia" w:ascii="宋体" w:hAnsi="宋体" w:cs="宋体"/>
                <w:b/>
                <w:color w:val="auto"/>
                <w:kern w:val="0"/>
                <w:sz w:val="24"/>
                <w:highlight w:val="none"/>
              </w:rPr>
            </w:pPr>
            <w:r>
              <w:rPr>
                <w:rFonts w:hint="eastAsia" w:ascii="宋体" w:hAnsi="宋体" w:cs="宋体"/>
                <w:b/>
                <w:color w:val="auto"/>
                <w:kern w:val="0"/>
                <w:sz w:val="24"/>
                <w:highlight w:val="none"/>
              </w:rPr>
              <w:t>序号</w:t>
            </w:r>
          </w:p>
        </w:tc>
        <w:tc>
          <w:tcPr>
            <w:tcW w:w="368" w:type="pct"/>
            <w:noWrap w:val="0"/>
            <w:vAlign w:val="center"/>
          </w:tcPr>
          <w:p w14:paraId="3F98F95F">
            <w:pPr>
              <w:tabs>
                <w:tab w:val="left" w:pos="426"/>
              </w:tabs>
              <w:autoSpaceDE w:val="0"/>
              <w:autoSpaceDN w:val="0"/>
              <w:adjustRightInd w:val="0"/>
              <w:spacing w:line="360" w:lineRule="exact"/>
              <w:jc w:val="center"/>
              <w:rPr>
                <w:rFonts w:hint="eastAsia" w:ascii="宋体" w:hAnsi="宋体" w:cs="宋体"/>
                <w:b/>
                <w:color w:val="auto"/>
                <w:kern w:val="0"/>
                <w:sz w:val="24"/>
                <w:highlight w:val="none"/>
              </w:rPr>
            </w:pPr>
            <w:r>
              <w:rPr>
                <w:rFonts w:hint="eastAsia" w:ascii="宋体" w:hAnsi="宋体" w:cs="宋体"/>
                <w:b/>
                <w:color w:val="auto"/>
                <w:kern w:val="0"/>
                <w:sz w:val="24"/>
                <w:highlight w:val="none"/>
              </w:rPr>
              <w:t>评审因素</w:t>
            </w:r>
          </w:p>
        </w:tc>
        <w:tc>
          <w:tcPr>
            <w:tcW w:w="363" w:type="pct"/>
            <w:noWrap w:val="0"/>
            <w:vAlign w:val="center"/>
          </w:tcPr>
          <w:p w14:paraId="23540C90">
            <w:pPr>
              <w:tabs>
                <w:tab w:val="left" w:pos="426"/>
              </w:tabs>
              <w:autoSpaceDE w:val="0"/>
              <w:autoSpaceDN w:val="0"/>
              <w:adjustRightInd w:val="0"/>
              <w:spacing w:line="360" w:lineRule="exact"/>
              <w:jc w:val="center"/>
              <w:rPr>
                <w:rFonts w:hint="eastAsia" w:ascii="宋体" w:hAnsi="宋体" w:cs="宋体"/>
                <w:b/>
                <w:color w:val="auto"/>
                <w:kern w:val="0"/>
                <w:sz w:val="24"/>
                <w:highlight w:val="none"/>
              </w:rPr>
            </w:pPr>
            <w:r>
              <w:rPr>
                <w:rFonts w:hint="eastAsia" w:ascii="宋体" w:hAnsi="宋体" w:cs="宋体"/>
                <w:b/>
                <w:color w:val="auto"/>
                <w:kern w:val="0"/>
                <w:sz w:val="24"/>
                <w:highlight w:val="none"/>
              </w:rPr>
              <w:t>分值</w:t>
            </w:r>
          </w:p>
        </w:tc>
        <w:tc>
          <w:tcPr>
            <w:tcW w:w="3987" w:type="pct"/>
            <w:noWrap w:val="0"/>
            <w:vAlign w:val="center"/>
          </w:tcPr>
          <w:p w14:paraId="1A9F56B3">
            <w:pPr>
              <w:tabs>
                <w:tab w:val="left" w:pos="426"/>
              </w:tabs>
              <w:autoSpaceDE w:val="0"/>
              <w:autoSpaceDN w:val="0"/>
              <w:adjustRightInd w:val="0"/>
              <w:spacing w:line="360" w:lineRule="exact"/>
              <w:jc w:val="center"/>
              <w:rPr>
                <w:rFonts w:hint="eastAsia" w:ascii="宋体" w:hAnsi="宋体" w:cs="宋体"/>
                <w:b/>
                <w:color w:val="auto"/>
                <w:kern w:val="0"/>
                <w:sz w:val="24"/>
                <w:highlight w:val="none"/>
              </w:rPr>
            </w:pPr>
            <w:r>
              <w:rPr>
                <w:rFonts w:hint="eastAsia" w:ascii="宋体" w:hAnsi="宋体" w:cs="宋体"/>
                <w:b/>
                <w:color w:val="auto"/>
                <w:kern w:val="0"/>
                <w:sz w:val="24"/>
                <w:highlight w:val="none"/>
              </w:rPr>
              <w:t>评分标准</w:t>
            </w:r>
          </w:p>
        </w:tc>
      </w:tr>
      <w:tr w14:paraId="3650F6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5000" w:type="pct"/>
            <w:gridSpan w:val="4"/>
            <w:noWrap w:val="0"/>
            <w:vAlign w:val="center"/>
          </w:tcPr>
          <w:p w14:paraId="3AC0FDDC">
            <w:pPr>
              <w:tabs>
                <w:tab w:val="left" w:pos="426"/>
              </w:tabs>
              <w:autoSpaceDE w:val="0"/>
              <w:autoSpaceDN w:val="0"/>
              <w:adjustRightInd w:val="0"/>
              <w:spacing w:line="360" w:lineRule="exact"/>
              <w:rPr>
                <w:rFonts w:hint="eastAsia" w:ascii="宋体" w:hAnsi="宋体" w:cs="宋体"/>
                <w:b/>
                <w:color w:val="auto"/>
                <w:kern w:val="0"/>
                <w:sz w:val="24"/>
                <w:highlight w:val="none"/>
              </w:rPr>
            </w:pPr>
            <w:r>
              <w:rPr>
                <w:rFonts w:hint="eastAsia" w:ascii="宋体" w:hAnsi="宋体" w:cs="宋体"/>
                <w:b/>
                <w:color w:val="auto"/>
                <w:kern w:val="0"/>
                <w:sz w:val="24"/>
                <w:highlight w:val="none"/>
              </w:rPr>
              <w:t>一、</w:t>
            </w:r>
            <w:r>
              <w:rPr>
                <w:rFonts w:hint="eastAsia" w:ascii="宋体" w:hAnsi="宋体" w:cs="宋体"/>
                <w:b/>
                <w:color w:val="auto"/>
                <w:kern w:val="0"/>
                <w:sz w:val="24"/>
                <w:highlight w:val="none"/>
                <w:lang w:val="en-US" w:eastAsia="zh-CN"/>
              </w:rPr>
              <w:t>投标</w:t>
            </w:r>
            <w:r>
              <w:rPr>
                <w:rFonts w:hint="eastAsia" w:ascii="宋体" w:hAnsi="宋体" w:cs="宋体"/>
                <w:b/>
                <w:color w:val="auto"/>
                <w:kern w:val="0"/>
                <w:sz w:val="24"/>
                <w:highlight w:val="none"/>
              </w:rPr>
              <w:t>报价（</w:t>
            </w:r>
            <w:r>
              <w:rPr>
                <w:rFonts w:hint="eastAsia" w:ascii="宋体" w:hAnsi="宋体" w:cs="宋体"/>
                <w:b/>
                <w:color w:val="auto"/>
                <w:kern w:val="0"/>
                <w:sz w:val="24"/>
                <w:highlight w:val="none"/>
                <w:lang w:val="en-US" w:eastAsia="zh-CN"/>
              </w:rPr>
              <w:t>20</w:t>
            </w:r>
            <w:r>
              <w:rPr>
                <w:rFonts w:hint="eastAsia" w:ascii="宋体" w:hAnsi="宋体" w:cs="宋体"/>
                <w:b/>
                <w:color w:val="auto"/>
                <w:kern w:val="0"/>
                <w:sz w:val="24"/>
                <w:highlight w:val="none"/>
              </w:rPr>
              <w:t>分）</w:t>
            </w:r>
          </w:p>
        </w:tc>
      </w:tr>
      <w:tr w14:paraId="631F2D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280" w:type="pct"/>
            <w:noWrap w:val="0"/>
            <w:vAlign w:val="center"/>
          </w:tcPr>
          <w:p w14:paraId="0D843464">
            <w:pPr>
              <w:widowControl/>
              <w:tabs>
                <w:tab w:val="left" w:pos="1200"/>
              </w:tabs>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368" w:type="pct"/>
            <w:noWrap w:val="0"/>
            <w:vAlign w:val="center"/>
          </w:tcPr>
          <w:p w14:paraId="2343279B">
            <w:pPr>
              <w:widowControl/>
              <w:tabs>
                <w:tab w:val="left" w:pos="1200"/>
              </w:tabs>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价格</w:t>
            </w:r>
          </w:p>
        </w:tc>
        <w:tc>
          <w:tcPr>
            <w:tcW w:w="363" w:type="pct"/>
            <w:noWrap w:val="0"/>
            <w:vAlign w:val="center"/>
          </w:tcPr>
          <w:p w14:paraId="52F7A131">
            <w:pPr>
              <w:widowControl/>
              <w:tabs>
                <w:tab w:val="left" w:pos="1200"/>
              </w:tabs>
              <w:autoSpaceDE w:val="0"/>
              <w:autoSpaceDN w:val="0"/>
              <w:spacing w:line="440" w:lineRule="exact"/>
              <w:jc w:val="center"/>
              <w:rPr>
                <w:rFonts w:hint="default" w:ascii="宋体" w:hAnsi="宋体" w:cs="宋体"/>
                <w:color w:val="auto"/>
                <w:sz w:val="24"/>
                <w:highlight w:val="none"/>
                <w:lang w:val="en-US"/>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lang w:eastAsia="en-US"/>
              </w:rPr>
              <w:t>0</w:t>
            </w:r>
          </w:p>
        </w:tc>
        <w:tc>
          <w:tcPr>
            <w:tcW w:w="3987" w:type="pct"/>
            <w:noWrap w:val="0"/>
            <w:vAlign w:val="center"/>
          </w:tcPr>
          <w:p w14:paraId="5909CAD9">
            <w:pPr>
              <w:autoSpaceDE w:val="0"/>
              <w:autoSpaceDN w:val="0"/>
              <w:spacing w:line="440" w:lineRule="exact"/>
              <w:rPr>
                <w:rFonts w:hint="eastAsia" w:ascii="宋体" w:hAnsi="宋体" w:cs="宋体"/>
                <w:color w:val="auto"/>
                <w:kern w:val="0"/>
                <w:sz w:val="24"/>
                <w:highlight w:val="none"/>
                <w:lang w:eastAsia="zh-CN"/>
              </w:rPr>
            </w:pPr>
            <w:r>
              <w:rPr>
                <w:rFonts w:hint="eastAsia" w:ascii="宋体" w:hAnsi="宋体" w:cs="宋体"/>
                <w:color w:val="auto"/>
                <w:kern w:val="0"/>
                <w:sz w:val="24"/>
                <w:highlight w:val="none"/>
                <w:lang w:eastAsia="zh-CN"/>
              </w:rPr>
              <w:t>满足招标文件要求且报价最低的报价为评标基准价，其价格分为满分。其他投标人的价格分统一按照下列公式计算：价格分得分＝（评标基准价/报价）×分值。</w:t>
            </w:r>
          </w:p>
          <w:p w14:paraId="017F2F48">
            <w:pPr>
              <w:autoSpaceDE w:val="0"/>
              <w:autoSpaceDN w:val="0"/>
              <w:spacing w:line="440" w:lineRule="exact"/>
              <w:rPr>
                <w:rFonts w:hint="eastAsia" w:ascii="宋体" w:hAnsi="宋体" w:cs="宋体"/>
                <w:color w:val="auto"/>
                <w:kern w:val="0"/>
                <w:sz w:val="24"/>
                <w:highlight w:val="none"/>
              </w:rPr>
            </w:pPr>
            <w:r>
              <w:rPr>
                <w:rFonts w:hint="eastAsia" w:ascii="宋体" w:hAnsi="宋体" w:eastAsia="宋体" w:cs="宋体"/>
                <w:b/>
                <w:bCs/>
                <w:color w:val="auto"/>
                <w:sz w:val="24"/>
                <w:szCs w:val="24"/>
                <w:highlight w:val="none"/>
                <w:lang w:val="en-US" w:eastAsia="zh-CN"/>
              </w:rPr>
              <w:t>注：此处投标报价指经过报价修正，及因落实政府采购政策进行价格调整后的报价。</w:t>
            </w:r>
          </w:p>
        </w:tc>
      </w:tr>
      <w:tr w14:paraId="764181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5000" w:type="pct"/>
            <w:gridSpan w:val="4"/>
            <w:noWrap w:val="0"/>
            <w:vAlign w:val="center"/>
          </w:tcPr>
          <w:p w14:paraId="0896CEAD">
            <w:pPr>
              <w:tabs>
                <w:tab w:val="left" w:pos="426"/>
              </w:tabs>
              <w:autoSpaceDE w:val="0"/>
              <w:autoSpaceDN w:val="0"/>
              <w:adjustRightInd w:val="0"/>
              <w:spacing w:line="360" w:lineRule="exact"/>
              <w:rPr>
                <w:rFonts w:hint="eastAsia" w:ascii="宋体" w:hAnsi="宋体" w:cs="宋体"/>
                <w:b/>
                <w:color w:val="auto"/>
                <w:kern w:val="0"/>
                <w:sz w:val="24"/>
                <w:highlight w:val="none"/>
              </w:rPr>
            </w:pPr>
            <w:r>
              <w:rPr>
                <w:rFonts w:hint="eastAsia" w:ascii="宋体" w:hAnsi="宋体" w:cs="宋体"/>
                <w:b/>
                <w:color w:val="auto"/>
                <w:kern w:val="0"/>
                <w:sz w:val="24"/>
                <w:highlight w:val="none"/>
              </w:rPr>
              <w:t>二、客观分（</w:t>
            </w:r>
            <w:r>
              <w:rPr>
                <w:rFonts w:hint="eastAsia" w:ascii="宋体" w:hAnsi="宋体" w:cs="宋体"/>
                <w:b/>
                <w:color w:val="auto"/>
                <w:kern w:val="0"/>
                <w:sz w:val="24"/>
                <w:highlight w:val="none"/>
                <w:lang w:val="en-US" w:eastAsia="zh-CN"/>
              </w:rPr>
              <w:t>30</w:t>
            </w:r>
            <w:r>
              <w:rPr>
                <w:rFonts w:hint="eastAsia" w:ascii="宋体" w:hAnsi="宋体" w:cs="宋体"/>
                <w:b/>
                <w:color w:val="auto"/>
                <w:kern w:val="0"/>
                <w:sz w:val="24"/>
                <w:highlight w:val="none"/>
              </w:rPr>
              <w:t>分）</w:t>
            </w:r>
          </w:p>
        </w:tc>
      </w:tr>
      <w:tr w14:paraId="3D8494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280" w:type="pct"/>
            <w:noWrap w:val="0"/>
            <w:vAlign w:val="center"/>
          </w:tcPr>
          <w:p w14:paraId="64D60106">
            <w:pPr>
              <w:tabs>
                <w:tab w:val="left" w:pos="426"/>
              </w:tabs>
              <w:autoSpaceDE w:val="0"/>
              <w:autoSpaceDN w:val="0"/>
              <w:adjustRightIn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368" w:type="pct"/>
            <w:noWrap w:val="0"/>
            <w:vAlign w:val="center"/>
          </w:tcPr>
          <w:p w14:paraId="6CE8E844">
            <w:pPr>
              <w:spacing w:line="360" w:lineRule="auto"/>
              <w:jc w:val="center"/>
              <w:rPr>
                <w:rFonts w:hint="eastAsia" w:ascii="宋体" w:hAnsi="宋体" w:cs="宋体"/>
                <w:color w:val="auto"/>
                <w:kern w:val="2"/>
                <w:sz w:val="24"/>
                <w:szCs w:val="24"/>
                <w:highlight w:val="none"/>
                <w:lang w:val="en-US" w:eastAsia="zh-CN" w:bidi="ar-SA"/>
              </w:rPr>
            </w:pPr>
            <w:r>
              <w:rPr>
                <w:rFonts w:hint="eastAsia" w:ascii="宋体" w:hAnsi="宋体"/>
                <w:color w:val="auto"/>
                <w:spacing w:val="2"/>
                <w:sz w:val="24"/>
                <w:szCs w:val="24"/>
                <w:highlight w:val="none"/>
              </w:rPr>
              <w:t>业绩</w:t>
            </w:r>
          </w:p>
        </w:tc>
        <w:tc>
          <w:tcPr>
            <w:tcW w:w="363" w:type="pct"/>
            <w:noWrap w:val="0"/>
            <w:vAlign w:val="center"/>
          </w:tcPr>
          <w:p w14:paraId="12263EA3">
            <w:pPr>
              <w:tabs>
                <w:tab w:val="left" w:pos="426"/>
              </w:tabs>
              <w:autoSpaceDE w:val="0"/>
              <w:autoSpaceDN w:val="0"/>
              <w:adjustRightInd w:val="0"/>
              <w:spacing w:line="360" w:lineRule="exact"/>
              <w:jc w:val="center"/>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lang w:val="en-US" w:eastAsia="zh-CN"/>
              </w:rPr>
              <w:t>20</w:t>
            </w:r>
          </w:p>
        </w:tc>
        <w:tc>
          <w:tcPr>
            <w:tcW w:w="3987" w:type="pct"/>
            <w:noWrap w:val="0"/>
            <w:vAlign w:val="center"/>
          </w:tcPr>
          <w:p w14:paraId="1129426A">
            <w:pPr>
              <w:adjustRightInd w:val="0"/>
              <w:snapToGri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投标人</w:t>
            </w:r>
            <w:r>
              <w:rPr>
                <w:rFonts w:hint="eastAsia" w:ascii="宋体" w:hAnsi="宋体" w:eastAsia="宋体" w:cs="宋体"/>
                <w:color w:val="auto"/>
                <w:kern w:val="0"/>
                <w:sz w:val="24"/>
                <w:highlight w:val="none"/>
                <w:lang w:val="en-US" w:eastAsia="zh-CN"/>
              </w:rPr>
              <w:t>自202</w:t>
            </w:r>
            <w:r>
              <w:rPr>
                <w:rFonts w:hint="eastAsia" w:ascii="宋体" w:hAnsi="宋体" w:cs="宋体"/>
                <w:color w:val="auto"/>
                <w:kern w:val="0"/>
                <w:sz w:val="24"/>
                <w:highlight w:val="none"/>
                <w:lang w:val="en-US" w:eastAsia="zh-CN"/>
              </w:rPr>
              <w:t>3</w:t>
            </w:r>
            <w:r>
              <w:rPr>
                <w:rFonts w:hint="eastAsia" w:ascii="宋体" w:hAnsi="宋体" w:eastAsia="宋体" w:cs="宋体"/>
                <w:color w:val="auto"/>
                <w:kern w:val="0"/>
                <w:sz w:val="24"/>
                <w:highlight w:val="none"/>
                <w:lang w:val="en-US" w:eastAsia="zh-CN"/>
              </w:rPr>
              <w:t>年1月1日以来</w:t>
            </w:r>
            <w:r>
              <w:rPr>
                <w:rFonts w:hint="eastAsia" w:ascii="宋体" w:hAnsi="宋体" w:eastAsia="宋体" w:cs="宋体"/>
                <w:color w:val="auto"/>
                <w:kern w:val="0"/>
                <w:sz w:val="24"/>
                <w:highlight w:val="none"/>
                <w:lang w:val="zh-CN"/>
              </w:rPr>
              <w:t>（时间以合同签订时间为准）承担过类似项目的，</w:t>
            </w:r>
            <w:r>
              <w:rPr>
                <w:rFonts w:hint="eastAsia" w:ascii="宋体" w:hAnsi="宋体" w:eastAsia="宋体" w:cs="宋体"/>
                <w:color w:val="auto"/>
                <w:kern w:val="0"/>
                <w:sz w:val="24"/>
                <w:highlight w:val="none"/>
                <w:lang w:val="en-US" w:eastAsia="zh-CN"/>
              </w:rPr>
              <w:t>每提供一份合同</w:t>
            </w:r>
            <w:r>
              <w:rPr>
                <w:rFonts w:hint="eastAsia" w:ascii="宋体" w:hAnsi="宋体" w:eastAsia="宋体" w:cs="宋体"/>
                <w:color w:val="auto"/>
                <w:kern w:val="0"/>
                <w:sz w:val="24"/>
                <w:highlight w:val="none"/>
                <w:lang w:val="zh-CN"/>
              </w:rPr>
              <w:t>得</w:t>
            </w:r>
            <w:r>
              <w:rPr>
                <w:rFonts w:hint="eastAsia" w:ascii="宋体" w:hAnsi="宋体" w:eastAsia="宋体" w:cs="宋体"/>
                <w:color w:val="auto"/>
                <w:kern w:val="0"/>
                <w:sz w:val="24"/>
                <w:highlight w:val="none"/>
                <w:lang w:val="en-US" w:eastAsia="zh-CN"/>
              </w:rPr>
              <w:t>5</w:t>
            </w:r>
            <w:r>
              <w:rPr>
                <w:rFonts w:hint="eastAsia" w:ascii="宋体" w:hAnsi="宋体" w:eastAsia="宋体" w:cs="宋体"/>
                <w:color w:val="auto"/>
                <w:kern w:val="0"/>
                <w:sz w:val="24"/>
                <w:highlight w:val="none"/>
                <w:lang w:val="zh-CN"/>
              </w:rPr>
              <w:t>分,最高</w:t>
            </w:r>
            <w:r>
              <w:rPr>
                <w:rFonts w:hint="eastAsia" w:ascii="宋体" w:hAnsi="宋体" w:eastAsia="宋体" w:cs="宋体"/>
                <w:color w:val="auto"/>
                <w:kern w:val="0"/>
                <w:sz w:val="24"/>
                <w:highlight w:val="none"/>
                <w:lang w:val="en-US" w:eastAsia="zh-CN"/>
              </w:rPr>
              <w:t>得</w:t>
            </w:r>
            <w:r>
              <w:rPr>
                <w:rFonts w:hint="eastAsia" w:ascii="宋体" w:hAnsi="宋体" w:cs="宋体"/>
                <w:color w:val="auto"/>
                <w:kern w:val="0"/>
                <w:sz w:val="24"/>
                <w:highlight w:val="none"/>
                <w:lang w:val="en-US" w:eastAsia="zh-CN"/>
              </w:rPr>
              <w:t>2</w:t>
            </w:r>
            <w:r>
              <w:rPr>
                <w:rFonts w:hint="eastAsia" w:ascii="宋体" w:hAnsi="宋体" w:eastAsia="宋体" w:cs="宋体"/>
                <w:color w:val="auto"/>
                <w:kern w:val="0"/>
                <w:sz w:val="24"/>
                <w:highlight w:val="none"/>
                <w:lang w:val="en-US" w:eastAsia="zh-CN"/>
              </w:rPr>
              <w:t>0</w:t>
            </w:r>
            <w:r>
              <w:rPr>
                <w:rFonts w:hint="eastAsia" w:ascii="宋体" w:hAnsi="宋体" w:eastAsia="宋体" w:cs="宋体"/>
                <w:color w:val="auto"/>
                <w:kern w:val="0"/>
                <w:sz w:val="24"/>
                <w:highlight w:val="none"/>
                <w:lang w:val="zh-CN"/>
              </w:rPr>
              <w:t>分。</w:t>
            </w:r>
          </w:p>
          <w:p w14:paraId="63884805">
            <w:pPr>
              <w:adjustRightInd w:val="0"/>
              <w:snapToGrid w:val="0"/>
              <w:spacing w:line="360" w:lineRule="exact"/>
              <w:rPr>
                <w:rFonts w:hint="eastAsia" w:ascii="宋体" w:hAnsi="宋体" w:cs="宋体"/>
                <w:color w:val="auto"/>
                <w:kern w:val="0"/>
                <w:sz w:val="24"/>
                <w:szCs w:val="24"/>
                <w:highlight w:val="none"/>
                <w:lang w:val="zh-CN" w:eastAsia="zh-CN" w:bidi="ar-SA"/>
              </w:rPr>
            </w:pPr>
            <w:r>
              <w:rPr>
                <w:rFonts w:hint="eastAsia" w:ascii="宋体" w:hAnsi="宋体" w:eastAsia="宋体" w:cs="宋体"/>
                <w:b/>
                <w:bCs/>
                <w:color w:val="auto"/>
                <w:kern w:val="0"/>
                <w:sz w:val="24"/>
                <w:highlight w:val="none"/>
                <w:lang w:val="zh-CN"/>
              </w:rPr>
              <w:t>注：</w:t>
            </w:r>
            <w:r>
              <w:rPr>
                <w:rFonts w:hint="eastAsia" w:ascii="宋体" w:hAnsi="宋体" w:eastAsia="宋体" w:cs="宋体"/>
                <w:b/>
                <w:bCs/>
                <w:color w:val="auto"/>
                <w:kern w:val="0"/>
                <w:sz w:val="24"/>
                <w:highlight w:val="none"/>
                <w:lang w:val="en-US" w:eastAsia="zh-CN"/>
              </w:rPr>
              <w:t>投标文件中</w:t>
            </w:r>
            <w:r>
              <w:rPr>
                <w:rFonts w:hint="eastAsia" w:ascii="宋体" w:hAnsi="宋体" w:eastAsia="宋体" w:cs="宋体"/>
                <w:b/>
                <w:bCs/>
                <w:color w:val="auto"/>
                <w:kern w:val="0"/>
                <w:sz w:val="24"/>
                <w:highlight w:val="none"/>
                <w:lang w:val="zh-CN"/>
              </w:rPr>
              <w:t>提供合同</w:t>
            </w:r>
            <w:r>
              <w:rPr>
                <w:rFonts w:hint="eastAsia" w:ascii="宋体" w:hAnsi="宋体" w:eastAsia="宋体" w:cs="宋体"/>
                <w:b/>
                <w:bCs/>
                <w:color w:val="auto"/>
                <w:kern w:val="0"/>
                <w:sz w:val="24"/>
                <w:highlight w:val="none"/>
                <w:lang w:val="en-US" w:eastAsia="zh-CN"/>
              </w:rPr>
              <w:t>并加盖投标人公章，否则不得分。</w:t>
            </w:r>
          </w:p>
        </w:tc>
      </w:tr>
      <w:tr w14:paraId="016F87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280" w:type="pct"/>
            <w:noWrap w:val="0"/>
            <w:vAlign w:val="center"/>
          </w:tcPr>
          <w:p w14:paraId="730811C0">
            <w:pPr>
              <w:tabs>
                <w:tab w:val="left" w:pos="426"/>
              </w:tabs>
              <w:autoSpaceDE w:val="0"/>
              <w:autoSpaceDN w:val="0"/>
              <w:adjustRightInd w:val="0"/>
              <w:spacing w:line="360" w:lineRule="exact"/>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lang w:val="en-US" w:eastAsia="zh-CN"/>
              </w:rPr>
              <w:t>2</w:t>
            </w:r>
          </w:p>
        </w:tc>
        <w:tc>
          <w:tcPr>
            <w:tcW w:w="368" w:type="pct"/>
            <w:noWrap w:val="0"/>
            <w:vAlign w:val="center"/>
          </w:tcPr>
          <w:p w14:paraId="420D0FE0">
            <w:pPr>
              <w:spacing w:line="360" w:lineRule="auto"/>
              <w:jc w:val="center"/>
              <w:rPr>
                <w:rFonts w:hint="default" w:ascii="宋体" w:hAnsi="宋体" w:eastAsia="宋体" w:cs="宋体"/>
                <w:color w:val="auto"/>
                <w:kern w:val="2"/>
                <w:sz w:val="24"/>
                <w:szCs w:val="24"/>
                <w:highlight w:val="none"/>
                <w:lang w:val="en-US" w:eastAsia="zh-CN" w:bidi="ar-SA"/>
              </w:rPr>
            </w:pPr>
            <w:r>
              <w:rPr>
                <w:rFonts w:hint="eastAsia" w:ascii="宋体" w:hAnsi="宋体"/>
                <w:color w:val="auto"/>
                <w:spacing w:val="2"/>
                <w:sz w:val="24"/>
                <w:szCs w:val="24"/>
                <w:highlight w:val="none"/>
              </w:rPr>
              <w:t>车辆配置</w:t>
            </w:r>
          </w:p>
        </w:tc>
        <w:tc>
          <w:tcPr>
            <w:tcW w:w="363" w:type="pct"/>
            <w:noWrap w:val="0"/>
            <w:vAlign w:val="center"/>
          </w:tcPr>
          <w:p w14:paraId="6F0AD7AE">
            <w:pPr>
              <w:tabs>
                <w:tab w:val="left" w:pos="426"/>
              </w:tabs>
              <w:autoSpaceDE w:val="0"/>
              <w:autoSpaceDN w:val="0"/>
              <w:adjustRightInd w:val="0"/>
              <w:spacing w:line="360" w:lineRule="exact"/>
              <w:jc w:val="center"/>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lang w:val="en-US" w:eastAsia="zh-CN"/>
              </w:rPr>
              <w:t>10</w:t>
            </w:r>
          </w:p>
        </w:tc>
        <w:tc>
          <w:tcPr>
            <w:tcW w:w="3987" w:type="pct"/>
            <w:noWrap w:val="0"/>
            <w:vAlign w:val="center"/>
          </w:tcPr>
          <w:p w14:paraId="40548AF3">
            <w:pPr>
              <w:adjustRightInd w:val="0"/>
              <w:snapToGri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投标人自有运输车辆的（行驶证登记的所有人需与投标人名称一致），有一辆得5分，最高得10分。</w:t>
            </w:r>
          </w:p>
          <w:p w14:paraId="3CFE0E7C">
            <w:pPr>
              <w:adjustRightInd w:val="0"/>
              <w:snapToGrid w:val="0"/>
              <w:spacing w:line="360" w:lineRule="exact"/>
              <w:rPr>
                <w:rFonts w:hint="eastAsia" w:ascii="宋体" w:hAnsi="宋体" w:cs="宋体"/>
                <w:b/>
                <w:bCs/>
                <w:color w:val="auto"/>
                <w:kern w:val="0"/>
                <w:sz w:val="24"/>
                <w:szCs w:val="24"/>
                <w:highlight w:val="none"/>
                <w:lang w:val="zh-CN" w:eastAsia="zh-CN" w:bidi="ar-SA"/>
              </w:rPr>
            </w:pPr>
            <w:r>
              <w:rPr>
                <w:rFonts w:hint="eastAsia" w:ascii="宋体" w:hAnsi="宋体" w:eastAsia="宋体" w:cs="宋体"/>
                <w:b/>
                <w:bCs/>
                <w:color w:val="auto"/>
                <w:kern w:val="0"/>
                <w:sz w:val="24"/>
                <w:highlight w:val="none"/>
                <w:lang w:val="zh-CN"/>
              </w:rPr>
              <w:t>注：</w:t>
            </w:r>
            <w:r>
              <w:rPr>
                <w:rFonts w:hint="eastAsia" w:ascii="宋体" w:hAnsi="宋体" w:eastAsia="宋体" w:cs="宋体"/>
                <w:b/>
                <w:bCs/>
                <w:color w:val="auto"/>
                <w:kern w:val="0"/>
                <w:sz w:val="24"/>
                <w:highlight w:val="none"/>
                <w:lang w:val="en-US" w:eastAsia="zh-CN"/>
              </w:rPr>
              <w:t>投标文件中</w:t>
            </w:r>
            <w:r>
              <w:rPr>
                <w:rFonts w:hint="eastAsia" w:ascii="宋体" w:hAnsi="宋体" w:eastAsia="宋体" w:cs="宋体"/>
                <w:b/>
                <w:bCs/>
                <w:color w:val="auto"/>
                <w:kern w:val="0"/>
                <w:sz w:val="24"/>
                <w:highlight w:val="none"/>
                <w:lang w:val="zh-CN"/>
              </w:rPr>
              <w:t>提供行驶证</w:t>
            </w:r>
            <w:r>
              <w:rPr>
                <w:rFonts w:hint="eastAsia" w:ascii="宋体" w:hAnsi="宋体" w:eastAsia="宋体" w:cs="宋体"/>
                <w:b/>
                <w:bCs/>
                <w:color w:val="auto"/>
                <w:kern w:val="0"/>
                <w:sz w:val="24"/>
                <w:highlight w:val="none"/>
                <w:lang w:val="en-US" w:eastAsia="zh-CN"/>
              </w:rPr>
              <w:t>并加盖投标人公章，否则不得分。</w:t>
            </w:r>
          </w:p>
        </w:tc>
      </w:tr>
      <w:tr w14:paraId="6DF07C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5000" w:type="pct"/>
            <w:gridSpan w:val="4"/>
            <w:noWrap w:val="0"/>
            <w:vAlign w:val="center"/>
          </w:tcPr>
          <w:p w14:paraId="4AD623CF">
            <w:pPr>
              <w:tabs>
                <w:tab w:val="left" w:pos="426"/>
              </w:tabs>
              <w:autoSpaceDE w:val="0"/>
              <w:autoSpaceDN w:val="0"/>
              <w:adjustRightInd w:val="0"/>
              <w:spacing w:line="360" w:lineRule="exact"/>
              <w:rPr>
                <w:rFonts w:hint="eastAsia" w:ascii="宋体" w:hAnsi="宋体" w:cs="宋体"/>
                <w:b/>
                <w:color w:val="auto"/>
                <w:kern w:val="0"/>
                <w:sz w:val="24"/>
                <w:highlight w:val="none"/>
              </w:rPr>
            </w:pPr>
            <w:r>
              <w:rPr>
                <w:rFonts w:hint="eastAsia" w:ascii="宋体" w:hAnsi="宋体" w:cs="宋体"/>
                <w:b/>
                <w:color w:val="auto"/>
                <w:kern w:val="0"/>
                <w:sz w:val="24"/>
                <w:highlight w:val="none"/>
              </w:rPr>
              <w:t>三、主观分（</w:t>
            </w:r>
            <w:r>
              <w:rPr>
                <w:rFonts w:hint="eastAsia" w:ascii="宋体" w:hAnsi="宋体" w:cs="宋体"/>
                <w:b/>
                <w:color w:val="auto"/>
                <w:kern w:val="0"/>
                <w:sz w:val="24"/>
                <w:highlight w:val="none"/>
                <w:lang w:val="en-US" w:eastAsia="zh-CN"/>
              </w:rPr>
              <w:t>50</w:t>
            </w:r>
            <w:r>
              <w:rPr>
                <w:rFonts w:hint="eastAsia" w:ascii="宋体" w:hAnsi="宋体" w:cs="宋体"/>
                <w:b/>
                <w:color w:val="auto"/>
                <w:kern w:val="0"/>
                <w:sz w:val="24"/>
                <w:highlight w:val="none"/>
              </w:rPr>
              <w:t>分）</w:t>
            </w:r>
          </w:p>
        </w:tc>
      </w:tr>
      <w:tr w14:paraId="3596ED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280" w:type="pct"/>
            <w:noWrap w:val="0"/>
            <w:vAlign w:val="center"/>
          </w:tcPr>
          <w:p w14:paraId="10FC166D">
            <w:pPr>
              <w:tabs>
                <w:tab w:val="left" w:pos="426"/>
              </w:tabs>
              <w:autoSpaceDE w:val="0"/>
              <w:autoSpaceDN w:val="0"/>
              <w:adjustRightIn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368" w:type="pct"/>
            <w:noWrap w:val="0"/>
            <w:vAlign w:val="center"/>
          </w:tcPr>
          <w:p w14:paraId="42D3EC8A">
            <w:pPr>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color w:val="auto"/>
                <w:spacing w:val="2"/>
                <w:sz w:val="24"/>
                <w:szCs w:val="24"/>
                <w:highlight w:val="none"/>
              </w:rPr>
              <w:t>整体实施方案</w:t>
            </w:r>
          </w:p>
        </w:tc>
        <w:tc>
          <w:tcPr>
            <w:tcW w:w="363" w:type="pct"/>
            <w:noWrap w:val="0"/>
            <w:vAlign w:val="center"/>
          </w:tcPr>
          <w:p w14:paraId="2082E952">
            <w:pPr>
              <w:tabs>
                <w:tab w:val="left" w:pos="426"/>
              </w:tabs>
              <w:autoSpaceDE w:val="0"/>
              <w:autoSpaceDN w:val="0"/>
              <w:adjustRightInd w:val="0"/>
              <w:spacing w:line="360" w:lineRule="exact"/>
              <w:jc w:val="center"/>
              <w:rPr>
                <w:rFonts w:hint="default" w:ascii="宋体" w:hAnsi="宋体" w:eastAsia="宋体" w:cs="宋体"/>
                <w:color w:val="auto"/>
                <w:sz w:val="24"/>
                <w:highlight w:val="none"/>
                <w:lang w:val="en-US" w:eastAsia="zh-CN"/>
              </w:rPr>
            </w:pPr>
            <w:r>
              <w:rPr>
                <w:rFonts w:hint="eastAsia" w:ascii="宋体" w:hAnsi="宋体" w:eastAsia="宋体" w:cs="宋体"/>
                <w:color w:val="auto"/>
                <w:kern w:val="2"/>
                <w:sz w:val="24"/>
                <w:highlight w:val="none"/>
                <w:lang w:val="en-US" w:eastAsia="zh-CN"/>
              </w:rPr>
              <w:t>10</w:t>
            </w:r>
          </w:p>
        </w:tc>
        <w:tc>
          <w:tcPr>
            <w:tcW w:w="3987" w:type="pct"/>
            <w:noWrap w:val="0"/>
            <w:vAlign w:val="top"/>
          </w:tcPr>
          <w:p w14:paraId="0FB57DA2">
            <w:pPr>
              <w:tabs>
                <w:tab w:val="left" w:pos="426"/>
              </w:tabs>
              <w:autoSpaceDE w:val="0"/>
              <w:autoSpaceDN w:val="0"/>
              <w:adjustRightInd w:val="0"/>
              <w:spacing w:line="360" w:lineRule="exac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评标委员会根据投标人提供的</w:t>
            </w:r>
            <w:r>
              <w:rPr>
                <w:rFonts w:hint="eastAsia" w:ascii="宋体" w:hAnsi="宋体" w:cs="宋体"/>
                <w:bCs/>
                <w:color w:val="auto"/>
                <w:kern w:val="0"/>
                <w:sz w:val="24"/>
                <w:highlight w:val="none"/>
                <w:lang w:eastAsia="zh-CN"/>
              </w:rPr>
              <w:t>整体实施方案</w:t>
            </w:r>
            <w:r>
              <w:rPr>
                <w:rFonts w:hint="eastAsia" w:ascii="宋体" w:hAnsi="宋体" w:cs="宋体"/>
                <w:color w:val="auto"/>
                <w:kern w:val="0"/>
                <w:sz w:val="24"/>
                <w:highlight w:val="none"/>
                <w:lang w:val="zh-CN"/>
              </w:rPr>
              <w:t>进行综合评审。</w:t>
            </w:r>
          </w:p>
          <w:p w14:paraId="53F4B265">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1）内容完整覆盖院内分类收集、密闭转运、暂存点管理、交接登记、最终处置全流程；专项包含‌院内转运路线规划、感染性医疗废物专区处置、暂存点定时消杀、新冠/特殊感染废物专项处理‌4项，方案贴合医院实际场景，落地性强，得10分；</w:t>
            </w:r>
          </w:p>
          <w:p w14:paraId="1276D8F7">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（2）覆盖全流程核心环节，包含2-3项医院特有要求，方案贴合项目基本要求，无明显遗漏，得8分；</w:t>
            </w:r>
          </w:p>
          <w:p w14:paraId="69A760B7">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（3）框架完整，仅包含1项医院特有要求，内容深度不足，部分细节规划笼统，满足基础实施要求，得6分；</w:t>
            </w:r>
          </w:p>
          <w:p w14:paraId="0DC55C68">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（4）</w:t>
            </w:r>
            <w:r>
              <w:rPr>
                <w:rFonts w:ascii="Arial" w:hAnsi="Arial" w:eastAsia="Arial" w:cs="Arial"/>
                <w:i w:val="0"/>
                <w:iCs w:val="0"/>
                <w:caps w:val="0"/>
                <w:color w:val="auto"/>
                <w:spacing w:val="0"/>
                <w:sz w:val="24"/>
                <w:szCs w:val="24"/>
                <w:highlight w:val="none"/>
                <w:shd w:val="clear" w:fill="FFFFFF"/>
              </w:rPr>
              <w:t>内容单薄，未结合医院项目设计，仅通用模板，适配度低，无法支撑项目落地</w:t>
            </w:r>
            <w:r>
              <w:rPr>
                <w:rFonts w:hint="eastAsia" w:ascii="宋体" w:hAnsi="宋体" w:eastAsia="宋体" w:cs="宋体"/>
                <w:color w:val="auto"/>
                <w:kern w:val="0"/>
                <w:sz w:val="24"/>
                <w:highlight w:val="none"/>
                <w:lang w:val="zh-CN"/>
              </w:rPr>
              <w:t>，得4分；</w:t>
            </w:r>
          </w:p>
          <w:p w14:paraId="66BD46AE">
            <w:pPr>
              <w:tabs>
                <w:tab w:val="left" w:pos="426"/>
              </w:tabs>
              <w:autoSpaceDE w:val="0"/>
              <w:autoSpaceDN w:val="0"/>
              <w:adjustRightInd w:val="0"/>
              <w:spacing w:line="360" w:lineRule="exact"/>
              <w:rPr>
                <w:rFonts w:hint="eastAsia" w:ascii="宋体" w:hAnsi="宋体" w:cs="宋体"/>
                <w:color w:val="auto"/>
                <w:kern w:val="0"/>
                <w:sz w:val="24"/>
                <w:highlight w:val="none"/>
                <w:lang w:val="zh-CN"/>
              </w:rPr>
            </w:pPr>
            <w:r>
              <w:rPr>
                <w:rFonts w:hint="eastAsia" w:ascii="宋体" w:hAnsi="宋体" w:eastAsia="宋体" w:cs="宋体"/>
                <w:color w:val="auto"/>
                <w:kern w:val="0"/>
                <w:sz w:val="24"/>
                <w:highlight w:val="none"/>
                <w:lang w:val="zh-CN"/>
              </w:rPr>
              <w:t>（5）未提供的不得分。</w:t>
            </w:r>
          </w:p>
        </w:tc>
      </w:tr>
      <w:tr w14:paraId="6D2F2C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280" w:type="pct"/>
            <w:noWrap w:val="0"/>
            <w:vAlign w:val="center"/>
          </w:tcPr>
          <w:p w14:paraId="703065BC">
            <w:pPr>
              <w:tabs>
                <w:tab w:val="left" w:pos="426"/>
              </w:tabs>
              <w:autoSpaceDE w:val="0"/>
              <w:autoSpaceDN w:val="0"/>
              <w:adjustRightIn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2</w:t>
            </w:r>
          </w:p>
        </w:tc>
        <w:tc>
          <w:tcPr>
            <w:tcW w:w="368" w:type="pct"/>
            <w:noWrap w:val="0"/>
            <w:vAlign w:val="center"/>
          </w:tcPr>
          <w:p w14:paraId="2230271A">
            <w:pPr>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color w:val="auto"/>
                <w:spacing w:val="2"/>
                <w:sz w:val="24"/>
                <w:szCs w:val="24"/>
                <w:highlight w:val="none"/>
              </w:rPr>
              <w:t>全流程质量管理方案</w:t>
            </w:r>
          </w:p>
        </w:tc>
        <w:tc>
          <w:tcPr>
            <w:tcW w:w="363" w:type="pct"/>
            <w:noWrap w:val="0"/>
            <w:vAlign w:val="center"/>
          </w:tcPr>
          <w:p w14:paraId="370468E1">
            <w:pPr>
              <w:tabs>
                <w:tab w:val="left" w:pos="426"/>
              </w:tabs>
              <w:autoSpaceDE w:val="0"/>
              <w:autoSpaceDN w:val="0"/>
              <w:adjustRightInd w:val="0"/>
              <w:spacing w:line="360" w:lineRule="exact"/>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10</w:t>
            </w:r>
          </w:p>
        </w:tc>
        <w:tc>
          <w:tcPr>
            <w:tcW w:w="3987" w:type="pct"/>
            <w:noWrap w:val="0"/>
            <w:vAlign w:val="top"/>
          </w:tcPr>
          <w:p w14:paraId="5235DC07">
            <w:pPr>
              <w:tabs>
                <w:tab w:val="left" w:pos="426"/>
              </w:tabs>
              <w:autoSpaceDE w:val="0"/>
              <w:autoSpaceDN w:val="0"/>
              <w:adjustRightInd w:val="0"/>
              <w:spacing w:line="360" w:lineRule="exac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评标委员会根据投标人提供的</w:t>
            </w:r>
            <w:r>
              <w:rPr>
                <w:rFonts w:hint="eastAsia" w:ascii="宋体" w:hAnsi="宋体"/>
                <w:color w:val="auto"/>
                <w:spacing w:val="2"/>
                <w:sz w:val="24"/>
                <w:szCs w:val="24"/>
                <w:highlight w:val="none"/>
              </w:rPr>
              <w:t>全流程质量管理方案</w:t>
            </w:r>
            <w:r>
              <w:rPr>
                <w:rFonts w:hint="eastAsia" w:ascii="宋体" w:hAnsi="宋体" w:cs="宋体"/>
                <w:color w:val="auto"/>
                <w:kern w:val="0"/>
                <w:sz w:val="24"/>
                <w:highlight w:val="none"/>
                <w:lang w:val="zh-CN"/>
              </w:rPr>
              <w:t>进行综合评审。</w:t>
            </w:r>
          </w:p>
          <w:p w14:paraId="715BE96D">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1）质量管控体系覆盖收集-转运-暂存-交接全流程，包含‌收集桶消毒、人员防护、转移联单管理、漏洒防控‌4项核心管控内容，管控标准符合《医疗废物管理条例》《医疗卫生机构医疗废物管理办法》要求，可全环节把控质量，得10分；</w:t>
            </w:r>
          </w:p>
          <w:p w14:paraId="525EC985">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（2）</w:t>
            </w:r>
            <w:r>
              <w:rPr>
                <w:rFonts w:ascii="Arial" w:hAnsi="Arial" w:eastAsia="Arial" w:cs="Arial"/>
                <w:i w:val="0"/>
                <w:iCs w:val="0"/>
                <w:caps w:val="0"/>
                <w:color w:val="auto"/>
                <w:spacing w:val="0"/>
                <w:sz w:val="24"/>
                <w:szCs w:val="24"/>
                <w:highlight w:val="none"/>
                <w:shd w:val="clear" w:fill="FFFFFF"/>
              </w:rPr>
              <w:t>覆盖核心管控环节，包含2-3项核心管控内容，符合行业基础质量标准，可规避常见质量问题</w:t>
            </w:r>
            <w:r>
              <w:rPr>
                <w:rFonts w:hint="eastAsia" w:ascii="宋体" w:hAnsi="宋体" w:eastAsia="宋体" w:cs="宋体"/>
                <w:color w:val="auto"/>
                <w:kern w:val="0"/>
                <w:sz w:val="24"/>
                <w:highlight w:val="none"/>
                <w:lang w:val="zh-CN"/>
              </w:rPr>
              <w:t>，得8分；</w:t>
            </w:r>
          </w:p>
          <w:p w14:paraId="7AE66C99">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（3）</w:t>
            </w:r>
            <w:r>
              <w:rPr>
                <w:rFonts w:ascii="Arial" w:hAnsi="Arial" w:eastAsia="Arial" w:cs="Arial"/>
                <w:i w:val="0"/>
                <w:iCs w:val="0"/>
                <w:caps w:val="0"/>
                <w:color w:val="auto"/>
                <w:spacing w:val="0"/>
                <w:sz w:val="24"/>
                <w:szCs w:val="24"/>
                <w:highlight w:val="none"/>
                <w:shd w:val="clear" w:fill="FFFFFF"/>
              </w:rPr>
              <w:t>框架完整，包含1项核心管控内容，管控内容笼统，仅满足基础质量管控要求</w:t>
            </w:r>
            <w:r>
              <w:rPr>
                <w:rFonts w:hint="eastAsia" w:ascii="宋体" w:hAnsi="宋体" w:eastAsia="宋体" w:cs="宋体"/>
                <w:color w:val="auto"/>
                <w:kern w:val="0"/>
                <w:sz w:val="24"/>
                <w:highlight w:val="none"/>
                <w:lang w:val="zh-CN"/>
              </w:rPr>
              <w:t>，得6分；</w:t>
            </w:r>
          </w:p>
          <w:p w14:paraId="511ABA3E">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（4）</w:t>
            </w:r>
            <w:r>
              <w:rPr>
                <w:rFonts w:ascii="Arial" w:hAnsi="Arial" w:eastAsia="Arial" w:cs="Arial"/>
                <w:i w:val="0"/>
                <w:iCs w:val="0"/>
                <w:caps w:val="0"/>
                <w:color w:val="auto"/>
                <w:spacing w:val="0"/>
                <w:sz w:val="24"/>
                <w:szCs w:val="24"/>
                <w:highlight w:val="none"/>
                <w:shd w:val="clear" w:fill="FFFFFF"/>
              </w:rPr>
              <w:t>体系不完整，无针对医疗废物的专项管控，管控流于形式，无法满足质量要求</w:t>
            </w:r>
            <w:r>
              <w:rPr>
                <w:rFonts w:hint="eastAsia" w:ascii="宋体" w:hAnsi="宋体" w:eastAsia="宋体" w:cs="宋体"/>
                <w:color w:val="auto"/>
                <w:kern w:val="0"/>
                <w:sz w:val="24"/>
                <w:highlight w:val="none"/>
                <w:lang w:val="zh-CN"/>
              </w:rPr>
              <w:t>，得4分；</w:t>
            </w:r>
          </w:p>
          <w:p w14:paraId="06D73F02">
            <w:pPr>
              <w:tabs>
                <w:tab w:val="left" w:pos="426"/>
              </w:tabs>
              <w:autoSpaceDE w:val="0"/>
              <w:autoSpaceDN w:val="0"/>
              <w:adjustRightInd w:val="0"/>
              <w:spacing w:line="360" w:lineRule="exact"/>
              <w:rPr>
                <w:rFonts w:hint="eastAsia" w:ascii="宋体" w:hAnsi="宋体" w:cs="宋体"/>
                <w:color w:val="auto"/>
                <w:kern w:val="0"/>
                <w:sz w:val="24"/>
                <w:highlight w:val="none"/>
                <w:lang w:val="zh-CN"/>
              </w:rPr>
            </w:pPr>
            <w:r>
              <w:rPr>
                <w:rFonts w:hint="eastAsia" w:ascii="宋体" w:hAnsi="宋体" w:eastAsia="宋体" w:cs="宋体"/>
                <w:color w:val="auto"/>
                <w:kern w:val="0"/>
                <w:sz w:val="24"/>
                <w:highlight w:val="none"/>
                <w:lang w:val="zh-CN"/>
              </w:rPr>
              <w:t>（5）未提供的不得分。</w:t>
            </w:r>
          </w:p>
        </w:tc>
      </w:tr>
      <w:tr w14:paraId="4E91E5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280" w:type="pct"/>
            <w:noWrap w:val="0"/>
            <w:vAlign w:val="center"/>
          </w:tcPr>
          <w:p w14:paraId="63F18EDE">
            <w:pPr>
              <w:tabs>
                <w:tab w:val="left" w:pos="426"/>
              </w:tabs>
              <w:autoSpaceDE w:val="0"/>
              <w:autoSpaceDN w:val="0"/>
              <w:adjustRightInd w:val="0"/>
              <w:spacing w:line="360" w:lineRule="exact"/>
              <w:jc w:val="center"/>
              <w:rPr>
                <w:rFonts w:hint="eastAsia" w:ascii="宋体" w:hAnsi="宋体" w:cs="宋体"/>
                <w:color w:val="auto"/>
                <w:sz w:val="24"/>
                <w:highlight w:val="none"/>
              </w:rPr>
            </w:pPr>
            <w:r>
              <w:rPr>
                <w:rFonts w:hint="eastAsia" w:ascii="宋体" w:hAnsi="宋体" w:cs="宋体"/>
                <w:color w:val="auto"/>
                <w:sz w:val="24"/>
                <w:highlight w:val="none"/>
              </w:rPr>
              <w:t>3</w:t>
            </w:r>
          </w:p>
        </w:tc>
        <w:tc>
          <w:tcPr>
            <w:tcW w:w="368" w:type="pct"/>
            <w:noWrap w:val="0"/>
            <w:vAlign w:val="center"/>
          </w:tcPr>
          <w:p w14:paraId="3D0AFF88">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default" w:ascii="宋体" w:hAnsi="宋体" w:eastAsia="宋体" w:cs="宋体"/>
                <w:color w:val="auto"/>
                <w:kern w:val="0"/>
                <w:sz w:val="24"/>
                <w:highlight w:val="none"/>
                <w:lang w:val="zh-CN"/>
              </w:rPr>
              <w:t>安全监测方案</w:t>
            </w:r>
          </w:p>
          <w:p w14:paraId="6B4526F1">
            <w:pPr>
              <w:spacing w:line="360" w:lineRule="auto"/>
              <w:jc w:val="center"/>
              <w:rPr>
                <w:rFonts w:hint="eastAsia" w:ascii="宋体" w:hAnsi="宋体" w:eastAsia="宋体" w:cs="宋体"/>
                <w:color w:val="auto"/>
                <w:kern w:val="2"/>
                <w:sz w:val="24"/>
                <w:szCs w:val="24"/>
                <w:highlight w:val="none"/>
                <w:lang w:val="en-US" w:eastAsia="zh-CN" w:bidi="ar-SA"/>
              </w:rPr>
            </w:pPr>
          </w:p>
        </w:tc>
        <w:tc>
          <w:tcPr>
            <w:tcW w:w="363" w:type="pct"/>
            <w:noWrap w:val="0"/>
            <w:vAlign w:val="center"/>
          </w:tcPr>
          <w:p w14:paraId="3FB59AB0">
            <w:pPr>
              <w:tabs>
                <w:tab w:val="left" w:pos="426"/>
              </w:tabs>
              <w:autoSpaceDE w:val="0"/>
              <w:autoSpaceDN w:val="0"/>
              <w:adjustRightInd w:val="0"/>
              <w:spacing w:line="360" w:lineRule="exact"/>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10</w:t>
            </w:r>
          </w:p>
        </w:tc>
        <w:tc>
          <w:tcPr>
            <w:tcW w:w="3987" w:type="pct"/>
            <w:noWrap w:val="0"/>
            <w:vAlign w:val="center"/>
          </w:tcPr>
          <w:p w14:paraId="4033232B">
            <w:pPr>
              <w:tabs>
                <w:tab w:val="left" w:pos="426"/>
              </w:tabs>
              <w:autoSpaceDE w:val="0"/>
              <w:autoSpaceDN w:val="0"/>
              <w:adjustRightInd w:val="0"/>
              <w:spacing w:line="360" w:lineRule="exac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评标委员会根据投标人提供的</w:t>
            </w:r>
            <w:r>
              <w:rPr>
                <w:rFonts w:hint="eastAsia" w:ascii="宋体" w:hAnsi="宋体" w:cs="宋体"/>
                <w:bCs/>
                <w:color w:val="auto"/>
                <w:kern w:val="0"/>
                <w:sz w:val="24"/>
                <w:highlight w:val="none"/>
                <w:lang w:eastAsia="zh-CN"/>
              </w:rPr>
              <w:t>安全监测方案</w:t>
            </w:r>
            <w:r>
              <w:rPr>
                <w:rFonts w:hint="eastAsia" w:ascii="宋体" w:hAnsi="宋体" w:cs="宋体"/>
                <w:color w:val="auto"/>
                <w:kern w:val="0"/>
                <w:sz w:val="24"/>
                <w:highlight w:val="none"/>
                <w:lang w:val="zh-CN"/>
              </w:rPr>
              <w:t>进行综合评审。</w:t>
            </w:r>
          </w:p>
          <w:p w14:paraId="634D45C8">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1）方案包含‌人员防护监测、暂存点环境监测、转运工具消毒监测、医疗废物泄漏防控监测‌4项专项监测内容，符合《医疗废物管理条例》安全要求，监测维度全覆盖、管控闭环，可全方位规避安全风险，得10分；</w:t>
            </w:r>
          </w:p>
          <w:p w14:paraId="3139A40D">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（2）方案包含2-3项专项监测内容，监测流程清晰，贴合项目基础安全标准，覆盖主要监测节点，满足常态化管控需求，得8分；</w:t>
            </w:r>
          </w:p>
          <w:p w14:paraId="744BE1B3">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（3）方案架构完整，仅包含1项专项监测内容，内容单薄，措施通用性强，仅满足常规监测要求，得6分；</w:t>
            </w:r>
          </w:p>
          <w:p w14:paraId="5528E50C">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（4）内容粗糙架构残缺，无针对性专项监测，无实际管控价值，得4分；</w:t>
            </w:r>
          </w:p>
          <w:p w14:paraId="0BB4B5CB">
            <w:pPr>
              <w:tabs>
                <w:tab w:val="left" w:pos="426"/>
              </w:tabs>
              <w:autoSpaceDE w:val="0"/>
              <w:autoSpaceDN w:val="0"/>
              <w:adjustRightInd w:val="0"/>
              <w:spacing w:line="360" w:lineRule="exact"/>
              <w:rPr>
                <w:rFonts w:hint="eastAsia" w:ascii="宋体" w:hAnsi="宋体" w:cs="宋体"/>
                <w:color w:val="auto"/>
                <w:sz w:val="24"/>
                <w:highlight w:val="none"/>
                <w:lang w:val="zh-CN"/>
              </w:rPr>
            </w:pPr>
            <w:r>
              <w:rPr>
                <w:rFonts w:hint="eastAsia" w:ascii="宋体" w:hAnsi="宋体" w:eastAsia="宋体" w:cs="宋体"/>
                <w:color w:val="auto"/>
                <w:kern w:val="0"/>
                <w:sz w:val="24"/>
                <w:highlight w:val="none"/>
                <w:lang w:val="zh-CN"/>
              </w:rPr>
              <w:t>（5）未提供的不得分。</w:t>
            </w:r>
          </w:p>
        </w:tc>
      </w:tr>
      <w:tr w14:paraId="5A06FC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280" w:type="pct"/>
            <w:noWrap w:val="0"/>
            <w:vAlign w:val="center"/>
          </w:tcPr>
          <w:p w14:paraId="53ECCF86">
            <w:pPr>
              <w:tabs>
                <w:tab w:val="left" w:pos="426"/>
              </w:tabs>
              <w:autoSpaceDE w:val="0"/>
              <w:autoSpaceDN w:val="0"/>
              <w:adjustRightInd w:val="0"/>
              <w:spacing w:line="360" w:lineRule="exact"/>
              <w:jc w:val="center"/>
              <w:rPr>
                <w:rFonts w:ascii="宋体" w:hAnsi="宋体" w:cs="宋体"/>
                <w:color w:val="auto"/>
                <w:sz w:val="24"/>
                <w:highlight w:val="none"/>
              </w:rPr>
            </w:pPr>
            <w:r>
              <w:rPr>
                <w:rFonts w:hint="eastAsia" w:ascii="宋体" w:hAnsi="宋体" w:cs="宋体"/>
                <w:color w:val="auto"/>
                <w:sz w:val="24"/>
                <w:highlight w:val="none"/>
              </w:rPr>
              <w:t>4</w:t>
            </w:r>
          </w:p>
        </w:tc>
        <w:tc>
          <w:tcPr>
            <w:tcW w:w="368" w:type="pct"/>
            <w:noWrap w:val="0"/>
            <w:vAlign w:val="center"/>
          </w:tcPr>
          <w:p w14:paraId="1FF56BC4">
            <w:pPr>
              <w:spacing w:line="360" w:lineRule="auto"/>
              <w:jc w:val="center"/>
              <w:rPr>
                <w:rFonts w:hint="eastAsia" w:ascii="宋体" w:hAnsi="宋体"/>
                <w:color w:val="auto"/>
                <w:spacing w:val="2"/>
                <w:sz w:val="24"/>
                <w:szCs w:val="24"/>
                <w:highlight w:val="none"/>
              </w:rPr>
            </w:pPr>
            <w:r>
              <w:rPr>
                <w:rFonts w:hint="default" w:ascii="宋体" w:hAnsi="宋体"/>
                <w:color w:val="auto"/>
                <w:spacing w:val="2"/>
                <w:sz w:val="24"/>
                <w:szCs w:val="24"/>
                <w:highlight w:val="none"/>
              </w:rPr>
              <w:t>突发情况应急处置预案</w:t>
            </w:r>
          </w:p>
          <w:p w14:paraId="758F8922">
            <w:pPr>
              <w:spacing w:line="360" w:lineRule="auto"/>
              <w:jc w:val="center"/>
              <w:rPr>
                <w:rFonts w:hint="eastAsia" w:ascii="宋体" w:hAnsi="宋体" w:eastAsia="宋体" w:cs="宋体"/>
                <w:color w:val="auto"/>
                <w:kern w:val="2"/>
                <w:sz w:val="24"/>
                <w:szCs w:val="24"/>
                <w:highlight w:val="none"/>
                <w:lang w:val="en-US" w:eastAsia="zh-CN" w:bidi="ar-SA"/>
              </w:rPr>
            </w:pPr>
          </w:p>
        </w:tc>
        <w:tc>
          <w:tcPr>
            <w:tcW w:w="363" w:type="pct"/>
            <w:noWrap w:val="0"/>
            <w:vAlign w:val="center"/>
          </w:tcPr>
          <w:p w14:paraId="50CB7972">
            <w:pPr>
              <w:tabs>
                <w:tab w:val="left" w:pos="426"/>
              </w:tabs>
              <w:autoSpaceDE w:val="0"/>
              <w:autoSpaceDN w:val="0"/>
              <w:adjustRightInd w:val="0"/>
              <w:spacing w:line="360" w:lineRule="exact"/>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10</w:t>
            </w:r>
          </w:p>
        </w:tc>
        <w:tc>
          <w:tcPr>
            <w:tcW w:w="3987" w:type="pct"/>
            <w:noWrap w:val="0"/>
            <w:vAlign w:val="center"/>
          </w:tcPr>
          <w:p w14:paraId="05BC44CE">
            <w:pPr>
              <w:tabs>
                <w:tab w:val="left" w:pos="426"/>
              </w:tabs>
              <w:autoSpaceDE w:val="0"/>
              <w:autoSpaceDN w:val="0"/>
              <w:adjustRightInd w:val="0"/>
              <w:spacing w:line="360" w:lineRule="exac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评标委员会根据投标人提供的</w:t>
            </w:r>
            <w:r>
              <w:rPr>
                <w:rFonts w:hint="eastAsia" w:ascii="宋体" w:hAnsi="宋体" w:cs="宋体"/>
                <w:bCs/>
                <w:color w:val="auto"/>
                <w:kern w:val="0"/>
                <w:sz w:val="24"/>
                <w:highlight w:val="none"/>
                <w:lang w:eastAsia="zh-CN"/>
              </w:rPr>
              <w:t>突发情况应急处置预案</w:t>
            </w:r>
            <w:r>
              <w:rPr>
                <w:rFonts w:hint="eastAsia" w:ascii="宋体" w:hAnsi="宋体" w:cs="宋体"/>
                <w:color w:val="auto"/>
                <w:kern w:val="0"/>
                <w:sz w:val="24"/>
                <w:highlight w:val="none"/>
                <w:lang w:val="zh-CN"/>
              </w:rPr>
              <w:t>进行综合评审。</w:t>
            </w:r>
          </w:p>
          <w:p w14:paraId="29D91D3E">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（1）覆盖‌医疗废物泄漏、收集容器破损、人员职业暴露、暂存点污染‌4类医院高频突发场景，包含风险预判、防控、处置、善后全流程，每个场景都有针对性处置步骤，实操性极强，得10分；</w:t>
            </w:r>
          </w:p>
          <w:p w14:paraId="22160170">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（2）</w:t>
            </w:r>
            <w:r>
              <w:rPr>
                <w:rFonts w:ascii="Arial" w:hAnsi="Arial" w:eastAsia="Arial" w:cs="Arial"/>
                <w:i w:val="0"/>
                <w:iCs w:val="0"/>
                <w:caps w:val="0"/>
                <w:color w:val="auto"/>
                <w:spacing w:val="0"/>
                <w:sz w:val="24"/>
                <w:szCs w:val="24"/>
                <w:highlight w:val="none"/>
                <w:shd w:val="clear" w:fill="FFFFFF"/>
              </w:rPr>
              <w:t>覆盖3类主要突发场景，核心处置流程清晰，可应对常见突发问题，满足基础安全需求</w:t>
            </w:r>
            <w:r>
              <w:rPr>
                <w:rFonts w:hint="eastAsia" w:ascii="宋体" w:hAnsi="宋体" w:eastAsia="宋体" w:cs="宋体"/>
                <w:color w:val="auto"/>
                <w:kern w:val="0"/>
                <w:sz w:val="24"/>
                <w:highlight w:val="none"/>
                <w:lang w:val="zh-CN"/>
              </w:rPr>
              <w:t>，得8分；</w:t>
            </w:r>
          </w:p>
          <w:p w14:paraId="14571D15">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（3）覆盖1-2类突发场景，内容深度不足，部分场景无对应方案，仅能应对常规基础问题，得6分；</w:t>
            </w:r>
          </w:p>
          <w:p w14:paraId="78A7FA20">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（4）</w:t>
            </w:r>
            <w:r>
              <w:rPr>
                <w:rFonts w:ascii="Arial" w:hAnsi="Arial" w:eastAsia="Arial" w:cs="Arial"/>
                <w:i w:val="0"/>
                <w:iCs w:val="0"/>
                <w:caps w:val="0"/>
                <w:color w:val="auto"/>
                <w:spacing w:val="0"/>
                <w:sz w:val="24"/>
                <w:szCs w:val="24"/>
                <w:highlight w:val="none"/>
                <w:shd w:val="clear" w:fill="FFFFFF"/>
              </w:rPr>
              <w:t>内容简陋，无针对医疗废物项目的专项规划，无法适配应急保障需求</w:t>
            </w:r>
            <w:r>
              <w:rPr>
                <w:rFonts w:hint="eastAsia" w:ascii="宋体" w:hAnsi="宋体" w:eastAsia="宋体" w:cs="宋体"/>
                <w:color w:val="auto"/>
                <w:kern w:val="0"/>
                <w:sz w:val="24"/>
                <w:highlight w:val="none"/>
                <w:lang w:val="zh-CN"/>
              </w:rPr>
              <w:t>，得4分；</w:t>
            </w:r>
          </w:p>
          <w:p w14:paraId="36663915">
            <w:pPr>
              <w:tabs>
                <w:tab w:val="left" w:pos="426"/>
              </w:tabs>
              <w:autoSpaceDE w:val="0"/>
              <w:autoSpaceDN w:val="0"/>
              <w:adjustRightInd w:val="0"/>
              <w:spacing w:line="360" w:lineRule="exact"/>
              <w:rPr>
                <w:rFonts w:ascii="宋体" w:hAnsi="宋体" w:cs="宋体"/>
                <w:color w:val="auto"/>
                <w:sz w:val="24"/>
                <w:highlight w:val="none"/>
              </w:rPr>
            </w:pPr>
            <w:r>
              <w:rPr>
                <w:rFonts w:hint="eastAsia" w:ascii="宋体" w:hAnsi="宋体" w:eastAsia="宋体" w:cs="宋体"/>
                <w:color w:val="auto"/>
                <w:kern w:val="0"/>
                <w:sz w:val="24"/>
                <w:highlight w:val="none"/>
                <w:lang w:val="zh-CN"/>
              </w:rPr>
              <w:t>（5）未提供的不得分。</w:t>
            </w:r>
          </w:p>
        </w:tc>
      </w:tr>
      <w:tr w14:paraId="776085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280" w:type="pct"/>
            <w:noWrap w:val="0"/>
            <w:vAlign w:val="center"/>
          </w:tcPr>
          <w:p w14:paraId="022DA95B">
            <w:pPr>
              <w:tabs>
                <w:tab w:val="left" w:pos="426"/>
              </w:tabs>
              <w:autoSpaceDE w:val="0"/>
              <w:autoSpaceDN w:val="0"/>
              <w:adjustRightInd w:val="0"/>
              <w:spacing w:line="360" w:lineRule="exact"/>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5</w:t>
            </w:r>
          </w:p>
        </w:tc>
        <w:tc>
          <w:tcPr>
            <w:tcW w:w="368" w:type="pct"/>
            <w:noWrap w:val="0"/>
            <w:vAlign w:val="center"/>
          </w:tcPr>
          <w:p w14:paraId="028F6156">
            <w:pPr>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color w:val="auto"/>
                <w:spacing w:val="2"/>
                <w:sz w:val="24"/>
                <w:szCs w:val="24"/>
                <w:highlight w:val="none"/>
              </w:rPr>
              <w:t>服务承诺</w:t>
            </w:r>
          </w:p>
        </w:tc>
        <w:tc>
          <w:tcPr>
            <w:tcW w:w="363" w:type="pct"/>
            <w:noWrap w:val="0"/>
            <w:vAlign w:val="center"/>
          </w:tcPr>
          <w:p w14:paraId="01527667">
            <w:pPr>
              <w:tabs>
                <w:tab w:val="left" w:pos="426"/>
              </w:tabs>
              <w:autoSpaceDE w:val="0"/>
              <w:autoSpaceDN w:val="0"/>
              <w:adjustRightInd w:val="0"/>
              <w:spacing w:line="360" w:lineRule="exact"/>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10</w:t>
            </w:r>
          </w:p>
        </w:tc>
        <w:tc>
          <w:tcPr>
            <w:tcW w:w="3987" w:type="pct"/>
            <w:noWrap w:val="0"/>
            <w:vAlign w:val="center"/>
          </w:tcPr>
          <w:p w14:paraId="76F29965">
            <w:pPr>
              <w:tabs>
                <w:tab w:val="left" w:pos="426"/>
              </w:tabs>
              <w:autoSpaceDE w:val="0"/>
              <w:autoSpaceDN w:val="0"/>
              <w:adjustRightInd w:val="0"/>
              <w:spacing w:line="360" w:lineRule="exact"/>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评标委员会根据投标人提供的</w:t>
            </w:r>
            <w:r>
              <w:rPr>
                <w:rFonts w:hint="eastAsia" w:ascii="宋体" w:hAnsi="宋体" w:cs="宋体"/>
                <w:bCs/>
                <w:color w:val="auto"/>
                <w:kern w:val="0"/>
                <w:sz w:val="24"/>
                <w:highlight w:val="none"/>
                <w:lang w:eastAsia="zh-CN"/>
              </w:rPr>
              <w:t>服务承诺</w:t>
            </w:r>
            <w:r>
              <w:rPr>
                <w:rFonts w:hint="eastAsia" w:ascii="宋体" w:hAnsi="宋体" w:cs="宋体"/>
                <w:color w:val="auto"/>
                <w:kern w:val="0"/>
                <w:sz w:val="24"/>
                <w:highlight w:val="none"/>
                <w:lang w:val="zh-CN"/>
              </w:rPr>
              <w:t>进行综合评审。</w:t>
            </w:r>
          </w:p>
          <w:p w14:paraId="7E8431AB">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（1）包含‌人员配置保障、清运时效承诺、突发情况响应时间、人员健康防护‌4项针对性内容，所有承诺明确具体可验证，完全契合医院项目服务需求，得10分；</w:t>
            </w:r>
          </w:p>
          <w:p w14:paraId="4FCD8A5A">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（2）</w:t>
            </w:r>
            <w:r>
              <w:rPr>
                <w:rFonts w:ascii="Arial" w:hAnsi="Arial" w:eastAsia="Arial" w:cs="Arial"/>
                <w:i w:val="0"/>
                <w:iCs w:val="0"/>
                <w:caps w:val="0"/>
                <w:color w:val="auto"/>
                <w:spacing w:val="0"/>
                <w:sz w:val="24"/>
                <w:szCs w:val="24"/>
                <w:highlight w:val="none"/>
                <w:shd w:val="clear" w:fill="FFFFFF"/>
              </w:rPr>
              <w:t>包含2-3项针对性内容，承诺清晰可验证，满足项目核心服务要求</w:t>
            </w:r>
            <w:r>
              <w:rPr>
                <w:rFonts w:hint="eastAsia" w:ascii="宋体" w:hAnsi="宋体" w:eastAsia="宋体" w:cs="宋体"/>
                <w:color w:val="auto"/>
                <w:kern w:val="0"/>
                <w:sz w:val="24"/>
                <w:highlight w:val="none"/>
                <w:lang w:val="zh-CN"/>
              </w:rPr>
              <w:t>，得8分；</w:t>
            </w:r>
          </w:p>
          <w:p w14:paraId="41CEA2C3">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（3）包含1项针对性内容，整体为通用表述，仅满足基础服务需求，得6分；</w:t>
            </w:r>
          </w:p>
          <w:p w14:paraId="3CE4B26C">
            <w:pPr>
              <w:tabs>
                <w:tab w:val="left" w:pos="426"/>
              </w:tabs>
              <w:autoSpaceDE w:val="0"/>
              <w:autoSpaceDN w:val="0"/>
              <w:adjustRightInd w:val="0"/>
              <w:spacing w:line="360" w:lineRule="exact"/>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（4）内容浅显，维度单一，无明确可验证承诺，仅能简单匹配基础要求，得4分；</w:t>
            </w:r>
          </w:p>
          <w:p w14:paraId="70493CD4">
            <w:pPr>
              <w:tabs>
                <w:tab w:val="left" w:pos="426"/>
              </w:tabs>
              <w:autoSpaceDE w:val="0"/>
              <w:autoSpaceDN w:val="0"/>
              <w:adjustRightInd w:val="0"/>
              <w:spacing w:line="360" w:lineRule="exact"/>
              <w:rPr>
                <w:rFonts w:hint="eastAsia" w:ascii="宋体" w:hAnsi="宋体" w:cs="宋体"/>
                <w:color w:val="auto"/>
                <w:kern w:val="0"/>
                <w:sz w:val="24"/>
                <w:highlight w:val="none"/>
                <w:lang w:val="zh-CN"/>
              </w:rPr>
            </w:pPr>
            <w:r>
              <w:rPr>
                <w:rFonts w:hint="eastAsia" w:ascii="宋体" w:hAnsi="宋体" w:eastAsia="宋体" w:cs="宋体"/>
                <w:color w:val="auto"/>
                <w:kern w:val="0"/>
                <w:sz w:val="24"/>
                <w:highlight w:val="none"/>
                <w:lang w:val="zh-CN"/>
              </w:rPr>
              <w:t>（</w:t>
            </w:r>
            <w:r>
              <w:rPr>
                <w:rFonts w:hint="eastAsia" w:ascii="宋体" w:hAnsi="宋体" w:eastAsia="宋体" w:cs="宋体"/>
                <w:color w:val="auto"/>
                <w:kern w:val="0"/>
                <w:sz w:val="24"/>
                <w:highlight w:val="none"/>
                <w:lang w:val="en-US" w:eastAsia="zh-CN"/>
              </w:rPr>
              <w:t>5</w:t>
            </w:r>
            <w:r>
              <w:rPr>
                <w:rFonts w:hint="eastAsia" w:ascii="宋体" w:hAnsi="宋体" w:eastAsia="宋体" w:cs="宋体"/>
                <w:color w:val="auto"/>
                <w:kern w:val="0"/>
                <w:sz w:val="24"/>
                <w:highlight w:val="none"/>
                <w:lang w:val="zh-CN"/>
              </w:rPr>
              <w:t>）未提供的不得分。</w:t>
            </w:r>
          </w:p>
        </w:tc>
      </w:tr>
    </w:tbl>
    <w:p w14:paraId="6CAE62AC">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注：1.评分细则中要求提供的证明文件及资料等在投标文件中提供并加盖公章，否则不得分。</w:t>
      </w:r>
    </w:p>
    <w:p w14:paraId="52DD5DA1">
      <w:pPr>
        <w:spacing w:line="360" w:lineRule="auto"/>
        <w:ind w:firstLine="480" w:firstLineChars="200"/>
        <w:contextualSpacing/>
        <w:rPr>
          <w:color w:val="auto"/>
          <w:highlight w:val="none"/>
        </w:rPr>
      </w:pPr>
      <w:r>
        <w:rPr>
          <w:rFonts w:hint="eastAsia" w:ascii="宋体" w:hAnsi="宋体" w:cs="宋体"/>
          <w:bCs/>
          <w:color w:val="auto"/>
          <w:sz w:val="24"/>
          <w:highlight w:val="none"/>
        </w:rPr>
        <w:t>2.评审时，未能按以上要求提供相应证明的，不作为评审依据，不得分。</w:t>
      </w:r>
    </w:p>
    <w:p w14:paraId="1E4D28E4">
      <w:pPr>
        <w:pStyle w:val="46"/>
        <w:ind w:firstLine="480"/>
        <w:rPr>
          <w:color w:val="auto"/>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3B3AD81F">
      <w:pPr>
        <w:spacing w:line="360" w:lineRule="auto"/>
        <w:jc w:val="center"/>
        <w:outlineLvl w:val="0"/>
        <w:rPr>
          <w:b/>
          <w:color w:val="auto"/>
          <w:sz w:val="36"/>
          <w:szCs w:val="36"/>
          <w:highlight w:val="none"/>
        </w:rPr>
      </w:pPr>
      <w:bookmarkStart w:id="811" w:name="_Toc29962"/>
      <w:bookmarkStart w:id="812" w:name="_Toc99301424"/>
      <w:r>
        <w:rPr>
          <w:b/>
          <w:color w:val="auto"/>
          <w:sz w:val="36"/>
          <w:szCs w:val="36"/>
          <w:highlight w:val="none"/>
        </w:rPr>
        <w:t>第五章   采购需求</w:t>
      </w:r>
      <w:bookmarkEnd w:id="811"/>
      <w:bookmarkEnd w:id="812"/>
    </w:p>
    <w:p w14:paraId="46C9153A">
      <w:pPr>
        <w:pStyle w:val="114"/>
        <w:numPr>
          <w:ilvl w:val="0"/>
          <w:numId w:val="0"/>
        </w:numPr>
        <w:spacing w:line="360" w:lineRule="auto"/>
        <w:ind w:leftChars="0" w:firstLine="245" w:firstLineChars="100"/>
        <w:contextualSpacing/>
        <w:rPr>
          <w:rFonts w:ascii="Times New Roman" w:hAnsi="Times New Roman"/>
          <w:b/>
          <w:color w:val="auto"/>
          <w:sz w:val="24"/>
          <w:szCs w:val="24"/>
          <w:highlight w:val="none"/>
        </w:rPr>
      </w:pPr>
      <w:bookmarkStart w:id="813" w:name="_Toc4597"/>
      <w:bookmarkStart w:id="814" w:name="_Toc13366"/>
      <w:bookmarkStart w:id="815" w:name="_Toc99301425"/>
      <w:r>
        <w:rPr>
          <w:rFonts w:hint="eastAsia" w:ascii="宋体" w:hAnsi="宋体" w:eastAsia="宋体" w:cs="宋体"/>
          <w:b/>
          <w:bCs/>
          <w:color w:val="auto"/>
          <w:spacing w:val="2"/>
          <w:sz w:val="24"/>
          <w:szCs w:val="24"/>
          <w:highlight w:val="none"/>
          <w:u w:val="none"/>
          <w:lang w:val="en-US" w:eastAsia="zh-CN"/>
        </w:rPr>
        <w:t>一、</w:t>
      </w:r>
      <w:r>
        <w:rPr>
          <w:rFonts w:ascii="Times New Roman" w:hAnsi="Times New Roman"/>
          <w:b/>
          <w:color w:val="auto"/>
          <w:sz w:val="24"/>
          <w:szCs w:val="24"/>
          <w:highlight w:val="none"/>
        </w:rPr>
        <w:t>采购标的</w:t>
      </w:r>
    </w:p>
    <w:p w14:paraId="65CC6BC6">
      <w:pPr>
        <w:spacing w:line="360" w:lineRule="auto"/>
        <w:ind w:firstLine="482" w:firstLineChars="200"/>
        <w:contextualSpacing/>
        <w:rPr>
          <w:rFonts w:hint="eastAsia" w:eastAsia="宋体"/>
          <w:bCs/>
          <w:color w:val="auto"/>
          <w:sz w:val="24"/>
          <w:highlight w:val="none"/>
          <w:lang w:val="en-US" w:eastAsia="zh-CN"/>
        </w:rPr>
      </w:pPr>
      <w:r>
        <w:rPr>
          <w:rFonts w:hint="eastAsia" w:ascii="宋体" w:hAnsi="宋体" w:eastAsia="宋体" w:cs="宋体"/>
          <w:b/>
          <w:bCs/>
          <w:color w:val="auto"/>
          <w:sz w:val="24"/>
          <w:szCs w:val="24"/>
          <w:highlight w:val="none"/>
          <w:lang w:val="en-US" w:eastAsia="zh-CN"/>
        </w:rPr>
        <w:t>1.采购标的名称：</w:t>
      </w:r>
      <w:r>
        <w:rPr>
          <w:rFonts w:hint="eastAsia" w:ascii="宋体" w:hAnsi="宋体" w:cs="宋体"/>
          <w:bCs/>
          <w:color w:val="auto"/>
          <w:sz w:val="24"/>
          <w:szCs w:val="24"/>
          <w:highlight w:val="none"/>
          <w:lang w:eastAsia="zh-CN"/>
        </w:rPr>
        <w:t>常州市中医医院医疗废物收集处置服务</w:t>
      </w:r>
    </w:p>
    <w:p w14:paraId="648A553C">
      <w:pPr>
        <w:spacing w:line="360" w:lineRule="auto"/>
        <w:ind w:firstLine="482" w:firstLineChars="200"/>
        <w:contextualSpacing/>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2.采购清单</w:t>
      </w:r>
    </w:p>
    <w:tbl>
      <w:tblPr>
        <w:tblStyle w:val="4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65"/>
        <w:gridCol w:w="921"/>
        <w:gridCol w:w="2252"/>
        <w:gridCol w:w="1884"/>
        <w:gridCol w:w="800"/>
      </w:tblGrid>
      <w:tr w14:paraId="47D1F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3" w:type="pct"/>
            <w:noWrap w:val="0"/>
            <w:vAlign w:val="center"/>
          </w:tcPr>
          <w:p w14:paraId="13BE4F0D">
            <w:pPr>
              <w:spacing w:line="360" w:lineRule="auto"/>
              <w:jc w:val="center"/>
              <w:rPr>
                <w:rFonts w:hint="eastAsia" w:ascii="宋体" w:hAnsi="宋体" w:eastAsia="宋体" w:cs="宋体"/>
                <w:b/>
                <w:bCs/>
                <w:color w:val="auto"/>
                <w:sz w:val="24"/>
                <w:highlight w:val="none"/>
                <w:lang w:val="en-US" w:eastAsia="zh-CN"/>
              </w:rPr>
            </w:pPr>
            <w:r>
              <w:rPr>
                <w:rFonts w:hint="eastAsia" w:ascii="宋体" w:hAnsi="宋体" w:eastAsia="宋体" w:cs="Times New Roman"/>
                <w:b/>
                <w:bCs/>
                <w:color w:val="auto"/>
                <w:spacing w:val="2"/>
                <w:sz w:val="24"/>
                <w:szCs w:val="24"/>
                <w:highlight w:val="none"/>
                <w:lang w:val="en-US" w:eastAsia="zh-CN"/>
              </w:rPr>
              <w:t>医疗废物类别</w:t>
            </w:r>
          </w:p>
        </w:tc>
        <w:tc>
          <w:tcPr>
            <w:tcW w:w="540" w:type="pct"/>
            <w:noWrap w:val="0"/>
            <w:vAlign w:val="center"/>
          </w:tcPr>
          <w:p w14:paraId="05F21277">
            <w:pPr>
              <w:spacing w:line="360" w:lineRule="auto"/>
              <w:jc w:val="center"/>
              <w:rPr>
                <w:rFonts w:hint="eastAsia" w:ascii="宋体" w:hAnsi="宋体" w:eastAsia="宋体" w:cs="宋体"/>
                <w:b/>
                <w:bCs/>
                <w:color w:val="auto"/>
                <w:sz w:val="24"/>
                <w:highlight w:val="none"/>
                <w:lang w:val="en-US" w:eastAsia="zh-CN"/>
              </w:rPr>
            </w:pPr>
            <w:r>
              <w:rPr>
                <w:rFonts w:hint="eastAsia" w:ascii="宋体" w:hAnsi="宋体" w:eastAsia="宋体" w:cs="Times New Roman"/>
                <w:b/>
                <w:bCs/>
                <w:color w:val="auto"/>
                <w:spacing w:val="2"/>
                <w:sz w:val="24"/>
                <w:szCs w:val="24"/>
                <w:highlight w:val="none"/>
                <w:lang w:val="en-US" w:eastAsia="zh-CN"/>
              </w:rPr>
              <w:t>危废代码</w:t>
            </w:r>
          </w:p>
        </w:tc>
        <w:tc>
          <w:tcPr>
            <w:tcW w:w="1321" w:type="pct"/>
            <w:noWrap w:val="0"/>
            <w:vAlign w:val="center"/>
          </w:tcPr>
          <w:p w14:paraId="56F9B283">
            <w:pPr>
              <w:spacing w:line="360" w:lineRule="auto"/>
              <w:jc w:val="center"/>
              <w:rPr>
                <w:rFonts w:hint="eastAsia" w:ascii="宋体" w:hAnsi="宋体" w:eastAsia="宋体" w:cs="宋体"/>
                <w:b/>
                <w:bCs/>
                <w:color w:val="auto"/>
                <w:sz w:val="24"/>
                <w:highlight w:val="none"/>
                <w:lang w:val="en-US" w:eastAsia="zh-CN"/>
              </w:rPr>
            </w:pPr>
            <w:r>
              <w:rPr>
                <w:rFonts w:hint="eastAsia" w:ascii="宋体" w:hAnsi="宋体" w:eastAsia="宋体" w:cs="Times New Roman"/>
                <w:b/>
                <w:bCs/>
                <w:color w:val="auto"/>
                <w:spacing w:val="2"/>
                <w:sz w:val="24"/>
                <w:szCs w:val="24"/>
                <w:highlight w:val="none"/>
                <w:lang w:val="en-US" w:eastAsia="zh-CN"/>
              </w:rPr>
              <w:t>主要污染物及指标</w:t>
            </w:r>
          </w:p>
        </w:tc>
        <w:tc>
          <w:tcPr>
            <w:tcW w:w="1105" w:type="pct"/>
            <w:noWrap w:val="0"/>
            <w:vAlign w:val="center"/>
          </w:tcPr>
          <w:p w14:paraId="4DAFE633">
            <w:pPr>
              <w:spacing w:line="360" w:lineRule="auto"/>
              <w:jc w:val="center"/>
              <w:rPr>
                <w:rFonts w:hint="eastAsia" w:ascii="宋体" w:hAnsi="宋体" w:eastAsia="宋体" w:cs="宋体"/>
                <w:b/>
                <w:bCs/>
                <w:color w:val="auto"/>
                <w:sz w:val="24"/>
                <w:highlight w:val="none"/>
                <w:lang w:val="en-US" w:eastAsia="zh-CN"/>
              </w:rPr>
            </w:pPr>
            <w:r>
              <w:rPr>
                <w:rFonts w:hint="eastAsia" w:ascii="宋体" w:hAnsi="宋体" w:eastAsia="宋体" w:cs="Times New Roman"/>
                <w:b/>
                <w:bCs/>
                <w:color w:val="auto"/>
                <w:spacing w:val="2"/>
                <w:sz w:val="24"/>
                <w:szCs w:val="24"/>
                <w:highlight w:val="none"/>
                <w:lang w:val="en-US" w:eastAsia="zh-CN"/>
              </w:rPr>
              <w:t>包装方式</w:t>
            </w:r>
          </w:p>
        </w:tc>
        <w:tc>
          <w:tcPr>
            <w:tcW w:w="469" w:type="pct"/>
            <w:noWrap w:val="0"/>
            <w:vAlign w:val="center"/>
          </w:tcPr>
          <w:p w14:paraId="06935087">
            <w:pPr>
              <w:spacing w:line="360" w:lineRule="auto"/>
              <w:jc w:val="center"/>
              <w:rPr>
                <w:rFonts w:hint="eastAsia" w:ascii="宋体" w:hAnsi="宋体" w:eastAsia="宋体" w:cs="宋体"/>
                <w:b/>
                <w:bCs/>
                <w:color w:val="auto"/>
                <w:sz w:val="24"/>
                <w:highlight w:val="none"/>
                <w:lang w:val="en-US" w:eastAsia="zh-CN"/>
              </w:rPr>
            </w:pPr>
            <w:r>
              <w:rPr>
                <w:rFonts w:hint="eastAsia" w:ascii="宋体" w:hAnsi="宋体" w:eastAsia="宋体" w:cs="Times New Roman"/>
                <w:b/>
                <w:bCs/>
                <w:color w:val="auto"/>
                <w:spacing w:val="2"/>
                <w:sz w:val="24"/>
                <w:szCs w:val="24"/>
                <w:highlight w:val="none"/>
                <w:lang w:val="en-US" w:eastAsia="zh-CN"/>
              </w:rPr>
              <w:t>预估数量</w:t>
            </w:r>
          </w:p>
        </w:tc>
      </w:tr>
      <w:tr w14:paraId="0D512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3" w:type="pct"/>
            <w:noWrap w:val="0"/>
            <w:vAlign w:val="center"/>
          </w:tcPr>
          <w:p w14:paraId="653A3AC2">
            <w:pPr>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Times New Roman"/>
                <w:color w:val="auto"/>
                <w:spacing w:val="2"/>
                <w:sz w:val="24"/>
                <w:szCs w:val="24"/>
                <w:highlight w:val="none"/>
                <w:lang w:val="en-US" w:eastAsia="zh-CN"/>
              </w:rPr>
              <w:t>感染性、损伤性、化学性、药物性医废</w:t>
            </w:r>
          </w:p>
        </w:tc>
        <w:tc>
          <w:tcPr>
            <w:tcW w:w="540" w:type="pct"/>
            <w:noWrap w:val="0"/>
            <w:vAlign w:val="center"/>
          </w:tcPr>
          <w:p w14:paraId="40201403">
            <w:pPr>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Times New Roman"/>
                <w:color w:val="auto"/>
                <w:spacing w:val="2"/>
                <w:sz w:val="24"/>
                <w:szCs w:val="24"/>
                <w:highlight w:val="none"/>
                <w:lang w:val="en-US" w:eastAsia="zh-CN"/>
              </w:rPr>
              <w:t>HW</w:t>
            </w:r>
            <w:r>
              <w:rPr>
                <w:rFonts w:hint="eastAsia" w:ascii="宋体" w:hAnsi="宋体" w:cs="Times New Roman"/>
                <w:color w:val="auto"/>
                <w:spacing w:val="2"/>
                <w:sz w:val="24"/>
                <w:szCs w:val="24"/>
                <w:highlight w:val="none"/>
                <w:lang w:val="en-US" w:eastAsia="zh-CN"/>
              </w:rPr>
              <w:t>0</w:t>
            </w:r>
            <w:r>
              <w:rPr>
                <w:rFonts w:hint="eastAsia" w:ascii="宋体" w:hAnsi="宋体" w:eastAsia="宋体" w:cs="Times New Roman"/>
                <w:color w:val="auto"/>
                <w:spacing w:val="2"/>
                <w:sz w:val="24"/>
                <w:szCs w:val="24"/>
                <w:highlight w:val="none"/>
                <w:lang w:val="en-US" w:eastAsia="zh-CN"/>
              </w:rPr>
              <w:t>1</w:t>
            </w:r>
          </w:p>
        </w:tc>
        <w:tc>
          <w:tcPr>
            <w:tcW w:w="1321" w:type="pct"/>
            <w:noWrap w:val="0"/>
            <w:vAlign w:val="center"/>
          </w:tcPr>
          <w:p w14:paraId="48541526">
            <w:pPr>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Times New Roman"/>
                <w:color w:val="auto"/>
                <w:spacing w:val="2"/>
                <w:sz w:val="24"/>
                <w:szCs w:val="24"/>
                <w:highlight w:val="none"/>
                <w:lang w:val="en-US" w:eastAsia="zh-CN"/>
              </w:rPr>
              <w:t>医疗废弃物</w:t>
            </w:r>
          </w:p>
        </w:tc>
        <w:tc>
          <w:tcPr>
            <w:tcW w:w="1105" w:type="pct"/>
            <w:noWrap w:val="0"/>
            <w:vAlign w:val="center"/>
          </w:tcPr>
          <w:p w14:paraId="08642CD4">
            <w:pPr>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Times New Roman"/>
                <w:color w:val="auto"/>
                <w:spacing w:val="2"/>
                <w:sz w:val="24"/>
                <w:szCs w:val="24"/>
                <w:highlight w:val="none"/>
                <w:lang w:val="en-US" w:eastAsia="zh-CN"/>
              </w:rPr>
              <w:t>专用包装袋、利器盒</w:t>
            </w:r>
          </w:p>
        </w:tc>
        <w:tc>
          <w:tcPr>
            <w:tcW w:w="469" w:type="pct"/>
            <w:noWrap w:val="0"/>
            <w:vAlign w:val="center"/>
          </w:tcPr>
          <w:p w14:paraId="2AA82C2A">
            <w:pPr>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Times New Roman"/>
                <w:color w:val="auto"/>
                <w:spacing w:val="2"/>
                <w:sz w:val="24"/>
                <w:szCs w:val="24"/>
                <w:highlight w:val="none"/>
                <w:lang w:val="en-US" w:eastAsia="zh-CN"/>
              </w:rPr>
              <w:t>900吨</w:t>
            </w:r>
          </w:p>
        </w:tc>
      </w:tr>
      <w:tr w14:paraId="71D18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3" w:type="pct"/>
            <w:noWrap w:val="0"/>
            <w:vAlign w:val="center"/>
          </w:tcPr>
          <w:p w14:paraId="769F2AE2">
            <w:pPr>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Times New Roman"/>
                <w:color w:val="auto"/>
                <w:spacing w:val="2"/>
                <w:sz w:val="24"/>
                <w:szCs w:val="24"/>
                <w:highlight w:val="none"/>
                <w:lang w:val="en-US" w:eastAsia="zh-CN"/>
              </w:rPr>
              <w:t>病理性医废</w:t>
            </w:r>
          </w:p>
        </w:tc>
        <w:tc>
          <w:tcPr>
            <w:tcW w:w="540" w:type="pct"/>
            <w:noWrap w:val="0"/>
            <w:vAlign w:val="center"/>
          </w:tcPr>
          <w:p w14:paraId="5621B5A6">
            <w:pPr>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Times New Roman"/>
                <w:color w:val="auto"/>
                <w:spacing w:val="2"/>
                <w:sz w:val="24"/>
                <w:szCs w:val="24"/>
                <w:highlight w:val="none"/>
                <w:lang w:val="en-US" w:eastAsia="zh-CN"/>
              </w:rPr>
              <w:t>HW</w:t>
            </w:r>
            <w:r>
              <w:rPr>
                <w:rFonts w:hint="eastAsia" w:ascii="宋体" w:hAnsi="宋体" w:cs="Times New Roman"/>
                <w:color w:val="auto"/>
                <w:spacing w:val="2"/>
                <w:sz w:val="24"/>
                <w:szCs w:val="24"/>
                <w:highlight w:val="none"/>
                <w:lang w:val="en-US" w:eastAsia="zh-CN"/>
              </w:rPr>
              <w:t>0</w:t>
            </w:r>
            <w:r>
              <w:rPr>
                <w:rFonts w:hint="eastAsia" w:ascii="宋体" w:hAnsi="宋体" w:eastAsia="宋体" w:cs="Times New Roman"/>
                <w:color w:val="auto"/>
                <w:spacing w:val="2"/>
                <w:sz w:val="24"/>
                <w:szCs w:val="24"/>
                <w:highlight w:val="none"/>
                <w:lang w:val="en-US" w:eastAsia="zh-CN"/>
              </w:rPr>
              <w:t>1</w:t>
            </w:r>
          </w:p>
        </w:tc>
        <w:tc>
          <w:tcPr>
            <w:tcW w:w="1321" w:type="pct"/>
            <w:noWrap w:val="0"/>
            <w:vAlign w:val="center"/>
          </w:tcPr>
          <w:p w14:paraId="7E1AF569">
            <w:pPr>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Times New Roman"/>
                <w:color w:val="auto"/>
                <w:spacing w:val="2"/>
                <w:sz w:val="24"/>
                <w:szCs w:val="24"/>
                <w:highlight w:val="none"/>
                <w:lang w:val="en-US" w:eastAsia="zh-CN"/>
              </w:rPr>
              <w:t>病理性医疗废弃物</w:t>
            </w:r>
          </w:p>
        </w:tc>
        <w:tc>
          <w:tcPr>
            <w:tcW w:w="1105" w:type="pct"/>
            <w:noWrap w:val="0"/>
            <w:vAlign w:val="center"/>
          </w:tcPr>
          <w:p w14:paraId="15E0CA36">
            <w:pPr>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Times New Roman"/>
                <w:color w:val="auto"/>
                <w:spacing w:val="2"/>
                <w:sz w:val="24"/>
                <w:szCs w:val="24"/>
                <w:highlight w:val="none"/>
                <w:lang w:val="en-US" w:eastAsia="zh-CN"/>
              </w:rPr>
              <w:t>专用密封容器</w:t>
            </w:r>
          </w:p>
        </w:tc>
        <w:tc>
          <w:tcPr>
            <w:tcW w:w="469" w:type="pct"/>
            <w:noWrap w:val="0"/>
            <w:vAlign w:val="center"/>
          </w:tcPr>
          <w:p w14:paraId="7AF27FBC">
            <w:pPr>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Times New Roman"/>
                <w:color w:val="auto"/>
                <w:spacing w:val="2"/>
                <w:sz w:val="24"/>
                <w:szCs w:val="24"/>
                <w:highlight w:val="none"/>
                <w:lang w:val="en-US" w:eastAsia="zh-CN"/>
              </w:rPr>
              <w:t>2000公斤</w:t>
            </w:r>
          </w:p>
        </w:tc>
      </w:tr>
    </w:tbl>
    <w:p w14:paraId="07CF0C1F">
      <w:pPr>
        <w:spacing w:line="360" w:lineRule="auto"/>
        <w:ind w:firstLine="482" w:firstLineChars="200"/>
        <w:contextualSpacing/>
        <w:rPr>
          <w:rFonts w:hint="eastAsia" w:ascii="宋体" w:hAnsi="宋体" w:eastAsia="宋体" w:cs="宋体"/>
          <w:b/>
          <w:bCs w:val="0"/>
          <w:color w:val="auto"/>
          <w:sz w:val="24"/>
          <w:highlight w:val="none"/>
          <w:lang w:eastAsia="zh-CN"/>
        </w:rPr>
      </w:pPr>
      <w:r>
        <w:rPr>
          <w:rFonts w:hint="eastAsia" w:ascii="宋体" w:hAnsi="宋体" w:eastAsia="宋体" w:cs="宋体"/>
          <w:b/>
          <w:bCs w:val="0"/>
          <w:color w:val="auto"/>
          <w:sz w:val="24"/>
          <w:highlight w:val="none"/>
          <w:lang w:val="en-US" w:eastAsia="zh-CN"/>
        </w:rPr>
        <w:t>3.</w:t>
      </w:r>
      <w:r>
        <w:rPr>
          <w:rFonts w:hint="eastAsia" w:ascii="宋体" w:hAnsi="宋体" w:eastAsia="宋体" w:cs="宋体"/>
          <w:b/>
          <w:bCs w:val="0"/>
          <w:color w:val="auto"/>
          <w:sz w:val="24"/>
          <w:highlight w:val="none"/>
          <w:lang w:eastAsia="zh-CN"/>
        </w:rPr>
        <w:t>项目概述</w:t>
      </w:r>
    </w:p>
    <w:p w14:paraId="175069F9">
      <w:pPr>
        <w:spacing w:line="360" w:lineRule="auto"/>
        <w:ind w:firstLine="480" w:firstLineChars="200"/>
        <w:contextualSpacing/>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本项目是常州市中医医院医疗废物收集处置服务项目，根据《医疗废物管理条例》《医疗卫生机构医疗废物管理办法》等规定，常州市中医医院产生的各类医疗废弃物须交由具备专业处置资质单位进行无害化清运处置，确保符合国家环保与卫生标准。</w:t>
      </w:r>
    </w:p>
    <w:p w14:paraId="08B135A9">
      <w:pPr>
        <w:keepNext w:val="0"/>
        <w:keepLines w:val="0"/>
        <w:pageBreakBefore w:val="0"/>
        <w:widowControl w:val="0"/>
        <w:spacing w:line="360" w:lineRule="auto"/>
        <w:ind w:firstLine="488"/>
        <w:outlineLvl w:val="9"/>
        <w:rPr>
          <w:rFonts w:hint="eastAsia" w:ascii="宋体" w:hAnsi="宋体" w:eastAsia="宋体" w:cs="宋体"/>
          <w:b/>
          <w:bCs/>
          <w:color w:val="auto"/>
          <w:spacing w:val="2"/>
          <w:sz w:val="24"/>
          <w:szCs w:val="24"/>
          <w:highlight w:val="none"/>
          <w:u w:val="none"/>
          <w:lang w:val="en-US" w:eastAsia="zh-CN"/>
        </w:rPr>
      </w:pPr>
      <w:r>
        <w:rPr>
          <w:rFonts w:hint="eastAsia" w:ascii="宋体" w:hAnsi="宋体" w:eastAsia="宋体" w:cs="宋体"/>
          <w:b/>
          <w:bCs/>
          <w:color w:val="auto"/>
          <w:spacing w:val="2"/>
          <w:sz w:val="24"/>
          <w:szCs w:val="24"/>
          <w:highlight w:val="none"/>
          <w:u w:val="none"/>
          <w:lang w:val="en-US" w:eastAsia="zh-CN"/>
        </w:rPr>
        <w:t>二、商务要求</w:t>
      </w:r>
    </w:p>
    <w:p w14:paraId="4E6B1B94">
      <w:pPr>
        <w:keepNext w:val="0"/>
        <w:keepLines w:val="0"/>
        <w:pageBreakBefore w:val="0"/>
        <w:widowControl w:val="0"/>
        <w:spacing w:line="360" w:lineRule="auto"/>
        <w:ind w:firstLine="488"/>
        <w:outlineLvl w:val="9"/>
        <w:rPr>
          <w:rFonts w:hint="eastAsia" w:ascii="宋体" w:hAnsi="宋体" w:cs="宋体"/>
          <w:color w:val="auto"/>
          <w:sz w:val="24"/>
          <w:highlight w:val="none"/>
          <w:u w:val="none"/>
          <w:lang w:eastAsia="zh-CN"/>
        </w:rPr>
      </w:pPr>
      <w:r>
        <w:rPr>
          <w:rFonts w:hint="eastAsia" w:ascii="宋体" w:hAnsi="宋体" w:eastAsia="宋体" w:cs="宋体"/>
          <w:b/>
          <w:bCs/>
          <w:color w:val="auto"/>
          <w:spacing w:val="2"/>
          <w:sz w:val="24"/>
          <w:szCs w:val="24"/>
          <w:highlight w:val="none"/>
          <w:u w:val="none"/>
          <w:lang w:val="en-US" w:eastAsia="zh-CN"/>
        </w:rPr>
        <w:t>1.服务期限</w:t>
      </w:r>
      <w:r>
        <w:rPr>
          <w:rFonts w:hint="eastAsia" w:ascii="宋体" w:hAnsi="宋体" w:cs="宋体"/>
          <w:b/>
          <w:bCs/>
          <w:color w:val="auto"/>
          <w:spacing w:val="2"/>
          <w:sz w:val="24"/>
          <w:szCs w:val="24"/>
          <w:highlight w:val="none"/>
          <w:u w:val="none"/>
          <w:lang w:val="en-US" w:eastAsia="zh-CN"/>
        </w:rPr>
        <w:t>：</w:t>
      </w:r>
      <w:r>
        <w:rPr>
          <w:rFonts w:hint="eastAsia" w:ascii="宋体" w:hAnsi="宋体" w:cs="宋体"/>
          <w:color w:val="auto"/>
          <w:sz w:val="24"/>
          <w:highlight w:val="none"/>
          <w:u w:val="none"/>
          <w:lang w:eastAsia="zh-CN"/>
        </w:rPr>
        <w:t>自合同签订之日起二年。</w:t>
      </w:r>
    </w:p>
    <w:p w14:paraId="6C0CF4E1">
      <w:pPr>
        <w:keepNext w:val="0"/>
        <w:keepLines w:val="0"/>
        <w:pageBreakBefore w:val="0"/>
        <w:widowControl w:val="0"/>
        <w:kinsoku/>
        <w:wordWrap/>
        <w:overflowPunct/>
        <w:topLinePunct w:val="0"/>
        <w:autoSpaceDE/>
        <w:autoSpaceDN/>
        <w:bidi w:val="0"/>
        <w:adjustRightInd/>
        <w:spacing w:line="360" w:lineRule="auto"/>
        <w:ind w:firstLine="490" w:firstLineChars="200"/>
        <w:contextualSpacing/>
        <w:textAlignment w:val="auto"/>
        <w:outlineLvl w:val="9"/>
        <w:rPr>
          <w:rFonts w:hint="default" w:ascii="宋体" w:hAnsi="宋体" w:cs="宋体"/>
          <w:color w:val="auto"/>
          <w:sz w:val="24"/>
          <w:highlight w:val="none"/>
          <w:u w:val="none"/>
          <w:lang w:val="en-US" w:eastAsia="zh-CN"/>
        </w:rPr>
      </w:pPr>
      <w:r>
        <w:rPr>
          <w:rFonts w:hint="eastAsia" w:ascii="宋体" w:hAnsi="宋体" w:eastAsia="宋体" w:cs="宋体"/>
          <w:b/>
          <w:bCs/>
          <w:color w:val="auto"/>
          <w:spacing w:val="2"/>
          <w:sz w:val="24"/>
          <w:szCs w:val="24"/>
          <w:highlight w:val="none"/>
          <w:u w:val="none"/>
          <w:lang w:val="en-US" w:eastAsia="zh-CN"/>
        </w:rPr>
        <w:t>2.服务地点：</w:t>
      </w:r>
      <w:r>
        <w:rPr>
          <w:rFonts w:hint="eastAsia" w:ascii="宋体" w:hAnsi="宋体" w:cs="宋体"/>
          <w:bCs/>
          <w:color w:val="auto"/>
          <w:sz w:val="24"/>
          <w:szCs w:val="24"/>
          <w:highlight w:val="none"/>
          <w:lang w:eastAsia="zh-CN"/>
        </w:rPr>
        <w:t>常州市中医医院</w:t>
      </w:r>
    </w:p>
    <w:p w14:paraId="3036F2BD">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outlineLvl w:val="9"/>
        <w:rPr>
          <w:rFonts w:hint="eastAsia" w:ascii="宋体" w:hAnsi="宋体" w:cs="宋体"/>
          <w:bCs/>
          <w:color w:val="auto"/>
          <w:sz w:val="24"/>
          <w:highlight w:val="none"/>
          <w:lang w:eastAsia="zh-CN"/>
        </w:rPr>
      </w:pPr>
      <w:r>
        <w:rPr>
          <w:rFonts w:hint="eastAsia" w:ascii="宋体" w:hAnsi="宋体" w:cs="宋体"/>
          <w:b/>
          <w:bCs w:val="0"/>
          <w:color w:val="auto"/>
          <w:sz w:val="24"/>
          <w:szCs w:val="24"/>
          <w:highlight w:val="none"/>
          <w:lang w:val="en-US" w:eastAsia="zh-CN"/>
        </w:rPr>
        <w:t>3</w:t>
      </w:r>
      <w:r>
        <w:rPr>
          <w:rFonts w:hint="eastAsia" w:ascii="宋体" w:hAnsi="宋体" w:eastAsia="宋体" w:cs="宋体"/>
          <w:b/>
          <w:bCs w:val="0"/>
          <w:color w:val="auto"/>
          <w:sz w:val="24"/>
          <w:szCs w:val="24"/>
          <w:highlight w:val="none"/>
          <w:lang w:val="en-US" w:eastAsia="zh-CN"/>
        </w:rPr>
        <w:t>.付款方式</w:t>
      </w:r>
      <w:r>
        <w:rPr>
          <w:rFonts w:hint="eastAsia" w:ascii="宋体" w:hAnsi="宋体" w:cs="宋体"/>
          <w:b/>
          <w:bCs w:val="0"/>
          <w:color w:val="auto"/>
          <w:sz w:val="24"/>
          <w:szCs w:val="24"/>
          <w:highlight w:val="none"/>
          <w:lang w:val="en-US" w:eastAsia="zh-CN"/>
        </w:rPr>
        <w:t>：</w:t>
      </w:r>
      <w:r>
        <w:rPr>
          <w:rFonts w:hint="eastAsia" w:ascii="宋体" w:hAnsi="宋体" w:cs="宋体"/>
          <w:bCs/>
          <w:color w:val="auto"/>
          <w:sz w:val="24"/>
          <w:highlight w:val="none"/>
          <w:lang w:eastAsia="zh-CN"/>
        </w:rPr>
        <w:t>按月结算，</w:t>
      </w:r>
      <w:r>
        <w:rPr>
          <w:rFonts w:hint="eastAsia" w:ascii="宋体" w:hAnsi="宋体" w:cs="宋体"/>
          <w:bCs/>
          <w:color w:val="auto"/>
          <w:sz w:val="24"/>
          <w:highlight w:val="none"/>
          <w:lang w:val="en-US" w:eastAsia="zh-CN"/>
        </w:rPr>
        <w:t>中标人</w:t>
      </w:r>
      <w:r>
        <w:rPr>
          <w:rFonts w:hint="eastAsia" w:ascii="宋体" w:hAnsi="宋体" w:cs="宋体"/>
          <w:bCs/>
          <w:color w:val="auto"/>
          <w:sz w:val="24"/>
          <w:highlight w:val="none"/>
          <w:lang w:eastAsia="zh-CN"/>
        </w:rPr>
        <w:t>开具发票后，医院30个工作日内付款。</w:t>
      </w:r>
    </w:p>
    <w:p w14:paraId="45447417">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outlineLvl w:val="9"/>
        <w:rPr>
          <w:rFonts w:hint="eastAsia" w:ascii="宋体" w:hAnsi="宋体" w:cs="宋体"/>
          <w:bCs/>
          <w:color w:val="auto"/>
          <w:sz w:val="24"/>
          <w:highlight w:val="none"/>
          <w:lang w:eastAsia="zh-CN"/>
        </w:rPr>
      </w:pPr>
      <w:r>
        <w:rPr>
          <w:rFonts w:hint="eastAsia" w:ascii="宋体" w:hAnsi="宋体" w:cs="宋体"/>
          <w:b/>
          <w:bCs w:val="0"/>
          <w:color w:val="auto"/>
          <w:sz w:val="24"/>
          <w:szCs w:val="24"/>
          <w:highlight w:val="none"/>
          <w:lang w:val="en-US" w:eastAsia="zh-CN"/>
        </w:rPr>
        <w:t>4</w:t>
      </w:r>
      <w:r>
        <w:rPr>
          <w:rFonts w:hint="eastAsia" w:ascii="宋体" w:hAnsi="宋体" w:eastAsia="宋体" w:cs="宋体"/>
          <w:b/>
          <w:bCs w:val="0"/>
          <w:color w:val="auto"/>
          <w:sz w:val="24"/>
          <w:szCs w:val="24"/>
          <w:highlight w:val="none"/>
          <w:lang w:val="en-US" w:eastAsia="zh-CN"/>
        </w:rPr>
        <w:t>.结算方式</w:t>
      </w:r>
      <w:r>
        <w:rPr>
          <w:rFonts w:hint="eastAsia" w:ascii="宋体" w:hAnsi="宋体" w:cs="宋体"/>
          <w:b/>
          <w:bCs w:val="0"/>
          <w:color w:val="auto"/>
          <w:sz w:val="24"/>
          <w:szCs w:val="24"/>
          <w:highlight w:val="none"/>
          <w:lang w:val="en-US" w:eastAsia="zh-CN"/>
        </w:rPr>
        <w:t>：</w:t>
      </w:r>
      <w:r>
        <w:rPr>
          <w:rFonts w:hint="eastAsia" w:ascii="宋体" w:hAnsi="宋体" w:cs="宋体"/>
          <w:bCs/>
          <w:color w:val="auto"/>
          <w:sz w:val="24"/>
          <w:highlight w:val="none"/>
          <w:lang w:eastAsia="zh-CN"/>
        </w:rPr>
        <w:t>按实结算，每月一结，医疗废物处置数量按实际产生量结算。</w:t>
      </w:r>
    </w:p>
    <w:p w14:paraId="3BF84BB5">
      <w:pPr>
        <w:keepNext w:val="0"/>
        <w:keepLines w:val="0"/>
        <w:pageBreakBefore w:val="0"/>
        <w:widowControl w:val="0"/>
        <w:spacing w:line="360" w:lineRule="auto"/>
        <w:ind w:firstLine="488"/>
        <w:outlineLvl w:val="9"/>
        <w:rPr>
          <w:rFonts w:hint="eastAsia" w:ascii="宋体" w:hAnsi="宋体" w:eastAsia="宋体" w:cs="宋体"/>
          <w:b/>
          <w:bCs/>
          <w:color w:val="auto"/>
          <w:spacing w:val="2"/>
          <w:sz w:val="24"/>
          <w:szCs w:val="24"/>
          <w:highlight w:val="none"/>
          <w:u w:val="none"/>
          <w:lang w:val="en-US" w:eastAsia="zh-CN"/>
        </w:rPr>
      </w:pPr>
      <w:r>
        <w:rPr>
          <w:rFonts w:hint="eastAsia" w:ascii="宋体" w:hAnsi="宋体" w:eastAsia="宋体" w:cs="宋体"/>
          <w:b/>
          <w:bCs/>
          <w:color w:val="auto"/>
          <w:spacing w:val="2"/>
          <w:sz w:val="24"/>
          <w:szCs w:val="24"/>
          <w:highlight w:val="none"/>
          <w:u w:val="none"/>
          <w:lang w:val="en-US" w:eastAsia="zh-CN"/>
        </w:rPr>
        <w:t>三、技术要求</w:t>
      </w:r>
    </w:p>
    <w:p w14:paraId="3910941D">
      <w:pPr>
        <w:keepNext w:val="0"/>
        <w:keepLines w:val="0"/>
        <w:pageBreakBefore w:val="0"/>
        <w:wordWrap/>
        <w:overflowPunct/>
        <w:topLinePunct w:val="0"/>
        <w:bidi w:val="0"/>
        <w:spacing w:line="360" w:lineRule="auto"/>
        <w:ind w:firstLine="482" w:firstLineChars="200"/>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w:t>
      </w:r>
      <w:r>
        <w:rPr>
          <w:rFonts w:hint="eastAsia" w:ascii="宋体" w:hAnsi="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lang w:val="en-US" w:eastAsia="zh-CN"/>
        </w:rPr>
        <w:t>）服务要求</w:t>
      </w:r>
    </w:p>
    <w:p w14:paraId="11A2044E">
      <w:pPr>
        <w:pStyle w:val="114"/>
        <w:keepNext w:val="0"/>
        <w:keepLines w:val="0"/>
        <w:pageBreakBefore w:val="0"/>
        <w:widowControl w:val="0"/>
        <w:kinsoku/>
        <w:wordWrap/>
        <w:overflowPunct/>
        <w:topLinePunct w:val="0"/>
        <w:autoSpaceDE/>
        <w:autoSpaceDN/>
        <w:bidi w:val="0"/>
        <w:adjustRightInd w:val="0"/>
        <w:snapToGrid/>
        <w:spacing w:line="360" w:lineRule="auto"/>
        <w:ind w:firstLine="480"/>
        <w:contextualSpacing/>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1.中标人须具备医疗废物集中处置资质，经营范围符合国家医废处置相关规定，处置流程达到无害化标准。</w:t>
      </w:r>
    </w:p>
    <w:p w14:paraId="5F86BAB5">
      <w:pPr>
        <w:pStyle w:val="114"/>
        <w:keepNext w:val="0"/>
        <w:keepLines w:val="0"/>
        <w:pageBreakBefore w:val="0"/>
        <w:widowControl w:val="0"/>
        <w:kinsoku/>
        <w:wordWrap/>
        <w:overflowPunct/>
        <w:topLinePunct w:val="0"/>
        <w:autoSpaceDE/>
        <w:autoSpaceDN/>
        <w:bidi w:val="0"/>
        <w:adjustRightInd w:val="0"/>
        <w:snapToGrid/>
        <w:spacing w:line="360" w:lineRule="auto"/>
        <w:ind w:firstLine="480"/>
        <w:contextualSpacing/>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2.转运车辆须符合《医疗废物转运车技术要求》，配备明显医废警示标识，驾驶员与押运人员经专业培训，防止运输过程中丢失、泄漏、遗撒及二次污染。</w:t>
      </w:r>
    </w:p>
    <w:p w14:paraId="101429EB">
      <w:pPr>
        <w:pStyle w:val="114"/>
        <w:keepNext w:val="0"/>
        <w:keepLines w:val="0"/>
        <w:pageBreakBefore w:val="0"/>
        <w:widowControl w:val="0"/>
        <w:kinsoku/>
        <w:wordWrap/>
        <w:overflowPunct/>
        <w:topLinePunct w:val="0"/>
        <w:autoSpaceDE/>
        <w:autoSpaceDN/>
        <w:bidi w:val="0"/>
        <w:adjustRightInd w:val="0"/>
        <w:snapToGrid/>
        <w:spacing w:line="360" w:lineRule="auto"/>
        <w:ind w:firstLine="480"/>
        <w:contextualSpacing/>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3.每日派专用车辆清运全部医废，不得遗留；常规收运不超过48小时；应急情况接通知后及时清运；节假日需协商清运时间，暂存时间不得超过48小时；特殊情况无法及时清运须提前告知。</w:t>
      </w:r>
    </w:p>
    <w:p w14:paraId="1195B170">
      <w:pPr>
        <w:pStyle w:val="114"/>
        <w:keepNext w:val="0"/>
        <w:keepLines w:val="0"/>
        <w:pageBreakBefore w:val="0"/>
        <w:widowControl w:val="0"/>
        <w:kinsoku/>
        <w:wordWrap/>
        <w:overflowPunct/>
        <w:topLinePunct w:val="0"/>
        <w:autoSpaceDE/>
        <w:autoSpaceDN/>
        <w:bidi w:val="0"/>
        <w:adjustRightInd w:val="0"/>
        <w:snapToGrid/>
        <w:spacing w:line="360" w:lineRule="auto"/>
        <w:ind w:firstLine="480"/>
        <w:contextualSpacing/>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4.提供充足、无破损、无渗漏的周转设施，每月免费提供符合标准的医废专用袋、利器盒等耗材。</w:t>
      </w:r>
    </w:p>
    <w:p w14:paraId="7ACC0D7A">
      <w:pPr>
        <w:pStyle w:val="114"/>
        <w:keepNext w:val="0"/>
        <w:keepLines w:val="0"/>
        <w:pageBreakBefore w:val="0"/>
        <w:widowControl w:val="0"/>
        <w:kinsoku/>
        <w:wordWrap/>
        <w:overflowPunct/>
        <w:topLinePunct w:val="0"/>
        <w:autoSpaceDE/>
        <w:autoSpaceDN/>
        <w:bidi w:val="0"/>
        <w:adjustRightInd w:val="0"/>
        <w:snapToGrid/>
        <w:spacing w:line="360" w:lineRule="auto"/>
        <w:ind w:firstLine="480"/>
        <w:contextualSpacing/>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5.对清运人员进行医废专业培训，与院方做好交接登记，完整准确填写《转移联单》《医疗废物运送登记卡》，信息化数据核对无误后上传。</w:t>
      </w:r>
    </w:p>
    <w:p w14:paraId="6B97EB82">
      <w:pPr>
        <w:pStyle w:val="114"/>
        <w:keepNext w:val="0"/>
        <w:keepLines w:val="0"/>
        <w:pageBreakBefore w:val="0"/>
        <w:widowControl w:val="0"/>
        <w:kinsoku/>
        <w:wordWrap/>
        <w:overflowPunct/>
        <w:topLinePunct w:val="0"/>
        <w:autoSpaceDE/>
        <w:autoSpaceDN/>
        <w:bidi w:val="0"/>
        <w:adjustRightInd w:val="0"/>
        <w:snapToGrid/>
        <w:spacing w:line="360" w:lineRule="auto"/>
        <w:ind w:firstLine="480"/>
        <w:contextualSpacing/>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6.突发事件无法清运时，须2小时内通知医院，48小时内启动应急预案并恢复清运；无正当理由缓运、拒运、少收或造成废物流失、扩散，一切损失由</w:t>
      </w:r>
      <w:r>
        <w:rPr>
          <w:rFonts w:hint="eastAsia" w:ascii="宋体" w:hAnsi="宋体" w:cs="宋体"/>
          <w:color w:val="auto"/>
          <w:sz w:val="24"/>
          <w:szCs w:val="24"/>
          <w:highlight w:val="none"/>
          <w:lang w:val="en-US" w:eastAsia="zh-CN"/>
        </w:rPr>
        <w:t>中标人</w:t>
      </w:r>
      <w:r>
        <w:rPr>
          <w:rFonts w:hint="eastAsia" w:ascii="宋体" w:hAnsi="宋体" w:eastAsia="宋体" w:cs="宋体"/>
          <w:color w:val="auto"/>
          <w:sz w:val="24"/>
          <w:szCs w:val="24"/>
          <w:highlight w:val="none"/>
          <w:lang w:val="en-US" w:eastAsia="zh-CN"/>
        </w:rPr>
        <w:t>承担。</w:t>
      </w:r>
    </w:p>
    <w:p w14:paraId="55F5C918">
      <w:pPr>
        <w:pStyle w:val="114"/>
        <w:keepNext w:val="0"/>
        <w:keepLines w:val="0"/>
        <w:pageBreakBefore w:val="0"/>
        <w:widowControl w:val="0"/>
        <w:kinsoku/>
        <w:wordWrap/>
        <w:overflowPunct/>
        <w:topLinePunct w:val="0"/>
        <w:autoSpaceDE/>
        <w:autoSpaceDN/>
        <w:bidi w:val="0"/>
        <w:adjustRightInd w:val="0"/>
        <w:snapToGrid/>
        <w:spacing w:line="360" w:lineRule="auto"/>
        <w:ind w:firstLine="480"/>
        <w:contextualSpacing/>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7.工作人员遵守医院规章制度，文明作业，对自身安全负责。</w:t>
      </w:r>
    </w:p>
    <w:p w14:paraId="0A632680">
      <w:pPr>
        <w:pStyle w:val="114"/>
        <w:keepNext w:val="0"/>
        <w:keepLines w:val="0"/>
        <w:pageBreakBefore w:val="0"/>
        <w:widowControl w:val="0"/>
        <w:kinsoku/>
        <w:wordWrap/>
        <w:overflowPunct/>
        <w:topLinePunct w:val="0"/>
        <w:autoSpaceDE/>
        <w:autoSpaceDN/>
        <w:bidi w:val="0"/>
        <w:adjustRightInd w:val="0"/>
        <w:snapToGrid/>
        <w:spacing w:line="360" w:lineRule="auto"/>
        <w:ind w:firstLine="480"/>
        <w:contextualSpacing/>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8.合同签订次日起立即正常服务，延误或无法处置须承担全部责任与经济损失，医院有权取消</w:t>
      </w:r>
      <w:r>
        <w:rPr>
          <w:rFonts w:hint="eastAsia" w:ascii="宋体" w:hAnsi="宋体" w:cs="宋体"/>
          <w:color w:val="auto"/>
          <w:sz w:val="24"/>
          <w:szCs w:val="24"/>
          <w:highlight w:val="none"/>
          <w:lang w:val="en-US" w:eastAsia="zh-CN"/>
        </w:rPr>
        <w:t>中标人的</w:t>
      </w:r>
      <w:r>
        <w:rPr>
          <w:rFonts w:hint="eastAsia" w:ascii="宋体" w:hAnsi="宋体" w:eastAsia="宋体" w:cs="宋体"/>
          <w:color w:val="auto"/>
          <w:sz w:val="24"/>
          <w:szCs w:val="24"/>
          <w:highlight w:val="none"/>
          <w:lang w:val="en-US" w:eastAsia="zh-CN"/>
        </w:rPr>
        <w:t>中标资格并解除合同。</w:t>
      </w:r>
    </w:p>
    <w:p w14:paraId="597F0447">
      <w:pPr>
        <w:pStyle w:val="114"/>
        <w:keepNext w:val="0"/>
        <w:keepLines w:val="0"/>
        <w:pageBreakBefore w:val="0"/>
        <w:widowControl w:val="0"/>
        <w:kinsoku/>
        <w:wordWrap/>
        <w:overflowPunct/>
        <w:topLinePunct w:val="0"/>
        <w:autoSpaceDE/>
        <w:autoSpaceDN/>
        <w:bidi w:val="0"/>
        <w:adjustRightInd w:val="0"/>
        <w:snapToGrid/>
        <w:spacing w:line="360" w:lineRule="auto"/>
        <w:ind w:firstLine="480"/>
        <w:contextualSpacing/>
        <w:jc w:val="left"/>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（二）验收标准：</w:t>
      </w:r>
    </w:p>
    <w:p w14:paraId="1CDE6EE3">
      <w:pPr>
        <w:pStyle w:val="114"/>
        <w:keepNext w:val="0"/>
        <w:keepLines w:val="0"/>
        <w:pageBreakBefore w:val="0"/>
        <w:widowControl w:val="0"/>
        <w:kinsoku/>
        <w:wordWrap/>
        <w:overflowPunct/>
        <w:topLinePunct w:val="0"/>
        <w:autoSpaceDE/>
        <w:autoSpaceDN/>
        <w:bidi w:val="0"/>
        <w:adjustRightInd w:val="0"/>
        <w:snapToGrid/>
        <w:spacing w:line="360" w:lineRule="auto"/>
        <w:ind w:firstLine="480"/>
        <w:contextualSpacing/>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资质核验：确认供应商的《危险废物经营许可证》、《道路危险货物运输许可证》及人员从业资格证持续有效。</w:t>
      </w:r>
    </w:p>
    <w:p w14:paraId="45CF5C96">
      <w:pPr>
        <w:pStyle w:val="114"/>
        <w:keepNext w:val="0"/>
        <w:keepLines w:val="0"/>
        <w:pageBreakBefore w:val="0"/>
        <w:widowControl w:val="0"/>
        <w:kinsoku/>
        <w:wordWrap/>
        <w:overflowPunct/>
        <w:topLinePunct w:val="0"/>
        <w:autoSpaceDE/>
        <w:autoSpaceDN/>
        <w:bidi w:val="0"/>
        <w:adjustRightInd w:val="0"/>
        <w:snapToGrid/>
        <w:spacing w:line="360" w:lineRule="auto"/>
        <w:ind w:firstLine="480"/>
        <w:contextualSpacing/>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分类收集：严格按感染性、损伤性等五类废物分类，使用专用包装容器，标签规范，无渗漏破损。</w:t>
      </w:r>
    </w:p>
    <w:p w14:paraId="32712FC4">
      <w:pPr>
        <w:pStyle w:val="114"/>
        <w:keepNext w:val="0"/>
        <w:keepLines w:val="0"/>
        <w:pageBreakBefore w:val="0"/>
        <w:widowControl w:val="0"/>
        <w:kinsoku/>
        <w:wordWrap/>
        <w:overflowPunct/>
        <w:topLinePunct w:val="0"/>
        <w:autoSpaceDE/>
        <w:autoSpaceDN/>
        <w:bidi w:val="0"/>
        <w:adjustRightInd w:val="0"/>
        <w:snapToGrid/>
        <w:spacing w:line="360" w:lineRule="auto"/>
        <w:ind w:firstLine="480"/>
        <w:contextualSpacing/>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院内转运与暂存：专用车辆按规定路线、时间转运；暂存点符合防渗漏、防鼠等“六防”要求，暂存不超48小时，每次转运后清洗消毒并记录。</w:t>
      </w:r>
    </w:p>
    <w:p w14:paraId="79A67F9E">
      <w:pPr>
        <w:pStyle w:val="114"/>
        <w:keepNext w:val="0"/>
        <w:keepLines w:val="0"/>
        <w:pageBreakBefore w:val="0"/>
        <w:widowControl w:val="0"/>
        <w:kinsoku/>
        <w:wordWrap/>
        <w:overflowPunct/>
        <w:topLinePunct w:val="0"/>
        <w:autoSpaceDE/>
        <w:autoSpaceDN/>
        <w:bidi w:val="0"/>
        <w:adjustRightInd w:val="0"/>
        <w:snapToGrid/>
        <w:spacing w:line="360" w:lineRule="auto"/>
        <w:ind w:firstLine="480"/>
        <w:contextualSpacing/>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处置结果：处置方式须与许可证核准方式一致，每次处置后提供规范的回执或报告，确保无害化。</w:t>
      </w:r>
    </w:p>
    <w:p w14:paraId="46448F2C">
      <w:pPr>
        <w:pStyle w:val="114"/>
        <w:keepNext w:val="0"/>
        <w:keepLines w:val="0"/>
        <w:pageBreakBefore w:val="0"/>
        <w:widowControl w:val="0"/>
        <w:kinsoku/>
        <w:wordWrap/>
        <w:overflowPunct/>
        <w:topLinePunct w:val="0"/>
        <w:autoSpaceDE/>
        <w:autoSpaceDN/>
        <w:bidi w:val="0"/>
        <w:adjustRightInd w:val="0"/>
        <w:snapToGrid/>
        <w:spacing w:line="360" w:lineRule="auto"/>
        <w:ind w:firstLine="480"/>
        <w:contextualSpacing/>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应急与安全：有应急预案并定期演练，人员防护穿戴规范，发生意外事故按规定报告和处置。</w:t>
      </w:r>
    </w:p>
    <w:p w14:paraId="51C493E7">
      <w:pPr>
        <w:pStyle w:val="114"/>
        <w:keepNext w:val="0"/>
        <w:keepLines w:val="0"/>
        <w:pageBreakBefore w:val="0"/>
        <w:widowControl w:val="0"/>
        <w:kinsoku/>
        <w:wordWrap/>
        <w:overflowPunct/>
        <w:topLinePunct w:val="0"/>
        <w:autoSpaceDE/>
        <w:autoSpaceDN/>
        <w:bidi w:val="0"/>
        <w:adjustRightInd w:val="0"/>
        <w:snapToGrid/>
        <w:spacing w:line="360" w:lineRule="auto"/>
        <w:ind w:firstLine="480"/>
        <w:contextualSpacing/>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验收时，应成立验收小组，对照合同和投标文件，将上述标准逐项量化考核，形成验收书。</w:t>
      </w:r>
    </w:p>
    <w:p w14:paraId="5C7E8624">
      <w:pPr>
        <w:keepNext w:val="0"/>
        <w:keepLines w:val="0"/>
        <w:pageBreakBefore w:val="0"/>
        <w:wordWrap/>
        <w:overflowPunct/>
        <w:topLinePunct w:val="0"/>
        <w:bidi w:val="0"/>
        <w:spacing w:line="360" w:lineRule="auto"/>
        <w:ind w:firstLine="482" w:firstLineChars="200"/>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w:t>
      </w:r>
      <w:r>
        <w:rPr>
          <w:rFonts w:hint="eastAsia" w:ascii="宋体" w:hAnsi="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lang w:val="en-US" w:eastAsia="zh-CN"/>
        </w:rPr>
        <w:t>）其他要求</w:t>
      </w:r>
    </w:p>
    <w:p w14:paraId="307E3006">
      <w:pPr>
        <w:pStyle w:val="114"/>
        <w:adjustRightInd w:val="0"/>
        <w:spacing w:line="360" w:lineRule="auto"/>
        <w:ind w:firstLine="480"/>
        <w:contextualSpacing/>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按照《政府采购促进中小企业发展管理办法》（财库〔2020〕46号）的相关要求，采购人应当面向中小企业预留采购份额，本项目面向中小企业预留份额</w:t>
      </w:r>
      <w:r>
        <w:rPr>
          <w:rFonts w:hint="eastAsia" w:ascii="宋体" w:hAnsi="宋体" w:cs="宋体"/>
          <w:color w:val="auto"/>
          <w:sz w:val="24"/>
          <w:szCs w:val="24"/>
          <w:highlight w:val="none"/>
          <w:u w:val="single"/>
        </w:rPr>
        <w:t xml:space="preserve"> 0 </w:t>
      </w:r>
      <w:r>
        <w:rPr>
          <w:rFonts w:hint="eastAsia" w:ascii="宋体" w:hAnsi="宋体" w:cs="宋体"/>
          <w:color w:val="auto"/>
          <w:sz w:val="24"/>
          <w:szCs w:val="24"/>
          <w:highlight w:val="none"/>
        </w:rPr>
        <w:t>%。</w:t>
      </w:r>
    </w:p>
    <w:p w14:paraId="1DD7457E">
      <w:pPr>
        <w:pStyle w:val="114"/>
        <w:adjustRightInd w:val="0"/>
        <w:spacing w:line="360" w:lineRule="auto"/>
        <w:ind w:firstLine="482"/>
        <w:contextualSpacing/>
        <w:jc w:val="left"/>
        <w:rPr>
          <w:rFonts w:hint="eastAsia" w:ascii="宋体" w:hAnsi="宋体" w:cs="宋体"/>
          <w:color w:val="auto"/>
          <w:sz w:val="24"/>
          <w:szCs w:val="24"/>
          <w:highlight w:val="none"/>
        </w:rPr>
      </w:pPr>
      <w:r>
        <w:rPr>
          <w:rFonts w:hint="eastAsia" w:ascii="宋体" w:hAnsi="宋体" w:cs="宋体"/>
          <w:b/>
          <w:bCs/>
          <w:color w:val="auto"/>
          <w:sz w:val="24"/>
          <w:highlight w:val="none"/>
        </w:rPr>
        <w:t>情况说明</w:t>
      </w:r>
      <w:r>
        <w:rPr>
          <w:rFonts w:hint="eastAsia" w:ascii="宋体" w:hAnsi="宋体" w:cs="宋体"/>
          <w:color w:val="auto"/>
          <w:sz w:val="24"/>
          <w:highlight w:val="none"/>
        </w:rPr>
        <w:t>：预留采购份额无法确保充分供应、充分竞争，存在可能影响政府采购目标实现的情形。</w:t>
      </w:r>
    </w:p>
    <w:p w14:paraId="3C1FDAE0">
      <w:pPr>
        <w:keepNext w:val="0"/>
        <w:keepLines w:val="0"/>
        <w:pageBreakBefore w:val="0"/>
        <w:widowControl w:val="0"/>
        <w:spacing w:line="360" w:lineRule="auto"/>
        <w:ind w:firstLine="488"/>
        <w:outlineLvl w:val="9"/>
        <w:rPr>
          <w:rFonts w:hint="eastAsia" w:ascii="宋体" w:hAnsi="宋体" w:cs="宋体"/>
          <w:b/>
          <w:bCs/>
          <w:color w:val="auto"/>
          <w:spacing w:val="2"/>
          <w:sz w:val="24"/>
          <w:szCs w:val="24"/>
          <w:highlight w:val="none"/>
          <w:u w:val="none"/>
          <w:lang w:val="en-US" w:eastAsia="zh-CN"/>
        </w:rPr>
      </w:pPr>
      <w:r>
        <w:rPr>
          <w:rFonts w:hint="eastAsia" w:ascii="宋体" w:hAnsi="宋体" w:cs="宋体"/>
          <w:b/>
          <w:bCs/>
          <w:color w:val="auto"/>
          <w:spacing w:val="2"/>
          <w:sz w:val="24"/>
          <w:szCs w:val="24"/>
          <w:highlight w:val="none"/>
          <w:u w:val="none"/>
          <w:lang w:val="en-US" w:eastAsia="zh-CN"/>
        </w:rPr>
        <w:t>（四）报价方式</w:t>
      </w:r>
    </w:p>
    <w:p w14:paraId="7AD16FC7">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outlineLvl w:val="9"/>
        <w:rPr>
          <w:rFonts w:hint="eastAsia" w:ascii="宋体" w:hAnsi="宋体" w:cs="宋体"/>
          <w:color w:val="auto"/>
          <w:sz w:val="24"/>
          <w:highlight w:val="none"/>
          <w:u w:val="none"/>
          <w:lang w:val="en-US" w:eastAsia="zh-CN"/>
        </w:rPr>
      </w:pPr>
      <w:r>
        <w:rPr>
          <w:rFonts w:hint="eastAsia" w:ascii="宋体" w:hAnsi="宋体" w:cs="宋体"/>
          <w:color w:val="auto"/>
          <w:sz w:val="24"/>
          <w:highlight w:val="none"/>
          <w:u w:val="none"/>
          <w:lang w:val="en-US" w:eastAsia="zh-CN"/>
        </w:rPr>
        <w:t>本项目报价为</w:t>
      </w:r>
      <w:r>
        <w:rPr>
          <w:rFonts w:hint="eastAsia" w:ascii="宋体" w:hAnsi="宋体" w:cs="宋体"/>
          <w:b/>
          <w:bCs/>
          <w:color w:val="auto"/>
          <w:sz w:val="24"/>
          <w:highlight w:val="none"/>
          <w:u w:val="none"/>
          <w:lang w:val="en-US" w:eastAsia="zh-CN"/>
        </w:rPr>
        <w:t>固定单价</w:t>
      </w:r>
      <w:r>
        <w:rPr>
          <w:rFonts w:hint="eastAsia" w:ascii="宋体" w:hAnsi="宋体" w:cs="宋体"/>
          <w:color w:val="auto"/>
          <w:sz w:val="24"/>
          <w:highlight w:val="none"/>
          <w:u w:val="none"/>
          <w:lang w:val="en-US" w:eastAsia="zh-CN"/>
        </w:rPr>
        <w:t>，投标报价应包括采购文件所确定的采购范围相应服务的提供、人工费用（专职收集、转运人员的工资、津贴、社保、体检及职业防护用品费用）、运输工具费用（专用医疗废物转运车辆的购置或租赁、折旧、维修、保险、燃油、路桥等费用）、包装材料费用（专用包装袋、利器盒、周转箱（桶）的购置与更换费用）、贮存与处置费</w:t>
      </w:r>
      <w:r>
        <w:rPr>
          <w:rFonts w:hint="eastAsia" w:ascii="宋体" w:hAnsi="宋体" w:eastAsia="宋体" w:cs="宋体"/>
          <w:color w:val="auto"/>
          <w:sz w:val="24"/>
          <w:highlight w:val="none"/>
          <w:u w:val="none"/>
          <w:lang w:val="en-US" w:eastAsia="zh-CN"/>
        </w:rPr>
        <w:t>用、转移联单管理费用、检测与监测费用、</w:t>
      </w:r>
      <w:r>
        <w:rPr>
          <w:rFonts w:hint="eastAsia" w:ascii="宋体" w:hAnsi="宋体" w:cs="宋体"/>
          <w:color w:val="auto"/>
          <w:sz w:val="24"/>
          <w:highlight w:val="none"/>
          <w:u w:val="none"/>
          <w:lang w:val="en-US" w:eastAsia="zh-CN"/>
        </w:rPr>
        <w:t>办公场所及设施、不可预见费用、保险、劳保、管理、各种税费、利润、税金、政策性文件规定及合同包含的所有风险、责任等各项应有费用，以及为完成该项服务项目所涉及到的一切相关费用，采购人不再支付其他任何费用。</w:t>
      </w:r>
    </w:p>
    <w:p w14:paraId="07948D20">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outlineLvl w:val="9"/>
        <w:rPr>
          <w:rFonts w:hint="eastAsia" w:ascii="宋体" w:hAnsi="宋体" w:cs="宋体"/>
          <w:color w:val="auto"/>
          <w:sz w:val="24"/>
          <w:highlight w:val="none"/>
          <w:u w:val="none"/>
          <w:lang w:val="en-US" w:eastAsia="zh-CN"/>
        </w:rPr>
      </w:pPr>
    </w:p>
    <w:p w14:paraId="03457DEA">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outlineLvl w:val="9"/>
        <w:rPr>
          <w:rFonts w:hint="eastAsia" w:asciiTheme="majorEastAsia" w:hAnsiTheme="majorEastAsia" w:eastAsiaTheme="majorEastAsia"/>
          <w:b/>
          <w:bCs/>
          <w:color w:val="auto"/>
          <w:sz w:val="44"/>
          <w:szCs w:val="44"/>
          <w:highlight w:val="none"/>
        </w:rPr>
      </w:pPr>
      <w:r>
        <w:rPr>
          <w:rFonts w:hint="eastAsia" w:ascii="宋体" w:hAnsi="宋体" w:cs="宋体"/>
          <w:color w:val="auto"/>
          <w:sz w:val="24"/>
          <w:highlight w:val="none"/>
          <w:u w:val="none"/>
          <w:lang w:eastAsia="zh-CN"/>
        </w:rPr>
        <w:br w:type="page"/>
      </w:r>
    </w:p>
    <w:bookmarkEnd w:id="813"/>
    <w:p w14:paraId="244B58E3">
      <w:pPr>
        <w:spacing w:line="360" w:lineRule="auto"/>
        <w:jc w:val="center"/>
        <w:outlineLvl w:val="0"/>
        <w:rPr>
          <w:b/>
          <w:color w:val="auto"/>
          <w:sz w:val="36"/>
          <w:szCs w:val="36"/>
          <w:highlight w:val="none"/>
        </w:rPr>
      </w:pPr>
      <w:r>
        <w:rPr>
          <w:b/>
          <w:color w:val="auto"/>
          <w:sz w:val="36"/>
          <w:szCs w:val="36"/>
          <w:highlight w:val="none"/>
        </w:rPr>
        <w:t>第六章   拟签订的合同文本</w:t>
      </w:r>
      <w:bookmarkEnd w:id="814"/>
      <w:bookmarkEnd w:id="815"/>
    </w:p>
    <w:p w14:paraId="6A2B0B40">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4"/>
          <w:szCs w:val="24"/>
          <w:highlight w:val="none"/>
        </w:rPr>
      </w:pPr>
      <w:bookmarkStart w:id="816" w:name="_Toc18832"/>
      <w:bookmarkStart w:id="817" w:name="_Toc99301426"/>
    </w:p>
    <w:p w14:paraId="6E16C45E">
      <w:pPr>
        <w:pStyle w:val="24"/>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4"/>
          <w:szCs w:val="24"/>
          <w:highlight w:val="none"/>
        </w:rPr>
      </w:pPr>
      <w:r>
        <w:rPr>
          <w:rFonts w:hint="eastAsia" w:hAnsi="宋体" w:cs="宋体"/>
          <w:b/>
          <w:color w:val="auto"/>
          <w:sz w:val="24"/>
          <w:szCs w:val="24"/>
          <w:highlight w:val="none"/>
          <w:lang w:val="en-US" w:eastAsia="zh-CN"/>
        </w:rPr>
        <w:t>采购人</w:t>
      </w:r>
      <w:r>
        <w:rPr>
          <w:rFonts w:hint="eastAsia" w:ascii="宋体" w:hAnsi="宋体" w:eastAsia="宋体" w:cs="宋体"/>
          <w:b/>
          <w:color w:val="auto"/>
          <w:sz w:val="24"/>
          <w:szCs w:val="24"/>
          <w:highlight w:val="none"/>
          <w:lang w:val="zh-CN"/>
        </w:rPr>
        <w:t>（以下称甲</w:t>
      </w:r>
      <w:r>
        <w:rPr>
          <w:rFonts w:hint="eastAsia" w:ascii="宋体" w:hAnsi="宋体" w:eastAsia="宋体" w:cs="宋体"/>
          <w:b/>
          <w:color w:val="auto"/>
          <w:sz w:val="24"/>
          <w:szCs w:val="24"/>
          <w:highlight w:val="none"/>
        </w:rPr>
        <w:t>方）:</w:t>
      </w:r>
      <w:r>
        <w:rPr>
          <w:rFonts w:hint="eastAsia" w:ascii="宋体" w:hAnsi="宋体" w:eastAsia="宋体" w:cs="宋体"/>
          <w:color w:val="auto"/>
          <w:sz w:val="24"/>
          <w:szCs w:val="24"/>
          <w:highlight w:val="none"/>
          <w:u w:val="single"/>
        </w:rPr>
        <w:t xml:space="preserve"> </w:t>
      </w:r>
      <w:r>
        <w:rPr>
          <w:rFonts w:hint="eastAsia" w:hAnsi="宋体" w:cs="宋体"/>
          <w:color w:val="auto"/>
          <w:sz w:val="24"/>
          <w:szCs w:val="24"/>
          <w:highlight w:val="none"/>
          <w:u w:val="single"/>
          <w:lang w:val="en-US" w:eastAsia="zh-CN"/>
        </w:rPr>
        <w:t>常州市中医医院</w:t>
      </w:r>
      <w:r>
        <w:rPr>
          <w:rFonts w:hint="eastAsia" w:ascii="宋体" w:hAnsi="宋体" w:eastAsia="宋体" w:cs="宋体"/>
          <w:color w:val="auto"/>
          <w:sz w:val="24"/>
          <w:szCs w:val="24"/>
          <w:highlight w:val="none"/>
          <w:u w:val="single"/>
        </w:rPr>
        <w:t xml:space="preserve"> </w:t>
      </w:r>
    </w:p>
    <w:p w14:paraId="77A1AC7E">
      <w:pPr>
        <w:pStyle w:val="24"/>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4"/>
          <w:szCs w:val="24"/>
          <w:highlight w:val="none"/>
          <w:u w:val="single"/>
        </w:rPr>
      </w:pPr>
      <w:r>
        <w:rPr>
          <w:rFonts w:hint="eastAsia" w:hAnsi="宋体" w:cs="宋体"/>
          <w:b/>
          <w:color w:val="auto"/>
          <w:sz w:val="24"/>
          <w:szCs w:val="24"/>
          <w:highlight w:val="none"/>
          <w:lang w:val="en-US" w:eastAsia="zh-CN"/>
        </w:rPr>
        <w:t>投标人</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zh-CN"/>
        </w:rPr>
        <w:t>以下称</w:t>
      </w:r>
      <w:r>
        <w:rPr>
          <w:rFonts w:hint="eastAsia" w:ascii="宋体" w:hAnsi="宋体" w:eastAsia="宋体" w:cs="宋体"/>
          <w:b/>
          <w:color w:val="auto"/>
          <w:sz w:val="24"/>
          <w:szCs w:val="24"/>
          <w:highlight w:val="none"/>
        </w:rPr>
        <w:t>乙方）:</w:t>
      </w:r>
      <w:r>
        <w:rPr>
          <w:rFonts w:hint="eastAsia" w:ascii="宋体" w:hAnsi="宋体" w:eastAsia="宋体" w:cs="宋体"/>
          <w:b/>
          <w:color w:val="auto"/>
          <w:sz w:val="24"/>
          <w:szCs w:val="24"/>
          <w:highlight w:val="none"/>
          <w:u w:val="single"/>
        </w:rPr>
        <w:t xml:space="preserve">          </w:t>
      </w:r>
      <w:r>
        <w:rPr>
          <w:rFonts w:hint="eastAsia" w:hAnsi="宋体" w:cs="宋体"/>
          <w:b/>
          <w:color w:val="auto"/>
          <w:sz w:val="24"/>
          <w:szCs w:val="24"/>
          <w:highlight w:val="none"/>
          <w:u w:val="single"/>
          <w:lang w:val="en-US" w:eastAsia="zh-CN"/>
        </w:rPr>
        <w:t xml:space="preserve">      </w:t>
      </w:r>
    </w:p>
    <w:p w14:paraId="575D520D">
      <w:pPr>
        <w:pStyle w:val="4"/>
        <w:keepNext w:val="0"/>
        <w:keepLines w:val="0"/>
        <w:pageBreakBefore w:val="0"/>
        <w:widowControl w:val="0"/>
        <w:kinsoku/>
        <w:wordWrap/>
        <w:overflowPunct/>
        <w:topLinePunct w:val="0"/>
        <w:bidi w:val="0"/>
        <w:spacing w:line="360" w:lineRule="auto"/>
        <w:ind w:firstLine="960" w:firstLineChars="4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合同编号：</w:t>
      </w:r>
      <w:r>
        <w:rPr>
          <w:rFonts w:hint="eastAsia" w:ascii="宋体" w:hAnsi="宋体" w:eastAsia="宋体" w:cs="宋体"/>
          <w:color w:val="auto"/>
          <w:sz w:val="24"/>
          <w:szCs w:val="24"/>
          <w:highlight w:val="none"/>
          <w:u w:val="single"/>
        </w:rPr>
        <w:t xml:space="preserve">        </w:t>
      </w:r>
    </w:p>
    <w:p w14:paraId="0AA79D2F">
      <w:pPr>
        <w:pStyle w:val="4"/>
        <w:keepNext w:val="0"/>
        <w:keepLines w:val="0"/>
        <w:pageBreakBefore w:val="0"/>
        <w:widowControl w:val="0"/>
        <w:kinsoku/>
        <w:wordWrap/>
        <w:overflowPunct/>
        <w:topLinePunct w:val="0"/>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签订地点：</w:t>
      </w:r>
      <w:r>
        <w:rPr>
          <w:rFonts w:hint="eastAsia" w:ascii="宋体" w:hAnsi="宋体" w:eastAsia="宋体" w:cs="宋体"/>
          <w:color w:val="auto"/>
          <w:sz w:val="24"/>
          <w:szCs w:val="24"/>
          <w:highlight w:val="none"/>
          <w:u w:val="single"/>
        </w:rPr>
        <w:t xml:space="preserve">        </w:t>
      </w:r>
    </w:p>
    <w:p w14:paraId="06C4CF4E">
      <w:pPr>
        <w:pStyle w:val="4"/>
        <w:keepNext w:val="0"/>
        <w:keepLines w:val="0"/>
        <w:pageBreakBefore w:val="0"/>
        <w:widowControl w:val="0"/>
        <w:kinsoku/>
        <w:wordWrap/>
        <w:overflowPunct/>
        <w:topLinePunct w:val="0"/>
        <w:bidi w:val="0"/>
        <w:spacing w:line="360" w:lineRule="auto"/>
        <w:jc w:val="right"/>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合同时间: </w:t>
      </w:r>
      <w:r>
        <w:rPr>
          <w:rFonts w:hint="eastAsia" w:ascii="宋体" w:hAnsi="宋体" w:eastAsia="宋体" w:cs="宋体"/>
          <w:color w:val="auto"/>
          <w:sz w:val="24"/>
          <w:szCs w:val="24"/>
          <w:highlight w:val="none"/>
          <w:u w:val="single"/>
        </w:rPr>
        <w:t xml:space="preserve">    年   月   日</w:t>
      </w:r>
    </w:p>
    <w:p w14:paraId="10F2EE04">
      <w:pPr>
        <w:pStyle w:val="24"/>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甲乙双方依据</w:t>
      </w:r>
      <w:r>
        <w:rPr>
          <w:rFonts w:hint="eastAsia" w:ascii="宋体" w:hAnsi="宋体" w:eastAsia="宋体" w:cs="宋体"/>
          <w:color w:val="auto"/>
          <w:sz w:val="24"/>
          <w:szCs w:val="24"/>
          <w:highlight w:val="none"/>
          <w:lang w:eastAsia="zh-CN"/>
        </w:rPr>
        <w:t>《中华人民共和国民法典》</w:t>
      </w:r>
      <w:r>
        <w:rPr>
          <w:rFonts w:hint="eastAsia" w:ascii="宋体" w:hAnsi="宋体" w:eastAsia="宋体" w:cs="宋体"/>
          <w:color w:val="auto"/>
          <w:sz w:val="24"/>
          <w:szCs w:val="24"/>
          <w:highlight w:val="none"/>
        </w:rPr>
        <w:t>以及有关法律、法规的规定，经协商一致，订立本合同，以便共同遵守。</w:t>
      </w:r>
    </w:p>
    <w:p w14:paraId="3AB3FC07">
      <w:pPr>
        <w:pStyle w:val="24"/>
        <w:keepNext w:val="0"/>
        <w:keepLines w:val="0"/>
        <w:pageBreakBefore w:val="0"/>
        <w:kinsoku/>
        <w:wordWrap/>
        <w:overflowPunct/>
        <w:topLinePunct w:val="0"/>
        <w:bidi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第一条 合同标的</w:t>
      </w:r>
    </w:p>
    <w:p w14:paraId="76784479">
      <w:pPr>
        <w:keepNext w:val="0"/>
        <w:keepLines w:val="0"/>
        <w:pageBreakBefore w:val="0"/>
        <w:widowControl/>
        <w:kinsoku/>
        <w:wordWrap/>
        <w:overflowPunct/>
        <w:topLinePunct w:val="0"/>
        <w:bidi w:val="0"/>
        <w:adjustRightInd w:val="0"/>
        <w:spacing w:line="360" w:lineRule="auto"/>
        <w:ind w:firstLine="484" w:firstLineChars="202"/>
        <w:jc w:val="left"/>
        <w:textAlignment w:val="auto"/>
        <w:outlineLvl w:val="9"/>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乙方根据甲方需求提供下列服务：</w:t>
      </w:r>
      <w:r>
        <w:rPr>
          <w:rFonts w:hint="eastAsia" w:ascii="宋体" w:hAnsi="宋体" w:eastAsia="宋体" w:cs="宋体"/>
          <w:color w:val="auto"/>
          <w:kern w:val="0"/>
          <w:sz w:val="24"/>
          <w:szCs w:val="24"/>
          <w:highlight w:val="none"/>
          <w:u w:val="single"/>
          <w:lang w:val="zh-CN"/>
        </w:rPr>
        <w:t xml:space="preserve">         </w:t>
      </w:r>
      <w:r>
        <w:rPr>
          <w:rFonts w:hint="eastAsia" w:ascii="宋体" w:hAnsi="宋体" w:eastAsia="宋体" w:cs="宋体"/>
          <w:color w:val="auto"/>
          <w:kern w:val="0"/>
          <w:sz w:val="24"/>
          <w:szCs w:val="24"/>
          <w:highlight w:val="none"/>
          <w:lang w:val="zh-CN"/>
        </w:rPr>
        <w:t>，</w:t>
      </w:r>
      <w:r>
        <w:rPr>
          <w:rFonts w:hint="eastAsia" w:ascii="宋体" w:hAnsi="宋体" w:eastAsia="宋体" w:cs="宋体"/>
          <w:color w:val="auto"/>
          <w:sz w:val="24"/>
          <w:szCs w:val="24"/>
          <w:highlight w:val="none"/>
        </w:rPr>
        <w:t>系指根据合同规定乙方须承担与服务有关的所有辅助服务</w:t>
      </w:r>
      <w:r>
        <w:rPr>
          <w:rFonts w:hint="eastAsia" w:ascii="宋体" w:hAnsi="宋体" w:eastAsia="宋体" w:cs="宋体"/>
          <w:color w:val="auto"/>
          <w:kern w:val="0"/>
          <w:sz w:val="24"/>
          <w:szCs w:val="24"/>
          <w:highlight w:val="none"/>
          <w:lang w:val="zh-CN"/>
        </w:rPr>
        <w:t>。</w:t>
      </w:r>
    </w:p>
    <w:p w14:paraId="49748A35">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第二条 合同价格</w:t>
      </w:r>
    </w:p>
    <w:p w14:paraId="44A17981">
      <w:pPr>
        <w:pStyle w:val="24"/>
        <w:keepNext w:val="0"/>
        <w:keepLines w:val="0"/>
        <w:pageBreakBefore w:val="0"/>
        <w:kinsoku/>
        <w:wordWrap/>
        <w:overflowPunct/>
        <w:topLinePunct w:val="0"/>
        <w:bidi w:val="0"/>
        <w:spacing w:line="360" w:lineRule="auto"/>
        <w:ind w:firstLine="487" w:firstLineChars="202"/>
        <w:jc w:val="left"/>
        <w:textAlignment w:val="auto"/>
        <w:outlineLvl w:val="9"/>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签约合同价（人民币，下同）</w:t>
      </w:r>
      <w:r>
        <w:rPr>
          <w:rFonts w:hint="eastAsia" w:ascii="宋体" w:hAnsi="宋体" w:eastAsia="宋体" w:cs="宋体"/>
          <w:b/>
          <w:color w:val="auto"/>
          <w:sz w:val="24"/>
          <w:szCs w:val="24"/>
          <w:highlight w:val="none"/>
          <w:u w:val="none"/>
        </w:rPr>
        <w:t>：</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w:t>
      </w:r>
    </w:p>
    <w:p w14:paraId="1CABA974">
      <w:pPr>
        <w:pStyle w:val="24"/>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本合同价</w:t>
      </w:r>
      <w:r>
        <w:rPr>
          <w:rFonts w:hint="eastAsia" w:ascii="宋体" w:hAnsi="宋体" w:eastAsia="宋体" w:cs="宋体"/>
          <w:color w:val="auto"/>
          <w:spacing w:val="2"/>
          <w:sz w:val="24"/>
          <w:szCs w:val="24"/>
          <w:highlight w:val="none"/>
          <w:u w:val="none"/>
          <w:lang w:val="en-US" w:eastAsia="zh-CN"/>
        </w:rPr>
        <w:t>包括采购文件所确定的采购范围相应服务的提供、人工费用</w:t>
      </w:r>
      <w:r>
        <w:rPr>
          <w:rFonts w:hint="eastAsia" w:hAnsi="宋体" w:cs="宋体"/>
          <w:color w:val="auto"/>
          <w:spacing w:val="2"/>
          <w:sz w:val="24"/>
          <w:szCs w:val="24"/>
          <w:highlight w:val="none"/>
          <w:u w:val="none"/>
          <w:lang w:val="en-US" w:eastAsia="zh-CN"/>
        </w:rPr>
        <w:t>（</w:t>
      </w:r>
      <w:r>
        <w:rPr>
          <w:rFonts w:hint="eastAsia" w:ascii="宋体" w:hAnsi="宋体" w:eastAsia="宋体" w:cs="宋体"/>
          <w:color w:val="auto"/>
          <w:spacing w:val="2"/>
          <w:sz w:val="24"/>
          <w:szCs w:val="24"/>
          <w:highlight w:val="none"/>
          <w:u w:val="none"/>
          <w:lang w:val="en-US" w:eastAsia="zh-CN"/>
        </w:rPr>
        <w:t>专职收集、转运人员的工资、津贴、社保、体检及职业防护用品费用</w:t>
      </w:r>
      <w:r>
        <w:rPr>
          <w:rFonts w:hint="eastAsia" w:hAnsi="宋体" w:cs="宋体"/>
          <w:color w:val="auto"/>
          <w:spacing w:val="2"/>
          <w:sz w:val="24"/>
          <w:szCs w:val="24"/>
          <w:highlight w:val="none"/>
          <w:u w:val="none"/>
          <w:lang w:val="en-US" w:eastAsia="zh-CN"/>
        </w:rPr>
        <w:t>）、</w:t>
      </w:r>
      <w:r>
        <w:rPr>
          <w:rFonts w:hint="eastAsia" w:ascii="宋体" w:hAnsi="宋体" w:eastAsia="宋体" w:cs="宋体"/>
          <w:color w:val="auto"/>
          <w:spacing w:val="2"/>
          <w:sz w:val="24"/>
          <w:szCs w:val="24"/>
          <w:highlight w:val="none"/>
          <w:u w:val="none"/>
          <w:lang w:val="en-US" w:eastAsia="zh-CN"/>
        </w:rPr>
        <w:t>运输工具费用（专用医疗废物转运车辆的购置或租赁、折旧、维修、保险、燃油、路桥等费用）、包装材料费用（专用包装袋、利器盒、周转箱（桶）的购置与更换费用）、贮存与处置</w:t>
      </w:r>
      <w:r>
        <w:rPr>
          <w:rFonts w:hint="eastAsia" w:hAnsi="宋体" w:cs="宋体"/>
          <w:color w:val="auto"/>
          <w:spacing w:val="2"/>
          <w:sz w:val="24"/>
          <w:szCs w:val="24"/>
          <w:highlight w:val="none"/>
          <w:u w:val="none"/>
          <w:lang w:val="en-US" w:eastAsia="zh-CN"/>
        </w:rPr>
        <w:t>费用</w:t>
      </w:r>
      <w:r>
        <w:rPr>
          <w:rFonts w:hint="eastAsia" w:ascii="宋体" w:hAnsi="宋体" w:eastAsia="宋体" w:cs="宋体"/>
          <w:color w:val="auto"/>
          <w:sz w:val="24"/>
          <w:highlight w:val="none"/>
          <w:u w:val="none"/>
          <w:lang w:val="en-US" w:eastAsia="zh-CN"/>
        </w:rPr>
        <w:t>、转移联单管理费用、检测与监测费用、</w:t>
      </w:r>
      <w:r>
        <w:rPr>
          <w:rFonts w:hint="eastAsia" w:ascii="宋体" w:hAnsi="宋体" w:eastAsia="宋体" w:cs="宋体"/>
          <w:color w:val="auto"/>
          <w:spacing w:val="2"/>
          <w:sz w:val="24"/>
          <w:szCs w:val="24"/>
          <w:highlight w:val="none"/>
          <w:u w:val="none"/>
          <w:lang w:val="en-US" w:eastAsia="zh-CN"/>
        </w:rPr>
        <w:t>办公场所及设施、不可预见费用、保险、劳保、管理、各种税费、利润、税金、政策性文件规定及合同包含的所有风险、责任等各项应有费用，以及为完成该项服务项目所涉及到的一切相关费用，</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不再支付其他任何费用。</w:t>
      </w:r>
    </w:p>
    <w:p w14:paraId="723AA54F">
      <w:pPr>
        <w:pStyle w:val="24"/>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本合同总价款还包含乙方应当提供的伴随服务/售后服务费用。</w:t>
      </w:r>
    </w:p>
    <w:p w14:paraId="01D2DDF4">
      <w:pPr>
        <w:pStyle w:val="24"/>
        <w:keepNext w:val="0"/>
        <w:keepLines w:val="0"/>
        <w:pageBreakBefore w:val="0"/>
        <w:kinsoku/>
        <w:wordWrap/>
        <w:overflowPunct/>
        <w:topLinePunct w:val="0"/>
        <w:bidi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hAnsi="宋体" w:cs="宋体"/>
          <w:b/>
          <w:color w:val="auto"/>
          <w:sz w:val="24"/>
          <w:szCs w:val="24"/>
          <w:highlight w:val="none"/>
          <w:lang w:val="en-US" w:eastAsia="zh-CN"/>
        </w:rPr>
        <w:t>三</w:t>
      </w:r>
      <w:r>
        <w:rPr>
          <w:rFonts w:hint="eastAsia" w:ascii="宋体" w:hAnsi="宋体" w:eastAsia="宋体" w:cs="宋体"/>
          <w:b/>
          <w:color w:val="auto"/>
          <w:sz w:val="24"/>
          <w:szCs w:val="24"/>
          <w:highlight w:val="none"/>
        </w:rPr>
        <w:t>条 组成本合同的有关文件</w:t>
      </w:r>
    </w:p>
    <w:p w14:paraId="4FE61A8F">
      <w:pPr>
        <w:pStyle w:val="24"/>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下列与本次采购活动有关的文件及有关附件是本合同不可分割的组成部分，与本合同具有同等法律效力，这些文件包括但不限于：</w:t>
      </w:r>
    </w:p>
    <w:p w14:paraId="53159437">
      <w:pPr>
        <w:pStyle w:val="24"/>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hAnsi="宋体" w:cs="宋体"/>
          <w:color w:val="auto"/>
          <w:sz w:val="24"/>
          <w:szCs w:val="24"/>
          <w:highlight w:val="none"/>
          <w:lang w:val="en-US" w:eastAsia="zh-CN"/>
        </w:rPr>
        <w:t>招标</w:t>
      </w:r>
      <w:r>
        <w:rPr>
          <w:rFonts w:hint="eastAsia" w:hAnsi="宋体" w:cs="宋体"/>
          <w:color w:val="auto"/>
          <w:sz w:val="24"/>
          <w:szCs w:val="24"/>
          <w:highlight w:val="none"/>
          <w:lang w:eastAsia="zh-CN"/>
        </w:rPr>
        <w:t>文件</w:t>
      </w:r>
      <w:r>
        <w:rPr>
          <w:rFonts w:hint="eastAsia" w:ascii="宋体" w:hAnsi="宋体" w:eastAsia="宋体" w:cs="宋体"/>
          <w:color w:val="auto"/>
          <w:sz w:val="24"/>
          <w:szCs w:val="24"/>
          <w:highlight w:val="none"/>
        </w:rPr>
        <w:t>（编号：</w:t>
      </w:r>
      <w:r>
        <w:rPr>
          <w:rFonts w:hint="eastAsia" w:hAnsi="宋体" w:cs="宋体"/>
          <w:color w:val="auto"/>
          <w:sz w:val="24"/>
          <w:szCs w:val="24"/>
          <w:highlight w:val="none"/>
          <w:lang w:eastAsia="zh-CN"/>
        </w:rPr>
        <w:t>JSZC-320400-SYZB-G2026-0039</w:t>
      </w:r>
      <w:r>
        <w:rPr>
          <w:rFonts w:hint="eastAsia" w:ascii="宋体" w:hAnsi="宋体" w:eastAsia="宋体" w:cs="宋体"/>
          <w:color w:val="auto"/>
          <w:sz w:val="24"/>
          <w:szCs w:val="24"/>
          <w:highlight w:val="none"/>
        </w:rPr>
        <w:t>）</w:t>
      </w:r>
      <w:r>
        <w:rPr>
          <w:rFonts w:hint="eastAsia" w:hAnsi="宋体" w:eastAsia="宋体" w:cs="宋体"/>
          <w:color w:val="auto"/>
          <w:sz w:val="24"/>
          <w:szCs w:val="24"/>
          <w:highlight w:val="none"/>
          <w:lang w:eastAsia="zh-CN"/>
        </w:rPr>
        <w:t>；</w:t>
      </w:r>
    </w:p>
    <w:p w14:paraId="27907914">
      <w:pPr>
        <w:pStyle w:val="24"/>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（2）乙方提供的</w:t>
      </w:r>
      <w:r>
        <w:rPr>
          <w:rFonts w:hint="eastAsia" w:hAnsi="宋体" w:cs="宋体"/>
          <w:color w:val="auto"/>
          <w:sz w:val="24"/>
          <w:szCs w:val="24"/>
          <w:highlight w:val="none"/>
          <w:lang w:eastAsia="zh-CN"/>
        </w:rPr>
        <w:t>投标文件</w:t>
      </w:r>
      <w:r>
        <w:rPr>
          <w:rFonts w:hint="eastAsia" w:ascii="宋体" w:hAnsi="宋体" w:eastAsia="宋体" w:cs="宋体"/>
          <w:color w:val="auto"/>
          <w:sz w:val="24"/>
          <w:szCs w:val="24"/>
          <w:highlight w:val="none"/>
        </w:rPr>
        <w:t>；</w:t>
      </w:r>
    </w:p>
    <w:p w14:paraId="4F6C0833">
      <w:pPr>
        <w:pStyle w:val="24"/>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hAnsi="宋体" w:cs="宋体"/>
          <w:color w:val="auto"/>
          <w:sz w:val="24"/>
          <w:szCs w:val="24"/>
          <w:highlight w:val="none"/>
          <w:lang w:val="en-US" w:eastAsia="zh-CN"/>
        </w:rPr>
        <w:t>中标</w:t>
      </w:r>
      <w:r>
        <w:rPr>
          <w:rFonts w:hint="eastAsia" w:ascii="宋体" w:hAnsi="宋体" w:eastAsia="宋体" w:cs="宋体"/>
          <w:color w:val="auto"/>
          <w:sz w:val="24"/>
          <w:szCs w:val="24"/>
          <w:highlight w:val="none"/>
        </w:rPr>
        <w:t>通知书；</w:t>
      </w:r>
    </w:p>
    <w:p w14:paraId="1F0578B4">
      <w:pPr>
        <w:pStyle w:val="24"/>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（4）甲乙双方商定的其他文件等。</w:t>
      </w:r>
    </w:p>
    <w:p w14:paraId="7D8D9F16">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val="en-US" w:eastAsia="zh-CN"/>
        </w:rPr>
        <w:t>四</w:t>
      </w:r>
      <w:r>
        <w:rPr>
          <w:rFonts w:hint="eastAsia" w:ascii="宋体" w:hAnsi="宋体" w:eastAsia="宋体" w:cs="宋体"/>
          <w:b/>
          <w:color w:val="auto"/>
          <w:sz w:val="24"/>
          <w:szCs w:val="24"/>
          <w:highlight w:val="none"/>
        </w:rPr>
        <w:t>条 合同款结算及支付</w:t>
      </w:r>
    </w:p>
    <w:p w14:paraId="20A4A8AB">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1.本合同项下所有款项均以人民币支付。</w:t>
      </w:r>
    </w:p>
    <w:p w14:paraId="57FCD058">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2.本合同项下的采购资金由甲方自行支付，乙方向甲方开具发票。</w:t>
      </w:r>
    </w:p>
    <w:p w14:paraId="43A916AC">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结算方式：固定</w:t>
      </w:r>
      <w:r>
        <w:rPr>
          <w:rFonts w:hint="eastAsia" w:ascii="宋体" w:hAnsi="宋体" w:cs="宋体"/>
          <w:color w:val="auto"/>
          <w:sz w:val="24"/>
          <w:szCs w:val="24"/>
          <w:highlight w:val="none"/>
          <w:lang w:val="en-US" w:eastAsia="zh-CN"/>
        </w:rPr>
        <w:t>单价，按实结算，每月一结，医疗废物处置数量按实际产生量结算</w:t>
      </w:r>
      <w:r>
        <w:rPr>
          <w:rFonts w:hint="eastAsia" w:ascii="宋体" w:hAnsi="宋体" w:eastAsia="宋体" w:cs="宋体"/>
          <w:color w:val="auto"/>
          <w:sz w:val="24"/>
          <w:szCs w:val="24"/>
          <w:highlight w:val="none"/>
          <w:lang w:val="en-US" w:eastAsia="zh-CN"/>
        </w:rPr>
        <w:t>。</w:t>
      </w:r>
    </w:p>
    <w:p w14:paraId="6827AF15">
      <w:pPr>
        <w:spacing w:line="360" w:lineRule="auto"/>
        <w:ind w:firstLine="480" w:firstLineChars="200"/>
        <w:contextualSpacing/>
        <w:rPr>
          <w:rFonts w:hint="eastAsia" w:ascii="宋体" w:hAnsi="宋体" w:cs="宋体"/>
          <w:bCs/>
          <w:color w:val="auto"/>
          <w:sz w:val="24"/>
          <w:highlight w:val="none"/>
          <w:lang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.付款方式：</w:t>
      </w:r>
      <w:r>
        <w:rPr>
          <w:rFonts w:hint="eastAsia" w:ascii="宋体" w:hAnsi="宋体" w:cs="宋体"/>
          <w:bCs/>
          <w:color w:val="auto"/>
          <w:sz w:val="24"/>
          <w:highlight w:val="none"/>
          <w:lang w:eastAsia="zh-CN"/>
        </w:rPr>
        <w:t>按月结算，</w:t>
      </w:r>
      <w:r>
        <w:rPr>
          <w:rFonts w:hint="eastAsia" w:ascii="宋体" w:hAnsi="宋体" w:cs="宋体"/>
          <w:bCs/>
          <w:color w:val="auto"/>
          <w:sz w:val="24"/>
          <w:highlight w:val="none"/>
          <w:lang w:val="en-US" w:eastAsia="zh-CN"/>
        </w:rPr>
        <w:t>乙方</w:t>
      </w:r>
      <w:r>
        <w:rPr>
          <w:rFonts w:hint="eastAsia" w:ascii="宋体" w:hAnsi="宋体" w:cs="宋体"/>
          <w:bCs/>
          <w:color w:val="auto"/>
          <w:sz w:val="24"/>
          <w:highlight w:val="none"/>
          <w:lang w:eastAsia="zh-CN"/>
        </w:rPr>
        <w:t>开具发票后，医院30个工作日内付款。</w:t>
      </w:r>
    </w:p>
    <w:p w14:paraId="0293A076">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val="en-US" w:eastAsia="zh-CN"/>
        </w:rPr>
        <w:t>五</w:t>
      </w:r>
      <w:r>
        <w:rPr>
          <w:rFonts w:hint="eastAsia" w:ascii="宋体" w:hAnsi="宋体" w:eastAsia="宋体" w:cs="宋体"/>
          <w:b/>
          <w:color w:val="auto"/>
          <w:sz w:val="24"/>
          <w:szCs w:val="24"/>
          <w:highlight w:val="none"/>
        </w:rPr>
        <w:t>条 违约责任</w:t>
      </w:r>
    </w:p>
    <w:p w14:paraId="2E78DC68">
      <w:pPr>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1.如乙方不能按约定进行服务的，甲方有权解除合同，同时有权要求乙方按照合同总价5%的标准支付违约金，解除合同的通知自发出之日生效。</w:t>
      </w:r>
    </w:p>
    <w:p w14:paraId="6769E75F">
      <w:pPr>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.乙方未按本合同的规定和“服务承诺”提供伴随服务的，甲方有权提前解除本合同，同时乙方应按合同总价款的5 %向甲方承担违约责任。</w:t>
      </w:r>
    </w:p>
    <w:p w14:paraId="3D747373">
      <w:pPr>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.乙方在承担上述一项或多项违约责任后，仍应继续履行合同规定的义务（甲方解除合同的除外）。甲方未能及时追究乙方的任何一项违约责任并不表明甲方放弃追究乙方该项或其他违约责任。</w:t>
      </w:r>
    </w:p>
    <w:p w14:paraId="147EA861">
      <w:pPr>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.乙方有虚假承诺，或是由于乙方的过错造成合同无法继续履行的，应向甲方支付不少于合同总价30%违约金，若该违约金不足以弥补甲方损失，则应当赔偿甲方所有损失。</w:t>
      </w:r>
    </w:p>
    <w:p w14:paraId="16A1A794">
      <w:pPr>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.其他未尽事宜，以《中华人民共和国民法典》等有关法律法规规定为准，无相关规定的，双方协商解决。</w:t>
      </w:r>
    </w:p>
    <w:p w14:paraId="7D7FBB56">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val="en-US" w:eastAsia="zh-CN"/>
        </w:rPr>
        <w:t>六</w:t>
      </w:r>
      <w:r>
        <w:rPr>
          <w:rFonts w:hint="eastAsia" w:ascii="宋体" w:hAnsi="宋体" w:eastAsia="宋体" w:cs="宋体"/>
          <w:b/>
          <w:color w:val="auto"/>
          <w:sz w:val="24"/>
          <w:szCs w:val="24"/>
          <w:highlight w:val="none"/>
        </w:rPr>
        <w:t>条 合同的变更和终止</w:t>
      </w:r>
    </w:p>
    <w:p w14:paraId="2E86F3B3">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1.本合同一经签订，甲乙双方不得擅自变更、中止或终止合同。</w:t>
      </w:r>
    </w:p>
    <w:p w14:paraId="41A5A73A">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2.除发生法律规定的不能预见、不能避免并不能克服的客观情况外，甲乙双方不得放弃或拒绝履行合同。</w:t>
      </w:r>
    </w:p>
    <w:p w14:paraId="06637AE8">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val="en-US" w:eastAsia="zh-CN"/>
        </w:rPr>
        <w:t>七</w:t>
      </w:r>
      <w:r>
        <w:rPr>
          <w:rFonts w:hint="eastAsia" w:ascii="宋体" w:hAnsi="宋体" w:eastAsia="宋体" w:cs="宋体"/>
          <w:b/>
          <w:color w:val="auto"/>
          <w:sz w:val="24"/>
          <w:szCs w:val="24"/>
          <w:highlight w:val="none"/>
        </w:rPr>
        <w:t>条 合同的转让</w:t>
      </w:r>
    </w:p>
    <w:p w14:paraId="76D0F195">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乙方不得擅自部分或全部转让其应履行的合同义务。</w:t>
      </w:r>
    </w:p>
    <w:p w14:paraId="1DF6090C">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val="en-US" w:eastAsia="zh-CN"/>
        </w:rPr>
        <w:t>八</w:t>
      </w:r>
      <w:r>
        <w:rPr>
          <w:rFonts w:hint="eastAsia" w:ascii="宋体" w:hAnsi="宋体" w:eastAsia="宋体" w:cs="宋体"/>
          <w:b/>
          <w:color w:val="auto"/>
          <w:sz w:val="24"/>
          <w:szCs w:val="24"/>
          <w:highlight w:val="none"/>
        </w:rPr>
        <w:t>条 不可抗力</w:t>
      </w:r>
    </w:p>
    <w:p w14:paraId="3D783605">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甲、乙方中任何一方，因不可抗力不能按时或完全履行合同的，应及时通知对方，并在</w:t>
      </w:r>
      <w:r>
        <w:rPr>
          <w:rFonts w:hint="eastAsia" w:ascii="宋体" w:hAnsi="宋体" w:eastAsia="宋体" w:cs="宋体"/>
          <w:color w:val="auto"/>
          <w:sz w:val="24"/>
          <w:szCs w:val="24"/>
          <w:highlight w:val="none"/>
          <w:u w:val="single"/>
        </w:rPr>
        <w:t xml:space="preserve">   个</w:t>
      </w:r>
      <w:r>
        <w:rPr>
          <w:rFonts w:hint="eastAsia" w:ascii="宋体" w:hAnsi="宋体" w:eastAsia="宋体" w:cs="宋体"/>
          <w:color w:val="auto"/>
          <w:sz w:val="24"/>
          <w:szCs w:val="24"/>
          <w:highlight w:val="none"/>
        </w:rPr>
        <w:t>工作日内提供相应证明。未履行完合同部分是否继续履行、如何履行等问题，可由双方初步协商，并向主管部门报告。确定为不可抗力原因造成的损失，免予承担责任。</w:t>
      </w:r>
    </w:p>
    <w:p w14:paraId="6707BB0D">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val="en-US" w:eastAsia="zh-CN"/>
        </w:rPr>
        <w:t>九</w:t>
      </w:r>
      <w:r>
        <w:rPr>
          <w:rFonts w:hint="eastAsia" w:ascii="宋体" w:hAnsi="宋体" w:eastAsia="宋体" w:cs="宋体"/>
          <w:b/>
          <w:color w:val="auto"/>
          <w:sz w:val="24"/>
          <w:szCs w:val="24"/>
          <w:highlight w:val="none"/>
        </w:rPr>
        <w:t>条 争议的解决</w:t>
      </w:r>
    </w:p>
    <w:p w14:paraId="61AF7D8A">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1.因履行本合同引起的或与本合同有关的争议，甲、乙双方应首先通过友好协商解决，如果协商不能解决争议，则采取以下第</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种方式解决争议：</w:t>
      </w:r>
    </w:p>
    <w:p w14:paraId="79144D56">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（1）向甲方所在地人民法院提起诉讼；</w:t>
      </w:r>
    </w:p>
    <w:p w14:paraId="517A7582">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（2）向甲方所在地仲裁委员会按其仲裁规则申请仲裁。</w:t>
      </w:r>
    </w:p>
    <w:p w14:paraId="00B3D51B">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如没有约定，默认采取第2种方式解决争议。</w:t>
      </w:r>
    </w:p>
    <w:p w14:paraId="20829B8E">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2.在法院审理和仲裁期间，除有争议部分外，本合同其他部分应继续履行。</w:t>
      </w:r>
    </w:p>
    <w:p w14:paraId="73775582">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3.守约方于争议解决过程发生的费用（包括但不限于诉讼费、仲裁费、公证费、律师费、鉴定费、差旅费、保全费、担保费等），应由违约方承担。</w:t>
      </w:r>
    </w:p>
    <w:p w14:paraId="2039EDD2">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第十条 诚实信用 </w:t>
      </w:r>
    </w:p>
    <w:p w14:paraId="7F91C30F">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乙方应诚实信用，严格按照</w:t>
      </w:r>
      <w:r>
        <w:rPr>
          <w:rFonts w:hint="eastAsia" w:ascii="宋体" w:hAnsi="宋体" w:cs="宋体"/>
          <w:color w:val="auto"/>
          <w:sz w:val="24"/>
          <w:szCs w:val="24"/>
          <w:highlight w:val="none"/>
          <w:lang w:eastAsia="zh-CN"/>
        </w:rPr>
        <w:t>招标文件</w:t>
      </w:r>
      <w:r>
        <w:rPr>
          <w:rFonts w:hint="eastAsia" w:ascii="宋体" w:hAnsi="宋体" w:eastAsia="宋体" w:cs="宋体"/>
          <w:color w:val="auto"/>
          <w:sz w:val="24"/>
          <w:szCs w:val="24"/>
          <w:highlight w:val="none"/>
        </w:rPr>
        <w:t>要求和</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承诺履行合同，不向甲方进行商业贿赂或者提供不正当利益。</w:t>
      </w:r>
    </w:p>
    <w:p w14:paraId="1C34757F">
      <w:pPr>
        <w:keepNext w:val="0"/>
        <w:keepLines w:val="0"/>
        <w:pageBreakBefore w:val="0"/>
        <w:kinsoku/>
        <w:wordWrap/>
        <w:overflowPunct/>
        <w:topLinePunct w:val="0"/>
        <w:bidi w:val="0"/>
        <w:adjustRightInd w:val="0"/>
        <w:snapToGrid w:val="0"/>
        <w:spacing w:line="360" w:lineRule="auto"/>
        <w:ind w:firstLine="487" w:firstLineChars="20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第十</w:t>
      </w:r>
      <w:r>
        <w:rPr>
          <w:rFonts w:hint="eastAsia" w:ascii="宋体" w:hAnsi="宋体" w:cs="宋体"/>
          <w:b/>
          <w:color w:val="auto"/>
          <w:sz w:val="24"/>
          <w:szCs w:val="24"/>
          <w:highlight w:val="none"/>
          <w:lang w:val="en-US" w:eastAsia="zh-CN"/>
        </w:rPr>
        <w:t>一</w:t>
      </w:r>
      <w:r>
        <w:rPr>
          <w:rFonts w:hint="eastAsia" w:ascii="宋体" w:hAnsi="宋体" w:eastAsia="宋体" w:cs="宋体"/>
          <w:b/>
          <w:color w:val="auto"/>
          <w:sz w:val="24"/>
          <w:szCs w:val="24"/>
          <w:highlight w:val="none"/>
        </w:rPr>
        <w:t>条 合同生效及其他</w:t>
      </w:r>
    </w:p>
    <w:p w14:paraId="7D93CFCF">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1.本合同自经甲乙双方授权代表签订并加盖公章后，自签订之日起生效。</w:t>
      </w:r>
    </w:p>
    <w:p w14:paraId="492DFC66">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2.本合同一式</w:t>
      </w:r>
      <w:r>
        <w:rPr>
          <w:rFonts w:hint="eastAsia" w:ascii="宋体" w:hAnsi="宋体" w:eastAsia="宋体" w:cs="宋体"/>
          <w:color w:val="auto"/>
          <w:sz w:val="24"/>
          <w:szCs w:val="24"/>
          <w:highlight w:val="none"/>
          <w:lang w:eastAsia="zh-CN"/>
        </w:rPr>
        <w:t>肆</w:t>
      </w:r>
      <w:r>
        <w:rPr>
          <w:rFonts w:hint="eastAsia" w:ascii="宋体" w:hAnsi="宋体" w:eastAsia="宋体" w:cs="宋体"/>
          <w:color w:val="auto"/>
          <w:sz w:val="24"/>
          <w:szCs w:val="24"/>
          <w:highlight w:val="none"/>
        </w:rPr>
        <w:t>份，甲乙双方各执贰份。</w:t>
      </w:r>
    </w:p>
    <w:p w14:paraId="6EFA6D8E">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3.本合同应按照中华人民共和国的现行法律进行解释。</w:t>
      </w:r>
    </w:p>
    <w:p w14:paraId="4D25D4E2">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hint="eastAsia" w:ascii="宋体" w:hAnsi="宋体" w:eastAsia="宋体" w:cs="宋体"/>
          <w:b/>
          <w:bCs/>
          <w:color w:val="auto"/>
          <w:sz w:val="24"/>
          <w:szCs w:val="24"/>
          <w:highlight w:val="none"/>
        </w:rPr>
      </w:pPr>
    </w:p>
    <w:p w14:paraId="17BC5295">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甲    方</w:t>
      </w:r>
      <w:r>
        <w:rPr>
          <w:rFonts w:hint="eastAsia" w:ascii="宋体" w:hAnsi="宋体" w:eastAsia="宋体" w:cs="宋体"/>
          <w:color w:val="auto"/>
          <w:sz w:val="24"/>
          <w:szCs w:val="24"/>
          <w:highlight w:val="none"/>
        </w:rPr>
        <w:t>：</w:t>
      </w:r>
    </w:p>
    <w:p w14:paraId="048D7B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单位名称（章）：</w:t>
      </w:r>
    </w:p>
    <w:p w14:paraId="3F1FB78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单位地址：</w:t>
      </w:r>
    </w:p>
    <w:p w14:paraId="6885CED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委托代理人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039FCD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p w14:paraId="52CFE37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传真：</w:t>
      </w:r>
    </w:p>
    <w:p w14:paraId="3A1CD1CB">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hint="eastAsia" w:ascii="宋体" w:hAnsi="宋体" w:eastAsia="宋体" w:cs="宋体"/>
          <w:b/>
          <w:bCs/>
          <w:color w:val="auto"/>
          <w:sz w:val="24"/>
          <w:szCs w:val="24"/>
          <w:highlight w:val="none"/>
        </w:rPr>
      </w:pPr>
    </w:p>
    <w:p w14:paraId="104F4958">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乙    方</w:t>
      </w:r>
      <w:r>
        <w:rPr>
          <w:rFonts w:hint="eastAsia" w:ascii="宋体" w:hAnsi="宋体" w:eastAsia="宋体" w:cs="宋体"/>
          <w:color w:val="auto"/>
          <w:sz w:val="24"/>
          <w:szCs w:val="24"/>
          <w:highlight w:val="none"/>
        </w:rPr>
        <w:t>：</w:t>
      </w:r>
    </w:p>
    <w:p w14:paraId="4FB6DBC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单位名称（章）：</w:t>
      </w:r>
    </w:p>
    <w:p w14:paraId="5CAA76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单位地址：</w:t>
      </w:r>
    </w:p>
    <w:p w14:paraId="46097B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委托代理人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10091C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p w14:paraId="6412D13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传真：</w:t>
      </w:r>
    </w:p>
    <w:p w14:paraId="03F553E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p>
    <w:p w14:paraId="540509F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eastAsia="zh-CN"/>
        </w:rPr>
        <w:t>账</w:t>
      </w:r>
      <w:r>
        <w:rPr>
          <w:rFonts w:hint="eastAsia" w:ascii="宋体" w:hAnsi="宋体" w:eastAsia="宋体" w:cs="宋体"/>
          <w:color w:val="auto"/>
          <w:sz w:val="24"/>
          <w:szCs w:val="24"/>
          <w:highlight w:val="none"/>
        </w:rPr>
        <w:t>号：</w:t>
      </w:r>
    </w:p>
    <w:p w14:paraId="0103A2A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p>
    <w:p w14:paraId="199F7713">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bCs/>
          <w:color w:val="auto"/>
          <w:sz w:val="24"/>
          <w:szCs w:val="24"/>
          <w:highlight w:val="none"/>
          <w:lang w:val="en-US" w:eastAsia="zh-CN"/>
        </w:rPr>
        <w:sectPr>
          <w:headerReference r:id="rId11" w:type="default"/>
          <w:footerReference r:id="rId12"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387A4F89">
      <w:pPr>
        <w:spacing w:line="40" w:lineRule="exact"/>
        <w:rPr>
          <w:color w:val="auto"/>
          <w:highlight w:val="none"/>
        </w:rPr>
      </w:pPr>
    </w:p>
    <w:p w14:paraId="33E5EB8D">
      <w:pPr>
        <w:spacing w:line="360" w:lineRule="auto"/>
        <w:contextualSpacing/>
        <w:jc w:val="center"/>
        <w:outlineLvl w:val="0"/>
        <w:rPr>
          <w:b/>
          <w:color w:val="auto"/>
          <w:sz w:val="36"/>
          <w:szCs w:val="36"/>
          <w:highlight w:val="none"/>
        </w:rPr>
      </w:pPr>
      <w:r>
        <w:rPr>
          <w:b/>
          <w:color w:val="auto"/>
          <w:sz w:val="36"/>
          <w:szCs w:val="36"/>
          <w:highlight w:val="none"/>
        </w:rPr>
        <w:t>第七章   投标文件格式</w:t>
      </w:r>
      <w:bookmarkEnd w:id="816"/>
      <w:bookmarkEnd w:id="817"/>
    </w:p>
    <w:p w14:paraId="04F7B549">
      <w:pPr>
        <w:tabs>
          <w:tab w:val="left" w:pos="900"/>
          <w:tab w:val="left" w:pos="1980"/>
        </w:tabs>
        <w:snapToGrid w:val="0"/>
        <w:spacing w:line="360" w:lineRule="auto"/>
        <w:ind w:left="142"/>
        <w:rPr>
          <w:b/>
          <w:color w:val="auto"/>
          <w:sz w:val="24"/>
          <w:highlight w:val="none"/>
        </w:rPr>
      </w:pPr>
    </w:p>
    <w:p w14:paraId="15E7B11D">
      <w:pPr>
        <w:tabs>
          <w:tab w:val="left" w:pos="900"/>
          <w:tab w:val="left" w:pos="1980"/>
        </w:tabs>
        <w:snapToGrid w:val="0"/>
        <w:spacing w:line="360" w:lineRule="auto"/>
        <w:ind w:left="142"/>
        <w:rPr>
          <w:b/>
          <w:color w:val="auto"/>
          <w:sz w:val="24"/>
          <w:highlight w:val="none"/>
        </w:rPr>
      </w:pPr>
    </w:p>
    <w:p w14:paraId="09F0DAAB">
      <w:pPr>
        <w:tabs>
          <w:tab w:val="left" w:pos="900"/>
          <w:tab w:val="left" w:pos="1980"/>
        </w:tabs>
        <w:snapToGrid w:val="0"/>
        <w:spacing w:line="360" w:lineRule="auto"/>
        <w:ind w:left="142"/>
        <w:rPr>
          <w:color w:val="auto"/>
          <w:sz w:val="24"/>
          <w:highlight w:val="none"/>
        </w:rPr>
      </w:pPr>
      <w:r>
        <w:rPr>
          <w:b/>
          <w:color w:val="auto"/>
          <w:sz w:val="24"/>
          <w:highlight w:val="none"/>
        </w:rPr>
        <w:t>投标人编制文件须知</w:t>
      </w:r>
    </w:p>
    <w:p w14:paraId="47D0CAD7">
      <w:pPr>
        <w:tabs>
          <w:tab w:val="left" w:pos="900"/>
          <w:tab w:val="left" w:pos="1980"/>
        </w:tabs>
        <w:snapToGrid w:val="0"/>
        <w:spacing w:line="360" w:lineRule="auto"/>
        <w:ind w:left="142"/>
        <w:rPr>
          <w:color w:val="auto"/>
          <w:sz w:val="24"/>
          <w:highlight w:val="none"/>
        </w:rPr>
      </w:pPr>
      <w:r>
        <w:rPr>
          <w:color w:val="auto"/>
          <w:sz w:val="24"/>
          <w:highlight w:val="none"/>
        </w:rPr>
        <w:t>1、投标人按照本部分的顺序编制投标文件（资格证明文件）、投标文件（商务技术文件），编制中涉及格式资料的，应按照本部分提供的内容和格式（所有表格的格式可扩展）填写提交。</w:t>
      </w:r>
    </w:p>
    <w:p w14:paraId="2FFCC01C">
      <w:pPr>
        <w:tabs>
          <w:tab w:val="left" w:pos="900"/>
          <w:tab w:val="left" w:pos="1980"/>
        </w:tabs>
        <w:snapToGrid w:val="0"/>
        <w:spacing w:line="360" w:lineRule="auto"/>
        <w:ind w:left="142"/>
        <w:rPr>
          <w:color w:val="auto"/>
          <w:kern w:val="0"/>
          <w:sz w:val="24"/>
          <w:highlight w:val="none"/>
        </w:rPr>
      </w:pPr>
      <w:r>
        <w:rPr>
          <w:color w:val="auto"/>
          <w:sz w:val="24"/>
          <w:highlight w:val="none"/>
        </w:rPr>
        <w:t>2、</w:t>
      </w:r>
      <w:r>
        <w:rPr>
          <w:color w:val="auto"/>
          <w:kern w:val="0"/>
          <w:sz w:val="24"/>
          <w:highlight w:val="none"/>
        </w:rPr>
        <w:t>对于招标文件中标记了“实质性格式”文件的，</w:t>
      </w:r>
      <w:r>
        <w:rPr>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color w:val="auto"/>
          <w:kern w:val="0"/>
          <w:sz w:val="24"/>
          <w:highlight w:val="none"/>
        </w:rPr>
        <w:t>否则</w:t>
      </w:r>
      <w:r>
        <w:rPr>
          <w:b/>
          <w:color w:val="auto"/>
          <w:kern w:val="0"/>
          <w:sz w:val="24"/>
          <w:highlight w:val="none"/>
        </w:rPr>
        <w:t>投标无效</w:t>
      </w:r>
      <w:r>
        <w:rPr>
          <w:color w:val="auto"/>
          <w:kern w:val="0"/>
          <w:sz w:val="24"/>
          <w:highlight w:val="none"/>
        </w:rPr>
        <w:t>。未标记“实质性格式”的文件和招标文件未提供格式的内容，可由投标人自行编写。</w:t>
      </w:r>
    </w:p>
    <w:p w14:paraId="34BE8924">
      <w:pPr>
        <w:tabs>
          <w:tab w:val="left" w:pos="900"/>
          <w:tab w:val="left" w:pos="1980"/>
        </w:tabs>
        <w:snapToGrid w:val="0"/>
        <w:spacing w:line="360" w:lineRule="auto"/>
        <w:ind w:left="142"/>
        <w:rPr>
          <w:color w:val="auto"/>
          <w:sz w:val="24"/>
          <w:highlight w:val="none"/>
        </w:rPr>
      </w:pPr>
      <w:r>
        <w:rPr>
          <w:color w:val="auto"/>
          <w:sz w:val="24"/>
          <w:highlight w:val="none"/>
        </w:rPr>
        <w:t>3、全部声明和问题的回答及所附材料必须是真实的、准确的和完整的。</w:t>
      </w:r>
    </w:p>
    <w:p w14:paraId="5B923E89">
      <w:pPr>
        <w:tabs>
          <w:tab w:val="left" w:pos="900"/>
          <w:tab w:val="left" w:pos="1980"/>
        </w:tabs>
        <w:snapToGrid w:val="0"/>
        <w:spacing w:line="360" w:lineRule="auto"/>
        <w:ind w:left="142"/>
        <w:rPr>
          <w:color w:val="auto"/>
          <w:sz w:val="24"/>
          <w:highlight w:val="none"/>
        </w:rPr>
      </w:pPr>
      <w:r>
        <w:rPr>
          <w:rFonts w:hint="eastAsia"/>
          <w:color w:val="auto"/>
          <w:sz w:val="24"/>
          <w:highlight w:val="none"/>
        </w:rPr>
        <w:t>4、实行电子化不见面交易方式的，加盖公章、签名等均通过</w:t>
      </w:r>
      <w:r>
        <w:rPr>
          <w:color w:val="auto"/>
          <w:sz w:val="24"/>
          <w:highlight w:val="none"/>
        </w:rPr>
        <w:t>投标文件编制工具</w:t>
      </w:r>
      <w:r>
        <w:rPr>
          <w:rFonts w:hint="eastAsia"/>
          <w:color w:val="auto"/>
          <w:sz w:val="24"/>
          <w:highlight w:val="none"/>
        </w:rPr>
        <w:t>加盖电子公章、</w:t>
      </w:r>
      <w:r>
        <w:rPr>
          <w:rFonts w:ascii="宋体" w:hAnsi="宋体"/>
          <w:color w:val="auto"/>
          <w:sz w:val="24"/>
          <w:szCs w:val="20"/>
          <w:highlight w:val="none"/>
        </w:rPr>
        <w:t>签字</w:t>
      </w:r>
      <w:r>
        <w:rPr>
          <w:rFonts w:hint="eastAsia" w:ascii="宋体" w:hAnsi="宋体"/>
          <w:color w:val="auto"/>
          <w:sz w:val="24"/>
          <w:szCs w:val="20"/>
          <w:highlight w:val="none"/>
        </w:rPr>
        <w:t>、签章</w:t>
      </w:r>
      <w:r>
        <w:rPr>
          <w:rFonts w:ascii="宋体" w:hAnsi="宋体"/>
          <w:color w:val="auto"/>
          <w:sz w:val="24"/>
          <w:szCs w:val="20"/>
          <w:highlight w:val="none"/>
        </w:rPr>
        <w:t>或</w:t>
      </w:r>
      <w:r>
        <w:rPr>
          <w:rFonts w:hint="eastAsia" w:ascii="宋体" w:hAnsi="宋体"/>
          <w:color w:val="auto"/>
          <w:sz w:val="24"/>
          <w:szCs w:val="20"/>
          <w:highlight w:val="none"/>
        </w:rPr>
        <w:t>印鉴</w:t>
      </w:r>
      <w:r>
        <w:rPr>
          <w:rFonts w:hint="eastAsia"/>
          <w:color w:val="auto"/>
          <w:sz w:val="24"/>
          <w:highlight w:val="none"/>
        </w:rPr>
        <w:t>。</w:t>
      </w:r>
    </w:p>
    <w:p w14:paraId="27F4A472">
      <w:pPr>
        <w:widowControl/>
        <w:jc w:val="left"/>
        <w:rPr>
          <w:b/>
          <w:color w:val="auto"/>
          <w:kern w:val="0"/>
          <w:sz w:val="30"/>
          <w:szCs w:val="20"/>
          <w:highlight w:val="none"/>
        </w:rPr>
      </w:pPr>
      <w:r>
        <w:rPr>
          <w:color w:val="auto"/>
          <w:sz w:val="24"/>
          <w:highlight w:val="none"/>
        </w:rPr>
        <w:br w:type="page"/>
      </w:r>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r>
        <w:rPr>
          <w:b/>
          <w:color w:val="auto"/>
          <w:spacing w:val="20"/>
          <w:sz w:val="24"/>
          <w:highlight w:val="none"/>
        </w:rPr>
        <w:t>一、资格证明文件格式</w:t>
      </w:r>
    </w:p>
    <w:p w14:paraId="7AAA5CFA">
      <w:pPr>
        <w:rPr>
          <w:b/>
          <w:color w:val="auto"/>
          <w:spacing w:val="20"/>
          <w:szCs w:val="21"/>
          <w:highlight w:val="none"/>
        </w:rPr>
      </w:pPr>
    </w:p>
    <w:p w14:paraId="6A446CD6">
      <w:pPr>
        <w:rPr>
          <w:b/>
          <w:color w:val="auto"/>
          <w:sz w:val="24"/>
          <w:highlight w:val="none"/>
        </w:rPr>
      </w:pPr>
      <w:r>
        <w:rPr>
          <w:b/>
          <w:color w:val="auto"/>
          <w:spacing w:val="20"/>
          <w:sz w:val="24"/>
          <w:highlight w:val="none"/>
        </w:rPr>
        <w:t>投标文件</w:t>
      </w:r>
      <w:r>
        <w:rPr>
          <w:b/>
          <w:color w:val="auto"/>
          <w:sz w:val="24"/>
          <w:highlight w:val="none"/>
        </w:rPr>
        <w:t>封面（非实质性格式）</w:t>
      </w:r>
    </w:p>
    <w:p w14:paraId="5E61B919">
      <w:pPr>
        <w:jc w:val="center"/>
        <w:rPr>
          <w:color w:val="auto"/>
          <w:szCs w:val="21"/>
          <w:highlight w:val="none"/>
        </w:rPr>
      </w:pPr>
    </w:p>
    <w:p w14:paraId="5EBD9864">
      <w:pPr>
        <w:jc w:val="center"/>
        <w:rPr>
          <w:b/>
          <w:color w:val="auto"/>
          <w:spacing w:val="60"/>
          <w:sz w:val="84"/>
          <w:szCs w:val="84"/>
          <w:highlight w:val="none"/>
        </w:rPr>
      </w:pPr>
      <w:r>
        <w:rPr>
          <w:b/>
          <w:color w:val="auto"/>
          <w:spacing w:val="60"/>
          <w:sz w:val="84"/>
          <w:szCs w:val="84"/>
          <w:highlight w:val="none"/>
        </w:rPr>
        <w:t>投 标 文 件</w:t>
      </w:r>
    </w:p>
    <w:p w14:paraId="751840A8">
      <w:pPr>
        <w:ind w:firstLine="963" w:firstLineChars="150"/>
        <w:rPr>
          <w:b/>
          <w:color w:val="auto"/>
          <w:spacing w:val="60"/>
          <w:sz w:val="52"/>
          <w:szCs w:val="52"/>
          <w:highlight w:val="none"/>
        </w:rPr>
      </w:pPr>
    </w:p>
    <w:p w14:paraId="7D7FA5A8">
      <w:pPr>
        <w:ind w:firstLine="963" w:firstLineChars="150"/>
        <w:rPr>
          <w:b/>
          <w:color w:val="auto"/>
          <w:spacing w:val="60"/>
          <w:sz w:val="52"/>
          <w:szCs w:val="52"/>
          <w:highlight w:val="none"/>
        </w:rPr>
      </w:pPr>
    </w:p>
    <w:p w14:paraId="748EE160">
      <w:pPr>
        <w:ind w:firstLine="542" w:firstLineChars="150"/>
        <w:rPr>
          <w:b/>
          <w:color w:val="auto"/>
          <w:spacing w:val="20"/>
          <w:sz w:val="32"/>
          <w:szCs w:val="32"/>
          <w:highlight w:val="none"/>
        </w:rPr>
      </w:pPr>
    </w:p>
    <w:p w14:paraId="6BDB4536">
      <w:pPr>
        <w:ind w:firstLine="542" w:firstLineChars="150"/>
        <w:rPr>
          <w:b/>
          <w:color w:val="auto"/>
          <w:spacing w:val="20"/>
          <w:sz w:val="32"/>
          <w:szCs w:val="32"/>
          <w:highlight w:val="none"/>
        </w:rPr>
      </w:pPr>
    </w:p>
    <w:p w14:paraId="1873DF29">
      <w:pPr>
        <w:ind w:firstLine="1084" w:firstLineChars="300"/>
        <w:rPr>
          <w:rFonts w:ascii="宋体" w:hAnsi="宋体"/>
          <w:b/>
          <w:color w:val="auto"/>
          <w:sz w:val="36"/>
          <w:highlight w:val="none"/>
        </w:rPr>
      </w:pPr>
      <w:r>
        <w:rPr>
          <w:rFonts w:hint="eastAsia" w:ascii="宋体" w:hAnsi="宋体"/>
          <w:b/>
          <w:color w:val="auto"/>
          <w:sz w:val="36"/>
          <w:highlight w:val="none"/>
        </w:rPr>
        <w:t>项 目 名 称：</w:t>
      </w:r>
      <w:r>
        <w:rPr>
          <w:rFonts w:hint="eastAsia" w:ascii="宋体" w:hAnsi="宋体"/>
          <w:b/>
          <w:color w:val="auto"/>
          <w:sz w:val="36"/>
          <w:highlight w:val="none"/>
          <w:u w:val="single"/>
        </w:rPr>
        <w:t xml:space="preserve">               </w:t>
      </w:r>
    </w:p>
    <w:p w14:paraId="6683E680">
      <w:pPr>
        <w:ind w:firstLine="1084" w:firstLineChars="300"/>
        <w:rPr>
          <w:rFonts w:ascii="宋体" w:hAnsi="宋体"/>
          <w:b/>
          <w:color w:val="auto"/>
          <w:sz w:val="36"/>
          <w:highlight w:val="none"/>
          <w:u w:val="single"/>
        </w:rPr>
      </w:pPr>
      <w:r>
        <w:rPr>
          <w:rFonts w:hint="eastAsia" w:ascii="宋体" w:hAnsi="宋体"/>
          <w:b/>
          <w:color w:val="auto"/>
          <w:sz w:val="36"/>
          <w:highlight w:val="none"/>
        </w:rPr>
        <w:t>项 目 编 号：</w:t>
      </w:r>
      <w:r>
        <w:rPr>
          <w:rFonts w:hint="eastAsia" w:ascii="宋体" w:hAnsi="宋体"/>
          <w:b/>
          <w:color w:val="auto"/>
          <w:sz w:val="36"/>
          <w:highlight w:val="none"/>
          <w:u w:val="single"/>
        </w:rPr>
        <w:t xml:space="preserve">               </w:t>
      </w:r>
    </w:p>
    <w:p w14:paraId="72CFF21D">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p>
    <w:p w14:paraId="385D9D71">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p>
    <w:p w14:paraId="1586DDF3">
      <w:pPr>
        <w:jc w:val="center"/>
        <w:rPr>
          <w:b/>
          <w:color w:val="auto"/>
          <w:sz w:val="32"/>
          <w:szCs w:val="32"/>
          <w:highlight w:val="none"/>
        </w:rPr>
      </w:pPr>
    </w:p>
    <w:p w14:paraId="6959682E">
      <w:pPr>
        <w:jc w:val="center"/>
        <w:rPr>
          <w:rFonts w:ascii="宋体" w:hAnsi="宋体"/>
          <w:b/>
          <w:color w:val="auto"/>
          <w:sz w:val="32"/>
          <w:szCs w:val="32"/>
          <w:highlight w:val="none"/>
        </w:rPr>
      </w:pPr>
      <w:r>
        <w:rPr>
          <w:b/>
          <w:color w:val="auto"/>
          <w:spacing w:val="20"/>
          <w:sz w:val="32"/>
          <w:szCs w:val="32"/>
          <w:highlight w:val="none"/>
        </w:rPr>
        <w:br w:type="page"/>
      </w:r>
      <w:r>
        <w:rPr>
          <w:rFonts w:hint="eastAsia" w:ascii="宋体" w:hAnsi="宋体"/>
          <w:b/>
          <w:color w:val="auto"/>
          <w:sz w:val="32"/>
          <w:szCs w:val="32"/>
          <w:highlight w:val="none"/>
        </w:rPr>
        <w:t>一、资格证明文件</w:t>
      </w:r>
    </w:p>
    <w:p w14:paraId="48529D19">
      <w:pPr>
        <w:rPr>
          <w:b/>
          <w:color w:val="auto"/>
          <w:highlight w:val="none"/>
        </w:rPr>
      </w:pPr>
    </w:p>
    <w:p w14:paraId="3EF6BA1E">
      <w:pPr>
        <w:spacing w:line="360" w:lineRule="auto"/>
        <w:rPr>
          <w:color w:val="auto"/>
          <w:sz w:val="24"/>
          <w:szCs w:val="20"/>
          <w:highlight w:val="none"/>
        </w:rPr>
      </w:pPr>
      <w:r>
        <w:rPr>
          <w:color w:val="auto"/>
          <w:sz w:val="24"/>
          <w:szCs w:val="20"/>
          <w:highlight w:val="none"/>
        </w:rPr>
        <w:t xml:space="preserve">1 </w:t>
      </w:r>
      <w:r>
        <w:rPr>
          <w:color w:val="auto"/>
          <w:sz w:val="24"/>
          <w:highlight w:val="none"/>
        </w:rPr>
        <w:t>满足《中华人民共和国政府采购法》第二十二条规定及法律法规的其他规定</w:t>
      </w:r>
    </w:p>
    <w:p w14:paraId="4D2370B5">
      <w:pPr>
        <w:rPr>
          <w:b/>
          <w:bCs/>
          <w:color w:val="auto"/>
          <w:highlight w:val="none"/>
        </w:rPr>
      </w:pPr>
      <w:r>
        <w:rPr>
          <w:b/>
          <w:color w:val="auto"/>
          <w:highlight w:val="none"/>
        </w:rPr>
        <w:t>1-</w:t>
      </w:r>
      <w:r>
        <w:rPr>
          <w:rFonts w:hint="eastAsia"/>
          <w:b/>
          <w:color w:val="auto"/>
          <w:highlight w:val="none"/>
        </w:rPr>
        <w:t>1</w:t>
      </w:r>
      <w:r>
        <w:rPr>
          <w:b/>
          <w:color w:val="auto"/>
          <w:highlight w:val="none"/>
        </w:rPr>
        <w:t xml:space="preserve"> 投标人资格声明</w:t>
      </w:r>
      <w:r>
        <w:rPr>
          <w:rFonts w:hint="eastAsia"/>
          <w:b/>
          <w:color w:val="auto"/>
          <w:highlight w:val="none"/>
        </w:rPr>
        <w:t xml:space="preserve">函 </w:t>
      </w:r>
    </w:p>
    <w:p w14:paraId="27658819">
      <w:pPr>
        <w:widowControl/>
        <w:adjustRightInd w:val="0"/>
        <w:snapToGrid w:val="0"/>
        <w:spacing w:before="120" w:beforeLines="50" w:line="360" w:lineRule="auto"/>
        <w:jc w:val="center"/>
        <w:rPr>
          <w:rFonts w:ascii="宋体" w:hAnsi="宋体" w:cs="宋体"/>
          <w:b/>
          <w:color w:val="auto"/>
          <w:sz w:val="28"/>
          <w:szCs w:val="28"/>
          <w:highlight w:val="none"/>
        </w:rPr>
      </w:pPr>
    </w:p>
    <w:p w14:paraId="102607FC">
      <w:pPr>
        <w:widowControl/>
        <w:adjustRightInd w:val="0"/>
        <w:snapToGrid w:val="0"/>
        <w:spacing w:before="120" w:beforeLines="50" w:line="360" w:lineRule="auto"/>
        <w:jc w:val="center"/>
        <w:rPr>
          <w:rFonts w:ascii="宋体" w:hAnsi="宋体" w:cs="宋体"/>
          <w:color w:val="auto"/>
          <w:szCs w:val="21"/>
          <w:highlight w:val="none"/>
        </w:rPr>
      </w:pPr>
      <w:r>
        <w:rPr>
          <w:rFonts w:hint="eastAsia" w:ascii="宋体" w:hAnsi="宋体" w:cs="宋体"/>
          <w:b/>
          <w:color w:val="auto"/>
          <w:sz w:val="28"/>
          <w:szCs w:val="28"/>
          <w:highlight w:val="none"/>
        </w:rPr>
        <w:t>投标人资格声明函</w:t>
      </w:r>
    </w:p>
    <w:p w14:paraId="5DBDC7CB">
      <w:pPr>
        <w:pStyle w:val="4"/>
        <w:spacing w:line="460" w:lineRule="exact"/>
        <w:ind w:firstLine="480"/>
        <w:rPr>
          <w:color w:val="auto"/>
          <w:highlight w:val="none"/>
        </w:rPr>
      </w:pPr>
    </w:p>
    <w:p w14:paraId="1B839D5D">
      <w:pPr>
        <w:pStyle w:val="4"/>
        <w:spacing w:line="460" w:lineRule="exact"/>
        <w:ind w:firstLine="480"/>
        <w:rPr>
          <w:color w:val="auto"/>
          <w:highlight w:val="none"/>
        </w:rPr>
      </w:pPr>
      <w:r>
        <w:rPr>
          <w:rFonts w:hint="eastAsia"/>
          <w:color w:val="auto"/>
          <w:highlight w:val="none"/>
        </w:rPr>
        <w:t>致：江苏尚阳工程管理有限公司</w:t>
      </w:r>
    </w:p>
    <w:p w14:paraId="1AD75FEC">
      <w:pPr>
        <w:pStyle w:val="4"/>
        <w:spacing w:line="460" w:lineRule="exact"/>
        <w:ind w:firstLine="960" w:firstLineChars="400"/>
        <w:rPr>
          <w:color w:val="auto"/>
          <w:highlight w:val="none"/>
          <w:u w:val="single"/>
        </w:rPr>
      </w:pPr>
      <w:r>
        <w:rPr>
          <w:rFonts w:hint="eastAsia"/>
          <w:color w:val="auto"/>
          <w:highlight w:val="none"/>
          <w:u w:val="single"/>
        </w:rPr>
        <w:t>（采购人名称）</w:t>
      </w:r>
    </w:p>
    <w:p w14:paraId="2EA8766E">
      <w:pPr>
        <w:pStyle w:val="4"/>
        <w:spacing w:line="460" w:lineRule="exact"/>
        <w:ind w:firstLine="480"/>
        <w:rPr>
          <w:color w:val="auto"/>
          <w:highlight w:val="none"/>
        </w:rPr>
      </w:pPr>
    </w:p>
    <w:p w14:paraId="00C65AF4">
      <w:pPr>
        <w:pStyle w:val="4"/>
        <w:spacing w:line="460" w:lineRule="exact"/>
        <w:ind w:firstLine="480"/>
        <w:rPr>
          <w:color w:val="auto"/>
          <w:highlight w:val="none"/>
        </w:rPr>
      </w:pPr>
      <w:r>
        <w:rPr>
          <w:rFonts w:hint="eastAsia"/>
          <w:color w:val="auto"/>
          <w:highlight w:val="none"/>
        </w:rPr>
        <w:t>按照《中华人民共和国政府采购法》第二十二条和招标文件的规定，我单位郑重声明如下：</w:t>
      </w:r>
    </w:p>
    <w:p w14:paraId="725B7AD2">
      <w:pPr>
        <w:pStyle w:val="4"/>
        <w:spacing w:line="460" w:lineRule="exact"/>
        <w:ind w:firstLine="480"/>
        <w:rPr>
          <w:color w:val="auto"/>
          <w:highlight w:val="none"/>
        </w:rPr>
      </w:pPr>
      <w:r>
        <w:rPr>
          <w:rFonts w:hint="eastAsia"/>
          <w:color w:val="auto"/>
          <w:highlight w:val="none"/>
        </w:rPr>
        <w:t>一、我单位是按照中华人民共和国法律规定登记注册的，注册地点为</w:t>
      </w:r>
      <w:r>
        <w:rPr>
          <w:rFonts w:hint="eastAsia"/>
          <w:color w:val="auto"/>
          <w:highlight w:val="none"/>
          <w:u w:val="single"/>
        </w:rPr>
        <w:t xml:space="preserve">         </w:t>
      </w:r>
      <w:r>
        <w:rPr>
          <w:rFonts w:hint="eastAsia"/>
          <w:color w:val="auto"/>
          <w:highlight w:val="none"/>
        </w:rPr>
        <w:t>，全称为</w:t>
      </w:r>
      <w:r>
        <w:rPr>
          <w:rFonts w:hint="eastAsia"/>
          <w:color w:val="auto"/>
          <w:highlight w:val="none"/>
          <w:u w:val="single"/>
        </w:rPr>
        <w:t xml:space="preserve">        </w:t>
      </w:r>
      <w:r>
        <w:rPr>
          <w:rFonts w:hint="eastAsia"/>
          <w:color w:val="auto"/>
          <w:highlight w:val="none"/>
        </w:rPr>
        <w:t>，统一社会信用代码为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，具有独立承担民事责任的能力。</w:t>
      </w:r>
    </w:p>
    <w:p w14:paraId="71C87178">
      <w:pPr>
        <w:pStyle w:val="4"/>
        <w:spacing w:line="460" w:lineRule="exact"/>
        <w:ind w:firstLine="480"/>
        <w:rPr>
          <w:color w:val="auto"/>
          <w:highlight w:val="none"/>
        </w:rPr>
      </w:pPr>
      <w:r>
        <w:rPr>
          <w:rFonts w:hint="eastAsia"/>
          <w:color w:val="auto"/>
          <w:highlight w:val="none"/>
        </w:rPr>
        <w:t>二、我单位具有良好的商业信誉（指投标人经营状况良好，无本资格声明第十条情形）和健全的财务会计制度。</w:t>
      </w:r>
    </w:p>
    <w:p w14:paraId="1564B7D9">
      <w:pPr>
        <w:pStyle w:val="4"/>
        <w:spacing w:line="460" w:lineRule="exact"/>
        <w:ind w:firstLine="480"/>
        <w:rPr>
          <w:color w:val="auto"/>
          <w:highlight w:val="none"/>
        </w:rPr>
      </w:pPr>
      <w:r>
        <w:rPr>
          <w:rFonts w:hint="eastAsia"/>
          <w:color w:val="auto"/>
          <w:highlight w:val="none"/>
        </w:rPr>
        <w:t>三、我单位依法进行纳税和社会保险申报并实际履行了义务。</w:t>
      </w:r>
    </w:p>
    <w:p w14:paraId="5C55DB26">
      <w:pPr>
        <w:pStyle w:val="4"/>
        <w:spacing w:line="460" w:lineRule="exact"/>
        <w:ind w:firstLine="480"/>
        <w:rPr>
          <w:color w:val="auto"/>
          <w:highlight w:val="none"/>
        </w:rPr>
      </w:pPr>
      <w:r>
        <w:rPr>
          <w:rFonts w:hint="eastAsia"/>
          <w:color w:val="auto"/>
          <w:highlight w:val="none"/>
        </w:rPr>
        <w:t>四、我单位具有履行本项目采购合同所必需的设备和专业技术能力，并具有履行合同的良好</w:t>
      </w:r>
      <w:r>
        <w:rPr>
          <w:color w:val="auto"/>
          <w:highlight w:val="none"/>
        </w:rPr>
        <w:t>记录</w:t>
      </w:r>
      <w:r>
        <w:rPr>
          <w:rFonts w:hint="eastAsia"/>
          <w:color w:val="auto"/>
          <w:highlight w:val="none"/>
        </w:rPr>
        <w:t>。为履行本项采购合同我单位具备如下主要设备和主要专业技术能力:</w:t>
      </w:r>
    </w:p>
    <w:p w14:paraId="5D59E8AC">
      <w:pPr>
        <w:pStyle w:val="4"/>
        <w:spacing w:line="460" w:lineRule="exact"/>
        <w:ind w:firstLine="480"/>
        <w:rPr>
          <w:color w:val="auto"/>
          <w:highlight w:val="none"/>
        </w:rPr>
      </w:pPr>
      <w:r>
        <w:rPr>
          <w:rFonts w:hint="eastAsia"/>
          <w:color w:val="auto"/>
          <w:highlight w:val="none"/>
        </w:rPr>
        <w:t>主要设备有：</w:t>
      </w:r>
      <w:r>
        <w:rPr>
          <w:color w:val="auto"/>
          <w:highlight w:val="none"/>
          <w:u w:val="single"/>
        </w:rPr>
        <w:t xml:space="preserve">            </w:t>
      </w:r>
    </w:p>
    <w:p w14:paraId="04D511AA">
      <w:pPr>
        <w:pStyle w:val="4"/>
        <w:spacing w:line="460" w:lineRule="exact"/>
        <w:ind w:firstLine="480"/>
        <w:rPr>
          <w:color w:val="auto"/>
          <w:highlight w:val="none"/>
        </w:rPr>
      </w:pPr>
      <w:r>
        <w:rPr>
          <w:rFonts w:hint="eastAsia"/>
          <w:color w:val="auto"/>
          <w:highlight w:val="none"/>
        </w:rPr>
        <w:t>主要专业技术能力有</w:t>
      </w:r>
      <w:r>
        <w:rPr>
          <w:rFonts w:hint="eastAsia"/>
          <w:color w:val="auto"/>
          <w:highlight w:val="none"/>
          <w:u w:val="single"/>
        </w:rPr>
        <w:t xml:space="preserve">                 </w:t>
      </w:r>
    </w:p>
    <w:p w14:paraId="68212A50">
      <w:pPr>
        <w:pStyle w:val="4"/>
        <w:spacing w:line="460" w:lineRule="exact"/>
        <w:ind w:firstLine="480"/>
        <w:rPr>
          <w:color w:val="auto"/>
          <w:highlight w:val="none"/>
        </w:rPr>
      </w:pPr>
      <w:r>
        <w:rPr>
          <w:rFonts w:hint="eastAsia"/>
          <w:color w:val="auto"/>
          <w:highlight w:val="none"/>
        </w:rPr>
        <w:t>五、我单位在参加采购项目政府采购活动前三</w:t>
      </w:r>
      <w:r>
        <w:rPr>
          <w:rFonts w:hint="eastAsia"/>
          <w:color w:val="auto"/>
          <w:highlight w:val="none"/>
          <w:lang w:eastAsia="zh-CN"/>
        </w:rPr>
        <w:t>年</w:t>
      </w:r>
      <w:r>
        <w:rPr>
          <w:rFonts w:hint="eastAsia"/>
          <w:color w:val="auto"/>
          <w:highlight w:val="none"/>
        </w:rPr>
        <w:t>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68F40EAF">
      <w:pPr>
        <w:pStyle w:val="4"/>
        <w:spacing w:line="460" w:lineRule="exact"/>
        <w:ind w:firstLine="480"/>
        <w:rPr>
          <w:color w:val="auto"/>
          <w:highlight w:val="none"/>
        </w:rPr>
      </w:pPr>
      <w:r>
        <w:rPr>
          <w:rFonts w:hint="eastAsia"/>
          <w:color w:val="auto"/>
          <w:highlight w:val="none"/>
        </w:rPr>
        <w:t>六、我单位具备法律、行政法规规定的其他条件。</w:t>
      </w:r>
    </w:p>
    <w:p w14:paraId="46D45B47">
      <w:pPr>
        <w:pStyle w:val="4"/>
        <w:spacing w:line="460" w:lineRule="exact"/>
        <w:ind w:firstLine="480"/>
        <w:rPr>
          <w:color w:val="auto"/>
          <w:highlight w:val="none"/>
        </w:rPr>
      </w:pPr>
      <w:r>
        <w:rPr>
          <w:rFonts w:hint="eastAsia"/>
          <w:color w:val="auto"/>
          <w:highlight w:val="none"/>
        </w:rPr>
        <w:t>七、与我单位存在“单位负责人为同一人或者存在直接控股、管理关系”的其他单位信息如下（如无此情形的，填写“无”）：</w:t>
      </w:r>
    </w:p>
    <w:p w14:paraId="04259AFE">
      <w:pPr>
        <w:pStyle w:val="4"/>
        <w:spacing w:line="460" w:lineRule="exact"/>
        <w:ind w:firstLine="480"/>
        <w:rPr>
          <w:color w:val="auto"/>
          <w:highlight w:val="none"/>
        </w:rPr>
      </w:pPr>
      <w:r>
        <w:rPr>
          <w:rFonts w:hint="eastAsia"/>
          <w:color w:val="auto"/>
          <w:highlight w:val="none"/>
        </w:rPr>
        <w:t>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p>
    <w:p w14:paraId="5FF14DC5">
      <w:pPr>
        <w:pStyle w:val="4"/>
        <w:spacing w:line="460" w:lineRule="exact"/>
        <w:ind w:firstLine="480"/>
        <w:rPr>
          <w:color w:val="auto"/>
          <w:highlight w:val="none"/>
        </w:rPr>
      </w:pPr>
      <w:r>
        <w:rPr>
          <w:rFonts w:hint="eastAsia"/>
          <w:color w:val="auto"/>
          <w:highlight w:val="none"/>
        </w:rPr>
        <w:t>2、我单位直接控股的其他单位如下：</w:t>
      </w:r>
      <w:r>
        <w:rPr>
          <w:rFonts w:hint="eastAsia"/>
          <w:color w:val="auto"/>
          <w:highlight w:val="none"/>
          <w:u w:val="single"/>
        </w:rPr>
        <w:t xml:space="preserve">                    </w:t>
      </w:r>
      <w:r>
        <w:rPr>
          <w:rFonts w:hint="eastAsia"/>
          <w:color w:val="auto"/>
          <w:highlight w:val="none"/>
        </w:rPr>
        <w:t xml:space="preserve"> </w:t>
      </w:r>
    </w:p>
    <w:p w14:paraId="70BF5A14">
      <w:pPr>
        <w:pStyle w:val="4"/>
        <w:spacing w:line="460" w:lineRule="exact"/>
        <w:ind w:firstLine="480"/>
        <w:rPr>
          <w:color w:val="auto"/>
          <w:highlight w:val="none"/>
        </w:rPr>
      </w:pPr>
      <w:r>
        <w:rPr>
          <w:rFonts w:hint="eastAsia"/>
          <w:color w:val="auto"/>
          <w:highlight w:val="none"/>
        </w:rPr>
        <w:t>3、与我单位存在管理关系的其他单位如下：</w:t>
      </w:r>
      <w:r>
        <w:rPr>
          <w:rFonts w:hint="eastAsia"/>
          <w:color w:val="auto"/>
          <w:highlight w:val="none"/>
          <w:u w:val="single"/>
        </w:rPr>
        <w:t xml:space="preserve">              </w:t>
      </w:r>
      <w:r>
        <w:rPr>
          <w:rFonts w:hint="eastAsia"/>
          <w:color w:val="auto"/>
          <w:highlight w:val="none"/>
        </w:rPr>
        <w:t xml:space="preserve"> </w:t>
      </w:r>
    </w:p>
    <w:p w14:paraId="7575DE86">
      <w:pPr>
        <w:pStyle w:val="4"/>
        <w:spacing w:line="460" w:lineRule="exact"/>
        <w:ind w:firstLine="480"/>
        <w:rPr>
          <w:color w:val="auto"/>
          <w:highlight w:val="none"/>
        </w:rPr>
      </w:pPr>
      <w:r>
        <w:rPr>
          <w:rFonts w:hint="eastAsia"/>
          <w:color w:val="auto"/>
          <w:highlight w:val="none"/>
        </w:rPr>
        <w:t>八、</w:t>
      </w:r>
      <w:r>
        <w:rPr>
          <w:color w:val="auto"/>
          <w:highlight w:val="none"/>
        </w:rPr>
        <w:t>我</w:t>
      </w:r>
      <w:r>
        <w:rPr>
          <w:rFonts w:hint="eastAsia"/>
          <w:color w:val="auto"/>
          <w:highlight w:val="none"/>
        </w:rPr>
        <w:t>单位</w:t>
      </w:r>
      <w:r>
        <w:rPr>
          <w:color w:val="auto"/>
          <w:highlight w:val="none"/>
        </w:rPr>
        <w:t>不属于为本项目提供整体设计、规范编制或者项目管理、监理、检测等服务的投标人。</w:t>
      </w:r>
    </w:p>
    <w:p w14:paraId="55FCA8B3">
      <w:pPr>
        <w:pStyle w:val="4"/>
        <w:spacing w:line="460" w:lineRule="exact"/>
        <w:ind w:firstLine="480"/>
        <w:rPr>
          <w:color w:val="auto"/>
          <w:highlight w:val="none"/>
        </w:rPr>
      </w:pPr>
      <w:r>
        <w:rPr>
          <w:rFonts w:hint="eastAsia"/>
          <w:color w:val="auto"/>
          <w:highlight w:val="none"/>
        </w:rPr>
        <w:t>九、</w:t>
      </w:r>
      <w:r>
        <w:rPr>
          <w:color w:val="auto"/>
          <w:highlight w:val="none"/>
        </w:rPr>
        <w:t>我单位无以下不良信用记录情形：</w:t>
      </w:r>
    </w:p>
    <w:p w14:paraId="5F4FC6C6">
      <w:pPr>
        <w:pStyle w:val="4"/>
        <w:spacing w:line="460" w:lineRule="exact"/>
        <w:ind w:firstLine="480"/>
        <w:rPr>
          <w:color w:val="auto"/>
          <w:highlight w:val="none"/>
        </w:rPr>
      </w:pPr>
      <w:r>
        <w:rPr>
          <w:color w:val="auto"/>
          <w:highlight w:val="none"/>
        </w:rPr>
        <w:t>1</w:t>
      </w:r>
      <w:r>
        <w:rPr>
          <w:rFonts w:hint="eastAsia"/>
          <w:color w:val="auto"/>
          <w:highlight w:val="none"/>
        </w:rPr>
        <w:t>、在“信用中国”网站被列入失信被执行人和重大税收违法案件当事人名单；</w:t>
      </w:r>
    </w:p>
    <w:p w14:paraId="45F2137B">
      <w:pPr>
        <w:pStyle w:val="4"/>
        <w:spacing w:line="460" w:lineRule="exact"/>
        <w:ind w:firstLine="480"/>
        <w:rPr>
          <w:color w:val="auto"/>
          <w:highlight w:val="none"/>
        </w:rPr>
      </w:pPr>
      <w:r>
        <w:rPr>
          <w:color w:val="auto"/>
          <w:highlight w:val="none"/>
        </w:rPr>
        <w:t>2</w:t>
      </w:r>
      <w:r>
        <w:rPr>
          <w:rFonts w:hint="eastAsia"/>
          <w:color w:val="auto"/>
          <w:highlight w:val="none"/>
        </w:rPr>
        <w:t>、在“中国政府采购网”网站被列入政府采购严重违法失信行为记录名单；</w:t>
      </w:r>
    </w:p>
    <w:p w14:paraId="678BCC2A">
      <w:pPr>
        <w:pStyle w:val="4"/>
        <w:spacing w:line="460" w:lineRule="exact"/>
        <w:ind w:firstLine="480"/>
        <w:rPr>
          <w:color w:val="auto"/>
          <w:highlight w:val="none"/>
        </w:rPr>
      </w:pPr>
      <w:r>
        <w:rPr>
          <w:color w:val="auto"/>
          <w:highlight w:val="none"/>
        </w:rPr>
        <w:t>3</w:t>
      </w:r>
      <w:r>
        <w:rPr>
          <w:rFonts w:hint="eastAsia"/>
          <w:color w:val="auto"/>
          <w:highlight w:val="none"/>
        </w:rPr>
        <w:t>、</w:t>
      </w:r>
      <w:r>
        <w:rPr>
          <w:color w:val="auto"/>
          <w:highlight w:val="none"/>
        </w:rPr>
        <w:t>不符合《政府采购法》第二十二条规定的条件。</w:t>
      </w:r>
    </w:p>
    <w:p w14:paraId="3941EB02">
      <w:pPr>
        <w:pStyle w:val="4"/>
        <w:spacing w:line="460" w:lineRule="exact"/>
        <w:ind w:firstLine="480"/>
        <w:rPr>
          <w:color w:val="auto"/>
          <w:highlight w:val="none"/>
        </w:rPr>
      </w:pPr>
    </w:p>
    <w:p w14:paraId="38F69CC5">
      <w:pPr>
        <w:pStyle w:val="4"/>
        <w:spacing w:line="460" w:lineRule="exact"/>
        <w:ind w:firstLine="480"/>
        <w:rPr>
          <w:color w:val="auto"/>
          <w:highlight w:val="none"/>
        </w:rPr>
      </w:pPr>
      <w:r>
        <w:rPr>
          <w:rFonts w:hint="eastAsia"/>
          <w:color w:val="auto"/>
          <w:highlight w:val="none"/>
        </w:rPr>
        <w:t>我单位保证上述声明的事项都是真实的，如有虚假，我单位愿意承担相应的法律责任，并承担因此所造成的一切损失。</w:t>
      </w:r>
    </w:p>
    <w:p w14:paraId="73592013">
      <w:pPr>
        <w:pStyle w:val="4"/>
        <w:spacing w:line="460" w:lineRule="exact"/>
        <w:ind w:firstLine="480"/>
        <w:rPr>
          <w:color w:val="auto"/>
          <w:highlight w:val="none"/>
        </w:rPr>
      </w:pPr>
    </w:p>
    <w:p w14:paraId="716EE503">
      <w:pPr>
        <w:pStyle w:val="4"/>
        <w:spacing w:line="460" w:lineRule="exact"/>
        <w:ind w:firstLine="480"/>
        <w:rPr>
          <w:color w:val="auto"/>
          <w:highlight w:val="none"/>
        </w:rPr>
      </w:pPr>
    </w:p>
    <w:p w14:paraId="65C2E09D">
      <w:pPr>
        <w:pStyle w:val="4"/>
        <w:spacing w:line="460" w:lineRule="exact"/>
        <w:ind w:firstLine="480"/>
        <w:rPr>
          <w:color w:val="auto"/>
          <w:highlight w:val="none"/>
        </w:rPr>
      </w:pPr>
      <w:r>
        <w:rPr>
          <w:rFonts w:hint="eastAsia"/>
          <w:color w:val="auto"/>
          <w:highlight w:val="none"/>
        </w:rPr>
        <w:t>                                            投标人：（加盖公章）</w:t>
      </w:r>
    </w:p>
    <w:p w14:paraId="2A13F222">
      <w:pPr>
        <w:pStyle w:val="4"/>
        <w:spacing w:line="460" w:lineRule="exact"/>
        <w:ind w:firstLine="480"/>
        <w:rPr>
          <w:color w:val="auto"/>
          <w:highlight w:val="none"/>
        </w:rPr>
      </w:pPr>
      <w:r>
        <w:rPr>
          <w:rFonts w:hint="eastAsia"/>
          <w:color w:val="auto"/>
          <w:highlight w:val="none"/>
        </w:rPr>
        <w:t>                                           法定代表人（或单位负责人）签字或盖章：</w:t>
      </w:r>
    </w:p>
    <w:p w14:paraId="067CA634">
      <w:pPr>
        <w:pStyle w:val="4"/>
        <w:spacing w:line="460" w:lineRule="exact"/>
        <w:ind w:firstLine="4920" w:firstLineChars="2050"/>
        <w:rPr>
          <w:color w:val="auto"/>
          <w:highlight w:val="none"/>
        </w:rPr>
      </w:pPr>
      <w:r>
        <w:rPr>
          <w:rFonts w:hint="eastAsia"/>
          <w:color w:val="auto"/>
          <w:highlight w:val="none"/>
        </w:rPr>
        <w:t>日期：    年    月    日</w:t>
      </w:r>
    </w:p>
    <w:p w14:paraId="3EAF7BDF">
      <w:pPr>
        <w:spacing w:line="360" w:lineRule="auto"/>
        <w:rPr>
          <w:color w:val="auto"/>
          <w:sz w:val="24"/>
          <w:highlight w:val="none"/>
        </w:rPr>
      </w:pPr>
    </w:p>
    <w:p w14:paraId="335BE5D5">
      <w:pPr>
        <w:spacing w:line="360" w:lineRule="auto"/>
        <w:rPr>
          <w:color w:val="auto"/>
          <w:sz w:val="24"/>
          <w:highlight w:val="none"/>
        </w:rPr>
      </w:pPr>
    </w:p>
    <w:p w14:paraId="4DA706B0">
      <w:pPr>
        <w:spacing w:line="360" w:lineRule="auto"/>
        <w:rPr>
          <w:color w:val="auto"/>
          <w:sz w:val="24"/>
          <w:highlight w:val="none"/>
        </w:rPr>
      </w:pPr>
    </w:p>
    <w:p w14:paraId="2C598C77">
      <w:pPr>
        <w:spacing w:line="360" w:lineRule="auto"/>
        <w:rPr>
          <w:color w:val="auto"/>
          <w:sz w:val="24"/>
          <w:highlight w:val="none"/>
        </w:rPr>
      </w:pPr>
      <w:r>
        <w:rPr>
          <w:color w:val="auto"/>
          <w:sz w:val="24"/>
          <w:highlight w:val="none"/>
        </w:rPr>
        <w:t>说明：</w:t>
      </w:r>
      <w:r>
        <w:rPr>
          <w:rFonts w:hint="eastAsia"/>
          <w:color w:val="auto"/>
          <w:sz w:val="24"/>
          <w:highlight w:val="none"/>
        </w:rPr>
        <w:t>投标人承诺不实的，依据《政府采购法》第七十七条“提供虚假材料谋取中标的”有关规定予以处理</w:t>
      </w:r>
      <w:r>
        <w:rPr>
          <w:color w:val="auto"/>
          <w:sz w:val="24"/>
          <w:highlight w:val="none"/>
        </w:rPr>
        <w:t>。</w:t>
      </w:r>
    </w:p>
    <w:p w14:paraId="4F47534B">
      <w:pPr>
        <w:spacing w:line="360" w:lineRule="auto"/>
        <w:rPr>
          <w:color w:val="auto"/>
          <w:sz w:val="24"/>
          <w:highlight w:val="none"/>
        </w:rPr>
      </w:pPr>
    </w:p>
    <w:p w14:paraId="024B70C6">
      <w:pPr>
        <w:tabs>
          <w:tab w:val="left" w:pos="5580"/>
        </w:tabs>
        <w:spacing w:line="360" w:lineRule="auto"/>
        <w:rPr>
          <w:color w:val="auto"/>
          <w:sz w:val="24"/>
          <w:highlight w:val="none"/>
        </w:rPr>
        <w:sectPr>
          <w:headerReference r:id="rId13" w:type="default"/>
          <w:footerReference r:id="rId14" w:type="default"/>
          <w:pgSz w:w="11907" w:h="16840"/>
          <w:pgMar w:top="1418" w:right="1134" w:bottom="1418" w:left="1701" w:header="851" w:footer="851" w:gutter="0"/>
          <w:pgBorders>
            <w:top w:val="none" w:sz="0" w:space="0"/>
            <w:left w:val="none" w:sz="0" w:space="0"/>
            <w:bottom w:val="none" w:sz="0" w:space="0"/>
            <w:right w:val="none" w:sz="0" w:space="0"/>
          </w:pgBorders>
          <w:pgNumType w:fmt="decimal"/>
          <w:cols w:space="720" w:num="1"/>
          <w:docGrid w:linePitch="462" w:charSpace="0"/>
        </w:sectPr>
      </w:pPr>
    </w:p>
    <w:p w14:paraId="2F09858B">
      <w:pPr>
        <w:spacing w:line="360" w:lineRule="auto"/>
        <w:outlineLvl w:val="2"/>
        <w:rPr>
          <w:color w:val="auto"/>
          <w:sz w:val="24"/>
          <w:highlight w:val="none"/>
        </w:rPr>
      </w:pPr>
      <w:r>
        <w:rPr>
          <w:rFonts w:hint="eastAsia"/>
          <w:color w:val="auto"/>
          <w:sz w:val="24"/>
          <w:szCs w:val="20"/>
          <w:highlight w:val="none"/>
        </w:rPr>
        <w:t>2</w:t>
      </w:r>
      <w:r>
        <w:rPr>
          <w:color w:val="auto"/>
          <w:sz w:val="24"/>
          <w:szCs w:val="20"/>
          <w:highlight w:val="none"/>
        </w:rPr>
        <w:t xml:space="preserve"> </w:t>
      </w:r>
      <w:r>
        <w:rPr>
          <w:color w:val="auto"/>
          <w:sz w:val="24"/>
          <w:highlight w:val="none"/>
        </w:rPr>
        <w:t>本项目的特定资格要求</w:t>
      </w:r>
    </w:p>
    <w:p w14:paraId="78155DBE">
      <w:pPr>
        <w:widowControl/>
        <w:spacing w:line="360" w:lineRule="auto"/>
        <w:jc w:val="left"/>
        <w:rPr>
          <w:color w:val="auto"/>
          <w:sz w:val="24"/>
          <w:szCs w:val="20"/>
          <w:highlight w:val="none"/>
        </w:rPr>
      </w:pPr>
      <w:r>
        <w:rPr>
          <w:rFonts w:hint="eastAsia"/>
          <w:color w:val="auto"/>
          <w:sz w:val="24"/>
          <w:szCs w:val="20"/>
          <w:highlight w:val="none"/>
        </w:rPr>
        <w:t>2</w:t>
      </w:r>
      <w:r>
        <w:rPr>
          <w:color w:val="auto"/>
          <w:sz w:val="24"/>
          <w:szCs w:val="20"/>
          <w:highlight w:val="none"/>
        </w:rPr>
        <w:t>-</w:t>
      </w:r>
      <w:r>
        <w:rPr>
          <w:rFonts w:hint="eastAsia"/>
          <w:color w:val="auto"/>
          <w:sz w:val="24"/>
          <w:szCs w:val="20"/>
          <w:highlight w:val="none"/>
        </w:rPr>
        <w:t>1</w:t>
      </w:r>
      <w:r>
        <w:rPr>
          <w:color w:val="auto"/>
          <w:sz w:val="24"/>
          <w:szCs w:val="20"/>
          <w:highlight w:val="none"/>
        </w:rPr>
        <w:t>其他特定资格要求</w:t>
      </w:r>
    </w:p>
    <w:p w14:paraId="02D6774C">
      <w:pPr>
        <w:spacing w:line="360" w:lineRule="auto"/>
        <w:rPr>
          <w:rFonts w:hint="eastAsia"/>
          <w:color w:val="auto"/>
          <w:sz w:val="24"/>
          <w:highlight w:val="none"/>
          <w:lang w:eastAsia="zh-CN"/>
        </w:rPr>
      </w:pPr>
      <w:r>
        <w:rPr>
          <w:rFonts w:hint="eastAsia"/>
          <w:color w:val="auto"/>
          <w:sz w:val="24"/>
          <w:highlight w:val="none"/>
          <w:lang w:eastAsia="zh-CN"/>
        </w:rPr>
        <w:t>（</w:t>
      </w:r>
      <w:r>
        <w:rPr>
          <w:rFonts w:hint="eastAsia"/>
          <w:color w:val="auto"/>
          <w:sz w:val="24"/>
          <w:highlight w:val="none"/>
          <w:lang w:val="en-US" w:eastAsia="zh-CN"/>
        </w:rPr>
        <w:t>1</w:t>
      </w:r>
      <w:r>
        <w:rPr>
          <w:rFonts w:hint="eastAsia"/>
          <w:color w:val="auto"/>
          <w:sz w:val="24"/>
          <w:highlight w:val="none"/>
          <w:lang w:eastAsia="zh-CN"/>
        </w:rPr>
        <w:t xml:space="preserve">）投标人具备有效的《危险废物经营许可证》（经营范围包含：处置医疗废物HW01）； </w:t>
      </w:r>
    </w:p>
    <w:p w14:paraId="4D81AD1A">
      <w:pPr>
        <w:spacing w:line="360" w:lineRule="auto"/>
        <w:rPr>
          <w:rFonts w:hint="eastAsia"/>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2</w:t>
      </w:r>
      <w:r>
        <w:rPr>
          <w:rFonts w:hint="eastAsia"/>
          <w:color w:val="auto"/>
          <w:sz w:val="24"/>
          <w:highlight w:val="none"/>
          <w:lang w:eastAsia="zh-CN"/>
        </w:rPr>
        <w:t>）投标人具备有效的《道路危险货物运输许可证》（包含医疗废物、危险废物）。</w:t>
      </w:r>
    </w:p>
    <w:p w14:paraId="3B3ADA12">
      <w:pPr>
        <w:tabs>
          <w:tab w:val="left" w:pos="5580"/>
        </w:tabs>
        <w:spacing w:line="360" w:lineRule="auto"/>
        <w:rPr>
          <w:color w:val="auto"/>
          <w:sz w:val="24"/>
          <w:highlight w:val="none"/>
        </w:rPr>
        <w:sectPr>
          <w:headerReference r:id="rId15" w:type="default"/>
          <w:footerReference r:id="rId16" w:type="default"/>
          <w:pgSz w:w="11907" w:h="16840"/>
          <w:pgMar w:top="1418" w:right="1134" w:bottom="1418" w:left="1701" w:header="851" w:footer="851" w:gutter="0"/>
          <w:pgBorders>
            <w:top w:val="none" w:sz="0" w:space="0"/>
            <w:left w:val="none" w:sz="0" w:space="0"/>
            <w:bottom w:val="none" w:sz="0" w:space="0"/>
            <w:right w:val="none" w:sz="0" w:space="0"/>
          </w:pgBorders>
          <w:pgNumType w:fmt="decimal"/>
          <w:cols w:space="720" w:num="1"/>
          <w:docGrid w:linePitch="462" w:charSpace="0"/>
        </w:sectPr>
      </w:pPr>
    </w:p>
    <w:p w14:paraId="77606766">
      <w:pPr>
        <w:spacing w:line="360" w:lineRule="auto"/>
        <w:rPr>
          <w:rFonts w:ascii="宋体" w:hAnsi="宋体"/>
          <w:b/>
          <w:color w:val="auto"/>
          <w:sz w:val="32"/>
          <w:szCs w:val="32"/>
          <w:highlight w:val="none"/>
        </w:rPr>
      </w:pPr>
      <w:r>
        <w:rPr>
          <w:rFonts w:ascii="宋体" w:hAnsi="宋体"/>
          <w:b/>
          <w:color w:val="auto"/>
          <w:sz w:val="32"/>
          <w:szCs w:val="32"/>
          <w:highlight w:val="none"/>
        </w:rPr>
        <w:t>二、商务技术文件格式</w:t>
      </w:r>
      <w:bookmarkStart w:id="818" w:name="_Ref467988698"/>
      <w:bookmarkStart w:id="819" w:name="_Toc226309800"/>
      <w:bookmarkStart w:id="820" w:name="_Toc520356217"/>
      <w:bookmarkStart w:id="821" w:name="_Toc195842921"/>
      <w:bookmarkStart w:id="822" w:name="_Toc226965746"/>
      <w:bookmarkStart w:id="823" w:name="_Toc480942349"/>
      <w:bookmarkStart w:id="824" w:name="_Toc150480794"/>
      <w:bookmarkStart w:id="825" w:name="_Toc226965829"/>
      <w:bookmarkStart w:id="826" w:name="_Toc150774761"/>
      <w:bookmarkStart w:id="827" w:name="_Toc142311058"/>
      <w:bookmarkStart w:id="828" w:name="_Toc127151556"/>
      <w:bookmarkStart w:id="829" w:name="_Toc226337252"/>
    </w:p>
    <w:p w14:paraId="6B2F5A51">
      <w:pPr>
        <w:widowControl/>
        <w:jc w:val="center"/>
        <w:rPr>
          <w:rFonts w:ascii="宋体" w:hAnsi="宋体"/>
          <w:b/>
          <w:color w:val="auto"/>
          <w:sz w:val="32"/>
          <w:szCs w:val="32"/>
          <w:highlight w:val="none"/>
        </w:rPr>
      </w:pPr>
    </w:p>
    <w:p w14:paraId="6EF0BF4D">
      <w:pPr>
        <w:spacing w:line="360" w:lineRule="auto"/>
        <w:rPr>
          <w:color w:val="auto"/>
          <w:sz w:val="24"/>
          <w:szCs w:val="20"/>
          <w:highlight w:val="none"/>
        </w:rPr>
      </w:pPr>
      <w:r>
        <w:rPr>
          <w:rFonts w:hint="eastAsia"/>
          <w:color w:val="auto"/>
          <w:sz w:val="24"/>
          <w:highlight w:val="none"/>
        </w:rPr>
        <w:t>1</w:t>
      </w:r>
      <w:r>
        <w:rPr>
          <w:color w:val="auto"/>
          <w:sz w:val="24"/>
          <w:szCs w:val="20"/>
          <w:highlight w:val="none"/>
        </w:rPr>
        <w:t xml:space="preserve">  </w:t>
      </w:r>
      <w:r>
        <w:rPr>
          <w:color w:val="auto"/>
          <w:sz w:val="24"/>
          <w:highlight w:val="none"/>
        </w:rPr>
        <w:t>投标</w:t>
      </w:r>
      <w:bookmarkEnd w:id="818"/>
      <w:bookmarkEnd w:id="819"/>
      <w:bookmarkEnd w:id="820"/>
      <w:bookmarkEnd w:id="821"/>
      <w:bookmarkEnd w:id="822"/>
      <w:bookmarkEnd w:id="823"/>
      <w:bookmarkEnd w:id="824"/>
      <w:bookmarkEnd w:id="825"/>
      <w:bookmarkEnd w:id="826"/>
      <w:bookmarkEnd w:id="827"/>
      <w:bookmarkEnd w:id="828"/>
      <w:bookmarkEnd w:id="829"/>
      <w:r>
        <w:rPr>
          <w:rFonts w:hint="eastAsia"/>
          <w:color w:val="auto"/>
          <w:sz w:val="24"/>
          <w:highlight w:val="none"/>
        </w:rPr>
        <w:t>函</w:t>
      </w:r>
      <w:r>
        <w:rPr>
          <w:rFonts w:hint="eastAsia"/>
          <w:color w:val="auto"/>
          <w:sz w:val="24"/>
          <w:szCs w:val="20"/>
          <w:highlight w:val="none"/>
        </w:rPr>
        <w:t xml:space="preserve"> </w:t>
      </w:r>
    </w:p>
    <w:p w14:paraId="036EB88E">
      <w:pPr>
        <w:tabs>
          <w:tab w:val="left" w:pos="5580"/>
        </w:tabs>
        <w:spacing w:line="360" w:lineRule="auto"/>
        <w:rPr>
          <w:color w:val="auto"/>
          <w:sz w:val="24"/>
          <w:highlight w:val="none"/>
        </w:rPr>
      </w:pPr>
    </w:p>
    <w:p w14:paraId="46448592">
      <w:pPr>
        <w:spacing w:line="360" w:lineRule="auto"/>
        <w:jc w:val="center"/>
        <w:rPr>
          <w:b/>
          <w:color w:val="auto"/>
          <w:sz w:val="36"/>
          <w:szCs w:val="36"/>
          <w:highlight w:val="none"/>
        </w:rPr>
      </w:pPr>
      <w:r>
        <w:rPr>
          <w:rFonts w:hint="eastAsia"/>
          <w:b/>
          <w:color w:val="auto"/>
          <w:sz w:val="36"/>
          <w:szCs w:val="36"/>
          <w:highlight w:val="none"/>
        </w:rPr>
        <w:t>投标函</w:t>
      </w:r>
    </w:p>
    <w:p w14:paraId="27AEC882">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6AF8ECC5">
      <w:pPr>
        <w:tabs>
          <w:tab w:val="left" w:pos="5580"/>
        </w:tabs>
        <w:spacing w:line="360" w:lineRule="auto"/>
        <w:rPr>
          <w:color w:val="auto"/>
          <w:sz w:val="24"/>
          <w:szCs w:val="20"/>
          <w:highlight w:val="none"/>
        </w:rPr>
      </w:pPr>
    </w:p>
    <w:p w14:paraId="3A1287DE">
      <w:pPr>
        <w:tabs>
          <w:tab w:val="left" w:pos="5580"/>
        </w:tabs>
        <w:spacing w:line="360" w:lineRule="auto"/>
        <w:ind w:firstLine="408"/>
        <w:rPr>
          <w:color w:val="auto"/>
          <w:sz w:val="24"/>
          <w:szCs w:val="20"/>
          <w:highlight w:val="none"/>
        </w:rPr>
      </w:pPr>
      <w:r>
        <w:rPr>
          <w:color w:val="auto"/>
          <w:sz w:val="24"/>
          <w:szCs w:val="20"/>
          <w:highlight w:val="none"/>
        </w:rPr>
        <w:t>我方参加你方就___________（项目名称，项目编号）组织的招标活动，并对此项目进行投标。</w:t>
      </w:r>
    </w:p>
    <w:p w14:paraId="4EF723B4">
      <w:pPr>
        <w:tabs>
          <w:tab w:val="left" w:pos="5580"/>
        </w:tabs>
        <w:spacing w:line="360" w:lineRule="auto"/>
        <w:ind w:firstLine="408"/>
        <w:rPr>
          <w:color w:val="auto"/>
          <w:sz w:val="24"/>
          <w:szCs w:val="20"/>
          <w:highlight w:val="none"/>
        </w:rPr>
      </w:pPr>
      <w:r>
        <w:rPr>
          <w:color w:val="auto"/>
          <w:sz w:val="24"/>
          <w:szCs w:val="20"/>
          <w:highlight w:val="none"/>
        </w:rPr>
        <w:t>1. 我方</w:t>
      </w:r>
      <w:r>
        <w:rPr>
          <w:color w:val="auto"/>
          <w:sz w:val="24"/>
          <w:highlight w:val="none"/>
        </w:rPr>
        <w:t>已详细审查全部招标文件</w:t>
      </w:r>
      <w:r>
        <w:rPr>
          <w:color w:val="auto"/>
          <w:sz w:val="24"/>
          <w:szCs w:val="20"/>
          <w:highlight w:val="none"/>
        </w:rPr>
        <w:t>，自愿参与投标并承诺如下：</w:t>
      </w:r>
    </w:p>
    <w:p w14:paraId="6A6005AC">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（1）本投标有效期为自提交投标文件的截止之日起</w:t>
      </w:r>
      <w:r>
        <w:rPr>
          <w:rFonts w:hint="eastAsia"/>
          <w:color w:val="auto"/>
          <w:sz w:val="24"/>
          <w:highlight w:val="none"/>
        </w:rPr>
        <w:t>60</w:t>
      </w:r>
      <w:r>
        <w:rPr>
          <w:color w:val="auto"/>
          <w:sz w:val="24"/>
          <w:szCs w:val="20"/>
          <w:highlight w:val="none"/>
        </w:rPr>
        <w:t>个日历日。</w:t>
      </w:r>
    </w:p>
    <w:p w14:paraId="13D61787">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（2）除合同条款及采购需求偏离表列出的偏离外，我方响应招标文件的全部要求。</w:t>
      </w:r>
    </w:p>
    <w:p w14:paraId="6778DD78">
      <w:pPr>
        <w:tabs>
          <w:tab w:val="left" w:pos="5580"/>
        </w:tabs>
        <w:spacing w:line="360" w:lineRule="auto"/>
        <w:ind w:firstLine="420" w:firstLineChars="175"/>
        <w:rPr>
          <w:color w:val="auto"/>
          <w:sz w:val="24"/>
          <w:szCs w:val="20"/>
          <w:highlight w:val="none"/>
        </w:rPr>
      </w:pPr>
      <w:r>
        <w:rPr>
          <w:color w:val="auto"/>
          <w:sz w:val="24"/>
          <w:szCs w:val="20"/>
          <w:highlight w:val="none"/>
        </w:rPr>
        <w:t>（3）我方已提供的全部文件资料是真实、准确的，并对此承担一切法律后果。</w:t>
      </w:r>
    </w:p>
    <w:p w14:paraId="08404B87">
      <w:pPr>
        <w:tabs>
          <w:tab w:val="left" w:pos="5580"/>
        </w:tabs>
        <w:spacing w:line="360" w:lineRule="auto"/>
        <w:ind w:firstLine="420" w:firstLineChars="175"/>
        <w:rPr>
          <w:color w:val="auto"/>
          <w:sz w:val="24"/>
          <w:highlight w:val="none"/>
        </w:rPr>
      </w:pPr>
      <w:r>
        <w:rPr>
          <w:color w:val="auto"/>
          <w:sz w:val="24"/>
          <w:szCs w:val="20"/>
          <w:highlight w:val="none"/>
        </w:rPr>
        <w:t>（4）如我方中标，我方将在法律规定的期限内与你方签订合同，并在合同约定的期限内完成合同规定的全部义务。</w:t>
      </w:r>
    </w:p>
    <w:p w14:paraId="75BCC8BB">
      <w:pPr>
        <w:spacing w:line="360" w:lineRule="auto"/>
        <w:ind w:left="420"/>
        <w:rPr>
          <w:color w:val="auto"/>
          <w:sz w:val="24"/>
          <w:highlight w:val="none"/>
        </w:rPr>
      </w:pPr>
      <w:r>
        <w:rPr>
          <w:color w:val="auto"/>
          <w:sz w:val="24"/>
          <w:highlight w:val="none"/>
        </w:rPr>
        <w:t>2. 其他补充条款（如有）：</w:t>
      </w:r>
      <w:r>
        <w:rPr>
          <w:color w:val="auto"/>
          <w:sz w:val="24"/>
          <w:szCs w:val="20"/>
          <w:highlight w:val="none"/>
        </w:rPr>
        <w:t>___________</w:t>
      </w:r>
      <w:r>
        <w:rPr>
          <w:color w:val="auto"/>
          <w:sz w:val="24"/>
          <w:highlight w:val="none"/>
        </w:rPr>
        <w:t>。</w:t>
      </w:r>
    </w:p>
    <w:p w14:paraId="55791531">
      <w:pPr>
        <w:spacing w:line="360" w:lineRule="auto"/>
        <w:ind w:firstLine="480" w:firstLineChars="200"/>
        <w:rPr>
          <w:color w:val="auto"/>
          <w:sz w:val="24"/>
          <w:highlight w:val="none"/>
        </w:rPr>
      </w:pPr>
      <w:r>
        <w:rPr>
          <w:color w:val="auto"/>
          <w:sz w:val="24"/>
          <w:highlight w:val="none"/>
        </w:rPr>
        <w:t>与本投标有关的一切正式往来信函请寄：</w:t>
      </w:r>
    </w:p>
    <w:p w14:paraId="3531943C">
      <w:pPr>
        <w:tabs>
          <w:tab w:val="left" w:pos="5580"/>
        </w:tabs>
        <w:spacing w:line="360" w:lineRule="auto"/>
        <w:ind w:left="420"/>
        <w:rPr>
          <w:color w:val="auto"/>
          <w:sz w:val="24"/>
          <w:szCs w:val="20"/>
          <w:highlight w:val="none"/>
        </w:rPr>
      </w:pPr>
    </w:p>
    <w:p w14:paraId="1809F394">
      <w:pPr>
        <w:tabs>
          <w:tab w:val="left" w:pos="5580"/>
        </w:tabs>
        <w:spacing w:line="360" w:lineRule="auto"/>
        <w:ind w:left="420"/>
        <w:rPr>
          <w:color w:val="auto"/>
          <w:sz w:val="24"/>
          <w:szCs w:val="20"/>
          <w:highlight w:val="none"/>
        </w:rPr>
      </w:pPr>
      <w:r>
        <w:rPr>
          <w:color w:val="auto"/>
          <w:sz w:val="24"/>
          <w:szCs w:val="20"/>
          <w:highlight w:val="none"/>
        </w:rPr>
        <w:t>地址_________________________     传真____________________________</w:t>
      </w:r>
    </w:p>
    <w:p w14:paraId="5BC8BCB4">
      <w:pPr>
        <w:tabs>
          <w:tab w:val="left" w:pos="5580"/>
        </w:tabs>
        <w:spacing w:line="360" w:lineRule="auto"/>
        <w:ind w:left="420"/>
        <w:rPr>
          <w:color w:val="auto"/>
          <w:sz w:val="24"/>
          <w:szCs w:val="20"/>
          <w:highlight w:val="none"/>
        </w:rPr>
      </w:pPr>
      <w:r>
        <w:rPr>
          <w:color w:val="auto"/>
          <w:sz w:val="24"/>
          <w:szCs w:val="20"/>
          <w:highlight w:val="none"/>
        </w:rPr>
        <w:t>电话_________________________     电子函件________________________</w:t>
      </w:r>
    </w:p>
    <w:p w14:paraId="0C4D547C">
      <w:pPr>
        <w:tabs>
          <w:tab w:val="left" w:pos="5580"/>
        </w:tabs>
        <w:spacing w:line="360" w:lineRule="auto"/>
        <w:ind w:left="420"/>
        <w:rPr>
          <w:color w:val="auto"/>
          <w:sz w:val="24"/>
          <w:szCs w:val="20"/>
          <w:highlight w:val="none"/>
        </w:rPr>
      </w:pPr>
    </w:p>
    <w:p w14:paraId="31791231">
      <w:pPr>
        <w:tabs>
          <w:tab w:val="left" w:pos="5580"/>
        </w:tabs>
        <w:spacing w:line="360" w:lineRule="auto"/>
        <w:ind w:left="420"/>
        <w:rPr>
          <w:color w:val="auto"/>
          <w:sz w:val="24"/>
          <w:szCs w:val="20"/>
          <w:highlight w:val="none"/>
        </w:rPr>
      </w:pPr>
      <w:r>
        <w:rPr>
          <w:color w:val="auto"/>
          <w:sz w:val="24"/>
          <w:szCs w:val="20"/>
          <w:highlight w:val="none"/>
        </w:rPr>
        <w:t>投标人名称（加盖公章） ___________</w:t>
      </w:r>
    </w:p>
    <w:p w14:paraId="773DDCEB">
      <w:pPr>
        <w:tabs>
          <w:tab w:val="left" w:pos="5580"/>
        </w:tabs>
        <w:spacing w:line="360" w:lineRule="auto"/>
        <w:ind w:left="420"/>
        <w:rPr>
          <w:color w:val="auto"/>
          <w:sz w:val="24"/>
          <w:szCs w:val="20"/>
          <w:highlight w:val="none"/>
        </w:rPr>
      </w:pPr>
      <w:r>
        <w:rPr>
          <w:color w:val="auto"/>
          <w:sz w:val="24"/>
          <w:szCs w:val="20"/>
          <w:highlight w:val="none"/>
        </w:rPr>
        <w:t xml:space="preserve">日期：_____年______月______日    </w:t>
      </w:r>
    </w:p>
    <w:p w14:paraId="5C9551E2">
      <w:pPr>
        <w:tabs>
          <w:tab w:val="left" w:pos="5580"/>
        </w:tabs>
        <w:spacing w:line="360" w:lineRule="auto"/>
        <w:ind w:left="420"/>
        <w:rPr>
          <w:color w:val="auto"/>
          <w:sz w:val="24"/>
          <w:szCs w:val="20"/>
          <w:highlight w:val="none"/>
          <w:u w:val="single"/>
        </w:rPr>
      </w:pPr>
    </w:p>
    <w:p w14:paraId="44D3E43C">
      <w:pPr>
        <w:widowControl/>
        <w:jc w:val="left"/>
        <w:rPr>
          <w:color w:val="auto"/>
          <w:sz w:val="24"/>
          <w:highlight w:val="none"/>
        </w:rPr>
      </w:pPr>
      <w:bookmarkStart w:id="830" w:name="_Hlt520355938"/>
      <w:bookmarkEnd w:id="830"/>
      <w:bookmarkStart w:id="831" w:name="_Hlt520356243"/>
      <w:bookmarkEnd w:id="831"/>
      <w:r>
        <w:rPr>
          <w:color w:val="auto"/>
          <w:sz w:val="24"/>
          <w:highlight w:val="none"/>
        </w:rPr>
        <w:br w:type="page"/>
      </w:r>
      <w:r>
        <w:rPr>
          <w:rFonts w:hint="eastAsia"/>
          <w:color w:val="auto"/>
          <w:sz w:val="24"/>
          <w:highlight w:val="none"/>
        </w:rPr>
        <w:t>2</w:t>
      </w:r>
      <w:r>
        <w:rPr>
          <w:color w:val="auto"/>
          <w:sz w:val="24"/>
          <w:highlight w:val="none"/>
        </w:rPr>
        <w:t xml:space="preserve"> </w:t>
      </w:r>
      <w:r>
        <w:rPr>
          <w:rFonts w:hint="eastAsia"/>
          <w:color w:val="auto"/>
          <w:sz w:val="24"/>
          <w:highlight w:val="none"/>
        </w:rPr>
        <w:t>法定代表人资格证明书</w:t>
      </w:r>
      <w:r>
        <w:rPr>
          <w:rFonts w:hint="eastAsia"/>
          <w:color w:val="auto"/>
          <w:sz w:val="24"/>
          <w:szCs w:val="20"/>
          <w:highlight w:val="none"/>
        </w:rPr>
        <w:t xml:space="preserve"> </w:t>
      </w:r>
    </w:p>
    <w:p w14:paraId="164888F5">
      <w:pPr>
        <w:spacing w:line="360" w:lineRule="auto"/>
        <w:jc w:val="center"/>
        <w:rPr>
          <w:rFonts w:ascii="宋体" w:hAnsi="宋体"/>
          <w:b/>
          <w:color w:val="auto"/>
          <w:sz w:val="32"/>
          <w:szCs w:val="32"/>
          <w:highlight w:val="none"/>
        </w:rPr>
      </w:pPr>
    </w:p>
    <w:p w14:paraId="73588609">
      <w:pPr>
        <w:spacing w:line="360" w:lineRule="auto"/>
        <w:jc w:val="center"/>
        <w:rPr>
          <w:rFonts w:ascii="宋体" w:hAnsi="宋体"/>
          <w:b/>
          <w:color w:val="auto"/>
          <w:sz w:val="32"/>
          <w:szCs w:val="32"/>
          <w:highlight w:val="none"/>
        </w:rPr>
      </w:pPr>
      <w:r>
        <w:rPr>
          <w:rFonts w:hint="eastAsia" w:ascii="宋体" w:hAnsi="宋体"/>
          <w:b/>
          <w:color w:val="auto"/>
          <w:sz w:val="32"/>
          <w:szCs w:val="32"/>
          <w:highlight w:val="none"/>
        </w:rPr>
        <w:t>法定代表人资格证明书</w:t>
      </w:r>
    </w:p>
    <w:p w14:paraId="1369C819">
      <w:pPr>
        <w:spacing w:line="560" w:lineRule="exact"/>
        <w:rPr>
          <w:rFonts w:ascii="宋体" w:hAnsi="宋体"/>
          <w:color w:val="auto"/>
          <w:sz w:val="24"/>
          <w:highlight w:val="none"/>
        </w:rPr>
      </w:pPr>
      <w:r>
        <w:rPr>
          <w:rFonts w:hint="eastAsia" w:ascii="宋体" w:hAnsi="宋体"/>
          <w:color w:val="auto"/>
          <w:sz w:val="24"/>
          <w:highlight w:val="none"/>
        </w:rPr>
        <w:t>单位名称:</w:t>
      </w:r>
    </w:p>
    <w:p w14:paraId="6965BA39">
      <w:pPr>
        <w:spacing w:line="560" w:lineRule="exact"/>
        <w:rPr>
          <w:rFonts w:ascii="宋体" w:hAnsi="宋体"/>
          <w:color w:val="auto"/>
          <w:sz w:val="24"/>
          <w:highlight w:val="none"/>
        </w:rPr>
      </w:pPr>
      <w:r>
        <w:rPr>
          <w:rFonts w:hint="eastAsia" w:ascii="宋体" w:hAnsi="宋体"/>
          <w:color w:val="auto"/>
          <w:sz w:val="24"/>
          <w:highlight w:val="none"/>
        </w:rPr>
        <w:t>地址:</w:t>
      </w:r>
    </w:p>
    <w:p w14:paraId="0EE69B87">
      <w:pPr>
        <w:spacing w:line="560" w:lineRule="exact"/>
        <w:rPr>
          <w:rFonts w:ascii="宋体" w:hAnsi="宋体"/>
          <w:color w:val="auto"/>
          <w:sz w:val="24"/>
          <w:highlight w:val="none"/>
        </w:rPr>
      </w:pPr>
      <w:r>
        <w:rPr>
          <w:rFonts w:hint="eastAsia" w:ascii="宋体" w:hAnsi="宋体"/>
          <w:color w:val="auto"/>
          <w:sz w:val="24"/>
          <w:highlight w:val="none"/>
        </w:rPr>
        <w:t>姓名:     性别:       年龄:      职务:</w:t>
      </w:r>
    </w:p>
    <w:p w14:paraId="59C4E0E1">
      <w:pPr>
        <w:spacing w:line="560" w:lineRule="exact"/>
        <w:rPr>
          <w:rFonts w:ascii="宋体" w:hAnsi="宋体"/>
          <w:color w:val="auto"/>
          <w:sz w:val="24"/>
          <w:highlight w:val="none"/>
        </w:rPr>
      </w:pPr>
      <w:r>
        <w:rPr>
          <w:rFonts w:hint="eastAsia" w:ascii="宋体" w:hAnsi="宋体"/>
          <w:color w:val="auto"/>
          <w:sz w:val="24"/>
          <w:highlight w:val="none"/>
        </w:rPr>
        <w:t>系</w:t>
      </w:r>
      <w:r>
        <w:rPr>
          <w:rFonts w:hint="eastAsia" w:ascii="宋体" w:hAnsi="宋体"/>
          <w:color w:val="auto"/>
          <w:sz w:val="24"/>
          <w:highlight w:val="none"/>
          <w:u w:val="single"/>
        </w:rPr>
        <w:t>（</w:t>
      </w:r>
      <w:r>
        <w:rPr>
          <w:rFonts w:hint="eastAsia" w:ascii="宋体" w:hAnsi="宋体"/>
          <w:color w:val="auto"/>
          <w:sz w:val="24"/>
          <w:highlight w:val="none"/>
          <w:u w:val="single"/>
          <w:lang w:eastAsia="zh-CN"/>
        </w:rPr>
        <w:t>投标人</w:t>
      </w:r>
      <w:r>
        <w:rPr>
          <w:rFonts w:hint="eastAsia" w:ascii="宋体" w:hAnsi="宋体"/>
          <w:color w:val="auto"/>
          <w:sz w:val="24"/>
          <w:highlight w:val="none"/>
          <w:u w:val="single"/>
        </w:rPr>
        <w:t>名称）</w:t>
      </w:r>
      <w:r>
        <w:rPr>
          <w:rFonts w:hint="eastAsia" w:ascii="宋体" w:hAnsi="宋体"/>
          <w:color w:val="auto"/>
          <w:sz w:val="24"/>
          <w:highlight w:val="none"/>
        </w:rPr>
        <w:t>的法定代表人。为参与</w:t>
      </w:r>
      <w:r>
        <w:rPr>
          <w:rFonts w:hint="eastAsia" w:ascii="宋体" w:hAnsi="宋体"/>
          <w:color w:val="auto"/>
          <w:sz w:val="24"/>
          <w:highlight w:val="none"/>
          <w:u w:val="single"/>
        </w:rPr>
        <w:t>（项目名称）</w:t>
      </w:r>
      <w:r>
        <w:rPr>
          <w:rFonts w:hint="eastAsia" w:ascii="宋体" w:hAnsi="宋体"/>
          <w:color w:val="auto"/>
          <w:sz w:val="24"/>
          <w:highlight w:val="none"/>
        </w:rPr>
        <w:t>的政府采购活动，</w:t>
      </w:r>
      <w:r>
        <w:rPr>
          <w:rFonts w:ascii="宋体" w:hAnsi="宋体"/>
          <w:color w:val="auto"/>
          <w:sz w:val="24"/>
          <w:szCs w:val="20"/>
          <w:highlight w:val="none"/>
        </w:rPr>
        <w:t>签署、澄清确认、递交、撤回、修改</w:t>
      </w:r>
      <w:r>
        <w:rPr>
          <w:rFonts w:hint="eastAsia" w:ascii="宋体" w:hAnsi="宋体"/>
          <w:color w:val="auto"/>
          <w:sz w:val="24"/>
          <w:highlight w:val="none"/>
        </w:rPr>
        <w:t>上述项目的投标文件、进行合同谈判、签署合同和处理与之有关的一切事务。</w:t>
      </w:r>
    </w:p>
    <w:p w14:paraId="1179018D">
      <w:pPr>
        <w:spacing w:line="560" w:lineRule="exact"/>
        <w:rPr>
          <w:rFonts w:ascii="宋体" w:hAnsi="宋体"/>
          <w:color w:val="auto"/>
          <w:sz w:val="24"/>
          <w:highlight w:val="none"/>
        </w:rPr>
      </w:pPr>
      <w:r>
        <w:rPr>
          <w:rFonts w:hint="eastAsia" w:ascii="宋体" w:hAnsi="宋体"/>
          <w:color w:val="auto"/>
          <w:sz w:val="24"/>
          <w:highlight w:val="none"/>
        </w:rPr>
        <w:t>特此证明。</w:t>
      </w:r>
    </w:p>
    <w:p w14:paraId="6B99F182">
      <w:pPr>
        <w:spacing w:line="560" w:lineRule="exact"/>
        <w:rPr>
          <w:rFonts w:ascii="宋体" w:hAnsi="宋体"/>
          <w:color w:val="auto"/>
          <w:sz w:val="24"/>
          <w:highlight w:val="none"/>
        </w:rPr>
      </w:pPr>
    </w:p>
    <w:p w14:paraId="18B971E7">
      <w:pPr>
        <w:pStyle w:val="18"/>
        <w:kinsoku w:val="0"/>
        <w:overflowPunct w:val="0"/>
        <w:spacing w:line="583" w:lineRule="auto"/>
        <w:ind w:right="-46"/>
        <w:rPr>
          <w:color w:val="auto"/>
          <w:spacing w:val="-3"/>
          <w:highlight w:val="none"/>
        </w:rPr>
      </w:pPr>
      <w:r>
        <w:rPr>
          <w:color w:val="auto"/>
          <w:highlight w:val="none"/>
        </w:rPr>
        <w:t>附：</w:t>
      </w:r>
      <w:r>
        <w:rPr>
          <w:color w:val="auto"/>
          <w:spacing w:val="-3"/>
          <w:highlight w:val="none"/>
        </w:rPr>
        <w:t>法</w:t>
      </w:r>
      <w:r>
        <w:rPr>
          <w:color w:val="auto"/>
          <w:highlight w:val="none"/>
        </w:rPr>
        <w:t>定</w:t>
      </w:r>
      <w:r>
        <w:rPr>
          <w:color w:val="auto"/>
          <w:spacing w:val="-3"/>
          <w:highlight w:val="none"/>
        </w:rPr>
        <w:t>代</w:t>
      </w:r>
      <w:r>
        <w:rPr>
          <w:color w:val="auto"/>
          <w:highlight w:val="none"/>
        </w:rPr>
        <w:t>表</w:t>
      </w:r>
      <w:r>
        <w:rPr>
          <w:color w:val="auto"/>
          <w:spacing w:val="-3"/>
          <w:highlight w:val="none"/>
        </w:rPr>
        <w:t>人有效期内的身</w:t>
      </w:r>
      <w:r>
        <w:rPr>
          <w:rFonts w:hint="eastAsia"/>
          <w:color w:val="auto"/>
          <w:spacing w:val="-3"/>
          <w:highlight w:val="none"/>
        </w:rPr>
        <w:t>份</w:t>
      </w:r>
      <w:r>
        <w:rPr>
          <w:color w:val="auto"/>
          <w:spacing w:val="-3"/>
          <w:highlight w:val="none"/>
        </w:rPr>
        <w:t>证正反面</w:t>
      </w:r>
      <w:r>
        <w:rPr>
          <w:rFonts w:hint="eastAsia"/>
          <w:color w:val="auto"/>
          <w:spacing w:val="-3"/>
          <w:highlight w:val="none"/>
        </w:rPr>
        <w:t>电子件。</w:t>
      </w:r>
    </w:p>
    <w:tbl>
      <w:tblPr>
        <w:tblStyle w:val="4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3C835E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7D89F533">
            <w:pPr>
              <w:tabs>
                <w:tab w:val="left" w:pos="5580"/>
              </w:tabs>
              <w:spacing w:line="360" w:lineRule="auto"/>
              <w:jc w:val="left"/>
              <w:rPr>
                <w:rFonts w:ascii="宋体" w:hAnsi="宋体"/>
                <w:color w:val="auto"/>
                <w:sz w:val="24"/>
                <w:szCs w:val="20"/>
                <w:highlight w:val="none"/>
              </w:rPr>
            </w:pPr>
          </w:p>
          <w:p w14:paraId="5E5743D0">
            <w:pPr>
              <w:tabs>
                <w:tab w:val="left" w:pos="5580"/>
              </w:tabs>
              <w:spacing w:line="360" w:lineRule="auto"/>
              <w:jc w:val="left"/>
              <w:rPr>
                <w:rFonts w:ascii="宋体" w:hAnsi="宋体"/>
                <w:color w:val="auto"/>
                <w:sz w:val="24"/>
                <w:szCs w:val="20"/>
                <w:highlight w:val="none"/>
              </w:rPr>
            </w:pPr>
          </w:p>
          <w:p w14:paraId="02C73745">
            <w:pPr>
              <w:tabs>
                <w:tab w:val="left" w:pos="5580"/>
              </w:tabs>
              <w:spacing w:line="360" w:lineRule="auto"/>
              <w:jc w:val="left"/>
              <w:rPr>
                <w:rFonts w:ascii="宋体" w:hAnsi="宋体"/>
                <w:color w:val="auto"/>
                <w:sz w:val="24"/>
                <w:szCs w:val="20"/>
                <w:highlight w:val="none"/>
              </w:rPr>
            </w:pPr>
          </w:p>
        </w:tc>
        <w:tc>
          <w:tcPr>
            <w:tcW w:w="4536" w:type="dxa"/>
          </w:tcPr>
          <w:p w14:paraId="0B310889">
            <w:pPr>
              <w:tabs>
                <w:tab w:val="left" w:pos="5580"/>
              </w:tabs>
              <w:spacing w:line="360" w:lineRule="auto"/>
              <w:jc w:val="left"/>
              <w:rPr>
                <w:rFonts w:ascii="宋体" w:hAnsi="宋体"/>
                <w:color w:val="auto"/>
                <w:sz w:val="24"/>
                <w:szCs w:val="20"/>
                <w:highlight w:val="none"/>
              </w:rPr>
            </w:pPr>
          </w:p>
          <w:p w14:paraId="5EFA2A48">
            <w:pPr>
              <w:tabs>
                <w:tab w:val="left" w:pos="5580"/>
              </w:tabs>
              <w:spacing w:line="360" w:lineRule="auto"/>
              <w:jc w:val="left"/>
              <w:rPr>
                <w:rFonts w:ascii="宋体" w:hAnsi="宋体"/>
                <w:color w:val="auto"/>
                <w:sz w:val="24"/>
                <w:szCs w:val="20"/>
                <w:highlight w:val="none"/>
              </w:rPr>
            </w:pPr>
          </w:p>
          <w:p w14:paraId="7DA49423">
            <w:pPr>
              <w:tabs>
                <w:tab w:val="left" w:pos="5580"/>
              </w:tabs>
              <w:spacing w:line="360" w:lineRule="auto"/>
              <w:jc w:val="left"/>
              <w:rPr>
                <w:rFonts w:ascii="宋体" w:hAnsi="宋体"/>
                <w:color w:val="auto"/>
                <w:sz w:val="24"/>
                <w:szCs w:val="20"/>
                <w:highlight w:val="none"/>
              </w:rPr>
            </w:pPr>
          </w:p>
        </w:tc>
      </w:tr>
    </w:tbl>
    <w:p w14:paraId="45F09916">
      <w:pPr>
        <w:spacing w:line="560" w:lineRule="exact"/>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eastAsia="zh-CN"/>
        </w:rPr>
        <w:t>投标人</w:t>
      </w:r>
      <w:r>
        <w:rPr>
          <w:rFonts w:hint="eastAsia" w:ascii="宋体" w:hAnsi="宋体"/>
          <w:color w:val="auto"/>
          <w:sz w:val="24"/>
          <w:highlight w:val="none"/>
        </w:rPr>
        <w:t>：（加盖公章）</w:t>
      </w:r>
    </w:p>
    <w:p w14:paraId="614133FE">
      <w:pPr>
        <w:spacing w:line="560" w:lineRule="exact"/>
        <w:rPr>
          <w:rFonts w:ascii="宋体" w:hAnsi="宋体"/>
          <w:color w:val="auto"/>
          <w:sz w:val="24"/>
          <w:highlight w:val="none"/>
        </w:rPr>
      </w:pPr>
      <w:r>
        <w:rPr>
          <w:rFonts w:hint="eastAsia" w:ascii="宋体" w:hAnsi="宋体"/>
          <w:color w:val="auto"/>
          <w:sz w:val="24"/>
          <w:highlight w:val="none"/>
        </w:rPr>
        <w:t>                       法定代表人</w:t>
      </w:r>
      <w:r>
        <w:rPr>
          <w:rFonts w:ascii="宋体" w:hAnsi="宋体"/>
          <w:color w:val="auto"/>
          <w:sz w:val="24"/>
          <w:szCs w:val="20"/>
          <w:highlight w:val="none"/>
        </w:rPr>
        <w:t>签字</w:t>
      </w:r>
      <w:r>
        <w:rPr>
          <w:rFonts w:hint="eastAsia" w:ascii="宋体" w:hAnsi="宋体"/>
          <w:color w:val="auto"/>
          <w:sz w:val="24"/>
          <w:szCs w:val="20"/>
          <w:highlight w:val="none"/>
        </w:rPr>
        <w:t>或签章</w:t>
      </w:r>
      <w:r>
        <w:rPr>
          <w:rFonts w:ascii="宋体" w:hAnsi="宋体"/>
          <w:color w:val="auto"/>
          <w:sz w:val="24"/>
          <w:szCs w:val="20"/>
          <w:highlight w:val="none"/>
        </w:rPr>
        <w:t>或</w:t>
      </w:r>
      <w:r>
        <w:rPr>
          <w:rFonts w:hint="eastAsia" w:ascii="宋体" w:hAnsi="宋体"/>
          <w:color w:val="auto"/>
          <w:sz w:val="24"/>
          <w:szCs w:val="20"/>
          <w:highlight w:val="none"/>
        </w:rPr>
        <w:t>印鉴</w:t>
      </w:r>
      <w:r>
        <w:rPr>
          <w:rFonts w:hint="eastAsia" w:ascii="宋体" w:hAnsi="宋体"/>
          <w:color w:val="auto"/>
          <w:sz w:val="24"/>
          <w:highlight w:val="none"/>
        </w:rPr>
        <w:t>：</w:t>
      </w:r>
    </w:p>
    <w:p w14:paraId="5543A32C">
      <w:pPr>
        <w:spacing w:line="560" w:lineRule="exact"/>
        <w:ind w:firstLine="4320" w:firstLineChars="1800"/>
        <w:rPr>
          <w:rFonts w:ascii="宋体" w:hAnsi="宋体"/>
          <w:color w:val="auto"/>
          <w:sz w:val="24"/>
          <w:highlight w:val="none"/>
        </w:rPr>
      </w:pPr>
      <w:r>
        <w:rPr>
          <w:rFonts w:hint="eastAsia" w:ascii="宋体" w:hAnsi="宋体"/>
          <w:color w:val="auto"/>
          <w:sz w:val="24"/>
          <w:highlight w:val="none"/>
        </w:rPr>
        <w:t>日期：    年    月    日</w:t>
      </w:r>
    </w:p>
    <w:p w14:paraId="33385414">
      <w:pPr>
        <w:widowControl/>
        <w:jc w:val="left"/>
        <w:rPr>
          <w:color w:val="auto"/>
          <w:sz w:val="24"/>
          <w:highlight w:val="none"/>
        </w:rPr>
      </w:pPr>
    </w:p>
    <w:p w14:paraId="0E07C15E">
      <w:pPr>
        <w:rPr>
          <w:color w:val="auto"/>
          <w:highlight w:val="none"/>
        </w:rPr>
      </w:pPr>
    </w:p>
    <w:p w14:paraId="6234EA72">
      <w:pPr>
        <w:widowControl/>
        <w:jc w:val="left"/>
        <w:rPr>
          <w:rFonts w:ascii="宋体" w:hAnsi="宋体"/>
          <w:color w:val="auto"/>
          <w:sz w:val="24"/>
          <w:szCs w:val="20"/>
          <w:highlight w:val="none"/>
        </w:rPr>
      </w:pP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rPr>
        <w:t xml:space="preserve"> </w:t>
      </w:r>
    </w:p>
    <w:p w14:paraId="75CF5760">
      <w:pPr>
        <w:widowControl/>
        <w:jc w:val="left"/>
        <w:rPr>
          <w:color w:val="auto"/>
          <w:sz w:val="24"/>
          <w:highlight w:val="none"/>
        </w:rPr>
      </w:pPr>
    </w:p>
    <w:p w14:paraId="583C1211">
      <w:pPr>
        <w:widowControl/>
        <w:jc w:val="left"/>
        <w:rPr>
          <w:color w:val="auto"/>
          <w:sz w:val="24"/>
          <w:highlight w:val="none"/>
        </w:rPr>
      </w:pPr>
    </w:p>
    <w:p w14:paraId="40C53D8C">
      <w:pPr>
        <w:widowControl/>
        <w:jc w:val="left"/>
        <w:rPr>
          <w:color w:val="auto"/>
          <w:sz w:val="24"/>
          <w:highlight w:val="none"/>
        </w:rPr>
        <w:sectPr>
          <w:headerReference r:id="rId18" w:type="first"/>
          <w:footerReference r:id="rId20" w:type="first"/>
          <w:headerReference r:id="rId17" w:type="even"/>
          <w:footerReference r:id="rId19" w:type="even"/>
          <w:pgSz w:w="11907" w:h="16840"/>
          <w:pgMar w:top="1418" w:right="1134" w:bottom="1418" w:left="1701" w:header="851" w:footer="851" w:gutter="0"/>
          <w:pgBorders>
            <w:top w:val="none" w:sz="0" w:space="0"/>
            <w:left w:val="none" w:sz="0" w:space="0"/>
            <w:bottom w:val="none" w:sz="0" w:space="0"/>
            <w:right w:val="none" w:sz="0" w:space="0"/>
          </w:pgBorders>
          <w:pgNumType w:fmt="decimal"/>
          <w:cols w:space="720" w:num="1"/>
          <w:docGrid w:linePitch="462" w:charSpace="0"/>
        </w:sectPr>
      </w:pPr>
    </w:p>
    <w:p w14:paraId="0FD1B561">
      <w:pPr>
        <w:widowControl/>
        <w:jc w:val="left"/>
        <w:rPr>
          <w:color w:val="auto"/>
          <w:sz w:val="24"/>
          <w:highlight w:val="none"/>
        </w:rPr>
      </w:pPr>
      <w:r>
        <w:rPr>
          <w:rFonts w:hint="eastAsia"/>
          <w:color w:val="auto"/>
          <w:sz w:val="24"/>
          <w:highlight w:val="none"/>
        </w:rPr>
        <w:t>3  政府采购供应商信用承诺书</w:t>
      </w:r>
      <w:r>
        <w:rPr>
          <w:rFonts w:hint="eastAsia"/>
          <w:color w:val="auto"/>
          <w:sz w:val="24"/>
          <w:szCs w:val="20"/>
          <w:highlight w:val="none"/>
        </w:rPr>
        <w:t xml:space="preserve"> </w:t>
      </w:r>
    </w:p>
    <w:p w14:paraId="7B2BC261">
      <w:pPr>
        <w:spacing w:line="560" w:lineRule="exact"/>
        <w:ind w:firstLine="321" w:firstLineChars="100"/>
        <w:jc w:val="center"/>
        <w:rPr>
          <w:rFonts w:ascii="黑体" w:hAnsi="黑体" w:eastAsia="黑体"/>
          <w:b/>
          <w:color w:val="auto"/>
          <w:sz w:val="32"/>
          <w:szCs w:val="32"/>
          <w:highlight w:val="none"/>
        </w:rPr>
      </w:pPr>
    </w:p>
    <w:p w14:paraId="1F4F7327">
      <w:pPr>
        <w:spacing w:line="560" w:lineRule="exact"/>
        <w:ind w:firstLine="321" w:firstLineChars="100"/>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政府采购供应商信用承诺书</w:t>
      </w:r>
    </w:p>
    <w:p w14:paraId="3DCEDF92">
      <w:pPr>
        <w:ind w:firstLine="640"/>
        <w:rPr>
          <w:snapToGrid w:val="0"/>
          <w:color w:val="auto"/>
          <w:kern w:val="0"/>
          <w:highlight w:val="none"/>
        </w:rPr>
      </w:pPr>
    </w:p>
    <w:p w14:paraId="455C6223">
      <w:pPr>
        <w:spacing w:line="276" w:lineRule="auto"/>
        <w:ind w:firstLine="480"/>
        <w:rPr>
          <w:rFonts w:ascii="宋体" w:hAnsi="宋体"/>
          <w:color w:val="auto"/>
          <w:sz w:val="24"/>
          <w:highlight w:val="none"/>
        </w:rPr>
      </w:pPr>
      <w:r>
        <w:rPr>
          <w:rFonts w:hint="eastAsia" w:ascii="宋体" w:hAnsi="宋体"/>
          <w:color w:val="auto"/>
          <w:sz w:val="24"/>
          <w:highlight w:val="none"/>
        </w:rPr>
        <w:t>为维护公开、公平、公正的政府采购市场秩序，树立诚实守信的供应商形象，本单位在参与政府采购活动中,自愿作出以下承诺：</w:t>
      </w:r>
    </w:p>
    <w:p w14:paraId="295E7F49">
      <w:pPr>
        <w:spacing w:line="276" w:lineRule="auto"/>
        <w:ind w:firstLine="480"/>
        <w:rPr>
          <w:rFonts w:ascii="宋体" w:hAnsi="宋体"/>
          <w:color w:val="auto"/>
          <w:sz w:val="24"/>
          <w:highlight w:val="none"/>
        </w:rPr>
      </w:pPr>
      <w:r>
        <w:rPr>
          <w:rFonts w:hint="eastAsia" w:ascii="宋体" w:hAnsi="宋体"/>
          <w:color w:val="auto"/>
          <w:sz w:val="24"/>
          <w:highlight w:val="none"/>
        </w:rPr>
        <w:t>一、严格遵守国家法律、法规和规章，全面履行应尽的责任和义务，全面做到履约守信，具备《政府采购法》第二十二条第一款规定的条件。</w:t>
      </w:r>
    </w:p>
    <w:p w14:paraId="58B6B49C">
      <w:pPr>
        <w:spacing w:line="276" w:lineRule="auto"/>
        <w:ind w:firstLine="480"/>
        <w:rPr>
          <w:rFonts w:ascii="宋体" w:hAnsi="宋体"/>
          <w:color w:val="auto"/>
          <w:sz w:val="24"/>
          <w:highlight w:val="none"/>
        </w:rPr>
      </w:pPr>
      <w:r>
        <w:rPr>
          <w:rFonts w:hint="eastAsia" w:ascii="宋体" w:hAnsi="宋体"/>
          <w:color w:val="auto"/>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4EEB2FB0">
      <w:pPr>
        <w:spacing w:line="276" w:lineRule="auto"/>
        <w:ind w:firstLine="480"/>
        <w:rPr>
          <w:rFonts w:ascii="宋体" w:hAnsi="宋体"/>
          <w:color w:val="auto"/>
          <w:sz w:val="24"/>
          <w:highlight w:val="none"/>
        </w:rPr>
      </w:pPr>
      <w:r>
        <w:rPr>
          <w:rFonts w:hint="eastAsia" w:ascii="宋体" w:hAnsi="宋体"/>
          <w:color w:val="auto"/>
          <w:sz w:val="24"/>
          <w:highlight w:val="none"/>
        </w:rPr>
        <w:t>三、本单位提供给注册登记部门、行业管理部门、司法部门、行业组织以及在政府采购活动中提交的所有资料均合法、真实、有效，无任何伪造、修改、虚假</w:t>
      </w:r>
      <w:r>
        <w:rPr>
          <w:rFonts w:hint="eastAsia" w:ascii="宋体" w:hAnsi="宋体"/>
          <w:color w:val="auto"/>
          <w:sz w:val="24"/>
          <w:highlight w:val="none"/>
          <w:lang w:val="en-US" w:eastAsia="zh-CN"/>
        </w:rPr>
        <w:t>成分</w:t>
      </w:r>
      <w:r>
        <w:rPr>
          <w:rFonts w:hint="eastAsia" w:ascii="宋体" w:hAnsi="宋体"/>
          <w:color w:val="auto"/>
          <w:sz w:val="24"/>
          <w:highlight w:val="none"/>
        </w:rPr>
        <w:t>，并对所提供资料的真实性负责。</w:t>
      </w:r>
    </w:p>
    <w:p w14:paraId="6C953958">
      <w:pPr>
        <w:spacing w:line="276" w:lineRule="auto"/>
        <w:ind w:firstLine="480"/>
        <w:rPr>
          <w:rFonts w:ascii="宋体" w:hAnsi="宋体"/>
          <w:color w:val="auto"/>
          <w:sz w:val="24"/>
          <w:highlight w:val="none"/>
        </w:rPr>
      </w:pPr>
      <w:r>
        <w:rPr>
          <w:rFonts w:hint="eastAsia" w:ascii="宋体" w:hAnsi="宋体"/>
          <w:color w:val="auto"/>
          <w:sz w:val="24"/>
          <w:highlight w:val="none"/>
        </w:rPr>
        <w:t>四、严格依法开展生产经营活动，主动接受行业监管，自愿接受依法开展的日常检查；违法失信经营后将自愿接受约束和惩戒，并依法承担相应责任。</w:t>
      </w:r>
    </w:p>
    <w:p w14:paraId="67AE003D">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p>
    <w:p w14:paraId="4180CAF5">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0D4BCAB5">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p>
    <w:p w14:paraId="27E7D5DB">
      <w:pPr>
        <w:spacing w:line="276" w:lineRule="auto"/>
        <w:ind w:firstLine="480"/>
        <w:rPr>
          <w:rFonts w:ascii="宋体" w:hAnsi="宋体"/>
          <w:color w:val="auto"/>
          <w:sz w:val="24"/>
          <w:highlight w:val="none"/>
        </w:rPr>
      </w:pPr>
      <w:r>
        <w:rPr>
          <w:rFonts w:hint="eastAsia" w:ascii="宋体" w:hAnsi="宋体"/>
          <w:color w:val="auto"/>
          <w:sz w:val="24"/>
          <w:highlight w:val="none"/>
        </w:rPr>
        <w:t>八、承诺本单位提出政府采购质疑和投诉坚持依法依规、诚实信用原则。</w:t>
      </w:r>
    </w:p>
    <w:p w14:paraId="1C3B2EDA">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p>
    <w:p w14:paraId="04AB6977">
      <w:pPr>
        <w:spacing w:line="276" w:lineRule="auto"/>
        <w:ind w:firstLine="480"/>
        <w:rPr>
          <w:rFonts w:ascii="宋体" w:hAnsi="宋体"/>
          <w:color w:val="auto"/>
          <w:sz w:val="24"/>
          <w:highlight w:val="none"/>
        </w:rPr>
      </w:pPr>
      <w:r>
        <w:rPr>
          <w:rFonts w:hint="eastAsia" w:ascii="宋体" w:hAnsi="宋体"/>
          <w:color w:val="auto"/>
          <w:sz w:val="24"/>
          <w:highlight w:val="none"/>
        </w:rPr>
        <w:t>十、承诺本单位若违背承诺约定，经查实，愿意接受行业主管部门和信用管理部门相应的规定处罚，承担违约责任，并依法承担相应的法律责任。</w:t>
      </w:r>
    </w:p>
    <w:p w14:paraId="2E8E2308">
      <w:pPr>
        <w:spacing w:line="276" w:lineRule="auto"/>
        <w:ind w:firstLine="480"/>
        <w:rPr>
          <w:rFonts w:ascii="宋体" w:hAnsi="宋体"/>
          <w:color w:val="auto"/>
          <w:sz w:val="24"/>
          <w:highlight w:val="none"/>
        </w:rPr>
      </w:pPr>
      <w:r>
        <w:rPr>
          <w:rFonts w:hint="eastAsia" w:ascii="宋体" w:hAnsi="宋体"/>
          <w:color w:val="auto"/>
          <w:sz w:val="24"/>
          <w:highlight w:val="none"/>
        </w:rPr>
        <w:t>十一、承诺本单位同意将以上承诺事项上网公示，违背承诺约定行为将作为失信信息，记录到常州市公共信用信息系统，并予以公开。</w:t>
      </w:r>
    </w:p>
    <w:p w14:paraId="4D513280">
      <w:pPr>
        <w:pStyle w:val="128"/>
        <w:spacing w:line="276" w:lineRule="auto"/>
        <w:ind w:right="1050" w:rightChars="500" w:firstLine="2880" w:firstLineChars="1200"/>
        <w:jc w:val="both"/>
        <w:rPr>
          <w:rFonts w:ascii="宋体" w:hAnsi="宋体" w:eastAsia="宋体"/>
          <w:color w:val="auto"/>
          <w:sz w:val="24"/>
          <w:szCs w:val="22"/>
          <w:highlight w:val="none"/>
        </w:rPr>
      </w:pPr>
    </w:p>
    <w:p w14:paraId="0D33181A">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46798210">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4739B826">
      <w:pPr>
        <w:widowControl/>
        <w:jc w:val="left"/>
        <w:rPr>
          <w:color w:val="auto"/>
          <w:sz w:val="24"/>
          <w:szCs w:val="20"/>
          <w:highlight w:val="none"/>
        </w:rPr>
      </w:pPr>
      <w:bookmarkStart w:id="832" w:name="_Hlt520343392"/>
      <w:bookmarkEnd w:id="832"/>
      <w:bookmarkStart w:id="833" w:name="_Hlt520274065"/>
      <w:bookmarkEnd w:id="833"/>
      <w:bookmarkStart w:id="834" w:name="_Hlt520273711"/>
      <w:bookmarkEnd w:id="834"/>
      <w:bookmarkStart w:id="835" w:name="_Hlt520350918"/>
      <w:bookmarkEnd w:id="835"/>
      <w:bookmarkStart w:id="836" w:name="_Hlt520274393"/>
      <w:bookmarkEnd w:id="836"/>
      <w:bookmarkStart w:id="837" w:name="_Hlt520271212"/>
      <w:bookmarkEnd w:id="837"/>
      <w:bookmarkStart w:id="838" w:name="_Hlt520274407"/>
      <w:bookmarkEnd w:id="838"/>
      <w:bookmarkStart w:id="839" w:name="_Hlt520355504"/>
      <w:bookmarkEnd w:id="839"/>
      <w:bookmarkStart w:id="840" w:name="_Hlt520274121"/>
      <w:bookmarkEnd w:id="840"/>
      <w:bookmarkStart w:id="841" w:name="_Hlt520343000"/>
      <w:bookmarkEnd w:id="841"/>
      <w:bookmarkStart w:id="842" w:name="_Toc305158825"/>
      <w:bookmarkStart w:id="843" w:name="_Toc265228395"/>
      <w:bookmarkStart w:id="844" w:name="_Toc195842922"/>
      <w:bookmarkStart w:id="845" w:name="_Toc480942350"/>
      <w:bookmarkStart w:id="846" w:name="_Toc226965830"/>
      <w:bookmarkStart w:id="847" w:name="_Toc226965747"/>
      <w:bookmarkStart w:id="848" w:name="_Toc264969247"/>
      <w:bookmarkStart w:id="849" w:name="_Toc150480795"/>
      <w:bookmarkStart w:id="850" w:name="_Toc226309801"/>
      <w:bookmarkStart w:id="851" w:name="_Toc142311059"/>
      <w:bookmarkStart w:id="852" w:name="_Toc520356218"/>
      <w:bookmarkStart w:id="853" w:name="_Toc150774762"/>
      <w:bookmarkStart w:id="854" w:name="_Toc226337253"/>
      <w:bookmarkStart w:id="855" w:name="_Toc127151557"/>
      <w:bookmarkStart w:id="856" w:name="_Ref467988705"/>
      <w:bookmarkStart w:id="857" w:name="_Toc305158899"/>
      <w:r>
        <w:rPr>
          <w:color w:val="auto"/>
          <w:sz w:val="24"/>
          <w:szCs w:val="20"/>
          <w:highlight w:val="none"/>
        </w:rPr>
        <w:br w:type="page"/>
      </w:r>
      <w:r>
        <w:rPr>
          <w:rFonts w:hint="eastAsia"/>
          <w:color w:val="auto"/>
          <w:sz w:val="24"/>
          <w:szCs w:val="20"/>
          <w:highlight w:val="none"/>
        </w:rPr>
        <w:t>4</w:t>
      </w:r>
      <w:r>
        <w:rPr>
          <w:color w:val="auto"/>
          <w:sz w:val="24"/>
          <w:szCs w:val="20"/>
          <w:highlight w:val="none"/>
        </w:rPr>
        <w:t xml:space="preserve"> 开标一览表</w:t>
      </w:r>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p>
    <w:p w14:paraId="45D7F321">
      <w:pPr>
        <w:tabs>
          <w:tab w:val="left" w:pos="2775"/>
          <w:tab w:val="center" w:pos="4153"/>
        </w:tabs>
        <w:autoSpaceDE w:val="0"/>
        <w:autoSpaceDN w:val="0"/>
        <w:adjustRightInd w:val="0"/>
        <w:spacing w:line="360" w:lineRule="auto"/>
        <w:jc w:val="center"/>
        <w:outlineLvl w:val="9"/>
        <w:rPr>
          <w:rFonts w:hint="eastAsia" w:eastAsia="宋体"/>
          <w:b/>
          <w:color w:val="auto"/>
          <w:sz w:val="36"/>
          <w:szCs w:val="36"/>
          <w:highlight w:val="none"/>
          <w:lang w:eastAsia="zh-CN"/>
        </w:rPr>
      </w:pPr>
      <w:bookmarkStart w:id="858" w:name="_Toc305158826"/>
      <w:bookmarkStart w:id="859" w:name="_Toc164608827"/>
      <w:bookmarkStart w:id="860" w:name="_Toc305158900"/>
      <w:bookmarkStart w:id="861" w:name="_Toc226965748"/>
      <w:bookmarkStart w:id="862" w:name="_Toc226309802"/>
      <w:bookmarkStart w:id="863" w:name="_Toc264969248"/>
      <w:bookmarkStart w:id="864" w:name="_Toc226337254"/>
      <w:bookmarkStart w:id="865" w:name="_Toc195842923"/>
      <w:bookmarkStart w:id="866" w:name="_Toc164608672"/>
      <w:bookmarkStart w:id="867" w:name="_Toc226965831"/>
      <w:bookmarkStart w:id="868" w:name="_Toc265228396"/>
      <w:bookmarkStart w:id="869" w:name="_Toc150774763"/>
      <w:bookmarkStart w:id="870" w:name="_Toc195842924"/>
      <w:bookmarkStart w:id="871" w:name="_Toc142311060"/>
      <w:bookmarkStart w:id="872" w:name="_Toc305158827"/>
      <w:bookmarkStart w:id="873" w:name="_Toc265228397"/>
      <w:bookmarkStart w:id="874" w:name="_Toc305158901"/>
      <w:bookmarkStart w:id="875" w:name="_Toc226965832"/>
      <w:bookmarkStart w:id="876" w:name="_Toc127151558"/>
      <w:bookmarkStart w:id="877" w:name="_Toc226337255"/>
      <w:bookmarkStart w:id="878" w:name="_Toc264969249"/>
      <w:bookmarkStart w:id="879" w:name="_Toc226309803"/>
      <w:bookmarkStart w:id="880" w:name="_Toc226965749"/>
      <w:bookmarkStart w:id="881" w:name="_Toc150480796"/>
      <w:r>
        <w:rPr>
          <w:rFonts w:hint="eastAsia"/>
          <w:b/>
          <w:color w:val="auto"/>
          <w:sz w:val="36"/>
          <w:szCs w:val="36"/>
          <w:highlight w:val="none"/>
        </w:rPr>
        <w:t>开标一览表</w:t>
      </w:r>
      <w:bookmarkEnd w:id="858"/>
      <w:bookmarkEnd w:id="859"/>
      <w:bookmarkEnd w:id="860"/>
      <w:bookmarkEnd w:id="861"/>
      <w:bookmarkEnd w:id="862"/>
      <w:bookmarkEnd w:id="863"/>
      <w:bookmarkEnd w:id="864"/>
      <w:bookmarkEnd w:id="865"/>
      <w:bookmarkEnd w:id="866"/>
      <w:bookmarkEnd w:id="867"/>
      <w:bookmarkEnd w:id="868"/>
    </w:p>
    <w:p w14:paraId="5E3B8DE1">
      <w:pPr>
        <w:tabs>
          <w:tab w:val="left" w:pos="1800"/>
          <w:tab w:val="left" w:pos="5580"/>
        </w:tabs>
        <w:spacing w:line="360" w:lineRule="auto"/>
        <w:jc w:val="left"/>
        <w:outlineLvl w:val="9"/>
        <w:rPr>
          <w:i/>
          <w:color w:val="auto"/>
          <w:sz w:val="24"/>
          <w:highlight w:val="none"/>
        </w:rPr>
      </w:pPr>
    </w:p>
    <w:p w14:paraId="739EBB31">
      <w:pPr>
        <w:tabs>
          <w:tab w:val="left" w:pos="1800"/>
          <w:tab w:val="left" w:pos="5580"/>
        </w:tabs>
        <w:spacing w:line="360" w:lineRule="auto"/>
        <w:ind w:firstLine="240" w:firstLineChars="100"/>
        <w:jc w:val="left"/>
        <w:outlineLvl w:val="9"/>
        <w:rPr>
          <w:color w:val="auto"/>
          <w:sz w:val="24"/>
          <w:highlight w:val="none"/>
          <w:u w:val="single"/>
        </w:rPr>
      </w:pPr>
      <w:r>
        <w:rPr>
          <w:color w:val="auto"/>
          <w:sz w:val="24"/>
          <w:highlight w:val="none"/>
        </w:rPr>
        <w:t>项目编号：_____________________     项目名称：____________</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90"/>
        <w:gridCol w:w="3709"/>
        <w:gridCol w:w="1989"/>
        <w:gridCol w:w="1984"/>
      </w:tblGrid>
      <w:tr w14:paraId="2F88B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690" w:type="dxa"/>
            <w:vMerge w:val="restart"/>
            <w:noWrap w:val="0"/>
            <w:vAlign w:val="center"/>
          </w:tcPr>
          <w:p w14:paraId="615996F2">
            <w:pPr>
              <w:tabs>
                <w:tab w:val="left" w:pos="5580"/>
              </w:tabs>
              <w:jc w:val="center"/>
              <w:outlineLvl w:val="9"/>
              <w:rPr>
                <w:b/>
                <w:color w:val="auto"/>
                <w:sz w:val="24"/>
                <w:highlight w:val="none"/>
              </w:rPr>
            </w:pPr>
            <w:r>
              <w:rPr>
                <w:b/>
                <w:color w:val="auto"/>
                <w:sz w:val="24"/>
                <w:highlight w:val="none"/>
              </w:rPr>
              <w:t>序号</w:t>
            </w:r>
          </w:p>
        </w:tc>
        <w:tc>
          <w:tcPr>
            <w:tcW w:w="3709" w:type="dxa"/>
            <w:vMerge w:val="restart"/>
            <w:noWrap w:val="0"/>
            <w:vAlign w:val="center"/>
          </w:tcPr>
          <w:p w14:paraId="2D7D9368">
            <w:pPr>
              <w:tabs>
                <w:tab w:val="left" w:pos="5580"/>
              </w:tabs>
              <w:jc w:val="center"/>
              <w:outlineLvl w:val="9"/>
              <w:rPr>
                <w:b/>
                <w:color w:val="auto"/>
                <w:sz w:val="24"/>
                <w:highlight w:val="none"/>
              </w:rPr>
            </w:pPr>
            <w:r>
              <w:rPr>
                <w:b/>
                <w:color w:val="auto"/>
                <w:sz w:val="24"/>
                <w:highlight w:val="none"/>
              </w:rPr>
              <w:t>投标人名称</w:t>
            </w:r>
          </w:p>
        </w:tc>
        <w:tc>
          <w:tcPr>
            <w:tcW w:w="3973" w:type="dxa"/>
            <w:gridSpan w:val="2"/>
            <w:noWrap w:val="0"/>
            <w:vAlign w:val="center"/>
          </w:tcPr>
          <w:p w14:paraId="1C67AA3A">
            <w:pPr>
              <w:tabs>
                <w:tab w:val="left" w:pos="5580"/>
              </w:tabs>
              <w:jc w:val="center"/>
              <w:outlineLvl w:val="9"/>
              <w:rPr>
                <w:rFonts w:hint="eastAsia" w:eastAsia="宋体"/>
                <w:b/>
                <w:color w:val="auto"/>
                <w:sz w:val="24"/>
                <w:highlight w:val="none"/>
                <w:lang w:eastAsia="zh-CN"/>
              </w:rPr>
            </w:pPr>
            <w:r>
              <w:rPr>
                <w:b/>
                <w:color w:val="auto"/>
                <w:sz w:val="24"/>
                <w:highlight w:val="none"/>
              </w:rPr>
              <w:t>投标报价</w:t>
            </w:r>
            <w:r>
              <w:rPr>
                <w:rFonts w:hint="eastAsia"/>
                <w:b/>
                <w:color w:val="auto"/>
                <w:sz w:val="24"/>
                <w:highlight w:val="none"/>
                <w:lang w:eastAsia="zh-CN"/>
              </w:rPr>
              <w:t>（</w:t>
            </w:r>
            <w:r>
              <w:rPr>
                <w:rFonts w:hint="eastAsia"/>
                <w:b/>
                <w:color w:val="auto"/>
                <w:sz w:val="24"/>
                <w:highlight w:val="none"/>
                <w:lang w:val="en-US" w:eastAsia="zh-CN"/>
              </w:rPr>
              <w:t>人民币：元/自合同签订之日起二年</w:t>
            </w:r>
            <w:r>
              <w:rPr>
                <w:rFonts w:hint="eastAsia"/>
                <w:b/>
                <w:color w:val="auto"/>
                <w:sz w:val="24"/>
                <w:highlight w:val="none"/>
                <w:lang w:eastAsia="zh-CN"/>
              </w:rPr>
              <w:t>）</w:t>
            </w:r>
          </w:p>
        </w:tc>
      </w:tr>
      <w:tr w14:paraId="4C340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690" w:type="dxa"/>
            <w:vMerge w:val="continue"/>
            <w:noWrap w:val="0"/>
            <w:vAlign w:val="center"/>
          </w:tcPr>
          <w:p w14:paraId="2C2C3741">
            <w:pPr>
              <w:tabs>
                <w:tab w:val="left" w:pos="5580"/>
              </w:tabs>
              <w:jc w:val="center"/>
              <w:outlineLvl w:val="9"/>
              <w:rPr>
                <w:color w:val="auto"/>
                <w:sz w:val="24"/>
                <w:highlight w:val="none"/>
              </w:rPr>
            </w:pPr>
          </w:p>
        </w:tc>
        <w:tc>
          <w:tcPr>
            <w:tcW w:w="3709" w:type="dxa"/>
            <w:vMerge w:val="continue"/>
            <w:noWrap w:val="0"/>
            <w:vAlign w:val="center"/>
          </w:tcPr>
          <w:p w14:paraId="121E6DE1">
            <w:pPr>
              <w:tabs>
                <w:tab w:val="left" w:pos="5580"/>
              </w:tabs>
              <w:jc w:val="center"/>
              <w:outlineLvl w:val="9"/>
              <w:rPr>
                <w:color w:val="auto"/>
                <w:sz w:val="24"/>
                <w:highlight w:val="none"/>
              </w:rPr>
            </w:pPr>
          </w:p>
        </w:tc>
        <w:tc>
          <w:tcPr>
            <w:tcW w:w="1989" w:type="dxa"/>
            <w:noWrap w:val="0"/>
            <w:vAlign w:val="center"/>
          </w:tcPr>
          <w:p w14:paraId="57DB6779">
            <w:pPr>
              <w:tabs>
                <w:tab w:val="left" w:pos="5580"/>
              </w:tabs>
              <w:jc w:val="center"/>
              <w:outlineLvl w:val="9"/>
              <w:rPr>
                <w:b/>
                <w:color w:val="auto"/>
                <w:sz w:val="24"/>
                <w:highlight w:val="none"/>
              </w:rPr>
            </w:pPr>
            <w:r>
              <w:rPr>
                <w:b/>
                <w:color w:val="auto"/>
                <w:sz w:val="24"/>
                <w:highlight w:val="none"/>
              </w:rPr>
              <w:t>大写</w:t>
            </w:r>
          </w:p>
        </w:tc>
        <w:tc>
          <w:tcPr>
            <w:tcW w:w="1984" w:type="dxa"/>
            <w:noWrap w:val="0"/>
            <w:vAlign w:val="center"/>
          </w:tcPr>
          <w:p w14:paraId="0D921756">
            <w:pPr>
              <w:tabs>
                <w:tab w:val="left" w:pos="5580"/>
              </w:tabs>
              <w:jc w:val="center"/>
              <w:outlineLvl w:val="9"/>
              <w:rPr>
                <w:b/>
                <w:color w:val="auto"/>
                <w:sz w:val="24"/>
                <w:highlight w:val="none"/>
              </w:rPr>
            </w:pPr>
            <w:r>
              <w:rPr>
                <w:b/>
                <w:color w:val="auto"/>
                <w:sz w:val="24"/>
                <w:highlight w:val="none"/>
              </w:rPr>
              <w:t>小写</w:t>
            </w:r>
          </w:p>
        </w:tc>
      </w:tr>
      <w:tr w14:paraId="3883F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690" w:type="dxa"/>
            <w:noWrap w:val="0"/>
            <w:vAlign w:val="center"/>
          </w:tcPr>
          <w:p w14:paraId="726588C9">
            <w:pPr>
              <w:tabs>
                <w:tab w:val="left" w:pos="5580"/>
              </w:tabs>
              <w:jc w:val="center"/>
              <w:outlineLvl w:val="9"/>
              <w:rPr>
                <w:color w:val="auto"/>
                <w:sz w:val="24"/>
                <w:highlight w:val="none"/>
              </w:rPr>
            </w:pPr>
          </w:p>
        </w:tc>
        <w:tc>
          <w:tcPr>
            <w:tcW w:w="3709" w:type="dxa"/>
            <w:noWrap w:val="0"/>
            <w:vAlign w:val="center"/>
          </w:tcPr>
          <w:p w14:paraId="4FE33DB2">
            <w:pPr>
              <w:tabs>
                <w:tab w:val="left" w:pos="5580"/>
              </w:tabs>
              <w:jc w:val="center"/>
              <w:outlineLvl w:val="9"/>
              <w:rPr>
                <w:color w:val="auto"/>
                <w:sz w:val="24"/>
                <w:highlight w:val="none"/>
              </w:rPr>
            </w:pPr>
          </w:p>
        </w:tc>
        <w:tc>
          <w:tcPr>
            <w:tcW w:w="1989" w:type="dxa"/>
            <w:noWrap w:val="0"/>
            <w:vAlign w:val="center"/>
          </w:tcPr>
          <w:p w14:paraId="3BCA2E51">
            <w:pPr>
              <w:tabs>
                <w:tab w:val="left" w:pos="5580"/>
              </w:tabs>
              <w:jc w:val="center"/>
              <w:outlineLvl w:val="9"/>
              <w:rPr>
                <w:color w:val="auto"/>
                <w:sz w:val="24"/>
                <w:highlight w:val="none"/>
              </w:rPr>
            </w:pPr>
          </w:p>
        </w:tc>
        <w:tc>
          <w:tcPr>
            <w:tcW w:w="1984" w:type="dxa"/>
            <w:noWrap w:val="0"/>
            <w:vAlign w:val="center"/>
          </w:tcPr>
          <w:p w14:paraId="3988C6C2">
            <w:pPr>
              <w:tabs>
                <w:tab w:val="left" w:pos="5580"/>
              </w:tabs>
              <w:jc w:val="center"/>
              <w:outlineLvl w:val="9"/>
              <w:rPr>
                <w:color w:val="auto"/>
                <w:sz w:val="24"/>
                <w:highlight w:val="none"/>
              </w:rPr>
            </w:pPr>
          </w:p>
        </w:tc>
      </w:tr>
    </w:tbl>
    <w:p w14:paraId="64ABD29D">
      <w:pPr>
        <w:autoSpaceDE w:val="0"/>
        <w:autoSpaceDN w:val="0"/>
        <w:adjustRightInd w:val="0"/>
        <w:jc w:val="left"/>
        <w:outlineLvl w:val="9"/>
        <w:rPr>
          <w:color w:val="auto"/>
          <w:kern w:val="0"/>
          <w:sz w:val="24"/>
          <w:highlight w:val="none"/>
        </w:rPr>
      </w:pPr>
    </w:p>
    <w:p w14:paraId="55157470">
      <w:pPr>
        <w:autoSpaceDE w:val="0"/>
        <w:autoSpaceDN w:val="0"/>
        <w:adjustRightInd w:val="0"/>
        <w:jc w:val="left"/>
        <w:outlineLvl w:val="9"/>
        <w:rPr>
          <w:color w:val="auto"/>
          <w:sz w:val="24"/>
          <w:szCs w:val="20"/>
          <w:highlight w:val="none"/>
        </w:rPr>
      </w:pPr>
      <w:r>
        <w:rPr>
          <w:color w:val="auto"/>
          <w:kern w:val="0"/>
          <w:sz w:val="24"/>
          <w:highlight w:val="none"/>
        </w:rPr>
        <w:t>注：</w:t>
      </w:r>
      <w:r>
        <w:rPr>
          <w:color w:val="auto"/>
          <w:sz w:val="24"/>
          <w:szCs w:val="20"/>
          <w:highlight w:val="none"/>
        </w:rPr>
        <w:t>此表的投标报价应和《投标分项报价表》中的总价相一致。</w:t>
      </w:r>
    </w:p>
    <w:p w14:paraId="23FD67B0">
      <w:pPr>
        <w:autoSpaceDE w:val="0"/>
        <w:autoSpaceDN w:val="0"/>
        <w:adjustRightInd w:val="0"/>
        <w:snapToGrid w:val="0"/>
        <w:spacing w:before="25" w:after="25" w:line="360" w:lineRule="auto"/>
        <w:outlineLvl w:val="9"/>
        <w:rPr>
          <w:color w:val="auto"/>
          <w:sz w:val="24"/>
          <w:highlight w:val="none"/>
          <w:lang w:val="zh-CN"/>
        </w:rPr>
      </w:pPr>
    </w:p>
    <w:p w14:paraId="2EAA134D">
      <w:pPr>
        <w:autoSpaceDE w:val="0"/>
        <w:autoSpaceDN w:val="0"/>
        <w:adjustRightInd w:val="0"/>
        <w:snapToGrid w:val="0"/>
        <w:spacing w:before="25" w:after="25" w:line="360" w:lineRule="auto"/>
        <w:outlineLvl w:val="9"/>
        <w:rPr>
          <w:color w:val="auto"/>
          <w:sz w:val="24"/>
          <w:highlight w:val="none"/>
          <w:lang w:val="zh-CN"/>
        </w:rPr>
      </w:pPr>
      <w:r>
        <w:rPr>
          <w:color w:val="auto"/>
          <w:sz w:val="24"/>
          <w:highlight w:val="none"/>
          <w:lang w:val="zh-CN"/>
        </w:rPr>
        <w:t xml:space="preserve">                         </w:t>
      </w:r>
    </w:p>
    <w:p w14:paraId="1CBAFBC3">
      <w:pPr>
        <w:autoSpaceDE w:val="0"/>
        <w:autoSpaceDN w:val="0"/>
        <w:adjustRightInd w:val="0"/>
        <w:snapToGrid w:val="0"/>
        <w:spacing w:before="25" w:after="25" w:line="360" w:lineRule="auto"/>
        <w:outlineLvl w:val="9"/>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3A18BECA">
      <w:pPr>
        <w:autoSpaceDE w:val="0"/>
        <w:autoSpaceDN w:val="0"/>
        <w:adjustRightInd w:val="0"/>
        <w:snapToGrid w:val="0"/>
        <w:spacing w:before="25" w:after="25" w:line="360" w:lineRule="auto"/>
        <w:outlineLvl w:val="9"/>
        <w:rPr>
          <w:color w:val="auto"/>
          <w:sz w:val="24"/>
          <w:highlight w:val="none"/>
          <w:lang w:val="zh-CN"/>
        </w:rPr>
      </w:pPr>
      <w:r>
        <w:rPr>
          <w:color w:val="auto"/>
          <w:sz w:val="24"/>
          <w:szCs w:val="20"/>
          <w:highlight w:val="none"/>
        </w:rPr>
        <w:t xml:space="preserve">日期：_____年______月______日   </w:t>
      </w:r>
    </w:p>
    <w:p w14:paraId="046836FE">
      <w:pPr>
        <w:spacing w:line="360" w:lineRule="auto"/>
        <w:outlineLvl w:val="9"/>
        <w:rPr>
          <w:rFonts w:hint="eastAsia"/>
          <w:color w:val="auto"/>
          <w:sz w:val="24"/>
          <w:szCs w:val="20"/>
          <w:highlight w:val="none"/>
        </w:rPr>
      </w:pPr>
      <w:r>
        <w:rPr>
          <w:color w:val="auto"/>
          <w:sz w:val="24"/>
          <w:szCs w:val="20"/>
          <w:highlight w:val="none"/>
        </w:rPr>
        <w:br w:type="page"/>
      </w:r>
    </w:p>
    <w:bookmarkEnd w:id="869"/>
    <w:bookmarkEnd w:id="870"/>
    <w:bookmarkEnd w:id="871"/>
    <w:bookmarkEnd w:id="872"/>
    <w:bookmarkEnd w:id="873"/>
    <w:bookmarkEnd w:id="874"/>
    <w:bookmarkEnd w:id="875"/>
    <w:bookmarkEnd w:id="876"/>
    <w:bookmarkEnd w:id="877"/>
    <w:bookmarkEnd w:id="878"/>
    <w:bookmarkEnd w:id="879"/>
    <w:bookmarkEnd w:id="880"/>
    <w:bookmarkEnd w:id="881"/>
    <w:p w14:paraId="56397A2B">
      <w:pPr>
        <w:spacing w:line="360" w:lineRule="auto"/>
        <w:outlineLvl w:val="2"/>
        <w:rPr>
          <w:b/>
          <w:bCs/>
          <w:color w:val="auto"/>
          <w:sz w:val="24"/>
          <w:szCs w:val="20"/>
          <w:highlight w:val="none"/>
        </w:rPr>
      </w:pPr>
      <w:bookmarkStart w:id="882" w:name="_Toc127151562"/>
      <w:bookmarkStart w:id="883" w:name="_Toc264969252"/>
      <w:bookmarkStart w:id="884" w:name="_Toc265228400"/>
      <w:bookmarkStart w:id="885" w:name="_Toc226337258"/>
      <w:bookmarkStart w:id="886" w:name="_Toc226965835"/>
      <w:bookmarkStart w:id="887" w:name="_Toc305158904"/>
      <w:bookmarkStart w:id="888" w:name="_Toc305158830"/>
      <w:bookmarkStart w:id="889" w:name="_Toc150774765"/>
      <w:bookmarkStart w:id="890" w:name="_Toc142311062"/>
      <w:bookmarkStart w:id="891" w:name="_Toc226309806"/>
      <w:bookmarkStart w:id="892" w:name="_Toc150480798"/>
      <w:bookmarkStart w:id="893" w:name="_Toc195842927"/>
      <w:bookmarkStart w:id="894" w:name="_Toc226965752"/>
      <w:bookmarkStart w:id="895" w:name="_Toc305158903"/>
      <w:bookmarkStart w:id="896" w:name="_Toc305158829"/>
      <w:bookmarkStart w:id="897" w:name="_Toc226309805"/>
      <w:bookmarkStart w:id="898" w:name="_Toc127151561"/>
      <w:bookmarkStart w:id="899" w:name="_Toc195842926"/>
      <w:bookmarkStart w:id="900" w:name="_Toc226965834"/>
      <w:bookmarkStart w:id="901" w:name="_Toc226337257"/>
      <w:bookmarkStart w:id="902" w:name="_Toc264969251"/>
      <w:bookmarkStart w:id="903" w:name="_Toc150480797"/>
      <w:bookmarkStart w:id="904" w:name="_Toc150774764"/>
      <w:bookmarkStart w:id="905" w:name="_Toc265228399"/>
      <w:bookmarkStart w:id="906" w:name="_Toc142311061"/>
      <w:bookmarkStart w:id="907" w:name="_Toc226965751"/>
      <w:r>
        <w:rPr>
          <w:rFonts w:hint="eastAsia"/>
          <w:color w:val="auto"/>
          <w:sz w:val="24"/>
          <w:szCs w:val="20"/>
          <w:highlight w:val="none"/>
        </w:rPr>
        <w:t>5</w:t>
      </w:r>
      <w:r>
        <w:rPr>
          <w:color w:val="auto"/>
          <w:sz w:val="24"/>
          <w:szCs w:val="20"/>
          <w:highlight w:val="none"/>
        </w:rPr>
        <w:t xml:space="preserve">  投标分项报价表</w:t>
      </w:r>
    </w:p>
    <w:p w14:paraId="70F2C7A8">
      <w:pPr>
        <w:tabs>
          <w:tab w:val="left" w:pos="2775"/>
          <w:tab w:val="center" w:pos="4153"/>
        </w:tabs>
        <w:autoSpaceDE w:val="0"/>
        <w:autoSpaceDN w:val="0"/>
        <w:adjustRightInd w:val="0"/>
        <w:spacing w:line="360" w:lineRule="auto"/>
        <w:jc w:val="center"/>
        <w:rPr>
          <w:rFonts w:hint="eastAsia" w:eastAsia="宋体"/>
          <w:b/>
          <w:color w:val="auto"/>
          <w:sz w:val="36"/>
          <w:szCs w:val="36"/>
          <w:highlight w:val="none"/>
          <w:lang w:eastAsia="zh-CN"/>
        </w:rPr>
      </w:pPr>
      <w:r>
        <w:rPr>
          <w:rFonts w:hint="eastAsia" w:eastAsia="宋体"/>
          <w:b/>
          <w:color w:val="auto"/>
          <w:sz w:val="36"/>
          <w:szCs w:val="36"/>
          <w:highlight w:val="none"/>
        </w:rPr>
        <w:t>投标分项报价表</w:t>
      </w:r>
    </w:p>
    <w:p w14:paraId="259521F5">
      <w:pPr>
        <w:keepNext w:val="0"/>
        <w:keepLines w:val="0"/>
        <w:pageBreakBefore w:val="0"/>
        <w:widowControl w:val="0"/>
        <w:tabs>
          <w:tab w:val="left" w:pos="1800"/>
          <w:tab w:val="left" w:pos="5580"/>
        </w:tabs>
        <w:kinsoku/>
        <w:wordWrap/>
        <w:overflowPunct/>
        <w:topLinePunct w:val="0"/>
        <w:autoSpaceDE/>
        <w:autoSpaceDN/>
        <w:bidi w:val="0"/>
        <w:adjustRightInd/>
        <w:snapToGrid/>
        <w:spacing w:after="233" w:afterLines="50"/>
        <w:textAlignment w:val="auto"/>
        <w:rPr>
          <w:color w:val="auto"/>
          <w:sz w:val="24"/>
          <w:highlight w:val="none"/>
        </w:rPr>
      </w:pPr>
      <w:r>
        <w:rPr>
          <w:color w:val="auto"/>
          <w:sz w:val="24"/>
          <w:highlight w:val="none"/>
        </w:rPr>
        <w:t>项目编号：___________ 项目名称：__________</w:t>
      </w:r>
      <w:r>
        <w:rPr>
          <w:rFonts w:hint="eastAsia"/>
          <w:color w:val="auto"/>
          <w:sz w:val="24"/>
          <w:highlight w:val="none"/>
          <w:lang w:val="en-US" w:eastAsia="zh-CN"/>
        </w:rPr>
        <w:t xml:space="preserve">        </w:t>
      </w:r>
      <w:r>
        <w:rPr>
          <w:color w:val="auto"/>
          <w:sz w:val="24"/>
          <w:highlight w:val="none"/>
        </w:rPr>
        <w:t>报价单位：人民币元</w:t>
      </w:r>
    </w:p>
    <w:tbl>
      <w:tblPr>
        <w:tblStyle w:val="4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3"/>
        <w:gridCol w:w="1847"/>
        <w:gridCol w:w="1936"/>
        <w:gridCol w:w="1109"/>
        <w:gridCol w:w="779"/>
        <w:gridCol w:w="1336"/>
        <w:gridCol w:w="1758"/>
      </w:tblGrid>
      <w:tr w14:paraId="771A2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282" w:type="pct"/>
            <w:vMerge w:val="restart"/>
            <w:tcBorders>
              <w:top w:val="single" w:color="auto" w:sz="4" w:space="0"/>
              <w:left w:val="single" w:color="auto" w:sz="4" w:space="0"/>
              <w:right w:val="single" w:color="auto" w:sz="4" w:space="0"/>
            </w:tcBorders>
            <w:noWrap w:val="0"/>
            <w:vAlign w:val="center"/>
          </w:tcPr>
          <w:p w14:paraId="7B616A56">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序号</w:t>
            </w:r>
          </w:p>
        </w:tc>
        <w:tc>
          <w:tcPr>
            <w:tcW w:w="994" w:type="pct"/>
            <w:vMerge w:val="restart"/>
            <w:tcBorders>
              <w:top w:val="single" w:color="auto" w:sz="4" w:space="0"/>
              <w:left w:val="single" w:color="auto" w:sz="4" w:space="0"/>
              <w:right w:val="single" w:color="auto" w:sz="4" w:space="0"/>
            </w:tcBorders>
            <w:noWrap w:val="0"/>
            <w:vAlign w:val="center"/>
          </w:tcPr>
          <w:p w14:paraId="678F9DE5">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分项名称</w:t>
            </w:r>
          </w:p>
        </w:tc>
        <w:tc>
          <w:tcPr>
            <w:tcW w:w="1041" w:type="pct"/>
            <w:vMerge w:val="restart"/>
            <w:tcBorders>
              <w:top w:val="single" w:color="auto" w:sz="4" w:space="0"/>
              <w:left w:val="single" w:color="auto" w:sz="4" w:space="0"/>
              <w:right w:val="single" w:color="auto" w:sz="4" w:space="0"/>
            </w:tcBorders>
            <w:noWrap w:val="0"/>
            <w:vAlign w:val="center"/>
          </w:tcPr>
          <w:p w14:paraId="0E9190A1">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服务内容</w:t>
            </w:r>
          </w:p>
        </w:tc>
        <w:tc>
          <w:tcPr>
            <w:tcW w:w="597" w:type="pct"/>
            <w:vMerge w:val="restart"/>
            <w:tcBorders>
              <w:top w:val="single" w:color="auto" w:sz="4" w:space="0"/>
              <w:left w:val="single" w:color="auto" w:sz="4" w:space="0"/>
              <w:right w:val="single" w:color="auto" w:sz="4" w:space="0"/>
            </w:tcBorders>
            <w:noWrap w:val="0"/>
            <w:vAlign w:val="center"/>
          </w:tcPr>
          <w:p w14:paraId="0E4C0BD3">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数量</w:t>
            </w:r>
          </w:p>
        </w:tc>
        <w:tc>
          <w:tcPr>
            <w:tcW w:w="419" w:type="pct"/>
            <w:vMerge w:val="restart"/>
            <w:tcBorders>
              <w:top w:val="single" w:color="auto" w:sz="4" w:space="0"/>
              <w:left w:val="single" w:color="auto" w:sz="4" w:space="0"/>
              <w:right w:val="single" w:color="auto" w:sz="4" w:space="0"/>
            </w:tcBorders>
            <w:noWrap w:val="0"/>
            <w:vAlign w:val="center"/>
          </w:tcPr>
          <w:p w14:paraId="4CCBF833">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单位</w:t>
            </w:r>
          </w:p>
        </w:tc>
        <w:tc>
          <w:tcPr>
            <w:tcW w:w="1665" w:type="pct"/>
            <w:gridSpan w:val="2"/>
            <w:tcBorders>
              <w:top w:val="single" w:color="auto" w:sz="4" w:space="0"/>
              <w:left w:val="single" w:color="auto" w:sz="4" w:space="0"/>
              <w:right w:val="single" w:color="auto" w:sz="4" w:space="0"/>
            </w:tcBorders>
            <w:noWrap w:val="0"/>
            <w:vAlign w:val="center"/>
          </w:tcPr>
          <w:p w14:paraId="4AB25B0C">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default"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投标价格</w:t>
            </w:r>
          </w:p>
        </w:tc>
      </w:tr>
      <w:tr w14:paraId="315D4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5" w:hRule="atLeast"/>
          <w:jc w:val="center"/>
        </w:trPr>
        <w:tc>
          <w:tcPr>
            <w:tcW w:w="282" w:type="pct"/>
            <w:vMerge w:val="continue"/>
            <w:tcBorders>
              <w:left w:val="single" w:color="auto" w:sz="4" w:space="0"/>
              <w:bottom w:val="single" w:color="auto" w:sz="4" w:space="0"/>
              <w:right w:val="single" w:color="auto" w:sz="4" w:space="0"/>
            </w:tcBorders>
            <w:noWrap w:val="0"/>
            <w:vAlign w:val="center"/>
          </w:tcPr>
          <w:p w14:paraId="0D15B648">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color w:val="auto"/>
                <w:kern w:val="0"/>
                <w:sz w:val="24"/>
                <w:szCs w:val="24"/>
                <w:highlight w:val="none"/>
              </w:rPr>
            </w:pPr>
          </w:p>
        </w:tc>
        <w:tc>
          <w:tcPr>
            <w:tcW w:w="994" w:type="pct"/>
            <w:vMerge w:val="continue"/>
            <w:tcBorders>
              <w:left w:val="single" w:color="auto" w:sz="4" w:space="0"/>
              <w:bottom w:val="single" w:color="auto" w:sz="4" w:space="0"/>
              <w:right w:val="single" w:color="auto" w:sz="4" w:space="0"/>
            </w:tcBorders>
            <w:noWrap w:val="0"/>
            <w:vAlign w:val="center"/>
          </w:tcPr>
          <w:p w14:paraId="566D15B0">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color w:val="auto"/>
                <w:kern w:val="0"/>
                <w:sz w:val="24"/>
                <w:szCs w:val="24"/>
                <w:highlight w:val="none"/>
              </w:rPr>
            </w:pPr>
          </w:p>
        </w:tc>
        <w:tc>
          <w:tcPr>
            <w:tcW w:w="1041" w:type="pct"/>
            <w:vMerge w:val="continue"/>
            <w:tcBorders>
              <w:left w:val="single" w:color="auto" w:sz="4" w:space="0"/>
              <w:bottom w:val="single" w:color="auto" w:sz="4" w:space="0"/>
              <w:right w:val="single" w:color="auto" w:sz="4" w:space="0"/>
            </w:tcBorders>
            <w:noWrap w:val="0"/>
            <w:vAlign w:val="center"/>
          </w:tcPr>
          <w:p w14:paraId="66C78772">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color w:val="auto"/>
                <w:kern w:val="0"/>
                <w:sz w:val="24"/>
                <w:szCs w:val="24"/>
                <w:highlight w:val="none"/>
              </w:rPr>
            </w:pPr>
          </w:p>
        </w:tc>
        <w:tc>
          <w:tcPr>
            <w:tcW w:w="597" w:type="pct"/>
            <w:vMerge w:val="continue"/>
            <w:tcBorders>
              <w:left w:val="single" w:color="auto" w:sz="4" w:space="0"/>
              <w:bottom w:val="single" w:color="auto" w:sz="4" w:space="0"/>
              <w:right w:val="single" w:color="auto" w:sz="4" w:space="0"/>
            </w:tcBorders>
            <w:noWrap w:val="0"/>
            <w:vAlign w:val="center"/>
          </w:tcPr>
          <w:p w14:paraId="51B71F11">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color w:val="auto"/>
                <w:kern w:val="0"/>
                <w:sz w:val="24"/>
                <w:szCs w:val="24"/>
                <w:highlight w:val="none"/>
              </w:rPr>
            </w:pPr>
          </w:p>
        </w:tc>
        <w:tc>
          <w:tcPr>
            <w:tcW w:w="419" w:type="pct"/>
            <w:vMerge w:val="continue"/>
            <w:tcBorders>
              <w:left w:val="single" w:color="auto" w:sz="4" w:space="0"/>
              <w:bottom w:val="single" w:color="auto" w:sz="4" w:space="0"/>
              <w:right w:val="single" w:color="auto" w:sz="4" w:space="0"/>
            </w:tcBorders>
            <w:noWrap w:val="0"/>
            <w:vAlign w:val="center"/>
          </w:tcPr>
          <w:p w14:paraId="1B409352">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color w:val="auto"/>
                <w:kern w:val="0"/>
                <w:sz w:val="24"/>
                <w:szCs w:val="24"/>
                <w:highlight w:val="none"/>
              </w:rPr>
            </w:pPr>
          </w:p>
        </w:tc>
        <w:tc>
          <w:tcPr>
            <w:tcW w:w="719" w:type="pct"/>
            <w:tcBorders>
              <w:top w:val="single" w:color="auto" w:sz="4" w:space="0"/>
              <w:left w:val="single" w:color="auto" w:sz="4" w:space="0"/>
              <w:right w:val="single" w:color="auto" w:sz="4" w:space="0"/>
            </w:tcBorders>
            <w:noWrap w:val="0"/>
            <w:vAlign w:val="center"/>
          </w:tcPr>
          <w:p w14:paraId="03572B59">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单价</w:t>
            </w:r>
          </w:p>
        </w:tc>
        <w:tc>
          <w:tcPr>
            <w:tcW w:w="946" w:type="pct"/>
            <w:tcBorders>
              <w:top w:val="single" w:color="auto" w:sz="4" w:space="0"/>
              <w:left w:val="single" w:color="auto" w:sz="4" w:space="0"/>
              <w:right w:val="single" w:color="auto" w:sz="4" w:space="0"/>
            </w:tcBorders>
            <w:noWrap w:val="0"/>
            <w:vAlign w:val="center"/>
          </w:tcPr>
          <w:p w14:paraId="346A2908">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合价</w:t>
            </w:r>
          </w:p>
        </w:tc>
      </w:tr>
      <w:tr w14:paraId="3C260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282" w:type="pct"/>
            <w:tcBorders>
              <w:top w:val="single" w:color="auto" w:sz="4" w:space="0"/>
              <w:left w:val="single" w:color="auto" w:sz="4" w:space="0"/>
              <w:bottom w:val="single" w:color="auto" w:sz="4" w:space="0"/>
              <w:right w:val="single" w:color="auto" w:sz="4" w:space="0"/>
            </w:tcBorders>
            <w:noWrap w:val="0"/>
            <w:vAlign w:val="center"/>
          </w:tcPr>
          <w:p w14:paraId="6C9AB99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宋体" w:hAnsi="宋体" w:eastAsia="宋体" w:cs="宋体"/>
                <w:bCs/>
                <w:color w:val="auto"/>
                <w:kern w:val="2"/>
                <w:sz w:val="24"/>
                <w:szCs w:val="24"/>
                <w:highlight w:val="none"/>
                <w:vertAlign w:val="baseline"/>
                <w:lang w:val="en-US" w:eastAsia="zh-CN" w:bidi="ar-SA"/>
              </w:rPr>
            </w:pPr>
            <w:r>
              <w:rPr>
                <w:rFonts w:hint="eastAsia" w:ascii="宋体" w:hAnsi="宋体" w:cs="宋体"/>
                <w:bCs/>
                <w:color w:val="auto"/>
                <w:kern w:val="2"/>
                <w:sz w:val="24"/>
                <w:szCs w:val="24"/>
                <w:highlight w:val="none"/>
                <w:vertAlign w:val="baseline"/>
                <w:lang w:val="en-US" w:eastAsia="zh-CN" w:bidi="ar-SA"/>
              </w:rPr>
              <w:t>1</w:t>
            </w:r>
          </w:p>
        </w:tc>
        <w:tc>
          <w:tcPr>
            <w:tcW w:w="994"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C693023">
            <w:pPr>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Times New Roman"/>
                <w:color w:val="auto"/>
                <w:spacing w:val="2"/>
                <w:sz w:val="24"/>
                <w:szCs w:val="24"/>
                <w:highlight w:val="none"/>
                <w:lang w:val="en-US" w:eastAsia="zh-CN"/>
              </w:rPr>
              <w:t>感染性、损伤性、化学性、药物性医废</w:t>
            </w:r>
          </w:p>
        </w:tc>
        <w:tc>
          <w:tcPr>
            <w:tcW w:w="1041" w:type="pct"/>
            <w:tcBorders>
              <w:top w:val="single" w:color="auto" w:sz="4" w:space="0"/>
              <w:left w:val="single" w:color="auto" w:sz="4" w:space="0"/>
              <w:bottom w:val="single" w:color="auto" w:sz="4" w:space="0"/>
              <w:right w:val="single" w:color="auto" w:sz="4" w:space="0"/>
            </w:tcBorders>
            <w:noWrap w:val="0"/>
            <w:vAlign w:val="center"/>
          </w:tcPr>
          <w:p w14:paraId="2856692D">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cs="宋体"/>
                <w:b w:val="0"/>
                <w:bCs w:val="0"/>
                <w:color w:val="auto"/>
                <w:kern w:val="0"/>
                <w:sz w:val="24"/>
                <w:szCs w:val="24"/>
                <w:highlight w:val="none"/>
                <w:lang w:val="en-US" w:eastAsia="zh-CN"/>
              </w:rPr>
              <w:t>1.</w:t>
            </w:r>
            <w:r>
              <w:rPr>
                <w:rFonts w:hint="eastAsia" w:ascii="宋体" w:hAnsi="宋体" w:eastAsia="宋体" w:cs="宋体"/>
                <w:b w:val="0"/>
                <w:bCs w:val="0"/>
                <w:color w:val="auto"/>
                <w:kern w:val="0"/>
                <w:sz w:val="24"/>
                <w:szCs w:val="24"/>
                <w:highlight w:val="none"/>
              </w:rPr>
              <w:t>主要污染物及指标</w:t>
            </w:r>
            <w:r>
              <w:rPr>
                <w:rFonts w:hint="eastAsia" w:ascii="宋体" w:hAnsi="宋体" w:cs="宋体"/>
                <w:b w:val="0"/>
                <w:bCs w:val="0"/>
                <w:color w:val="auto"/>
                <w:kern w:val="0"/>
                <w:sz w:val="24"/>
                <w:szCs w:val="24"/>
                <w:highlight w:val="none"/>
                <w:lang w:eastAsia="zh-CN"/>
              </w:rPr>
              <w:t>：</w:t>
            </w:r>
            <w:r>
              <w:rPr>
                <w:rFonts w:hint="eastAsia" w:ascii="宋体" w:hAnsi="宋体" w:eastAsia="宋体" w:cs="宋体"/>
                <w:b w:val="0"/>
                <w:bCs w:val="0"/>
                <w:color w:val="auto"/>
                <w:kern w:val="0"/>
                <w:sz w:val="24"/>
                <w:szCs w:val="24"/>
                <w:highlight w:val="none"/>
              </w:rPr>
              <w:t>医疗废弃物</w:t>
            </w:r>
            <w:r>
              <w:rPr>
                <w:rFonts w:hint="eastAsia" w:ascii="宋体" w:hAnsi="宋体" w:cs="宋体"/>
                <w:b w:val="0"/>
                <w:bCs w:val="0"/>
                <w:color w:val="auto"/>
                <w:kern w:val="0"/>
                <w:sz w:val="24"/>
                <w:szCs w:val="24"/>
                <w:highlight w:val="none"/>
                <w:lang w:eastAsia="zh-CN"/>
              </w:rPr>
              <w:t>。</w:t>
            </w:r>
          </w:p>
          <w:p w14:paraId="43CA3EF7">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cs="宋体"/>
                <w:b w:val="0"/>
                <w:bCs w:val="0"/>
                <w:color w:val="auto"/>
                <w:kern w:val="0"/>
                <w:sz w:val="24"/>
                <w:szCs w:val="24"/>
                <w:highlight w:val="none"/>
                <w:lang w:eastAsia="zh-CN"/>
              </w:rPr>
            </w:pPr>
            <w:r>
              <w:rPr>
                <w:rFonts w:hint="eastAsia" w:ascii="宋体" w:hAnsi="宋体" w:cs="宋体"/>
                <w:b w:val="0"/>
                <w:bCs w:val="0"/>
                <w:color w:val="auto"/>
                <w:kern w:val="0"/>
                <w:sz w:val="24"/>
                <w:szCs w:val="24"/>
                <w:highlight w:val="none"/>
                <w:lang w:val="en-US" w:eastAsia="zh-CN"/>
              </w:rPr>
              <w:t>2.</w:t>
            </w:r>
            <w:r>
              <w:rPr>
                <w:rFonts w:hint="eastAsia" w:ascii="宋体" w:hAnsi="宋体" w:eastAsia="宋体" w:cs="宋体"/>
                <w:b w:val="0"/>
                <w:bCs w:val="0"/>
                <w:color w:val="auto"/>
                <w:kern w:val="0"/>
                <w:sz w:val="24"/>
                <w:szCs w:val="24"/>
                <w:highlight w:val="none"/>
              </w:rPr>
              <w:t>包装方式</w:t>
            </w:r>
            <w:r>
              <w:rPr>
                <w:rFonts w:hint="eastAsia" w:ascii="宋体" w:hAnsi="宋体" w:cs="宋体"/>
                <w:b w:val="0"/>
                <w:bCs w:val="0"/>
                <w:color w:val="auto"/>
                <w:kern w:val="0"/>
                <w:sz w:val="24"/>
                <w:szCs w:val="24"/>
                <w:highlight w:val="none"/>
                <w:lang w:eastAsia="zh-CN"/>
              </w:rPr>
              <w:t>：</w:t>
            </w:r>
            <w:r>
              <w:rPr>
                <w:rFonts w:hint="eastAsia" w:ascii="宋体" w:hAnsi="宋体" w:eastAsia="宋体" w:cs="宋体"/>
                <w:b w:val="0"/>
                <w:bCs w:val="0"/>
                <w:color w:val="auto"/>
                <w:kern w:val="0"/>
                <w:sz w:val="24"/>
                <w:szCs w:val="24"/>
                <w:highlight w:val="none"/>
              </w:rPr>
              <w:t>专用包装袋、利器盒</w:t>
            </w:r>
            <w:r>
              <w:rPr>
                <w:rFonts w:hint="eastAsia" w:ascii="宋体" w:hAnsi="宋体" w:cs="宋体"/>
                <w:b w:val="0"/>
                <w:bCs w:val="0"/>
                <w:color w:val="auto"/>
                <w:kern w:val="0"/>
                <w:sz w:val="24"/>
                <w:szCs w:val="24"/>
                <w:highlight w:val="none"/>
                <w:lang w:eastAsia="zh-CN"/>
              </w:rPr>
              <w:t>。</w:t>
            </w:r>
          </w:p>
          <w:p w14:paraId="4AE813AC">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b w:val="0"/>
                <w:bCs w:val="0"/>
                <w:color w:val="auto"/>
                <w:kern w:val="0"/>
                <w:sz w:val="24"/>
                <w:szCs w:val="24"/>
                <w:highlight w:val="none"/>
                <w:lang w:eastAsia="zh-CN"/>
              </w:rPr>
            </w:pPr>
            <w:r>
              <w:rPr>
                <w:rFonts w:hint="eastAsia" w:ascii="宋体" w:hAnsi="宋体" w:cs="宋体"/>
                <w:b w:val="0"/>
                <w:bCs w:val="0"/>
                <w:color w:val="auto"/>
                <w:kern w:val="0"/>
                <w:sz w:val="24"/>
                <w:szCs w:val="24"/>
                <w:highlight w:val="none"/>
                <w:lang w:val="en-US" w:eastAsia="zh-CN"/>
              </w:rPr>
              <w:t>3.</w:t>
            </w:r>
            <w:r>
              <w:rPr>
                <w:rFonts w:hint="eastAsia" w:ascii="宋体" w:hAnsi="宋体" w:cs="宋体"/>
                <w:color w:val="auto"/>
                <w:sz w:val="24"/>
                <w:szCs w:val="24"/>
                <w:highlight w:val="none"/>
              </w:rPr>
              <w:t>服务内容包括</w:t>
            </w:r>
            <w:r>
              <w:rPr>
                <w:rFonts w:hint="eastAsia" w:ascii="宋体" w:hAnsi="宋体" w:cs="宋体"/>
                <w:b w:val="0"/>
                <w:bCs w:val="0"/>
                <w:color w:val="auto"/>
                <w:kern w:val="0"/>
                <w:sz w:val="24"/>
                <w:szCs w:val="24"/>
                <w:highlight w:val="none"/>
                <w:lang w:eastAsia="zh-CN"/>
              </w:rPr>
              <w:t>医疗废弃物采集、运输、处理等。</w:t>
            </w:r>
          </w:p>
        </w:tc>
        <w:tc>
          <w:tcPr>
            <w:tcW w:w="597"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6712597">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default"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900</w:t>
            </w:r>
          </w:p>
        </w:tc>
        <w:tc>
          <w:tcPr>
            <w:tcW w:w="419" w:type="pct"/>
            <w:tcBorders>
              <w:top w:val="single" w:color="auto" w:sz="4" w:space="0"/>
              <w:left w:val="single" w:color="auto" w:sz="4" w:space="0"/>
              <w:bottom w:val="single" w:color="auto" w:sz="4" w:space="0"/>
              <w:right w:val="single" w:color="auto" w:sz="4" w:space="0"/>
            </w:tcBorders>
            <w:noWrap w:val="0"/>
            <w:vAlign w:val="center"/>
          </w:tcPr>
          <w:p w14:paraId="5895BA1A">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吨</w:t>
            </w:r>
          </w:p>
        </w:tc>
        <w:tc>
          <w:tcPr>
            <w:tcW w:w="719" w:type="pct"/>
            <w:tcBorders>
              <w:top w:val="single" w:color="auto" w:sz="4" w:space="0"/>
              <w:left w:val="single" w:color="auto" w:sz="4" w:space="0"/>
              <w:bottom w:val="single" w:color="auto" w:sz="4" w:space="0"/>
              <w:right w:val="single" w:color="auto" w:sz="4" w:space="0"/>
            </w:tcBorders>
            <w:noWrap w:val="0"/>
            <w:vAlign w:val="center"/>
          </w:tcPr>
          <w:p w14:paraId="6BFB8DC6">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default" w:ascii="宋体" w:hAnsi="宋体" w:cs="宋体"/>
                <w:b w:val="0"/>
                <w:bCs w:val="0"/>
                <w:color w:val="auto"/>
                <w:kern w:val="0"/>
                <w:sz w:val="24"/>
                <w:szCs w:val="24"/>
                <w:highlight w:val="none"/>
                <w:lang w:val="en-US" w:eastAsia="zh-CN"/>
              </w:rPr>
            </w:pPr>
            <w:r>
              <w:rPr>
                <w:rFonts w:hint="eastAsia" w:ascii="宋体" w:hAnsi="宋体" w:cs="宋体"/>
                <w:b w:val="0"/>
                <w:bCs w:val="0"/>
                <w:color w:val="auto"/>
                <w:kern w:val="0"/>
                <w:sz w:val="24"/>
                <w:szCs w:val="24"/>
                <w:highlight w:val="none"/>
                <w:u w:val="single"/>
                <w:lang w:val="en-US" w:eastAsia="zh-CN"/>
              </w:rPr>
              <w:t xml:space="preserve">      </w:t>
            </w:r>
            <w:r>
              <w:rPr>
                <w:rFonts w:hint="eastAsia" w:ascii="宋体" w:hAnsi="宋体" w:cs="宋体"/>
                <w:b w:val="0"/>
                <w:bCs w:val="0"/>
                <w:color w:val="auto"/>
                <w:kern w:val="0"/>
                <w:sz w:val="24"/>
                <w:szCs w:val="24"/>
                <w:highlight w:val="none"/>
                <w:lang w:val="en-US" w:eastAsia="zh-CN"/>
              </w:rPr>
              <w:t>元/吨</w:t>
            </w:r>
          </w:p>
        </w:tc>
        <w:tc>
          <w:tcPr>
            <w:tcW w:w="946" w:type="pct"/>
            <w:tcBorders>
              <w:top w:val="single" w:color="auto" w:sz="4" w:space="0"/>
              <w:left w:val="single" w:color="auto" w:sz="4" w:space="0"/>
              <w:bottom w:val="single" w:color="auto" w:sz="4" w:space="0"/>
              <w:right w:val="single" w:color="auto" w:sz="4" w:space="0"/>
            </w:tcBorders>
            <w:noWrap w:val="0"/>
            <w:vAlign w:val="center"/>
          </w:tcPr>
          <w:p w14:paraId="2DDA0689">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cs="宋体"/>
                <w:b w:val="0"/>
                <w:bCs w:val="0"/>
                <w:color w:val="auto"/>
                <w:kern w:val="0"/>
                <w:sz w:val="24"/>
                <w:szCs w:val="24"/>
                <w:highlight w:val="none"/>
                <w:lang w:val="en-US" w:eastAsia="zh-CN"/>
              </w:rPr>
            </w:pPr>
            <w:r>
              <w:rPr>
                <w:rFonts w:hint="eastAsia" w:ascii="宋体" w:hAnsi="宋体" w:cs="宋体"/>
                <w:b w:val="0"/>
                <w:bCs w:val="0"/>
                <w:color w:val="auto"/>
                <w:kern w:val="0"/>
                <w:sz w:val="24"/>
                <w:szCs w:val="24"/>
                <w:highlight w:val="none"/>
                <w:lang w:val="en-US" w:eastAsia="zh-CN"/>
              </w:rPr>
              <w:t xml:space="preserve"> </w:t>
            </w:r>
          </w:p>
        </w:tc>
      </w:tr>
      <w:tr w14:paraId="3BFD2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282" w:type="pct"/>
            <w:tcBorders>
              <w:top w:val="single" w:color="auto" w:sz="4" w:space="0"/>
              <w:left w:val="single" w:color="auto" w:sz="4" w:space="0"/>
              <w:bottom w:val="single" w:color="auto" w:sz="4" w:space="0"/>
              <w:right w:val="single" w:color="auto" w:sz="4" w:space="0"/>
            </w:tcBorders>
            <w:noWrap w:val="0"/>
            <w:vAlign w:val="center"/>
          </w:tcPr>
          <w:p w14:paraId="3790E9C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宋体" w:hAnsi="宋体" w:eastAsia="宋体" w:cs="宋体"/>
                <w:bCs/>
                <w:color w:val="auto"/>
                <w:kern w:val="2"/>
                <w:sz w:val="24"/>
                <w:szCs w:val="24"/>
                <w:highlight w:val="none"/>
                <w:vertAlign w:val="baseline"/>
                <w:lang w:val="en-US" w:eastAsia="zh-CN" w:bidi="ar-SA"/>
              </w:rPr>
            </w:pPr>
            <w:r>
              <w:rPr>
                <w:rFonts w:hint="eastAsia" w:ascii="宋体" w:hAnsi="宋体" w:cs="宋体"/>
                <w:bCs/>
                <w:color w:val="auto"/>
                <w:kern w:val="2"/>
                <w:sz w:val="24"/>
                <w:szCs w:val="24"/>
                <w:highlight w:val="none"/>
                <w:vertAlign w:val="baseline"/>
                <w:lang w:val="en-US" w:eastAsia="zh-CN" w:bidi="ar-SA"/>
              </w:rPr>
              <w:t>2</w:t>
            </w:r>
          </w:p>
        </w:tc>
        <w:tc>
          <w:tcPr>
            <w:tcW w:w="994"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50078B0">
            <w:pPr>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Times New Roman"/>
                <w:color w:val="auto"/>
                <w:spacing w:val="2"/>
                <w:sz w:val="24"/>
                <w:szCs w:val="24"/>
                <w:highlight w:val="none"/>
                <w:lang w:val="en-US" w:eastAsia="zh-CN"/>
              </w:rPr>
              <w:t>病理性医废</w:t>
            </w:r>
          </w:p>
        </w:tc>
        <w:tc>
          <w:tcPr>
            <w:tcW w:w="1041" w:type="pct"/>
            <w:tcBorders>
              <w:top w:val="single" w:color="auto" w:sz="4" w:space="0"/>
              <w:left w:val="single" w:color="auto" w:sz="4" w:space="0"/>
              <w:bottom w:val="single" w:color="auto" w:sz="4" w:space="0"/>
              <w:right w:val="single" w:color="auto" w:sz="4" w:space="0"/>
            </w:tcBorders>
            <w:noWrap w:val="0"/>
            <w:vAlign w:val="center"/>
          </w:tcPr>
          <w:p w14:paraId="44A33BC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cs="宋体"/>
                <w:b w:val="0"/>
                <w:bCs w:val="0"/>
                <w:color w:val="auto"/>
                <w:kern w:val="0"/>
                <w:sz w:val="24"/>
                <w:szCs w:val="24"/>
                <w:highlight w:val="none"/>
                <w:lang w:eastAsia="zh-CN"/>
              </w:rPr>
            </w:pPr>
            <w:r>
              <w:rPr>
                <w:rFonts w:hint="eastAsia" w:ascii="宋体" w:hAnsi="宋体" w:cs="宋体"/>
                <w:b w:val="0"/>
                <w:bCs w:val="0"/>
                <w:color w:val="auto"/>
                <w:kern w:val="0"/>
                <w:sz w:val="24"/>
                <w:szCs w:val="24"/>
                <w:highlight w:val="none"/>
                <w:lang w:val="en-US" w:eastAsia="zh-CN"/>
              </w:rPr>
              <w:t>1.</w:t>
            </w:r>
            <w:r>
              <w:rPr>
                <w:rFonts w:hint="eastAsia" w:ascii="宋体" w:hAnsi="宋体" w:eastAsia="宋体" w:cs="宋体"/>
                <w:b w:val="0"/>
                <w:bCs w:val="0"/>
                <w:color w:val="auto"/>
                <w:kern w:val="0"/>
                <w:sz w:val="24"/>
                <w:szCs w:val="24"/>
                <w:highlight w:val="none"/>
              </w:rPr>
              <w:t>主要污染物及指标</w:t>
            </w:r>
            <w:r>
              <w:rPr>
                <w:rFonts w:hint="eastAsia" w:ascii="宋体" w:hAnsi="宋体" w:cs="宋体"/>
                <w:b w:val="0"/>
                <w:bCs w:val="0"/>
                <w:color w:val="auto"/>
                <w:kern w:val="0"/>
                <w:sz w:val="24"/>
                <w:szCs w:val="24"/>
                <w:highlight w:val="none"/>
                <w:lang w:eastAsia="zh-CN"/>
              </w:rPr>
              <w:t>：</w:t>
            </w:r>
            <w:r>
              <w:rPr>
                <w:rFonts w:hint="eastAsia" w:ascii="宋体" w:hAnsi="宋体" w:eastAsia="宋体" w:cs="宋体"/>
                <w:b w:val="0"/>
                <w:bCs w:val="0"/>
                <w:color w:val="auto"/>
                <w:kern w:val="0"/>
                <w:sz w:val="24"/>
                <w:szCs w:val="24"/>
                <w:highlight w:val="none"/>
              </w:rPr>
              <w:t>病理性医疗废弃物</w:t>
            </w:r>
            <w:r>
              <w:rPr>
                <w:rFonts w:hint="eastAsia" w:ascii="宋体" w:hAnsi="宋体" w:cs="宋体"/>
                <w:b w:val="0"/>
                <w:bCs w:val="0"/>
                <w:color w:val="auto"/>
                <w:kern w:val="0"/>
                <w:sz w:val="24"/>
                <w:szCs w:val="24"/>
                <w:highlight w:val="none"/>
                <w:lang w:eastAsia="zh-CN"/>
              </w:rPr>
              <w:t>。</w:t>
            </w:r>
          </w:p>
          <w:p w14:paraId="5B73964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cs="Times New Roman"/>
                <w:color w:val="auto"/>
                <w:spacing w:val="2"/>
                <w:sz w:val="24"/>
                <w:szCs w:val="24"/>
                <w:highlight w:val="none"/>
                <w:lang w:val="en-US" w:eastAsia="zh-CN"/>
              </w:rPr>
            </w:pPr>
            <w:r>
              <w:rPr>
                <w:rFonts w:hint="eastAsia" w:ascii="宋体" w:hAnsi="宋体" w:cs="宋体"/>
                <w:b w:val="0"/>
                <w:bCs w:val="0"/>
                <w:color w:val="auto"/>
                <w:kern w:val="0"/>
                <w:sz w:val="24"/>
                <w:szCs w:val="24"/>
                <w:highlight w:val="none"/>
                <w:lang w:val="en-US" w:eastAsia="zh-CN"/>
              </w:rPr>
              <w:t>2.</w:t>
            </w:r>
            <w:r>
              <w:rPr>
                <w:rFonts w:hint="eastAsia" w:ascii="宋体" w:hAnsi="宋体" w:eastAsia="宋体" w:cs="宋体"/>
                <w:b w:val="0"/>
                <w:bCs w:val="0"/>
                <w:color w:val="auto"/>
                <w:kern w:val="0"/>
                <w:sz w:val="24"/>
                <w:szCs w:val="24"/>
                <w:highlight w:val="none"/>
              </w:rPr>
              <w:t>包装方式</w:t>
            </w:r>
            <w:r>
              <w:rPr>
                <w:rFonts w:hint="eastAsia" w:ascii="宋体" w:hAnsi="宋体" w:cs="宋体"/>
                <w:b w:val="0"/>
                <w:bCs w:val="0"/>
                <w:color w:val="auto"/>
                <w:kern w:val="0"/>
                <w:sz w:val="24"/>
                <w:szCs w:val="24"/>
                <w:highlight w:val="none"/>
                <w:lang w:eastAsia="zh-CN"/>
              </w:rPr>
              <w:t>：</w:t>
            </w:r>
            <w:r>
              <w:rPr>
                <w:rFonts w:hint="eastAsia" w:ascii="宋体" w:hAnsi="宋体" w:eastAsia="宋体" w:cs="Times New Roman"/>
                <w:color w:val="auto"/>
                <w:spacing w:val="2"/>
                <w:sz w:val="24"/>
                <w:szCs w:val="24"/>
                <w:highlight w:val="none"/>
                <w:lang w:val="en-US" w:eastAsia="zh-CN"/>
              </w:rPr>
              <w:t>专用密封容器</w:t>
            </w:r>
            <w:r>
              <w:rPr>
                <w:rFonts w:hint="eastAsia" w:ascii="宋体" w:hAnsi="宋体" w:cs="Times New Roman"/>
                <w:color w:val="auto"/>
                <w:spacing w:val="2"/>
                <w:sz w:val="24"/>
                <w:szCs w:val="24"/>
                <w:highlight w:val="none"/>
                <w:lang w:val="en-US" w:eastAsia="zh-CN"/>
              </w:rPr>
              <w:t>。</w:t>
            </w:r>
          </w:p>
          <w:p w14:paraId="543D1EA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cs="宋体"/>
                <w:b w:val="0"/>
                <w:bCs w:val="0"/>
                <w:color w:val="auto"/>
                <w:kern w:val="0"/>
                <w:sz w:val="24"/>
                <w:szCs w:val="24"/>
                <w:highlight w:val="none"/>
                <w:lang w:eastAsia="zh-CN"/>
              </w:rPr>
            </w:pPr>
            <w:r>
              <w:rPr>
                <w:rFonts w:hint="eastAsia" w:ascii="宋体" w:hAnsi="宋体" w:cs="宋体"/>
                <w:b w:val="0"/>
                <w:bCs w:val="0"/>
                <w:color w:val="auto"/>
                <w:kern w:val="0"/>
                <w:sz w:val="24"/>
                <w:szCs w:val="24"/>
                <w:highlight w:val="none"/>
                <w:lang w:val="en-US" w:eastAsia="zh-CN"/>
              </w:rPr>
              <w:t>3.</w:t>
            </w:r>
            <w:r>
              <w:rPr>
                <w:rFonts w:hint="eastAsia" w:ascii="宋体" w:hAnsi="宋体" w:cs="宋体"/>
                <w:color w:val="auto"/>
                <w:sz w:val="24"/>
                <w:szCs w:val="24"/>
                <w:highlight w:val="none"/>
              </w:rPr>
              <w:t>服务内容包括</w:t>
            </w:r>
            <w:r>
              <w:rPr>
                <w:rFonts w:hint="eastAsia" w:ascii="宋体" w:hAnsi="宋体" w:cs="宋体"/>
                <w:b w:val="0"/>
                <w:bCs w:val="0"/>
                <w:color w:val="auto"/>
                <w:kern w:val="0"/>
                <w:sz w:val="24"/>
                <w:szCs w:val="24"/>
                <w:highlight w:val="none"/>
                <w:lang w:eastAsia="zh-CN"/>
              </w:rPr>
              <w:t>医疗废弃物采集、运输、处理等。</w:t>
            </w:r>
          </w:p>
        </w:tc>
        <w:tc>
          <w:tcPr>
            <w:tcW w:w="597"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84BAB5F">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default"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2000</w:t>
            </w:r>
          </w:p>
        </w:tc>
        <w:tc>
          <w:tcPr>
            <w:tcW w:w="419" w:type="pct"/>
            <w:tcBorders>
              <w:top w:val="single" w:color="auto" w:sz="4" w:space="0"/>
              <w:left w:val="single" w:color="auto" w:sz="4" w:space="0"/>
              <w:bottom w:val="single" w:color="auto" w:sz="4" w:space="0"/>
              <w:right w:val="single" w:color="auto" w:sz="4" w:space="0"/>
            </w:tcBorders>
            <w:noWrap w:val="0"/>
            <w:vAlign w:val="center"/>
          </w:tcPr>
          <w:p w14:paraId="41423C44">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公斤</w:t>
            </w:r>
          </w:p>
        </w:tc>
        <w:tc>
          <w:tcPr>
            <w:tcW w:w="719" w:type="pct"/>
            <w:tcBorders>
              <w:top w:val="single" w:color="auto" w:sz="4" w:space="0"/>
              <w:left w:val="single" w:color="auto" w:sz="4" w:space="0"/>
              <w:bottom w:val="single" w:color="auto" w:sz="4" w:space="0"/>
              <w:right w:val="single" w:color="auto" w:sz="4" w:space="0"/>
            </w:tcBorders>
            <w:noWrap w:val="0"/>
            <w:vAlign w:val="center"/>
          </w:tcPr>
          <w:p w14:paraId="651F241C">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cs="宋体"/>
                <w:b/>
                <w:bCs/>
                <w:color w:val="auto"/>
                <w:spacing w:val="2"/>
                <w:sz w:val="24"/>
                <w:szCs w:val="24"/>
                <w:highlight w:val="none"/>
                <w:u w:val="none"/>
                <w:lang w:val="en-US" w:eastAsia="zh-CN"/>
              </w:rPr>
            </w:pPr>
            <w:r>
              <w:rPr>
                <w:rFonts w:hint="eastAsia" w:ascii="宋体" w:hAnsi="宋体" w:cs="宋体"/>
                <w:b/>
                <w:bCs/>
                <w:color w:val="auto"/>
                <w:spacing w:val="2"/>
                <w:sz w:val="24"/>
                <w:szCs w:val="24"/>
                <w:highlight w:val="none"/>
                <w:u w:val="single"/>
                <w:lang w:val="en-US" w:eastAsia="zh-CN"/>
              </w:rPr>
              <w:t xml:space="preserve">     </w:t>
            </w:r>
            <w:r>
              <w:rPr>
                <w:rFonts w:hint="eastAsia" w:ascii="宋体" w:hAnsi="宋体" w:cs="宋体"/>
                <w:b/>
                <w:bCs/>
                <w:color w:val="auto"/>
                <w:spacing w:val="2"/>
                <w:sz w:val="24"/>
                <w:szCs w:val="24"/>
                <w:highlight w:val="none"/>
                <w:u w:val="none"/>
                <w:lang w:val="en-US" w:eastAsia="zh-CN"/>
              </w:rPr>
              <w:t>元/公斤</w:t>
            </w:r>
          </w:p>
          <w:p w14:paraId="3FC5D2D6">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b/>
                <w:bCs/>
                <w:color w:val="auto"/>
                <w:spacing w:val="2"/>
                <w:sz w:val="24"/>
                <w:szCs w:val="24"/>
                <w:highlight w:val="none"/>
                <w:u w:val="none"/>
                <w:lang w:val="en-US" w:eastAsia="zh-CN"/>
              </w:rPr>
            </w:pPr>
            <w:r>
              <w:rPr>
                <w:rFonts w:hint="eastAsia" w:ascii="宋体" w:hAnsi="宋体" w:cs="宋体"/>
                <w:b/>
                <w:bCs/>
                <w:color w:val="auto"/>
                <w:spacing w:val="2"/>
                <w:sz w:val="24"/>
                <w:szCs w:val="24"/>
                <w:highlight w:val="none"/>
                <w:u w:val="none"/>
                <w:lang w:val="en-US" w:eastAsia="zh-CN"/>
              </w:rPr>
              <w:t>（</w:t>
            </w:r>
            <w:r>
              <w:rPr>
                <w:rFonts w:hint="eastAsia" w:ascii="宋体" w:hAnsi="宋体" w:eastAsia="宋体" w:cs="宋体"/>
                <w:b/>
                <w:bCs/>
                <w:color w:val="auto"/>
                <w:spacing w:val="2"/>
                <w:sz w:val="24"/>
                <w:szCs w:val="24"/>
                <w:highlight w:val="none"/>
                <w:u w:val="none"/>
                <w:lang w:val="en-US" w:eastAsia="zh-CN"/>
              </w:rPr>
              <w:t>处置费用</w:t>
            </w:r>
            <w:r>
              <w:rPr>
                <w:rFonts w:hint="eastAsia" w:ascii="宋体" w:hAnsi="宋体" w:cs="宋体"/>
                <w:b/>
                <w:bCs/>
                <w:color w:val="auto"/>
                <w:spacing w:val="2"/>
                <w:sz w:val="24"/>
                <w:szCs w:val="24"/>
                <w:highlight w:val="none"/>
                <w:u w:val="single"/>
                <w:lang w:val="en-US" w:eastAsia="zh-CN"/>
              </w:rPr>
              <w:t xml:space="preserve">     </w:t>
            </w:r>
            <w:r>
              <w:rPr>
                <w:rFonts w:hint="eastAsia" w:ascii="宋体" w:hAnsi="宋体" w:cs="宋体"/>
                <w:b/>
                <w:bCs/>
                <w:color w:val="auto"/>
                <w:spacing w:val="2"/>
                <w:sz w:val="24"/>
                <w:szCs w:val="24"/>
                <w:highlight w:val="none"/>
                <w:u w:val="none"/>
                <w:lang w:val="en-US" w:eastAsia="zh-CN"/>
              </w:rPr>
              <w:t>元/公斤</w:t>
            </w:r>
            <w:r>
              <w:rPr>
                <w:rFonts w:hint="eastAsia" w:ascii="宋体" w:hAnsi="宋体" w:eastAsia="宋体" w:cs="宋体"/>
                <w:b/>
                <w:bCs/>
                <w:color w:val="auto"/>
                <w:spacing w:val="2"/>
                <w:sz w:val="24"/>
                <w:szCs w:val="24"/>
                <w:highlight w:val="none"/>
                <w:u w:val="none"/>
                <w:lang w:val="en-US" w:eastAsia="zh-CN"/>
              </w:rPr>
              <w:t>+运输费用</w:t>
            </w:r>
          </w:p>
          <w:p w14:paraId="4A003943">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default" w:ascii="宋体" w:hAnsi="宋体" w:eastAsia="宋体" w:cs="宋体"/>
                <w:b w:val="0"/>
                <w:bCs w:val="0"/>
                <w:color w:val="auto"/>
                <w:kern w:val="0"/>
                <w:sz w:val="24"/>
                <w:szCs w:val="24"/>
                <w:highlight w:val="none"/>
                <w:lang w:val="en-US" w:eastAsia="zh-CN"/>
              </w:rPr>
            </w:pPr>
            <w:r>
              <w:rPr>
                <w:rFonts w:hint="eastAsia" w:ascii="宋体" w:hAnsi="宋体" w:cs="宋体"/>
                <w:b/>
                <w:bCs/>
                <w:color w:val="auto"/>
                <w:spacing w:val="2"/>
                <w:sz w:val="24"/>
                <w:szCs w:val="24"/>
                <w:highlight w:val="none"/>
                <w:u w:val="none"/>
                <w:lang w:val="en-US" w:eastAsia="zh-CN"/>
              </w:rPr>
              <w:t xml:space="preserve"> </w:t>
            </w:r>
            <w:r>
              <w:rPr>
                <w:rFonts w:hint="eastAsia" w:ascii="宋体" w:hAnsi="宋体" w:cs="宋体"/>
                <w:b/>
                <w:bCs/>
                <w:color w:val="auto"/>
                <w:spacing w:val="2"/>
                <w:sz w:val="24"/>
                <w:szCs w:val="24"/>
                <w:highlight w:val="none"/>
                <w:u w:val="single"/>
                <w:lang w:val="en-US" w:eastAsia="zh-CN"/>
              </w:rPr>
              <w:t xml:space="preserve">     </w:t>
            </w:r>
            <w:r>
              <w:rPr>
                <w:rFonts w:hint="eastAsia" w:ascii="宋体" w:hAnsi="宋体" w:cs="宋体"/>
                <w:b/>
                <w:bCs/>
                <w:color w:val="auto"/>
                <w:spacing w:val="2"/>
                <w:sz w:val="24"/>
                <w:szCs w:val="24"/>
                <w:highlight w:val="none"/>
                <w:u w:val="none"/>
                <w:lang w:val="en-US" w:eastAsia="zh-CN"/>
              </w:rPr>
              <w:t>元/公斤）</w:t>
            </w:r>
          </w:p>
        </w:tc>
        <w:tc>
          <w:tcPr>
            <w:tcW w:w="946" w:type="pct"/>
            <w:tcBorders>
              <w:top w:val="single" w:color="auto" w:sz="4" w:space="0"/>
              <w:left w:val="single" w:color="auto" w:sz="4" w:space="0"/>
              <w:bottom w:val="single" w:color="auto" w:sz="4" w:space="0"/>
              <w:right w:val="single" w:color="auto" w:sz="4" w:space="0"/>
            </w:tcBorders>
            <w:noWrap w:val="0"/>
            <w:vAlign w:val="center"/>
          </w:tcPr>
          <w:p w14:paraId="76083E50">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cs="宋体"/>
                <w:b w:val="0"/>
                <w:bCs w:val="0"/>
                <w:color w:val="auto"/>
                <w:kern w:val="0"/>
                <w:sz w:val="24"/>
                <w:szCs w:val="24"/>
                <w:highlight w:val="none"/>
                <w:lang w:val="en-US" w:eastAsia="zh-CN"/>
              </w:rPr>
            </w:pPr>
          </w:p>
        </w:tc>
      </w:tr>
      <w:tr w14:paraId="48B51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2318" w:type="pct"/>
            <w:gridSpan w:val="3"/>
            <w:tcBorders>
              <w:top w:val="single" w:color="auto" w:sz="4" w:space="0"/>
              <w:left w:val="single" w:color="auto" w:sz="4" w:space="0"/>
              <w:bottom w:val="single" w:color="auto" w:sz="4" w:space="0"/>
              <w:right w:val="single" w:color="auto" w:sz="4" w:space="0"/>
            </w:tcBorders>
            <w:noWrap w:val="0"/>
            <w:vAlign w:val="center"/>
          </w:tcPr>
          <w:p w14:paraId="3DD02F7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Cs/>
                <w:color w:val="auto"/>
                <w:kern w:val="2"/>
                <w:sz w:val="24"/>
                <w:szCs w:val="24"/>
                <w:highlight w:val="none"/>
                <w:vertAlign w:val="baseline"/>
                <w:lang w:val="en-US" w:eastAsia="zh-CN" w:bidi="ar-SA"/>
              </w:rPr>
            </w:pPr>
            <w:r>
              <w:rPr>
                <w:rFonts w:hint="eastAsia" w:ascii="宋体" w:hAnsi="宋体" w:eastAsia="宋体" w:cs="宋体"/>
                <w:bCs/>
                <w:color w:val="auto"/>
                <w:kern w:val="2"/>
                <w:sz w:val="24"/>
                <w:szCs w:val="24"/>
                <w:highlight w:val="none"/>
                <w:vertAlign w:val="baseline"/>
                <w:lang w:val="en-US" w:eastAsia="zh-CN" w:bidi="ar-SA"/>
              </w:rPr>
              <w:t>总价</w:t>
            </w:r>
            <w:r>
              <w:rPr>
                <w:rFonts w:hint="eastAsia" w:ascii="宋体" w:hAnsi="宋体" w:cs="宋体"/>
                <w:bCs/>
                <w:color w:val="auto"/>
                <w:kern w:val="2"/>
                <w:sz w:val="24"/>
                <w:szCs w:val="24"/>
                <w:highlight w:val="none"/>
                <w:vertAlign w:val="baseline"/>
                <w:lang w:val="en-US" w:eastAsia="zh-CN" w:bidi="ar-SA"/>
              </w:rPr>
              <w:t>（元/自合同签订之日起二年）</w:t>
            </w:r>
          </w:p>
        </w:tc>
        <w:tc>
          <w:tcPr>
            <w:tcW w:w="2681" w:type="pct"/>
            <w:gridSpan w:val="4"/>
            <w:tcBorders>
              <w:top w:val="single" w:color="auto" w:sz="4" w:space="0"/>
              <w:left w:val="single" w:color="auto" w:sz="4" w:space="0"/>
              <w:bottom w:val="single" w:color="auto" w:sz="4" w:space="0"/>
              <w:right w:val="single" w:color="auto" w:sz="4" w:space="0"/>
            </w:tcBorders>
            <w:noWrap w:val="0"/>
            <w:vAlign w:val="center"/>
          </w:tcPr>
          <w:p w14:paraId="1F52CF3C">
            <w:pPr>
              <w:keepNext w:val="0"/>
              <w:keepLines w:val="0"/>
              <w:pageBreakBefore w:val="0"/>
              <w:widowControl/>
              <w:kinsoku/>
              <w:wordWrap/>
              <w:overflowPunct/>
              <w:topLinePunct w:val="0"/>
              <w:autoSpaceDE/>
              <w:autoSpaceDN/>
              <w:bidi w:val="0"/>
              <w:adjustRightInd/>
              <w:snapToGrid w:val="0"/>
              <w:spacing w:line="360" w:lineRule="exact"/>
              <w:jc w:val="center"/>
              <w:textAlignment w:val="auto"/>
              <w:rPr>
                <w:rFonts w:hint="eastAsia" w:ascii="宋体" w:hAnsi="宋体" w:eastAsia="宋体" w:cs="宋体"/>
                <w:bCs/>
                <w:color w:val="auto"/>
                <w:kern w:val="2"/>
                <w:sz w:val="24"/>
                <w:szCs w:val="24"/>
                <w:highlight w:val="none"/>
                <w:vertAlign w:val="baseline"/>
                <w:lang w:val="en-US" w:eastAsia="zh-CN" w:bidi="ar-SA"/>
              </w:rPr>
            </w:pPr>
          </w:p>
        </w:tc>
      </w:tr>
    </w:tbl>
    <w:p w14:paraId="16ECFFE5">
      <w:pPr>
        <w:keepNext w:val="0"/>
        <w:keepLines w:val="0"/>
        <w:pageBreakBefore w:val="0"/>
        <w:widowControl w:val="0"/>
        <w:kinsoku/>
        <w:wordWrap/>
        <w:overflowPunct/>
        <w:topLinePunct w:val="0"/>
        <w:autoSpaceDE w:val="0"/>
        <w:autoSpaceDN w:val="0"/>
        <w:bidi w:val="0"/>
        <w:adjustRightInd w:val="0"/>
        <w:snapToGrid w:val="0"/>
        <w:spacing w:before="25" w:after="25" w:line="360" w:lineRule="exact"/>
        <w:textAlignment w:val="auto"/>
        <w:rPr>
          <w:rFonts w:hint="eastAsia" w:ascii="宋体" w:hAnsi="宋体" w:eastAsia="宋体" w:cs="宋体"/>
          <w:b/>
          <w:bCs/>
          <w:color w:val="auto"/>
          <w:spacing w:val="2"/>
          <w:sz w:val="24"/>
          <w:szCs w:val="24"/>
          <w:highlight w:val="none"/>
          <w:u w:val="none"/>
          <w:lang w:val="en-US" w:eastAsia="zh-CN"/>
        </w:rPr>
      </w:pPr>
      <w:r>
        <w:rPr>
          <w:rFonts w:hint="eastAsia" w:ascii="宋体" w:hAnsi="宋体" w:eastAsia="宋体" w:cs="宋体"/>
          <w:b/>
          <w:bCs/>
          <w:color w:val="auto"/>
          <w:spacing w:val="2"/>
          <w:sz w:val="24"/>
          <w:szCs w:val="24"/>
          <w:highlight w:val="none"/>
          <w:u w:val="none"/>
          <w:lang w:val="en-US" w:eastAsia="zh-CN"/>
        </w:rPr>
        <w:t>注：</w:t>
      </w:r>
      <w:r>
        <w:rPr>
          <w:rFonts w:hint="eastAsia" w:ascii="宋体" w:hAnsi="宋体" w:cs="宋体"/>
          <w:b/>
          <w:bCs/>
          <w:color w:val="auto"/>
          <w:spacing w:val="2"/>
          <w:sz w:val="24"/>
          <w:szCs w:val="24"/>
          <w:highlight w:val="none"/>
          <w:u w:val="none"/>
          <w:lang w:val="en-US" w:eastAsia="zh-CN"/>
        </w:rPr>
        <w:t xml:space="preserve"> </w:t>
      </w:r>
      <w:r>
        <w:rPr>
          <w:rFonts w:hint="eastAsia" w:ascii="宋体" w:hAnsi="宋体" w:eastAsia="宋体" w:cs="宋体"/>
          <w:b/>
          <w:bCs/>
          <w:color w:val="auto"/>
          <w:spacing w:val="2"/>
          <w:sz w:val="24"/>
          <w:szCs w:val="24"/>
          <w:highlight w:val="none"/>
          <w:u w:val="none"/>
          <w:lang w:val="en-US" w:eastAsia="zh-CN"/>
        </w:rPr>
        <w:t>如果不提供分项报价将视为没有实质性响应招标文件。</w:t>
      </w:r>
    </w:p>
    <w:p w14:paraId="13EBC5CF">
      <w:pPr>
        <w:keepNext w:val="0"/>
        <w:keepLines w:val="0"/>
        <w:pageBreakBefore w:val="0"/>
        <w:widowControl w:val="0"/>
        <w:kinsoku/>
        <w:wordWrap/>
        <w:overflowPunct/>
        <w:topLinePunct w:val="0"/>
        <w:autoSpaceDE w:val="0"/>
        <w:autoSpaceDN w:val="0"/>
        <w:bidi w:val="0"/>
        <w:adjustRightInd w:val="0"/>
        <w:snapToGrid w:val="0"/>
        <w:spacing w:before="10" w:line="360" w:lineRule="auto"/>
        <w:textAlignment w:val="auto"/>
        <w:rPr>
          <w:color w:val="auto"/>
          <w:sz w:val="24"/>
          <w:highlight w:val="none"/>
        </w:rPr>
      </w:pPr>
      <w:r>
        <w:rPr>
          <w:rFonts w:hint="eastAsia" w:ascii="宋体" w:hAnsi="宋体" w:cs="宋体"/>
          <w:b/>
          <w:bCs/>
          <w:color w:val="auto"/>
          <w:spacing w:val="2"/>
          <w:sz w:val="24"/>
          <w:szCs w:val="24"/>
          <w:highlight w:val="none"/>
          <w:u w:val="none"/>
          <w:lang w:val="en-US" w:eastAsia="zh-CN"/>
        </w:rPr>
        <w:t xml:space="preserve"> </w:t>
      </w:r>
    </w:p>
    <w:p w14:paraId="66D5D60F">
      <w:pPr>
        <w:keepNext w:val="0"/>
        <w:keepLines w:val="0"/>
        <w:pageBreakBefore w:val="0"/>
        <w:widowControl w:val="0"/>
        <w:kinsoku/>
        <w:wordWrap/>
        <w:overflowPunct/>
        <w:topLinePunct w:val="0"/>
        <w:autoSpaceDE w:val="0"/>
        <w:autoSpaceDN w:val="0"/>
        <w:bidi w:val="0"/>
        <w:adjustRightInd w:val="0"/>
        <w:snapToGrid w:val="0"/>
        <w:spacing w:before="10" w:line="360" w:lineRule="auto"/>
        <w:textAlignment w:val="auto"/>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7B61BB0B">
      <w:pPr>
        <w:autoSpaceDE w:val="0"/>
        <w:autoSpaceDN w:val="0"/>
        <w:adjustRightInd w:val="0"/>
        <w:snapToGrid w:val="0"/>
        <w:spacing w:before="25" w:after="25" w:line="360" w:lineRule="auto"/>
        <w:rPr>
          <w:color w:val="auto"/>
          <w:sz w:val="24"/>
          <w:szCs w:val="20"/>
          <w:highlight w:val="none"/>
        </w:rPr>
      </w:pPr>
      <w:r>
        <w:rPr>
          <w:color w:val="auto"/>
          <w:sz w:val="24"/>
          <w:szCs w:val="20"/>
          <w:highlight w:val="none"/>
        </w:rPr>
        <w:t xml:space="preserve">日期：_____年______月______日   </w:t>
      </w:r>
      <w:r>
        <w:rPr>
          <w:color w:val="auto"/>
          <w:sz w:val="24"/>
          <w:szCs w:val="20"/>
          <w:highlight w:val="none"/>
        </w:rPr>
        <w:br w:type="page"/>
      </w:r>
      <w:r>
        <w:rPr>
          <w:rFonts w:hint="eastAsia"/>
          <w:color w:val="auto"/>
          <w:sz w:val="24"/>
          <w:szCs w:val="20"/>
          <w:highlight w:val="none"/>
          <w:lang w:val="en-US" w:eastAsia="zh-CN"/>
        </w:rPr>
        <w:t>6</w:t>
      </w:r>
      <w:r>
        <w:rPr>
          <w:color w:val="auto"/>
          <w:sz w:val="24"/>
          <w:szCs w:val="20"/>
          <w:highlight w:val="none"/>
        </w:rPr>
        <w:t xml:space="preserve">  合同条款偏离表</w:t>
      </w:r>
      <w:bookmarkEnd w:id="882"/>
      <w:bookmarkEnd w:id="883"/>
      <w:bookmarkEnd w:id="884"/>
      <w:bookmarkEnd w:id="885"/>
      <w:bookmarkEnd w:id="886"/>
      <w:bookmarkEnd w:id="887"/>
      <w:bookmarkEnd w:id="888"/>
      <w:bookmarkEnd w:id="889"/>
      <w:bookmarkEnd w:id="890"/>
      <w:bookmarkEnd w:id="891"/>
      <w:bookmarkEnd w:id="892"/>
      <w:bookmarkEnd w:id="893"/>
      <w:bookmarkEnd w:id="894"/>
      <w:r>
        <w:rPr>
          <w:rFonts w:hint="eastAsia"/>
          <w:color w:val="auto"/>
          <w:sz w:val="24"/>
          <w:szCs w:val="20"/>
          <w:highlight w:val="none"/>
        </w:rPr>
        <w:t xml:space="preserve"> </w:t>
      </w:r>
    </w:p>
    <w:p w14:paraId="5751C167">
      <w:pPr>
        <w:spacing w:line="360" w:lineRule="auto"/>
        <w:rPr>
          <w:color w:val="auto"/>
          <w:sz w:val="24"/>
          <w:szCs w:val="20"/>
          <w:highlight w:val="none"/>
        </w:rPr>
      </w:pPr>
    </w:p>
    <w:p w14:paraId="0AB1BDBE">
      <w:pPr>
        <w:tabs>
          <w:tab w:val="left" w:pos="2775"/>
          <w:tab w:val="center" w:pos="4153"/>
        </w:tabs>
        <w:autoSpaceDE w:val="0"/>
        <w:autoSpaceDN w:val="0"/>
        <w:adjustRightInd w:val="0"/>
        <w:spacing w:line="360" w:lineRule="auto"/>
        <w:jc w:val="center"/>
        <w:rPr>
          <w:b/>
          <w:color w:val="auto"/>
          <w:sz w:val="36"/>
          <w:szCs w:val="36"/>
          <w:highlight w:val="none"/>
        </w:rPr>
      </w:pPr>
      <w:r>
        <w:rPr>
          <w:rFonts w:hint="eastAsia"/>
          <w:b/>
          <w:color w:val="auto"/>
          <w:sz w:val="36"/>
          <w:szCs w:val="36"/>
          <w:highlight w:val="none"/>
        </w:rPr>
        <w:t>合同条款偏离表</w:t>
      </w:r>
    </w:p>
    <w:p w14:paraId="4CE83F96">
      <w:pPr>
        <w:spacing w:line="360" w:lineRule="auto"/>
        <w:rPr>
          <w:color w:val="auto"/>
          <w:sz w:val="24"/>
          <w:szCs w:val="20"/>
          <w:highlight w:val="none"/>
        </w:rPr>
      </w:pPr>
    </w:p>
    <w:p w14:paraId="142AFCDF">
      <w:pPr>
        <w:tabs>
          <w:tab w:val="left" w:pos="1800"/>
          <w:tab w:val="left" w:pos="5580"/>
        </w:tabs>
        <w:spacing w:line="360" w:lineRule="auto"/>
        <w:ind w:firstLine="360" w:firstLineChars="150"/>
        <w:jc w:val="left"/>
        <w:rPr>
          <w:color w:val="auto"/>
          <w:sz w:val="24"/>
          <w:highlight w:val="none"/>
        </w:rPr>
      </w:pPr>
      <w:r>
        <w:rPr>
          <w:color w:val="auto"/>
          <w:sz w:val="24"/>
          <w:highlight w:val="none"/>
        </w:rPr>
        <w:t>项目编号：_____________________     项目名称：_____________</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2"/>
        <w:gridCol w:w="1290"/>
        <w:gridCol w:w="1980"/>
        <w:gridCol w:w="1981"/>
        <w:gridCol w:w="2423"/>
        <w:gridCol w:w="782"/>
      </w:tblGrid>
      <w:tr w14:paraId="1E065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14:paraId="68A21E98">
            <w:pPr>
              <w:adjustRightInd w:val="0"/>
              <w:snapToGrid w:val="0"/>
              <w:jc w:val="left"/>
              <w:rPr>
                <w:b/>
                <w:color w:val="auto"/>
                <w:sz w:val="24"/>
                <w:highlight w:val="none"/>
              </w:rPr>
            </w:pPr>
            <w:r>
              <w:rPr>
                <w:b/>
                <w:color w:val="auto"/>
                <w:sz w:val="24"/>
                <w:highlight w:val="none"/>
              </w:rPr>
              <w:t>对本</w:t>
            </w:r>
            <w:r>
              <w:rPr>
                <w:rFonts w:hint="eastAsia"/>
                <w:b/>
                <w:color w:val="auto"/>
                <w:sz w:val="24"/>
                <w:highlight w:val="none"/>
              </w:rPr>
              <w:t>项目</w:t>
            </w:r>
            <w:r>
              <w:rPr>
                <w:b/>
                <w:color w:val="auto"/>
                <w:sz w:val="24"/>
                <w:highlight w:val="none"/>
              </w:rPr>
              <w:t>合同条款的偏离情况（请进行勾选）：</w:t>
            </w:r>
          </w:p>
          <w:p w14:paraId="3ECEDBC8">
            <w:pPr>
              <w:adjustRightInd w:val="0"/>
              <w:snapToGrid w:val="0"/>
              <w:jc w:val="left"/>
              <w:rPr>
                <w:b/>
                <w:color w:val="auto"/>
                <w:sz w:val="24"/>
                <w:highlight w:val="none"/>
              </w:rPr>
            </w:pPr>
            <w:r>
              <w:rPr>
                <w:b/>
                <w:color w:val="auto"/>
                <w:sz w:val="24"/>
                <w:highlight w:val="none"/>
              </w:rPr>
              <w:t>□无偏离</w:t>
            </w:r>
            <w:r>
              <w:rPr>
                <w:color w:val="auto"/>
                <w:sz w:val="24"/>
                <w:highlight w:val="none"/>
              </w:rPr>
              <w:t>（</w:t>
            </w:r>
            <w:r>
              <w:rPr>
                <w:color w:val="auto"/>
                <w:sz w:val="24"/>
                <w:szCs w:val="21"/>
                <w:highlight w:val="none"/>
              </w:rPr>
              <w:t>如无偏离，仅勾选无偏离即可</w:t>
            </w:r>
            <w:r>
              <w:rPr>
                <w:color w:val="auto"/>
                <w:sz w:val="24"/>
                <w:highlight w:val="none"/>
              </w:rPr>
              <w:t>）</w:t>
            </w:r>
          </w:p>
          <w:p w14:paraId="20EAAD16">
            <w:pPr>
              <w:adjustRightInd w:val="0"/>
              <w:snapToGrid w:val="0"/>
              <w:jc w:val="left"/>
              <w:rPr>
                <w:color w:val="auto"/>
                <w:sz w:val="24"/>
                <w:highlight w:val="none"/>
              </w:rPr>
            </w:pPr>
            <w:r>
              <w:rPr>
                <w:b/>
                <w:color w:val="auto"/>
                <w:sz w:val="24"/>
                <w:highlight w:val="none"/>
              </w:rPr>
              <w:t>□有偏离</w:t>
            </w:r>
            <w:r>
              <w:rPr>
                <w:color w:val="auto"/>
                <w:sz w:val="24"/>
                <w:highlight w:val="none"/>
              </w:rPr>
              <w:t>（</w:t>
            </w:r>
            <w:r>
              <w:rPr>
                <w:color w:val="auto"/>
                <w:sz w:val="24"/>
                <w:szCs w:val="21"/>
                <w:highlight w:val="none"/>
              </w:rPr>
              <w:t>如有偏离，</w:t>
            </w:r>
            <w:r>
              <w:rPr>
                <w:color w:val="auto"/>
                <w:sz w:val="24"/>
                <w:highlight w:val="none"/>
              </w:rPr>
              <w:t>则</w:t>
            </w:r>
            <w:r>
              <w:rPr>
                <w:rFonts w:hint="eastAsia"/>
                <w:color w:val="auto"/>
                <w:sz w:val="24"/>
                <w:highlight w:val="none"/>
              </w:rPr>
              <w:t>应</w:t>
            </w:r>
            <w:r>
              <w:rPr>
                <w:color w:val="auto"/>
                <w:sz w:val="24"/>
                <w:highlight w:val="none"/>
              </w:rPr>
              <w:t>在本表中对偏离项逐一列明）</w:t>
            </w:r>
          </w:p>
        </w:tc>
      </w:tr>
      <w:tr w14:paraId="539B7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61E70337">
            <w:pPr>
              <w:adjustRightInd w:val="0"/>
              <w:snapToGrid w:val="0"/>
              <w:jc w:val="center"/>
              <w:rPr>
                <w:color w:val="auto"/>
                <w:sz w:val="24"/>
                <w:highlight w:val="none"/>
              </w:rPr>
            </w:pPr>
            <w:r>
              <w:rPr>
                <w:color w:val="auto"/>
                <w:sz w:val="24"/>
                <w:highlight w:val="none"/>
              </w:rPr>
              <w:t>序号</w:t>
            </w:r>
          </w:p>
        </w:tc>
        <w:tc>
          <w:tcPr>
            <w:tcW w:w="1290" w:type="dxa"/>
            <w:vAlign w:val="center"/>
          </w:tcPr>
          <w:p w14:paraId="2635E7FD">
            <w:pPr>
              <w:adjustRightInd w:val="0"/>
              <w:snapToGrid w:val="0"/>
              <w:jc w:val="center"/>
              <w:rPr>
                <w:color w:val="auto"/>
                <w:sz w:val="24"/>
                <w:highlight w:val="none"/>
              </w:rPr>
            </w:pPr>
            <w:r>
              <w:rPr>
                <w:color w:val="auto"/>
                <w:sz w:val="24"/>
                <w:szCs w:val="21"/>
                <w:highlight w:val="none"/>
              </w:rPr>
              <w:t>招标文件</w:t>
            </w:r>
            <w:r>
              <w:rPr>
                <w:color w:val="auto"/>
                <w:sz w:val="24"/>
                <w:highlight w:val="none"/>
              </w:rPr>
              <w:t>条目号（页码）</w:t>
            </w:r>
          </w:p>
        </w:tc>
        <w:tc>
          <w:tcPr>
            <w:tcW w:w="1980" w:type="dxa"/>
            <w:vAlign w:val="center"/>
          </w:tcPr>
          <w:p w14:paraId="75B9761C">
            <w:pPr>
              <w:adjustRightInd w:val="0"/>
              <w:snapToGrid w:val="0"/>
              <w:jc w:val="center"/>
              <w:rPr>
                <w:color w:val="auto"/>
                <w:sz w:val="24"/>
                <w:highlight w:val="none"/>
              </w:rPr>
            </w:pPr>
            <w:r>
              <w:rPr>
                <w:color w:val="auto"/>
                <w:sz w:val="24"/>
                <w:szCs w:val="21"/>
                <w:highlight w:val="none"/>
              </w:rPr>
              <w:t>招标文件</w:t>
            </w:r>
            <w:r>
              <w:rPr>
                <w:color w:val="auto"/>
                <w:sz w:val="24"/>
                <w:highlight w:val="none"/>
              </w:rPr>
              <w:t>要求</w:t>
            </w:r>
          </w:p>
        </w:tc>
        <w:tc>
          <w:tcPr>
            <w:tcW w:w="1981" w:type="dxa"/>
            <w:vAlign w:val="center"/>
          </w:tcPr>
          <w:p w14:paraId="3F9635FE">
            <w:pPr>
              <w:adjustRightInd w:val="0"/>
              <w:snapToGrid w:val="0"/>
              <w:jc w:val="center"/>
              <w:rPr>
                <w:color w:val="auto"/>
                <w:sz w:val="24"/>
                <w:highlight w:val="none"/>
              </w:rPr>
            </w:pPr>
            <w:r>
              <w:rPr>
                <w:color w:val="auto"/>
                <w:sz w:val="24"/>
                <w:highlight w:val="none"/>
              </w:rPr>
              <w:t>投标文件内容</w:t>
            </w:r>
          </w:p>
        </w:tc>
        <w:tc>
          <w:tcPr>
            <w:tcW w:w="2423" w:type="dxa"/>
            <w:vAlign w:val="center"/>
          </w:tcPr>
          <w:p w14:paraId="728C7529">
            <w:pPr>
              <w:adjustRightInd w:val="0"/>
              <w:snapToGrid w:val="0"/>
              <w:jc w:val="center"/>
              <w:rPr>
                <w:color w:val="auto"/>
                <w:sz w:val="24"/>
                <w:highlight w:val="none"/>
              </w:rPr>
            </w:pPr>
            <w:r>
              <w:rPr>
                <w:color w:val="auto"/>
                <w:sz w:val="24"/>
                <w:highlight w:val="none"/>
              </w:rPr>
              <w:t>偏离情况</w:t>
            </w:r>
          </w:p>
        </w:tc>
        <w:tc>
          <w:tcPr>
            <w:tcW w:w="782" w:type="dxa"/>
            <w:vAlign w:val="center"/>
          </w:tcPr>
          <w:p w14:paraId="2612E1D2">
            <w:pPr>
              <w:adjustRightInd w:val="0"/>
              <w:snapToGrid w:val="0"/>
              <w:jc w:val="center"/>
              <w:rPr>
                <w:color w:val="auto"/>
                <w:sz w:val="24"/>
                <w:highlight w:val="none"/>
              </w:rPr>
            </w:pPr>
            <w:r>
              <w:rPr>
                <w:color w:val="auto"/>
                <w:sz w:val="24"/>
                <w:highlight w:val="none"/>
              </w:rPr>
              <w:t>说明</w:t>
            </w:r>
          </w:p>
        </w:tc>
      </w:tr>
      <w:tr w14:paraId="2C074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02B5D978">
            <w:pPr>
              <w:adjustRightInd w:val="0"/>
              <w:snapToGrid w:val="0"/>
              <w:jc w:val="center"/>
              <w:rPr>
                <w:color w:val="auto"/>
                <w:sz w:val="24"/>
                <w:highlight w:val="none"/>
              </w:rPr>
            </w:pPr>
          </w:p>
        </w:tc>
        <w:tc>
          <w:tcPr>
            <w:tcW w:w="1290" w:type="dxa"/>
            <w:vAlign w:val="center"/>
          </w:tcPr>
          <w:p w14:paraId="58254325">
            <w:pPr>
              <w:adjustRightInd w:val="0"/>
              <w:snapToGrid w:val="0"/>
              <w:jc w:val="center"/>
              <w:rPr>
                <w:color w:val="auto"/>
                <w:sz w:val="24"/>
                <w:highlight w:val="none"/>
              </w:rPr>
            </w:pPr>
          </w:p>
        </w:tc>
        <w:tc>
          <w:tcPr>
            <w:tcW w:w="1980" w:type="dxa"/>
            <w:vAlign w:val="center"/>
          </w:tcPr>
          <w:p w14:paraId="47D45413">
            <w:pPr>
              <w:adjustRightInd w:val="0"/>
              <w:snapToGrid w:val="0"/>
              <w:jc w:val="center"/>
              <w:rPr>
                <w:color w:val="auto"/>
                <w:sz w:val="24"/>
                <w:highlight w:val="none"/>
              </w:rPr>
            </w:pPr>
          </w:p>
        </w:tc>
        <w:tc>
          <w:tcPr>
            <w:tcW w:w="1981" w:type="dxa"/>
            <w:vAlign w:val="center"/>
          </w:tcPr>
          <w:p w14:paraId="7AA74CFC">
            <w:pPr>
              <w:adjustRightInd w:val="0"/>
              <w:snapToGrid w:val="0"/>
              <w:jc w:val="center"/>
              <w:rPr>
                <w:color w:val="auto"/>
                <w:sz w:val="24"/>
                <w:highlight w:val="none"/>
              </w:rPr>
            </w:pPr>
          </w:p>
        </w:tc>
        <w:tc>
          <w:tcPr>
            <w:tcW w:w="2423" w:type="dxa"/>
            <w:vAlign w:val="center"/>
          </w:tcPr>
          <w:p w14:paraId="2AEDC231">
            <w:pPr>
              <w:adjustRightInd w:val="0"/>
              <w:snapToGrid w:val="0"/>
              <w:jc w:val="center"/>
              <w:rPr>
                <w:color w:val="auto"/>
                <w:sz w:val="24"/>
                <w:highlight w:val="none"/>
              </w:rPr>
            </w:pPr>
          </w:p>
        </w:tc>
        <w:tc>
          <w:tcPr>
            <w:tcW w:w="782" w:type="dxa"/>
            <w:vAlign w:val="center"/>
          </w:tcPr>
          <w:p w14:paraId="015C61A1">
            <w:pPr>
              <w:adjustRightInd w:val="0"/>
              <w:snapToGrid w:val="0"/>
              <w:jc w:val="center"/>
              <w:rPr>
                <w:color w:val="auto"/>
                <w:sz w:val="24"/>
                <w:highlight w:val="none"/>
              </w:rPr>
            </w:pPr>
          </w:p>
        </w:tc>
      </w:tr>
      <w:tr w14:paraId="54759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45B0E824">
            <w:pPr>
              <w:adjustRightInd w:val="0"/>
              <w:snapToGrid w:val="0"/>
              <w:jc w:val="center"/>
              <w:rPr>
                <w:color w:val="auto"/>
                <w:sz w:val="24"/>
                <w:highlight w:val="none"/>
              </w:rPr>
            </w:pPr>
          </w:p>
        </w:tc>
        <w:tc>
          <w:tcPr>
            <w:tcW w:w="1290" w:type="dxa"/>
            <w:vAlign w:val="center"/>
          </w:tcPr>
          <w:p w14:paraId="3558609D">
            <w:pPr>
              <w:adjustRightInd w:val="0"/>
              <w:snapToGrid w:val="0"/>
              <w:jc w:val="center"/>
              <w:rPr>
                <w:color w:val="auto"/>
                <w:sz w:val="24"/>
                <w:highlight w:val="none"/>
              </w:rPr>
            </w:pPr>
          </w:p>
        </w:tc>
        <w:tc>
          <w:tcPr>
            <w:tcW w:w="1980" w:type="dxa"/>
            <w:vAlign w:val="center"/>
          </w:tcPr>
          <w:p w14:paraId="195520E4">
            <w:pPr>
              <w:adjustRightInd w:val="0"/>
              <w:snapToGrid w:val="0"/>
              <w:jc w:val="center"/>
              <w:rPr>
                <w:color w:val="auto"/>
                <w:sz w:val="24"/>
                <w:highlight w:val="none"/>
              </w:rPr>
            </w:pPr>
          </w:p>
        </w:tc>
        <w:tc>
          <w:tcPr>
            <w:tcW w:w="1981" w:type="dxa"/>
            <w:vAlign w:val="center"/>
          </w:tcPr>
          <w:p w14:paraId="16EF188B">
            <w:pPr>
              <w:adjustRightInd w:val="0"/>
              <w:snapToGrid w:val="0"/>
              <w:jc w:val="center"/>
              <w:rPr>
                <w:color w:val="auto"/>
                <w:sz w:val="24"/>
                <w:highlight w:val="none"/>
              </w:rPr>
            </w:pPr>
          </w:p>
        </w:tc>
        <w:tc>
          <w:tcPr>
            <w:tcW w:w="2423" w:type="dxa"/>
            <w:vAlign w:val="center"/>
          </w:tcPr>
          <w:p w14:paraId="26D014B3">
            <w:pPr>
              <w:adjustRightInd w:val="0"/>
              <w:snapToGrid w:val="0"/>
              <w:jc w:val="center"/>
              <w:rPr>
                <w:color w:val="auto"/>
                <w:sz w:val="24"/>
                <w:highlight w:val="none"/>
              </w:rPr>
            </w:pPr>
          </w:p>
        </w:tc>
        <w:tc>
          <w:tcPr>
            <w:tcW w:w="782" w:type="dxa"/>
            <w:vAlign w:val="center"/>
          </w:tcPr>
          <w:p w14:paraId="0AE1555B">
            <w:pPr>
              <w:adjustRightInd w:val="0"/>
              <w:snapToGrid w:val="0"/>
              <w:jc w:val="center"/>
              <w:rPr>
                <w:color w:val="auto"/>
                <w:sz w:val="24"/>
                <w:highlight w:val="none"/>
              </w:rPr>
            </w:pPr>
          </w:p>
        </w:tc>
      </w:tr>
      <w:tr w14:paraId="09D2F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695ECE54">
            <w:pPr>
              <w:adjustRightInd w:val="0"/>
              <w:snapToGrid w:val="0"/>
              <w:jc w:val="center"/>
              <w:rPr>
                <w:color w:val="auto"/>
                <w:sz w:val="24"/>
                <w:highlight w:val="none"/>
              </w:rPr>
            </w:pPr>
          </w:p>
        </w:tc>
        <w:tc>
          <w:tcPr>
            <w:tcW w:w="1290" w:type="dxa"/>
            <w:vAlign w:val="center"/>
          </w:tcPr>
          <w:p w14:paraId="57D5E354">
            <w:pPr>
              <w:adjustRightInd w:val="0"/>
              <w:snapToGrid w:val="0"/>
              <w:jc w:val="center"/>
              <w:rPr>
                <w:color w:val="auto"/>
                <w:sz w:val="24"/>
                <w:highlight w:val="none"/>
              </w:rPr>
            </w:pPr>
          </w:p>
        </w:tc>
        <w:tc>
          <w:tcPr>
            <w:tcW w:w="1980" w:type="dxa"/>
            <w:vAlign w:val="center"/>
          </w:tcPr>
          <w:p w14:paraId="1F059990">
            <w:pPr>
              <w:adjustRightInd w:val="0"/>
              <w:snapToGrid w:val="0"/>
              <w:jc w:val="center"/>
              <w:rPr>
                <w:color w:val="auto"/>
                <w:sz w:val="24"/>
                <w:highlight w:val="none"/>
              </w:rPr>
            </w:pPr>
          </w:p>
        </w:tc>
        <w:tc>
          <w:tcPr>
            <w:tcW w:w="1981" w:type="dxa"/>
            <w:vAlign w:val="center"/>
          </w:tcPr>
          <w:p w14:paraId="7E4F7530">
            <w:pPr>
              <w:adjustRightInd w:val="0"/>
              <w:snapToGrid w:val="0"/>
              <w:jc w:val="center"/>
              <w:rPr>
                <w:color w:val="auto"/>
                <w:sz w:val="24"/>
                <w:highlight w:val="none"/>
              </w:rPr>
            </w:pPr>
          </w:p>
        </w:tc>
        <w:tc>
          <w:tcPr>
            <w:tcW w:w="2423" w:type="dxa"/>
            <w:vAlign w:val="center"/>
          </w:tcPr>
          <w:p w14:paraId="04D0E06F">
            <w:pPr>
              <w:adjustRightInd w:val="0"/>
              <w:snapToGrid w:val="0"/>
              <w:jc w:val="center"/>
              <w:rPr>
                <w:color w:val="auto"/>
                <w:sz w:val="24"/>
                <w:highlight w:val="none"/>
              </w:rPr>
            </w:pPr>
          </w:p>
        </w:tc>
        <w:tc>
          <w:tcPr>
            <w:tcW w:w="782" w:type="dxa"/>
            <w:vAlign w:val="center"/>
          </w:tcPr>
          <w:p w14:paraId="74A878ED">
            <w:pPr>
              <w:adjustRightInd w:val="0"/>
              <w:snapToGrid w:val="0"/>
              <w:jc w:val="center"/>
              <w:rPr>
                <w:color w:val="auto"/>
                <w:sz w:val="24"/>
                <w:highlight w:val="none"/>
              </w:rPr>
            </w:pPr>
          </w:p>
        </w:tc>
      </w:tr>
      <w:tr w14:paraId="7691C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62292240">
            <w:pPr>
              <w:adjustRightInd w:val="0"/>
              <w:snapToGrid w:val="0"/>
              <w:jc w:val="center"/>
              <w:rPr>
                <w:color w:val="auto"/>
                <w:sz w:val="24"/>
                <w:highlight w:val="none"/>
              </w:rPr>
            </w:pPr>
            <w:r>
              <w:rPr>
                <w:color w:val="auto"/>
                <w:sz w:val="24"/>
                <w:highlight w:val="none"/>
              </w:rPr>
              <w:t>……</w:t>
            </w:r>
          </w:p>
        </w:tc>
        <w:tc>
          <w:tcPr>
            <w:tcW w:w="1290" w:type="dxa"/>
            <w:vAlign w:val="center"/>
          </w:tcPr>
          <w:p w14:paraId="34ACCB88">
            <w:pPr>
              <w:adjustRightInd w:val="0"/>
              <w:snapToGrid w:val="0"/>
              <w:jc w:val="center"/>
              <w:rPr>
                <w:color w:val="auto"/>
                <w:sz w:val="24"/>
                <w:highlight w:val="none"/>
              </w:rPr>
            </w:pPr>
          </w:p>
        </w:tc>
        <w:tc>
          <w:tcPr>
            <w:tcW w:w="1980" w:type="dxa"/>
            <w:vAlign w:val="center"/>
          </w:tcPr>
          <w:p w14:paraId="35C74916">
            <w:pPr>
              <w:adjustRightInd w:val="0"/>
              <w:snapToGrid w:val="0"/>
              <w:jc w:val="center"/>
              <w:rPr>
                <w:color w:val="auto"/>
                <w:sz w:val="24"/>
                <w:highlight w:val="none"/>
              </w:rPr>
            </w:pPr>
          </w:p>
        </w:tc>
        <w:tc>
          <w:tcPr>
            <w:tcW w:w="1981" w:type="dxa"/>
            <w:vAlign w:val="center"/>
          </w:tcPr>
          <w:p w14:paraId="77C93415">
            <w:pPr>
              <w:adjustRightInd w:val="0"/>
              <w:snapToGrid w:val="0"/>
              <w:jc w:val="center"/>
              <w:rPr>
                <w:color w:val="auto"/>
                <w:sz w:val="24"/>
                <w:highlight w:val="none"/>
              </w:rPr>
            </w:pPr>
          </w:p>
        </w:tc>
        <w:tc>
          <w:tcPr>
            <w:tcW w:w="2423" w:type="dxa"/>
            <w:vAlign w:val="center"/>
          </w:tcPr>
          <w:p w14:paraId="0ACDE4E0">
            <w:pPr>
              <w:adjustRightInd w:val="0"/>
              <w:snapToGrid w:val="0"/>
              <w:jc w:val="center"/>
              <w:rPr>
                <w:color w:val="auto"/>
                <w:sz w:val="24"/>
                <w:highlight w:val="none"/>
              </w:rPr>
            </w:pPr>
          </w:p>
        </w:tc>
        <w:tc>
          <w:tcPr>
            <w:tcW w:w="782" w:type="dxa"/>
            <w:vAlign w:val="center"/>
          </w:tcPr>
          <w:p w14:paraId="6FDFD40C">
            <w:pPr>
              <w:adjustRightInd w:val="0"/>
              <w:snapToGrid w:val="0"/>
              <w:jc w:val="center"/>
              <w:rPr>
                <w:color w:val="auto"/>
                <w:sz w:val="24"/>
                <w:highlight w:val="none"/>
              </w:rPr>
            </w:pPr>
          </w:p>
        </w:tc>
      </w:tr>
    </w:tbl>
    <w:p w14:paraId="2373865C">
      <w:pPr>
        <w:tabs>
          <w:tab w:val="left" w:pos="1800"/>
          <w:tab w:val="left" w:pos="5580"/>
        </w:tabs>
        <w:jc w:val="left"/>
        <w:rPr>
          <w:color w:val="auto"/>
          <w:sz w:val="24"/>
          <w:highlight w:val="none"/>
        </w:rPr>
      </w:pPr>
    </w:p>
    <w:p w14:paraId="1615D23E">
      <w:pPr>
        <w:tabs>
          <w:tab w:val="left" w:pos="1800"/>
          <w:tab w:val="left" w:pos="5580"/>
        </w:tabs>
        <w:jc w:val="left"/>
        <w:rPr>
          <w:color w:val="auto"/>
          <w:sz w:val="24"/>
          <w:highlight w:val="none"/>
        </w:rPr>
      </w:pPr>
      <w:r>
        <w:rPr>
          <w:color w:val="auto"/>
          <w:sz w:val="24"/>
          <w:highlight w:val="none"/>
        </w:rPr>
        <w:t>注：</w:t>
      </w:r>
    </w:p>
    <w:p w14:paraId="33D87C3D">
      <w:pPr>
        <w:tabs>
          <w:tab w:val="left" w:pos="1800"/>
          <w:tab w:val="left" w:pos="5580"/>
        </w:tabs>
        <w:jc w:val="left"/>
        <w:rPr>
          <w:color w:val="auto"/>
          <w:sz w:val="24"/>
          <w:highlight w:val="none"/>
        </w:rPr>
      </w:pPr>
      <w:r>
        <w:rPr>
          <w:rFonts w:hint="eastAsia"/>
          <w:color w:val="auto"/>
          <w:sz w:val="24"/>
          <w:highlight w:val="none"/>
        </w:rPr>
        <w:t>1</w:t>
      </w:r>
      <w:r>
        <w:rPr>
          <w:color w:val="auto"/>
          <w:sz w:val="24"/>
          <w:highlight w:val="none"/>
        </w:rPr>
        <w:t>. 对合同条款中的所有要求，除本表所列明的所有偏离外，均视作</w:t>
      </w:r>
      <w:r>
        <w:rPr>
          <w:rFonts w:hint="eastAsia"/>
          <w:color w:val="auto"/>
          <w:sz w:val="24"/>
          <w:highlight w:val="none"/>
          <w:lang w:eastAsia="zh-CN"/>
        </w:rPr>
        <w:t>投标人</w:t>
      </w:r>
      <w:r>
        <w:rPr>
          <w:color w:val="auto"/>
          <w:sz w:val="24"/>
          <w:highlight w:val="none"/>
        </w:rPr>
        <w:t>已对之理解和</w:t>
      </w:r>
      <w:r>
        <w:rPr>
          <w:rFonts w:hint="eastAsia"/>
          <w:color w:val="auto"/>
          <w:sz w:val="24"/>
          <w:highlight w:val="none"/>
        </w:rPr>
        <w:t>响应</w:t>
      </w:r>
      <w:r>
        <w:rPr>
          <w:color w:val="auto"/>
          <w:sz w:val="24"/>
          <w:highlight w:val="none"/>
        </w:rPr>
        <w:t>。</w:t>
      </w:r>
    </w:p>
    <w:p w14:paraId="174DE94D">
      <w:pPr>
        <w:tabs>
          <w:tab w:val="left" w:pos="1800"/>
          <w:tab w:val="left" w:pos="5580"/>
        </w:tabs>
        <w:jc w:val="left"/>
        <w:rPr>
          <w:color w:val="auto"/>
          <w:sz w:val="24"/>
          <w:highlight w:val="none"/>
        </w:rPr>
      </w:pPr>
      <w:r>
        <w:rPr>
          <w:rFonts w:hint="eastAsia"/>
          <w:color w:val="auto"/>
          <w:sz w:val="24"/>
          <w:highlight w:val="none"/>
        </w:rPr>
        <w:t>2</w:t>
      </w:r>
      <w:r>
        <w:rPr>
          <w:color w:val="auto"/>
          <w:sz w:val="24"/>
          <w:highlight w:val="none"/>
        </w:rPr>
        <w:t xml:space="preserve">. </w:t>
      </w:r>
      <w:r>
        <w:rPr>
          <w:rFonts w:hint="eastAsia"/>
          <w:color w:val="auto"/>
          <w:sz w:val="24"/>
          <w:highlight w:val="none"/>
        </w:rPr>
        <w:t>“偏离情况”列应</w:t>
      </w:r>
      <w:r>
        <w:rPr>
          <w:color w:val="auto"/>
          <w:sz w:val="24"/>
          <w:highlight w:val="none"/>
        </w:rPr>
        <w:t>据实</w:t>
      </w:r>
      <w:r>
        <w:rPr>
          <w:rFonts w:hint="eastAsia"/>
          <w:color w:val="auto"/>
          <w:sz w:val="24"/>
          <w:highlight w:val="none"/>
        </w:rPr>
        <w:t>填写“正偏离”或“负偏离”。</w:t>
      </w:r>
    </w:p>
    <w:p w14:paraId="10438DB2">
      <w:pPr>
        <w:spacing w:line="360" w:lineRule="auto"/>
        <w:rPr>
          <w:color w:val="auto"/>
          <w:sz w:val="24"/>
          <w:szCs w:val="20"/>
          <w:highlight w:val="none"/>
        </w:rPr>
      </w:pPr>
    </w:p>
    <w:p w14:paraId="6B5E43F6">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319A7782">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5AAE1DB6">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64761F27">
      <w:pPr>
        <w:spacing w:line="360" w:lineRule="auto"/>
        <w:rPr>
          <w:color w:val="auto"/>
          <w:sz w:val="24"/>
          <w:szCs w:val="20"/>
          <w:highlight w:val="none"/>
        </w:rPr>
      </w:pPr>
      <w:r>
        <w:rPr>
          <w:color w:val="auto"/>
          <w:sz w:val="24"/>
          <w:szCs w:val="20"/>
          <w:highlight w:val="none"/>
        </w:rPr>
        <w:br w:type="page"/>
      </w:r>
      <w:r>
        <w:rPr>
          <w:rFonts w:hint="eastAsia"/>
          <w:color w:val="auto"/>
          <w:sz w:val="24"/>
          <w:szCs w:val="20"/>
          <w:highlight w:val="none"/>
          <w:lang w:val="en-US" w:eastAsia="zh-CN"/>
        </w:rPr>
        <w:t>7</w:t>
      </w:r>
      <w:r>
        <w:rPr>
          <w:color w:val="auto"/>
          <w:sz w:val="24"/>
          <w:szCs w:val="20"/>
          <w:highlight w:val="none"/>
        </w:rPr>
        <w:t xml:space="preserve"> </w:t>
      </w:r>
      <w:bookmarkEnd w:id="895"/>
      <w:bookmarkEnd w:id="896"/>
      <w:bookmarkEnd w:id="897"/>
      <w:bookmarkEnd w:id="898"/>
      <w:bookmarkEnd w:id="899"/>
      <w:bookmarkEnd w:id="900"/>
      <w:bookmarkEnd w:id="901"/>
      <w:bookmarkEnd w:id="902"/>
      <w:bookmarkEnd w:id="903"/>
      <w:bookmarkEnd w:id="904"/>
      <w:bookmarkEnd w:id="905"/>
      <w:bookmarkEnd w:id="906"/>
      <w:bookmarkEnd w:id="907"/>
      <w:r>
        <w:rPr>
          <w:color w:val="auto"/>
          <w:sz w:val="24"/>
          <w:szCs w:val="20"/>
          <w:highlight w:val="none"/>
        </w:rPr>
        <w:t>采购需求偏离表</w:t>
      </w:r>
      <w:r>
        <w:rPr>
          <w:rFonts w:hint="eastAsia"/>
          <w:color w:val="auto"/>
          <w:sz w:val="24"/>
          <w:szCs w:val="20"/>
          <w:highlight w:val="none"/>
        </w:rPr>
        <w:t xml:space="preserve"> </w:t>
      </w:r>
    </w:p>
    <w:p w14:paraId="5615123C">
      <w:pPr>
        <w:autoSpaceDE w:val="0"/>
        <w:autoSpaceDN w:val="0"/>
        <w:adjustRightInd w:val="0"/>
        <w:spacing w:line="360" w:lineRule="auto"/>
        <w:jc w:val="center"/>
        <w:rPr>
          <w:b/>
          <w:color w:val="auto"/>
          <w:sz w:val="36"/>
          <w:szCs w:val="36"/>
          <w:highlight w:val="none"/>
        </w:rPr>
      </w:pPr>
    </w:p>
    <w:p w14:paraId="66BF9EC5">
      <w:pPr>
        <w:autoSpaceDE w:val="0"/>
        <w:autoSpaceDN w:val="0"/>
        <w:adjustRightInd w:val="0"/>
        <w:spacing w:line="360" w:lineRule="auto"/>
        <w:jc w:val="center"/>
        <w:rPr>
          <w:b/>
          <w:color w:val="auto"/>
          <w:sz w:val="36"/>
          <w:szCs w:val="36"/>
          <w:highlight w:val="none"/>
        </w:rPr>
      </w:pPr>
      <w:r>
        <w:rPr>
          <w:rFonts w:hint="eastAsia"/>
          <w:b/>
          <w:color w:val="auto"/>
          <w:sz w:val="36"/>
          <w:szCs w:val="36"/>
          <w:highlight w:val="none"/>
        </w:rPr>
        <w:t>采购需求偏离表</w:t>
      </w:r>
    </w:p>
    <w:p w14:paraId="0EC665F6">
      <w:pPr>
        <w:tabs>
          <w:tab w:val="left" w:pos="1800"/>
          <w:tab w:val="left" w:pos="5580"/>
        </w:tabs>
        <w:spacing w:line="360" w:lineRule="auto"/>
        <w:ind w:firstLine="360" w:firstLineChars="150"/>
        <w:jc w:val="left"/>
        <w:rPr>
          <w:color w:val="auto"/>
          <w:sz w:val="24"/>
          <w:highlight w:val="none"/>
          <w:u w:val="single"/>
        </w:rPr>
      </w:pPr>
      <w:r>
        <w:rPr>
          <w:color w:val="auto"/>
          <w:sz w:val="24"/>
          <w:highlight w:val="none"/>
        </w:rPr>
        <w:t>项目编号：_____________________     项目名称：____________</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07CB5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31077FA4">
            <w:pPr>
              <w:adjustRightInd w:val="0"/>
              <w:snapToGrid w:val="0"/>
              <w:jc w:val="center"/>
              <w:rPr>
                <w:color w:val="auto"/>
                <w:sz w:val="24"/>
                <w:highlight w:val="none"/>
              </w:rPr>
            </w:pPr>
            <w:r>
              <w:rPr>
                <w:color w:val="auto"/>
                <w:sz w:val="24"/>
                <w:highlight w:val="none"/>
              </w:rPr>
              <w:t>序号</w:t>
            </w:r>
          </w:p>
        </w:tc>
        <w:tc>
          <w:tcPr>
            <w:tcW w:w="1482" w:type="dxa"/>
            <w:vAlign w:val="center"/>
          </w:tcPr>
          <w:p w14:paraId="41135FDC">
            <w:pPr>
              <w:adjustRightInd w:val="0"/>
              <w:snapToGrid w:val="0"/>
              <w:jc w:val="center"/>
              <w:rPr>
                <w:color w:val="auto"/>
                <w:sz w:val="24"/>
                <w:highlight w:val="none"/>
              </w:rPr>
            </w:pPr>
            <w:r>
              <w:rPr>
                <w:color w:val="auto"/>
                <w:sz w:val="24"/>
                <w:highlight w:val="none"/>
              </w:rPr>
              <w:t>招标文件条目号(页码)</w:t>
            </w:r>
          </w:p>
        </w:tc>
        <w:tc>
          <w:tcPr>
            <w:tcW w:w="2384" w:type="dxa"/>
            <w:vAlign w:val="center"/>
          </w:tcPr>
          <w:p w14:paraId="5CFBEFD3">
            <w:pPr>
              <w:adjustRightInd w:val="0"/>
              <w:snapToGrid w:val="0"/>
              <w:jc w:val="center"/>
              <w:rPr>
                <w:color w:val="auto"/>
                <w:sz w:val="24"/>
                <w:highlight w:val="none"/>
              </w:rPr>
            </w:pPr>
            <w:r>
              <w:rPr>
                <w:color w:val="auto"/>
                <w:sz w:val="24"/>
                <w:highlight w:val="none"/>
              </w:rPr>
              <w:t>招标文件要求</w:t>
            </w:r>
          </w:p>
        </w:tc>
        <w:tc>
          <w:tcPr>
            <w:tcW w:w="2126" w:type="dxa"/>
            <w:vAlign w:val="center"/>
          </w:tcPr>
          <w:p w14:paraId="10C14650">
            <w:pPr>
              <w:adjustRightInd w:val="0"/>
              <w:snapToGrid w:val="0"/>
              <w:jc w:val="center"/>
              <w:rPr>
                <w:color w:val="auto"/>
                <w:sz w:val="24"/>
                <w:highlight w:val="none"/>
              </w:rPr>
            </w:pPr>
            <w:r>
              <w:rPr>
                <w:color w:val="auto"/>
                <w:sz w:val="24"/>
                <w:highlight w:val="none"/>
              </w:rPr>
              <w:t>投标响应内容</w:t>
            </w:r>
          </w:p>
        </w:tc>
        <w:tc>
          <w:tcPr>
            <w:tcW w:w="1875" w:type="dxa"/>
            <w:vAlign w:val="center"/>
          </w:tcPr>
          <w:p w14:paraId="7591D36C">
            <w:pPr>
              <w:adjustRightInd w:val="0"/>
              <w:snapToGrid w:val="0"/>
              <w:jc w:val="center"/>
              <w:rPr>
                <w:color w:val="auto"/>
                <w:sz w:val="24"/>
                <w:highlight w:val="none"/>
              </w:rPr>
            </w:pPr>
            <w:r>
              <w:rPr>
                <w:color w:val="auto"/>
                <w:sz w:val="24"/>
                <w:highlight w:val="none"/>
              </w:rPr>
              <w:t>偏离情况</w:t>
            </w:r>
          </w:p>
        </w:tc>
        <w:tc>
          <w:tcPr>
            <w:tcW w:w="1009" w:type="dxa"/>
            <w:vAlign w:val="center"/>
          </w:tcPr>
          <w:p w14:paraId="415CCE99">
            <w:pPr>
              <w:adjustRightInd w:val="0"/>
              <w:snapToGrid w:val="0"/>
              <w:jc w:val="center"/>
              <w:rPr>
                <w:color w:val="auto"/>
                <w:sz w:val="24"/>
                <w:highlight w:val="none"/>
              </w:rPr>
            </w:pPr>
            <w:r>
              <w:rPr>
                <w:color w:val="auto"/>
                <w:sz w:val="24"/>
                <w:highlight w:val="none"/>
              </w:rPr>
              <w:t>说明</w:t>
            </w:r>
          </w:p>
        </w:tc>
      </w:tr>
      <w:tr w14:paraId="389EC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720C50C">
            <w:pPr>
              <w:adjustRightInd w:val="0"/>
              <w:snapToGrid w:val="0"/>
              <w:jc w:val="center"/>
              <w:rPr>
                <w:color w:val="auto"/>
                <w:sz w:val="24"/>
                <w:highlight w:val="none"/>
              </w:rPr>
            </w:pPr>
          </w:p>
        </w:tc>
        <w:tc>
          <w:tcPr>
            <w:tcW w:w="1482" w:type="dxa"/>
            <w:vAlign w:val="center"/>
          </w:tcPr>
          <w:p w14:paraId="10CF4DB1">
            <w:pPr>
              <w:adjustRightInd w:val="0"/>
              <w:snapToGrid w:val="0"/>
              <w:jc w:val="center"/>
              <w:rPr>
                <w:color w:val="auto"/>
                <w:sz w:val="24"/>
                <w:highlight w:val="none"/>
              </w:rPr>
            </w:pPr>
          </w:p>
        </w:tc>
        <w:tc>
          <w:tcPr>
            <w:tcW w:w="2384" w:type="dxa"/>
            <w:vAlign w:val="center"/>
          </w:tcPr>
          <w:p w14:paraId="2B918D96">
            <w:pPr>
              <w:adjustRightInd w:val="0"/>
              <w:snapToGrid w:val="0"/>
              <w:jc w:val="center"/>
              <w:rPr>
                <w:color w:val="auto"/>
                <w:sz w:val="24"/>
                <w:highlight w:val="none"/>
              </w:rPr>
            </w:pPr>
          </w:p>
        </w:tc>
        <w:tc>
          <w:tcPr>
            <w:tcW w:w="2126" w:type="dxa"/>
            <w:vAlign w:val="center"/>
          </w:tcPr>
          <w:p w14:paraId="4EF21DF7">
            <w:pPr>
              <w:adjustRightInd w:val="0"/>
              <w:snapToGrid w:val="0"/>
              <w:jc w:val="center"/>
              <w:rPr>
                <w:color w:val="auto"/>
                <w:sz w:val="24"/>
                <w:highlight w:val="none"/>
              </w:rPr>
            </w:pPr>
          </w:p>
        </w:tc>
        <w:tc>
          <w:tcPr>
            <w:tcW w:w="1875" w:type="dxa"/>
            <w:vAlign w:val="center"/>
          </w:tcPr>
          <w:p w14:paraId="6860008D">
            <w:pPr>
              <w:adjustRightInd w:val="0"/>
              <w:snapToGrid w:val="0"/>
              <w:jc w:val="center"/>
              <w:rPr>
                <w:color w:val="auto"/>
                <w:sz w:val="24"/>
                <w:highlight w:val="none"/>
              </w:rPr>
            </w:pPr>
          </w:p>
        </w:tc>
        <w:tc>
          <w:tcPr>
            <w:tcW w:w="1009" w:type="dxa"/>
            <w:vAlign w:val="center"/>
          </w:tcPr>
          <w:p w14:paraId="28B331CE">
            <w:pPr>
              <w:adjustRightInd w:val="0"/>
              <w:snapToGrid w:val="0"/>
              <w:jc w:val="center"/>
              <w:rPr>
                <w:color w:val="auto"/>
                <w:sz w:val="24"/>
                <w:highlight w:val="none"/>
              </w:rPr>
            </w:pPr>
          </w:p>
        </w:tc>
      </w:tr>
      <w:tr w14:paraId="01744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D9D7C07">
            <w:pPr>
              <w:adjustRightInd w:val="0"/>
              <w:snapToGrid w:val="0"/>
              <w:jc w:val="center"/>
              <w:rPr>
                <w:color w:val="auto"/>
                <w:sz w:val="24"/>
                <w:highlight w:val="none"/>
              </w:rPr>
            </w:pPr>
          </w:p>
        </w:tc>
        <w:tc>
          <w:tcPr>
            <w:tcW w:w="1482" w:type="dxa"/>
            <w:vAlign w:val="center"/>
          </w:tcPr>
          <w:p w14:paraId="5C4F935B">
            <w:pPr>
              <w:adjustRightInd w:val="0"/>
              <w:snapToGrid w:val="0"/>
              <w:jc w:val="center"/>
              <w:rPr>
                <w:color w:val="auto"/>
                <w:sz w:val="24"/>
                <w:highlight w:val="none"/>
              </w:rPr>
            </w:pPr>
          </w:p>
        </w:tc>
        <w:tc>
          <w:tcPr>
            <w:tcW w:w="2384" w:type="dxa"/>
            <w:vAlign w:val="center"/>
          </w:tcPr>
          <w:p w14:paraId="58D371CC">
            <w:pPr>
              <w:adjustRightInd w:val="0"/>
              <w:snapToGrid w:val="0"/>
              <w:jc w:val="center"/>
              <w:rPr>
                <w:color w:val="auto"/>
                <w:sz w:val="24"/>
                <w:highlight w:val="none"/>
              </w:rPr>
            </w:pPr>
          </w:p>
        </w:tc>
        <w:tc>
          <w:tcPr>
            <w:tcW w:w="2126" w:type="dxa"/>
            <w:vAlign w:val="center"/>
          </w:tcPr>
          <w:p w14:paraId="2DE2B2A0">
            <w:pPr>
              <w:adjustRightInd w:val="0"/>
              <w:snapToGrid w:val="0"/>
              <w:jc w:val="center"/>
              <w:rPr>
                <w:color w:val="auto"/>
                <w:sz w:val="24"/>
                <w:highlight w:val="none"/>
              </w:rPr>
            </w:pPr>
          </w:p>
        </w:tc>
        <w:tc>
          <w:tcPr>
            <w:tcW w:w="1875" w:type="dxa"/>
            <w:vAlign w:val="center"/>
          </w:tcPr>
          <w:p w14:paraId="3864088F">
            <w:pPr>
              <w:adjustRightInd w:val="0"/>
              <w:snapToGrid w:val="0"/>
              <w:jc w:val="center"/>
              <w:rPr>
                <w:color w:val="auto"/>
                <w:sz w:val="24"/>
                <w:highlight w:val="none"/>
              </w:rPr>
            </w:pPr>
          </w:p>
        </w:tc>
        <w:tc>
          <w:tcPr>
            <w:tcW w:w="1009" w:type="dxa"/>
            <w:vAlign w:val="center"/>
          </w:tcPr>
          <w:p w14:paraId="42B4163B">
            <w:pPr>
              <w:adjustRightInd w:val="0"/>
              <w:snapToGrid w:val="0"/>
              <w:jc w:val="center"/>
              <w:rPr>
                <w:color w:val="auto"/>
                <w:sz w:val="24"/>
                <w:highlight w:val="none"/>
              </w:rPr>
            </w:pPr>
          </w:p>
        </w:tc>
      </w:tr>
      <w:tr w14:paraId="4E311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589D518">
            <w:pPr>
              <w:adjustRightInd w:val="0"/>
              <w:snapToGrid w:val="0"/>
              <w:jc w:val="center"/>
              <w:rPr>
                <w:color w:val="auto"/>
                <w:sz w:val="24"/>
                <w:highlight w:val="none"/>
              </w:rPr>
            </w:pPr>
          </w:p>
        </w:tc>
        <w:tc>
          <w:tcPr>
            <w:tcW w:w="1482" w:type="dxa"/>
            <w:vAlign w:val="center"/>
          </w:tcPr>
          <w:p w14:paraId="5F3A6095">
            <w:pPr>
              <w:adjustRightInd w:val="0"/>
              <w:snapToGrid w:val="0"/>
              <w:jc w:val="center"/>
              <w:rPr>
                <w:color w:val="auto"/>
                <w:sz w:val="24"/>
                <w:highlight w:val="none"/>
              </w:rPr>
            </w:pPr>
          </w:p>
        </w:tc>
        <w:tc>
          <w:tcPr>
            <w:tcW w:w="2384" w:type="dxa"/>
            <w:vAlign w:val="center"/>
          </w:tcPr>
          <w:p w14:paraId="288A1815">
            <w:pPr>
              <w:adjustRightInd w:val="0"/>
              <w:snapToGrid w:val="0"/>
              <w:jc w:val="center"/>
              <w:rPr>
                <w:color w:val="auto"/>
                <w:sz w:val="24"/>
                <w:highlight w:val="none"/>
              </w:rPr>
            </w:pPr>
          </w:p>
        </w:tc>
        <w:tc>
          <w:tcPr>
            <w:tcW w:w="2126" w:type="dxa"/>
            <w:vAlign w:val="center"/>
          </w:tcPr>
          <w:p w14:paraId="7C44FD04">
            <w:pPr>
              <w:adjustRightInd w:val="0"/>
              <w:snapToGrid w:val="0"/>
              <w:jc w:val="center"/>
              <w:rPr>
                <w:color w:val="auto"/>
                <w:sz w:val="24"/>
                <w:highlight w:val="none"/>
              </w:rPr>
            </w:pPr>
          </w:p>
        </w:tc>
        <w:tc>
          <w:tcPr>
            <w:tcW w:w="1875" w:type="dxa"/>
            <w:vAlign w:val="center"/>
          </w:tcPr>
          <w:p w14:paraId="31F09449">
            <w:pPr>
              <w:adjustRightInd w:val="0"/>
              <w:snapToGrid w:val="0"/>
              <w:jc w:val="center"/>
              <w:rPr>
                <w:color w:val="auto"/>
                <w:sz w:val="24"/>
                <w:highlight w:val="none"/>
              </w:rPr>
            </w:pPr>
          </w:p>
        </w:tc>
        <w:tc>
          <w:tcPr>
            <w:tcW w:w="1009" w:type="dxa"/>
            <w:vAlign w:val="center"/>
          </w:tcPr>
          <w:p w14:paraId="75676995">
            <w:pPr>
              <w:adjustRightInd w:val="0"/>
              <w:snapToGrid w:val="0"/>
              <w:jc w:val="center"/>
              <w:rPr>
                <w:color w:val="auto"/>
                <w:sz w:val="24"/>
                <w:highlight w:val="none"/>
              </w:rPr>
            </w:pPr>
          </w:p>
        </w:tc>
      </w:tr>
      <w:tr w14:paraId="7002D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F21E706">
            <w:pPr>
              <w:adjustRightInd w:val="0"/>
              <w:snapToGrid w:val="0"/>
              <w:jc w:val="center"/>
              <w:rPr>
                <w:color w:val="auto"/>
                <w:sz w:val="24"/>
                <w:highlight w:val="none"/>
              </w:rPr>
            </w:pPr>
          </w:p>
        </w:tc>
        <w:tc>
          <w:tcPr>
            <w:tcW w:w="1482" w:type="dxa"/>
            <w:vAlign w:val="center"/>
          </w:tcPr>
          <w:p w14:paraId="0718D93B">
            <w:pPr>
              <w:adjustRightInd w:val="0"/>
              <w:snapToGrid w:val="0"/>
              <w:jc w:val="center"/>
              <w:rPr>
                <w:color w:val="auto"/>
                <w:sz w:val="24"/>
                <w:highlight w:val="none"/>
              </w:rPr>
            </w:pPr>
          </w:p>
        </w:tc>
        <w:tc>
          <w:tcPr>
            <w:tcW w:w="2384" w:type="dxa"/>
            <w:vAlign w:val="center"/>
          </w:tcPr>
          <w:p w14:paraId="19B70422">
            <w:pPr>
              <w:adjustRightInd w:val="0"/>
              <w:snapToGrid w:val="0"/>
              <w:jc w:val="center"/>
              <w:rPr>
                <w:color w:val="auto"/>
                <w:sz w:val="24"/>
                <w:highlight w:val="none"/>
              </w:rPr>
            </w:pPr>
          </w:p>
        </w:tc>
        <w:tc>
          <w:tcPr>
            <w:tcW w:w="2126" w:type="dxa"/>
            <w:vAlign w:val="center"/>
          </w:tcPr>
          <w:p w14:paraId="42FDA2DB">
            <w:pPr>
              <w:adjustRightInd w:val="0"/>
              <w:snapToGrid w:val="0"/>
              <w:jc w:val="center"/>
              <w:rPr>
                <w:color w:val="auto"/>
                <w:sz w:val="24"/>
                <w:highlight w:val="none"/>
              </w:rPr>
            </w:pPr>
          </w:p>
        </w:tc>
        <w:tc>
          <w:tcPr>
            <w:tcW w:w="1875" w:type="dxa"/>
            <w:vAlign w:val="center"/>
          </w:tcPr>
          <w:p w14:paraId="7B7AD98B">
            <w:pPr>
              <w:adjustRightInd w:val="0"/>
              <w:snapToGrid w:val="0"/>
              <w:jc w:val="center"/>
              <w:rPr>
                <w:color w:val="auto"/>
                <w:sz w:val="24"/>
                <w:highlight w:val="none"/>
              </w:rPr>
            </w:pPr>
          </w:p>
        </w:tc>
        <w:tc>
          <w:tcPr>
            <w:tcW w:w="1009" w:type="dxa"/>
            <w:vAlign w:val="center"/>
          </w:tcPr>
          <w:p w14:paraId="54B28E4D">
            <w:pPr>
              <w:adjustRightInd w:val="0"/>
              <w:snapToGrid w:val="0"/>
              <w:jc w:val="center"/>
              <w:rPr>
                <w:color w:val="auto"/>
                <w:sz w:val="24"/>
                <w:highlight w:val="none"/>
              </w:rPr>
            </w:pPr>
          </w:p>
        </w:tc>
      </w:tr>
      <w:tr w14:paraId="4E19A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EBB2199">
            <w:pPr>
              <w:adjustRightInd w:val="0"/>
              <w:snapToGrid w:val="0"/>
              <w:jc w:val="center"/>
              <w:rPr>
                <w:color w:val="auto"/>
                <w:sz w:val="24"/>
                <w:highlight w:val="none"/>
              </w:rPr>
            </w:pPr>
          </w:p>
        </w:tc>
        <w:tc>
          <w:tcPr>
            <w:tcW w:w="1482" w:type="dxa"/>
            <w:vAlign w:val="center"/>
          </w:tcPr>
          <w:p w14:paraId="11EE7864">
            <w:pPr>
              <w:adjustRightInd w:val="0"/>
              <w:snapToGrid w:val="0"/>
              <w:jc w:val="center"/>
              <w:rPr>
                <w:color w:val="auto"/>
                <w:sz w:val="24"/>
                <w:highlight w:val="none"/>
              </w:rPr>
            </w:pPr>
          </w:p>
        </w:tc>
        <w:tc>
          <w:tcPr>
            <w:tcW w:w="2384" w:type="dxa"/>
            <w:vAlign w:val="center"/>
          </w:tcPr>
          <w:p w14:paraId="34EF9558">
            <w:pPr>
              <w:adjustRightInd w:val="0"/>
              <w:snapToGrid w:val="0"/>
              <w:jc w:val="center"/>
              <w:rPr>
                <w:color w:val="auto"/>
                <w:sz w:val="24"/>
                <w:highlight w:val="none"/>
              </w:rPr>
            </w:pPr>
          </w:p>
        </w:tc>
        <w:tc>
          <w:tcPr>
            <w:tcW w:w="2126" w:type="dxa"/>
            <w:vAlign w:val="center"/>
          </w:tcPr>
          <w:p w14:paraId="054833FE">
            <w:pPr>
              <w:adjustRightInd w:val="0"/>
              <w:snapToGrid w:val="0"/>
              <w:jc w:val="center"/>
              <w:rPr>
                <w:color w:val="auto"/>
                <w:sz w:val="24"/>
                <w:highlight w:val="none"/>
              </w:rPr>
            </w:pPr>
          </w:p>
        </w:tc>
        <w:tc>
          <w:tcPr>
            <w:tcW w:w="1875" w:type="dxa"/>
            <w:vAlign w:val="center"/>
          </w:tcPr>
          <w:p w14:paraId="68835974">
            <w:pPr>
              <w:adjustRightInd w:val="0"/>
              <w:snapToGrid w:val="0"/>
              <w:jc w:val="center"/>
              <w:rPr>
                <w:color w:val="auto"/>
                <w:sz w:val="24"/>
                <w:highlight w:val="none"/>
              </w:rPr>
            </w:pPr>
          </w:p>
        </w:tc>
        <w:tc>
          <w:tcPr>
            <w:tcW w:w="1009" w:type="dxa"/>
            <w:vAlign w:val="center"/>
          </w:tcPr>
          <w:p w14:paraId="27DABBA6">
            <w:pPr>
              <w:adjustRightInd w:val="0"/>
              <w:snapToGrid w:val="0"/>
              <w:jc w:val="center"/>
              <w:rPr>
                <w:color w:val="auto"/>
                <w:sz w:val="24"/>
                <w:highlight w:val="none"/>
              </w:rPr>
            </w:pPr>
          </w:p>
        </w:tc>
      </w:tr>
      <w:tr w14:paraId="5B338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6D758C8">
            <w:pPr>
              <w:adjustRightInd w:val="0"/>
              <w:snapToGrid w:val="0"/>
              <w:jc w:val="center"/>
              <w:rPr>
                <w:color w:val="auto"/>
                <w:sz w:val="24"/>
                <w:highlight w:val="none"/>
              </w:rPr>
            </w:pPr>
            <w:r>
              <w:rPr>
                <w:color w:val="auto"/>
                <w:sz w:val="24"/>
                <w:highlight w:val="none"/>
              </w:rPr>
              <w:t>……</w:t>
            </w:r>
          </w:p>
        </w:tc>
        <w:tc>
          <w:tcPr>
            <w:tcW w:w="1482" w:type="dxa"/>
            <w:vAlign w:val="center"/>
          </w:tcPr>
          <w:p w14:paraId="37C04D4A">
            <w:pPr>
              <w:adjustRightInd w:val="0"/>
              <w:snapToGrid w:val="0"/>
              <w:jc w:val="center"/>
              <w:rPr>
                <w:color w:val="auto"/>
                <w:sz w:val="24"/>
                <w:highlight w:val="none"/>
              </w:rPr>
            </w:pPr>
          </w:p>
        </w:tc>
        <w:tc>
          <w:tcPr>
            <w:tcW w:w="2384" w:type="dxa"/>
            <w:vAlign w:val="center"/>
          </w:tcPr>
          <w:p w14:paraId="266F620C">
            <w:pPr>
              <w:adjustRightInd w:val="0"/>
              <w:snapToGrid w:val="0"/>
              <w:jc w:val="center"/>
              <w:rPr>
                <w:color w:val="auto"/>
                <w:sz w:val="24"/>
                <w:highlight w:val="none"/>
              </w:rPr>
            </w:pPr>
          </w:p>
        </w:tc>
        <w:tc>
          <w:tcPr>
            <w:tcW w:w="2126" w:type="dxa"/>
            <w:vAlign w:val="center"/>
          </w:tcPr>
          <w:p w14:paraId="12C3E1CD">
            <w:pPr>
              <w:adjustRightInd w:val="0"/>
              <w:snapToGrid w:val="0"/>
              <w:jc w:val="center"/>
              <w:rPr>
                <w:color w:val="auto"/>
                <w:sz w:val="24"/>
                <w:highlight w:val="none"/>
              </w:rPr>
            </w:pPr>
          </w:p>
        </w:tc>
        <w:tc>
          <w:tcPr>
            <w:tcW w:w="1875" w:type="dxa"/>
            <w:vAlign w:val="center"/>
          </w:tcPr>
          <w:p w14:paraId="6CB3BF87">
            <w:pPr>
              <w:adjustRightInd w:val="0"/>
              <w:snapToGrid w:val="0"/>
              <w:jc w:val="center"/>
              <w:rPr>
                <w:color w:val="auto"/>
                <w:sz w:val="24"/>
                <w:highlight w:val="none"/>
              </w:rPr>
            </w:pPr>
          </w:p>
        </w:tc>
        <w:tc>
          <w:tcPr>
            <w:tcW w:w="1009" w:type="dxa"/>
            <w:vAlign w:val="center"/>
          </w:tcPr>
          <w:p w14:paraId="21381133">
            <w:pPr>
              <w:adjustRightInd w:val="0"/>
              <w:snapToGrid w:val="0"/>
              <w:jc w:val="center"/>
              <w:rPr>
                <w:color w:val="auto"/>
                <w:sz w:val="24"/>
                <w:highlight w:val="none"/>
              </w:rPr>
            </w:pPr>
          </w:p>
        </w:tc>
      </w:tr>
    </w:tbl>
    <w:p w14:paraId="138C9B4C">
      <w:pPr>
        <w:tabs>
          <w:tab w:val="left" w:pos="1800"/>
          <w:tab w:val="left" w:pos="5580"/>
        </w:tabs>
        <w:spacing w:line="360" w:lineRule="auto"/>
        <w:ind w:firstLine="360" w:firstLineChars="150"/>
        <w:jc w:val="left"/>
        <w:rPr>
          <w:color w:val="auto"/>
          <w:sz w:val="24"/>
          <w:highlight w:val="none"/>
          <w:u w:val="single"/>
        </w:rPr>
      </w:pPr>
    </w:p>
    <w:p w14:paraId="5FB80F5A">
      <w:pPr>
        <w:tabs>
          <w:tab w:val="left" w:pos="1800"/>
          <w:tab w:val="left" w:pos="5580"/>
        </w:tabs>
        <w:jc w:val="left"/>
        <w:rPr>
          <w:color w:val="auto"/>
          <w:sz w:val="24"/>
          <w:highlight w:val="none"/>
        </w:rPr>
      </w:pPr>
      <w:r>
        <w:rPr>
          <w:color w:val="auto"/>
          <w:sz w:val="24"/>
          <w:highlight w:val="none"/>
        </w:rPr>
        <w:t>注：</w:t>
      </w:r>
    </w:p>
    <w:p w14:paraId="29BB9065">
      <w:pPr>
        <w:tabs>
          <w:tab w:val="left" w:pos="1800"/>
          <w:tab w:val="left" w:pos="5580"/>
        </w:tabs>
        <w:jc w:val="left"/>
        <w:rPr>
          <w:color w:val="auto"/>
          <w:sz w:val="24"/>
          <w:highlight w:val="none"/>
        </w:rPr>
      </w:pPr>
      <w:r>
        <w:rPr>
          <w:rFonts w:hint="eastAsia"/>
          <w:color w:val="auto"/>
          <w:sz w:val="24"/>
          <w:highlight w:val="none"/>
        </w:rPr>
        <w:t>1</w:t>
      </w:r>
      <w:r>
        <w:rPr>
          <w:color w:val="auto"/>
          <w:sz w:val="24"/>
          <w:highlight w:val="none"/>
        </w:rPr>
        <w:t>. 对招标文件中的所有商务、技术要求，除本表所列明的所有偏离外，均视作</w:t>
      </w:r>
      <w:r>
        <w:rPr>
          <w:rFonts w:hint="eastAsia"/>
          <w:color w:val="auto"/>
          <w:sz w:val="24"/>
          <w:highlight w:val="none"/>
          <w:lang w:eastAsia="zh-CN"/>
        </w:rPr>
        <w:t>投标人</w:t>
      </w:r>
      <w:r>
        <w:rPr>
          <w:color w:val="auto"/>
          <w:sz w:val="24"/>
          <w:highlight w:val="none"/>
        </w:rPr>
        <w:t>已对之理解和</w:t>
      </w:r>
      <w:r>
        <w:rPr>
          <w:rFonts w:hint="eastAsia"/>
          <w:color w:val="auto"/>
          <w:sz w:val="24"/>
          <w:highlight w:val="none"/>
        </w:rPr>
        <w:t>响应</w:t>
      </w:r>
      <w:r>
        <w:rPr>
          <w:color w:val="auto"/>
          <w:sz w:val="24"/>
          <w:highlight w:val="none"/>
        </w:rPr>
        <w:t>。</w:t>
      </w:r>
      <w:r>
        <w:rPr>
          <w:rFonts w:hint="eastAsia"/>
          <w:color w:val="auto"/>
          <w:sz w:val="24"/>
          <w:highlight w:val="none"/>
        </w:rPr>
        <w:t>此表中若无任何文字说明，内容为空白，</w:t>
      </w:r>
      <w:r>
        <w:rPr>
          <w:rFonts w:hint="eastAsia"/>
          <w:b/>
          <w:color w:val="auto"/>
          <w:sz w:val="24"/>
          <w:highlight w:val="none"/>
        </w:rPr>
        <w:t>投标无效。</w:t>
      </w:r>
    </w:p>
    <w:p w14:paraId="286E72E5">
      <w:pPr>
        <w:tabs>
          <w:tab w:val="left" w:pos="1800"/>
          <w:tab w:val="left" w:pos="5580"/>
        </w:tabs>
        <w:jc w:val="left"/>
        <w:rPr>
          <w:color w:val="auto"/>
          <w:sz w:val="24"/>
          <w:highlight w:val="none"/>
        </w:rPr>
      </w:pPr>
      <w:r>
        <w:rPr>
          <w:color w:val="auto"/>
          <w:sz w:val="24"/>
          <w:highlight w:val="none"/>
        </w:rPr>
        <w:t>2.</w:t>
      </w:r>
      <w:r>
        <w:rPr>
          <w:rFonts w:hint="eastAsia"/>
          <w:color w:val="auto"/>
          <w:sz w:val="24"/>
          <w:highlight w:val="none"/>
        </w:rPr>
        <w:t>“偏离情况”列应</w:t>
      </w:r>
      <w:r>
        <w:rPr>
          <w:color w:val="auto"/>
          <w:sz w:val="24"/>
          <w:highlight w:val="none"/>
        </w:rPr>
        <w:t>据实</w:t>
      </w:r>
      <w:r>
        <w:rPr>
          <w:rFonts w:hint="eastAsia"/>
          <w:color w:val="auto"/>
          <w:sz w:val="24"/>
          <w:highlight w:val="none"/>
        </w:rPr>
        <w:t>填写“正偏离”或“负偏离”。</w:t>
      </w:r>
    </w:p>
    <w:p w14:paraId="085DCF47">
      <w:pPr>
        <w:tabs>
          <w:tab w:val="left" w:pos="1800"/>
          <w:tab w:val="left" w:pos="5580"/>
        </w:tabs>
        <w:jc w:val="left"/>
        <w:rPr>
          <w:color w:val="auto"/>
          <w:sz w:val="24"/>
          <w:highlight w:val="none"/>
        </w:rPr>
      </w:pPr>
    </w:p>
    <w:p w14:paraId="2E82B08A">
      <w:pPr>
        <w:tabs>
          <w:tab w:val="left" w:pos="1800"/>
          <w:tab w:val="left" w:pos="5580"/>
        </w:tabs>
        <w:jc w:val="left"/>
        <w:rPr>
          <w:color w:val="auto"/>
          <w:sz w:val="24"/>
          <w:highlight w:val="none"/>
        </w:rPr>
      </w:pPr>
    </w:p>
    <w:p w14:paraId="766BC5FD">
      <w:pPr>
        <w:rPr>
          <w:color w:val="auto"/>
          <w:sz w:val="24"/>
          <w:szCs w:val="20"/>
          <w:highlight w:val="none"/>
        </w:rPr>
      </w:pPr>
    </w:p>
    <w:p w14:paraId="24F90B0E">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1EFFBBC7">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20ACFE99">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2C5ACC18">
      <w:pPr>
        <w:tabs>
          <w:tab w:val="left" w:pos="5580"/>
        </w:tabs>
        <w:spacing w:line="360" w:lineRule="auto"/>
        <w:rPr>
          <w:color w:val="auto"/>
          <w:sz w:val="24"/>
          <w:szCs w:val="20"/>
          <w:highlight w:val="none"/>
        </w:rPr>
      </w:pPr>
      <w:r>
        <w:rPr>
          <w:color w:val="auto"/>
          <w:sz w:val="24"/>
          <w:szCs w:val="20"/>
          <w:highlight w:val="none"/>
        </w:rPr>
        <w:br w:type="page"/>
      </w:r>
      <w:r>
        <w:rPr>
          <w:rFonts w:hint="eastAsia"/>
          <w:color w:val="auto"/>
          <w:sz w:val="24"/>
          <w:szCs w:val="20"/>
          <w:highlight w:val="none"/>
        </w:rPr>
        <w:t>8</w:t>
      </w:r>
      <w:r>
        <w:rPr>
          <w:color w:val="auto"/>
          <w:sz w:val="24"/>
          <w:szCs w:val="20"/>
          <w:highlight w:val="none"/>
        </w:rPr>
        <w:t xml:space="preserve">  中小企业声明函</w:t>
      </w:r>
    </w:p>
    <w:p w14:paraId="0D58754F">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p w14:paraId="5BDD1733">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如是属于本项目所属行业的中型、小型、微型企业的情形的，可提供《中小企业声明函》格式文件;投标人如是属于本项目所属行业的残疾人福利性单位、监狱企业的情形的，可提供《残疾人福利性单位声明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未提供的将不享受有关政策，</w:t>
      </w:r>
    </w:p>
    <w:p w14:paraId="69C6C3A9">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2)《中小企业声明函》由参加政府采购活动的投标人出具。</w:t>
      </w:r>
    </w:p>
    <w:p w14:paraId="371F83B0">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3）中小企业认定标准以《关于印发中小企业划型标准规定的通知》（工信部联企业〔2011〕300号）文件规定为准。</w:t>
      </w:r>
    </w:p>
    <w:p w14:paraId="6EF6D020">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https://baosong.miit.gov.cn/ScaleTest）</w:t>
      </w:r>
    </w:p>
    <w:p w14:paraId="17BE31D6">
      <w:pPr>
        <w:adjustRightInd w:val="0"/>
        <w:spacing w:line="570" w:lineRule="exact"/>
        <w:ind w:firstLine="361" w:firstLineChars="15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）小微企业未提供声明函的，价格分评审将不予价格扣除。</w:t>
      </w:r>
    </w:p>
    <w:p w14:paraId="2547753F">
      <w:pPr>
        <w:tabs>
          <w:tab w:val="left" w:pos="5580"/>
        </w:tabs>
        <w:spacing w:line="360" w:lineRule="auto"/>
        <w:rPr>
          <w:rFonts w:hint="eastAsia"/>
          <w:color w:val="auto"/>
          <w:sz w:val="24"/>
          <w:highlight w:val="none"/>
        </w:rPr>
      </w:pPr>
    </w:p>
    <w:p w14:paraId="629317CC">
      <w:pPr>
        <w:widowControl/>
        <w:jc w:val="left"/>
        <w:rPr>
          <w:b/>
          <w:bCs/>
          <w:color w:val="auto"/>
          <w:sz w:val="24"/>
          <w:highlight w:val="none"/>
        </w:rPr>
      </w:pPr>
      <w:r>
        <w:rPr>
          <w:color w:val="auto"/>
          <w:sz w:val="24"/>
          <w:szCs w:val="20"/>
          <w:highlight w:val="none"/>
        </w:rPr>
        <w:br w:type="page"/>
      </w:r>
    </w:p>
    <w:p w14:paraId="054F64BE">
      <w:pPr>
        <w:spacing w:before="240" w:beforeLines="100" w:after="240" w:afterLines="100" w:line="360" w:lineRule="auto"/>
        <w:jc w:val="center"/>
        <w:rPr>
          <w:b/>
          <w:bCs/>
          <w:color w:val="auto"/>
          <w:sz w:val="36"/>
          <w:szCs w:val="36"/>
          <w:highlight w:val="none"/>
        </w:rPr>
      </w:pPr>
      <w:r>
        <w:rPr>
          <w:rFonts w:hint="eastAsia"/>
          <w:b/>
          <w:bCs/>
          <w:color w:val="auto"/>
          <w:sz w:val="36"/>
          <w:szCs w:val="36"/>
          <w:highlight w:val="none"/>
        </w:rPr>
        <w:t>中小企业声明函</w:t>
      </w:r>
    </w:p>
    <w:p w14:paraId="7E3A1FC8">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本公司郑重声明，根据《政府采购促进中小企业发展管理办法》(财库[2020]46号)的规定，本公司</w:t>
      </w:r>
      <w:r>
        <w:rPr>
          <w:rFonts w:hint="eastAsia" w:ascii="宋体" w:hAnsi="宋体" w:eastAsia="宋体" w:cs="宋体"/>
          <w:color w:val="auto"/>
          <w:sz w:val="24"/>
          <w:szCs w:val="24"/>
          <w:highlight w:val="none"/>
          <w:u w:val="single"/>
          <w:lang w:val="en-US" w:eastAsia="zh-CN"/>
        </w:rPr>
        <w:t xml:space="preserve"> </w:t>
      </w:r>
      <w:r>
        <w:rPr>
          <w:color w:val="auto"/>
          <w:spacing w:val="6"/>
          <w:sz w:val="24"/>
          <w:highlight w:val="none"/>
          <w:u w:val="single"/>
        </w:rPr>
        <w:t>（</w:t>
      </w:r>
      <w:r>
        <w:rPr>
          <w:rFonts w:hint="eastAsia"/>
          <w:color w:val="auto"/>
          <w:spacing w:val="6"/>
          <w:sz w:val="24"/>
          <w:highlight w:val="none"/>
          <w:u w:val="single"/>
        </w:rPr>
        <w:t>此处填</w:t>
      </w:r>
      <w:r>
        <w:rPr>
          <w:rFonts w:hint="eastAsia"/>
          <w:color w:val="auto"/>
          <w:spacing w:val="6"/>
          <w:sz w:val="24"/>
          <w:highlight w:val="none"/>
          <w:u w:val="single"/>
          <w:lang w:val="en-US" w:eastAsia="zh-CN"/>
        </w:rPr>
        <w:t>供应商</w:t>
      </w:r>
      <w:r>
        <w:rPr>
          <w:color w:val="auto"/>
          <w:spacing w:val="6"/>
          <w:sz w:val="24"/>
          <w:highlight w:val="none"/>
          <w:u w:val="single"/>
        </w:rPr>
        <w:t>单位名称）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参加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江苏尚阳工程管理有限公司</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组织的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（采购单位名称①）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采购编号为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②</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（项目名称③）（分包号：④）</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的采购活动，服务全部由符合政策的中小企业承接。根据《工业和信息化部、国家统计局、国家发展和改革委员会、财政部关于印发中小企业划型标准规定的通知》(工信部联企业[2011]300号)的规定，相关企业的具体情况如下：</w:t>
      </w:r>
    </w:p>
    <w:p w14:paraId="2FB8688F">
      <w:pPr>
        <w:adjustRightInd w:val="0"/>
        <w:spacing w:line="570" w:lineRule="exact"/>
        <w:ind w:firstLine="360" w:firstLineChars="15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（标的名称⑤）</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（采购文件中明确的所属行业⑥）</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行业；承接企业为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（企业名称⑦）</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⑩</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（中型企业、小型企业、微型企业⑪）</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w:t>
      </w:r>
    </w:p>
    <w:p w14:paraId="69BF59E3">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411AEEE2">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1ED8190D">
      <w:pPr>
        <w:adjustRightInd w:val="0"/>
        <w:spacing w:line="570" w:lineRule="exact"/>
        <w:ind w:right="180" w:firstLine="360" w:firstLineChars="150"/>
        <w:jc w:val="right"/>
        <w:rPr>
          <w:rFonts w:hint="eastAsia" w:ascii="宋体" w:hAnsi="宋体" w:eastAsia="宋体" w:cs="宋体"/>
          <w:color w:val="auto"/>
          <w:sz w:val="24"/>
          <w:szCs w:val="24"/>
          <w:highlight w:val="none"/>
        </w:rPr>
      </w:pPr>
    </w:p>
    <w:p w14:paraId="0757ABC9">
      <w:pPr>
        <w:adjustRightInd w:val="0"/>
        <w:spacing w:line="570" w:lineRule="exact"/>
        <w:ind w:right="180" w:firstLine="360" w:firstLineChars="150"/>
        <w:jc w:val="right"/>
        <w:rPr>
          <w:rFonts w:hint="eastAsia" w:ascii="宋体" w:hAnsi="宋体" w:eastAsia="宋体" w:cs="宋体"/>
          <w:color w:val="auto"/>
          <w:sz w:val="24"/>
          <w:szCs w:val="24"/>
          <w:highlight w:val="none"/>
        </w:rPr>
      </w:pPr>
    </w:p>
    <w:p w14:paraId="17A29366">
      <w:pPr>
        <w:adjustRightInd w:val="0"/>
        <w:spacing w:line="570" w:lineRule="exact"/>
        <w:ind w:right="180" w:firstLine="360" w:firstLineChars="150"/>
        <w:jc w:val="right"/>
        <w:rPr>
          <w:rFonts w:hint="eastAsia" w:ascii="宋体" w:hAnsi="宋体" w:eastAsia="宋体" w:cs="宋体"/>
          <w:color w:val="auto"/>
          <w:sz w:val="24"/>
          <w:szCs w:val="24"/>
          <w:highlight w:val="none"/>
        </w:rPr>
      </w:pPr>
    </w:p>
    <w:p w14:paraId="3BAC48D7">
      <w:pPr>
        <w:adjustRightInd w:val="0"/>
        <w:spacing w:line="570" w:lineRule="exact"/>
        <w:ind w:right="180" w:firstLine="360" w:firstLineChars="15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企业名称（加盖CA电子公章）⑫：</w:t>
      </w:r>
    </w:p>
    <w:p w14:paraId="16C57284">
      <w:pPr>
        <w:adjustRightInd w:val="0"/>
        <w:spacing w:line="570" w:lineRule="exact"/>
        <w:ind w:right="480" w:firstLine="5400" w:firstLineChars="2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28EF53D8">
      <w:pPr>
        <w:adjustRightInd w:val="0"/>
        <w:snapToGrid w:val="0"/>
        <w:spacing w:line="570" w:lineRule="exact"/>
        <w:rPr>
          <w:rFonts w:hint="eastAsia" w:ascii="宋体" w:hAnsi="宋体" w:eastAsia="宋体" w:cs="宋体"/>
          <w:color w:val="auto"/>
          <w:sz w:val="24"/>
          <w:szCs w:val="24"/>
          <w:highlight w:val="none"/>
        </w:rPr>
      </w:pPr>
    </w:p>
    <w:p w14:paraId="6554BB23">
      <w:pPr>
        <w:adjustRightInd w:val="0"/>
        <w:snapToGrid w:val="0"/>
        <w:spacing w:line="570" w:lineRule="exact"/>
        <w:rPr>
          <w:rFonts w:hint="eastAsia" w:ascii="宋体" w:hAnsi="宋体" w:eastAsia="宋体" w:cs="宋体"/>
          <w:b/>
          <w:color w:val="auto"/>
          <w:sz w:val="24"/>
          <w:szCs w:val="24"/>
          <w:highlight w:val="none"/>
        </w:rPr>
      </w:pPr>
    </w:p>
    <w:p w14:paraId="253E56B6">
      <w:pPr>
        <w:adjustRightInd w:val="0"/>
        <w:snapToGrid w:val="0"/>
        <w:spacing w:line="570" w:lineRule="exact"/>
        <w:rPr>
          <w:rFonts w:hint="eastAsia" w:ascii="宋体" w:hAnsi="宋体" w:eastAsia="宋体" w:cs="宋体"/>
          <w:color w:val="auto"/>
          <w:sz w:val="24"/>
          <w:szCs w:val="24"/>
          <w:highlight w:val="none"/>
        </w:rPr>
      </w:pPr>
    </w:p>
    <w:p w14:paraId="7174C934">
      <w:pPr>
        <w:adjustRightInd w:val="0"/>
        <w:snapToGrid w:val="0"/>
        <w:spacing w:line="570" w:lineRule="exact"/>
        <w:rPr>
          <w:rFonts w:hint="eastAsia" w:ascii="宋体" w:hAnsi="宋体" w:eastAsia="宋体" w:cs="宋体"/>
          <w:color w:val="auto"/>
          <w:sz w:val="24"/>
          <w:szCs w:val="24"/>
          <w:highlight w:val="none"/>
        </w:rPr>
      </w:pPr>
    </w:p>
    <w:p w14:paraId="2227E0C7">
      <w:pPr>
        <w:adjustRightInd w:val="0"/>
        <w:snapToGrid w:val="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填写说明：</w:t>
      </w:r>
    </w:p>
    <w:p w14:paraId="195E131D">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1.（采购单位名称①）：填写本项目采购人单位名称，如常州市XXX局。</w:t>
      </w:r>
    </w:p>
    <w:p w14:paraId="68AD175E">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2.采购编号为②：填写本项目编号，如JSZC-3204XX-SYZB-</w:t>
      </w:r>
      <w:r>
        <w:rPr>
          <w:rFonts w:hint="eastAsia" w:ascii="宋体" w:hAnsi="宋体" w:cs="宋体"/>
          <w:color w:val="auto"/>
          <w:sz w:val="24"/>
          <w:szCs w:val="24"/>
          <w:highlight w:val="none"/>
          <w:lang w:val="en-US" w:eastAsia="zh-CN"/>
        </w:rPr>
        <w:t>G</w:t>
      </w:r>
      <w:r>
        <w:rPr>
          <w:rFonts w:hint="eastAsia" w:ascii="宋体" w:hAnsi="宋体" w:eastAsia="宋体" w:cs="宋体"/>
          <w:color w:val="auto"/>
          <w:sz w:val="24"/>
          <w:szCs w:val="24"/>
          <w:highlight w:val="none"/>
        </w:rPr>
        <w:t>20XX-XX。</w:t>
      </w:r>
    </w:p>
    <w:p w14:paraId="431396F6">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3.（项目名称③）：填写本项目名称，如常州市</w:t>
      </w:r>
      <w:r>
        <w:rPr>
          <w:rFonts w:hint="eastAsia" w:ascii="宋体" w:hAnsi="宋体" w:cs="宋体"/>
          <w:color w:val="auto"/>
          <w:sz w:val="24"/>
          <w:szCs w:val="24"/>
          <w:highlight w:val="none"/>
          <w:lang w:eastAsia="zh-CN"/>
        </w:rPr>
        <w:t>常州市中医医院医疗废物收集处置服务项目</w:t>
      </w:r>
      <w:r>
        <w:rPr>
          <w:rFonts w:hint="eastAsia" w:ascii="宋体" w:hAnsi="宋体" w:eastAsia="宋体" w:cs="宋体"/>
          <w:color w:val="auto"/>
          <w:sz w:val="24"/>
          <w:szCs w:val="24"/>
          <w:highlight w:val="none"/>
        </w:rPr>
        <w:t>。</w:t>
      </w:r>
    </w:p>
    <w:p w14:paraId="36257FC9">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4.（分包号：④）：填写分包编号，如有分包的，分别填写分包号，没有的填“无”。</w:t>
      </w:r>
    </w:p>
    <w:p w14:paraId="62D1CEBC">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5.（标的名称⑤）：填写本项目标的名称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如XX服务</w:t>
      </w:r>
      <w:r>
        <w:rPr>
          <w:rFonts w:hint="eastAsia" w:ascii="宋体" w:hAnsi="宋体" w:eastAsia="宋体" w:cs="宋体"/>
          <w:color w:val="auto"/>
          <w:sz w:val="24"/>
          <w:szCs w:val="24"/>
          <w:highlight w:val="none"/>
        </w:rPr>
        <w:t>。</w:t>
      </w:r>
    </w:p>
    <w:p w14:paraId="1167148B">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6.（采购文件中明确的所属行业⑥）：填写本项目采购标的所属行业。须根据采购文件“第二章  供应商须知”表格中列明的所属行业进行填写。如：</w:t>
      </w:r>
      <w:r>
        <w:rPr>
          <w:rFonts w:hint="eastAsia" w:ascii="宋体" w:hAnsi="宋体" w:cs="宋体"/>
          <w:color w:val="auto"/>
          <w:sz w:val="24"/>
          <w:szCs w:val="24"/>
          <w:highlight w:val="none"/>
          <w:lang w:val="en-US" w:eastAsia="zh-CN"/>
        </w:rPr>
        <w:t>其他未列明行业。</w:t>
      </w:r>
    </w:p>
    <w:p w14:paraId="7198E487">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7.（企业名称⑦）：填写</w:t>
      </w:r>
      <w:r>
        <w:rPr>
          <w:rFonts w:hint="eastAsia" w:ascii="宋体" w:hAnsi="宋体" w:eastAsia="宋体" w:cs="宋体"/>
          <w:b/>
          <w:bCs/>
          <w:color w:val="auto"/>
          <w:sz w:val="24"/>
          <w:szCs w:val="24"/>
          <w:highlight w:val="none"/>
        </w:rPr>
        <w:t>投标人的名称</w:t>
      </w:r>
      <w:r>
        <w:rPr>
          <w:rFonts w:hint="eastAsia" w:ascii="宋体" w:hAnsi="宋体" w:eastAsia="宋体" w:cs="宋体"/>
          <w:color w:val="auto"/>
          <w:sz w:val="24"/>
          <w:szCs w:val="24"/>
          <w:highlight w:val="none"/>
        </w:rPr>
        <w:t>，如XXX公司。</w:t>
      </w:r>
    </w:p>
    <w:p w14:paraId="3FA405DF">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8.从业人员⑧人，营业收入为⑨万元，资产总额为⑩万元：填报</w:t>
      </w:r>
      <w:r>
        <w:rPr>
          <w:rFonts w:hint="eastAsia" w:ascii="宋体" w:hAnsi="宋体" w:eastAsia="宋体" w:cs="宋体"/>
          <w:b/>
          <w:bCs/>
          <w:color w:val="auto"/>
          <w:sz w:val="24"/>
          <w:szCs w:val="24"/>
          <w:highlight w:val="none"/>
        </w:rPr>
        <w:t>投标人</w:t>
      </w:r>
      <w:r>
        <w:rPr>
          <w:rFonts w:hint="eastAsia" w:ascii="宋体" w:hAnsi="宋体" w:eastAsia="宋体" w:cs="宋体"/>
          <w:color w:val="auto"/>
          <w:sz w:val="24"/>
          <w:szCs w:val="24"/>
          <w:highlight w:val="none"/>
        </w:rPr>
        <w:t>的从业人员、营业收入、资产总额上一年度数据，无上一年度数据的新成立企业可不填报。</w:t>
      </w:r>
    </w:p>
    <w:p w14:paraId="46C2BCD0">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9.（中型企业、小型企业、微型企业</w:t>
      </w:r>
      <w:r>
        <w:rPr>
          <w:rFonts w:hint="eastAsia" w:ascii="宋体" w:hAnsi="宋体" w:eastAsia="宋体" w:cs="宋体"/>
          <w:color w:val="auto"/>
          <w:sz w:val="24"/>
          <w:szCs w:val="24"/>
          <w:highlight w:val="none"/>
          <w:u w:val="single"/>
        </w:rPr>
        <w:t>⑪</w:t>
      </w:r>
      <w:r>
        <w:rPr>
          <w:rFonts w:hint="eastAsia" w:ascii="宋体" w:hAnsi="宋体" w:eastAsia="宋体" w:cs="宋体"/>
          <w:color w:val="auto"/>
          <w:sz w:val="24"/>
          <w:szCs w:val="24"/>
          <w:highlight w:val="none"/>
        </w:rPr>
        <w:t>）：根据</w:t>
      </w:r>
      <w:r>
        <w:rPr>
          <w:rFonts w:hint="eastAsia" w:ascii="宋体" w:hAnsi="宋体" w:eastAsia="宋体" w:cs="宋体"/>
          <w:b/>
          <w:bCs/>
          <w:color w:val="auto"/>
          <w:sz w:val="24"/>
          <w:szCs w:val="24"/>
          <w:highlight w:val="none"/>
        </w:rPr>
        <w:t>投标人</w:t>
      </w:r>
      <w:r>
        <w:rPr>
          <w:rFonts w:hint="eastAsia" w:ascii="宋体" w:hAnsi="宋体" w:eastAsia="宋体" w:cs="宋体"/>
          <w:color w:val="auto"/>
          <w:sz w:val="24"/>
          <w:szCs w:val="24"/>
          <w:highlight w:val="none"/>
        </w:rPr>
        <w:t>的企业规模情况填写中型企业、小型企业或微型企业</w:t>
      </w:r>
      <w:r>
        <w:rPr>
          <w:rFonts w:hint="eastAsia" w:ascii="宋体" w:hAnsi="宋体" w:eastAsia="宋体" w:cs="宋体"/>
          <w:b/>
          <w:bCs/>
          <w:color w:val="auto"/>
          <w:sz w:val="24"/>
          <w:szCs w:val="24"/>
          <w:highlight w:val="none"/>
        </w:rPr>
        <w:t>（只能填写三种其中的一种）</w:t>
      </w:r>
      <w:r>
        <w:rPr>
          <w:rFonts w:hint="eastAsia" w:ascii="宋体" w:hAnsi="宋体" w:eastAsia="宋体" w:cs="宋体"/>
          <w:color w:val="auto"/>
          <w:sz w:val="24"/>
          <w:szCs w:val="24"/>
          <w:highlight w:val="none"/>
        </w:rPr>
        <w:t>。中小企业划分见《关于印发中小企业划型标准规定的通知》（工信部联企业〔2011〕300号) 。</w:t>
      </w:r>
    </w:p>
    <w:p w14:paraId="5BF0EE0F">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10.企业名称（盖章）⑫：加盖</w:t>
      </w:r>
      <w:r>
        <w:rPr>
          <w:rFonts w:hint="eastAsia" w:ascii="宋体" w:hAnsi="宋体" w:eastAsia="宋体" w:cs="宋体"/>
          <w:b/>
          <w:bCs/>
          <w:color w:val="auto"/>
          <w:sz w:val="24"/>
          <w:szCs w:val="24"/>
          <w:highlight w:val="none"/>
        </w:rPr>
        <w:t>投标人</w:t>
      </w:r>
      <w:r>
        <w:rPr>
          <w:rFonts w:hint="eastAsia" w:ascii="宋体" w:hAnsi="宋体" w:eastAsia="宋体" w:cs="宋体"/>
          <w:color w:val="auto"/>
          <w:sz w:val="24"/>
          <w:szCs w:val="24"/>
          <w:highlight w:val="none"/>
        </w:rPr>
        <w:t>CA电子公章。</w:t>
      </w:r>
    </w:p>
    <w:p w14:paraId="6B2EC04C">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11.如是</w:t>
      </w:r>
      <w:r>
        <w:rPr>
          <w:rFonts w:hint="eastAsia" w:ascii="宋体" w:hAnsi="宋体" w:eastAsia="宋体" w:cs="宋体"/>
          <w:b/>
          <w:color w:val="auto"/>
          <w:sz w:val="24"/>
          <w:szCs w:val="24"/>
          <w:highlight w:val="none"/>
        </w:rPr>
        <w:t>专门面向中小企业预留份额</w:t>
      </w:r>
      <w:r>
        <w:rPr>
          <w:rFonts w:hint="eastAsia" w:ascii="宋体" w:hAnsi="宋体" w:eastAsia="宋体" w:cs="宋体"/>
          <w:color w:val="auto"/>
          <w:sz w:val="24"/>
          <w:szCs w:val="24"/>
          <w:highlight w:val="none"/>
        </w:rPr>
        <w:t>的采购项目，供应商未提供此声明函的，资格审查不予通过，作为</w:t>
      </w:r>
      <w:r>
        <w:rPr>
          <w:rFonts w:hint="eastAsia" w:ascii="宋体" w:hAnsi="宋体" w:eastAsia="宋体" w:cs="宋体"/>
          <w:b/>
          <w:color w:val="auto"/>
          <w:sz w:val="24"/>
          <w:szCs w:val="24"/>
          <w:highlight w:val="none"/>
        </w:rPr>
        <w:t>无效投标（响应）</w:t>
      </w:r>
      <w:r>
        <w:rPr>
          <w:rFonts w:hint="eastAsia" w:ascii="宋体" w:hAnsi="宋体" w:eastAsia="宋体" w:cs="宋体"/>
          <w:color w:val="auto"/>
          <w:sz w:val="24"/>
          <w:szCs w:val="24"/>
          <w:highlight w:val="none"/>
        </w:rPr>
        <w:t>。如是非专门面向中小企业预留份额的采购项目，供应商未提供此声明函的，评审时不享受小微型企业价格扣除政策。此声明函将随中标结果同时公告，接受社会监督。供应商应当自行核实是否属于中小微企业，并认真填写声明函，若有虚假将追究其责任。</w:t>
      </w:r>
    </w:p>
    <w:p w14:paraId="631529F6">
      <w:pPr>
        <w:pStyle w:val="266"/>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12.温馨提示</w:t>
      </w:r>
    </w:p>
    <w:p w14:paraId="1B315D95">
      <w:pPr>
        <w:pStyle w:val="266"/>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（1）对于已纳入统计部门统计范围的企业，所属行业、从业人员、营业收入、资产总额、规模类型应与统计部门报表保持一致。</w:t>
      </w:r>
    </w:p>
    <w:p w14:paraId="7C1BDDFB">
      <w:pPr>
        <w:pStyle w:val="266"/>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p>
    <w:p w14:paraId="057BFB95">
      <w:pPr>
        <w:pStyle w:val="266"/>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p>
    <w:p w14:paraId="39A7CB4F">
      <w:pPr>
        <w:pStyle w:val="266"/>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（4）对于采购文件确实允许非独立法人参与采购活动的，应按其所属集团公司合并财务报表数据情况予以填报。</w:t>
      </w:r>
    </w:p>
    <w:p w14:paraId="5769F2CF">
      <w:pPr>
        <w:pStyle w:val="266"/>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（5）《中小企业声明函》真实性由其出具的供应商负责。《中小企业声明函》中相关企业[制造商、承接企业]所属行业应当与采购标的的所属行业相一致。《中小企业声明函》应当充分、准确反映供应商的信息。</w:t>
      </w:r>
    </w:p>
    <w:p w14:paraId="514F53B8">
      <w:pPr>
        <w:pStyle w:val="266"/>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（6）经调查发现供应商提供《中小企业声明函》内容与实际不符的，政府采购监管部门有权根据《中小企业声明函》与实际情况的差异视情形认定其是否属于虚假材料谋取中标。</w:t>
      </w:r>
    </w:p>
    <w:p w14:paraId="41216441">
      <w:pPr>
        <w:pStyle w:val="266"/>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（7）根据《财政部关于规范政府采购行政处罚有关问题的通知》（财库〔2015〕150 号）规定，各级人民政府财政部门依法对供应商作出的禁止参加政府采购活动的行政处罚决定在全国范围内生效。</w:t>
      </w:r>
    </w:p>
    <w:p w14:paraId="2A2C4F88">
      <w:pPr>
        <w:spacing w:line="360" w:lineRule="auto"/>
        <w:outlineLvl w:val="2"/>
        <w:rPr>
          <w:color w:val="auto"/>
          <w:sz w:val="24"/>
          <w:szCs w:val="20"/>
          <w:highlight w:val="none"/>
        </w:rPr>
      </w:pPr>
      <w:r>
        <w:rPr>
          <w:color w:val="auto"/>
          <w:sz w:val="24"/>
          <w:szCs w:val="20"/>
          <w:highlight w:val="none"/>
        </w:rPr>
        <w:br w:type="page"/>
      </w:r>
    </w:p>
    <w:p w14:paraId="7A639AEA">
      <w:pPr>
        <w:spacing w:before="240" w:beforeLines="100" w:after="240" w:afterLines="100" w:line="360" w:lineRule="auto"/>
        <w:jc w:val="center"/>
        <w:rPr>
          <w:color w:val="auto"/>
          <w:sz w:val="36"/>
          <w:szCs w:val="36"/>
          <w:highlight w:val="none"/>
        </w:rPr>
      </w:pPr>
      <w:r>
        <w:rPr>
          <w:b/>
          <w:bCs/>
          <w:color w:val="auto"/>
          <w:sz w:val="36"/>
          <w:szCs w:val="36"/>
          <w:highlight w:val="none"/>
        </w:rPr>
        <w:t>残疾人福利性单位声明函格式</w:t>
      </w:r>
      <w:r>
        <w:rPr>
          <w:color w:val="auto"/>
          <w:sz w:val="36"/>
          <w:szCs w:val="36"/>
          <w:highlight w:val="none"/>
        </w:rPr>
        <w:t xml:space="preserve"> </w:t>
      </w:r>
    </w:p>
    <w:p w14:paraId="73C82BF8">
      <w:pPr>
        <w:spacing w:line="588" w:lineRule="exact"/>
        <w:ind w:firstLine="504"/>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〔2017〕141</w:t>
      </w:r>
      <w:r>
        <w:rPr>
          <w:color w:val="auto"/>
          <w:spacing w:val="6"/>
          <w:sz w:val="24"/>
          <w:highlight w:val="none"/>
        </w:rPr>
        <w:t>号）的规定，本单位</w:t>
      </w:r>
      <w:r>
        <w:rPr>
          <w:b/>
          <w:color w:val="auto"/>
          <w:sz w:val="24"/>
          <w:highlight w:val="none"/>
        </w:rPr>
        <w:t>（请进行勾选）</w:t>
      </w:r>
      <w:r>
        <w:rPr>
          <w:color w:val="auto"/>
          <w:spacing w:val="6"/>
          <w:sz w:val="24"/>
          <w:highlight w:val="none"/>
        </w:rPr>
        <w:t>：</w:t>
      </w:r>
    </w:p>
    <w:p w14:paraId="5C7190B2">
      <w:pPr>
        <w:spacing w:line="588" w:lineRule="exact"/>
        <w:ind w:firstLine="482"/>
        <w:rPr>
          <w:b/>
          <w:color w:val="auto"/>
          <w:spacing w:val="6"/>
          <w:sz w:val="24"/>
          <w:highlight w:val="none"/>
        </w:rPr>
      </w:pPr>
      <w:r>
        <w:rPr>
          <w:b/>
          <w:color w:val="auto"/>
          <w:sz w:val="24"/>
          <w:highlight w:val="none"/>
        </w:rPr>
        <w:t>□</w:t>
      </w:r>
      <w:r>
        <w:rPr>
          <w:b/>
          <w:color w:val="auto"/>
          <w:spacing w:val="6"/>
          <w:sz w:val="24"/>
          <w:highlight w:val="none"/>
        </w:rPr>
        <w:t>不属于符合条件的残疾人福利性单位。</w:t>
      </w:r>
    </w:p>
    <w:p w14:paraId="34210103">
      <w:pPr>
        <w:spacing w:line="588" w:lineRule="exact"/>
        <w:ind w:firstLine="482"/>
        <w:rPr>
          <w:color w:val="auto"/>
          <w:spacing w:val="6"/>
          <w:sz w:val="24"/>
          <w:highlight w:val="none"/>
        </w:rPr>
      </w:pPr>
      <w:r>
        <w:rPr>
          <w:b/>
          <w:color w:val="auto"/>
          <w:sz w:val="24"/>
          <w:highlight w:val="none"/>
        </w:rPr>
        <w:t>□</w:t>
      </w:r>
      <w:r>
        <w:rPr>
          <w:b/>
          <w:color w:val="auto"/>
          <w:spacing w:val="6"/>
          <w:sz w:val="24"/>
          <w:highlight w:val="none"/>
        </w:rPr>
        <w:t>属于符合条件的残疾人福利性单位，</w:t>
      </w:r>
      <w:r>
        <w:rPr>
          <w:color w:val="auto"/>
          <w:spacing w:val="6"/>
          <w:sz w:val="24"/>
          <w:highlight w:val="none"/>
        </w:rPr>
        <w:t>且本单位参加______单位的______项目采购活动</w:t>
      </w:r>
      <w:r>
        <w:rPr>
          <w:rFonts w:hint="eastAsia"/>
          <w:color w:val="auto"/>
          <w:spacing w:val="6"/>
          <w:sz w:val="24"/>
          <w:highlight w:val="none"/>
        </w:rPr>
        <w:t>，</w:t>
      </w:r>
      <w:r>
        <w:rPr>
          <w:color w:val="auto"/>
          <w:spacing w:val="6"/>
          <w:sz w:val="24"/>
          <w:highlight w:val="none"/>
        </w:rPr>
        <w:t>由本单位提供服务。</w:t>
      </w:r>
    </w:p>
    <w:p w14:paraId="4A49FFCF">
      <w:pPr>
        <w:spacing w:line="588" w:lineRule="exact"/>
        <w:ind w:firstLine="506" w:firstLineChars="200"/>
        <w:rPr>
          <w:color w:val="auto"/>
          <w:spacing w:val="6"/>
          <w:sz w:val="24"/>
          <w:highlight w:val="none"/>
        </w:rPr>
      </w:pPr>
      <w:r>
        <w:rPr>
          <w:b/>
          <w:color w:val="auto"/>
          <w:spacing w:val="6"/>
          <w:sz w:val="24"/>
          <w:highlight w:val="none"/>
        </w:rPr>
        <w:t>本单位对上述声明的真实性负责。如有虚假，将依法承担相应责任。</w:t>
      </w:r>
    </w:p>
    <w:p w14:paraId="5BFECF90">
      <w:pPr>
        <w:spacing w:line="588" w:lineRule="exact"/>
        <w:ind w:firstLine="504" w:firstLineChars="200"/>
        <w:rPr>
          <w:color w:val="auto"/>
          <w:spacing w:val="6"/>
          <w:sz w:val="24"/>
          <w:highlight w:val="none"/>
        </w:rPr>
      </w:pPr>
    </w:p>
    <w:p w14:paraId="76B4F924">
      <w:pPr>
        <w:spacing w:line="588" w:lineRule="exact"/>
        <w:ind w:firstLine="504" w:firstLineChars="200"/>
        <w:rPr>
          <w:color w:val="auto"/>
          <w:spacing w:val="6"/>
          <w:sz w:val="24"/>
          <w:highlight w:val="none"/>
        </w:rPr>
      </w:pPr>
    </w:p>
    <w:p w14:paraId="44916930">
      <w:pPr>
        <w:spacing w:line="588" w:lineRule="exact"/>
        <w:ind w:firstLine="504" w:firstLineChars="200"/>
        <w:rPr>
          <w:rFonts w:ascii="Times New Roman" w:hAnsi="Times New Roman" w:eastAsia="宋体" w:cs="Times New Roman"/>
          <w:color w:val="auto"/>
          <w:spacing w:val="6"/>
          <w:sz w:val="24"/>
          <w:highlight w:val="none"/>
        </w:rPr>
      </w:pPr>
      <w:r>
        <w:rPr>
          <w:rFonts w:ascii="Times New Roman" w:hAnsi="Times New Roman" w:eastAsia="宋体" w:cs="Times New Roman"/>
          <w:color w:val="auto"/>
          <w:spacing w:val="6"/>
          <w:sz w:val="24"/>
          <w:highlight w:val="none"/>
        </w:rPr>
        <w:t>单位名称（加盖公章）：</w:t>
      </w:r>
    </w:p>
    <w:p w14:paraId="686A1192">
      <w:pPr>
        <w:spacing w:line="588" w:lineRule="exact"/>
        <w:ind w:firstLine="504" w:firstLineChars="200"/>
        <w:rPr>
          <w:rFonts w:ascii="Times New Roman" w:hAnsi="Times New Roman" w:eastAsia="宋体" w:cs="Times New Roman"/>
          <w:color w:val="auto"/>
          <w:spacing w:val="6"/>
          <w:sz w:val="24"/>
          <w:highlight w:val="none"/>
        </w:rPr>
      </w:pPr>
      <w:r>
        <w:rPr>
          <w:rFonts w:ascii="Times New Roman" w:hAnsi="Times New Roman" w:eastAsia="宋体" w:cs="Times New Roman"/>
          <w:color w:val="auto"/>
          <w:spacing w:val="6"/>
          <w:sz w:val="24"/>
          <w:highlight w:val="none"/>
        </w:rPr>
        <w:t>日  期：</w:t>
      </w:r>
    </w:p>
    <w:p w14:paraId="738220B1">
      <w:pPr>
        <w:rPr>
          <w:rFonts w:ascii="Times New Roman" w:hAnsi="Times New Roman" w:eastAsia="宋体" w:cs="Times New Roman"/>
          <w:color w:val="auto"/>
          <w:spacing w:val="6"/>
          <w:sz w:val="24"/>
          <w:highlight w:val="none"/>
        </w:rPr>
      </w:pPr>
      <w:r>
        <w:rPr>
          <w:rFonts w:ascii="Times New Roman" w:hAnsi="Times New Roman" w:eastAsia="宋体" w:cs="Times New Roman"/>
          <w:color w:val="auto"/>
          <w:spacing w:val="6"/>
          <w:sz w:val="24"/>
          <w:highlight w:val="none"/>
        </w:rPr>
        <w:br w:type="page"/>
      </w:r>
    </w:p>
    <w:p w14:paraId="597068AB">
      <w:pPr>
        <w:spacing w:line="588" w:lineRule="exact"/>
        <w:ind w:firstLine="480" w:firstLineChars="200"/>
        <w:rPr>
          <w:color w:val="auto"/>
          <w:sz w:val="24"/>
          <w:szCs w:val="20"/>
          <w:highlight w:val="none"/>
        </w:rPr>
      </w:pPr>
      <w:r>
        <w:rPr>
          <w:rFonts w:hint="eastAsia"/>
          <w:color w:val="auto"/>
          <w:sz w:val="24"/>
          <w:szCs w:val="20"/>
          <w:highlight w:val="none"/>
          <w:lang w:val="en-US" w:eastAsia="zh-CN"/>
        </w:rPr>
        <w:t>9</w:t>
      </w:r>
      <w:r>
        <w:rPr>
          <w:color w:val="auto"/>
          <w:sz w:val="24"/>
          <w:szCs w:val="20"/>
          <w:highlight w:val="none"/>
        </w:rPr>
        <w:t xml:space="preserve">  </w:t>
      </w:r>
      <w:r>
        <w:rPr>
          <w:rFonts w:hint="eastAsia"/>
          <w:color w:val="auto"/>
          <w:sz w:val="24"/>
          <w:szCs w:val="20"/>
          <w:highlight w:val="none"/>
        </w:rPr>
        <w:t>项目实施方案等，包括但不限于如下主题：</w:t>
      </w:r>
    </w:p>
    <w:p w14:paraId="6D35EB07">
      <w:pPr>
        <w:snapToGrid w:val="0"/>
        <w:spacing w:line="560" w:lineRule="exact"/>
        <w:ind w:firstLine="480" w:firstLineChars="200"/>
        <w:outlineLvl w:val="9"/>
        <w:rPr>
          <w:rFonts w:hint="eastAsia"/>
          <w:color w:val="auto"/>
          <w:sz w:val="24"/>
          <w:szCs w:val="20"/>
          <w:highlight w:val="none"/>
          <w:lang w:eastAsia="zh-CN"/>
        </w:rPr>
      </w:pPr>
      <w:r>
        <w:rPr>
          <w:rFonts w:hint="eastAsia"/>
          <w:color w:val="auto"/>
          <w:sz w:val="24"/>
          <w:szCs w:val="20"/>
          <w:highlight w:val="none"/>
          <w:lang w:eastAsia="zh-CN"/>
        </w:rPr>
        <w:t>（</w:t>
      </w:r>
      <w:r>
        <w:rPr>
          <w:rFonts w:hint="eastAsia"/>
          <w:color w:val="auto"/>
          <w:sz w:val="24"/>
          <w:szCs w:val="20"/>
          <w:highlight w:val="none"/>
          <w:lang w:val="en-US" w:eastAsia="zh-CN"/>
        </w:rPr>
        <w:t>1</w:t>
      </w:r>
      <w:r>
        <w:rPr>
          <w:rFonts w:hint="eastAsia"/>
          <w:color w:val="auto"/>
          <w:sz w:val="24"/>
          <w:szCs w:val="20"/>
          <w:highlight w:val="none"/>
          <w:lang w:eastAsia="zh-CN"/>
        </w:rPr>
        <w:t>）整体实施方案；</w:t>
      </w:r>
    </w:p>
    <w:p w14:paraId="6D331E66">
      <w:pPr>
        <w:snapToGrid w:val="0"/>
        <w:spacing w:line="560" w:lineRule="exact"/>
        <w:ind w:firstLine="480" w:firstLineChars="200"/>
        <w:outlineLvl w:val="9"/>
        <w:rPr>
          <w:rFonts w:hint="eastAsia"/>
          <w:color w:val="auto"/>
          <w:sz w:val="24"/>
          <w:szCs w:val="20"/>
          <w:highlight w:val="none"/>
          <w:lang w:eastAsia="zh-CN"/>
        </w:rPr>
      </w:pPr>
      <w:r>
        <w:rPr>
          <w:rFonts w:hint="eastAsia"/>
          <w:color w:val="auto"/>
          <w:sz w:val="24"/>
          <w:szCs w:val="20"/>
          <w:highlight w:val="none"/>
          <w:lang w:eastAsia="zh-CN"/>
        </w:rPr>
        <w:t>（</w:t>
      </w:r>
      <w:r>
        <w:rPr>
          <w:rFonts w:hint="eastAsia"/>
          <w:color w:val="auto"/>
          <w:sz w:val="24"/>
          <w:szCs w:val="20"/>
          <w:highlight w:val="none"/>
          <w:lang w:val="en-US" w:eastAsia="zh-CN"/>
        </w:rPr>
        <w:t>2</w:t>
      </w:r>
      <w:r>
        <w:rPr>
          <w:rFonts w:hint="eastAsia"/>
          <w:color w:val="auto"/>
          <w:sz w:val="24"/>
          <w:szCs w:val="20"/>
          <w:highlight w:val="none"/>
          <w:lang w:eastAsia="zh-CN"/>
        </w:rPr>
        <w:t>）全流程质量管理方案；</w:t>
      </w:r>
    </w:p>
    <w:p w14:paraId="7413DD27">
      <w:pPr>
        <w:snapToGrid w:val="0"/>
        <w:spacing w:line="560" w:lineRule="exact"/>
        <w:ind w:firstLine="480" w:firstLineChars="200"/>
        <w:outlineLvl w:val="9"/>
        <w:rPr>
          <w:rFonts w:hint="eastAsia"/>
          <w:color w:val="auto"/>
          <w:sz w:val="24"/>
          <w:szCs w:val="20"/>
          <w:highlight w:val="none"/>
          <w:lang w:eastAsia="zh-CN"/>
        </w:rPr>
      </w:pPr>
      <w:r>
        <w:rPr>
          <w:rFonts w:hint="eastAsia"/>
          <w:color w:val="auto"/>
          <w:sz w:val="24"/>
          <w:szCs w:val="20"/>
          <w:highlight w:val="none"/>
          <w:lang w:eastAsia="zh-CN"/>
        </w:rPr>
        <w:t>（</w:t>
      </w:r>
      <w:r>
        <w:rPr>
          <w:rFonts w:hint="eastAsia"/>
          <w:color w:val="auto"/>
          <w:sz w:val="24"/>
          <w:szCs w:val="20"/>
          <w:highlight w:val="none"/>
          <w:lang w:val="en-US" w:eastAsia="zh-CN"/>
        </w:rPr>
        <w:t>3</w:t>
      </w:r>
      <w:r>
        <w:rPr>
          <w:rFonts w:hint="eastAsia"/>
          <w:color w:val="auto"/>
          <w:sz w:val="24"/>
          <w:szCs w:val="20"/>
          <w:highlight w:val="none"/>
          <w:lang w:eastAsia="zh-CN"/>
        </w:rPr>
        <w:t>）安全监测方案；</w:t>
      </w:r>
    </w:p>
    <w:p w14:paraId="07DBCD43">
      <w:pPr>
        <w:snapToGrid w:val="0"/>
        <w:spacing w:line="560" w:lineRule="exact"/>
        <w:ind w:firstLine="480" w:firstLineChars="200"/>
        <w:outlineLvl w:val="9"/>
        <w:rPr>
          <w:rFonts w:hint="eastAsia"/>
          <w:color w:val="auto"/>
          <w:sz w:val="24"/>
          <w:szCs w:val="20"/>
          <w:highlight w:val="none"/>
          <w:lang w:eastAsia="zh-CN"/>
        </w:rPr>
      </w:pPr>
      <w:r>
        <w:rPr>
          <w:rFonts w:hint="eastAsia"/>
          <w:color w:val="auto"/>
          <w:sz w:val="24"/>
          <w:szCs w:val="20"/>
          <w:highlight w:val="none"/>
          <w:lang w:eastAsia="zh-CN"/>
        </w:rPr>
        <w:t>（</w:t>
      </w:r>
      <w:r>
        <w:rPr>
          <w:rFonts w:hint="eastAsia"/>
          <w:color w:val="auto"/>
          <w:sz w:val="24"/>
          <w:szCs w:val="20"/>
          <w:highlight w:val="none"/>
          <w:lang w:val="en-US" w:eastAsia="zh-CN"/>
        </w:rPr>
        <w:t>4</w:t>
      </w:r>
      <w:r>
        <w:rPr>
          <w:rFonts w:hint="eastAsia"/>
          <w:color w:val="auto"/>
          <w:sz w:val="24"/>
          <w:szCs w:val="20"/>
          <w:highlight w:val="none"/>
          <w:lang w:eastAsia="zh-CN"/>
        </w:rPr>
        <w:t>）突发情况应急处置预案；</w:t>
      </w:r>
    </w:p>
    <w:p w14:paraId="625BC2C4">
      <w:pPr>
        <w:snapToGrid w:val="0"/>
        <w:spacing w:line="560" w:lineRule="exact"/>
        <w:ind w:firstLine="480" w:firstLineChars="200"/>
        <w:outlineLvl w:val="9"/>
        <w:rPr>
          <w:rFonts w:hint="eastAsia" w:eastAsia="宋体"/>
          <w:color w:val="auto"/>
          <w:sz w:val="24"/>
          <w:szCs w:val="20"/>
          <w:highlight w:val="none"/>
          <w:lang w:val="en-US" w:eastAsia="zh-CN"/>
        </w:rPr>
        <w:sectPr>
          <w:headerReference r:id="rId22" w:type="first"/>
          <w:footerReference r:id="rId24" w:type="first"/>
          <w:headerReference r:id="rId21" w:type="even"/>
          <w:footerReference r:id="rId23" w:type="even"/>
          <w:pgSz w:w="11907" w:h="16840"/>
          <w:pgMar w:top="1418" w:right="1134" w:bottom="1418" w:left="1701" w:header="851" w:footer="851" w:gutter="0"/>
          <w:pgBorders>
            <w:top w:val="none" w:sz="0" w:space="0"/>
            <w:left w:val="none" w:sz="0" w:space="0"/>
            <w:bottom w:val="none" w:sz="0" w:space="0"/>
            <w:right w:val="none" w:sz="0" w:space="0"/>
          </w:pgBorders>
          <w:pgNumType w:fmt="decimal"/>
          <w:cols w:space="720" w:num="1"/>
          <w:docGrid w:linePitch="462" w:charSpace="0"/>
        </w:sectPr>
      </w:pPr>
      <w:r>
        <w:rPr>
          <w:rFonts w:hint="eastAsia"/>
          <w:color w:val="auto"/>
          <w:sz w:val="24"/>
          <w:szCs w:val="20"/>
          <w:highlight w:val="none"/>
          <w:lang w:eastAsia="zh-CN"/>
        </w:rPr>
        <w:t>（</w:t>
      </w:r>
      <w:r>
        <w:rPr>
          <w:rFonts w:hint="eastAsia"/>
          <w:color w:val="auto"/>
          <w:sz w:val="24"/>
          <w:szCs w:val="20"/>
          <w:highlight w:val="none"/>
          <w:lang w:val="en-US" w:eastAsia="zh-CN"/>
        </w:rPr>
        <w:t>5</w:t>
      </w:r>
      <w:r>
        <w:rPr>
          <w:rFonts w:hint="eastAsia"/>
          <w:color w:val="auto"/>
          <w:sz w:val="24"/>
          <w:szCs w:val="20"/>
          <w:highlight w:val="none"/>
          <w:lang w:eastAsia="zh-CN"/>
        </w:rPr>
        <w:t>）服务承诺</w:t>
      </w:r>
      <w:r>
        <w:rPr>
          <w:rFonts w:hint="eastAsia"/>
          <w:color w:val="auto"/>
          <w:sz w:val="24"/>
          <w:szCs w:val="20"/>
          <w:highlight w:val="none"/>
          <w:lang w:val="en-US" w:eastAsia="zh-CN"/>
        </w:rPr>
        <w:t>。</w:t>
      </w:r>
    </w:p>
    <w:p w14:paraId="4E892211">
      <w:pPr>
        <w:rPr>
          <w:color w:val="auto"/>
          <w:sz w:val="24"/>
          <w:szCs w:val="20"/>
          <w:highlight w:val="none"/>
        </w:rPr>
      </w:pPr>
      <w:r>
        <w:rPr>
          <w:rFonts w:hint="eastAsia"/>
          <w:color w:val="auto"/>
          <w:sz w:val="24"/>
          <w:szCs w:val="20"/>
          <w:highlight w:val="none"/>
          <w:lang w:val="en-US" w:eastAsia="zh-CN"/>
        </w:rPr>
        <w:t>10</w:t>
      </w:r>
      <w:r>
        <w:rPr>
          <w:rFonts w:hint="eastAsia"/>
          <w:color w:val="auto"/>
          <w:sz w:val="24"/>
          <w:szCs w:val="20"/>
          <w:highlight w:val="none"/>
        </w:rPr>
        <w:t xml:space="preserve">  参加本项目人员一览表</w:t>
      </w:r>
    </w:p>
    <w:p w14:paraId="31A13B62">
      <w:pPr>
        <w:spacing w:line="360" w:lineRule="auto"/>
        <w:jc w:val="center"/>
        <w:rPr>
          <w:rFonts w:ascii="宋体" w:hAnsi="宋体"/>
          <w:b/>
          <w:color w:val="auto"/>
          <w:sz w:val="32"/>
          <w:szCs w:val="32"/>
          <w:highlight w:val="none"/>
        </w:rPr>
      </w:pPr>
    </w:p>
    <w:p w14:paraId="400E86CD">
      <w:pPr>
        <w:spacing w:line="360" w:lineRule="auto"/>
        <w:jc w:val="center"/>
        <w:rPr>
          <w:rFonts w:ascii="宋体" w:hAnsi="宋体"/>
          <w:b/>
          <w:color w:val="auto"/>
          <w:sz w:val="32"/>
          <w:szCs w:val="32"/>
          <w:highlight w:val="none"/>
        </w:rPr>
      </w:pPr>
      <w:r>
        <w:rPr>
          <w:rFonts w:hint="eastAsia" w:ascii="宋体" w:hAnsi="宋体"/>
          <w:b/>
          <w:color w:val="auto"/>
          <w:sz w:val="32"/>
          <w:szCs w:val="32"/>
          <w:highlight w:val="none"/>
        </w:rPr>
        <w:t>参加本项目人员一览表</w:t>
      </w:r>
    </w:p>
    <w:p w14:paraId="107ABC73">
      <w:pPr>
        <w:snapToGrid w:val="0"/>
        <w:spacing w:line="360" w:lineRule="auto"/>
        <w:rPr>
          <w:rFonts w:ascii="宋体" w:hAnsi="宋体"/>
          <w:color w:val="auto"/>
          <w:sz w:val="22"/>
          <w:highlight w:val="none"/>
        </w:rPr>
      </w:pPr>
    </w:p>
    <w:p w14:paraId="1E710021">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p>
    <w:tbl>
      <w:tblPr>
        <w:tblStyle w:val="47"/>
        <w:tblW w:w="0" w:type="auto"/>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10FF0A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vAlign w:val="center"/>
          </w:tcPr>
          <w:p w14:paraId="01792627">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序号</w:t>
            </w:r>
          </w:p>
        </w:tc>
        <w:tc>
          <w:tcPr>
            <w:tcW w:w="945" w:type="dxa"/>
            <w:tcBorders>
              <w:top w:val="single" w:color="auto" w:sz="4" w:space="0"/>
              <w:left w:val="single" w:color="auto" w:sz="4" w:space="0"/>
              <w:bottom w:val="single" w:color="auto" w:sz="4" w:space="0"/>
              <w:right w:val="single" w:color="auto" w:sz="4" w:space="0"/>
            </w:tcBorders>
            <w:vAlign w:val="center"/>
          </w:tcPr>
          <w:p w14:paraId="6E2467C5">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姓名</w:t>
            </w:r>
          </w:p>
        </w:tc>
        <w:tc>
          <w:tcPr>
            <w:tcW w:w="945" w:type="dxa"/>
            <w:tcBorders>
              <w:top w:val="single" w:color="auto" w:sz="4" w:space="0"/>
              <w:left w:val="single" w:color="auto" w:sz="4" w:space="0"/>
              <w:bottom w:val="single" w:color="auto" w:sz="4" w:space="0"/>
              <w:right w:val="single" w:color="auto" w:sz="4" w:space="0"/>
            </w:tcBorders>
            <w:vAlign w:val="center"/>
          </w:tcPr>
          <w:p w14:paraId="03BF11BF">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性别</w:t>
            </w:r>
          </w:p>
        </w:tc>
        <w:tc>
          <w:tcPr>
            <w:tcW w:w="945" w:type="dxa"/>
            <w:tcBorders>
              <w:top w:val="single" w:color="auto" w:sz="4" w:space="0"/>
              <w:left w:val="single" w:color="auto" w:sz="4" w:space="0"/>
              <w:bottom w:val="single" w:color="auto" w:sz="4" w:space="0"/>
              <w:right w:val="single" w:color="auto" w:sz="4" w:space="0"/>
            </w:tcBorders>
            <w:vAlign w:val="center"/>
          </w:tcPr>
          <w:p w14:paraId="6475C1AB">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年龄</w:t>
            </w:r>
          </w:p>
        </w:tc>
        <w:tc>
          <w:tcPr>
            <w:tcW w:w="945" w:type="dxa"/>
            <w:tcBorders>
              <w:top w:val="single" w:color="auto" w:sz="4" w:space="0"/>
              <w:left w:val="single" w:color="auto" w:sz="4" w:space="0"/>
              <w:bottom w:val="single" w:color="auto" w:sz="4" w:space="0"/>
              <w:right w:val="single" w:color="auto" w:sz="4" w:space="0"/>
            </w:tcBorders>
            <w:vAlign w:val="center"/>
          </w:tcPr>
          <w:p w14:paraId="66AD6434">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毕业学校和学历</w:t>
            </w:r>
          </w:p>
        </w:tc>
        <w:tc>
          <w:tcPr>
            <w:tcW w:w="945" w:type="dxa"/>
            <w:tcBorders>
              <w:top w:val="single" w:color="auto" w:sz="4" w:space="0"/>
              <w:left w:val="single" w:color="auto" w:sz="4" w:space="0"/>
              <w:bottom w:val="single" w:color="auto" w:sz="4" w:space="0"/>
              <w:right w:val="single" w:color="auto" w:sz="4" w:space="0"/>
            </w:tcBorders>
            <w:vAlign w:val="center"/>
          </w:tcPr>
          <w:p w14:paraId="5BBA574C">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专业</w:t>
            </w:r>
          </w:p>
        </w:tc>
        <w:tc>
          <w:tcPr>
            <w:tcW w:w="945" w:type="dxa"/>
            <w:tcBorders>
              <w:top w:val="single" w:color="auto" w:sz="4" w:space="0"/>
              <w:left w:val="single" w:color="auto" w:sz="4" w:space="0"/>
              <w:bottom w:val="single" w:color="auto" w:sz="4" w:space="0"/>
              <w:right w:val="single" w:color="auto" w:sz="4" w:space="0"/>
            </w:tcBorders>
            <w:vAlign w:val="center"/>
          </w:tcPr>
          <w:p w14:paraId="43EEAD5E">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职称</w:t>
            </w:r>
          </w:p>
        </w:tc>
        <w:tc>
          <w:tcPr>
            <w:tcW w:w="945" w:type="dxa"/>
            <w:tcBorders>
              <w:top w:val="single" w:color="auto" w:sz="4" w:space="0"/>
              <w:left w:val="single" w:color="auto" w:sz="4" w:space="0"/>
              <w:bottom w:val="single" w:color="auto" w:sz="4" w:space="0"/>
              <w:right w:val="single" w:color="auto" w:sz="4" w:space="0"/>
            </w:tcBorders>
            <w:vAlign w:val="center"/>
          </w:tcPr>
          <w:p w14:paraId="7391102B">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专业培训及证书</w:t>
            </w:r>
          </w:p>
        </w:tc>
        <w:tc>
          <w:tcPr>
            <w:tcW w:w="945" w:type="dxa"/>
            <w:tcBorders>
              <w:top w:val="single" w:color="auto" w:sz="4" w:space="0"/>
              <w:left w:val="single" w:color="auto" w:sz="4" w:space="0"/>
              <w:bottom w:val="single" w:color="auto" w:sz="4" w:space="0"/>
              <w:right w:val="single" w:color="auto" w:sz="4" w:space="0"/>
            </w:tcBorders>
            <w:vAlign w:val="center"/>
          </w:tcPr>
          <w:p w14:paraId="3DDE89D0">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责任</w:t>
            </w:r>
          </w:p>
          <w:p w14:paraId="34ED381A">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或分工</w:t>
            </w:r>
          </w:p>
        </w:tc>
        <w:tc>
          <w:tcPr>
            <w:tcW w:w="945" w:type="dxa"/>
            <w:tcBorders>
              <w:top w:val="single" w:color="auto" w:sz="4" w:space="0"/>
              <w:left w:val="single" w:color="auto" w:sz="4" w:space="0"/>
              <w:bottom w:val="single" w:color="auto" w:sz="4" w:space="0"/>
              <w:right w:val="single" w:color="auto" w:sz="4" w:space="0"/>
            </w:tcBorders>
            <w:vAlign w:val="center"/>
          </w:tcPr>
          <w:p w14:paraId="1CFA6B84">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项目经历或主要工作</w:t>
            </w:r>
          </w:p>
          <w:p w14:paraId="1507CAF6">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业绩</w:t>
            </w:r>
          </w:p>
        </w:tc>
      </w:tr>
      <w:tr w14:paraId="47390D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0995D65F">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644465C3">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23A63FAA">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DB0BA9E">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1BEB410">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E3BA247">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F1F2C44">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5B60994">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2406C571">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5D58645">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r>
      <w:tr w14:paraId="2B2BA2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0546BCA8">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52E0705">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D3956CD">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20E76F5">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33401AA8">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F298D31">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60663796">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0D036AF3">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08CAC0F6">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0CCF0869">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r>
      <w:tr w14:paraId="3E24A9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64B3268F">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925C048">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F415E70">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1F91228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3E6A26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76D8375C">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8F0CD7E">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7C9896E6">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12839FD">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2F25094D">
            <w:pPr>
              <w:tabs>
                <w:tab w:val="left" w:pos="9765"/>
              </w:tabs>
              <w:snapToGrid w:val="0"/>
              <w:spacing w:line="360" w:lineRule="auto"/>
              <w:rPr>
                <w:rFonts w:ascii="宋体" w:hAnsi="宋体" w:cs="宋体"/>
                <w:color w:val="auto"/>
                <w:sz w:val="24"/>
                <w:highlight w:val="none"/>
              </w:rPr>
            </w:pPr>
          </w:p>
        </w:tc>
      </w:tr>
      <w:tr w14:paraId="70691E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43B34596">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400AC40F">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66D2C27C">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2FF1E15B">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2216014A">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1F83300">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3595BF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33EC7C9">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EF07619">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70456B4">
            <w:pPr>
              <w:tabs>
                <w:tab w:val="left" w:pos="9765"/>
              </w:tabs>
              <w:snapToGrid w:val="0"/>
              <w:spacing w:line="360" w:lineRule="auto"/>
              <w:rPr>
                <w:rFonts w:ascii="宋体" w:hAnsi="宋体" w:cs="宋体"/>
                <w:color w:val="auto"/>
                <w:sz w:val="24"/>
                <w:highlight w:val="none"/>
              </w:rPr>
            </w:pPr>
          </w:p>
        </w:tc>
      </w:tr>
      <w:tr w14:paraId="79F1E6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3BCC9F09">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9ACD743">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CB9DD47">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6212E018">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740FBB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3ED3EF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734C287A">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16B1A3C4">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E49EB6B">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978D058">
            <w:pPr>
              <w:tabs>
                <w:tab w:val="left" w:pos="9765"/>
              </w:tabs>
              <w:snapToGrid w:val="0"/>
              <w:spacing w:line="360" w:lineRule="auto"/>
              <w:rPr>
                <w:rFonts w:ascii="宋体" w:hAnsi="宋体" w:cs="宋体"/>
                <w:color w:val="auto"/>
                <w:sz w:val="24"/>
                <w:highlight w:val="none"/>
              </w:rPr>
            </w:pPr>
          </w:p>
        </w:tc>
      </w:tr>
      <w:tr w14:paraId="05BEDF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51A18D4A">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F3186AF">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AB777FE">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238B9EE">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80856E3">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971EBE8">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54D1C14">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394C50E9">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31EC26D1">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29B46208">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r>
    </w:tbl>
    <w:p w14:paraId="26F08637">
      <w:pPr>
        <w:tabs>
          <w:tab w:val="left" w:pos="9765"/>
        </w:tabs>
        <w:autoSpaceDE w:val="0"/>
        <w:autoSpaceDN w:val="0"/>
        <w:adjustRightInd w:val="0"/>
        <w:snapToGrid w:val="0"/>
        <w:rPr>
          <w:rFonts w:ascii="宋体" w:hAnsi="宋体" w:cs="宋体"/>
          <w:b/>
          <w:color w:val="auto"/>
          <w:sz w:val="24"/>
          <w:highlight w:val="none"/>
          <w:lang w:val="zh-CN"/>
        </w:rPr>
      </w:pPr>
    </w:p>
    <w:p w14:paraId="2A17F479">
      <w:pPr>
        <w:tabs>
          <w:tab w:val="left" w:pos="9765"/>
        </w:tabs>
        <w:autoSpaceDE w:val="0"/>
        <w:autoSpaceDN w:val="0"/>
        <w:adjustRightInd w:val="0"/>
        <w:snapToGrid w:val="0"/>
        <w:spacing w:line="360" w:lineRule="auto"/>
        <w:rPr>
          <w:rFonts w:ascii="宋体" w:hAnsi="宋体" w:cs="宋体"/>
          <w:b/>
          <w:color w:val="auto"/>
          <w:sz w:val="24"/>
          <w:highlight w:val="none"/>
        </w:rPr>
      </w:pPr>
      <w:r>
        <w:rPr>
          <w:rFonts w:hint="eastAsia" w:ascii="宋体" w:hAnsi="宋体" w:cs="宋体"/>
          <w:b/>
          <w:color w:val="auto"/>
          <w:sz w:val="24"/>
          <w:highlight w:val="none"/>
          <w:lang w:val="zh-CN"/>
        </w:rPr>
        <w:t>注：参加本项目人员须是投标人正式职工。</w:t>
      </w:r>
    </w:p>
    <w:p w14:paraId="4507400B">
      <w:pPr>
        <w:snapToGrid w:val="0"/>
        <w:spacing w:line="360" w:lineRule="auto"/>
        <w:rPr>
          <w:rFonts w:ascii="宋体" w:hAnsi="宋体"/>
          <w:color w:val="auto"/>
          <w:sz w:val="24"/>
          <w:highlight w:val="none"/>
        </w:rPr>
      </w:pPr>
    </w:p>
    <w:p w14:paraId="328CC105">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18C561B9">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2DBF6C45">
      <w:pPr>
        <w:rPr>
          <w:color w:val="auto"/>
          <w:sz w:val="24"/>
          <w:szCs w:val="20"/>
          <w:highlight w:val="none"/>
        </w:rPr>
      </w:pPr>
      <w:r>
        <w:rPr>
          <w:color w:val="auto"/>
          <w:kern w:val="0"/>
          <w:sz w:val="22"/>
          <w:highlight w:val="none"/>
        </w:rPr>
        <w:br w:type="page"/>
      </w:r>
      <w:bookmarkStart w:id="908" w:name="_Toc288738397"/>
      <w:bookmarkStart w:id="909" w:name="_Toc288738839"/>
      <w:r>
        <w:rPr>
          <w:rFonts w:hint="eastAsia"/>
          <w:color w:val="auto"/>
          <w:sz w:val="24"/>
          <w:szCs w:val="20"/>
          <w:highlight w:val="none"/>
          <w:lang w:val="en-US" w:eastAsia="zh-CN"/>
        </w:rPr>
        <w:t>11</w:t>
      </w:r>
      <w:r>
        <w:rPr>
          <w:rFonts w:hint="eastAsia"/>
          <w:color w:val="auto"/>
          <w:sz w:val="24"/>
          <w:szCs w:val="20"/>
          <w:highlight w:val="none"/>
        </w:rPr>
        <w:t xml:space="preserve">  相关业绩案例一览表</w:t>
      </w:r>
    </w:p>
    <w:p w14:paraId="2F18E870">
      <w:pPr>
        <w:rPr>
          <w:color w:val="auto"/>
          <w:sz w:val="24"/>
          <w:szCs w:val="20"/>
          <w:highlight w:val="none"/>
        </w:rPr>
      </w:pPr>
    </w:p>
    <w:p w14:paraId="67A0632F">
      <w:pPr>
        <w:jc w:val="center"/>
        <w:rPr>
          <w:rFonts w:ascii="宋体" w:hAnsi="宋体"/>
          <w:b/>
          <w:color w:val="auto"/>
          <w:sz w:val="32"/>
          <w:szCs w:val="32"/>
          <w:highlight w:val="none"/>
        </w:rPr>
      </w:pPr>
      <w:r>
        <w:rPr>
          <w:rFonts w:hint="eastAsia" w:ascii="宋体" w:hAnsi="宋体"/>
          <w:b/>
          <w:color w:val="auto"/>
          <w:sz w:val="32"/>
          <w:szCs w:val="32"/>
          <w:highlight w:val="none"/>
        </w:rPr>
        <w:t>相关业绩案例一览表</w:t>
      </w:r>
      <w:bookmarkEnd w:id="908"/>
      <w:bookmarkEnd w:id="909"/>
    </w:p>
    <w:p w14:paraId="52BF0665">
      <w:pPr>
        <w:snapToGrid w:val="0"/>
        <w:spacing w:line="360" w:lineRule="auto"/>
        <w:jc w:val="center"/>
        <w:rPr>
          <w:rFonts w:ascii="宋体" w:hAnsi="宋体"/>
          <w:b/>
          <w:color w:val="auto"/>
          <w:sz w:val="28"/>
          <w:szCs w:val="30"/>
          <w:highlight w:val="none"/>
        </w:rPr>
      </w:pPr>
    </w:p>
    <w:p w14:paraId="3D39971E">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p>
    <w:tbl>
      <w:tblPr>
        <w:tblStyle w:val="47"/>
        <w:tblW w:w="0" w:type="auto"/>
        <w:jc w:val="center"/>
        <w:tblLayout w:type="fixed"/>
        <w:tblCellMar>
          <w:top w:w="0" w:type="dxa"/>
          <w:left w:w="108" w:type="dxa"/>
          <w:bottom w:w="0" w:type="dxa"/>
          <w:right w:w="108" w:type="dxa"/>
        </w:tblCellMar>
      </w:tblPr>
      <w:tblGrid>
        <w:gridCol w:w="1284"/>
        <w:gridCol w:w="1681"/>
        <w:gridCol w:w="1521"/>
        <w:gridCol w:w="1198"/>
        <w:gridCol w:w="1730"/>
        <w:gridCol w:w="1597"/>
      </w:tblGrid>
      <w:tr w14:paraId="097D6965">
        <w:trPr>
          <w:trHeight w:val="498" w:hRule="atLeast"/>
          <w:jc w:val="center"/>
        </w:trPr>
        <w:tc>
          <w:tcPr>
            <w:tcW w:w="1284" w:type="dxa"/>
            <w:tcBorders>
              <w:top w:val="single" w:color="auto" w:sz="6" w:space="0"/>
              <w:left w:val="single" w:color="auto" w:sz="6" w:space="0"/>
              <w:bottom w:val="single" w:color="auto" w:sz="6" w:space="0"/>
              <w:right w:val="single" w:color="auto" w:sz="6" w:space="0"/>
            </w:tcBorders>
            <w:vAlign w:val="center"/>
          </w:tcPr>
          <w:p w14:paraId="4A887BD4">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项目时间</w:t>
            </w:r>
          </w:p>
        </w:tc>
        <w:tc>
          <w:tcPr>
            <w:tcW w:w="1681" w:type="dxa"/>
            <w:tcBorders>
              <w:top w:val="single" w:color="auto" w:sz="6" w:space="0"/>
              <w:left w:val="single" w:color="auto" w:sz="6" w:space="0"/>
              <w:bottom w:val="single" w:color="auto" w:sz="6" w:space="0"/>
              <w:right w:val="single" w:color="auto" w:sz="6" w:space="0"/>
            </w:tcBorders>
            <w:vAlign w:val="center"/>
          </w:tcPr>
          <w:p w14:paraId="085BD5CD">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项目甲方单位</w:t>
            </w:r>
          </w:p>
        </w:tc>
        <w:tc>
          <w:tcPr>
            <w:tcW w:w="1521" w:type="dxa"/>
            <w:tcBorders>
              <w:top w:val="single" w:color="auto" w:sz="6" w:space="0"/>
              <w:left w:val="single" w:color="auto" w:sz="6" w:space="0"/>
              <w:bottom w:val="single" w:color="auto" w:sz="6" w:space="0"/>
              <w:right w:val="single" w:color="auto" w:sz="6" w:space="0"/>
            </w:tcBorders>
            <w:vAlign w:val="center"/>
          </w:tcPr>
          <w:p w14:paraId="1D0B21FF">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项目名称</w:t>
            </w:r>
          </w:p>
        </w:tc>
        <w:tc>
          <w:tcPr>
            <w:tcW w:w="1198" w:type="dxa"/>
            <w:tcBorders>
              <w:top w:val="single" w:color="auto" w:sz="6" w:space="0"/>
              <w:left w:val="single" w:color="auto" w:sz="6" w:space="0"/>
              <w:bottom w:val="single" w:color="auto" w:sz="6" w:space="0"/>
              <w:right w:val="single" w:color="auto" w:sz="6" w:space="0"/>
            </w:tcBorders>
            <w:vAlign w:val="center"/>
          </w:tcPr>
          <w:p w14:paraId="306A3014">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合同金额</w:t>
            </w:r>
          </w:p>
        </w:tc>
        <w:tc>
          <w:tcPr>
            <w:tcW w:w="1730" w:type="dxa"/>
            <w:tcBorders>
              <w:top w:val="single" w:color="auto" w:sz="6" w:space="0"/>
              <w:left w:val="single" w:color="auto" w:sz="6" w:space="0"/>
              <w:bottom w:val="single" w:color="auto" w:sz="6" w:space="0"/>
              <w:right w:val="single" w:color="auto" w:sz="6" w:space="0"/>
            </w:tcBorders>
            <w:vAlign w:val="center"/>
          </w:tcPr>
          <w:p w14:paraId="57BE7357">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单位地址</w:t>
            </w:r>
          </w:p>
        </w:tc>
        <w:tc>
          <w:tcPr>
            <w:tcW w:w="1597" w:type="dxa"/>
            <w:tcBorders>
              <w:top w:val="single" w:color="auto" w:sz="6" w:space="0"/>
              <w:left w:val="single" w:color="auto" w:sz="6" w:space="0"/>
              <w:bottom w:val="single" w:color="auto" w:sz="6" w:space="0"/>
              <w:right w:val="single" w:color="auto" w:sz="6" w:space="0"/>
            </w:tcBorders>
            <w:vAlign w:val="center"/>
          </w:tcPr>
          <w:p w14:paraId="3640C32D">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联系电话</w:t>
            </w:r>
          </w:p>
        </w:tc>
      </w:tr>
      <w:tr w14:paraId="29EC22F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34C43DAE">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6F35A09F">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6045EB29">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42449102">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580C4FEB">
            <w:pPr>
              <w:tabs>
                <w:tab w:val="left" w:pos="9765"/>
              </w:tabs>
              <w:autoSpaceDE w:val="0"/>
              <w:autoSpaceDN w:val="0"/>
              <w:adjustRightInd w:val="0"/>
              <w:snapToGrid w:val="0"/>
              <w:spacing w:line="360" w:lineRule="auto"/>
              <w:ind w:hanging="523"/>
              <w:jc w:val="center"/>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13015C42">
            <w:pPr>
              <w:tabs>
                <w:tab w:val="left" w:pos="9765"/>
              </w:tabs>
              <w:autoSpaceDE w:val="0"/>
              <w:autoSpaceDN w:val="0"/>
              <w:adjustRightInd w:val="0"/>
              <w:snapToGrid w:val="0"/>
              <w:spacing w:line="360" w:lineRule="auto"/>
              <w:ind w:hanging="523"/>
              <w:jc w:val="center"/>
              <w:rPr>
                <w:rFonts w:ascii="宋体" w:hAnsi="宋体" w:cs="宋体"/>
                <w:color w:val="auto"/>
                <w:sz w:val="24"/>
                <w:highlight w:val="none"/>
              </w:rPr>
            </w:pPr>
          </w:p>
        </w:tc>
      </w:tr>
      <w:tr w14:paraId="1C6F43B6">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65009173">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0A5DAE01">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2EAF6BE9">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26629FF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2438B182">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5B64406C">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5343259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2DAB0FC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7F5647E7">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5D220A6D">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30D12CC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5AAFB7BD">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12D6E05E">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4258109D">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0A7373A2">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4F22ACAC">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643682D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0D6C2500">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74AE89EC">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54485979">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06E51A09">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2EECCB49">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2EACF906">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10D1FDAF">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45F2742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188A0F05">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173D771B">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7E0D98B6">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129FC4C8">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3DEB53D3">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78BFC618">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08EA7239">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20151541">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625D8F51">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6BC19DE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2314AE7B">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38936B62">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2FF5E6D5">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738FBEB2">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4DD7C7D7">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6F34ACD0">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3EC6665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5D054525">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1B9D9ABC">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062BDB5A">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28861771">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324FACB5">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64084325">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17082830">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67E288C3">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2EC9FFDA">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058FAE4A">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21D73676">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4B39B59C">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59FF5125">
            <w:pPr>
              <w:tabs>
                <w:tab w:val="left" w:pos="9765"/>
              </w:tabs>
              <w:autoSpaceDE w:val="0"/>
              <w:autoSpaceDN w:val="0"/>
              <w:adjustRightInd w:val="0"/>
              <w:snapToGrid w:val="0"/>
              <w:spacing w:line="360" w:lineRule="auto"/>
              <w:rPr>
                <w:rFonts w:ascii="宋体" w:hAnsi="宋体" w:cs="宋体"/>
                <w:color w:val="auto"/>
                <w:sz w:val="24"/>
                <w:highlight w:val="none"/>
              </w:rPr>
            </w:pPr>
          </w:p>
        </w:tc>
      </w:tr>
    </w:tbl>
    <w:p w14:paraId="74D03F63">
      <w:pPr>
        <w:tabs>
          <w:tab w:val="left" w:pos="9765"/>
        </w:tabs>
        <w:autoSpaceDE w:val="0"/>
        <w:autoSpaceDN w:val="0"/>
        <w:adjustRightInd w:val="0"/>
        <w:snapToGrid w:val="0"/>
        <w:rPr>
          <w:rFonts w:ascii="宋体" w:hAnsi="宋体" w:cs="宋体"/>
          <w:color w:val="auto"/>
          <w:sz w:val="24"/>
          <w:highlight w:val="none"/>
          <w:lang w:val="zh-CN"/>
        </w:rPr>
      </w:pPr>
    </w:p>
    <w:p w14:paraId="7D7FA61A">
      <w:pPr>
        <w:snapToGrid w:val="0"/>
        <w:spacing w:line="360" w:lineRule="auto"/>
        <w:rPr>
          <w:rFonts w:ascii="宋体" w:hAnsi="宋体" w:cs="宋体"/>
          <w:color w:val="auto"/>
          <w:sz w:val="24"/>
          <w:highlight w:val="none"/>
        </w:rPr>
      </w:pPr>
    </w:p>
    <w:p w14:paraId="0423473E">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1AB176FD">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2E333E9D">
      <w:pPr>
        <w:rPr>
          <w:color w:val="auto"/>
          <w:highlight w:val="none"/>
        </w:rPr>
      </w:pPr>
    </w:p>
    <w:p w14:paraId="0A01A068">
      <w:pPr>
        <w:rPr>
          <w:color w:val="auto"/>
          <w:highlight w:val="none"/>
        </w:rPr>
      </w:pPr>
    </w:p>
    <w:p w14:paraId="3E9D7F28">
      <w:pPr>
        <w:rPr>
          <w:color w:val="auto"/>
          <w:highlight w:val="none"/>
        </w:rPr>
      </w:pPr>
    </w:p>
    <w:p w14:paraId="098A94B0">
      <w:pPr>
        <w:rPr>
          <w:color w:val="auto"/>
          <w:highlight w:val="none"/>
        </w:rPr>
      </w:pPr>
    </w:p>
    <w:p w14:paraId="06AA5935">
      <w:pPr>
        <w:rPr>
          <w:color w:val="auto"/>
          <w:highlight w:val="none"/>
        </w:rPr>
      </w:pPr>
    </w:p>
    <w:p w14:paraId="23B89769">
      <w:pPr>
        <w:spacing w:line="360" w:lineRule="auto"/>
        <w:rPr>
          <w:color w:val="auto"/>
          <w:sz w:val="24"/>
          <w:szCs w:val="20"/>
          <w:highlight w:val="none"/>
        </w:rPr>
      </w:pPr>
    </w:p>
    <w:p w14:paraId="28039302">
      <w:pPr>
        <w:spacing w:line="360" w:lineRule="auto"/>
        <w:rPr>
          <w:color w:val="auto"/>
          <w:sz w:val="24"/>
          <w:szCs w:val="20"/>
          <w:highlight w:val="none"/>
        </w:rPr>
      </w:pPr>
    </w:p>
    <w:p w14:paraId="2776B532">
      <w:pPr>
        <w:spacing w:line="360" w:lineRule="auto"/>
        <w:rPr>
          <w:color w:val="auto"/>
          <w:sz w:val="24"/>
          <w:szCs w:val="20"/>
          <w:highlight w:val="none"/>
        </w:rPr>
      </w:pPr>
    </w:p>
    <w:p w14:paraId="5E6D6583">
      <w:pPr>
        <w:spacing w:line="360" w:lineRule="auto"/>
        <w:rPr>
          <w:color w:val="auto"/>
          <w:sz w:val="24"/>
          <w:szCs w:val="20"/>
          <w:highlight w:val="none"/>
        </w:rPr>
      </w:pPr>
    </w:p>
    <w:p w14:paraId="0F44EC2A">
      <w:pPr>
        <w:spacing w:line="360" w:lineRule="auto"/>
        <w:rPr>
          <w:color w:val="auto"/>
          <w:sz w:val="24"/>
          <w:szCs w:val="20"/>
          <w:highlight w:val="none"/>
        </w:rPr>
      </w:pPr>
    </w:p>
    <w:p w14:paraId="36BB831F">
      <w:pPr>
        <w:spacing w:line="360" w:lineRule="auto"/>
        <w:rPr>
          <w:color w:val="auto"/>
          <w:sz w:val="24"/>
          <w:szCs w:val="20"/>
          <w:highlight w:val="none"/>
        </w:rPr>
      </w:pPr>
    </w:p>
    <w:p w14:paraId="6978236B">
      <w:pPr>
        <w:spacing w:line="360" w:lineRule="auto"/>
        <w:rPr>
          <w:color w:val="auto"/>
          <w:sz w:val="24"/>
          <w:szCs w:val="20"/>
          <w:highlight w:val="none"/>
        </w:rPr>
      </w:pPr>
    </w:p>
    <w:p w14:paraId="08E800D6">
      <w:pPr>
        <w:spacing w:line="360" w:lineRule="auto"/>
        <w:rPr>
          <w:color w:val="auto"/>
          <w:sz w:val="24"/>
          <w:szCs w:val="20"/>
          <w:highlight w:val="none"/>
        </w:rPr>
      </w:pPr>
    </w:p>
    <w:p w14:paraId="0AEF1789">
      <w:pPr>
        <w:spacing w:line="360" w:lineRule="auto"/>
        <w:rPr>
          <w:color w:val="auto"/>
          <w:sz w:val="24"/>
          <w:szCs w:val="20"/>
          <w:highlight w:val="none"/>
        </w:rPr>
      </w:pPr>
    </w:p>
    <w:p w14:paraId="20807644">
      <w:pPr>
        <w:spacing w:line="360" w:lineRule="auto"/>
        <w:rPr>
          <w:color w:val="auto"/>
          <w:sz w:val="24"/>
          <w:szCs w:val="20"/>
          <w:highlight w:val="none"/>
        </w:rPr>
      </w:pPr>
    </w:p>
    <w:p w14:paraId="08044D3B">
      <w:pPr>
        <w:spacing w:line="360" w:lineRule="auto"/>
        <w:rPr>
          <w:color w:val="auto"/>
          <w:sz w:val="24"/>
          <w:szCs w:val="20"/>
          <w:highlight w:val="none"/>
        </w:rPr>
      </w:pPr>
      <w:r>
        <w:rPr>
          <w:rFonts w:hint="eastAsia"/>
          <w:color w:val="auto"/>
          <w:sz w:val="24"/>
          <w:szCs w:val="20"/>
          <w:highlight w:val="none"/>
          <w:lang w:val="en-US" w:eastAsia="zh-CN"/>
        </w:rPr>
        <w:t>12</w:t>
      </w:r>
      <w:r>
        <w:rPr>
          <w:rFonts w:hint="eastAsia"/>
          <w:color w:val="auto"/>
          <w:sz w:val="24"/>
          <w:szCs w:val="20"/>
          <w:highlight w:val="none"/>
        </w:rPr>
        <w:t xml:space="preserve">  </w:t>
      </w:r>
      <w:r>
        <w:rPr>
          <w:color w:val="auto"/>
          <w:sz w:val="24"/>
          <w:szCs w:val="20"/>
          <w:highlight w:val="none"/>
        </w:rPr>
        <w:t>招标文件要求提供或投标人认为应附的其他材料</w:t>
      </w:r>
    </w:p>
    <w:p w14:paraId="336A95E4">
      <w:pPr>
        <w:widowControl/>
        <w:jc w:val="left"/>
        <w:rPr>
          <w:b/>
          <w:color w:val="auto"/>
          <w:sz w:val="36"/>
          <w:szCs w:val="36"/>
          <w:highlight w:val="none"/>
        </w:rPr>
      </w:pPr>
    </w:p>
    <w:p w14:paraId="1E96D360">
      <w:pPr>
        <w:widowControl/>
        <w:jc w:val="left"/>
        <w:rPr>
          <w:b/>
          <w:color w:val="auto"/>
          <w:sz w:val="36"/>
          <w:szCs w:val="36"/>
          <w:highlight w:val="none"/>
        </w:rPr>
      </w:pPr>
    </w:p>
    <w:bookmarkEnd w:id="910"/>
    <w:sectPr>
      <w:pgSz w:w="11907" w:h="16840"/>
      <w:pgMar w:top="1418" w:right="1134" w:bottom="1418" w:left="1701" w:header="851" w:footer="851" w:gutter="0"/>
      <w:pgBorders>
        <w:top w:val="none" w:sz="0" w:space="0"/>
        <w:left w:val="none" w:sz="0" w:space="0"/>
        <w:bottom w:val="none" w:sz="0" w:space="0"/>
        <w:right w:val="none" w:sz="0" w:space="0"/>
      </w:pgBorders>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Arial Unicode MS">
    <w:altName w:val="Arial"/>
    <w:panose1 w:val="020B0604020202020204"/>
    <w:charset w:val="00"/>
    <w:family w:val="roma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方正仿宋_GB2312">
    <w:panose1 w:val="02000000000000000000"/>
    <w:charset w:val="86"/>
    <w:family w:val="auto"/>
    <w:pitch w:val="default"/>
    <w:sig w:usb0="A00002BF" w:usb1="184F6CFA" w:usb2="00000012" w:usb3="00000000" w:csb0="00040001" w:csb1="00000000"/>
  </w:font>
  <w:font w:name="CESI黑体-GB2312">
    <w:altName w:val="黑体"/>
    <w:panose1 w:val="00000000000000000000"/>
    <w:charset w:val="86"/>
    <w:family w:val="auto"/>
    <w:pitch w:val="default"/>
    <w:sig w:usb0="00000000" w:usb1="00000000" w:usb2="00000012" w:usb3="00000000" w:csb0="0004000F" w:csb1="00000000"/>
  </w:font>
  <w:font w:name="等线 Light">
    <w:panose1 w:val="02010600030101010101"/>
    <w:charset w:val="86"/>
    <w:family w:val="auto"/>
    <w:pitch w:val="default"/>
    <w:sig w:usb0="A00002BF" w:usb1="38CF7CFA" w:usb2="00000016" w:usb3="00000000" w:csb0="0004000F"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86A778">
    <w:pPr>
      <w:pStyle w:val="29"/>
      <w:rPr>
        <w:rFonts w:ascii="Times New Roma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AC42BD">
                          <w:pPr>
                            <w:pStyle w:val="29"/>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0AC42BD">
                    <w:pPr>
                      <w:pStyle w:val="29"/>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C53A88">
    <w:pPr>
      <w:pStyle w:val="2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93D42B">
                          <w:pPr>
                            <w:pStyle w:val="2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4D93D42B">
                    <w:pPr>
                      <w:pStyle w:val="2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D9E1E1">
    <w:pPr>
      <w:pStyle w:val="29"/>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69DE4C">
                          <w:pPr>
                            <w:pStyle w:val="29"/>
                          </w:pPr>
                          <w:r>
                            <w:t xml:space="preserve">第 </w:t>
                          </w:r>
                          <w:r>
                            <w:fldChar w:fldCharType="begin"/>
                          </w:r>
                          <w:r>
                            <w:instrText xml:space="preserve"> PAGE  \* MERGEFORMAT </w:instrText>
                          </w:r>
                          <w:r>
                            <w:fldChar w:fldCharType="separate"/>
                          </w:r>
                          <w:r>
                            <w:t>8</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0269DE4C">
                    <w:pPr>
                      <w:pStyle w:val="29"/>
                    </w:pPr>
                    <w:r>
                      <w:t xml:space="preserve">第 </w:t>
                    </w:r>
                    <w:r>
                      <w:fldChar w:fldCharType="begin"/>
                    </w:r>
                    <w:r>
                      <w:instrText xml:space="preserve"> PAGE  \* MERGEFORMAT </w:instrText>
                    </w:r>
                    <w:r>
                      <w:fldChar w:fldCharType="separate"/>
                    </w:r>
                    <w:r>
                      <w:t>8</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21001E">
    <w:pPr>
      <w:pStyle w:val="29"/>
      <w:rPr>
        <w:rStyle w:val="52"/>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B7731F">
                          <w:pPr>
                            <w:pStyle w:val="29"/>
                          </w:pPr>
                          <w:r>
                            <w:t xml:space="preserve">第 </w:t>
                          </w:r>
                          <w:r>
                            <w:fldChar w:fldCharType="begin"/>
                          </w:r>
                          <w:r>
                            <w:instrText xml:space="preserve"> PAGE  \* MERGEFORMAT </w:instrText>
                          </w:r>
                          <w:r>
                            <w:fldChar w:fldCharType="separate"/>
                          </w:r>
                          <w:r>
                            <w:t>7</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75B7731F">
                    <w:pPr>
                      <w:pStyle w:val="29"/>
                    </w:pPr>
                    <w:r>
                      <w:t xml:space="preserve">第 </w:t>
                    </w:r>
                    <w:r>
                      <w:fldChar w:fldCharType="begin"/>
                    </w:r>
                    <w:r>
                      <w:instrText xml:space="preserve"> PAGE  \* MERGEFORMAT </w:instrText>
                    </w:r>
                    <w:r>
                      <w:fldChar w:fldCharType="separate"/>
                    </w:r>
                    <w:r>
                      <w:t>7</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p w14:paraId="7898B6B8">
    <w:pPr>
      <w:pStyle w:val="29"/>
      <w:ind w:right="360"/>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386CA6">
    <w:pPr>
      <w:pStyle w:val="29"/>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79B517">
                          <w:pPr>
                            <w:pStyle w:val="29"/>
                          </w:pPr>
                          <w:r>
                            <w:t xml:space="preserve">第 </w:t>
                          </w:r>
                          <w:r>
                            <w:fldChar w:fldCharType="begin"/>
                          </w:r>
                          <w:r>
                            <w:instrText xml:space="preserve"> PAGE  \* MERGEFORMAT </w:instrText>
                          </w:r>
                          <w:r>
                            <w:fldChar w:fldCharType="separate"/>
                          </w:r>
                          <w:r>
                            <w:t>42</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2179B517">
                    <w:pPr>
                      <w:pStyle w:val="29"/>
                    </w:pPr>
                    <w:r>
                      <w:t xml:space="preserve">第 </w:t>
                    </w:r>
                    <w:r>
                      <w:fldChar w:fldCharType="begin"/>
                    </w:r>
                    <w:r>
                      <w:instrText xml:space="preserve"> PAGE  \* MERGEFORMAT </w:instrText>
                    </w:r>
                    <w:r>
                      <w:fldChar w:fldCharType="separate"/>
                    </w:r>
                    <w:r>
                      <w:t>42</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p w14:paraId="218A1282">
    <w:pPr>
      <w:pStyle w:val="2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9BDF09">
    <w:pPr>
      <w:pStyle w:val="29"/>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3E91EC">
                          <w:pPr>
                            <w:pStyle w:val="29"/>
                          </w:pPr>
                          <w:r>
                            <w:t xml:space="preserve">第 </w:t>
                          </w:r>
                          <w:r>
                            <w:fldChar w:fldCharType="begin"/>
                          </w:r>
                          <w:r>
                            <w:instrText xml:space="preserve"> PAGE  \* MERGEFORMAT </w:instrText>
                          </w:r>
                          <w:r>
                            <w:fldChar w:fldCharType="separate"/>
                          </w:r>
                          <w:r>
                            <w:t>55</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13E91EC">
                    <w:pPr>
                      <w:pStyle w:val="29"/>
                    </w:pPr>
                    <w:r>
                      <w:t xml:space="preserve">第 </w:t>
                    </w:r>
                    <w:r>
                      <w:fldChar w:fldCharType="begin"/>
                    </w:r>
                    <w:r>
                      <w:instrText xml:space="preserve"> PAGE  \* MERGEFORMAT </w:instrText>
                    </w:r>
                    <w:r>
                      <w:fldChar w:fldCharType="separate"/>
                    </w:r>
                    <w:r>
                      <w:t>55</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p w14:paraId="1F7D8B28">
    <w:pPr>
      <w:pStyle w:val="2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138C1D">
    <w:pPr>
      <w:pStyle w:val="29"/>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E1E728">
                          <w:pPr>
                            <w:pStyle w:val="29"/>
                          </w:pPr>
                          <w:r>
                            <w:t xml:space="preserve">第 </w:t>
                          </w:r>
                          <w:r>
                            <w:fldChar w:fldCharType="begin"/>
                          </w:r>
                          <w:r>
                            <w:instrText xml:space="preserve"> PAGE  \* MERGEFORMAT </w:instrText>
                          </w:r>
                          <w:r>
                            <w:fldChar w:fldCharType="separate"/>
                          </w:r>
                          <w:r>
                            <w:t>55</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16E1E728">
                    <w:pPr>
                      <w:pStyle w:val="29"/>
                    </w:pPr>
                    <w:r>
                      <w:t xml:space="preserve">第 </w:t>
                    </w:r>
                    <w:r>
                      <w:fldChar w:fldCharType="begin"/>
                    </w:r>
                    <w:r>
                      <w:instrText xml:space="preserve"> PAGE  \* MERGEFORMAT </w:instrText>
                    </w:r>
                    <w:r>
                      <w:fldChar w:fldCharType="separate"/>
                    </w:r>
                    <w:r>
                      <w:t>55</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p w14:paraId="08584F23">
    <w:pPr>
      <w:pStyle w:val="29"/>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D2E615">
    <w:pPr>
      <w:pStyle w:val="29"/>
      <w:framePr w:wrap="around" w:vAnchor="text" w:hAnchor="margin" w:xAlign="right" w:y="1"/>
      <w:rPr>
        <w:rStyle w:val="52"/>
      </w:rPr>
    </w:pPr>
    <w:r>
      <w:rPr>
        <w:rStyle w:val="52"/>
      </w:rPr>
      <w:fldChar w:fldCharType="begin"/>
    </w:r>
    <w:r>
      <w:rPr>
        <w:rStyle w:val="52"/>
      </w:rPr>
      <w:instrText xml:space="preserve">PAGE  </w:instrText>
    </w:r>
    <w:r>
      <w:rPr>
        <w:rStyle w:val="52"/>
      </w:rPr>
      <w:fldChar w:fldCharType="end"/>
    </w:r>
  </w:p>
  <w:p w14:paraId="0BC9C047">
    <w:pPr>
      <w:pStyle w:val="29"/>
      <w:ind w:right="360"/>
    </w:pPr>
  </w:p>
  <w:p w14:paraId="5E817E18"/>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1FC190">
    <w:pPr>
      <w:pStyle w:val="29"/>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A85451">
    <w:pPr>
      <w:pStyle w:val="29"/>
      <w:framePr w:wrap="around" w:vAnchor="text" w:hAnchor="margin" w:xAlign="right" w:y="1"/>
      <w:rPr>
        <w:rStyle w:val="52"/>
      </w:rPr>
    </w:pPr>
    <w:r>
      <w:rPr>
        <w:rStyle w:val="52"/>
      </w:rPr>
      <w:fldChar w:fldCharType="begin"/>
    </w:r>
    <w:r>
      <w:rPr>
        <w:rStyle w:val="52"/>
      </w:rPr>
      <w:instrText xml:space="preserve">PAGE  </w:instrText>
    </w:r>
    <w:r>
      <w:rPr>
        <w:rStyle w:val="52"/>
      </w:rPr>
      <w:fldChar w:fldCharType="end"/>
    </w:r>
  </w:p>
  <w:p w14:paraId="0FC425C5">
    <w:pPr>
      <w:pStyle w:val="29"/>
      <w:ind w:right="360"/>
    </w:pPr>
  </w:p>
  <w:p w14:paraId="48C23BC7"/>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2E636C">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E21312">
    <w:pPr>
      <w:pStyle w:val="31"/>
      <w:pBdr>
        <w:bottom w:val="single" w:color="auto" w:sz="4" w:space="1"/>
      </w:pBdr>
      <w:jc w:val="right"/>
    </w:pPr>
    <w:r>
      <w:rPr>
        <w:rFonts w:hint="eastAsia"/>
        <w:color w:val="auto"/>
        <w:lang w:eastAsia="zh-CN"/>
      </w:rPr>
      <w:t>常州市中医医院医疗废物收集处置服务项目</w:t>
    </w:r>
    <w:r>
      <w:rPr>
        <w:rFonts w:hint="eastAsia"/>
        <w:color w:val="auto"/>
      </w:rPr>
      <w:t>公开招</w:t>
    </w:r>
    <w:r>
      <w:rPr>
        <w:rFonts w:hint="eastAsia"/>
      </w:rPr>
      <w:t>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8914C9">
    <w:pPr>
      <w:pStyle w:val="31"/>
      <w:pBdr>
        <w:bottom w:val="single" w:color="auto" w:sz="4" w:space="1"/>
      </w:pBdr>
      <w:jc w:val="right"/>
    </w:pPr>
    <w:r>
      <w:rPr>
        <w:rFonts w:hint="eastAsia"/>
        <w:color w:val="auto"/>
        <w:lang w:eastAsia="zh-CN"/>
      </w:rPr>
      <w:t>常州市中医医院医疗废物收集处置服务项目</w:t>
    </w:r>
    <w:r>
      <w:rPr>
        <w:rFonts w:hint="eastAsia"/>
        <w:color w:val="auto"/>
      </w:rPr>
      <w:t>公</w:t>
    </w:r>
    <w:r>
      <w:rPr>
        <w:rFonts w:hint="eastAsia"/>
      </w:rPr>
      <w:t>开招标文件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743179">
    <w:pPr>
      <w:pStyle w:val="31"/>
      <w:jc w:val="right"/>
    </w:pPr>
    <w:r>
      <w:rPr>
        <w:rFonts w:hint="eastAsia"/>
        <w:color w:val="auto"/>
        <w:lang w:eastAsia="zh-CN"/>
      </w:rPr>
      <w:t>常州市中医医院医疗废物收集处置服务项目</w:t>
    </w:r>
    <w:r>
      <w:rPr>
        <w:rFonts w:hint="eastAsia"/>
        <w:color w:val="auto"/>
      </w:rPr>
      <w:t>公开招</w:t>
    </w:r>
    <w:r>
      <w:rPr>
        <w:rFonts w:hint="eastAsia"/>
      </w:rPr>
      <w:t>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2B0BAF">
    <w:pPr>
      <w:pStyle w:val="31"/>
      <w:jc w:val="right"/>
    </w:pPr>
    <w:r>
      <w:rPr>
        <w:rFonts w:hint="eastAsia"/>
        <w:color w:val="auto"/>
        <w:lang w:eastAsia="zh-CN"/>
      </w:rPr>
      <w:t>常州市中医医院医疗废物收集处置服务项目</w:t>
    </w:r>
    <w:r>
      <w:rPr>
        <w:rFonts w:hint="eastAsia"/>
        <w:color w:val="auto"/>
      </w:rPr>
      <w:t>公</w:t>
    </w:r>
    <w:r>
      <w:rPr>
        <w:rFonts w:hint="eastAsia"/>
      </w:rPr>
      <w:t>开招标文件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D14E08">
    <w:pPr>
      <w:pStyle w:val="31"/>
      <w:jc w:val="right"/>
      <w:rPr>
        <w:color w:val="auto"/>
      </w:rPr>
    </w:pPr>
    <w:r>
      <w:rPr>
        <w:rFonts w:hint="eastAsia"/>
        <w:color w:val="auto"/>
        <w:lang w:eastAsia="zh-CN"/>
      </w:rPr>
      <w:t>常州市中医医院医疗废物收集处置服务项目</w:t>
    </w:r>
    <w:r>
      <w:rPr>
        <w:rFonts w:hint="eastAsia"/>
        <w:color w:val="auto"/>
      </w:rPr>
      <w:t>公开招标文件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3EDE7E">
    <w:pPr>
      <w:pStyle w:val="31"/>
      <w:jc w:val="right"/>
    </w:pPr>
    <w:r>
      <w:rPr>
        <w:rFonts w:hint="eastAsia"/>
        <w:color w:val="auto"/>
        <w:lang w:eastAsia="zh-CN"/>
      </w:rPr>
      <w:t>常州市中医医院医疗废物收集处置服务项目</w:t>
    </w:r>
    <w:r>
      <w:rPr>
        <w:rFonts w:hint="eastAsia"/>
        <w:color w:val="auto"/>
      </w:rPr>
      <w:t>公开招标</w:t>
    </w:r>
    <w:r>
      <w:rPr>
        <w:rFonts w:hint="eastAsia"/>
      </w:rPr>
      <w:t>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E93AD4">
    <w:pPr>
      <w:pStyle w:val="31"/>
      <w:jc w:val="right"/>
    </w:pPr>
    <w:r>
      <w:rPr>
        <w:rFonts w:hint="eastAsia"/>
        <w:color w:val="auto"/>
        <w:lang w:eastAsia="zh-CN"/>
      </w:rPr>
      <w:t>常州市中医医院医疗废物收集处置服务项目</w:t>
    </w:r>
    <w:r>
      <w:rPr>
        <w:rFonts w:hint="eastAsia"/>
        <w:color w:val="auto"/>
      </w:rPr>
      <w:t>公开招标</w:t>
    </w:r>
    <w:r>
      <w:rPr>
        <w:rFonts w:hint="eastAsia"/>
      </w:rPr>
      <w:t>文件</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7639D4">
    <w:pPr>
      <w:pStyle w:val="31"/>
    </w:pPr>
  </w:p>
  <w:p w14:paraId="719BF930"/>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2703A5">
    <w:pPr>
      <w:pStyle w:val="31"/>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3F9D76">
    <w:pPr>
      <w:pStyle w:val="31"/>
    </w:pPr>
  </w:p>
  <w:p w14:paraId="31BF35D1"/>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6F89CF">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164"/>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234"/>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77"/>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144"/>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43"/>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231"/>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242"/>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254"/>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76"/>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90"/>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36"/>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200"/>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E230849"/>
    <w:multiLevelType w:val="multilevel"/>
    <w:tmpl w:val="0E230849"/>
    <w:lvl w:ilvl="0" w:tentative="0">
      <w:start w:val="1"/>
      <w:numFmt w:val="decimal"/>
      <w:pStyle w:val="137"/>
      <w:lvlText w:val="%1"/>
      <w:lvlJc w:val="left"/>
      <w:pPr>
        <w:ind w:left="680" w:hanging="680"/>
      </w:pPr>
      <w:rPr>
        <w:rFonts w:hint="eastAsia" w:ascii="宋体" w:hAnsi="宋体" w:eastAsia="宋体"/>
      </w:rPr>
    </w:lvl>
    <w:lvl w:ilvl="1" w:tentative="0">
      <w:start w:val="1"/>
      <w:numFmt w:val="decimal"/>
      <w:pStyle w:val="201"/>
      <w:lvlText w:val="%1.%2"/>
      <w:lvlJc w:val="left"/>
      <w:pPr>
        <w:ind w:left="851" w:hanging="851"/>
      </w:pPr>
      <w:rPr>
        <w:rFonts w:hint="eastAsia" w:ascii="宋体" w:hAnsi="宋体" w:eastAsia="宋体"/>
        <w:color w:val="auto"/>
      </w:rPr>
    </w:lvl>
    <w:lvl w:ilvl="2" w:tentative="0">
      <w:start w:val="1"/>
      <w:numFmt w:val="decimal"/>
      <w:pStyle w:val="168"/>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9">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2B7AB356"/>
    <w:multiLevelType w:val="singleLevel"/>
    <w:tmpl w:val="2B7AB356"/>
    <w:lvl w:ilvl="0" w:tentative="0">
      <w:start w:val="2"/>
      <w:numFmt w:val="chineseCounting"/>
      <w:suff w:val="nothing"/>
      <w:lvlText w:val="%1、"/>
      <w:lvlJc w:val="left"/>
      <w:rPr>
        <w:rFonts w:hint="eastAsia"/>
      </w:rPr>
    </w:lvl>
  </w:abstractNum>
  <w:abstractNum w:abstractNumId="12">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5"/>
  </w:num>
  <w:num w:numId="2">
    <w:abstractNumId w:val="8"/>
  </w:num>
  <w:num w:numId="3">
    <w:abstractNumId w:val="4"/>
  </w:num>
  <w:num w:numId="4">
    <w:abstractNumId w:val="1"/>
  </w:num>
  <w:num w:numId="5">
    <w:abstractNumId w:val="3"/>
  </w:num>
  <w:num w:numId="6">
    <w:abstractNumId w:val="7"/>
  </w:num>
  <w:num w:numId="7">
    <w:abstractNumId w:val="2"/>
  </w:num>
  <w:num w:numId="8">
    <w:abstractNumId w:val="6"/>
  </w:num>
  <w:num w:numId="9">
    <w:abstractNumId w:val="10"/>
  </w:num>
  <w:num w:numId="10">
    <w:abstractNumId w:val="0"/>
  </w:num>
  <w:num w:numId="11">
    <w:abstractNumId w:val="12"/>
  </w:num>
  <w:num w:numId="12">
    <w:abstractNumId w:val="9"/>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OGEzMmFhMDA3ZTkyMWVkZDI1Mzg5Y2U4ZGMzM2IxNjkifQ=="/>
    <w:docVar w:name="KSO_WPS_MARK_KEY" w:val="2075dbdc-ff12-4fd1-9b80-13c6a3729006"/>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8DB"/>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3F84"/>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81B"/>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21C"/>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2A"/>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8C2"/>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CB4"/>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10B"/>
    <w:rsid w:val="00204728"/>
    <w:rsid w:val="00204761"/>
    <w:rsid w:val="002047C4"/>
    <w:rsid w:val="00204865"/>
    <w:rsid w:val="00204E72"/>
    <w:rsid w:val="00204FA5"/>
    <w:rsid w:val="00205CED"/>
    <w:rsid w:val="00205D16"/>
    <w:rsid w:val="00205F4E"/>
    <w:rsid w:val="002062B3"/>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2A8"/>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CB6"/>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6F"/>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797"/>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28"/>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0E5B"/>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8EF"/>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C01"/>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15B"/>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5B"/>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1B3"/>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836"/>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3F0"/>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48"/>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8F9"/>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1D87"/>
    <w:rsid w:val="004C1E5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20E"/>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981"/>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A3E"/>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81"/>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8B0"/>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46A"/>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1E2"/>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52D"/>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6D1"/>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5FC5"/>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BEF"/>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1E"/>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26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616"/>
    <w:rsid w:val="006F276D"/>
    <w:rsid w:val="006F2962"/>
    <w:rsid w:val="006F296E"/>
    <w:rsid w:val="006F2A88"/>
    <w:rsid w:val="006F2DB7"/>
    <w:rsid w:val="006F2EB4"/>
    <w:rsid w:val="006F3631"/>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5F5"/>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139"/>
    <w:rsid w:val="007074C8"/>
    <w:rsid w:val="00707507"/>
    <w:rsid w:val="00707641"/>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190"/>
    <w:rsid w:val="0071144C"/>
    <w:rsid w:val="0071164F"/>
    <w:rsid w:val="007117E0"/>
    <w:rsid w:val="0071185C"/>
    <w:rsid w:val="00711DE3"/>
    <w:rsid w:val="007121AF"/>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40B"/>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950"/>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683"/>
    <w:rsid w:val="007A2C36"/>
    <w:rsid w:val="007A2C72"/>
    <w:rsid w:val="007A2D17"/>
    <w:rsid w:val="007A2ECA"/>
    <w:rsid w:val="007A3003"/>
    <w:rsid w:val="007A3A19"/>
    <w:rsid w:val="007A3AC9"/>
    <w:rsid w:val="007A3ACB"/>
    <w:rsid w:val="007A3DE6"/>
    <w:rsid w:val="007A3F2B"/>
    <w:rsid w:val="007A447C"/>
    <w:rsid w:val="007A46FC"/>
    <w:rsid w:val="007A489E"/>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1EE"/>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67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33A"/>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4F96"/>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CE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88C"/>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CA6"/>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97E5E"/>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1A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38"/>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432"/>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EEC"/>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475"/>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4A7E"/>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EC"/>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B1"/>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DB0"/>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AE9"/>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C97"/>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921"/>
    <w:rsid w:val="00A92DAC"/>
    <w:rsid w:val="00A92DF9"/>
    <w:rsid w:val="00A92EF0"/>
    <w:rsid w:val="00A93101"/>
    <w:rsid w:val="00A9338F"/>
    <w:rsid w:val="00A935BD"/>
    <w:rsid w:val="00A93D0E"/>
    <w:rsid w:val="00A93F0B"/>
    <w:rsid w:val="00A93F4F"/>
    <w:rsid w:val="00A940DF"/>
    <w:rsid w:val="00A9421F"/>
    <w:rsid w:val="00A94354"/>
    <w:rsid w:val="00A94843"/>
    <w:rsid w:val="00A9488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91"/>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132"/>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8A6"/>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0E4"/>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A8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131"/>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1E0"/>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623"/>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5D3"/>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52F"/>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12"/>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1"/>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0B0"/>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5EA3"/>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AC2"/>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03"/>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689"/>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5F44"/>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2E"/>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3F01"/>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3C2"/>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3BD"/>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2E"/>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701"/>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68"/>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05E"/>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042"/>
    <w:rsid w:val="00F757D2"/>
    <w:rsid w:val="00F759C3"/>
    <w:rsid w:val="00F75DBB"/>
    <w:rsid w:val="00F76182"/>
    <w:rsid w:val="00F762BC"/>
    <w:rsid w:val="00F7665A"/>
    <w:rsid w:val="00F76928"/>
    <w:rsid w:val="00F76A05"/>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4872"/>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38E"/>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5F24"/>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5FF8"/>
    <w:rsid w:val="00FF6005"/>
    <w:rsid w:val="00FF613D"/>
    <w:rsid w:val="00FF6189"/>
    <w:rsid w:val="00FF677B"/>
    <w:rsid w:val="00FF6916"/>
    <w:rsid w:val="00FF6982"/>
    <w:rsid w:val="00FF6A2B"/>
    <w:rsid w:val="00FF6C1C"/>
    <w:rsid w:val="00FF6C35"/>
    <w:rsid w:val="00FF7060"/>
    <w:rsid w:val="00FF7636"/>
    <w:rsid w:val="00FF765F"/>
    <w:rsid w:val="00FF7989"/>
    <w:rsid w:val="00FF7D03"/>
    <w:rsid w:val="013E77C3"/>
    <w:rsid w:val="014E797E"/>
    <w:rsid w:val="01626374"/>
    <w:rsid w:val="01906633"/>
    <w:rsid w:val="01BE7F1C"/>
    <w:rsid w:val="01C81F50"/>
    <w:rsid w:val="01F01BD2"/>
    <w:rsid w:val="02761617"/>
    <w:rsid w:val="027C457E"/>
    <w:rsid w:val="028077D7"/>
    <w:rsid w:val="02D628BA"/>
    <w:rsid w:val="03123F9D"/>
    <w:rsid w:val="033A0998"/>
    <w:rsid w:val="03594149"/>
    <w:rsid w:val="03741BF7"/>
    <w:rsid w:val="037C2718"/>
    <w:rsid w:val="042C2BE0"/>
    <w:rsid w:val="043909FE"/>
    <w:rsid w:val="044F484E"/>
    <w:rsid w:val="046B4414"/>
    <w:rsid w:val="046F5C3F"/>
    <w:rsid w:val="047F2D99"/>
    <w:rsid w:val="048F1A9B"/>
    <w:rsid w:val="049F168E"/>
    <w:rsid w:val="04F80D9E"/>
    <w:rsid w:val="05421EFD"/>
    <w:rsid w:val="054757C2"/>
    <w:rsid w:val="056D3D17"/>
    <w:rsid w:val="05C574CF"/>
    <w:rsid w:val="05CA69C2"/>
    <w:rsid w:val="05D435B9"/>
    <w:rsid w:val="065D285A"/>
    <w:rsid w:val="067B7666"/>
    <w:rsid w:val="07004D9A"/>
    <w:rsid w:val="07053AED"/>
    <w:rsid w:val="07251BF4"/>
    <w:rsid w:val="072A06D6"/>
    <w:rsid w:val="07375B39"/>
    <w:rsid w:val="07486125"/>
    <w:rsid w:val="0790350F"/>
    <w:rsid w:val="07917AF4"/>
    <w:rsid w:val="07AD2313"/>
    <w:rsid w:val="07C17B6D"/>
    <w:rsid w:val="08044557"/>
    <w:rsid w:val="080D6DA9"/>
    <w:rsid w:val="08146F71"/>
    <w:rsid w:val="084542FA"/>
    <w:rsid w:val="08614263"/>
    <w:rsid w:val="089C3F7F"/>
    <w:rsid w:val="08E92ED7"/>
    <w:rsid w:val="091E1A28"/>
    <w:rsid w:val="093C3886"/>
    <w:rsid w:val="093F332C"/>
    <w:rsid w:val="09912903"/>
    <w:rsid w:val="09C555AA"/>
    <w:rsid w:val="0A0A31C0"/>
    <w:rsid w:val="0A0D3022"/>
    <w:rsid w:val="0A2F1DB7"/>
    <w:rsid w:val="0A603399"/>
    <w:rsid w:val="0A782765"/>
    <w:rsid w:val="0A8E3FFB"/>
    <w:rsid w:val="0A9521E2"/>
    <w:rsid w:val="0AC27289"/>
    <w:rsid w:val="0AFF1189"/>
    <w:rsid w:val="0B302536"/>
    <w:rsid w:val="0B571845"/>
    <w:rsid w:val="0B660C1A"/>
    <w:rsid w:val="0BB407B3"/>
    <w:rsid w:val="0BB84D66"/>
    <w:rsid w:val="0BE72312"/>
    <w:rsid w:val="0C1459AC"/>
    <w:rsid w:val="0C5F24C0"/>
    <w:rsid w:val="0C804CC6"/>
    <w:rsid w:val="0CB03D2F"/>
    <w:rsid w:val="0CC90B9E"/>
    <w:rsid w:val="0CCB058F"/>
    <w:rsid w:val="0D2D431B"/>
    <w:rsid w:val="0D597A12"/>
    <w:rsid w:val="0D5E3DDF"/>
    <w:rsid w:val="0D7F0920"/>
    <w:rsid w:val="0D9C0677"/>
    <w:rsid w:val="0DAD00CC"/>
    <w:rsid w:val="0DBB35B4"/>
    <w:rsid w:val="0DD759F4"/>
    <w:rsid w:val="0DFC2E62"/>
    <w:rsid w:val="0E05748E"/>
    <w:rsid w:val="0E540297"/>
    <w:rsid w:val="0E8B5269"/>
    <w:rsid w:val="0E9E53ED"/>
    <w:rsid w:val="0ED1350D"/>
    <w:rsid w:val="0F292A9D"/>
    <w:rsid w:val="0F3708F0"/>
    <w:rsid w:val="0F380715"/>
    <w:rsid w:val="0F3B1B8F"/>
    <w:rsid w:val="0FA77AC3"/>
    <w:rsid w:val="0FAC4FDD"/>
    <w:rsid w:val="0FE85F90"/>
    <w:rsid w:val="1013670F"/>
    <w:rsid w:val="104D6442"/>
    <w:rsid w:val="106E2498"/>
    <w:rsid w:val="108A0980"/>
    <w:rsid w:val="108E4DB8"/>
    <w:rsid w:val="10A30EFB"/>
    <w:rsid w:val="11276C93"/>
    <w:rsid w:val="11301BE1"/>
    <w:rsid w:val="1138046C"/>
    <w:rsid w:val="113879FA"/>
    <w:rsid w:val="1172177E"/>
    <w:rsid w:val="117C423F"/>
    <w:rsid w:val="11966C2F"/>
    <w:rsid w:val="11D87F8D"/>
    <w:rsid w:val="122600A1"/>
    <w:rsid w:val="12445622"/>
    <w:rsid w:val="124B6EFE"/>
    <w:rsid w:val="124D097B"/>
    <w:rsid w:val="128D0E5D"/>
    <w:rsid w:val="129D179C"/>
    <w:rsid w:val="12B17AB7"/>
    <w:rsid w:val="12C908D6"/>
    <w:rsid w:val="12D439DD"/>
    <w:rsid w:val="13203999"/>
    <w:rsid w:val="13372CCF"/>
    <w:rsid w:val="134000FB"/>
    <w:rsid w:val="1364392F"/>
    <w:rsid w:val="13732A87"/>
    <w:rsid w:val="137632D9"/>
    <w:rsid w:val="13AE6810"/>
    <w:rsid w:val="142404FF"/>
    <w:rsid w:val="144A1C6D"/>
    <w:rsid w:val="145D23C6"/>
    <w:rsid w:val="14B3361B"/>
    <w:rsid w:val="14BC7273"/>
    <w:rsid w:val="14ED3D4F"/>
    <w:rsid w:val="15270F29"/>
    <w:rsid w:val="152A0AFF"/>
    <w:rsid w:val="15323E58"/>
    <w:rsid w:val="15387F8D"/>
    <w:rsid w:val="153E24C4"/>
    <w:rsid w:val="154F5FD6"/>
    <w:rsid w:val="15985D92"/>
    <w:rsid w:val="15A64936"/>
    <w:rsid w:val="15AE34DE"/>
    <w:rsid w:val="15AE376F"/>
    <w:rsid w:val="15B504E1"/>
    <w:rsid w:val="15F5110D"/>
    <w:rsid w:val="16285FB7"/>
    <w:rsid w:val="163908DF"/>
    <w:rsid w:val="163D11BB"/>
    <w:rsid w:val="16442095"/>
    <w:rsid w:val="165810F8"/>
    <w:rsid w:val="165E3157"/>
    <w:rsid w:val="16612C47"/>
    <w:rsid w:val="1662079C"/>
    <w:rsid w:val="16BB7EF6"/>
    <w:rsid w:val="17464EDF"/>
    <w:rsid w:val="174C429D"/>
    <w:rsid w:val="1756574D"/>
    <w:rsid w:val="175A7EC9"/>
    <w:rsid w:val="17711974"/>
    <w:rsid w:val="177E15D6"/>
    <w:rsid w:val="17AB1930"/>
    <w:rsid w:val="17BD7ACD"/>
    <w:rsid w:val="17CC2342"/>
    <w:rsid w:val="17F93E0B"/>
    <w:rsid w:val="1866030F"/>
    <w:rsid w:val="188D727F"/>
    <w:rsid w:val="18976BAC"/>
    <w:rsid w:val="189A635D"/>
    <w:rsid w:val="18BC0D66"/>
    <w:rsid w:val="18DB006D"/>
    <w:rsid w:val="18E91847"/>
    <w:rsid w:val="18F90F15"/>
    <w:rsid w:val="18FE29CF"/>
    <w:rsid w:val="191F6F2E"/>
    <w:rsid w:val="195E521C"/>
    <w:rsid w:val="197669C8"/>
    <w:rsid w:val="19965929"/>
    <w:rsid w:val="19C9609B"/>
    <w:rsid w:val="1A053A20"/>
    <w:rsid w:val="1A235A37"/>
    <w:rsid w:val="1A693E78"/>
    <w:rsid w:val="1A9E670A"/>
    <w:rsid w:val="1ABB2ACE"/>
    <w:rsid w:val="1B3A2DE8"/>
    <w:rsid w:val="1B670A02"/>
    <w:rsid w:val="1BD566F5"/>
    <w:rsid w:val="1BE0533B"/>
    <w:rsid w:val="1BF82EEE"/>
    <w:rsid w:val="1C02080D"/>
    <w:rsid w:val="1C220782"/>
    <w:rsid w:val="1C3404B6"/>
    <w:rsid w:val="1C455CA5"/>
    <w:rsid w:val="1C4F731E"/>
    <w:rsid w:val="1C8D6AE1"/>
    <w:rsid w:val="1C9D42AD"/>
    <w:rsid w:val="1CB84DBF"/>
    <w:rsid w:val="1CBD6E94"/>
    <w:rsid w:val="1CBE61EC"/>
    <w:rsid w:val="1CCE79E9"/>
    <w:rsid w:val="1D1E0C5E"/>
    <w:rsid w:val="1D214EDE"/>
    <w:rsid w:val="1D2C69D2"/>
    <w:rsid w:val="1D5F1562"/>
    <w:rsid w:val="1D68754A"/>
    <w:rsid w:val="1D6D2C92"/>
    <w:rsid w:val="1E0D2A91"/>
    <w:rsid w:val="1E1E022A"/>
    <w:rsid w:val="1E32090B"/>
    <w:rsid w:val="1E546F73"/>
    <w:rsid w:val="1EAA5345"/>
    <w:rsid w:val="1EB81AFB"/>
    <w:rsid w:val="1ED41ADC"/>
    <w:rsid w:val="1EDE2CAF"/>
    <w:rsid w:val="1F0D582F"/>
    <w:rsid w:val="1F36498C"/>
    <w:rsid w:val="1F466F95"/>
    <w:rsid w:val="1F5C4F99"/>
    <w:rsid w:val="1F5F2643"/>
    <w:rsid w:val="1FBE5319"/>
    <w:rsid w:val="1FC11D29"/>
    <w:rsid w:val="1FCA128A"/>
    <w:rsid w:val="1FDC6A71"/>
    <w:rsid w:val="1FED0195"/>
    <w:rsid w:val="200A700D"/>
    <w:rsid w:val="200C041C"/>
    <w:rsid w:val="20195183"/>
    <w:rsid w:val="20805C01"/>
    <w:rsid w:val="20DB0B4D"/>
    <w:rsid w:val="20FF6149"/>
    <w:rsid w:val="2121150A"/>
    <w:rsid w:val="2132348A"/>
    <w:rsid w:val="214E3823"/>
    <w:rsid w:val="218B501C"/>
    <w:rsid w:val="21D75FA1"/>
    <w:rsid w:val="21EE6986"/>
    <w:rsid w:val="21FB262E"/>
    <w:rsid w:val="22010E3A"/>
    <w:rsid w:val="22031056"/>
    <w:rsid w:val="2239193A"/>
    <w:rsid w:val="223C6316"/>
    <w:rsid w:val="22506DDC"/>
    <w:rsid w:val="22515191"/>
    <w:rsid w:val="226A06FE"/>
    <w:rsid w:val="227040E3"/>
    <w:rsid w:val="229212D1"/>
    <w:rsid w:val="2298179E"/>
    <w:rsid w:val="22CF641B"/>
    <w:rsid w:val="231D1CA3"/>
    <w:rsid w:val="23206314"/>
    <w:rsid w:val="23206C6F"/>
    <w:rsid w:val="23294F84"/>
    <w:rsid w:val="233D2346"/>
    <w:rsid w:val="234636C5"/>
    <w:rsid w:val="235B437F"/>
    <w:rsid w:val="23803162"/>
    <w:rsid w:val="238E0C0F"/>
    <w:rsid w:val="23960D09"/>
    <w:rsid w:val="239E00B4"/>
    <w:rsid w:val="23D14071"/>
    <w:rsid w:val="23EF1D66"/>
    <w:rsid w:val="240A715C"/>
    <w:rsid w:val="240B5D75"/>
    <w:rsid w:val="242B34A5"/>
    <w:rsid w:val="24D207BC"/>
    <w:rsid w:val="24E0203E"/>
    <w:rsid w:val="251E74A4"/>
    <w:rsid w:val="252D51EA"/>
    <w:rsid w:val="25965D3D"/>
    <w:rsid w:val="25A16BBC"/>
    <w:rsid w:val="25D50209"/>
    <w:rsid w:val="25F413E1"/>
    <w:rsid w:val="25FA1A68"/>
    <w:rsid w:val="261002A1"/>
    <w:rsid w:val="26242111"/>
    <w:rsid w:val="26335498"/>
    <w:rsid w:val="26734128"/>
    <w:rsid w:val="2691688E"/>
    <w:rsid w:val="26BE7FBB"/>
    <w:rsid w:val="26C34DCC"/>
    <w:rsid w:val="26D74FA2"/>
    <w:rsid w:val="26FE003E"/>
    <w:rsid w:val="2700039E"/>
    <w:rsid w:val="27083FF7"/>
    <w:rsid w:val="27210CD8"/>
    <w:rsid w:val="273B6B9C"/>
    <w:rsid w:val="27427F2B"/>
    <w:rsid w:val="2760322B"/>
    <w:rsid w:val="27843CE5"/>
    <w:rsid w:val="280254F9"/>
    <w:rsid w:val="28520641"/>
    <w:rsid w:val="28591B44"/>
    <w:rsid w:val="28861BF2"/>
    <w:rsid w:val="289035E9"/>
    <w:rsid w:val="28BF4863"/>
    <w:rsid w:val="28C64B8B"/>
    <w:rsid w:val="28F20E26"/>
    <w:rsid w:val="2927562A"/>
    <w:rsid w:val="292860AC"/>
    <w:rsid w:val="29811B51"/>
    <w:rsid w:val="29C70AA4"/>
    <w:rsid w:val="29F8164F"/>
    <w:rsid w:val="2A636B36"/>
    <w:rsid w:val="2AB4113F"/>
    <w:rsid w:val="2B0E622B"/>
    <w:rsid w:val="2B147E30"/>
    <w:rsid w:val="2B21663D"/>
    <w:rsid w:val="2B4C65E4"/>
    <w:rsid w:val="2B4E2C5C"/>
    <w:rsid w:val="2B6F5066"/>
    <w:rsid w:val="2B9D7E8C"/>
    <w:rsid w:val="2BD46058"/>
    <w:rsid w:val="2C273B93"/>
    <w:rsid w:val="2C421158"/>
    <w:rsid w:val="2C444EE5"/>
    <w:rsid w:val="2C7F752B"/>
    <w:rsid w:val="2C80255E"/>
    <w:rsid w:val="2CC54755"/>
    <w:rsid w:val="2CC557A9"/>
    <w:rsid w:val="2CCF2447"/>
    <w:rsid w:val="2CDB6C56"/>
    <w:rsid w:val="2D1000A9"/>
    <w:rsid w:val="2D11433C"/>
    <w:rsid w:val="2D53381B"/>
    <w:rsid w:val="2DC021D7"/>
    <w:rsid w:val="2DCB03B2"/>
    <w:rsid w:val="2E290FE3"/>
    <w:rsid w:val="2E3E69B3"/>
    <w:rsid w:val="2E861403"/>
    <w:rsid w:val="2EF21392"/>
    <w:rsid w:val="2EF610A0"/>
    <w:rsid w:val="2EF91817"/>
    <w:rsid w:val="2F0E55AC"/>
    <w:rsid w:val="2F9B48B1"/>
    <w:rsid w:val="2FC16088"/>
    <w:rsid w:val="2FC7383A"/>
    <w:rsid w:val="2FED406A"/>
    <w:rsid w:val="2FFA3814"/>
    <w:rsid w:val="300B48FC"/>
    <w:rsid w:val="300D5278"/>
    <w:rsid w:val="30536E9C"/>
    <w:rsid w:val="306163DC"/>
    <w:rsid w:val="306925E3"/>
    <w:rsid w:val="309452F0"/>
    <w:rsid w:val="30B03C1E"/>
    <w:rsid w:val="30E6139A"/>
    <w:rsid w:val="31266676"/>
    <w:rsid w:val="31945C90"/>
    <w:rsid w:val="31B0350F"/>
    <w:rsid w:val="31D200FD"/>
    <w:rsid w:val="321F31E7"/>
    <w:rsid w:val="32432D5F"/>
    <w:rsid w:val="32517538"/>
    <w:rsid w:val="32BB6DE3"/>
    <w:rsid w:val="32E17386"/>
    <w:rsid w:val="32E7797D"/>
    <w:rsid w:val="32EB653A"/>
    <w:rsid w:val="333F550C"/>
    <w:rsid w:val="333F5C66"/>
    <w:rsid w:val="334A00AD"/>
    <w:rsid w:val="33913D9A"/>
    <w:rsid w:val="33C577E5"/>
    <w:rsid w:val="3456735A"/>
    <w:rsid w:val="34732732"/>
    <w:rsid w:val="34880F47"/>
    <w:rsid w:val="34BB0952"/>
    <w:rsid w:val="34CD0057"/>
    <w:rsid w:val="34E02B31"/>
    <w:rsid w:val="34E11595"/>
    <w:rsid w:val="34E23788"/>
    <w:rsid w:val="34F560B3"/>
    <w:rsid w:val="35040F15"/>
    <w:rsid w:val="35336129"/>
    <w:rsid w:val="35756117"/>
    <w:rsid w:val="357B2A17"/>
    <w:rsid w:val="357E1B4C"/>
    <w:rsid w:val="35CB3858"/>
    <w:rsid w:val="35E131A4"/>
    <w:rsid w:val="35F02196"/>
    <w:rsid w:val="360C6A24"/>
    <w:rsid w:val="3616733E"/>
    <w:rsid w:val="36172963"/>
    <w:rsid w:val="361A48B6"/>
    <w:rsid w:val="36214B73"/>
    <w:rsid w:val="367A4287"/>
    <w:rsid w:val="367B6862"/>
    <w:rsid w:val="36965B9D"/>
    <w:rsid w:val="36B50780"/>
    <w:rsid w:val="36D53BDE"/>
    <w:rsid w:val="36E6103A"/>
    <w:rsid w:val="37386C54"/>
    <w:rsid w:val="37517D16"/>
    <w:rsid w:val="37535139"/>
    <w:rsid w:val="37840064"/>
    <w:rsid w:val="37DF3665"/>
    <w:rsid w:val="38055562"/>
    <w:rsid w:val="3814146F"/>
    <w:rsid w:val="38312021"/>
    <w:rsid w:val="388016AB"/>
    <w:rsid w:val="38855EC9"/>
    <w:rsid w:val="38AE1866"/>
    <w:rsid w:val="38F65DA8"/>
    <w:rsid w:val="392801F7"/>
    <w:rsid w:val="397651E3"/>
    <w:rsid w:val="398F42B0"/>
    <w:rsid w:val="39AB5E03"/>
    <w:rsid w:val="39C11183"/>
    <w:rsid w:val="39C9502D"/>
    <w:rsid w:val="39CB1609"/>
    <w:rsid w:val="39E855FF"/>
    <w:rsid w:val="3A145CFF"/>
    <w:rsid w:val="3A2A4F7A"/>
    <w:rsid w:val="3A2C09FC"/>
    <w:rsid w:val="3A6E37BE"/>
    <w:rsid w:val="3A78573D"/>
    <w:rsid w:val="3AA72495"/>
    <w:rsid w:val="3AD62A0C"/>
    <w:rsid w:val="3B2A7273"/>
    <w:rsid w:val="3B365BA1"/>
    <w:rsid w:val="3B5E1AF9"/>
    <w:rsid w:val="3B7F1D55"/>
    <w:rsid w:val="3B8D45DF"/>
    <w:rsid w:val="3BCB6780"/>
    <w:rsid w:val="3BE61375"/>
    <w:rsid w:val="3C1F4887"/>
    <w:rsid w:val="3C2846F1"/>
    <w:rsid w:val="3C4A614C"/>
    <w:rsid w:val="3C5457A1"/>
    <w:rsid w:val="3C596398"/>
    <w:rsid w:val="3C5B0135"/>
    <w:rsid w:val="3C643C9E"/>
    <w:rsid w:val="3C6A3D54"/>
    <w:rsid w:val="3C97441D"/>
    <w:rsid w:val="3CA20495"/>
    <w:rsid w:val="3CCB7B67"/>
    <w:rsid w:val="3CD72BF9"/>
    <w:rsid w:val="3CE01CF1"/>
    <w:rsid w:val="3D313344"/>
    <w:rsid w:val="3D5D19FB"/>
    <w:rsid w:val="3D8A1F66"/>
    <w:rsid w:val="3D9A41C5"/>
    <w:rsid w:val="3DAC5616"/>
    <w:rsid w:val="3DD41A54"/>
    <w:rsid w:val="3DD735BC"/>
    <w:rsid w:val="3DDF607B"/>
    <w:rsid w:val="3E09134A"/>
    <w:rsid w:val="3E2504E1"/>
    <w:rsid w:val="3E5E1ED1"/>
    <w:rsid w:val="3EA56DA8"/>
    <w:rsid w:val="3EAB71FE"/>
    <w:rsid w:val="3EC42C77"/>
    <w:rsid w:val="3EE53B65"/>
    <w:rsid w:val="3EEC4EF4"/>
    <w:rsid w:val="3EEE4396"/>
    <w:rsid w:val="3F2033DB"/>
    <w:rsid w:val="3F6F2A2B"/>
    <w:rsid w:val="3FB847FD"/>
    <w:rsid w:val="3FDB2873"/>
    <w:rsid w:val="3FF07BB3"/>
    <w:rsid w:val="403854EB"/>
    <w:rsid w:val="404D6B1C"/>
    <w:rsid w:val="406867FC"/>
    <w:rsid w:val="40970437"/>
    <w:rsid w:val="40B76E3C"/>
    <w:rsid w:val="41033FEE"/>
    <w:rsid w:val="410A5BD1"/>
    <w:rsid w:val="416F6D2C"/>
    <w:rsid w:val="41C5681F"/>
    <w:rsid w:val="41D41C6F"/>
    <w:rsid w:val="42234BB5"/>
    <w:rsid w:val="425912B6"/>
    <w:rsid w:val="42595D90"/>
    <w:rsid w:val="42720799"/>
    <w:rsid w:val="42B37AD7"/>
    <w:rsid w:val="42CD0A98"/>
    <w:rsid w:val="42D2623B"/>
    <w:rsid w:val="430F736E"/>
    <w:rsid w:val="431A0C09"/>
    <w:rsid w:val="43210EE4"/>
    <w:rsid w:val="434A7747"/>
    <w:rsid w:val="437B7F20"/>
    <w:rsid w:val="439972F2"/>
    <w:rsid w:val="43B104BA"/>
    <w:rsid w:val="43B86866"/>
    <w:rsid w:val="445643E2"/>
    <w:rsid w:val="44783E9F"/>
    <w:rsid w:val="4489508F"/>
    <w:rsid w:val="45831A0B"/>
    <w:rsid w:val="45CC14CF"/>
    <w:rsid w:val="45EB6C16"/>
    <w:rsid w:val="46152922"/>
    <w:rsid w:val="46194489"/>
    <w:rsid w:val="4690085B"/>
    <w:rsid w:val="46BF2EEE"/>
    <w:rsid w:val="46CE3571"/>
    <w:rsid w:val="46D00C57"/>
    <w:rsid w:val="46DA3884"/>
    <w:rsid w:val="4729480B"/>
    <w:rsid w:val="473604B5"/>
    <w:rsid w:val="477F6295"/>
    <w:rsid w:val="479B2226"/>
    <w:rsid w:val="480E2158"/>
    <w:rsid w:val="481C5318"/>
    <w:rsid w:val="483879E2"/>
    <w:rsid w:val="4857637F"/>
    <w:rsid w:val="485C23FD"/>
    <w:rsid w:val="48626D9B"/>
    <w:rsid w:val="486F0BD4"/>
    <w:rsid w:val="48A02FEC"/>
    <w:rsid w:val="49075EB9"/>
    <w:rsid w:val="490C21FE"/>
    <w:rsid w:val="49171181"/>
    <w:rsid w:val="4929464F"/>
    <w:rsid w:val="493F79D7"/>
    <w:rsid w:val="49644BD2"/>
    <w:rsid w:val="496B7A53"/>
    <w:rsid w:val="49EC67F4"/>
    <w:rsid w:val="49F47B5D"/>
    <w:rsid w:val="4A0C3400"/>
    <w:rsid w:val="4A1C322F"/>
    <w:rsid w:val="4A3B394B"/>
    <w:rsid w:val="4A450C78"/>
    <w:rsid w:val="4A5120AF"/>
    <w:rsid w:val="4A6E2C61"/>
    <w:rsid w:val="4A840F83"/>
    <w:rsid w:val="4AA77F21"/>
    <w:rsid w:val="4AE47CDE"/>
    <w:rsid w:val="4AF30332"/>
    <w:rsid w:val="4B646309"/>
    <w:rsid w:val="4B65373A"/>
    <w:rsid w:val="4B6A35BC"/>
    <w:rsid w:val="4C026DB0"/>
    <w:rsid w:val="4C116304"/>
    <w:rsid w:val="4C8A3367"/>
    <w:rsid w:val="4C930DA8"/>
    <w:rsid w:val="4CC654BF"/>
    <w:rsid w:val="4D00163A"/>
    <w:rsid w:val="4D015F24"/>
    <w:rsid w:val="4D3A55F0"/>
    <w:rsid w:val="4D697710"/>
    <w:rsid w:val="4D6D5069"/>
    <w:rsid w:val="4D783DF7"/>
    <w:rsid w:val="4D820FE4"/>
    <w:rsid w:val="4D84637D"/>
    <w:rsid w:val="4DAA1B9B"/>
    <w:rsid w:val="4DAD6072"/>
    <w:rsid w:val="4DBB1907"/>
    <w:rsid w:val="4E0245DC"/>
    <w:rsid w:val="4E4D173A"/>
    <w:rsid w:val="4E772300"/>
    <w:rsid w:val="4E9F706E"/>
    <w:rsid w:val="4EA8070C"/>
    <w:rsid w:val="4EAA119F"/>
    <w:rsid w:val="4ECE0172"/>
    <w:rsid w:val="4EFE1245"/>
    <w:rsid w:val="4F0F5BE3"/>
    <w:rsid w:val="4F2B262C"/>
    <w:rsid w:val="4F321701"/>
    <w:rsid w:val="4F566D5B"/>
    <w:rsid w:val="4F590F9B"/>
    <w:rsid w:val="4F715FBE"/>
    <w:rsid w:val="4F881DD2"/>
    <w:rsid w:val="4F9E06EF"/>
    <w:rsid w:val="500743ED"/>
    <w:rsid w:val="500A0A51"/>
    <w:rsid w:val="500B7DA5"/>
    <w:rsid w:val="50224F4C"/>
    <w:rsid w:val="502E6961"/>
    <w:rsid w:val="50403400"/>
    <w:rsid w:val="505E5526"/>
    <w:rsid w:val="50814A2E"/>
    <w:rsid w:val="50C35389"/>
    <w:rsid w:val="50D254CE"/>
    <w:rsid w:val="510C1AD5"/>
    <w:rsid w:val="510F4A72"/>
    <w:rsid w:val="51477E34"/>
    <w:rsid w:val="51A943A5"/>
    <w:rsid w:val="51B03129"/>
    <w:rsid w:val="51B20ACD"/>
    <w:rsid w:val="51B82A14"/>
    <w:rsid w:val="52010488"/>
    <w:rsid w:val="521F0CE5"/>
    <w:rsid w:val="52422029"/>
    <w:rsid w:val="524D5DCD"/>
    <w:rsid w:val="52616BAE"/>
    <w:rsid w:val="52814018"/>
    <w:rsid w:val="52923265"/>
    <w:rsid w:val="529C3721"/>
    <w:rsid w:val="52CF0C4F"/>
    <w:rsid w:val="52D37212"/>
    <w:rsid w:val="52F57B46"/>
    <w:rsid w:val="52FF3B12"/>
    <w:rsid w:val="5301404C"/>
    <w:rsid w:val="530F2B07"/>
    <w:rsid w:val="533267F6"/>
    <w:rsid w:val="53891AF7"/>
    <w:rsid w:val="53A438C3"/>
    <w:rsid w:val="53C17B7A"/>
    <w:rsid w:val="53EC4936"/>
    <w:rsid w:val="53F05258"/>
    <w:rsid w:val="53FA202D"/>
    <w:rsid w:val="540C23E1"/>
    <w:rsid w:val="540D2581"/>
    <w:rsid w:val="5479570C"/>
    <w:rsid w:val="54B3453A"/>
    <w:rsid w:val="54BB568B"/>
    <w:rsid w:val="54C15ACB"/>
    <w:rsid w:val="54D846ED"/>
    <w:rsid w:val="55040901"/>
    <w:rsid w:val="551B1C37"/>
    <w:rsid w:val="5541273A"/>
    <w:rsid w:val="558C3ECD"/>
    <w:rsid w:val="559351F5"/>
    <w:rsid w:val="55A62D87"/>
    <w:rsid w:val="563F3703"/>
    <w:rsid w:val="56475F07"/>
    <w:rsid w:val="56530F5D"/>
    <w:rsid w:val="567E0D90"/>
    <w:rsid w:val="5684679D"/>
    <w:rsid w:val="56CD73C9"/>
    <w:rsid w:val="56DF05DE"/>
    <w:rsid w:val="56F70118"/>
    <w:rsid w:val="56F72230"/>
    <w:rsid w:val="579161E1"/>
    <w:rsid w:val="57AD03DC"/>
    <w:rsid w:val="57C727B0"/>
    <w:rsid w:val="57DE484E"/>
    <w:rsid w:val="57FC6189"/>
    <w:rsid w:val="58035BF4"/>
    <w:rsid w:val="580E39B4"/>
    <w:rsid w:val="5823259F"/>
    <w:rsid w:val="586B755C"/>
    <w:rsid w:val="586C12F4"/>
    <w:rsid w:val="58882378"/>
    <w:rsid w:val="58CE139A"/>
    <w:rsid w:val="590826D8"/>
    <w:rsid w:val="590E38BE"/>
    <w:rsid w:val="592216BA"/>
    <w:rsid w:val="592340EB"/>
    <w:rsid w:val="59690A2E"/>
    <w:rsid w:val="597B0EDE"/>
    <w:rsid w:val="59B70776"/>
    <w:rsid w:val="59C208D3"/>
    <w:rsid w:val="5A056018"/>
    <w:rsid w:val="5A465851"/>
    <w:rsid w:val="5AEE73F8"/>
    <w:rsid w:val="5B2B06FA"/>
    <w:rsid w:val="5B532A0F"/>
    <w:rsid w:val="5B5A2123"/>
    <w:rsid w:val="5B697447"/>
    <w:rsid w:val="5B8352C6"/>
    <w:rsid w:val="5B8B43D5"/>
    <w:rsid w:val="5BC26B5C"/>
    <w:rsid w:val="5BE9497A"/>
    <w:rsid w:val="5C25339C"/>
    <w:rsid w:val="5C50535F"/>
    <w:rsid w:val="5C844CCC"/>
    <w:rsid w:val="5C993C03"/>
    <w:rsid w:val="5CCD707A"/>
    <w:rsid w:val="5D1859F9"/>
    <w:rsid w:val="5D1B53A8"/>
    <w:rsid w:val="5D423AD9"/>
    <w:rsid w:val="5D524382"/>
    <w:rsid w:val="5D536D5C"/>
    <w:rsid w:val="5D83481E"/>
    <w:rsid w:val="5D8C4BED"/>
    <w:rsid w:val="5D8C5540"/>
    <w:rsid w:val="5DCF73EF"/>
    <w:rsid w:val="5DEE5F42"/>
    <w:rsid w:val="5DF218C2"/>
    <w:rsid w:val="5DF721D2"/>
    <w:rsid w:val="5EA031AD"/>
    <w:rsid w:val="5EFA5929"/>
    <w:rsid w:val="5F017575"/>
    <w:rsid w:val="5F073306"/>
    <w:rsid w:val="5F1119B5"/>
    <w:rsid w:val="5F5350D7"/>
    <w:rsid w:val="5F5F73B9"/>
    <w:rsid w:val="5F795ED8"/>
    <w:rsid w:val="5F802A46"/>
    <w:rsid w:val="5F804D6C"/>
    <w:rsid w:val="5FBA5715"/>
    <w:rsid w:val="5FC07F36"/>
    <w:rsid w:val="5FE877C4"/>
    <w:rsid w:val="60091ECD"/>
    <w:rsid w:val="60114363"/>
    <w:rsid w:val="602B775D"/>
    <w:rsid w:val="603E5C2B"/>
    <w:rsid w:val="60400C91"/>
    <w:rsid w:val="605F2220"/>
    <w:rsid w:val="606C3347"/>
    <w:rsid w:val="608166B4"/>
    <w:rsid w:val="608A688B"/>
    <w:rsid w:val="608F34D9"/>
    <w:rsid w:val="60C44F74"/>
    <w:rsid w:val="60DC120F"/>
    <w:rsid w:val="60E36F4B"/>
    <w:rsid w:val="60F23368"/>
    <w:rsid w:val="60F5158E"/>
    <w:rsid w:val="6119036A"/>
    <w:rsid w:val="611E3173"/>
    <w:rsid w:val="61271D5C"/>
    <w:rsid w:val="613829FB"/>
    <w:rsid w:val="617B1E5D"/>
    <w:rsid w:val="61895909"/>
    <w:rsid w:val="61937516"/>
    <w:rsid w:val="61B94A27"/>
    <w:rsid w:val="61F5665D"/>
    <w:rsid w:val="62016C74"/>
    <w:rsid w:val="620660FB"/>
    <w:rsid w:val="623C31ED"/>
    <w:rsid w:val="62772231"/>
    <w:rsid w:val="62C10F53"/>
    <w:rsid w:val="62FE04A2"/>
    <w:rsid w:val="633A4FE5"/>
    <w:rsid w:val="63C156E5"/>
    <w:rsid w:val="63E74D4D"/>
    <w:rsid w:val="640209CD"/>
    <w:rsid w:val="64234664"/>
    <w:rsid w:val="645C7B76"/>
    <w:rsid w:val="64747A8A"/>
    <w:rsid w:val="649E7723"/>
    <w:rsid w:val="64A5210F"/>
    <w:rsid w:val="658D79C4"/>
    <w:rsid w:val="65D33A39"/>
    <w:rsid w:val="65D86874"/>
    <w:rsid w:val="66304E17"/>
    <w:rsid w:val="664B39FF"/>
    <w:rsid w:val="66B772E6"/>
    <w:rsid w:val="66CA24B2"/>
    <w:rsid w:val="66CA7019"/>
    <w:rsid w:val="66E13E6B"/>
    <w:rsid w:val="67265DC6"/>
    <w:rsid w:val="67577A52"/>
    <w:rsid w:val="676F7BC1"/>
    <w:rsid w:val="67851192"/>
    <w:rsid w:val="67A47F2F"/>
    <w:rsid w:val="67C003E2"/>
    <w:rsid w:val="67C717AB"/>
    <w:rsid w:val="67F65BEC"/>
    <w:rsid w:val="67F87268"/>
    <w:rsid w:val="6838144E"/>
    <w:rsid w:val="683B64F9"/>
    <w:rsid w:val="6848469A"/>
    <w:rsid w:val="684B0C2A"/>
    <w:rsid w:val="68531405"/>
    <w:rsid w:val="68790CF7"/>
    <w:rsid w:val="687C100B"/>
    <w:rsid w:val="689254AB"/>
    <w:rsid w:val="68A336B9"/>
    <w:rsid w:val="68AA7398"/>
    <w:rsid w:val="69082AA1"/>
    <w:rsid w:val="69272054"/>
    <w:rsid w:val="69283F28"/>
    <w:rsid w:val="692D388F"/>
    <w:rsid w:val="6942248C"/>
    <w:rsid w:val="6966319B"/>
    <w:rsid w:val="696D69A7"/>
    <w:rsid w:val="697A2F79"/>
    <w:rsid w:val="69847953"/>
    <w:rsid w:val="698C5584"/>
    <w:rsid w:val="69A9560C"/>
    <w:rsid w:val="69BF1AAA"/>
    <w:rsid w:val="69D92156"/>
    <w:rsid w:val="6A4067C4"/>
    <w:rsid w:val="6A6D2E0E"/>
    <w:rsid w:val="6A805D03"/>
    <w:rsid w:val="6A8F4802"/>
    <w:rsid w:val="6A946AB8"/>
    <w:rsid w:val="6AB4102B"/>
    <w:rsid w:val="6ACF541B"/>
    <w:rsid w:val="6AD62431"/>
    <w:rsid w:val="6B200D16"/>
    <w:rsid w:val="6B3E3371"/>
    <w:rsid w:val="6B524E15"/>
    <w:rsid w:val="6B640ADF"/>
    <w:rsid w:val="6B931CAD"/>
    <w:rsid w:val="6BB63E9E"/>
    <w:rsid w:val="6BFE053D"/>
    <w:rsid w:val="6C0905E4"/>
    <w:rsid w:val="6C1A459F"/>
    <w:rsid w:val="6C3F1E8F"/>
    <w:rsid w:val="6C566AAA"/>
    <w:rsid w:val="6C6E4D0A"/>
    <w:rsid w:val="6C8F3CA7"/>
    <w:rsid w:val="6C9500C9"/>
    <w:rsid w:val="6C9E3A9C"/>
    <w:rsid w:val="6CA93935"/>
    <w:rsid w:val="6CB63947"/>
    <w:rsid w:val="6CB85659"/>
    <w:rsid w:val="6CD419AC"/>
    <w:rsid w:val="6D0D4104"/>
    <w:rsid w:val="6D3C3B0C"/>
    <w:rsid w:val="6D595D89"/>
    <w:rsid w:val="6D64140D"/>
    <w:rsid w:val="6D773C65"/>
    <w:rsid w:val="6D8A5754"/>
    <w:rsid w:val="6E061F60"/>
    <w:rsid w:val="6E0F3802"/>
    <w:rsid w:val="6E143CAC"/>
    <w:rsid w:val="6E3614EB"/>
    <w:rsid w:val="6E3F653F"/>
    <w:rsid w:val="6E542A9F"/>
    <w:rsid w:val="6E624923"/>
    <w:rsid w:val="6E7A0CB3"/>
    <w:rsid w:val="6E87721D"/>
    <w:rsid w:val="6EB615C6"/>
    <w:rsid w:val="6EB96428"/>
    <w:rsid w:val="6EBC4276"/>
    <w:rsid w:val="6EC22B1B"/>
    <w:rsid w:val="6F35524C"/>
    <w:rsid w:val="6F3C1A06"/>
    <w:rsid w:val="6F97D24A"/>
    <w:rsid w:val="6F9D176F"/>
    <w:rsid w:val="6F9F2183"/>
    <w:rsid w:val="6FB20B9F"/>
    <w:rsid w:val="6FC0050A"/>
    <w:rsid w:val="6FC96806"/>
    <w:rsid w:val="6FCA71E0"/>
    <w:rsid w:val="6FDE3B35"/>
    <w:rsid w:val="6FF10430"/>
    <w:rsid w:val="70625D85"/>
    <w:rsid w:val="70853504"/>
    <w:rsid w:val="70C11743"/>
    <w:rsid w:val="70F0185C"/>
    <w:rsid w:val="711A6DEF"/>
    <w:rsid w:val="718906DB"/>
    <w:rsid w:val="71A62D95"/>
    <w:rsid w:val="71E909FE"/>
    <w:rsid w:val="71F15DA2"/>
    <w:rsid w:val="722E4900"/>
    <w:rsid w:val="723D30E3"/>
    <w:rsid w:val="724953A1"/>
    <w:rsid w:val="725162FB"/>
    <w:rsid w:val="725F05A5"/>
    <w:rsid w:val="72640321"/>
    <w:rsid w:val="727644F9"/>
    <w:rsid w:val="728D4703"/>
    <w:rsid w:val="72A53E47"/>
    <w:rsid w:val="72AC71C6"/>
    <w:rsid w:val="72AE2CD6"/>
    <w:rsid w:val="72C85A38"/>
    <w:rsid w:val="73016E15"/>
    <w:rsid w:val="73441F01"/>
    <w:rsid w:val="734D6933"/>
    <w:rsid w:val="735250B0"/>
    <w:rsid w:val="735A5AEC"/>
    <w:rsid w:val="73660117"/>
    <w:rsid w:val="737C2A4C"/>
    <w:rsid w:val="73990F3E"/>
    <w:rsid w:val="739C3AEB"/>
    <w:rsid w:val="739D114F"/>
    <w:rsid w:val="739D500D"/>
    <w:rsid w:val="73B15F3E"/>
    <w:rsid w:val="73BD5740"/>
    <w:rsid w:val="73CB2AFD"/>
    <w:rsid w:val="73CE3DC7"/>
    <w:rsid w:val="740B06A5"/>
    <w:rsid w:val="74212243"/>
    <w:rsid w:val="742C597A"/>
    <w:rsid w:val="7459167A"/>
    <w:rsid w:val="74675EA7"/>
    <w:rsid w:val="746C3D16"/>
    <w:rsid w:val="74A13052"/>
    <w:rsid w:val="74AD7F42"/>
    <w:rsid w:val="74EE1B48"/>
    <w:rsid w:val="74EF107F"/>
    <w:rsid w:val="74F17E67"/>
    <w:rsid w:val="75004B37"/>
    <w:rsid w:val="752915E7"/>
    <w:rsid w:val="75296EFD"/>
    <w:rsid w:val="753E0157"/>
    <w:rsid w:val="75B710B1"/>
    <w:rsid w:val="75D85012"/>
    <w:rsid w:val="76114C7B"/>
    <w:rsid w:val="761D158D"/>
    <w:rsid w:val="767E1BCE"/>
    <w:rsid w:val="76830F93"/>
    <w:rsid w:val="76986298"/>
    <w:rsid w:val="76AA10B0"/>
    <w:rsid w:val="76E13FE0"/>
    <w:rsid w:val="77BA41C7"/>
    <w:rsid w:val="77D706B7"/>
    <w:rsid w:val="77F26C6D"/>
    <w:rsid w:val="77F97408"/>
    <w:rsid w:val="781E6E25"/>
    <w:rsid w:val="78384D3F"/>
    <w:rsid w:val="78654DF4"/>
    <w:rsid w:val="787E7481"/>
    <w:rsid w:val="78894D5F"/>
    <w:rsid w:val="7893212B"/>
    <w:rsid w:val="78BC6FC0"/>
    <w:rsid w:val="78C338C8"/>
    <w:rsid w:val="78F16688"/>
    <w:rsid w:val="7964353D"/>
    <w:rsid w:val="799B65F3"/>
    <w:rsid w:val="79A01DE7"/>
    <w:rsid w:val="79A12D07"/>
    <w:rsid w:val="79BE0C60"/>
    <w:rsid w:val="79ED32F3"/>
    <w:rsid w:val="7A2B5BC9"/>
    <w:rsid w:val="7A5C1F07"/>
    <w:rsid w:val="7A6B3551"/>
    <w:rsid w:val="7A726B8A"/>
    <w:rsid w:val="7ACF29F8"/>
    <w:rsid w:val="7AEE30CB"/>
    <w:rsid w:val="7B006494"/>
    <w:rsid w:val="7B4A02D1"/>
    <w:rsid w:val="7B937ECA"/>
    <w:rsid w:val="7BA06143"/>
    <w:rsid w:val="7BC506FF"/>
    <w:rsid w:val="7C140C39"/>
    <w:rsid w:val="7C167908"/>
    <w:rsid w:val="7C513A51"/>
    <w:rsid w:val="7C5432CE"/>
    <w:rsid w:val="7CCD4D16"/>
    <w:rsid w:val="7D131E23"/>
    <w:rsid w:val="7D173AAB"/>
    <w:rsid w:val="7D677171"/>
    <w:rsid w:val="7E0F3829"/>
    <w:rsid w:val="7E490D14"/>
    <w:rsid w:val="7E5A6A7D"/>
    <w:rsid w:val="7E8F05A6"/>
    <w:rsid w:val="7E9006F1"/>
    <w:rsid w:val="7EAB1087"/>
    <w:rsid w:val="7EEB3B79"/>
    <w:rsid w:val="7EED5DB3"/>
    <w:rsid w:val="7F1301C5"/>
    <w:rsid w:val="7F271055"/>
    <w:rsid w:val="7F330B17"/>
    <w:rsid w:val="7F4F1B59"/>
    <w:rsid w:val="7F726F86"/>
    <w:rsid w:val="7F97D7F2"/>
    <w:rsid w:val="7F9D1317"/>
    <w:rsid w:val="7FAB12E6"/>
    <w:rsid w:val="7FC90DF7"/>
    <w:rsid w:val="7FD34C20"/>
    <w:rsid w:val="7FD60385"/>
    <w:rsid w:val="7FD665D7"/>
    <w:rsid w:val="7FE756E1"/>
    <w:rsid w:val="7FEC5B1A"/>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iPriority="99"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9"/>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60"/>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link w:val="62"/>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4"/>
    <w:link w:val="63"/>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64"/>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65"/>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66"/>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67"/>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68"/>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50">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4">
    <w:name w:val="Normal Indent"/>
    <w:basedOn w:val="1"/>
    <w:next w:val="1"/>
    <w:link w:val="61"/>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index 5"/>
    <w:basedOn w:val="1"/>
    <w:next w:val="1"/>
    <w:unhideWhenUsed/>
    <w:qFormat/>
    <w:uiPriority w:val="99"/>
    <w:pPr>
      <w:ind w:left="800" w:leftChars="800"/>
    </w:pPr>
  </w:style>
  <w:style w:type="paragraph" w:styleId="15">
    <w:name w:val="Document Map"/>
    <w:basedOn w:val="1"/>
    <w:link w:val="69"/>
    <w:qFormat/>
    <w:uiPriority w:val="0"/>
    <w:pPr>
      <w:shd w:val="clear" w:color="auto" w:fill="000080"/>
    </w:pPr>
  </w:style>
  <w:style w:type="paragraph" w:styleId="16">
    <w:name w:val="annotation text"/>
    <w:basedOn w:val="1"/>
    <w:link w:val="70"/>
    <w:qFormat/>
    <w:uiPriority w:val="0"/>
    <w:pPr>
      <w:jc w:val="left"/>
    </w:pPr>
  </w:style>
  <w:style w:type="paragraph" w:styleId="17">
    <w:name w:val="Body Text 3"/>
    <w:basedOn w:val="1"/>
    <w:link w:val="71"/>
    <w:qFormat/>
    <w:uiPriority w:val="0"/>
    <w:pPr>
      <w:spacing w:after="120"/>
    </w:pPr>
    <w:rPr>
      <w:sz w:val="16"/>
      <w:szCs w:val="16"/>
    </w:rPr>
  </w:style>
  <w:style w:type="paragraph" w:styleId="18">
    <w:name w:val="Body Text"/>
    <w:basedOn w:val="1"/>
    <w:next w:val="1"/>
    <w:link w:val="72"/>
    <w:qFormat/>
    <w:uiPriority w:val="0"/>
    <w:pPr>
      <w:tabs>
        <w:tab w:val="left" w:pos="567"/>
      </w:tabs>
      <w:spacing w:before="120" w:line="22" w:lineRule="atLeast"/>
    </w:pPr>
    <w:rPr>
      <w:rFonts w:ascii="宋体" w:hAnsi="宋体"/>
      <w:sz w:val="24"/>
    </w:rPr>
  </w:style>
  <w:style w:type="paragraph" w:styleId="19">
    <w:name w:val="Body Text Indent"/>
    <w:basedOn w:val="1"/>
    <w:next w:val="1"/>
    <w:link w:val="73"/>
    <w:qFormat/>
    <w:uiPriority w:val="0"/>
    <w:pPr>
      <w:spacing w:line="360" w:lineRule="auto"/>
      <w:ind w:firstLine="570"/>
    </w:pPr>
    <w:rPr>
      <w:sz w:val="24"/>
    </w:rPr>
  </w:style>
  <w:style w:type="paragraph" w:styleId="20">
    <w:name w:val="List 2"/>
    <w:basedOn w:val="1"/>
    <w:qFormat/>
    <w:uiPriority w:val="0"/>
    <w:pPr>
      <w:ind w:left="100" w:leftChars="200" w:hanging="200" w:hangingChars="200"/>
    </w:pPr>
  </w:style>
  <w:style w:type="paragraph" w:styleId="21">
    <w:name w:val="Block Text"/>
    <w:basedOn w:val="1"/>
    <w:qFormat/>
    <w:uiPriority w:val="0"/>
    <w:pPr>
      <w:widowControl/>
      <w:ind w:left="480" w:right="-341" w:firstLine="513"/>
    </w:pPr>
    <w:rPr>
      <w:kern w:val="0"/>
      <w:sz w:val="24"/>
      <w:szCs w:val="20"/>
    </w:rPr>
  </w:style>
  <w:style w:type="paragraph" w:styleId="22">
    <w:name w:val="toc 5"/>
    <w:basedOn w:val="1"/>
    <w:next w:val="1"/>
    <w:qFormat/>
    <w:uiPriority w:val="0"/>
    <w:pPr>
      <w:ind w:left="1680" w:leftChars="800"/>
    </w:pPr>
  </w:style>
  <w:style w:type="paragraph" w:styleId="23">
    <w:name w:val="toc 3"/>
    <w:basedOn w:val="1"/>
    <w:next w:val="1"/>
    <w:qFormat/>
    <w:uiPriority w:val="39"/>
    <w:pPr>
      <w:ind w:left="840" w:leftChars="400"/>
    </w:pPr>
  </w:style>
  <w:style w:type="paragraph" w:styleId="24">
    <w:name w:val="Plain Text"/>
    <w:basedOn w:val="1"/>
    <w:next w:val="4"/>
    <w:link w:val="74"/>
    <w:qFormat/>
    <w:uiPriority w:val="0"/>
    <w:rPr>
      <w:rFonts w:hint="eastAsia" w:ascii="宋体" w:hAnsi="Courier New"/>
      <w:szCs w:val="20"/>
    </w:rPr>
  </w:style>
  <w:style w:type="paragraph" w:styleId="25">
    <w:name w:val="toc 8"/>
    <w:basedOn w:val="1"/>
    <w:next w:val="1"/>
    <w:qFormat/>
    <w:uiPriority w:val="0"/>
    <w:pPr>
      <w:ind w:left="2940" w:leftChars="1400"/>
    </w:pPr>
  </w:style>
  <w:style w:type="paragraph" w:styleId="26">
    <w:name w:val="Date"/>
    <w:basedOn w:val="1"/>
    <w:next w:val="1"/>
    <w:link w:val="75"/>
    <w:qFormat/>
    <w:uiPriority w:val="0"/>
    <w:pPr>
      <w:ind w:left="100" w:leftChars="2500"/>
    </w:pPr>
    <w:rPr>
      <w:rFonts w:ascii="仿宋_GB2312" w:hAnsi="宋体" w:eastAsia="仿宋_GB2312"/>
      <w:color w:val="000000"/>
      <w:sz w:val="24"/>
    </w:rPr>
  </w:style>
  <w:style w:type="paragraph" w:styleId="27">
    <w:name w:val="Body Text Indent 2"/>
    <w:basedOn w:val="1"/>
    <w:link w:val="76"/>
    <w:qFormat/>
    <w:uiPriority w:val="0"/>
    <w:pPr>
      <w:ind w:firstLine="480" w:firstLineChars="200"/>
    </w:pPr>
    <w:rPr>
      <w:rFonts w:ascii="仿宋_GB2312" w:eastAsia="仿宋_GB2312"/>
      <w:sz w:val="24"/>
    </w:rPr>
  </w:style>
  <w:style w:type="paragraph" w:styleId="28">
    <w:name w:val="Balloon Text"/>
    <w:basedOn w:val="1"/>
    <w:link w:val="77"/>
    <w:qFormat/>
    <w:uiPriority w:val="0"/>
    <w:rPr>
      <w:sz w:val="18"/>
      <w:szCs w:val="18"/>
    </w:rPr>
  </w:style>
  <w:style w:type="paragraph" w:styleId="29">
    <w:name w:val="footer"/>
    <w:basedOn w:val="1"/>
    <w:link w:val="78"/>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envelope return"/>
    <w:basedOn w:val="1"/>
    <w:qFormat/>
    <w:uiPriority w:val="0"/>
    <w:pPr>
      <w:snapToGrid w:val="0"/>
    </w:pPr>
    <w:rPr>
      <w:rFonts w:ascii="Arial" w:hAnsi="Arial"/>
    </w:rPr>
  </w:style>
  <w:style w:type="paragraph" w:styleId="31">
    <w:name w:val="header"/>
    <w:basedOn w:val="1"/>
    <w:link w:val="79"/>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qFormat/>
    <w:uiPriority w:val="0"/>
    <w:pPr>
      <w:ind w:left="1260" w:leftChars="600"/>
    </w:pPr>
  </w:style>
  <w:style w:type="paragraph" w:styleId="34">
    <w:name w:val="Subtitle"/>
    <w:basedOn w:val="1"/>
    <w:next w:val="1"/>
    <w:qFormat/>
    <w:uiPriority w:val="0"/>
    <w:pPr>
      <w:spacing w:before="240" w:after="60" w:line="312" w:lineRule="auto"/>
      <w:jc w:val="center"/>
      <w:outlineLvl w:val="1"/>
    </w:pPr>
    <w:rPr>
      <w:rFonts w:ascii="Arial" w:hAnsi="Arial" w:cs="Arial"/>
      <w:b/>
      <w:bCs/>
      <w:kern w:val="28"/>
      <w:sz w:val="32"/>
      <w:szCs w:val="32"/>
    </w:rPr>
  </w:style>
  <w:style w:type="paragraph" w:styleId="35">
    <w:name w:val="footnote text"/>
    <w:basedOn w:val="1"/>
    <w:next w:val="14"/>
    <w:qFormat/>
    <w:uiPriority w:val="0"/>
    <w:pPr>
      <w:snapToGrid w:val="0"/>
      <w:spacing w:before="120" w:line="360" w:lineRule="auto"/>
      <w:ind w:firstLine="425"/>
      <w:jc w:val="left"/>
    </w:pPr>
    <w:rPr>
      <w:kern w:val="0"/>
      <w:sz w:val="18"/>
      <w:szCs w:val="20"/>
    </w:rPr>
  </w:style>
  <w:style w:type="paragraph" w:styleId="36">
    <w:name w:val="toc 6"/>
    <w:basedOn w:val="1"/>
    <w:next w:val="1"/>
    <w:qFormat/>
    <w:uiPriority w:val="0"/>
    <w:pPr>
      <w:ind w:left="2100" w:leftChars="1000"/>
    </w:pPr>
  </w:style>
  <w:style w:type="paragraph" w:styleId="37">
    <w:name w:val="Body Text Indent 3"/>
    <w:basedOn w:val="1"/>
    <w:link w:val="80"/>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8">
    <w:name w:val="toc 2"/>
    <w:basedOn w:val="1"/>
    <w:next w:val="1"/>
    <w:qFormat/>
    <w:uiPriority w:val="39"/>
    <w:pPr>
      <w:tabs>
        <w:tab w:val="right" w:leader="dot" w:pos="8937"/>
      </w:tabs>
      <w:spacing w:line="312" w:lineRule="auto"/>
      <w:ind w:left="420" w:leftChars="200"/>
    </w:pPr>
  </w:style>
  <w:style w:type="paragraph" w:styleId="39">
    <w:name w:val="toc 9"/>
    <w:basedOn w:val="1"/>
    <w:next w:val="1"/>
    <w:qFormat/>
    <w:uiPriority w:val="0"/>
    <w:pPr>
      <w:ind w:left="3360" w:leftChars="1600"/>
    </w:pPr>
  </w:style>
  <w:style w:type="paragraph" w:styleId="40">
    <w:name w:val="HTML Preformatted"/>
    <w:basedOn w:val="1"/>
    <w:link w:val="8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1">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42">
    <w:name w:val="index 1"/>
    <w:basedOn w:val="1"/>
    <w:next w:val="1"/>
    <w:qFormat/>
    <w:uiPriority w:val="0"/>
    <w:rPr>
      <w:szCs w:val="20"/>
    </w:rPr>
  </w:style>
  <w:style w:type="paragraph" w:styleId="43">
    <w:name w:val="Title"/>
    <w:basedOn w:val="1"/>
    <w:link w:val="82"/>
    <w:qFormat/>
    <w:uiPriority w:val="0"/>
    <w:pPr>
      <w:jc w:val="center"/>
      <w:outlineLvl w:val="0"/>
    </w:pPr>
    <w:rPr>
      <w:b/>
      <w:sz w:val="32"/>
      <w:szCs w:val="20"/>
    </w:rPr>
  </w:style>
  <w:style w:type="paragraph" w:styleId="44">
    <w:name w:val="annotation subject"/>
    <w:basedOn w:val="16"/>
    <w:next w:val="16"/>
    <w:link w:val="83"/>
    <w:qFormat/>
    <w:uiPriority w:val="0"/>
    <w:rPr>
      <w:b/>
      <w:bCs/>
    </w:rPr>
  </w:style>
  <w:style w:type="paragraph" w:styleId="45">
    <w:name w:val="Body Text First Indent"/>
    <w:basedOn w:val="18"/>
    <w:qFormat/>
    <w:uiPriority w:val="0"/>
    <w:pPr>
      <w:ind w:firstLine="420"/>
    </w:pPr>
    <w:rPr>
      <w:szCs w:val="20"/>
    </w:rPr>
  </w:style>
  <w:style w:type="paragraph" w:styleId="46">
    <w:name w:val="Body Text First Indent 2"/>
    <w:basedOn w:val="19"/>
    <w:next w:val="1"/>
    <w:link w:val="85"/>
    <w:qFormat/>
    <w:uiPriority w:val="0"/>
    <w:pPr>
      <w:spacing w:after="120" w:line="480" w:lineRule="exact"/>
      <w:ind w:left="420" w:leftChars="200" w:firstLine="420" w:firstLineChars="200"/>
    </w:pPr>
    <w:rPr>
      <w:szCs w:val="20"/>
    </w:rPr>
  </w:style>
  <w:style w:type="table" w:styleId="48">
    <w:name w:val="Table Grid"/>
    <w:basedOn w:val="4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9">
    <w:name w:val="Medium Grid 1 Accent 2"/>
    <w:basedOn w:val="47"/>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1">
    <w:name w:val="Strong"/>
    <w:qFormat/>
    <w:uiPriority w:val="0"/>
    <w:rPr>
      <w:b/>
      <w:bCs/>
    </w:rPr>
  </w:style>
  <w:style w:type="character" w:styleId="52">
    <w:name w:val="page number"/>
    <w:qFormat/>
    <w:uiPriority w:val="0"/>
  </w:style>
  <w:style w:type="character" w:styleId="53">
    <w:name w:val="FollowedHyperlink"/>
    <w:qFormat/>
    <w:uiPriority w:val="0"/>
    <w:rPr>
      <w:color w:val="800080"/>
      <w:u w:val="single"/>
    </w:rPr>
  </w:style>
  <w:style w:type="character" w:styleId="54">
    <w:name w:val="Emphasis"/>
    <w:qFormat/>
    <w:uiPriority w:val="0"/>
    <w:rPr>
      <w:color w:val="CC0033"/>
    </w:rPr>
  </w:style>
  <w:style w:type="character" w:styleId="55">
    <w:name w:val="Hyperlink"/>
    <w:qFormat/>
    <w:uiPriority w:val="99"/>
    <w:rPr>
      <w:color w:val="0000FF"/>
      <w:u w:val="single"/>
    </w:rPr>
  </w:style>
  <w:style w:type="character" w:styleId="56">
    <w:name w:val="annotation reference"/>
    <w:qFormat/>
    <w:uiPriority w:val="99"/>
    <w:rPr>
      <w:sz w:val="21"/>
      <w:szCs w:val="21"/>
    </w:rPr>
  </w:style>
  <w:style w:type="character" w:styleId="57">
    <w:name w:val="HTML Cite"/>
    <w:qFormat/>
    <w:uiPriority w:val="0"/>
    <w:rPr>
      <w:i/>
      <w:iCs/>
    </w:rPr>
  </w:style>
  <w:style w:type="paragraph" w:customStyle="1" w:styleId="58">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59">
    <w:name w:val="标题 1 字符"/>
    <w:link w:val="2"/>
    <w:qFormat/>
    <w:uiPriority w:val="0"/>
    <w:rPr>
      <w:rFonts w:ascii="宋体"/>
      <w:b/>
      <w:kern w:val="44"/>
      <w:sz w:val="32"/>
    </w:rPr>
  </w:style>
  <w:style w:type="character" w:customStyle="1" w:styleId="60">
    <w:name w:val="标题 2 字符"/>
    <w:link w:val="3"/>
    <w:qFormat/>
    <w:uiPriority w:val="0"/>
    <w:rPr>
      <w:rFonts w:ascii="Arial" w:hAnsi="Arial" w:eastAsia="黑体"/>
      <w:b/>
      <w:sz w:val="30"/>
      <w:lang w:val="en-US" w:eastAsia="zh-CN" w:bidi="ar-SA"/>
    </w:rPr>
  </w:style>
  <w:style w:type="character" w:customStyle="1" w:styleId="61">
    <w:name w:val="正文缩进 字符"/>
    <w:link w:val="4"/>
    <w:qFormat/>
    <w:uiPriority w:val="0"/>
    <w:rPr>
      <w:rFonts w:ascii="宋体" w:eastAsia="宋体"/>
      <w:kern w:val="2"/>
      <w:sz w:val="24"/>
      <w:szCs w:val="24"/>
      <w:lang w:val="en-US" w:eastAsia="zh-CN" w:bidi="ar-SA"/>
    </w:rPr>
  </w:style>
  <w:style w:type="character" w:customStyle="1" w:styleId="62">
    <w:name w:val="标题 3 字符"/>
    <w:link w:val="5"/>
    <w:qFormat/>
    <w:uiPriority w:val="0"/>
    <w:rPr>
      <w:rFonts w:ascii="宋体" w:eastAsia="宋体"/>
      <w:b/>
      <w:sz w:val="24"/>
      <w:u w:val="single"/>
      <w:lang w:val="en-US" w:eastAsia="zh-CN" w:bidi="ar-SA"/>
    </w:rPr>
  </w:style>
  <w:style w:type="character" w:customStyle="1" w:styleId="63">
    <w:name w:val="标题 4 字符"/>
    <w:link w:val="6"/>
    <w:qFormat/>
    <w:uiPriority w:val="0"/>
    <w:rPr>
      <w:rFonts w:ascii="Arial" w:hAnsi="Arial" w:eastAsia="黑体"/>
      <w:b/>
      <w:sz w:val="28"/>
    </w:rPr>
  </w:style>
  <w:style w:type="character" w:customStyle="1" w:styleId="64">
    <w:name w:val="标题 5 字符"/>
    <w:link w:val="7"/>
    <w:qFormat/>
    <w:uiPriority w:val="0"/>
    <w:rPr>
      <w:b/>
      <w:sz w:val="28"/>
    </w:rPr>
  </w:style>
  <w:style w:type="character" w:customStyle="1" w:styleId="65">
    <w:name w:val="标题 6 字符"/>
    <w:link w:val="8"/>
    <w:qFormat/>
    <w:uiPriority w:val="0"/>
    <w:rPr>
      <w:rFonts w:ascii="Arial" w:hAnsi="Arial" w:eastAsia="黑体"/>
      <w:b/>
      <w:sz w:val="24"/>
    </w:rPr>
  </w:style>
  <w:style w:type="character" w:customStyle="1" w:styleId="66">
    <w:name w:val="标题 7 字符"/>
    <w:link w:val="9"/>
    <w:qFormat/>
    <w:uiPriority w:val="0"/>
    <w:rPr>
      <w:b/>
      <w:sz w:val="24"/>
    </w:rPr>
  </w:style>
  <w:style w:type="character" w:customStyle="1" w:styleId="67">
    <w:name w:val="标题 8 字符"/>
    <w:link w:val="10"/>
    <w:qFormat/>
    <w:uiPriority w:val="0"/>
    <w:rPr>
      <w:rFonts w:ascii="Arial" w:hAnsi="Arial" w:eastAsia="黑体"/>
      <w:sz w:val="24"/>
    </w:rPr>
  </w:style>
  <w:style w:type="character" w:customStyle="1" w:styleId="68">
    <w:name w:val="标题 9 字符"/>
    <w:link w:val="11"/>
    <w:qFormat/>
    <w:uiPriority w:val="0"/>
    <w:rPr>
      <w:rFonts w:ascii="Arial" w:hAnsi="Arial" w:eastAsia="黑体"/>
      <w:sz w:val="21"/>
    </w:rPr>
  </w:style>
  <w:style w:type="character" w:customStyle="1" w:styleId="69">
    <w:name w:val="文档结构图 字符"/>
    <w:link w:val="15"/>
    <w:qFormat/>
    <w:uiPriority w:val="0"/>
    <w:rPr>
      <w:kern w:val="2"/>
      <w:sz w:val="21"/>
      <w:szCs w:val="24"/>
      <w:shd w:val="clear" w:color="auto" w:fill="000080"/>
    </w:rPr>
  </w:style>
  <w:style w:type="character" w:customStyle="1" w:styleId="70">
    <w:name w:val="批注文字 字符1"/>
    <w:link w:val="16"/>
    <w:qFormat/>
    <w:uiPriority w:val="99"/>
    <w:rPr>
      <w:kern w:val="2"/>
      <w:sz w:val="21"/>
      <w:szCs w:val="24"/>
    </w:rPr>
  </w:style>
  <w:style w:type="character" w:customStyle="1" w:styleId="71">
    <w:name w:val="正文文本 3 字符"/>
    <w:link w:val="17"/>
    <w:qFormat/>
    <w:uiPriority w:val="0"/>
    <w:rPr>
      <w:kern w:val="2"/>
      <w:sz w:val="16"/>
      <w:szCs w:val="16"/>
    </w:rPr>
  </w:style>
  <w:style w:type="character" w:customStyle="1" w:styleId="72">
    <w:name w:val="正文文本 字符"/>
    <w:link w:val="18"/>
    <w:qFormat/>
    <w:uiPriority w:val="0"/>
    <w:rPr>
      <w:rFonts w:ascii="宋体" w:hAnsi="宋体"/>
      <w:kern w:val="2"/>
      <w:sz w:val="24"/>
      <w:szCs w:val="24"/>
    </w:rPr>
  </w:style>
  <w:style w:type="character" w:customStyle="1" w:styleId="73">
    <w:name w:val="正文文本缩进 字符"/>
    <w:link w:val="19"/>
    <w:qFormat/>
    <w:uiPriority w:val="0"/>
    <w:rPr>
      <w:rFonts w:eastAsia="宋体"/>
      <w:kern w:val="2"/>
      <w:sz w:val="24"/>
      <w:szCs w:val="24"/>
      <w:lang w:val="en-US" w:eastAsia="zh-CN" w:bidi="ar-SA"/>
    </w:rPr>
  </w:style>
  <w:style w:type="character" w:customStyle="1" w:styleId="74">
    <w:name w:val="纯文本 字符2"/>
    <w:link w:val="24"/>
    <w:qFormat/>
    <w:uiPriority w:val="0"/>
    <w:rPr>
      <w:rFonts w:hint="eastAsia" w:ascii="宋体" w:hAnsi="Courier New" w:eastAsia="宋体" w:cs="宋体"/>
      <w:kern w:val="2"/>
      <w:sz w:val="21"/>
    </w:rPr>
  </w:style>
  <w:style w:type="character" w:customStyle="1" w:styleId="75">
    <w:name w:val="日期 字符"/>
    <w:link w:val="26"/>
    <w:qFormat/>
    <w:uiPriority w:val="0"/>
    <w:rPr>
      <w:rFonts w:ascii="仿宋_GB2312" w:hAnsi="宋体" w:eastAsia="仿宋_GB2312"/>
      <w:color w:val="000000"/>
      <w:kern w:val="2"/>
      <w:sz w:val="24"/>
      <w:szCs w:val="24"/>
    </w:rPr>
  </w:style>
  <w:style w:type="character" w:customStyle="1" w:styleId="76">
    <w:name w:val="正文文本缩进 2 字符"/>
    <w:link w:val="27"/>
    <w:qFormat/>
    <w:uiPriority w:val="0"/>
    <w:rPr>
      <w:rFonts w:ascii="仿宋_GB2312" w:eastAsia="仿宋_GB2312"/>
      <w:kern w:val="2"/>
      <w:sz w:val="24"/>
      <w:szCs w:val="24"/>
    </w:rPr>
  </w:style>
  <w:style w:type="character" w:customStyle="1" w:styleId="77">
    <w:name w:val="批注框文本 字符"/>
    <w:link w:val="28"/>
    <w:qFormat/>
    <w:uiPriority w:val="0"/>
    <w:rPr>
      <w:kern w:val="2"/>
      <w:sz w:val="18"/>
      <w:szCs w:val="18"/>
    </w:rPr>
  </w:style>
  <w:style w:type="character" w:customStyle="1" w:styleId="78">
    <w:name w:val="页脚 字符"/>
    <w:link w:val="29"/>
    <w:qFormat/>
    <w:uiPriority w:val="99"/>
    <w:rPr>
      <w:rFonts w:ascii="宋体" w:eastAsia="宋体"/>
      <w:sz w:val="18"/>
      <w:lang w:val="en-US" w:eastAsia="zh-CN" w:bidi="ar-SA"/>
    </w:rPr>
  </w:style>
  <w:style w:type="character" w:customStyle="1" w:styleId="79">
    <w:name w:val="页眉 字符"/>
    <w:link w:val="31"/>
    <w:qFormat/>
    <w:uiPriority w:val="0"/>
    <w:rPr>
      <w:rFonts w:eastAsia="宋体"/>
      <w:kern w:val="2"/>
      <w:sz w:val="18"/>
      <w:szCs w:val="18"/>
      <w:lang w:val="en-US" w:eastAsia="zh-CN" w:bidi="ar-SA"/>
    </w:rPr>
  </w:style>
  <w:style w:type="character" w:customStyle="1" w:styleId="80">
    <w:name w:val="正文文本缩进 3 字符"/>
    <w:link w:val="37"/>
    <w:qFormat/>
    <w:uiPriority w:val="0"/>
    <w:rPr>
      <w:rFonts w:ascii="宋体"/>
      <w:sz w:val="24"/>
    </w:rPr>
  </w:style>
  <w:style w:type="character" w:customStyle="1" w:styleId="81">
    <w:name w:val="HTML 预设格式 字符"/>
    <w:link w:val="40"/>
    <w:qFormat/>
    <w:uiPriority w:val="0"/>
    <w:rPr>
      <w:rFonts w:ascii="宋体" w:hAnsi="宋体" w:cs="宋体"/>
      <w:sz w:val="24"/>
      <w:szCs w:val="24"/>
    </w:rPr>
  </w:style>
  <w:style w:type="character" w:customStyle="1" w:styleId="82">
    <w:name w:val="标题 字符"/>
    <w:link w:val="43"/>
    <w:qFormat/>
    <w:uiPriority w:val="0"/>
    <w:rPr>
      <w:b/>
      <w:kern w:val="2"/>
      <w:sz w:val="32"/>
    </w:rPr>
  </w:style>
  <w:style w:type="character" w:customStyle="1" w:styleId="83">
    <w:name w:val="批注主题 字符"/>
    <w:link w:val="44"/>
    <w:qFormat/>
    <w:uiPriority w:val="0"/>
    <w:rPr>
      <w:rFonts w:ascii="Times New Roman" w:hAnsi="Times New Roman" w:eastAsia="宋体" w:cs="Times New Roman"/>
      <w:b/>
      <w:bCs/>
      <w:kern w:val="2"/>
      <w:sz w:val="21"/>
      <w:szCs w:val="24"/>
      <w:lang w:val="en-US" w:eastAsia="zh-CN" w:bidi="ar-SA"/>
    </w:rPr>
  </w:style>
  <w:style w:type="character" w:customStyle="1" w:styleId="84">
    <w:name w:val="批注文字 字符"/>
    <w:qFormat/>
    <w:uiPriority w:val="99"/>
    <w:rPr>
      <w:rFonts w:ascii="Times New Roman" w:hAnsi="Times New Roman" w:eastAsia="宋体" w:cs="Times New Roman"/>
      <w:sz w:val="24"/>
      <w:lang w:val="en-US" w:eastAsia="zh-CN" w:bidi="ar-SA"/>
    </w:rPr>
  </w:style>
  <w:style w:type="character" w:customStyle="1" w:styleId="85">
    <w:name w:val="正文首行缩进 2 字符"/>
    <w:link w:val="46"/>
    <w:qFormat/>
    <w:uiPriority w:val="0"/>
    <w:rPr>
      <w:rFonts w:eastAsia="宋体"/>
      <w:kern w:val="2"/>
      <w:sz w:val="24"/>
      <w:szCs w:val="24"/>
      <w:lang w:val="en-US" w:eastAsia="zh-CN" w:bidi="ar-SA"/>
    </w:rPr>
  </w:style>
  <w:style w:type="character" w:customStyle="1" w:styleId="86">
    <w:name w:val="Char Char111"/>
    <w:qFormat/>
    <w:uiPriority w:val="0"/>
    <w:rPr>
      <w:rFonts w:ascii="宋体" w:eastAsia="宋体"/>
      <w:b/>
      <w:sz w:val="24"/>
      <w:u w:val="single"/>
      <w:lang w:val="en-US" w:eastAsia="zh-CN" w:bidi="ar-SA"/>
    </w:rPr>
  </w:style>
  <w:style w:type="character" w:customStyle="1" w:styleId="87">
    <w:name w:val="bjh-p"/>
    <w:qFormat/>
    <w:uiPriority w:val="0"/>
  </w:style>
  <w:style w:type="character" w:customStyle="1" w:styleId="88">
    <w:name w:val="纯文本 字符"/>
    <w:qFormat/>
    <w:uiPriority w:val="99"/>
    <w:rPr>
      <w:rFonts w:ascii="宋体" w:hAnsi="Courier New" w:eastAsia="宋体" w:cs="Times New Roman"/>
      <w:kern w:val="2"/>
      <w:sz w:val="21"/>
      <w:szCs w:val="21"/>
      <w:lang w:val="en-US" w:eastAsia="zh-CN" w:bidi="ar-SA"/>
    </w:rPr>
  </w:style>
  <w:style w:type="character" w:customStyle="1" w:styleId="89">
    <w:name w:val="正文重点 Char"/>
    <w:link w:val="90"/>
    <w:qFormat/>
    <w:uiPriority w:val="0"/>
    <w:rPr>
      <w:b/>
      <w:sz w:val="24"/>
    </w:rPr>
  </w:style>
  <w:style w:type="paragraph" w:customStyle="1" w:styleId="90">
    <w:name w:val="正文重点"/>
    <w:basedOn w:val="1"/>
    <w:link w:val="89"/>
    <w:qFormat/>
    <w:uiPriority w:val="0"/>
    <w:pPr>
      <w:adjustRightInd w:val="0"/>
      <w:spacing w:line="360" w:lineRule="auto"/>
      <w:ind w:firstLine="482" w:firstLineChars="200"/>
      <w:jc w:val="left"/>
      <w:textAlignment w:val="baseline"/>
    </w:pPr>
    <w:rPr>
      <w:b/>
      <w:kern w:val="0"/>
      <w:sz w:val="24"/>
      <w:szCs w:val="20"/>
    </w:rPr>
  </w:style>
  <w:style w:type="character" w:customStyle="1" w:styleId="91">
    <w:name w:val="Char Char11"/>
    <w:qFormat/>
    <w:uiPriority w:val="0"/>
    <w:rPr>
      <w:rFonts w:ascii="宋体" w:eastAsia="宋体"/>
      <w:b/>
      <w:sz w:val="24"/>
      <w:u w:val="single"/>
      <w:lang w:val="en-US" w:eastAsia="zh-CN" w:bidi="ar-SA"/>
    </w:rPr>
  </w:style>
  <w:style w:type="character" w:customStyle="1" w:styleId="92">
    <w:name w:val="chanpin1"/>
    <w:qFormat/>
    <w:uiPriority w:val="0"/>
    <w:rPr>
      <w:rFonts w:hint="default" w:ascii="ˎ̥" w:hAnsi="ˎ̥"/>
      <w:color w:val="000000"/>
      <w:sz w:val="20"/>
      <w:szCs w:val="20"/>
      <w:u w:val="none"/>
    </w:rPr>
  </w:style>
  <w:style w:type="character" w:customStyle="1" w:styleId="93">
    <w:name w:val="标题 Char"/>
    <w:qFormat/>
    <w:uiPriority w:val="0"/>
    <w:rPr>
      <w:b/>
      <w:kern w:val="2"/>
      <w:sz w:val="32"/>
    </w:rPr>
  </w:style>
  <w:style w:type="character" w:customStyle="1" w:styleId="94">
    <w:name w:val="段1 Char"/>
    <w:qFormat/>
    <w:uiPriority w:val="0"/>
    <w:rPr>
      <w:rFonts w:ascii="宋体" w:eastAsia="宋体"/>
      <w:sz w:val="24"/>
      <w:lang w:val="en-US" w:eastAsia="zh-CN" w:bidi="ar-SA"/>
    </w:rPr>
  </w:style>
  <w:style w:type="character" w:customStyle="1" w:styleId="95">
    <w:name w:val="页脚 Char"/>
    <w:qFormat/>
    <w:uiPriority w:val="0"/>
    <w:rPr>
      <w:rFonts w:ascii="宋体" w:eastAsia="宋体"/>
      <w:sz w:val="18"/>
      <w:lang w:val="en-US" w:eastAsia="zh-CN" w:bidi="ar-SA"/>
    </w:rPr>
  </w:style>
  <w:style w:type="character" w:customStyle="1" w:styleId="96">
    <w:name w:val="c21"/>
    <w:qFormat/>
    <w:uiPriority w:val="0"/>
    <w:rPr>
      <w:rFonts w:hint="default" w:ascii="ˎ̥" w:hAnsi="ˎ̥"/>
      <w:color w:val="000000"/>
      <w:sz w:val="20"/>
      <w:szCs w:val="20"/>
      <w:u w:val="none"/>
    </w:rPr>
  </w:style>
  <w:style w:type="character" w:customStyle="1" w:styleId="97">
    <w:name w:val="标题 3 Char"/>
    <w:qFormat/>
    <w:uiPriority w:val="0"/>
    <w:rPr>
      <w:rFonts w:ascii="宋体" w:eastAsia="宋体"/>
      <w:b/>
      <w:sz w:val="24"/>
      <w:u w:val="single"/>
      <w:lang w:val="en-US" w:eastAsia="zh-CN" w:bidi="ar-SA"/>
    </w:rPr>
  </w:style>
  <w:style w:type="character" w:customStyle="1" w:styleId="98">
    <w:name w:val="正文大标题 Char"/>
    <w:link w:val="99"/>
    <w:qFormat/>
    <w:uiPriority w:val="0"/>
    <w:rPr>
      <w:rFonts w:ascii="宋体" w:hAnsi="宋体"/>
      <w:b/>
      <w:color w:val="000000"/>
      <w:kern w:val="2"/>
      <w:sz w:val="28"/>
      <w:szCs w:val="21"/>
    </w:rPr>
  </w:style>
  <w:style w:type="paragraph" w:customStyle="1" w:styleId="99">
    <w:name w:val="正文大标题"/>
    <w:basedOn w:val="100"/>
    <w:next w:val="4"/>
    <w:link w:val="98"/>
    <w:qFormat/>
    <w:uiPriority w:val="0"/>
    <w:pPr>
      <w:jc w:val="center"/>
    </w:pPr>
    <w:rPr>
      <w:i w:val="0"/>
      <w:color w:val="000000"/>
      <w:sz w:val="28"/>
      <w:szCs w:val="21"/>
    </w:rPr>
  </w:style>
  <w:style w:type="paragraph" w:customStyle="1" w:styleId="100">
    <w:name w:val="正文小标题"/>
    <w:basedOn w:val="1"/>
    <w:next w:val="4"/>
    <w:link w:val="101"/>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01">
    <w:name w:val="正文小标题 Char"/>
    <w:link w:val="100"/>
    <w:qFormat/>
    <w:uiPriority w:val="0"/>
    <w:rPr>
      <w:rFonts w:ascii="宋体" w:hAnsi="宋体"/>
      <w:b/>
      <w:i/>
      <w:color w:val="FF0000"/>
      <w:kern w:val="2"/>
      <w:sz w:val="24"/>
    </w:rPr>
  </w:style>
  <w:style w:type="character" w:customStyle="1" w:styleId="102">
    <w:name w:val="正文格式 Char"/>
    <w:link w:val="103"/>
    <w:qFormat/>
    <w:locked/>
    <w:uiPriority w:val="0"/>
    <w:rPr>
      <w:rFonts w:ascii="宋体" w:hAnsi="宋体"/>
      <w:sz w:val="24"/>
      <w:szCs w:val="24"/>
      <w:lang w:val="en-GB"/>
    </w:rPr>
  </w:style>
  <w:style w:type="paragraph" w:customStyle="1" w:styleId="103">
    <w:name w:val="正文格式"/>
    <w:basedOn w:val="1"/>
    <w:link w:val="102"/>
    <w:qFormat/>
    <w:uiPriority w:val="0"/>
    <w:pPr>
      <w:spacing w:beforeLines="50" w:line="360" w:lineRule="auto"/>
      <w:ind w:firstLine="480" w:firstLineChars="200"/>
    </w:pPr>
    <w:rPr>
      <w:rFonts w:ascii="宋体" w:hAnsi="宋体"/>
      <w:kern w:val="0"/>
      <w:sz w:val="24"/>
      <w:lang w:val="en-GB"/>
    </w:rPr>
  </w:style>
  <w:style w:type="character" w:customStyle="1" w:styleId="104">
    <w:name w:val="中等深浅网格 1 - 强调文字颜色 2 Char"/>
    <w:link w:val="105"/>
    <w:qFormat/>
    <w:uiPriority w:val="0"/>
    <w:rPr>
      <w:kern w:val="2"/>
      <w:sz w:val="21"/>
      <w:szCs w:val="24"/>
      <w:lang w:val="zh-CN" w:eastAsia="zh-CN" w:bidi="ar-SA"/>
    </w:rPr>
  </w:style>
  <w:style w:type="paragraph" w:customStyle="1" w:styleId="105">
    <w:name w:val="1"/>
    <w:link w:val="104"/>
    <w:qFormat/>
    <w:uiPriority w:val="0"/>
    <w:rPr>
      <w:rFonts w:ascii="Times New Roman" w:hAnsi="Times New Roman" w:eastAsia="宋体" w:cs="Times New Roman"/>
      <w:kern w:val="2"/>
      <w:sz w:val="21"/>
      <w:szCs w:val="24"/>
      <w:lang w:val="zh-CN" w:eastAsia="zh-CN" w:bidi="ar-SA"/>
    </w:rPr>
  </w:style>
  <w:style w:type="character" w:customStyle="1" w:styleId="106">
    <w:name w:val="locality"/>
    <w:qFormat/>
    <w:uiPriority w:val="0"/>
  </w:style>
  <w:style w:type="character" w:customStyle="1" w:styleId="107">
    <w:name w:val="批注文字 Char"/>
    <w:qFormat/>
    <w:uiPriority w:val="99"/>
    <w:rPr>
      <w:kern w:val="2"/>
      <w:sz w:val="21"/>
      <w:szCs w:val="24"/>
    </w:rPr>
  </w:style>
  <w:style w:type="character" w:customStyle="1" w:styleId="108">
    <w:name w:val="正文表格 Char"/>
    <w:link w:val="109"/>
    <w:qFormat/>
    <w:uiPriority w:val="0"/>
    <w:rPr>
      <w:rFonts w:ascii="宋体" w:hAnsi="宋体"/>
      <w:color w:val="000000"/>
      <w:kern w:val="2"/>
      <w:sz w:val="21"/>
      <w:szCs w:val="21"/>
    </w:rPr>
  </w:style>
  <w:style w:type="paragraph" w:customStyle="1" w:styleId="109">
    <w:name w:val="正文表格"/>
    <w:basedOn w:val="1"/>
    <w:link w:val="108"/>
    <w:qFormat/>
    <w:uiPriority w:val="0"/>
    <w:pPr>
      <w:adjustRightInd w:val="0"/>
      <w:snapToGrid w:val="0"/>
      <w:jc w:val="left"/>
    </w:pPr>
    <w:rPr>
      <w:rFonts w:ascii="宋体" w:hAnsi="宋体"/>
      <w:color w:val="000000"/>
      <w:szCs w:val="21"/>
    </w:rPr>
  </w:style>
  <w:style w:type="character" w:customStyle="1" w:styleId="110">
    <w:name w:val="纯文本 字符1"/>
    <w:qFormat/>
    <w:uiPriority w:val="0"/>
    <w:rPr>
      <w:rFonts w:ascii="宋体" w:hAnsi="Courier New"/>
    </w:rPr>
  </w:style>
  <w:style w:type="character" w:customStyle="1" w:styleId="111">
    <w:name w:val="纯文本 Char1"/>
    <w:qFormat/>
    <w:uiPriority w:val="0"/>
    <w:rPr>
      <w:rFonts w:ascii="宋体" w:hAnsi="Courier New" w:eastAsia="宋体"/>
      <w:kern w:val="2"/>
      <w:sz w:val="21"/>
      <w:lang w:val="en-US" w:eastAsia="zh-CN" w:bidi="ar-SA"/>
    </w:rPr>
  </w:style>
  <w:style w:type="character" w:customStyle="1" w:styleId="112">
    <w:name w:val="street-address"/>
    <w:qFormat/>
    <w:uiPriority w:val="0"/>
  </w:style>
  <w:style w:type="character" w:customStyle="1" w:styleId="113">
    <w:name w:val="列出段落 字符"/>
    <w:link w:val="114"/>
    <w:qFormat/>
    <w:uiPriority w:val="34"/>
    <w:rPr>
      <w:rFonts w:ascii="Calibri" w:hAnsi="Calibri" w:eastAsia="宋体"/>
      <w:kern w:val="2"/>
      <w:sz w:val="21"/>
      <w:szCs w:val="22"/>
      <w:lang w:val="en-US" w:eastAsia="zh-CN" w:bidi="ar-SA"/>
    </w:rPr>
  </w:style>
  <w:style w:type="paragraph" w:styleId="114">
    <w:name w:val="List Paragraph"/>
    <w:basedOn w:val="1"/>
    <w:link w:val="113"/>
    <w:qFormat/>
    <w:uiPriority w:val="34"/>
    <w:pPr>
      <w:ind w:firstLine="420" w:firstLineChars="200"/>
    </w:pPr>
    <w:rPr>
      <w:rFonts w:ascii="Calibri" w:hAnsi="Calibri"/>
      <w:szCs w:val="22"/>
    </w:rPr>
  </w:style>
  <w:style w:type="character" w:customStyle="1" w:styleId="115">
    <w:name w:val="txt"/>
    <w:qFormat/>
    <w:uiPriority w:val="0"/>
  </w:style>
  <w:style w:type="character" w:customStyle="1" w:styleId="116">
    <w:name w:val="列出段落 Char"/>
    <w:qFormat/>
    <w:uiPriority w:val="0"/>
    <w:rPr>
      <w:rFonts w:ascii="Calibri" w:hAnsi="Calibri" w:eastAsia="宋体"/>
      <w:kern w:val="2"/>
      <w:sz w:val="21"/>
      <w:szCs w:val="22"/>
      <w:lang w:val="en-US" w:eastAsia="zh-CN" w:bidi="ar-SA"/>
    </w:rPr>
  </w:style>
  <w:style w:type="character" w:customStyle="1" w:styleId="117">
    <w:name w:val="black1"/>
    <w:qFormat/>
    <w:uiPriority w:val="0"/>
    <w:rPr>
      <w:color w:val="000000"/>
    </w:rPr>
  </w:style>
  <w:style w:type="character" w:customStyle="1" w:styleId="118">
    <w:name w:val="正文文本缩进 Char"/>
    <w:qFormat/>
    <w:uiPriority w:val="0"/>
    <w:rPr>
      <w:rFonts w:eastAsia="宋体"/>
      <w:kern w:val="2"/>
      <w:sz w:val="24"/>
      <w:szCs w:val="24"/>
      <w:lang w:val="en-US" w:eastAsia="zh-CN" w:bidi="ar-SA"/>
    </w:rPr>
  </w:style>
  <w:style w:type="character" w:customStyle="1" w:styleId="119">
    <w:name w:val="正文缩进 Char Char"/>
    <w:link w:val="120"/>
    <w:qFormat/>
    <w:uiPriority w:val="0"/>
    <w:rPr>
      <w:rFonts w:ascii="宋体" w:eastAsia="宋体"/>
      <w:snapToGrid w:val="0"/>
      <w:color w:val="000000"/>
      <w:kern w:val="28"/>
      <w:sz w:val="28"/>
      <w:lang w:bidi="ar-SA"/>
    </w:rPr>
  </w:style>
  <w:style w:type="paragraph" w:customStyle="1" w:styleId="120">
    <w:name w:val="正文缩进1"/>
    <w:basedOn w:val="1"/>
    <w:link w:val="119"/>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121">
    <w:name w:val="标题 2 Char Char"/>
    <w:qFormat/>
    <w:uiPriority w:val="0"/>
    <w:rPr>
      <w:rFonts w:ascii="Arial" w:hAnsi="Arial" w:eastAsia="黑体"/>
      <w:b/>
      <w:bCs/>
      <w:kern w:val="2"/>
      <w:sz w:val="32"/>
      <w:szCs w:val="32"/>
      <w:lang w:val="en-US" w:eastAsia="zh-CN" w:bidi="ar-SA"/>
    </w:rPr>
  </w:style>
  <w:style w:type="character" w:customStyle="1" w:styleId="122">
    <w:name w:val="正文缩进 Char"/>
    <w:qFormat/>
    <w:uiPriority w:val="0"/>
    <w:rPr>
      <w:rFonts w:ascii="宋体" w:eastAsia="宋体"/>
      <w:kern w:val="2"/>
      <w:sz w:val="24"/>
      <w:szCs w:val="24"/>
      <w:lang w:val="en-US" w:eastAsia="zh-CN" w:bidi="ar-SA"/>
    </w:rPr>
  </w:style>
  <w:style w:type="character" w:customStyle="1" w:styleId="123">
    <w:name w:val="普通文字1 Char1"/>
    <w:qFormat/>
    <w:uiPriority w:val="0"/>
    <w:rPr>
      <w:rFonts w:ascii="宋体" w:hAnsi="Courier New" w:eastAsia="宋体"/>
      <w:kern w:val="2"/>
      <w:sz w:val="21"/>
      <w:lang w:val="en-US" w:eastAsia="zh-CN" w:bidi="ar-SA"/>
    </w:rPr>
  </w:style>
  <w:style w:type="character" w:customStyle="1" w:styleId="124">
    <w:name w:val="页眉 Char"/>
    <w:qFormat/>
    <w:uiPriority w:val="0"/>
    <w:rPr>
      <w:rFonts w:eastAsia="宋体"/>
      <w:kern w:val="2"/>
      <w:sz w:val="18"/>
      <w:szCs w:val="18"/>
      <w:lang w:val="en-US" w:eastAsia="zh-CN" w:bidi="ar-SA"/>
    </w:rPr>
  </w:style>
  <w:style w:type="character" w:customStyle="1" w:styleId="125">
    <w:name w:val="注释 Char"/>
    <w:link w:val="126"/>
    <w:qFormat/>
    <w:uiPriority w:val="0"/>
    <w:rPr>
      <w:rFonts w:ascii="宋体" w:hAnsi="宋体"/>
      <w:kern w:val="2"/>
      <w:sz w:val="21"/>
      <w:szCs w:val="21"/>
    </w:rPr>
  </w:style>
  <w:style w:type="paragraph" w:customStyle="1" w:styleId="126">
    <w:name w:val="注释"/>
    <w:basedOn w:val="1"/>
    <w:link w:val="125"/>
    <w:qFormat/>
    <w:uiPriority w:val="0"/>
    <w:pPr>
      <w:adjustRightInd w:val="0"/>
      <w:snapToGrid w:val="0"/>
      <w:ind w:left="420" w:hanging="420" w:hangingChars="200"/>
      <w:jc w:val="left"/>
    </w:pPr>
    <w:rPr>
      <w:rFonts w:ascii="宋体" w:hAnsi="宋体"/>
      <w:szCs w:val="21"/>
    </w:rPr>
  </w:style>
  <w:style w:type="character" w:customStyle="1" w:styleId="127">
    <w:name w:val="成文日期 Char"/>
    <w:link w:val="128"/>
    <w:qFormat/>
    <w:uiPriority w:val="0"/>
    <w:rPr>
      <w:rFonts w:ascii="仿宋_GB2312" w:eastAsia="仿宋_GB2312"/>
      <w:kern w:val="2"/>
      <w:sz w:val="32"/>
    </w:rPr>
  </w:style>
  <w:style w:type="paragraph" w:customStyle="1" w:styleId="128">
    <w:name w:val="成文日期"/>
    <w:basedOn w:val="1"/>
    <w:link w:val="127"/>
    <w:qFormat/>
    <w:uiPriority w:val="0"/>
    <w:pPr>
      <w:spacing w:line="570" w:lineRule="exact"/>
      <w:ind w:right="400" w:rightChars="400" w:firstLine="200" w:firstLineChars="200"/>
      <w:jc w:val="right"/>
    </w:pPr>
    <w:rPr>
      <w:rFonts w:ascii="仿宋_GB2312" w:eastAsia="仿宋_GB2312"/>
      <w:sz w:val="32"/>
      <w:szCs w:val="20"/>
    </w:rPr>
  </w:style>
  <w:style w:type="character" w:customStyle="1" w:styleId="129">
    <w:name w:val="apple-style-span"/>
    <w:qFormat/>
    <w:uiPriority w:val="0"/>
    <w:rPr>
      <w:rFonts w:cs="Times New Roman"/>
    </w:rPr>
  </w:style>
  <w:style w:type="character" w:customStyle="1" w:styleId="130">
    <w:name w:val="title4"/>
    <w:qFormat/>
    <w:uiPriority w:val="0"/>
    <w:rPr>
      <w:b/>
      <w:bCs/>
      <w:color w:val="1D87B3"/>
      <w:sz w:val="15"/>
      <w:szCs w:val="15"/>
    </w:rPr>
  </w:style>
  <w:style w:type="character" w:customStyle="1" w:styleId="131">
    <w:name w:val="标题 2 Char"/>
    <w:qFormat/>
    <w:uiPriority w:val="0"/>
    <w:rPr>
      <w:rFonts w:ascii="Arial" w:hAnsi="Arial" w:eastAsia="黑体"/>
      <w:b/>
      <w:sz w:val="30"/>
      <w:lang w:val="en-US" w:eastAsia="zh-CN" w:bidi="ar-SA"/>
    </w:rPr>
  </w:style>
  <w:style w:type="character" w:customStyle="1" w:styleId="132">
    <w:name w:val="标题 3 Char Char"/>
    <w:qFormat/>
    <w:uiPriority w:val="0"/>
    <w:rPr>
      <w:rFonts w:eastAsia="宋体"/>
      <w:b/>
      <w:bCs/>
      <w:kern w:val="2"/>
      <w:sz w:val="32"/>
      <w:szCs w:val="32"/>
      <w:lang w:val="en-US" w:eastAsia="zh-CN" w:bidi="ar-SA"/>
    </w:rPr>
  </w:style>
  <w:style w:type="character" w:customStyle="1" w:styleId="133">
    <w:name w:val="正文文本缩进 Char1"/>
    <w:link w:val="134"/>
    <w:qFormat/>
    <w:uiPriority w:val="0"/>
    <w:rPr>
      <w:rFonts w:ascii="宋体" w:hAnsi="宋体" w:eastAsia="宋体"/>
      <w:sz w:val="24"/>
      <w:szCs w:val="24"/>
      <w:lang w:bidi="ar-SA"/>
    </w:rPr>
  </w:style>
  <w:style w:type="paragraph" w:customStyle="1" w:styleId="134">
    <w:name w:val="正文文本缩进1"/>
    <w:basedOn w:val="1"/>
    <w:link w:val="133"/>
    <w:qFormat/>
    <w:uiPriority w:val="0"/>
    <w:pPr>
      <w:spacing w:line="480" w:lineRule="exact"/>
      <w:ind w:firstLine="480" w:firstLineChars="200"/>
    </w:pPr>
    <w:rPr>
      <w:rFonts w:ascii="宋体" w:hAnsi="宋体"/>
      <w:kern w:val="0"/>
      <w:sz w:val="24"/>
    </w:rPr>
  </w:style>
  <w:style w:type="character" w:customStyle="1" w:styleId="135">
    <w:name w:val="chanpin拷贝"/>
    <w:qFormat/>
    <w:uiPriority w:val="0"/>
  </w:style>
  <w:style w:type="paragraph" w:customStyle="1" w:styleId="136">
    <w:name w:val="样式 标题 2 + 宋体 五号 行距: 单倍行距"/>
    <w:basedOn w:val="3"/>
    <w:qFormat/>
    <w:uiPriority w:val="0"/>
    <w:pPr>
      <w:numPr>
        <w:ilvl w:val="1"/>
        <w:numId w:val="1"/>
      </w:numPr>
      <w:autoSpaceDE/>
      <w:autoSpaceDN/>
      <w:spacing w:before="260" w:after="260" w:line="240" w:lineRule="auto"/>
      <w:jc w:val="left"/>
      <w:textAlignment w:val="baseline"/>
    </w:pPr>
    <w:rPr>
      <w:rFonts w:ascii="宋体" w:hAnsi="宋体" w:eastAsia="宋体"/>
      <w:bCs/>
      <w:sz w:val="21"/>
    </w:rPr>
  </w:style>
  <w:style w:type="paragraph" w:customStyle="1" w:styleId="137">
    <w:name w:val="正文须知-1级"/>
    <w:basedOn w:val="1"/>
    <w:next w:val="1"/>
    <w:qFormat/>
    <w:uiPriority w:val="0"/>
    <w:pPr>
      <w:numPr>
        <w:ilvl w:val="0"/>
        <w:numId w:val="2"/>
      </w:numPr>
      <w:adjustRightInd w:val="0"/>
      <w:snapToGrid w:val="0"/>
      <w:spacing w:line="300" w:lineRule="auto"/>
    </w:pPr>
    <w:rPr>
      <w:rFonts w:ascii="宋体" w:hAnsi="Calibri"/>
      <w:sz w:val="24"/>
      <w:szCs w:val="21"/>
    </w:rPr>
  </w:style>
  <w:style w:type="paragraph" w:customStyle="1" w:styleId="138">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39">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40">
    <w:name w:val="纯文本1"/>
    <w:next w:val="33"/>
    <w:qFormat/>
    <w:uiPriority w:val="0"/>
    <w:pPr>
      <w:widowControl w:val="0"/>
      <w:adjustRightInd w:val="0"/>
      <w:jc w:val="both"/>
      <w:textAlignment w:val="baseline"/>
    </w:pPr>
    <w:rPr>
      <w:rFonts w:ascii="宋体" w:hAnsi="宋体" w:eastAsia="宋体" w:cs="Times New Roman"/>
      <w:kern w:val="2"/>
      <w:sz w:val="26"/>
      <w:lang w:val="en-US" w:eastAsia="zh-CN" w:bidi="ar-SA"/>
    </w:rPr>
  </w:style>
  <w:style w:type="paragraph" w:customStyle="1" w:styleId="141">
    <w:name w:val="修订1"/>
    <w:qFormat/>
    <w:uiPriority w:val="0"/>
    <w:rPr>
      <w:rFonts w:ascii="Times New Roman" w:hAnsi="Times New Roman" w:eastAsia="宋体" w:cs="Times New Roman"/>
      <w:kern w:val="2"/>
      <w:sz w:val="21"/>
      <w:szCs w:val="24"/>
      <w:lang w:val="en-US" w:eastAsia="zh-CN" w:bidi="ar-SA"/>
    </w:rPr>
  </w:style>
  <w:style w:type="paragraph" w:customStyle="1" w:styleId="142">
    <w:name w:val="二级条标题"/>
    <w:basedOn w:val="143"/>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43">
    <w:name w:val="一级条标题"/>
    <w:basedOn w:val="144"/>
    <w:next w:val="1"/>
    <w:qFormat/>
    <w:uiPriority w:val="0"/>
    <w:pPr>
      <w:numPr>
        <w:ilvl w:val="1"/>
      </w:numPr>
      <w:tabs>
        <w:tab w:val="left" w:pos="360"/>
        <w:tab w:val="left" w:pos="840"/>
      </w:tabs>
      <w:ind w:left="0" w:hanging="840"/>
      <w:outlineLvl w:val="1"/>
    </w:pPr>
  </w:style>
  <w:style w:type="paragraph" w:customStyle="1" w:styleId="144">
    <w:name w:val="章标题"/>
    <w:next w:val="1"/>
    <w:qFormat/>
    <w:uiPriority w:val="0"/>
    <w:pPr>
      <w:numPr>
        <w:ilvl w:val="0"/>
        <w:numId w:val="3"/>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45">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46">
    <w:name w:val="Char Char Char1 Char"/>
    <w:basedOn w:val="1"/>
    <w:qFormat/>
    <w:uiPriority w:val="0"/>
    <w:rPr>
      <w:rFonts w:ascii="Tahoma" w:hAnsi="Tahoma"/>
      <w:sz w:val="24"/>
      <w:szCs w:val="20"/>
    </w:rPr>
  </w:style>
  <w:style w:type="paragraph" w:customStyle="1" w:styleId="147">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48">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9">
    <w:name w:val="Char2 Char Char Char Char Char Char"/>
    <w:basedOn w:val="1"/>
    <w:qFormat/>
    <w:uiPriority w:val="0"/>
    <w:pPr>
      <w:widowControl/>
      <w:spacing w:line="400" w:lineRule="exact"/>
      <w:jc w:val="center"/>
    </w:pPr>
  </w:style>
  <w:style w:type="paragraph" w:customStyle="1" w:styleId="150">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51">
    <w:name w:val="1 Char Char Char Char"/>
    <w:basedOn w:val="1"/>
    <w:qFormat/>
    <w:uiPriority w:val="0"/>
    <w:rPr>
      <w:rFonts w:ascii="Tahoma" w:hAnsi="Tahoma"/>
      <w:sz w:val="24"/>
      <w:szCs w:val="20"/>
    </w:rPr>
  </w:style>
  <w:style w:type="paragraph" w:customStyle="1" w:styleId="152">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53">
    <w:name w:val="字元 字元"/>
    <w:basedOn w:val="1"/>
    <w:qFormat/>
    <w:uiPriority w:val="0"/>
    <w:rPr>
      <w:rFonts w:ascii="Tahoma" w:hAnsi="Tahoma"/>
      <w:sz w:val="24"/>
      <w:szCs w:val="20"/>
    </w:rPr>
  </w:style>
  <w:style w:type="paragraph" w:customStyle="1" w:styleId="154">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55">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56">
    <w:name w:val="字元 字元1"/>
    <w:basedOn w:val="1"/>
    <w:qFormat/>
    <w:uiPriority w:val="0"/>
    <w:rPr>
      <w:rFonts w:ascii="Tahoma" w:hAnsi="Tahoma"/>
      <w:sz w:val="24"/>
      <w:szCs w:val="20"/>
    </w:rPr>
  </w:style>
  <w:style w:type="paragraph" w:customStyle="1" w:styleId="157">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58">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59">
    <w:name w:val="font8"/>
    <w:basedOn w:val="1"/>
    <w:qFormat/>
    <w:uiPriority w:val="0"/>
    <w:pPr>
      <w:widowControl/>
      <w:spacing w:before="100" w:beforeAutospacing="1" w:after="100" w:afterAutospacing="1"/>
      <w:jc w:val="left"/>
    </w:pPr>
    <w:rPr>
      <w:kern w:val="0"/>
      <w:sz w:val="36"/>
      <w:szCs w:val="36"/>
    </w:rPr>
  </w:style>
  <w:style w:type="paragraph" w:customStyle="1" w:styleId="160">
    <w:name w:val="Char Char41"/>
    <w:basedOn w:val="1"/>
    <w:qFormat/>
    <w:uiPriority w:val="0"/>
    <w:pPr>
      <w:widowControl/>
      <w:spacing w:line="400" w:lineRule="exact"/>
      <w:jc w:val="center"/>
    </w:pPr>
  </w:style>
  <w:style w:type="paragraph" w:customStyle="1" w:styleId="161">
    <w:name w:val="Char2"/>
    <w:basedOn w:val="1"/>
    <w:qFormat/>
    <w:uiPriority w:val="0"/>
    <w:rPr>
      <w:rFonts w:ascii="Tahoma" w:hAnsi="Tahoma"/>
      <w:sz w:val="24"/>
      <w:szCs w:val="20"/>
    </w:rPr>
  </w:style>
  <w:style w:type="paragraph" w:customStyle="1" w:styleId="162">
    <w:name w:val="正文文本样式 加粗"/>
    <w:basedOn w:val="163"/>
    <w:qFormat/>
    <w:uiPriority w:val="0"/>
    <w:rPr>
      <w:b/>
    </w:rPr>
  </w:style>
  <w:style w:type="paragraph" w:customStyle="1" w:styleId="163">
    <w:name w:val="正文文本样式"/>
    <w:basedOn w:val="1"/>
    <w:qFormat/>
    <w:uiPriority w:val="0"/>
    <w:pPr>
      <w:spacing w:line="360" w:lineRule="auto"/>
      <w:ind w:firstLine="482"/>
    </w:pPr>
    <w:rPr>
      <w:rFonts w:cs="宋体"/>
      <w:sz w:val="24"/>
      <w:szCs w:val="20"/>
    </w:rPr>
  </w:style>
  <w:style w:type="paragraph" w:customStyle="1" w:styleId="164">
    <w:name w:val="项目编号1"/>
    <w:basedOn w:val="1"/>
    <w:qFormat/>
    <w:uiPriority w:val="0"/>
    <w:pPr>
      <w:numPr>
        <w:ilvl w:val="0"/>
        <w:numId w:val="4"/>
      </w:numPr>
      <w:spacing w:before="100" w:beforeAutospacing="1" w:after="100" w:afterAutospacing="1" w:line="360" w:lineRule="auto"/>
    </w:pPr>
    <w:rPr>
      <w:sz w:val="24"/>
    </w:rPr>
  </w:style>
  <w:style w:type="paragraph" w:customStyle="1" w:styleId="165">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66">
    <w:name w:val="_Style 15"/>
    <w:basedOn w:val="1"/>
    <w:next w:val="1"/>
    <w:qFormat/>
    <w:uiPriority w:val="0"/>
    <w:pPr>
      <w:spacing w:after="120"/>
      <w:ind w:left="420" w:leftChars="200" w:firstLine="420" w:firstLineChars="200"/>
    </w:pPr>
    <w:rPr>
      <w:szCs w:val="22"/>
    </w:rPr>
  </w:style>
  <w:style w:type="paragraph" w:customStyle="1" w:styleId="16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68">
    <w:name w:val="正文须知-3级"/>
    <w:basedOn w:val="1"/>
    <w:qFormat/>
    <w:uiPriority w:val="0"/>
    <w:pPr>
      <w:numPr>
        <w:ilvl w:val="2"/>
        <w:numId w:val="2"/>
      </w:numPr>
      <w:adjustRightInd w:val="0"/>
      <w:snapToGrid w:val="0"/>
      <w:spacing w:line="300" w:lineRule="auto"/>
      <w:ind w:hanging="355" w:hangingChars="355"/>
    </w:pPr>
    <w:rPr>
      <w:rFonts w:ascii="宋体" w:hAnsi="Calibri"/>
      <w:sz w:val="24"/>
      <w:szCs w:val="21"/>
    </w:rPr>
  </w:style>
  <w:style w:type="paragraph" w:customStyle="1" w:styleId="169">
    <w:name w:val="标题1-附件"/>
    <w:basedOn w:val="2"/>
    <w:qFormat/>
    <w:uiPriority w:val="0"/>
    <w:pPr>
      <w:jc w:val="left"/>
    </w:pPr>
    <w:rPr>
      <w:sz w:val="24"/>
      <w:szCs w:val="24"/>
    </w:rPr>
  </w:style>
  <w:style w:type="paragraph" w:customStyle="1" w:styleId="170">
    <w:name w:val="Char3"/>
    <w:basedOn w:val="1"/>
    <w:qFormat/>
    <w:uiPriority w:val="0"/>
    <w:pPr>
      <w:tabs>
        <w:tab w:val="left" w:pos="360"/>
      </w:tabs>
    </w:pPr>
    <w:rPr>
      <w:sz w:val="24"/>
    </w:rPr>
  </w:style>
  <w:style w:type="paragraph" w:customStyle="1" w:styleId="171">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72">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73">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74">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75">
    <w:name w:val="Char Char Char1 Char2"/>
    <w:basedOn w:val="1"/>
    <w:qFormat/>
    <w:uiPriority w:val="0"/>
    <w:rPr>
      <w:rFonts w:ascii="Tahoma" w:hAnsi="Tahoma"/>
      <w:sz w:val="24"/>
      <w:szCs w:val="20"/>
    </w:rPr>
  </w:style>
  <w:style w:type="paragraph" w:customStyle="1" w:styleId="176">
    <w:name w:val="正文列项_字母"/>
    <w:basedOn w:val="1"/>
    <w:qFormat/>
    <w:uiPriority w:val="0"/>
    <w:pPr>
      <w:numPr>
        <w:ilvl w:val="6"/>
        <w:numId w:val="3"/>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77">
    <w:name w:val="1名"/>
    <w:basedOn w:val="1"/>
    <w:qFormat/>
    <w:uiPriority w:val="0"/>
    <w:pPr>
      <w:numPr>
        <w:ilvl w:val="0"/>
        <w:numId w:val="5"/>
      </w:numPr>
      <w:spacing w:before="120"/>
    </w:pPr>
    <w:rPr>
      <w:rFonts w:ascii="宋体"/>
      <w:sz w:val="28"/>
      <w:szCs w:val="20"/>
    </w:rPr>
  </w:style>
  <w:style w:type="paragraph" w:customStyle="1" w:styleId="178">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79">
    <w:name w:val="表格1"/>
    <w:basedOn w:val="1"/>
    <w:qFormat/>
    <w:uiPriority w:val="0"/>
    <w:pPr>
      <w:ind w:firstLine="480" w:firstLineChars="200"/>
      <w:jc w:val="center"/>
    </w:pPr>
    <w:rPr>
      <w:sz w:val="24"/>
      <w:szCs w:val="20"/>
    </w:rPr>
  </w:style>
  <w:style w:type="paragraph" w:customStyle="1" w:styleId="180">
    <w:name w:val="字元 字元2"/>
    <w:basedOn w:val="1"/>
    <w:qFormat/>
    <w:uiPriority w:val="0"/>
    <w:rPr>
      <w:rFonts w:ascii="Tahoma" w:hAnsi="Tahoma"/>
      <w:sz w:val="24"/>
      <w:szCs w:val="20"/>
    </w:rPr>
  </w:style>
  <w:style w:type="paragraph" w:customStyle="1" w:styleId="181">
    <w:name w:val="文档正文"/>
    <w:basedOn w:val="1"/>
    <w:qFormat/>
    <w:uiPriority w:val="0"/>
    <w:pPr>
      <w:snapToGrid w:val="0"/>
      <w:spacing w:before="120" w:after="120" w:line="180" w:lineRule="auto"/>
    </w:pPr>
    <w:rPr>
      <w:rFonts w:ascii="Arial" w:hAnsi="Arial"/>
      <w:szCs w:val="20"/>
    </w:rPr>
  </w:style>
  <w:style w:type="paragraph" w:customStyle="1" w:styleId="182">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83">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84">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85">
    <w:name w:val="Char1 Char Char Char1"/>
    <w:basedOn w:val="1"/>
    <w:qFormat/>
    <w:uiPriority w:val="0"/>
    <w:rPr>
      <w:rFonts w:ascii="Tahoma" w:hAnsi="Tahoma" w:cs="仿宋_GB2312"/>
      <w:sz w:val="24"/>
      <w:szCs w:val="28"/>
    </w:rPr>
  </w:style>
  <w:style w:type="paragraph" w:customStyle="1" w:styleId="186">
    <w:name w:val="图例"/>
    <w:basedOn w:val="1"/>
    <w:qFormat/>
    <w:uiPriority w:val="0"/>
    <w:pPr>
      <w:spacing w:before="120" w:after="120" w:line="360" w:lineRule="auto"/>
      <w:jc w:val="center"/>
    </w:pPr>
    <w:rPr>
      <w:rFonts w:eastAsia="仿宋_GB2312"/>
      <w:b/>
      <w:sz w:val="24"/>
      <w:szCs w:val="20"/>
    </w:rPr>
  </w:style>
  <w:style w:type="paragraph" w:customStyle="1" w:styleId="187">
    <w:name w:val="Char Char1"/>
    <w:basedOn w:val="15"/>
    <w:qFormat/>
    <w:uiPriority w:val="0"/>
    <w:rPr>
      <w:rFonts w:ascii="Tahoma" w:hAnsi="Tahoma"/>
      <w:sz w:val="24"/>
    </w:rPr>
  </w:style>
  <w:style w:type="paragraph" w:customStyle="1" w:styleId="188">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89">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90">
    <w:name w:val="正文列项_数字"/>
    <w:basedOn w:val="1"/>
    <w:qFormat/>
    <w:uiPriority w:val="0"/>
    <w:pPr>
      <w:numPr>
        <w:ilvl w:val="7"/>
        <w:numId w:val="3"/>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91">
    <w:name w:val="默认段落字体 Para Char Char Char Char"/>
    <w:basedOn w:val="1"/>
    <w:qFormat/>
    <w:uiPriority w:val="0"/>
    <w:rPr>
      <w:rFonts w:ascii="Arial" w:hAnsi="Arial" w:cs="Arial"/>
      <w:szCs w:val="21"/>
    </w:rPr>
  </w:style>
  <w:style w:type="paragraph" w:customStyle="1" w:styleId="192">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9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94">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95">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96">
    <w:name w:val="Char Char4"/>
    <w:basedOn w:val="1"/>
    <w:qFormat/>
    <w:uiPriority w:val="0"/>
    <w:pPr>
      <w:widowControl/>
      <w:spacing w:line="400" w:lineRule="exact"/>
      <w:jc w:val="center"/>
    </w:pPr>
  </w:style>
  <w:style w:type="paragraph" w:customStyle="1" w:styleId="197">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98">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99">
    <w:name w:val="Char Char Char"/>
    <w:basedOn w:val="1"/>
    <w:qFormat/>
    <w:uiPriority w:val="0"/>
    <w:rPr>
      <w:rFonts w:ascii="Tahoma" w:hAnsi="Tahoma"/>
      <w:sz w:val="24"/>
      <w:szCs w:val="20"/>
    </w:rPr>
  </w:style>
  <w:style w:type="paragraph" w:customStyle="1" w:styleId="200">
    <w:name w:val="项目编号2"/>
    <w:basedOn w:val="164"/>
    <w:qFormat/>
    <w:uiPriority w:val="0"/>
    <w:pPr>
      <w:numPr>
        <w:numId w:val="6"/>
      </w:numPr>
    </w:pPr>
  </w:style>
  <w:style w:type="paragraph" w:customStyle="1" w:styleId="201">
    <w:name w:val="正文须知-2级"/>
    <w:basedOn w:val="1"/>
    <w:qFormat/>
    <w:uiPriority w:val="0"/>
    <w:pPr>
      <w:numPr>
        <w:ilvl w:val="1"/>
        <w:numId w:val="2"/>
      </w:numPr>
      <w:adjustRightInd w:val="0"/>
      <w:snapToGrid w:val="0"/>
      <w:spacing w:line="300" w:lineRule="auto"/>
    </w:pPr>
    <w:rPr>
      <w:rFonts w:ascii="宋体" w:hAnsi="Calibri"/>
      <w:sz w:val="24"/>
      <w:szCs w:val="21"/>
    </w:rPr>
  </w:style>
  <w:style w:type="paragraph" w:customStyle="1" w:styleId="202">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03">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204">
    <w:name w:val="Char Char Char2"/>
    <w:basedOn w:val="1"/>
    <w:qFormat/>
    <w:uiPriority w:val="0"/>
    <w:rPr>
      <w:rFonts w:ascii="Tahoma" w:hAnsi="Tahoma"/>
      <w:sz w:val="24"/>
      <w:szCs w:val="20"/>
    </w:rPr>
  </w:style>
  <w:style w:type="paragraph" w:customStyle="1" w:styleId="205">
    <w:name w:val="Revision"/>
    <w:unhideWhenUsed/>
    <w:qFormat/>
    <w:uiPriority w:val="99"/>
    <w:rPr>
      <w:rFonts w:ascii="Times New Roman" w:hAnsi="Times New Roman" w:eastAsia="宋体" w:cs="Times New Roman"/>
      <w:kern w:val="2"/>
      <w:sz w:val="21"/>
      <w:szCs w:val="24"/>
      <w:lang w:val="en-US" w:eastAsia="zh-CN" w:bidi="ar-SA"/>
    </w:rPr>
  </w:style>
  <w:style w:type="paragraph" w:customStyle="1" w:styleId="206">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07">
    <w:name w:val="列出段落2"/>
    <w:basedOn w:val="1"/>
    <w:qFormat/>
    <w:uiPriority w:val="0"/>
    <w:pPr>
      <w:ind w:firstLine="420" w:firstLineChars="200"/>
    </w:pPr>
    <w:rPr>
      <w:rFonts w:ascii="Calibri" w:hAnsi="Calibri"/>
      <w:szCs w:val="22"/>
    </w:rPr>
  </w:style>
  <w:style w:type="paragraph" w:customStyle="1" w:styleId="208">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09">
    <w:name w:val="图中文字"/>
    <w:basedOn w:val="1"/>
    <w:qFormat/>
    <w:uiPriority w:val="0"/>
    <w:pPr>
      <w:adjustRightInd w:val="0"/>
      <w:snapToGrid w:val="0"/>
      <w:spacing w:line="0" w:lineRule="atLeast"/>
      <w:jc w:val="center"/>
    </w:pPr>
    <w:rPr>
      <w:sz w:val="24"/>
      <w:szCs w:val="20"/>
    </w:rPr>
  </w:style>
  <w:style w:type="paragraph" w:customStyle="1" w:styleId="210">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11">
    <w:name w:val="正文 + 楷体_GB2312"/>
    <w:basedOn w:val="1"/>
    <w:qFormat/>
    <w:uiPriority w:val="0"/>
    <w:pPr>
      <w:widowControl/>
      <w:jc w:val="left"/>
    </w:pPr>
    <w:rPr>
      <w:rFonts w:ascii="楷体_GB2312" w:eastAsia="楷体_GB2312" w:cs="Arial"/>
      <w:kern w:val="0"/>
      <w:sz w:val="24"/>
    </w:rPr>
  </w:style>
  <w:style w:type="paragraph" w:customStyle="1" w:styleId="212">
    <w:name w:val="缺省文本"/>
    <w:basedOn w:val="1"/>
    <w:qFormat/>
    <w:uiPriority w:val="0"/>
    <w:pPr>
      <w:autoSpaceDE w:val="0"/>
      <w:autoSpaceDN w:val="0"/>
      <w:adjustRightInd w:val="0"/>
      <w:jc w:val="left"/>
    </w:pPr>
    <w:rPr>
      <w:kern w:val="0"/>
      <w:sz w:val="24"/>
    </w:rPr>
  </w:style>
  <w:style w:type="paragraph" w:customStyle="1" w:styleId="213">
    <w:name w:val="样式2"/>
    <w:basedOn w:val="42"/>
    <w:qFormat/>
    <w:uiPriority w:val="0"/>
    <w:pPr>
      <w:spacing w:line="360" w:lineRule="auto"/>
      <w:jc w:val="center"/>
    </w:pPr>
    <w:rPr>
      <w:sz w:val="24"/>
    </w:rPr>
  </w:style>
  <w:style w:type="paragraph" w:customStyle="1" w:styleId="214">
    <w:name w:val="_Style 11"/>
    <w:basedOn w:val="1"/>
    <w:next w:val="1"/>
    <w:qFormat/>
    <w:uiPriority w:val="0"/>
    <w:pPr>
      <w:spacing w:after="120"/>
      <w:ind w:left="420" w:leftChars="200" w:firstLine="420" w:firstLineChars="200"/>
    </w:pPr>
  </w:style>
  <w:style w:type="paragraph" w:customStyle="1" w:styleId="215">
    <w:name w:val="图文"/>
    <w:basedOn w:val="1"/>
    <w:qFormat/>
    <w:uiPriority w:val="0"/>
    <w:pPr>
      <w:adjustRightInd w:val="0"/>
      <w:snapToGrid w:val="0"/>
      <w:spacing w:after="50" w:line="360" w:lineRule="auto"/>
    </w:pPr>
    <w:rPr>
      <w:sz w:val="24"/>
    </w:rPr>
  </w:style>
  <w:style w:type="paragraph" w:customStyle="1" w:styleId="216">
    <w:name w:val="Char2 Char Char Char Char Char Char1"/>
    <w:basedOn w:val="1"/>
    <w:qFormat/>
    <w:uiPriority w:val="0"/>
    <w:pPr>
      <w:widowControl/>
      <w:spacing w:line="400" w:lineRule="exact"/>
      <w:jc w:val="center"/>
    </w:pPr>
  </w:style>
  <w:style w:type="paragraph" w:customStyle="1" w:styleId="217">
    <w:name w:val="Char Char Char Char Char Char Char Char Char Char1"/>
    <w:basedOn w:val="1"/>
    <w:qFormat/>
    <w:uiPriority w:val="0"/>
    <w:rPr>
      <w:rFonts w:ascii="宋体" w:hAnsi="宋体" w:cs="Courier New"/>
      <w:sz w:val="32"/>
      <w:szCs w:val="32"/>
    </w:rPr>
  </w:style>
  <w:style w:type="paragraph" w:customStyle="1" w:styleId="218">
    <w:name w:val="Char3 Char Char Char2"/>
    <w:basedOn w:val="1"/>
    <w:qFormat/>
    <w:uiPriority w:val="0"/>
    <w:rPr>
      <w:rFonts w:ascii="Tahoma" w:hAnsi="Tahoma"/>
      <w:sz w:val="24"/>
      <w:szCs w:val="20"/>
    </w:rPr>
  </w:style>
  <w:style w:type="paragraph" w:customStyle="1" w:styleId="219">
    <w:name w:val="Char1"/>
    <w:basedOn w:val="1"/>
    <w:qFormat/>
    <w:uiPriority w:val="0"/>
    <w:pPr>
      <w:tabs>
        <w:tab w:val="left" w:pos="360"/>
      </w:tabs>
    </w:pPr>
    <w:rPr>
      <w:sz w:val="24"/>
    </w:rPr>
  </w:style>
  <w:style w:type="paragraph" w:customStyle="1" w:styleId="220">
    <w:name w:val="Char Char Char1"/>
    <w:basedOn w:val="1"/>
    <w:qFormat/>
    <w:uiPriority w:val="0"/>
    <w:rPr>
      <w:rFonts w:ascii="Tahoma" w:hAnsi="Tahoma"/>
      <w:sz w:val="24"/>
      <w:szCs w:val="20"/>
    </w:rPr>
  </w:style>
  <w:style w:type="paragraph" w:customStyle="1" w:styleId="221">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22">
    <w:name w:val="_Style 160"/>
    <w:qFormat/>
    <w:uiPriority w:val="0"/>
    <w:rPr>
      <w:rFonts w:ascii="Times New Roman" w:hAnsi="Times New Roman" w:eastAsia="宋体" w:cs="Times New Roman"/>
      <w:kern w:val="2"/>
      <w:sz w:val="21"/>
      <w:szCs w:val="24"/>
      <w:lang w:val="en-US" w:eastAsia="zh-CN" w:bidi="ar-SA"/>
    </w:rPr>
  </w:style>
  <w:style w:type="paragraph" w:customStyle="1" w:styleId="223">
    <w:name w:val="无标题条"/>
    <w:next w:val="1"/>
    <w:qFormat/>
    <w:uiPriority w:val="0"/>
    <w:pPr>
      <w:jc w:val="both"/>
    </w:pPr>
    <w:rPr>
      <w:rFonts w:ascii="Times New Roman" w:hAnsi="Times New Roman" w:eastAsia="宋体" w:cs="Times New Roman"/>
      <w:sz w:val="21"/>
      <w:lang w:val="en-US" w:eastAsia="zh-CN" w:bidi="ar-SA"/>
    </w:rPr>
  </w:style>
  <w:style w:type="paragraph" w:customStyle="1" w:styleId="224">
    <w:name w:val="Char Char Char Char Char Char Char Char Char Char"/>
    <w:basedOn w:val="1"/>
    <w:qFormat/>
    <w:uiPriority w:val="0"/>
  </w:style>
  <w:style w:type="paragraph" w:customStyle="1" w:styleId="225">
    <w:name w:val="列出段落1"/>
    <w:basedOn w:val="1"/>
    <w:qFormat/>
    <w:uiPriority w:val="0"/>
    <w:pPr>
      <w:ind w:firstLine="420" w:firstLineChars="200"/>
    </w:pPr>
    <w:rPr>
      <w:rFonts w:ascii="Calibri" w:hAnsi="Calibri"/>
      <w:szCs w:val="22"/>
    </w:rPr>
  </w:style>
  <w:style w:type="paragraph" w:customStyle="1" w:styleId="226">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27">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228">
    <w:name w:val="Char Char Char Char Char Char Char Char Char Char2"/>
    <w:basedOn w:val="1"/>
    <w:qFormat/>
    <w:uiPriority w:val="0"/>
    <w:rPr>
      <w:rFonts w:ascii="宋体" w:hAnsi="宋体" w:cs="Courier New"/>
      <w:sz w:val="32"/>
      <w:szCs w:val="32"/>
    </w:rPr>
  </w:style>
  <w:style w:type="paragraph" w:customStyle="1" w:styleId="229">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30">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31">
    <w:name w:val="三级条标题"/>
    <w:basedOn w:val="142"/>
    <w:next w:val="1"/>
    <w:qFormat/>
    <w:uiPriority w:val="0"/>
    <w:pPr>
      <w:numPr>
        <w:ilvl w:val="3"/>
        <w:numId w:val="3"/>
      </w:numPr>
      <w:ind w:left="0" w:hanging="840"/>
      <w:outlineLvl w:val="3"/>
    </w:pPr>
  </w:style>
  <w:style w:type="paragraph" w:customStyle="1" w:styleId="232">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33">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234">
    <w:name w:val="项目编号3"/>
    <w:basedOn w:val="163"/>
    <w:qFormat/>
    <w:uiPriority w:val="0"/>
    <w:pPr>
      <w:numPr>
        <w:ilvl w:val="0"/>
        <w:numId w:val="7"/>
      </w:numPr>
    </w:pPr>
  </w:style>
  <w:style w:type="paragraph" w:customStyle="1" w:styleId="235">
    <w:name w:val="正文 A"/>
    <w:qFormat/>
    <w:uiPriority w:val="0"/>
    <w:pPr>
      <w:widowControl w:val="0"/>
      <w:jc w:val="both"/>
    </w:pPr>
    <w:rPr>
      <w:rFonts w:ascii="Times New Roman" w:hAnsi="Times New Roman" w:eastAsia="Times New Roman" w:cs="Times New Roman"/>
      <w:color w:val="000000"/>
      <w:kern w:val="2"/>
      <w:sz w:val="21"/>
      <w:szCs w:val="21"/>
      <w:u w:color="000000"/>
      <w:lang w:val="en-US" w:eastAsia="zh-CN" w:bidi="ar-SA"/>
    </w:rPr>
  </w:style>
  <w:style w:type="paragraph" w:customStyle="1" w:styleId="236">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237">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38">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39">
    <w:name w:val="Char3 Char Char Char"/>
    <w:basedOn w:val="1"/>
    <w:qFormat/>
    <w:uiPriority w:val="0"/>
    <w:rPr>
      <w:rFonts w:ascii="Tahoma" w:hAnsi="Tahoma"/>
      <w:sz w:val="24"/>
      <w:szCs w:val="20"/>
    </w:rPr>
  </w:style>
  <w:style w:type="paragraph" w:customStyle="1" w:styleId="240">
    <w:name w:val="Char21"/>
    <w:basedOn w:val="1"/>
    <w:qFormat/>
    <w:uiPriority w:val="0"/>
    <w:rPr>
      <w:rFonts w:ascii="Tahoma" w:hAnsi="Tahoma"/>
      <w:sz w:val="24"/>
      <w:szCs w:val="20"/>
    </w:rPr>
  </w:style>
  <w:style w:type="paragraph" w:customStyle="1" w:styleId="241">
    <w:name w:val="List Paragraph1"/>
    <w:basedOn w:val="1"/>
    <w:qFormat/>
    <w:uiPriority w:val="0"/>
    <w:pPr>
      <w:ind w:firstLine="420" w:firstLineChars="200"/>
    </w:pPr>
    <w:rPr>
      <w:rFonts w:ascii="Calibri" w:hAnsi="Calibri"/>
      <w:szCs w:val="22"/>
    </w:rPr>
  </w:style>
  <w:style w:type="paragraph" w:customStyle="1" w:styleId="242">
    <w:name w:val="四级条标题"/>
    <w:basedOn w:val="231"/>
    <w:next w:val="1"/>
    <w:qFormat/>
    <w:uiPriority w:val="0"/>
    <w:pPr>
      <w:numPr>
        <w:ilvl w:val="4"/>
      </w:numPr>
      <w:ind w:left="0" w:hanging="840"/>
      <w:outlineLvl w:val="4"/>
    </w:pPr>
  </w:style>
  <w:style w:type="paragraph" w:styleId="243">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4">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245">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46">
    <w:name w:val="Char Char Char1 Char1"/>
    <w:basedOn w:val="1"/>
    <w:qFormat/>
    <w:uiPriority w:val="0"/>
    <w:rPr>
      <w:rFonts w:ascii="Tahoma" w:hAnsi="Tahoma"/>
      <w:sz w:val="24"/>
      <w:szCs w:val="20"/>
    </w:rPr>
  </w:style>
  <w:style w:type="paragraph" w:customStyle="1" w:styleId="247">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248">
    <w:name w:val="项目符号1"/>
    <w:basedOn w:val="163"/>
    <w:qFormat/>
    <w:uiPriority w:val="0"/>
    <w:pPr>
      <w:ind w:left="-25" w:firstLine="0"/>
    </w:pPr>
  </w:style>
  <w:style w:type="paragraph" w:customStyle="1" w:styleId="249">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250">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paragraph" w:customStyle="1" w:styleId="251">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252">
    <w:name w:val="Char22"/>
    <w:basedOn w:val="1"/>
    <w:qFormat/>
    <w:uiPriority w:val="0"/>
    <w:rPr>
      <w:rFonts w:ascii="Tahoma" w:hAnsi="Tahoma"/>
      <w:sz w:val="24"/>
      <w:szCs w:val="20"/>
    </w:rPr>
  </w:style>
  <w:style w:type="paragraph" w:customStyle="1" w:styleId="253">
    <w:name w:val="Char3 Char Char Char1"/>
    <w:basedOn w:val="1"/>
    <w:qFormat/>
    <w:uiPriority w:val="0"/>
    <w:rPr>
      <w:rFonts w:ascii="Tahoma" w:hAnsi="Tahoma"/>
      <w:sz w:val="24"/>
      <w:szCs w:val="20"/>
    </w:rPr>
  </w:style>
  <w:style w:type="paragraph" w:customStyle="1" w:styleId="254">
    <w:name w:val="五级条标题"/>
    <w:basedOn w:val="242"/>
    <w:next w:val="1"/>
    <w:qFormat/>
    <w:uiPriority w:val="0"/>
    <w:pPr>
      <w:numPr>
        <w:ilvl w:val="5"/>
      </w:numPr>
      <w:ind w:left="0" w:hanging="840"/>
      <w:outlineLvl w:val="5"/>
    </w:pPr>
  </w:style>
  <w:style w:type="paragraph" w:customStyle="1" w:styleId="255">
    <w:name w:val="表格文字"/>
    <w:basedOn w:val="19"/>
    <w:qFormat/>
    <w:uiPriority w:val="0"/>
    <w:pPr>
      <w:spacing w:before="20" w:after="20" w:line="240" w:lineRule="auto"/>
      <w:ind w:firstLine="0"/>
    </w:pPr>
    <w:rPr>
      <w:rFonts w:ascii="Century Gothic" w:hAnsi="Century Gothic"/>
      <w:sz w:val="20"/>
      <w:szCs w:val="20"/>
    </w:rPr>
  </w:style>
  <w:style w:type="paragraph" w:customStyle="1" w:styleId="256">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257">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58">
    <w:name w:val="一级无"/>
    <w:basedOn w:val="1"/>
    <w:qFormat/>
    <w:uiPriority w:val="0"/>
    <w:pPr>
      <w:widowControl/>
      <w:jc w:val="left"/>
      <w:outlineLvl w:val="2"/>
    </w:pPr>
    <w:rPr>
      <w:rFonts w:ascii="宋体"/>
      <w:kern w:val="0"/>
      <w:szCs w:val="21"/>
    </w:rPr>
  </w:style>
  <w:style w:type="paragraph" w:customStyle="1" w:styleId="259">
    <w:name w:val="Char"/>
    <w:basedOn w:val="1"/>
    <w:qFormat/>
    <w:uiPriority w:val="0"/>
    <w:pPr>
      <w:tabs>
        <w:tab w:val="left" w:pos="360"/>
      </w:tabs>
    </w:pPr>
    <w:rPr>
      <w:sz w:val="24"/>
    </w:rPr>
  </w:style>
  <w:style w:type="paragraph" w:customStyle="1" w:styleId="260">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table" w:customStyle="1" w:styleId="261">
    <w:name w:val="Table Normal"/>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262">
    <w:name w:val="NormalCharacter"/>
    <w:qFormat/>
    <w:uiPriority w:val="0"/>
    <w:rPr>
      <w:rFonts w:ascii="Calibri" w:hAnsi="Calibri" w:eastAsia="宋体" w:cs="Times New Roman"/>
      <w:kern w:val="2"/>
      <w:sz w:val="21"/>
      <w:szCs w:val="22"/>
      <w:lang w:val="en-US" w:eastAsia="zh-CN" w:bidi="ar-SA"/>
    </w:rPr>
  </w:style>
  <w:style w:type="character" w:customStyle="1" w:styleId="263">
    <w:name w:val="font11"/>
    <w:qFormat/>
    <w:uiPriority w:val="0"/>
    <w:rPr>
      <w:rFonts w:hint="eastAsia" w:ascii="仿宋_GB2312" w:eastAsia="仿宋_GB2312" w:cs="仿宋_GB2312"/>
      <w:color w:val="000000"/>
      <w:sz w:val="24"/>
      <w:szCs w:val="24"/>
      <w:u w:val="none"/>
    </w:rPr>
  </w:style>
  <w:style w:type="paragraph" w:customStyle="1" w:styleId="264">
    <w:name w:val="表"/>
    <w:basedOn w:val="1"/>
    <w:qFormat/>
    <w:uiPriority w:val="0"/>
    <w:pPr>
      <w:jc w:val="center"/>
    </w:pPr>
    <w:rPr>
      <w:rFonts w:hint="eastAsia" w:cs="方正仿宋_GB2312"/>
      <w:sz w:val="24"/>
      <w:szCs w:val="22"/>
      <w:lang w:val="zh-CN" w:bidi="zh-CN"/>
    </w:rPr>
  </w:style>
  <w:style w:type="paragraph" w:customStyle="1" w:styleId="265">
    <w:name w:val="Table Text"/>
    <w:basedOn w:val="1"/>
    <w:semiHidden/>
    <w:qFormat/>
    <w:uiPriority w:val="0"/>
    <w:rPr>
      <w:rFonts w:ascii="Times New Roman" w:hAnsi="Times New Roman" w:eastAsia="Times New Roman" w:cs="Times New Roman"/>
      <w:sz w:val="24"/>
      <w:szCs w:val="24"/>
      <w:lang w:eastAsia="en-US"/>
    </w:rPr>
  </w:style>
  <w:style w:type="paragraph" w:customStyle="1" w:styleId="266">
    <w:name w:val="null3"/>
    <w:qFormat/>
    <w:uiPriority w:val="0"/>
    <w:rPr>
      <w:rFonts w:hint="eastAsia" w:ascii="Calibri" w:hAnsi="Calibri"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8" Type="http://schemas.openxmlformats.org/officeDocument/2006/relationships/fontTable" Target="fontTable.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theme" Target="theme/theme1.xml"/><Relationship Id="rId24" Type="http://schemas.openxmlformats.org/officeDocument/2006/relationships/footer" Target="footer11.xml"/><Relationship Id="rId23" Type="http://schemas.openxmlformats.org/officeDocument/2006/relationships/footer" Target="footer10.xml"/><Relationship Id="rId22" Type="http://schemas.openxmlformats.org/officeDocument/2006/relationships/header" Target="header11.xml"/><Relationship Id="rId21" Type="http://schemas.openxmlformats.org/officeDocument/2006/relationships/header" Target="header10.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9.xml"/><Relationship Id="rId17" Type="http://schemas.openxmlformats.org/officeDocument/2006/relationships/header" Target="head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61</Pages>
  <Words>17616</Words>
  <Characters>18234</Characters>
  <Lines>238</Lines>
  <Paragraphs>67</Paragraphs>
  <TotalTime>4</TotalTime>
  <ScaleCrop>false</ScaleCrop>
  <LinksUpToDate>false</LinksUpToDate>
  <CharactersWithSpaces>18511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2024-07-24T04:09:00Z</dcterms:created>
  <dc:creator>Administrator</dc:creator>
  <cp:lastModifiedBy>XU</cp:lastModifiedBy>
  <cp:lastPrinted>2020-04-02T03:13:00Z</cp:lastPrinted>
  <dcterms:modified xsi:type="dcterms:W3CDTF">2026-06-16T00:54:32Z</dcterms:modified>
  <dc:title>02年杜范本稿</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625F6916D5B24C218993BD64CC7E5280_13</vt:lpwstr>
  </property>
  <property fmtid="{D5CDD505-2E9C-101B-9397-08002B2CF9AE}" pid="4" name="KSOTemplateDocerSaveRecord">
    <vt:lpwstr>eyJoZGlkIjoiZDI2OTIxZjNiZjQyM2RhZGE1NjdmY2MxYTljZDAzODciLCJ1c2VySWQiOiIxNDk3NzQ3NTk5In0=</vt:lpwstr>
  </property>
</Properties>
</file>