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239" w:lineRule="atLeast"/>
        <w:tabs>
          <w:tab w:val="left" w:pos="384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ab/>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72"/>
          <w:lang w:eastAsia="zh-CN"/>
        </w:rPr>
        <w:t xml:space="preserve">泰州市政府采购</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lang w:eastAsia="zh-CN"/>
        </w:rPr>
        <w:t xml:space="preserve">公开</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lang w:eastAsia="zh-CN"/>
        </w:rPr>
        <w:t xml:space="preserve">招标文件</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（全流程电子化不见面开标）</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ind w:firstLine="568"/>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568"/>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19"/>
        <w:jc w:val="both"/>
        <w:spacing w:after="0" w:line="85"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lang w:eastAsia="zh-CN"/>
        </w:rPr>
        <w:t xml:space="preserve">招标编号：</w:t>
      </w:r>
      <w:r>
        <w:rPr>
          <w:rFonts w:hint="eastAsia" w:ascii="宋体" w:hAnsi="宋体" w:eastAsia="宋体" w:cs="宋体"/>
          <w:b/>
          <w:color w:val="000000"/>
          <w:sz w:val="28"/>
          <w:szCs w:val="28"/>
          <w:lang w:eastAsia="zh-CN"/>
        </w:rPr>
        <w:t xml:space="preserve">JSZC-321204-SZQY-G2026-0004</w:t>
      </w:r>
      <w:r/>
    </w:p>
    <w:p>
      <w:pPr>
        <w:ind w:left="1960" w:hanging="1541"/>
        <w:jc w:val="both"/>
        <w:spacing w:after="0" w:line="85"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lang w:eastAsia="zh-CN"/>
        </w:rPr>
        <w:t xml:space="preserve">项目名称：</w:t>
      </w:r>
      <w:r>
        <w:rPr>
          <w:rFonts w:hint="eastAsia" w:ascii="宋体" w:hAnsi="宋体" w:eastAsia="宋体" w:cs="宋体"/>
          <w:b/>
          <w:color w:val="000000"/>
          <w:sz w:val="28"/>
          <w:szCs w:val="28"/>
          <w:lang w:eastAsia="zh-CN"/>
        </w:rPr>
        <w:t xml:space="preserve">健身器材采购项目</w:t>
      </w:r>
      <w:r/>
    </w:p>
    <w:p>
      <w:pPr>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419"/>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采</w:t>
      </w:r>
      <w:r>
        <w:rPr>
          <w:rFonts w:hint="eastAsia" w:ascii="宋体" w:hAnsi="宋体" w:eastAsia="宋体" w:cs="宋体"/>
          <w:b/>
          <w:color w:val="000000"/>
          <w:sz w:val="28"/>
          <w:lang w:eastAsia="zh-CN"/>
        </w:rPr>
        <w:t xml:space="preserve">   </w:t>
      </w:r>
      <w:r>
        <w:rPr>
          <w:rFonts w:ascii="宋体" w:hAnsi="宋体" w:eastAsia="宋体" w:cs="宋体"/>
          <w:b/>
          <w:color w:val="000000"/>
          <w:sz w:val="28"/>
          <w:lang w:eastAsia="zh-CN"/>
        </w:rPr>
        <w:t xml:space="preserve">购</w:t>
      </w:r>
      <w:r>
        <w:rPr>
          <w:rFonts w:hint="eastAsia" w:ascii="宋体" w:hAnsi="宋体" w:eastAsia="宋体" w:cs="宋体"/>
          <w:b/>
          <w:color w:val="000000"/>
          <w:sz w:val="28"/>
          <w:lang w:eastAsia="zh-CN"/>
        </w:rPr>
        <w:t xml:space="preserve">   </w:t>
      </w:r>
      <w:r>
        <w:rPr>
          <w:rFonts w:ascii="宋体" w:hAnsi="宋体" w:eastAsia="宋体" w:cs="宋体"/>
          <w:b/>
          <w:color w:val="000000"/>
          <w:sz w:val="28"/>
          <w:lang w:eastAsia="zh-CN"/>
        </w:rPr>
        <w:t xml:space="preserve">人：</w:t>
      </w:r>
      <w:r>
        <w:rPr>
          <w:rFonts w:hint="eastAsia" w:ascii="宋体" w:hAnsi="宋体" w:eastAsia="宋体" w:cs="宋体"/>
          <w:b/>
          <w:color w:val="000000"/>
          <w:sz w:val="28"/>
          <w:lang w:eastAsia="zh-CN"/>
        </w:rPr>
        <w:t xml:space="preserve">泰州市姜堰区文体广电和旅游局</w:t>
      </w:r>
      <w:r/>
    </w:p>
    <w:p>
      <w:pPr>
        <w:ind w:firstLine="419"/>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采购代理机构：</w:t>
      </w:r>
      <w:r>
        <w:rPr>
          <w:rFonts w:hint="eastAsia" w:ascii="宋体" w:hAnsi="宋体" w:eastAsia="宋体" w:cs="宋体"/>
          <w:b/>
          <w:color w:val="000000"/>
          <w:sz w:val="28"/>
          <w:lang w:eastAsia="zh-CN"/>
        </w:rPr>
        <w:t xml:space="preserve">苏州市群益工程顾问有限责任公司</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t xml:space="preserve">2026</w:t>
      </w:r>
      <w:r>
        <w:rPr>
          <w:rFonts w:ascii="宋体" w:hAnsi="宋体" w:eastAsia="宋体" w:cs="宋体"/>
          <w:b/>
          <w:color w:val="000000"/>
          <w:sz w:val="28"/>
          <w:lang w:eastAsia="zh-CN"/>
        </w:rPr>
        <w:t xml:space="preserve">年</w:t>
      </w:r>
      <w:r>
        <w:rPr>
          <w:rFonts w:hint="eastAsia" w:ascii="宋体" w:hAnsi="宋体" w:eastAsia="宋体" w:cs="宋体"/>
          <w:b/>
          <w:color w:val="000000"/>
          <w:sz w:val="28"/>
          <w:lang w:eastAsia="zh-CN"/>
        </w:rPr>
        <w:t xml:space="preserve">5</w:t>
      </w:r>
      <w:r>
        <w:rPr>
          <w:rFonts w:ascii="宋体" w:hAnsi="宋体" w:eastAsia="宋体" w:cs="宋体"/>
          <w:b/>
          <w:color w:val="000000"/>
          <w:sz w:val="28"/>
          <w:lang w:eastAsia="zh-CN"/>
        </w:rPr>
        <w:t xml:space="preserve">月</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right="84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目  录</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第一章 招标公告</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第二章 投标人须知</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第三章 采购需求</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第四章 评标办法及标准</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第五章 合同条款</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第六章 投标文件格式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lang w:eastAsia="zh-CN"/>
        </w:rPr>
        <w:t xml:space="preserve">第一章</w:t>
      </w:r>
      <w:r>
        <w:rPr>
          <w:rFonts w:ascii="宋体" w:hAnsi="宋体" w:eastAsia="宋体" w:cs="宋体"/>
          <w:color w:val="000000"/>
          <w:sz w:val="24"/>
          <w:lang w:eastAsia="zh-CN"/>
        </w:rPr>
        <w:t xml:space="preserve"> </w:t>
      </w:r>
      <w:r>
        <w:rPr>
          <w:rFonts w:ascii="宋体" w:hAnsi="宋体" w:eastAsia="宋体" w:cs="宋体"/>
          <w:b/>
          <w:color w:val="000000"/>
          <w:spacing w:val="15"/>
          <w:sz w:val="32"/>
          <w:lang w:eastAsia="zh-CN"/>
        </w:rPr>
        <w:t xml:space="preserve">招标公告</w:t>
      </w:r>
      <w:r/>
    </w:p>
    <w:p>
      <w:pPr>
        <w:jc w:val="both"/>
        <w:spacing w:after="0" w:line="85" w:lineRule="atLeast"/>
        <w:rPr>
          <w:rFonts w:hint="eastAsia"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lang w:eastAsia="zh-CN"/>
        </w:rPr>
        <w:t xml:space="preserve">项目概况</w:t>
      </w:r>
      <w:r/>
    </w:p>
    <w:p>
      <w:pPr>
        <w:ind w:firstLine="488"/>
        <w:jc w:val="both"/>
        <w:spacing w:after="0" w:line="85" w:lineRule="atLeast"/>
        <w:rPr>
          <w:rFonts w:hint="eastAsia"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lang w:eastAsia="zh-CN"/>
        </w:rPr>
        <w:t xml:space="preserve">健身器材采购项目</w:t>
      </w:r>
      <w:r>
        <w:rPr>
          <w:rFonts w:hint="eastAsia" w:ascii="宋体" w:hAnsi="宋体" w:eastAsia="宋体" w:cs="宋体"/>
          <w:color w:val="000000"/>
          <w:lang w:eastAsia="zh-CN"/>
        </w:rPr>
        <w:t xml:space="preserve">的潜在投标人应在</w:t>
      </w:r>
      <w:r>
        <w:rPr>
          <w:rFonts w:hint="eastAsia" w:ascii="宋体" w:hAnsi="宋体" w:eastAsia="宋体" w:cs="宋体"/>
          <w:color w:val="000000"/>
          <w:u w:val="single"/>
          <w:lang w:eastAsia="zh-CN"/>
        </w:rPr>
        <w:t xml:space="preserve">江苏政府采购“苏采云”系统 </w:t>
      </w:r>
      <w:hyperlink r:id="rId9" w:tooltip="http://jszfcg.jsczt.cn/）获取招标文件，并于2023年11月" w:history="1">
        <w:r>
          <w:rPr>
            <w:rStyle w:val="707"/>
            <w:rFonts w:hint="eastAsia" w:ascii="宋体" w:hAnsi="宋体" w:eastAsia="宋体" w:cs="宋体"/>
            <w:color w:val="000000"/>
            <w:lang w:eastAsia="zh-CN"/>
          </w:rPr>
          <w:t xml:space="preserve">获取招标文件，并于2026年6月25</w:t>
        </w:r>
      </w:hyperlink>
      <w:r>
        <w:rPr>
          <w:rFonts w:hint="eastAsia" w:ascii="宋体" w:hAnsi="宋体" w:eastAsia="宋体" w:cs="宋体"/>
          <w:u w:val="single"/>
          <w:lang w:eastAsia="zh-CN"/>
        </w:rPr>
        <w:t xml:space="preserve">日9</w:t>
      </w:r>
      <w:r>
        <w:rPr>
          <w:rFonts w:hint="eastAsia" w:ascii="宋体" w:hAnsi="宋体" w:eastAsia="宋体" w:cs="宋体"/>
          <w:color w:val="000000"/>
          <w:u w:val="single"/>
          <w:lang w:eastAsia="zh-CN"/>
        </w:rPr>
        <w:t xml:space="preserve">点00分</w:t>
      </w:r>
      <w:r>
        <w:rPr>
          <w:rFonts w:hint="eastAsia" w:ascii="宋体" w:hAnsi="宋体" w:eastAsia="宋体" w:cs="宋体"/>
          <w:color w:val="000000"/>
          <w:lang w:eastAsia="zh-CN"/>
        </w:rPr>
        <w:t xml:space="preserve">（北京时间）前上传投标文件。</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一、项目基本情况</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1、项目编号：JSZC-321204-SZQY-G2026-0004</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2、项目名称：健身器材采购项目</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3、预算金额：146.8万元，投标报价不得超过最高限价，否则作废标处理。</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4、采购需求：健身器材采购。具体采购需求详见招标文件第三章。</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5、合同履行期限：合同签订后60日内完成项目所有内容并安装调试到位。</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6、本项目不接受联合体投标。</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二、申请人的资格要求：</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1.满足《中华人民共和国政府采购法》第二十二条规定；</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（1）具有独立承担民事责任的能力；</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（2）具有良好的商业信誉和健全的财务会计制度；</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（3）具有履行合同所必须的设备和专业技术能力；</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（4）有依法缴纳税收和社会保障资金的良好记录；</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（5）参加政府采购活动前三年内，在经营活动中没有重大违法记录；</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（6）法律、行政法规规定的其他条件。</w:t>
      </w:r>
      <w:r/>
    </w:p>
    <w:p>
      <w:pPr>
        <w:ind w:firstLine="488"/>
        <w:jc w:val="both"/>
        <w:spacing w:after="0" w:line="499" w:lineRule="atLeast"/>
        <w:rPr>
          <w:rFonts w:hint="eastAsia" w:ascii="宋体" w:hAnsi="宋体" w:eastAsia="宋体" w:cs="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2.落实政府采购政策需满足的资格要求：</w:t>
      </w:r>
      <w:r>
        <w:rPr>
          <w:rFonts w:hint="eastAsia" w:ascii="宋体" w:hAnsi="宋体" w:eastAsia="宋体" w:cs="宋体"/>
          <w:b/>
          <w:bCs/>
          <w:lang w:eastAsia="zh-CN"/>
        </w:rPr>
        <w:t xml:space="preserve">本项目专门面向中小企业,供应商应为中小微企业、监狱企业、残疾人福利性单位。</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3.本项目的特定资格要求：</w:t>
      </w:r>
      <w:r/>
    </w:p>
    <w:p>
      <w:pPr>
        <w:ind w:firstLine="488"/>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bookmarkStart w:id="0" w:name="OLE_LINK7"/>
      <w:r>
        <w:rPr>
          <w:rFonts w:hint="eastAsia" w:ascii="宋体" w:hAnsi="宋体" w:eastAsia="宋体" w:cs="宋体"/>
          <w:color w:val="000000"/>
          <w:lang w:eastAsia="zh-CN"/>
        </w:rPr>
        <w:t xml:space="preserve">（1）</w:t>
      </w:r>
      <w:bookmarkEnd w:id="0"/>
      <w:r>
        <w:rPr>
          <w:rFonts w:hint="eastAsia" w:ascii="宋体" w:hAnsi="宋体" w:eastAsia="宋体" w:cs="宋体"/>
          <w:color w:val="000000"/>
          <w:lang w:eastAsia="zh-CN"/>
        </w:rPr>
        <w:t xml:space="preserve">具有独立承担民事责任的能力（提供法人证书或者其他组织的营业执照等证明文件，自然人的身份证明）；</w:t>
      </w:r>
      <w:r/>
    </w:p>
    <w:p>
      <w:pPr>
        <w:ind w:firstLine="488"/>
        <w:jc w:val="both"/>
        <w:spacing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rFonts w:hint="eastAsia" w:ascii="宋体" w:hAnsi="宋体" w:eastAsia="宋体" w:cs="宋体"/>
          <w:color w:val="000000"/>
          <w:lang w:eastAsia="zh-CN"/>
        </w:rPr>
        <w:t xml:space="preserve">2</w:t>
      </w:r>
      <w:r>
        <w:rPr>
          <w:rFonts w:hint="eastAsia" w:ascii="宋体" w:hAnsi="宋体" w:eastAsia="宋体" w:cs="宋体"/>
          <w:color w:val="000000"/>
        </w:rPr>
        <w:t xml:space="preserve">）未被列入“信用中国”网站(www.creditchina.gov.cn)失信被执行人名单、重大税收违法案件当事人名单和中国政府采购网(www.ccgp.gov.cn)政府采购严重违法失信行为记录名单。</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三、获取招标文件：</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时间：自本公告发布之日起5个工作日。</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地点：投标人完成注册并办理CA证书后登录“江苏政府采购‘苏采云’系统”下载本项目招标文件。</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方式：登录江苏政府采购“苏采云”系统免费下载</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售价：免费</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注意事项：</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本项目采用网上注册登记方式。</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1.潜在投标人访问电子招标投标交易平台的网络地址和方法：</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（1）登录 http://jszfcg.jsczt.cn/，点击“苏采云”进入系统。</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（2）“CA数字证书”的获取：投标人需办理CA锁（原国信CA须更换新CA,详见http://jsxcmm.com/help/gys.html）。</w:t>
      </w:r>
      <w:r>
        <w:rPr>
          <w:rFonts w:hint="eastAsia" w:ascii="宋体" w:hAnsi="宋体" w:eastAsia="宋体" w:cs="宋体"/>
          <w:color w:val="000000"/>
          <w:lang w:eastAsia="zh-CN"/>
        </w:rPr>
        <w:t xml:space="preserve">投标客户端工具及投标人操作手册可访问江苏省政府采购网，“资料下载”进行下载《江苏省政府采购管理交易系统（苏采云）供应商操作手册及政府采购客户端》。</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2.采购代理机构将数据电文形式的招标文件加载至电子招标投标交易平台，供潜在投标人下载或者查阅。</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3.如潜在投标人未按上述要求操作，将自行承担所产生的风险。</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四、提交投标文件截止时间、开标时间和地点</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时间：2026年6 月25日9点00分（北京时间）</w:t>
      </w:r>
      <w:r/>
    </w:p>
    <w:p>
      <w:pPr>
        <w:ind w:firstLine="5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地点：江苏政府采购“苏采云”系统不见面开标大厅</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五、公告期限</w:t>
      </w:r>
      <w:r/>
    </w:p>
    <w:p>
      <w:pPr>
        <w:ind w:firstLine="488"/>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自本公告发布之日起5个工作日。</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六、其他补充事宜</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1.投标人自行勘察现场，现状移交，要求务必认真、仔细阅读合同条款，谨慎报价，严禁恶意竞争低价中标，一经中标，采购人将严格按照合同条款执行。</w:t>
      </w:r>
      <w:r/>
    </w:p>
    <w:p>
      <w:pPr>
        <w:ind w:firstLine="488"/>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2.在评标结束前，各投标人授权代表应保持手机畅通，以便及时澄清答疑。</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七、对本次招标提出询问，请按以下方式联系。</w:t>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1.采购人信息</w:t>
      </w:r>
      <w:r/>
    </w:p>
    <w:p>
      <w:pPr>
        <w:ind w:firstLine="72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名 称：泰州市姜堰区文体广电和旅游局</w:t>
      </w:r>
      <w:r/>
    </w:p>
    <w:p>
      <w:pPr>
        <w:ind w:firstLine="72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地址： 泰州市姜堰区三水大道</w:t>
      </w:r>
      <w:r/>
    </w:p>
    <w:p>
      <w:pPr>
        <w:ind w:firstLine="72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联系方式：吕先生</w:t>
      </w:r>
      <w:r/>
    </w:p>
    <w:p>
      <w:pPr>
        <w:ind w:firstLine="731"/>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2.采购代理机构信息</w:t>
      </w:r>
      <w:r/>
    </w:p>
    <w:p>
      <w:pPr>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名 称：苏州市群益工程顾问有限责任公司</w:t>
      </w:r>
      <w:r/>
    </w:p>
    <w:p>
      <w:pPr>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　址：泰州市姜堰区锦都国际花园A25-201</w:t>
      </w:r>
      <w:r/>
    </w:p>
    <w:p>
      <w:pPr>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联系方式：17834639269 </w:t>
      </w:r>
      <w:r/>
    </w:p>
    <w:p>
      <w:pPr>
        <w:ind w:firstLine="731"/>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3.项目联系方式</w:t>
      </w:r>
      <w:r/>
    </w:p>
    <w:p>
      <w:pPr>
        <w:ind w:firstLine="731"/>
        <w:spacing w:before="240" w:after="24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项目联系人：钱女士</w:t>
      </w:r>
      <w:r/>
    </w:p>
    <w:p>
      <w:pPr>
        <w:ind w:firstLine="731"/>
        <w:jc w:val="both"/>
        <w:spacing w:after="0" w:line="499"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电　话：17834639269 </w:t>
      </w:r>
      <w:r/>
    </w:p>
    <w:p>
      <w:pPr>
        <w:pStyle w:val="737"/>
        <w:rPr>
          <w:rFonts w:eastAsia="宋体"/>
          <w:lang w:eastAsia="zh-CN"/>
        </w:rPr>
      </w:pPr>
      <w:r>
        <w:rPr>
          <w:rFonts w:eastAsia="宋体"/>
          <w:lang w:eastAsia="zh-CN"/>
        </w:rPr>
      </w:r>
      <w:r/>
    </w:p>
    <w:p>
      <w:pPr>
        <w:ind w:right="840" w:firstLine="53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hint="eastAsia"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w:t>
      </w:r>
      <w:r/>
    </w:p>
    <w:p>
      <w:pPr>
        <w:rPr>
          <w:rFonts w:hint="eastAsia" w:ascii="宋体" w:hAnsi="宋体" w:eastAsia="宋体" w:cs="宋体"/>
          <w:b/>
          <w:color w:val="000000"/>
          <w:sz w:val="26"/>
          <w:lang w:eastAsia="zh-CN"/>
        </w:rPr>
      </w:pPr>
      <w:r>
        <w:rPr>
          <w:rFonts w:ascii="宋体" w:hAnsi="宋体" w:eastAsia="宋体" w:cs="宋体"/>
          <w:b/>
          <w:color w:val="000000"/>
          <w:sz w:val="26"/>
          <w:lang w:eastAsia="zh-CN"/>
        </w:rPr>
        <w:br w:type="page" w:clear="all"/>
      </w:r>
      <w:r/>
    </w:p>
    <w:p>
      <w:pPr>
        <w:jc w:val="both"/>
        <w:spacing w:after="0"/>
        <w:rPr>
          <w:rFonts w:hint="eastAsia"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6"/>
          <w:lang w:eastAsia="zh-CN"/>
        </w:rPr>
      </w:r>
      <w:r/>
    </w:p>
    <w:p>
      <w:pPr>
        <w:jc w:val="both"/>
        <w:spacing w:after="0"/>
        <w:rPr>
          <w:rFonts w:hint="eastAsia" w:ascii="宋体" w:hAnsi="宋体" w:eastAsia="宋体" w:cs="宋体"/>
          <w:b/>
          <w:color w:val="000000"/>
          <w:sz w:val="2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6"/>
          <w:lang w:eastAsia="zh-CN"/>
        </w:rPr>
      </w:r>
      <w:r/>
    </w:p>
    <w:p>
      <w:pPr>
        <w:ind w:right="840" w:firstLine="53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第二章 投标人须知</w:t>
      </w:r>
      <w:r/>
    </w:p>
    <w:p>
      <w:pPr>
        <w:ind w:right="84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lang w:eastAsia="zh-CN"/>
        </w:rPr>
        <w:t xml:space="preserve">    投标人须知前附表</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1424"/>
        <w:gridCol w:w="7288"/>
      </w:tblGrid>
      <w:tr>
        <w:trPr>
          <w:trHeight w:val="472"/>
        </w:trPr>
        <w:tc>
          <w:tcPr>
            <w:tcMar>
              <w:left w:w="108" w:type="dxa"/>
              <w:top w:w="0" w:type="dxa"/>
              <w:right w:w="108" w:type="dxa"/>
              <w:bottom w:w="0" w:type="dxa"/>
            </w:tcMar>
            <w:tcW w:w="643"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序号</w:t>
            </w:r>
            <w:r/>
          </w:p>
        </w:tc>
        <w:tc>
          <w:tcPr>
            <w:tcMar>
              <w:left w:w="108" w:type="dxa"/>
              <w:top w:w="0" w:type="dxa"/>
              <w:right w:w="108" w:type="dxa"/>
              <w:bottom w:w="0" w:type="dxa"/>
            </w:tcMar>
            <w:tcW w:w="1424"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w:t>
            </w:r>
            <w:r/>
          </w:p>
        </w:tc>
        <w:tc>
          <w:tcPr>
            <w:tcMar>
              <w:left w:w="108" w:type="dxa"/>
              <w:top w:w="0" w:type="dxa"/>
              <w:right w:w="108" w:type="dxa"/>
              <w:bottom w:w="0" w:type="dxa"/>
            </w:tcMar>
            <w:tcW w:w="7288"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内容</w:t>
            </w:r>
            <w:r/>
          </w:p>
        </w:tc>
      </w:tr>
      <w:tr>
        <w:trPr>
          <w:trHeight w:val="42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项目名称</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健身器材采购项目</w:t>
            </w:r>
            <w:r/>
          </w:p>
        </w:tc>
      </w:tr>
      <w:tr>
        <w:trPr>
          <w:trHeight w:val="42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招标内容</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健身器材采购项目</w:t>
            </w:r>
            <w:r/>
          </w:p>
        </w:tc>
      </w:tr>
      <w:tr>
        <w:trPr>
          <w:trHeight w:val="427"/>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服务期及服务地点</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eastAsia="zh-CN"/>
              </w:rPr>
              <w:t xml:space="preserve">服务期：合同签订后60日内完成项目所有内容并安装调试到位。</w:t>
            </w:r>
            <w:r/>
          </w:p>
          <w:p>
            <w:pPr>
              <w:jc w:val="both"/>
              <w:spacing w:after="0" w:line="240" w:lineRule="auto"/>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eastAsia="zh-CN"/>
              </w:rPr>
              <w:t xml:space="preserve">服务地点：泰州市姜堰区文体广电和旅游局</w:t>
            </w:r>
            <w:r/>
          </w:p>
        </w:tc>
      </w:tr>
      <w:tr>
        <w:trPr>
          <w:trHeight w:val="405"/>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最高投标限价</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eastAsia="zh-CN"/>
              </w:rPr>
              <w:t xml:space="preserve">最高限价：</w:t>
            </w:r>
            <w:r>
              <w:rPr>
                <w:rFonts w:hint="eastAsia" w:ascii="宋体" w:hAnsi="宋体" w:eastAsia="宋体" w:cs="宋体"/>
                <w:lang w:eastAsia="zh-CN"/>
              </w:rPr>
              <w:t xml:space="preserve">146.8</w:t>
            </w:r>
            <w:r>
              <w:rPr>
                <w:rFonts w:hint="eastAsia" w:ascii="宋体" w:hAnsi="宋体" w:eastAsia="宋体" w:cs="宋体"/>
                <w:shd w:val="clear" w:color="auto" w:fill="ffffff"/>
                <w:lang w:eastAsia="zh-CN"/>
              </w:rPr>
              <w:t xml:space="preserve">万元，报价超过限价的为无效报价，按照无效投标处理。</w:t>
            </w:r>
            <w:r/>
          </w:p>
        </w:tc>
      </w:tr>
      <w:tr>
        <w:trPr>
          <w:trHeight w:val="912"/>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5</w:t>
            </w:r>
            <w:r/>
          </w:p>
        </w:tc>
        <w:tc>
          <w:tcPr>
            <w:tcMar>
              <w:left w:w="108" w:type="dxa"/>
              <w:top w:w="0" w:type="dxa"/>
              <w:right w:w="108" w:type="dxa"/>
              <w:bottom w:w="0" w:type="dxa"/>
            </w:tcMar>
            <w:tcW w:w="1424" w:type="dxa"/>
            <w:vAlign w:val="center"/>
            <w:textDirection w:val="lrTb"/>
            <w:noWrap/>
          </w:tcPr>
          <w:p>
            <w:pP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合格投标人资格要求</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1.满足《中华人民共和国政府采购法》第二十二条规定；</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（1）具有独立承担民事责任的能力（提供法人证书或者其他组织的营业执照等证明文件，自然人的身份证明）；</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（2）具有良好的商业信誉和健全的财务会计制度；</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（3）具有履行合同所必须的设备和专业技术能力；</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（4）有依法缴纳税收和社会保障资金的良好记录；</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（5）参加政府采购活动前三年内，在经营活动中没有重大违法记录；</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（6）法律、行政法规规定的其他条件。</w:t>
            </w:r>
            <w:r/>
          </w:p>
          <w:p>
            <w:pPr>
              <w:pStyle w:val="899"/>
              <w:jc w:val="left"/>
              <w:spacing w:line="400" w:lineRule="exact"/>
              <w:widowControl/>
              <w:rPr>
                <w:rFonts w:hint="eastAsia" w:ascii="宋体" w:hAnsi="宋体" w:cs="宋体"/>
                <w:b w:val="0"/>
                <w:bCs w:val="0"/>
                <w:smallCaps w:val="0"/>
                <w:color w:val="000000"/>
                <w:spacing w:val="0"/>
                <w:sz w:val="22"/>
                <w:szCs w:val="22"/>
              </w:rPr>
            </w:pPr>
            <w:r>
              <w:rPr>
                <w:rFonts w:hint="eastAsia" w:ascii="宋体" w:hAnsi="宋体" w:cs="宋体"/>
                <w:color w:val="000000"/>
                <w:sz w:val="22"/>
                <w:szCs w:val="22"/>
              </w:rPr>
              <w:t xml:space="preserve">2.</w:t>
            </w:r>
            <w:r>
              <w:rPr>
                <w:rFonts w:hint="eastAsia" w:ascii="宋体" w:hAnsi="宋体" w:cs="宋体"/>
                <w:b w:val="0"/>
                <w:bCs w:val="0"/>
                <w:smallCaps w:val="0"/>
                <w:color w:val="000000"/>
                <w:spacing w:val="0"/>
                <w:sz w:val="22"/>
                <w:szCs w:val="22"/>
              </w:rPr>
              <w:t xml:space="preserve">落实政府采购政策需满足的资格要求：</w:t>
            </w:r>
            <w:r>
              <w:rPr>
                <w:rFonts w:hint="eastAsia" w:ascii="宋体" w:hAnsi="宋体" w:cs="宋体"/>
                <w:sz w:val="22"/>
                <w:szCs w:val="22"/>
              </w:rPr>
              <w:t xml:space="preserve">本项目专门面向中小企业,供应商应为中小微企业、监狱企业、残疾人福利性单位。</w:t>
            </w:r>
            <w:r/>
          </w:p>
          <w:p>
            <w:pPr>
              <w:jc w:val="both"/>
              <w:spacing w:after="0" w:line="24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3.本项目的特定资格要求：</w:t>
            </w:r>
            <w:r/>
          </w:p>
          <w:p>
            <w:pPr>
              <w:ind w:firstLine="420"/>
              <w:rPr>
                <w:rFonts w:hint="eastAsia" w:ascii="宋体" w:hAnsi="宋体" w:eastAsia="宋体" w:cs="宋体"/>
                <w:color w:val="000000"/>
                <w:lang w:eastAsia="zh-CN"/>
              </w:rPr>
            </w:pPr>
            <w:r>
              <w:rPr>
                <w:rFonts w:hint="eastAsia" w:ascii="宋体" w:hAnsi="宋体" w:eastAsia="宋体" w:cs="宋体"/>
                <w:color w:val="000000"/>
                <w:lang w:eastAsia="zh-CN"/>
              </w:rPr>
              <w:t xml:space="preserve">（1）具有独立承担民事责任的能力（提供法人证书或者其他组织的营业执照等证明文件，自然人的身份证明）；</w:t>
            </w:r>
            <w:r/>
          </w:p>
          <w:p>
            <w:pPr>
              <w:rPr>
                <w:rFonts w:hint="eastAsia" w:ascii="宋体" w:hAnsi="宋体" w:eastAsia="宋体" w:cs="宋体"/>
              </w:rPr>
            </w:pPr>
            <w:r>
              <w:rPr>
                <w:rFonts w:hint="eastAsia" w:ascii="宋体" w:hAnsi="宋体" w:eastAsia="宋体" w:cs="宋体"/>
                <w:color w:val="000000"/>
              </w:rPr>
              <w:t xml:space="preserve">4.未被列入“信用中国”网站(www.creditchina.gov.cn)失信被执行人名单、重大税收违法案件当事人名单和中国政府采购网(www.ccgp.gov.cn)政府采购严重违法失信行为记录名单。</w:t>
            </w:r>
            <w:r/>
          </w:p>
          <w:p>
            <w:pPr>
              <w:jc w:val="both"/>
              <w:spacing w:after="12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5.本项目不接收联合体投标</w:t>
            </w:r>
            <w:r/>
          </w:p>
        </w:tc>
      </w:tr>
      <w:tr>
        <w:trPr>
          <w:trHeight w:val="796"/>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联合体投标</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☑不接受，招标文件中有关联合体规定均不适用。</w:t>
            </w:r>
            <w:r/>
          </w:p>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□接受 </w:t>
            </w:r>
            <w:r/>
          </w:p>
        </w:tc>
      </w:tr>
      <w:tr>
        <w:trPr>
          <w:trHeight w:val="1385"/>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7</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现场考察</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☑不组织，自行考察;如投标人需自行考察,费用自理。</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□组织，考察时间： 年月日时</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集合地点：</w:t>
            </w:r>
            <w:r/>
          </w:p>
          <w:p>
            <w:pPr>
              <w:ind w:firstLine="975"/>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联系人：联系电话：</w:t>
            </w:r>
            <w:r/>
          </w:p>
        </w:tc>
      </w:tr>
      <w:tr>
        <w:trPr>
          <w:trHeight w:val="993"/>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8</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投标答疑会 </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☑不召开</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口召开，召开时间：年月日时</w:t>
            </w:r>
            <w:r/>
          </w:p>
          <w:p>
            <w:pPr>
              <w:ind w:firstLine="975"/>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召开地点：</w:t>
            </w:r>
            <w:r/>
          </w:p>
        </w:tc>
      </w:tr>
      <w:tr>
        <w:trPr>
          <w:trHeight w:val="420"/>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投标货币</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人民币</w:t>
            </w:r>
            <w:r/>
          </w:p>
        </w:tc>
      </w:tr>
      <w:tr>
        <w:trPr>
          <w:trHeight w:val="412"/>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合同方式</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☑固定单价合同</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□固定总价合同  □其他：</w:t>
            </w:r>
            <w:r/>
          </w:p>
        </w:tc>
      </w:tr>
      <w:tr>
        <w:trPr>
          <w:trHeight w:val="558"/>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投标保证金</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依据苏财购</w:t>
            </w:r>
            <w:r>
              <w:rPr>
                <w:rFonts w:hint="eastAsia" w:ascii="宋体" w:hAnsi="宋体" w:eastAsia="宋体" w:cs="宋体"/>
                <w:b/>
                <w:color w:val="000000"/>
                <w:lang w:eastAsia="zh-CN"/>
              </w:rPr>
              <w:t xml:space="preserve">〔2020〕</w:t>
            </w:r>
            <w:r>
              <w:rPr>
                <w:rFonts w:hint="eastAsia" w:ascii="宋体" w:hAnsi="宋体" w:eastAsia="宋体" w:cs="宋体"/>
                <w:color w:val="000000"/>
                <w:lang w:eastAsia="zh-CN"/>
              </w:rPr>
              <w:t xml:space="preserve">52号文件精神，本项目免收投标保证金。</w:t>
            </w:r>
            <w:r/>
          </w:p>
        </w:tc>
      </w:tr>
      <w:tr>
        <w:trPr>
          <w:trHeight w:val="429"/>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投标文件有效期</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u w:val="single"/>
                <w:lang w:eastAsia="zh-CN"/>
              </w:rPr>
              <w:t xml:space="preserve"> 60 </w:t>
            </w:r>
            <w:r>
              <w:rPr>
                <w:rFonts w:hint="eastAsia" w:ascii="宋体" w:hAnsi="宋体" w:eastAsia="宋体" w:cs="宋体"/>
                <w:color w:val="000000"/>
                <w:lang w:eastAsia="zh-CN"/>
              </w:rPr>
              <w:t xml:space="preserve">日历天（从投标截止之日算起）</w:t>
            </w:r>
            <w:r/>
          </w:p>
        </w:tc>
      </w:tr>
      <w:tr>
        <w:trPr>
          <w:trHeight w:val="406"/>
        </w:trPr>
        <w:tc>
          <w:tcPr>
            <w:tcMar>
              <w:left w:w="108" w:type="dxa"/>
              <w:top w:w="0" w:type="dxa"/>
              <w:right w:w="108" w:type="dxa"/>
              <w:bottom w:w="0" w:type="dxa"/>
            </w:tcMar>
            <w:tcW w:w="643" w:type="dxa"/>
            <w:vAlign w:val="center"/>
            <w:vMerge w:val="restart"/>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投标截止时间</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时间：</w:t>
            </w:r>
            <w:r>
              <w:rPr>
                <w:rFonts w:hint="eastAsia" w:ascii="宋体" w:hAnsi="宋体" w:eastAsia="宋体" w:cs="宋体"/>
                <w:b/>
                <w:color w:val="000000"/>
                <w:u w:val="single"/>
              </w:rPr>
              <w:t xml:space="preserve"> </w:t>
            </w:r>
            <w:r>
              <w:rPr>
                <w:rFonts w:hint="eastAsia" w:ascii="宋体" w:hAnsi="宋体" w:eastAsia="宋体" w:cs="宋体"/>
                <w:b/>
                <w:color w:val="000000"/>
                <w:u w:val="single"/>
                <w:lang w:eastAsia="zh-CN"/>
              </w:rPr>
              <w:t xml:space="preserve">2026</w:t>
            </w:r>
            <w:r>
              <w:rPr>
                <w:rFonts w:hint="eastAsia" w:ascii="宋体" w:hAnsi="宋体" w:eastAsia="宋体" w:cs="宋体"/>
                <w:b/>
                <w:color w:val="000000"/>
              </w:rPr>
              <w:t xml:space="preserve">年</w:t>
            </w:r>
            <w:r>
              <w:rPr>
                <w:rFonts w:hint="eastAsia" w:ascii="宋体" w:hAnsi="宋体" w:eastAsia="宋体" w:cs="宋体"/>
                <w:b/>
                <w:color w:val="000000"/>
                <w:u w:val="single"/>
                <w:lang w:eastAsia="zh-CN"/>
              </w:rPr>
              <w:t xml:space="preserve">6</w:t>
            </w:r>
            <w:r>
              <w:rPr>
                <w:rFonts w:hint="eastAsia" w:ascii="宋体" w:hAnsi="宋体" w:eastAsia="宋体" w:cs="宋体"/>
                <w:b/>
                <w:color w:val="000000"/>
              </w:rPr>
              <w:t xml:space="preserve">月</w:t>
            </w:r>
            <w:r>
              <w:rPr>
                <w:rFonts w:hint="eastAsia" w:ascii="宋体" w:hAnsi="宋体" w:eastAsia="宋体" w:cs="宋体"/>
                <w:b/>
                <w:color w:val="000000"/>
                <w:u w:val="single"/>
                <w:lang w:eastAsia="zh-CN"/>
              </w:rPr>
              <w:t xml:space="preserve"> 25 </w:t>
            </w:r>
            <w:r>
              <w:rPr>
                <w:rFonts w:hint="eastAsia" w:ascii="宋体" w:hAnsi="宋体" w:eastAsia="宋体" w:cs="宋体"/>
                <w:b/>
                <w:color w:val="000000"/>
              </w:rPr>
              <w:t xml:space="preserve">日</w:t>
            </w:r>
            <w:r>
              <w:rPr>
                <w:rFonts w:hint="eastAsia" w:ascii="宋体" w:hAnsi="宋体" w:eastAsia="宋体" w:cs="宋体"/>
                <w:b/>
                <w:color w:val="000000"/>
                <w:u w:val="single"/>
                <w:lang w:eastAsia="zh-CN"/>
              </w:rPr>
              <w:t xml:space="preserve">9</w:t>
            </w:r>
            <w:r>
              <w:rPr>
                <w:rFonts w:hint="eastAsia" w:ascii="宋体" w:hAnsi="宋体" w:eastAsia="宋体" w:cs="宋体"/>
                <w:b/>
                <w:color w:val="000000"/>
              </w:rPr>
              <w:t xml:space="preserve">时</w:t>
            </w:r>
            <w:r>
              <w:rPr>
                <w:rFonts w:hint="eastAsia" w:ascii="宋体" w:hAnsi="宋体" w:eastAsia="宋体" w:cs="宋体"/>
                <w:b/>
                <w:color w:val="000000"/>
                <w:u w:val="single"/>
                <w:lang w:eastAsia="zh-CN"/>
              </w:rPr>
              <w:t xml:space="preserve">00</w:t>
            </w:r>
            <w:r>
              <w:rPr>
                <w:rFonts w:hint="eastAsia" w:ascii="宋体" w:hAnsi="宋体" w:eastAsia="宋体" w:cs="宋体"/>
                <w:b/>
                <w:color w:val="000000"/>
                <w:u w:val="single"/>
              </w:rPr>
              <w:t xml:space="preserve"> </w:t>
            </w:r>
            <w:r>
              <w:rPr>
                <w:rFonts w:hint="eastAsia" w:ascii="宋体" w:hAnsi="宋体" w:eastAsia="宋体" w:cs="宋体"/>
                <w:b/>
                <w:color w:val="000000"/>
              </w:rPr>
              <w:t xml:space="preserve">分</w:t>
            </w:r>
            <w:r/>
          </w:p>
        </w:tc>
      </w:tr>
      <w:tr>
        <w:trPr>
          <w:trHeight w:val="535"/>
        </w:trPr>
        <w:tc>
          <w:tcPr>
            <w:tcW w:w="643" w:type="dxa"/>
            <w:vMerge w:val="continue"/>
            <w:textDirection w:val="lrTb"/>
            <w:noWrap w:val="false"/>
          </w:tcPr>
          <w:p>
            <w:pPr>
              <w:spacing w:after="0" w:line="240" w:lineRule="auto"/>
              <w:rPr>
                <w:rFonts w:hint="eastAsia" w:ascii="宋体" w:hAnsi="宋体" w:eastAsia="宋体" w:cs="宋体"/>
              </w:rPr>
            </w:pPr>
            <w:r>
              <w:rPr>
                <w:rFonts w:hint="eastAsia" w:ascii="宋体" w:hAnsi="宋体" w:eastAsia="宋体" w:cs="宋体"/>
              </w:rPr>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投标地点</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地点：江苏政府采购“苏采云”系统不见面开标大厅 </w:t>
            </w:r>
            <w:r/>
          </w:p>
        </w:tc>
      </w:tr>
      <w:tr>
        <w:trPr>
          <w:trHeight w:val="752"/>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开标时间和地点</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时间：</w:t>
            </w:r>
            <w:r>
              <w:rPr>
                <w:rFonts w:hint="eastAsia" w:ascii="宋体" w:hAnsi="宋体" w:eastAsia="宋体" w:cs="宋体"/>
                <w:b/>
                <w:color w:val="000000"/>
                <w:u w:val="single"/>
                <w:lang w:eastAsia="zh-CN"/>
              </w:rPr>
              <w:t xml:space="preserve"> 2026</w:t>
            </w:r>
            <w:r>
              <w:rPr>
                <w:rFonts w:hint="eastAsia" w:ascii="宋体" w:hAnsi="宋体" w:eastAsia="宋体" w:cs="宋体"/>
                <w:b/>
                <w:color w:val="000000"/>
                <w:lang w:eastAsia="zh-CN"/>
              </w:rPr>
              <w:t xml:space="preserve">年</w:t>
            </w:r>
            <w:r>
              <w:rPr>
                <w:rFonts w:hint="eastAsia" w:ascii="宋体" w:hAnsi="宋体" w:eastAsia="宋体" w:cs="宋体"/>
                <w:b/>
                <w:color w:val="000000"/>
                <w:u w:val="single"/>
                <w:lang w:eastAsia="zh-CN"/>
              </w:rPr>
              <w:t xml:space="preserve">6</w:t>
            </w:r>
            <w:r>
              <w:rPr>
                <w:rFonts w:hint="eastAsia" w:ascii="宋体" w:hAnsi="宋体" w:eastAsia="宋体" w:cs="宋体"/>
                <w:b/>
                <w:color w:val="000000"/>
                <w:lang w:eastAsia="zh-CN"/>
              </w:rPr>
              <w:t xml:space="preserve">月</w:t>
            </w:r>
            <w:r>
              <w:rPr>
                <w:rFonts w:hint="eastAsia" w:ascii="宋体" w:hAnsi="宋体" w:eastAsia="宋体" w:cs="宋体"/>
                <w:b/>
                <w:color w:val="000000"/>
                <w:u w:val="single"/>
                <w:lang w:eastAsia="zh-CN"/>
              </w:rPr>
              <w:t xml:space="preserve"> 25 </w:t>
            </w:r>
            <w:r>
              <w:rPr>
                <w:rFonts w:hint="eastAsia" w:ascii="宋体" w:hAnsi="宋体" w:eastAsia="宋体" w:cs="宋体"/>
                <w:b/>
                <w:color w:val="000000"/>
                <w:lang w:eastAsia="zh-CN"/>
              </w:rPr>
              <w:t xml:space="preserve">日</w:t>
            </w:r>
            <w:r>
              <w:rPr>
                <w:rFonts w:hint="eastAsia" w:ascii="宋体" w:hAnsi="宋体" w:eastAsia="宋体" w:cs="宋体"/>
                <w:b/>
                <w:color w:val="000000"/>
                <w:u w:val="single"/>
                <w:lang w:eastAsia="zh-CN"/>
              </w:rPr>
              <w:t xml:space="preserve">9</w:t>
            </w:r>
            <w:r>
              <w:rPr>
                <w:rFonts w:hint="eastAsia" w:ascii="宋体" w:hAnsi="宋体" w:eastAsia="宋体" w:cs="宋体"/>
                <w:b/>
                <w:color w:val="000000"/>
                <w:lang w:eastAsia="zh-CN"/>
              </w:rPr>
              <w:t xml:space="preserve">时</w:t>
            </w:r>
            <w:r>
              <w:rPr>
                <w:rFonts w:hint="eastAsia" w:ascii="宋体" w:hAnsi="宋体" w:eastAsia="宋体" w:cs="宋体"/>
                <w:b/>
                <w:color w:val="000000"/>
                <w:u w:val="single"/>
                <w:lang w:eastAsia="zh-CN"/>
              </w:rPr>
              <w:t xml:space="preserve">00 </w:t>
            </w:r>
            <w:r>
              <w:rPr>
                <w:rFonts w:hint="eastAsia" w:ascii="宋体" w:hAnsi="宋体" w:eastAsia="宋体" w:cs="宋体"/>
                <w:b/>
                <w:color w:val="000000"/>
                <w:lang w:eastAsia="zh-CN"/>
              </w:rPr>
              <w:t xml:space="preserve">分</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地点：江苏政府采购“苏采云”系统不见面开标大厅 </w:t>
            </w:r>
            <w:r/>
          </w:p>
        </w:tc>
      </w:tr>
      <w:tr>
        <w:trPr>
          <w:trHeight w:val="539"/>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评标办法</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☑综合评分法    □最低评标价法  </w:t>
            </w:r>
            <w:r/>
          </w:p>
        </w:tc>
      </w:tr>
      <w:tr>
        <w:trPr>
          <w:trHeight w:val="844"/>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16</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定标办法</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采购人根据评标委员会推荐的中标候选供应商顺序确定中标人。</w:t>
            </w:r>
            <w:r/>
          </w:p>
        </w:tc>
      </w:tr>
      <w:tr>
        <w:trPr>
          <w:trHeight w:val="2110"/>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17</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履约保证金</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☑不提交，招标文件中有关履约保证金的规定均不适用</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□提交</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金额：中标价的0%</w:t>
            </w:r>
            <w:r/>
          </w:p>
          <w:p>
            <w:pPr>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形式：保证保险、保函、电汇、转账、汇票、支票、本票等非现金形式</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提交时间：收到中标通知书后签订合同前。</w:t>
            </w:r>
            <w:r/>
          </w:p>
          <w:p>
            <w:pPr>
              <w:jc w:val="both"/>
              <w:spacing w:after="0" w:line="240" w:lineRule="auto"/>
              <w:rPr>
                <w:rFonts w:hint="eastAsia" w:ascii="宋体" w:hAnsi="宋体" w:eastAsia="宋体" w:cs="宋体"/>
                <w:color w:val="ff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退还时间：器材安装完成并验收合格后全额退还。</w:t>
            </w:r>
            <w:r/>
          </w:p>
        </w:tc>
      </w:tr>
      <w:tr>
        <w:trPr>
          <w:trHeight w:val="57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18</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签订合同</w:t>
            </w:r>
            <w:r/>
          </w:p>
        </w:tc>
        <w:tc>
          <w:tcPr>
            <w:tcMar>
              <w:left w:w="108" w:type="dxa"/>
              <w:top w:w="0" w:type="dxa"/>
              <w:right w:w="108" w:type="dxa"/>
              <w:bottom w:w="0" w:type="dxa"/>
            </w:tcMar>
            <w:tcW w:w="7288" w:type="dxa"/>
            <w:vAlign w:val="center"/>
            <w:textDirection w:val="lrTb"/>
            <w:noWrap/>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中标通知书发出之日起</w:t>
            </w:r>
            <w:r>
              <w:rPr>
                <w:rFonts w:hint="eastAsia" w:ascii="宋体" w:hAnsi="宋体" w:eastAsia="宋体" w:cs="宋体"/>
                <w:color w:val="000000"/>
                <w:u w:val="single"/>
                <w:lang w:eastAsia="zh-CN"/>
              </w:rPr>
              <w:t xml:space="preserve"> 30 </w:t>
            </w:r>
            <w:r>
              <w:rPr>
                <w:rFonts w:hint="eastAsia" w:ascii="宋体" w:hAnsi="宋体" w:eastAsia="宋体" w:cs="宋体"/>
                <w:color w:val="000000"/>
                <w:lang w:eastAsia="zh-CN"/>
              </w:rPr>
              <w:t xml:space="preserve">日内</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签订合同地点：泰州市姜堰区文体广电和旅游局</w:t>
            </w:r>
            <w:r/>
          </w:p>
        </w:tc>
      </w:tr>
      <w:tr>
        <w:trPr>
          <w:trHeight w:val="57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19</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付款方式</w:t>
            </w:r>
            <w:r/>
          </w:p>
        </w:tc>
        <w:tc>
          <w:tcPr>
            <w:tcMar>
              <w:left w:w="108" w:type="dxa"/>
              <w:top w:w="0" w:type="dxa"/>
              <w:right w:w="108" w:type="dxa"/>
              <w:bottom w:w="0" w:type="dxa"/>
            </w:tcMar>
            <w:tcW w:w="7288" w:type="dxa"/>
            <w:vAlign w:val="center"/>
            <w:textDirection w:val="lrTb"/>
            <w:noWrap/>
          </w:tcPr>
          <w:p>
            <w:pPr>
              <w:ind w:firstLine="420"/>
              <w:spacing w:line="300" w:lineRule="atLeast"/>
              <w:rPr>
                <w:rFonts w:hint="eastAsia" w:ascii="宋体" w:hAnsi="宋体" w:eastAsia="宋体" w:cs="宋体"/>
                <w:lang w:eastAsia="zh-CN"/>
              </w:rPr>
            </w:pPr>
            <w:r>
              <w:rPr>
                <w:rFonts w:hint="eastAsia" w:ascii="宋体" w:hAnsi="宋体" w:eastAsia="宋体" w:cs="宋体"/>
                <w:lang w:eastAsia="zh-CN"/>
              </w:rPr>
              <w:t xml:space="preserve">签订合同后预付合同价的30%；中标人所有货物交货安装调试完毕，经验收合格，并出具书面交货、验收报告后一次性付清余款。中标人申请支付货款时，须提供发票。</w:t>
            </w:r>
            <w:r/>
          </w:p>
        </w:tc>
      </w:tr>
      <w:tr>
        <w:trPr>
          <w:trHeight w:val="571"/>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t xml:space="preserve">20</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t xml:space="preserve">特别说明</w:t>
            </w:r>
            <w:r/>
          </w:p>
        </w:tc>
        <w:tc>
          <w:tcPr>
            <w:tcMar>
              <w:left w:w="108" w:type="dxa"/>
              <w:top w:w="0" w:type="dxa"/>
              <w:right w:w="108" w:type="dxa"/>
              <w:bottom w:w="0" w:type="dxa"/>
            </w:tcMar>
            <w:tcW w:w="7288" w:type="dxa"/>
            <w:vAlign w:val="center"/>
            <w:textDirection w:val="lrTb"/>
            <w:noWrap/>
          </w:tcPr>
          <w:p>
            <w:pPr>
              <w:pStyle w:val="759"/>
              <w:jc w:val="both"/>
              <w:keepLines/>
              <w:keepNext/>
              <w:spacing w:before="291" w:beforeAutospacing="0" w:after="0" w:afterAutospacing="0" w:line="360" w:lineRule="auto"/>
              <w:shd w:val="clear" w:color="auto" w:fill="ffffff"/>
              <w:rPr>
                <w:rFonts w:hint="eastAsia" w:ascii="宋体" w:hAnsi="宋体" w:eastAsia="宋体" w:cs="宋体"/>
                <w:color w:val="0000ff"/>
                <w:sz w:val="22"/>
                <w:lang w:eastAsia="zh-CN"/>
              </w:rPr>
            </w:pPr>
            <w:r>
              <w:rPr>
                <w:rFonts w:hint="eastAsia" w:ascii="宋体" w:hAnsi="宋体" w:eastAsia="宋体" w:cs="宋体"/>
                <w:color w:val="0000ff"/>
                <w:sz w:val="22"/>
                <w:lang w:eastAsia="zh-CN"/>
              </w:rPr>
              <w:t xml:space="preserve">投标人于2026年6月25日8：30至 9:00 按照采购人要求送至姜堰区公共资源交易中心一楼开标二室（姜堰区上海路88号）。  </w:t>
            </w:r>
            <w:r/>
          </w:p>
        </w:tc>
      </w:tr>
      <w:tr>
        <w:trPr>
          <w:trHeight w:val="1090"/>
        </w:trPr>
        <w:tc>
          <w:tcPr>
            <w:tcMar>
              <w:left w:w="108" w:type="dxa"/>
              <w:top w:w="0" w:type="dxa"/>
              <w:right w:w="108" w:type="dxa"/>
              <w:bottom w:w="0" w:type="dxa"/>
            </w:tcMar>
            <w:tcW w:w="643" w:type="dxa"/>
            <w:vAlign w:val="center"/>
            <w:textDirection w:val="lrTb"/>
            <w:noWrap/>
          </w:tcPr>
          <w:p>
            <w:pPr>
              <w:jc w:val="center"/>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1</w:t>
            </w:r>
            <w:r/>
          </w:p>
        </w:tc>
        <w:tc>
          <w:tcPr>
            <w:tcMar>
              <w:left w:w="108" w:type="dxa"/>
              <w:top w:w="0" w:type="dxa"/>
              <w:right w:w="108" w:type="dxa"/>
              <w:bottom w:w="0" w:type="dxa"/>
            </w:tcMar>
            <w:tcW w:w="1424" w:type="dxa"/>
            <w:vAlign w:val="center"/>
            <w:textDirection w:val="lrTb"/>
            <w:noWrap/>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其他</w:t>
            </w:r>
            <w:r/>
          </w:p>
        </w:tc>
        <w:tc>
          <w:tcPr>
            <w:tcMar>
              <w:left w:w="108" w:type="dxa"/>
              <w:top w:w="0" w:type="dxa"/>
              <w:right w:w="108" w:type="dxa"/>
              <w:bottom w:w="0" w:type="dxa"/>
            </w:tcMar>
            <w:tcW w:w="7288" w:type="dxa"/>
            <w:vAlign w:val="center"/>
            <w:textDirection w:val="lrTb"/>
            <w:noWrap/>
          </w:tcPr>
          <w:p>
            <w:pPr>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投标文件的制作要求</w:t>
            </w:r>
            <w:r/>
          </w:p>
          <w:p>
            <w:pPr>
              <w:ind w:firstLine="240"/>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本次采购采用“苏采云”系统进行政府采购活动。</w:t>
            </w:r>
            <w:r/>
          </w:p>
          <w:p>
            <w:pPr>
              <w:ind w:firstLine="240"/>
              <w:spacing w:before="240" w:after="24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w:t>
            </w:r>
            <w:r>
              <w:rPr>
                <w:rFonts w:hint="eastAsia" w:ascii="宋体" w:hAnsi="宋体" w:eastAsia="宋体" w:cs="宋体"/>
                <w:color w:val="000000"/>
                <w:lang w:eastAsia="zh-CN"/>
              </w:rPr>
              <w:t xml:space="preserve">有关本次招标的事项若存在变动或修改，敬请及时关注“江苏省政府采购网”发布的更正公告。</w:t>
            </w:r>
            <w:r/>
          </w:p>
        </w:tc>
      </w:tr>
    </w:tbl>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一、说明和释义</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 说明 </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1.1本招标文件仅适用于</w:t>
      </w:r>
      <w:r>
        <w:rPr>
          <w:rFonts w:hint="eastAsia" w:ascii="宋体" w:hAnsi="宋体" w:eastAsia="宋体" w:cs="宋体"/>
          <w:color w:val="000000"/>
          <w:u w:val="single"/>
          <w:lang w:eastAsia="zh-CN"/>
        </w:rPr>
        <w:t xml:space="preserve">苏州市群益工程顾问有限责任公司、泰州市姜堰区文体广电和旅游局</w:t>
      </w:r>
      <w:r>
        <w:rPr>
          <w:rFonts w:hint="eastAsia" w:ascii="宋体" w:hAnsi="宋体" w:eastAsia="宋体" w:cs="宋体"/>
          <w:color w:val="000000"/>
          <w:lang w:eastAsia="zh-CN"/>
        </w:rPr>
        <w:t xml:space="preserve">组织的招标活动。</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1.2本次招标活动及因本次招标产生的合同受中国法律制约和保护。</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1.3本招标文件的解释权属于</w:t>
      </w:r>
      <w:r>
        <w:rPr>
          <w:rFonts w:hint="eastAsia" w:ascii="宋体" w:hAnsi="宋体" w:eastAsia="宋体" w:cs="宋体"/>
          <w:color w:val="000000"/>
          <w:u w:val="single"/>
          <w:lang w:eastAsia="zh-CN"/>
        </w:rPr>
        <w:t xml:space="preserve">苏州市群益工程顾问有限责任公司、泰州市姜堰区文体广电和旅游局</w:t>
      </w:r>
      <w:r>
        <w:rPr>
          <w:rFonts w:hint="eastAsia" w:ascii="宋体" w:hAnsi="宋体" w:eastAsia="宋体" w:cs="宋体"/>
          <w:color w:val="000000"/>
          <w:lang w:eastAsia="zh-CN"/>
        </w:rPr>
        <w:t xml:space="preserve">。</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 词语释义</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2.1采购人：指依法进行采购的国家机关、事业单位、团体组织。</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 供应商、投标人：指向采购人提供货物、工程或服务的法人、其他组织或者自然人，不包括其分公司。</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2.3采购代理机构：指依法接受采购人委托，从事货物、工程和服务等采购招标代理业务的社会中介机构。</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2.4招标采购单位：采购人及采购代理机构的统称。</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2.5评标委员会：是指在招标投标和采购活动中，依法由采购人代表和有关技术、经济等方面的专家组建，负责对投标文件进行评审并提出评审意见的临时性权威机构。</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2.6响应：投标人根据采购人或采购代理机构发售的招标文件，编制投标文件并按规定投标的行为。</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2.7知识产权：指专利权、商标权、著作权等无形财产专有权的统称。</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2.8天：日历天。</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2.9服务地点：合同中明确约定的乙方履行服务的最终地点。</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2.10不可抗力：不能预见、不能避免并且不能克服的客观情况。</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2.11 实质性响应：满足有关本次采购标的、数量、质量、价款或者报酬、履行期限、履行地点和方式、违约责任和解决争议方法等要求。</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2.12书面形式：指书面文字、合同书、信件等可以有形地表现所载内容的形式。</w:t>
      </w:r>
      <w:r/>
    </w:p>
    <w:p>
      <w:p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二、投标人</w:t>
      </w:r>
      <w:r/>
    </w:p>
    <w:p>
      <w:pPr>
        <w:numPr>
          <w:ilvl w:val="0"/>
          <w:numId w:val="1"/>
        </w:num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合格投标人资格要求</w:t>
      </w:r>
      <w:r/>
    </w:p>
    <w:p>
      <w:pPr>
        <w:ind w:firstLine="36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3.1详见投标人须知前附表规定。</w:t>
      </w:r>
      <w:r/>
    </w:p>
    <w:p>
      <w:p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4.投标人应在江苏政府采购“苏采云”系统（http://jszfcg.jsczt.cn/，下同）下载招标文件及有关资料，按招标文件要求提交全部资料并对招标文件各项内容做出实质性响应。</w:t>
      </w:r>
      <w:r/>
    </w:p>
    <w:p>
      <w:pPr>
        <w:numPr>
          <w:ilvl w:val="0"/>
          <w:numId w:val="2"/>
        </w:num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投标人代表</w:t>
      </w:r>
      <w:r/>
    </w:p>
    <w:p>
      <w:pPr>
        <w:ind w:firstLine="36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5.1指全权代表投标人参加投标活动并签署投标文件的人，如果投标人代表不是法人代表，须持有《法人代表授权委托书》（详见统一格式）。</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6. 不接受联合体投标。</w:t>
      </w:r>
      <w:r/>
    </w:p>
    <w:p>
      <w:pPr>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7. 投标人有下列情形之一的不能参加本次投标：</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（1）因重大经济问题正在接受国家有关部门审查的；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（2）正在被其他企业兼并（或收购）或因重大经济纠纷正在进行诉讼或仲裁的；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（3）因腐败和欺诈行为而被有关部门处理的。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（4）被责令停业的； </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（5）被暂停或取消投标资格的； </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（6）财产被接管或冻结的；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（7）在最近三年内有骗取中标或严重违约或重大工程质量问题的；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（8）在投标过程中弄虚作假、行贿或有其他违法违规行为的；</w:t>
      </w:r>
      <w:r/>
    </w:p>
    <w:p>
      <w:pPr>
        <w:ind w:firstLine="488"/>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（9）违反法律法规相关规定的。</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三、招标文件说明</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8. 招标文件</w:t>
      </w:r>
      <w:r/>
    </w:p>
    <w:p>
      <w:pPr>
        <w:ind w:firstLine="5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9.现场考察 </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9.1投标人应按招标文件中所述时间对有关现场和周围环境进行考察，以获取编制投标文件和签署合同所需的信息。考察现场所发生的费用由投标人自己承担。</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9.2招标采购单位向投标人提供的有关现场的资料和数据，是招标采购单位现有的并认为能使投标人可利用的资料。招标采购单位对投标人由此而做出的推论、理解和结论概不负责。</w:t>
      </w:r>
      <w:r/>
    </w:p>
    <w:p>
      <w:pPr>
        <w:ind w:firstLine="6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9.3 经招标采购单位允许，投标人可为考察目的进入招标采购单位的项目现场，但投标人不得因此使招标采购单位承担有关的责任和蒙受损失。投标人应承担考察现场的责任和风险。</w:t>
      </w:r>
      <w:r/>
    </w:p>
    <w:p>
      <w:pPr>
        <w:ind w:firstLine="6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10. 招标文件的澄清和修改</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10.1 投标人在购买招标文件后，若有问题需要询问和澄清，应于前附表规定的时间提出。</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10.2如需召开投标答疑会的，招标采购单位将按前附表规定的时间、地点召开招标答疑会。</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10.3迟于前附表规定时间的询问和提交的疑问，采购人和采购代理机构有权拒绝回答，也不承担由此带来的对投标人投标结果的影响。</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10.6招标文件的更正（含澄清、修改等）内容与原招标文件在同一内容上表述不一致时，以发出日期最接近开标时间的公告为准。</w:t>
      </w:r>
      <w:r/>
    </w:p>
    <w:p>
      <w:pPr>
        <w:ind w:firstLine="4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10.7招标文件的更正（含澄清、修改等）内容将作为招标文件的组成部分，对投标人起约束作用。</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四、投标文件说明</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11. 投标文件计量单位和使用文字</w:t>
      </w:r>
      <w:r/>
    </w:p>
    <w:p>
      <w:pPr>
        <w:ind w:firstLine="5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11.1投标文件中所使用的计量单位，除招标文件中有特殊要求外，均应使用中华人民共和国法定计量单位。</w:t>
      </w:r>
      <w:r/>
    </w:p>
    <w:p>
      <w:pPr>
        <w:ind w:firstLine="509"/>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8"/>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11.3投标人应当同时凭CA数字证书登录“江苏政府采购“苏采云”系统”，并在投标截止时间前上传电子投标文件。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12. 知识产权</w:t>
      </w:r>
      <w:r/>
    </w:p>
    <w:p>
      <w:pPr>
        <w:ind w:firstLine="509"/>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13. 投标文件的组成</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投标函（格式见附件）</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资格、资信证明文件：</w:t>
      </w:r>
      <w:r/>
    </w:p>
    <w:p>
      <w:pPr>
        <w:numPr>
          <w:ilvl w:val="1"/>
          <w:numId w:val="3"/>
        </w:numPr>
        <w:spacing w:before="240" w:after="240" w:line="360" w:lineRule="auto"/>
        <w:tabs>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法人或其他组织的营业执照或相关部门的登记证明文件； </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近六个月中任意一个月份(不含投标文件递交当月)的依法缴纳社会保障资金的相关材料（提供相关主管部门证明或银行代扣证明）复印件（依法免缴或缓缴的供应商，应提供相应文件证明其依法免缴的证明材料）；</w:t>
      </w:r>
      <w:r/>
    </w:p>
    <w:p>
      <w:pPr>
        <w:numPr>
          <w:ilvl w:val="1"/>
          <w:numId w:val="3"/>
        </w:numPr>
        <w:jc w:val="both"/>
        <w:spacing w:after="0" w:line="360" w:lineRule="auto"/>
        <w:tabs>
          <w:tab w:val="left" w:pos="945" w:leader="none"/>
          <w:tab w:val="left" w:pos="990"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承诺书（格式见附件）；</w:t>
      </w:r>
      <w:r/>
    </w:p>
    <w:p>
      <w:pPr>
        <w:numPr>
          <w:ilvl w:val="1"/>
          <w:numId w:val="3"/>
        </w:numPr>
        <w:jc w:val="both"/>
        <w:spacing w:after="0" w:line="360" w:lineRule="auto"/>
        <w:tabs>
          <w:tab w:val="left" w:pos="945" w:leader="none"/>
          <w:tab w:val="left" w:pos="1276"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采购人要求的特定资质证明（详见“采购公告”-“本项目特定资格要求”之3中要求）。</w:t>
      </w:r>
      <w:r/>
    </w:p>
    <w:p>
      <w:pPr>
        <w:ind w:firstLine="480"/>
        <w:jc w:val="both"/>
        <w:spacing w:after="0" w:line="360" w:lineRule="auto"/>
        <w:tabs>
          <w:tab w:val="left" w:pos="945" w:leader="none"/>
          <w:tab w:val="left" w:pos="1276"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rFonts w:hint="eastAsia" w:ascii="宋体" w:hAnsi="宋体" w:eastAsia="宋体" w:cs="宋体"/>
          <w:color w:val="000000"/>
          <w:lang w:eastAsia="zh-CN"/>
        </w:rPr>
        <w:t xml:space="preserve">8</w:t>
      </w:r>
      <w:r>
        <w:rPr>
          <w:rFonts w:hint="eastAsia" w:ascii="宋体" w:hAnsi="宋体" w:eastAsia="宋体" w:cs="宋体"/>
          <w:color w:val="000000"/>
        </w:rPr>
        <w:t xml:space="preserve">）未被列入“信用中国”网站(www.creditchina.gov.cn)失信被执行人名单、重大税收违法案件当事人名单和中国政府采购网(www.ccgp.gov.cn)政府采购严重违法失信行为记录名单（网页截图）。</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商务偏离表（格式见附件）</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技术偏离表（格式见附件）</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评分标准中对应的其它所需证明材料（如有自行添加）</w:t>
      </w:r>
      <w:r/>
    </w:p>
    <w:p>
      <w:pPr>
        <w:numPr>
          <w:ilvl w:val="0"/>
          <w:numId w:val="3"/>
        </w:numPr>
        <w:jc w:val="both"/>
        <w:spacing w:after="0" w:line="360" w:lineRule="auto"/>
        <w:tabs>
          <w:tab w:val="left" w:pos="525" w:leader="none"/>
          <w:tab w:val="left" w:pos="630" w:leader="none"/>
          <w:tab w:val="left" w:pos="945"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其它（投标人认为有必要提供的声明和文件，如有自拟并自行添加）</w:t>
      </w:r>
      <w:r/>
    </w:p>
    <w:p>
      <w:pPr>
        <w:ind w:firstLine="609"/>
        <w:jc w:val="both"/>
        <w:spacing w:after="0" w:line="360" w:lineRule="auto"/>
        <w:tabs>
          <w:tab w:val="left" w:pos="2850" w:leader="none"/>
          <w:tab w:val="left" w:pos="4153"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上述1-4项投标人必须按要求全部提供，否则投标文件无效。如上述资格证明文件遇年检、换证，则必须提供法定年检、换证单位出具的有效证明复印件。如上述资格证明文件第（3）（4）（5）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14. 投标文件编制及递交要求</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14.1所有文件、往来函件均应使用简体中文（规格、型号辅助符号例外）。</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14.2投标文件由投标人按要求参考给定格式如实填写（编写），须有投标人（盖章）、法定代表人或法定代表人授权代表签字或盖章，方为有效，未尽事宜可自行补充。</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14.3如无特别说明，投标人报价一律以人民币为投标结算货币,结算单位为“元”。</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14.4投标文件不应有涂改、增删和潦草之处，如有必须修改时，修改处必须有投标人盖章、法定代表人或法定代表人授权代表的签字。</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14.5投标费用自理。</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14.6投标人应当同时凭CA数字证书登录“江苏政府采购“苏采云”系统”，并在投标截止时间前上传电子投标文件。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15. 投标报价（编制）要求的说明</w:t>
      </w:r>
      <w:r/>
    </w:p>
    <w:p>
      <w:pPr>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投标人要认真阅读清单，慎重报价。采购人不再支付报价以外的任何费用。</w:t>
      </w:r>
      <w:r/>
    </w:p>
    <w:p>
      <w:pPr>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15.2投标人应对招标文件内所要采购的全部内容进行报价，只投其中部分内容者，其标书将被拒绝。</w:t>
      </w:r>
      <w:r/>
    </w:p>
    <w:p>
      <w:pPr>
        <w:ind w:firstLine="505"/>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15.3一项投标内容只允许一个报价，招标采购单位不接受任何有选择性的投标报价。</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15.4投标文件报价中的单价和总价全部采用人民币表示，除非合同的特殊条款另有规定。</w:t>
      </w:r>
      <w:r/>
    </w:p>
    <w:p>
      <w:pPr>
        <w:numPr>
          <w:ilvl w:val="0"/>
          <w:numId w:val="4"/>
        </w:numPr>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投标保证金</w:t>
      </w:r>
      <w:r/>
    </w:p>
    <w:p>
      <w:pPr>
        <w:ind w:firstLine="480"/>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依据苏财购〔2020〕52号文件精神，本项目免收投标保证金。 </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17. 投标文件的有效期</w:t>
      </w:r>
      <w:r/>
    </w:p>
    <w:p>
      <w:pPr>
        <w:ind w:firstLine="50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17.1在本招标文件前附表规定的投标文件有效期内，投标人所提交的投标文件应保持有效。有效期短于这个规定期限的投标文件，将被认定为未实质性响应招标文件要求。</w:t>
      </w:r>
      <w:r/>
    </w:p>
    <w:p>
      <w:pPr>
        <w:ind w:firstLine="50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18. 投标文件的拒收</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采购人拒绝接收在其规定的投标截止时间后上传的任何投标文件。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五、投标文件的递交</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19.投标文件的递交</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19.1电子投标文件的递交</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投标人应当按照《江苏省政府采购管理交易系统（苏采云）供应商操作手册及政府采购客户端》规定，在投标截止时间前制作并上传电子投标文件。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20．投标截止日期</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20.2采购人可以按照规定，通过修改招标文件酌情延长投标截止日期，在此情况下，投标人的所有权利和义务以及投标人受制的截止日期均应以延长后新的截止日期为准。</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21. 投标文件的修改和撤回</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21.1投标文件的撤回</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投标人可在投标截止时间前，撤回其电子投标文件，具体操作方法见《江苏省政府采购管理交易系统（苏采云）供应商操作手册及政府采购客户端》。</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21.2 投标文件的修改</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投标人可在投标截止时间前，对其电子投标文件进行修改，具体操作方法见《江苏省政府采购管理交易系统（苏采云）供应商操作手册及政府采购客户端》。</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21.3在投标截止时间之后，投标人不得对其电子投标文件作任何修改。</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六、开标和评标</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22. 开标</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22.1采购人将在招标公告中规定的时间和地点组织公开开标。投标人应当按照《江苏省政府采购管理交易系统（苏采云）供应商操作手册及政府采购客户端》规定，参加开标活动。</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22.2开标仪式由采购代理机构组织。“江苏政府采购“苏采云”系统”将自动对项目进行开标，并宣读各投标人的《开标一览表》。</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22.5开标时，投标文件中开标一览表内容与投标文件中明细表内容不一致的，以开标一览表为准。</w:t>
      </w:r>
      <w:r/>
    </w:p>
    <w:p>
      <w:pPr>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22.6投标人未参加开标的，视同认可开标结果。</w:t>
      </w:r>
      <w:r/>
    </w:p>
    <w:p>
      <w:pPr>
        <w:jc w:val="both"/>
        <w:spacing w:after="0" w:line="360" w:lineRule="auto"/>
        <w:tabs>
          <w:tab w:val="left" w:pos="4479"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23. 评标委员会</w:t>
      </w:r>
      <w:r>
        <w:rPr>
          <w:rFonts w:hint="eastAsia" w:ascii="宋体" w:hAnsi="宋体" w:eastAsia="宋体" w:cs="宋体"/>
          <w:b/>
          <w:color w:val="000000"/>
          <w:lang w:eastAsia="zh-CN"/>
        </w:rPr>
        <w:tab/>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23.1评标委员会由招标采购单位依法组建，负责本项目的评标事务。</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23.2评标委员会独立履行下列职责：</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23.2.1审查投标文件是否符合招标文件的要求，并作出评价；</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23.2.2可以要求投标供应商对投标文件有关事项作出解释或澄清；</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23.2.3推荐中标候选供应商名单，或者受采购人委托按照事先确定的办法直接确定中标供应商；</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23.2.4向招标采购单位或者有关部门报告非法干预评标工作的行为。</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23.3评标委员会成员应当履行下列义务：</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23.3.1遵纪守法，客观、公正、廉洁地履行职责；</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23.3.2按照招标文件规定的评标办法和评标标准进行评标，对评审意见承担个人责任；</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23.3.3对评标过程和结果，以及投标人的商业秘密保密；</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23.3.4参与评标报告的起草；</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23.3.5配合相关部门的投诉处理工作；</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23.3.6配合招标采购单位答复投标供应商提出的质疑。</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24. 评标内容的保密</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24.1公开开标后，直到宣布授予中标人合同为止，凡属于审查、澄清、评价和比较投标的所有资料，有关授予合同的信息都不应向投标人或与评标无关的其他人泄露。</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24.2 在投标文件的审查、澄清、评价和比较以及授予合同的过程中，投标人对招标采购单位和评标委员会成员施加影响的任何行为，都将取消其投标资格。</w:t>
      </w:r>
      <w:r/>
    </w:p>
    <w:p>
      <w:pPr>
        <w:ind w:firstLine="426"/>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24.3在评标期间，招标采购单位将通过指定联络人与投标人进行联系。</w:t>
      </w:r>
      <w:r/>
    </w:p>
    <w:p>
      <w:pPr>
        <w:ind w:firstLine="426"/>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25.对投标文件初审</w:t>
      </w:r>
      <w:r/>
    </w:p>
    <w:p>
      <w:pPr>
        <w:ind w:firstLine="488"/>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25.1投标文件初审分为资格性检查和符合性检查。</w:t>
      </w:r>
      <w:r/>
    </w:p>
    <w:p>
      <w:pPr>
        <w:ind w:firstLine="488"/>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25.1.1资格性检查。依据法律法规和招标文件的规定，对投标文件中的资格证明、投标保证金等进行审查，以确定投标供应商是否具备投标资格。</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25.1.2符合性检查。依据招标文件的规定，从投标文件的有效性、完整性和对招标文件的响应程度进行审查，以确定是否对招标文件的实质性要求作出响应。</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投标人有下列情况之一者，投标文件无效：</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1）投标人未在规定时间内成功解密电子投标文件的；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2）投标人未按照招标文件要求上传电子投标文件的；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3）投标文件未按照招标文件要求加盖电子签章；</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4）招标人的法定代表人授权代表，无法定代表人授权委托书的；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5）不具备招标文件中规定的资格要求或未按招标文件规定的要求提供资格、资信证明文件的；</w:t>
      </w:r>
      <w:r/>
    </w:p>
    <w:p>
      <w:pPr>
        <w:ind w:firstLine="488"/>
        <w:jc w:val="both"/>
        <w:spacing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6）被“信用中国”网站（www.creditchina.gov.cn）列入失信执行人、重大税收违法案件当事人名单、中国政府采购网(www.ccgp.gov.cn)政府采购严重违法失信行为记录名单的；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7）投标文件未按招标文件规定的内容和要求填写的；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8）投标文件中有招标文件未允许提供的选择性内容；</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9）不同投标人的投标文件由同一单位或者个人编制的；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10）不同投标人委托同一单位或者个人办理投标事宜的；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11）不同投标人的投标文件载明的项目管理成员为同一人的；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12）不同投标人的投标文件异常一致或者投标报价呈规律性差异的；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13）不同投标人的单位负责人为同一人或者存在直接控股、管理关系的；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14）项目（标段）投标总价或单价超过本项目（标段）预算或最高限价的；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15）提供虚假材料的（包括工商营业执照、财务报表、资格证明文件等）；</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16）投标文件含有采购人不能接受的附加条件的；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18）除单一来源采购项目外，为采购项目提供整体设计、规范编制或者项目管理、监理、检测等服务的；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19）投标文件内容不全或不符合招标文件中规定的其它实质性要求的；</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20）法律法规和招标文件规定的其它无效情形；</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21）改变招标文件清单给出的名称、实施范围、工作内容、计量单位、工程量、养护标准等。</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25.5招标采购单位对投标文件的判定，只依据投标内容本身，不依靠开标后的任何外来证明。</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25.6招标采购单位将拒绝被确定为非实质性响应的投标，投标人不能通过修正或撤销不符之处而使其投标成为实质性响应的投标。</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25.7依据《江苏省财政厅转发财政部关于推动解决政府采购异常低价问题的通知》（苏财购[2026]36号文）规定：</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（一）评审过程中出现下列情形之一的，评审委员会应当启动异常低价投标（响应）审查程序：</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1.投标(响应)报价低于全部通过符合性审查供应商投标(响应)报价平均值50%的，即投标(响应)报价&lt;全部通过符合性审查供应商投标(响应)报价平均值X50%;</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2.投标(响应)报价低于通过符合性审查的次低报价供应商投标(响应)报价50%的，即投标(响应)报价&lt;通过符合性审查的次低报价供应商投标(响应)报价X50%;</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3.投标(响应)报价低于采购项目最高限价45%的，即投标(响应)报价&lt;采购项目最高限价X45%;</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4.评审委员会基于专业判断，认为供应商报价过低，有可能影响产品质量或者不能诚信履约的其他情形。</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采购人可以结合具体项目实际情况，提高上述第1项至第3项中启动异常低价投标(响应)审查的数值标准，但是最高不得超过65%。</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8"/>
        <w:jc w:val="both"/>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26.投标的澄清</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26.1对投标文件中含义不明确</w:t>
      </w:r>
      <w:r>
        <w:rPr>
          <w:rFonts w:hint="eastAsia" w:ascii="宋体" w:hAnsi="宋体" w:eastAsia="宋体" w:cs="宋体"/>
          <w:color w:val="000000"/>
          <w:lang w:eastAsia="zh-CN"/>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27.废标</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27.1 在招标采购中，出现下列情形之一的，应予废标：</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1．符合专业条件的投标人或者对招标文件作出实质性响应的投标人不足三家；</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2．出现影响采购公正的违法、违规行为；</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3．投标人的报价均超过采购预算，采购人不能支付的；</w:t>
      </w:r>
      <w:r/>
    </w:p>
    <w:p>
      <w:pPr>
        <w:ind w:firstLine="57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4．因重大变故，采购任务取消。</w:t>
      </w:r>
      <w:r/>
    </w:p>
    <w:p>
      <w:pPr>
        <w:ind w:left="485" w:firstLine="85"/>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5．因“江苏政府采购“苏采云”系统”系统重大故障原因无法继续开评标的。</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28. 投标文件的评价和比较</w:t>
      </w:r>
      <w:r/>
    </w:p>
    <w:p>
      <w:pPr>
        <w:ind w:firstLine="609"/>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28.1评标委员会按招标文件规定的评标方法和标准，对符合性检查合格的投标文件进行商务和技术评估，综合比较与评价。</w:t>
      </w:r>
      <w:r/>
    </w:p>
    <w:p>
      <w:pPr>
        <w:ind w:firstLine="609"/>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28.2最低的投标报价或最高的折扣比例是中标的重要条件，但不是唯一条件。</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七、授予合同</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29. 中标人的确认</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29.1评标委员会按招标文件规定的评标方法和标准进行详细评审后，按招标采购单位的委托向招标采购单位推荐中标候选单位或根据采购人授权直接确定中标供应商。</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29.2中标无效的确认：</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（1）提供虚假材料谋取中标的；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（2）采取不正当手段诋毁、排挤其他投标人的；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（3）与招标采购单位、其他投标人恶意串通的；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（4）向招标采购单位行贿或者提供其他不正当利益的；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（5）在招标过程中与招标采购单位进行协商谈判、不按照招标文件和中标供应商的投标文件订立合同，或者与采购人另行订立背离合同实质性内容的协议的；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（6）拒绝有关部门监督检查或者提供虚假情况的。</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29.3经评标委员</w:t>
      </w:r>
      <w:r>
        <w:rPr>
          <w:rFonts w:hint="eastAsia" w:ascii="宋体" w:hAnsi="宋体" w:eastAsia="宋体" w:cs="宋体"/>
          <w:color w:val="000000"/>
          <w:lang w:eastAsia="zh-CN"/>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30. 合同授予标准</w:t>
      </w:r>
      <w:r/>
    </w:p>
    <w:p>
      <w:pPr>
        <w:ind w:firstLine="502"/>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30.1招标采购单位将把合同授予其投标文件在实质上响应招标文件要求且综合评分得分最高的投标人。</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31. 中标通知书</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31.2中标通知书将成为合同的组成部分。</w:t>
      </w:r>
      <w:r/>
    </w:p>
    <w:p>
      <w:pPr>
        <w:ind w:firstLine="502"/>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31.3招标采购单位对未中标供应商不承担解释未中标原因的义务。</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32.履约保证金（如有）</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32.1中标人应按规定提交履约保证金。</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32.2中标人必须在合同签订前按规定将履约保证金交至采购人指定账户。中标人未按上述要求提交履约保证金的,采购人可取消其中标资格。</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32.3履约保证金将在合同期结束且经双方验收合格后，采购人凭中标人的收款收据在七个工作日内全额退返给中标单位。</w:t>
      </w:r>
      <w:r/>
    </w:p>
    <w:p>
      <w:pPr>
        <w:ind w:firstLine="478"/>
        <w:jc w:val="both"/>
        <w:spacing w:after="0" w:line="360" w:lineRule="auto"/>
        <w:tabs>
          <w:tab w:val="left" w:pos="900" w:leader="none"/>
        </w:tabs>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32.3履约保证金用以约束供应商在合同履行中的行为，弥补合同执行中由于自身行为可能给采购人带来的各种损失。</w:t>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33. 合同的签订</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33.1中标人应按中标通知书中规定的时间和地点，由法定代表人或委托代理人与采购人代表签订合同。</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33.2签订合同及合同条款应以招标文件和中标人的投标文件及其澄清文件为依据。</w:t>
      </w:r>
      <w:r/>
    </w:p>
    <w:p>
      <w:pPr>
        <w:ind w:firstLine="431"/>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33.3中标人无正当理由拒签合同的，或在签订合同时向采购人提出附加条件或者更改合同实质性内容的，采购人可取消其中标资格，同时由中标人承担相应的法律责任。</w:t>
      </w:r>
      <w:r/>
    </w:p>
    <w:p>
      <w:pPr>
        <w:jc w:val="both"/>
        <w:spacing w:after="0" w:line="360" w:lineRule="auto"/>
        <w:rPr>
          <w:rFonts w:hint="eastAsia" w:ascii="宋体" w:hAnsi="宋体" w:eastAsia="宋体" w:cs="宋体"/>
          <w:b/>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34.招标代理服务费</w:t>
      </w:r>
      <w:r/>
    </w:p>
    <w:p>
      <w:pPr>
        <w:ind w:firstLine="422"/>
        <w:jc w:val="both"/>
        <w:spacing w:after="0" w:line="360" w:lineRule="auto"/>
        <w:rPr>
          <w:rFonts w:hint="eastAsia" w:ascii="宋体" w:hAnsi="宋体" w:eastAsia="宋体" w:cs="宋体"/>
          <w:b/>
          <w:color w:val="ff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lang w:eastAsia="zh-CN"/>
        </w:rPr>
        <w:t xml:space="preserve"> </w:t>
      </w:r>
      <w:r>
        <w:rPr>
          <w:rFonts w:hint="eastAsia" w:ascii="宋体" w:hAnsi="宋体" w:eastAsia="宋体" w:cs="宋体"/>
          <w:color w:val="000000"/>
          <w:lang w:eastAsia="zh-CN"/>
        </w:rPr>
        <w:t xml:space="preserve">本项目招标代理服务费由中标人在领取成交通知书时向代理单位一次性付清，以中标价为计算基数，按差额定率分档累进法计算，50万元以下（含）为1万元，50万元-400万元（含400万元）为1.5%，由中标供应商支付。上述费用请各供应商在报价时考虑，确定中标供应商后领取中标通知书前一次性缴纳给招标代理服务机构。专家评审费由采购人支付，费用按实结算。 </w:t>
      </w:r>
      <w:r/>
    </w:p>
    <w:p>
      <w:pPr>
        <w:jc w:val="both"/>
        <w:spacing w:after="0" w:line="360" w:lineRule="auto"/>
        <w:rPr>
          <w:rFonts w:hint="eastAsia" w:ascii="宋体" w:hAnsi="宋体" w:eastAsia="宋体" w:cs="宋体"/>
          <w:b/>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r>
      <w:r/>
    </w:p>
    <w:p>
      <w:pPr>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eastAsia="zh-CN"/>
        </w:rPr>
        <w:t xml:space="preserve">35.特别提醒</w:t>
      </w:r>
      <w:r/>
    </w:p>
    <w:p>
      <w:pPr>
        <w:ind w:firstLine="431"/>
        <w:jc w:val="both"/>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35.1投标单位如有提供不实评审材料，弄虚作假者，一律作废标处理，该不良行为将予以公示。</w:t>
      </w:r>
      <w:r/>
    </w:p>
    <w:p>
      <w:pPr>
        <w:ind w:firstLine="431"/>
        <w:jc w:val="both"/>
        <w:spacing w:before="240" w:after="24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35.2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35.3政府采购线上合同信用融资功能告知提醒</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我区已正式启用“苏采云”系统，目前已全面开通政府采购线上合同信用融资（以下简称“政采贷”）功能。成交供应商可凭政府采购合同在中征平台发起贷款申请贷款。</w:t>
      </w:r>
      <w:r/>
    </w:p>
    <w:p>
      <w:pPr>
        <w:pStyle w:val="901"/>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lang w:eastAsia="zh-CN"/>
        </w:rPr>
        <w:t xml:space="preserve">5</w:t>
      </w:r>
      <w:r>
        <w:rPr>
          <w:rFonts w:hint="eastAsia" w:ascii="宋体" w:hAnsi="宋体" w:eastAsia="宋体" w:cs="宋体"/>
          <w:sz w:val="22"/>
        </w:rPr>
        <w:t xml:space="preserve">.3.1.“政采贷”业务流程</w:t>
      </w:r>
      <w:r/>
    </w:p>
    <w:p>
      <w:pPr>
        <w:pStyle w:val="901"/>
        <w:ind w:firstLine="431"/>
        <w:jc w:val="center"/>
        <w:spacing w:line="360" w:lineRule="auto"/>
        <w:rPr>
          <w:rFonts w:hint="eastAsia" w:ascii="宋体" w:hAnsi="宋体" w:eastAsia="宋体" w:cs="宋体"/>
          <w:sz w:val="22"/>
        </w:rPr>
      </w:pPr>
      <w:r>
        <w:rPr>
          <w:rFonts w:ascii="宋体" w:hAnsi="宋体" w:eastAsia="宋体" w:cs="宋体"/>
          <w:sz w:val="22"/>
        </w:rPr>
        <mc:AlternateContent>
          <mc:Choice Requires="wpg">
            <w:drawing>
              <wp:inline xmlns:wp="http://schemas.openxmlformats.org/drawingml/2006/wordprocessingDrawing" distT="0" distB="0" distL="0" distR="0">
                <wp:extent cx="5141595" cy="151955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141595" cy="1519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8pt;height:119.6pt;mso-wrap-distance-left:0.0pt;mso-wrap-distance-top:0.0pt;mso-wrap-distance-right:0.0pt;mso-wrap-distance-bottom:0.0pt;" stroked="f">
                <v:path textboxrect="0,0,0,0"/>
                <v:imagedata r:id="rId10" o:title=""/>
              </v:shape>
            </w:pict>
          </mc:Fallback>
        </mc:AlternateConten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35.3.2.操作流程</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35.3.3.常见问题</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Q1：哪些企业能申请“政采贷”？</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答：江苏省内采用国库集中支付的政府采购项目的中标供应商，可凭政府采购合同申请"政采贷"。</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Q2：供应商在哪里申请“政采贷”？</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答：中标供应商在“中征应收账款融资服务平台”（简称“中征平台”）上向意向银行发起融资申请</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Q3：中标供应商要注意什么？</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答：中标供应商要加强和采购单位的沟通协调，尽早确定融资需求。需要“政采贷”融资的，政府采购合同付款账号应当空置。</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Q4：采购单位要做什么？</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答：采购单位在“苏采云”系统中公示政府采购合同时，要勾选融资标识，为中标供应商融资提供便利。如后续融资失败，采购单位要及时维护中标供应商相关账号信息，按时支付款项。</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Q5：“政采贷”融资失败怎么办？</w:t>
      </w:r>
      <w:r/>
    </w:p>
    <w:p>
      <w:pPr>
        <w:pStyle w:val="901"/>
        <w:ind w:firstLine="431"/>
        <w:jc w:val="both"/>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答：经合作银行审核后不予放款，或者贷款审核时间超过10个工作日的，视为融资失败，该项目回到财政预算管理一体化系统中支付资金。融资失败的，无法重新线上申请“政采贷”。</w:t>
      </w:r>
      <w:r/>
    </w:p>
    <w:p>
      <w:pPr>
        <w:pStyle w:val="901"/>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lang w:eastAsia="zh-CN"/>
        </w:rPr>
        <w:t xml:space="preserve">5</w:t>
      </w:r>
      <w:r>
        <w:rPr>
          <w:rFonts w:hint="eastAsia" w:ascii="宋体" w:hAnsi="宋体" w:eastAsia="宋体" w:cs="宋体"/>
          <w:sz w:val="22"/>
        </w:rPr>
        <w:t xml:space="preserve">.3.4.网址及联系方式</w:t>
      </w:r>
      <w:r/>
    </w:p>
    <w:p>
      <w:pPr>
        <w:pStyle w:val="901"/>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政采贷：http://www.ccgp-jiangsu.gov.cn/jiangsu/paying.html</w:t>
      </w:r>
      <w:r/>
    </w:p>
    <w:p>
      <w:pPr>
        <w:pStyle w:val="901"/>
        <w:ind w:firstLine="431"/>
        <w:jc w:val="both"/>
        <w:spacing w:line="360" w:lineRule="auto"/>
        <w:rPr>
          <w:rFonts w:hint="eastAsia" w:ascii="宋体" w:hAnsi="宋体" w:eastAsia="宋体" w:cs="宋体"/>
          <w:sz w:val="22"/>
        </w:rPr>
      </w:pPr>
      <w:r>
        <w:rPr>
          <w:rFonts w:hint="eastAsia" w:ascii="宋体" w:hAnsi="宋体" w:eastAsia="宋体" w:cs="宋体"/>
          <w:sz w:val="22"/>
        </w:rPr>
        <w:t xml:space="preserve">中征平台：https://www.crcrfsp.com/</w:t>
      </w:r>
      <w:r/>
    </w:p>
    <w:p>
      <w:pPr>
        <w:pStyle w:val="738"/>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联系人：翟先生           联系电话：0523-88816349</w:t>
      </w:r>
      <w:r/>
    </w:p>
    <w:p>
      <w:pPr>
        <w:spacing w:after="0" w:line="360" w:lineRule="auto"/>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w:t>
      </w:r>
      <w:r/>
    </w:p>
    <w:p>
      <w:pPr>
        <w:spacing w:line="360" w:lineRule="auto"/>
        <w:rPr>
          <w:rFonts w:hint="eastAsia" w:ascii="宋体" w:hAnsi="宋体" w:eastAsia="宋体" w:cs="宋体"/>
          <w:lang w:eastAsia="zh-CN"/>
        </w:rPr>
      </w:pPr>
      <w:r>
        <w:rPr>
          <w:rFonts w:hint="eastAsia" w:ascii="宋体" w:hAnsi="宋体" w:eastAsia="宋体" w:cs="宋体"/>
          <w:color w:val="000000"/>
          <w:lang w:eastAsia="zh-CN"/>
        </w:rPr>
        <w:br w:type="page" w:clear="all"/>
      </w:r>
      <w:r/>
    </w:p>
    <w:p>
      <w:pPr>
        <w:pStyle w:val="651"/>
        <w:numPr>
          <w:ilvl w:val="0"/>
          <w:numId w:val="5"/>
        </w:numPr>
        <w:jc w:val="center"/>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采购项目及技术要求</w:t>
      </w:r>
      <w:r/>
    </w:p>
    <w:p>
      <w:pPr>
        <w:ind w:firstLine="482"/>
        <w:spacing w:line="520" w:lineRule="exact"/>
        <w:rPr>
          <w:b/>
          <w:sz w:val="24"/>
        </w:rPr>
      </w:pPr>
      <w:r>
        <w:rPr>
          <w:rFonts w:hint="eastAsia"/>
          <w:b/>
          <w:sz w:val="24"/>
        </w:rPr>
        <w:t xml:space="preserve">一、</w:t>
      </w:r>
      <w:r>
        <w:rPr>
          <w:rFonts w:hint="eastAsia"/>
          <w:b/>
          <w:sz w:val="24"/>
          <w:lang w:eastAsia="zh-CN"/>
        </w:rPr>
        <w:t xml:space="preserve">采购清单</w:t>
      </w:r>
      <w:r>
        <w:rPr>
          <w:rFonts w:hint="eastAsia"/>
          <w:b/>
          <w:sz w:val="24"/>
        </w:rPr>
        <w:t xml:space="preserve">：</w:t>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4"/>
        <w:gridCol w:w="1050"/>
        <w:gridCol w:w="4957"/>
        <w:gridCol w:w="848"/>
        <w:gridCol w:w="2269"/>
      </w:tblGrid>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产品名称</w:t>
            </w:r>
            <w:r/>
          </w:p>
        </w:tc>
        <w:tc>
          <w:tcPr>
            <w:tcW w:w="495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技术参数</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W w:w="226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参考图片</w: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告示牌</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114×3mm的国标钢管，主要承载横梁不小于20×20×2mm的方管或不小于</w:t>
            </w:r>
            <w:r>
              <w:rPr>
                <w:rFonts w:hint="eastAsia" w:ascii="宋体" w:hAnsi="宋体" w:eastAsia="宋体" w:cs="宋体"/>
              </w:rPr>
              <w:t xml:space="preserve">φ</w:t>
            </w:r>
            <w:r>
              <w:rPr>
                <w:rFonts w:hint="eastAsia" w:ascii="宋体" w:hAnsi="宋体" w:eastAsia="宋体" w:cs="宋体"/>
                <w:lang w:eastAsia="zh-CN"/>
              </w:rPr>
              <w:t xml:space="preserve">28--32×2.5mm圆管。</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2.告示牌采用不锈钢材质，用矩形管焊接框架将其用抽芯铆钉和防盗螺栓固定，图样及字样蚀刻处理，不锈钢板边缘及尖角不允许外露。</w:t>
            </w:r>
            <w:r/>
          </w:p>
          <w:p>
            <w:pPr>
              <w:rPr>
                <w:rFonts w:hint="eastAsia" w:ascii="宋体" w:hAnsi="宋体" w:eastAsia="宋体" w:cs="宋体"/>
                <w:lang w:eastAsia="zh-CN"/>
              </w:rPr>
            </w:pPr>
            <w:r>
              <w:rPr>
                <w:rFonts w:hint="eastAsia" w:ascii="宋体" w:hAnsi="宋体" w:eastAsia="宋体" w:cs="宋体"/>
                <w:lang w:eastAsia="zh-CN"/>
              </w:rPr>
              <w:t xml:space="preserve">3.器材安全警示需采用图示方式，告知使用者可能存在的风险。</w:t>
            </w:r>
            <w:r/>
          </w:p>
          <w:p>
            <w:pPr>
              <w:rPr>
                <w:rFonts w:hint="eastAsia" w:ascii="宋体" w:hAnsi="宋体" w:eastAsia="宋体" w:cs="宋体"/>
                <w:lang w:eastAsia="zh-CN"/>
              </w:rPr>
            </w:pPr>
            <w:r>
              <w:rPr>
                <w:rFonts w:hint="eastAsia" w:ascii="宋体" w:hAnsi="宋体" w:eastAsia="宋体" w:cs="宋体"/>
                <w:lang w:eastAsia="zh-CN"/>
              </w:rPr>
              <w:t xml:space="preserve">★4.产品需符合GB19272-2024《室外健身器材的安全通用要求》的要求，并通过经国家批准的器材质量认证机构的产品质量认证，提供认证证书及确认函扫描件加盖公章。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144907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076325" cy="1449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4.8pt;height:114.1pt;mso-wrap-distance-left:0.0pt;mso-wrap-distance-top:0.0pt;mso-wrap-distance-right:0.0pt;mso-wrap-distance-bottom:0.0pt;" stroked="f">
                      <v:path textboxrect="0,0,0,0"/>
                      <v:imagedata r:id="rId11"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050"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rPr>
              <w:t xml:space="preserve">单杠</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1.主要承载立柱采用不小于</w:t>
            </w:r>
            <w:r>
              <w:rPr>
                <w:rFonts w:hint="eastAsia" w:ascii="宋体" w:hAnsi="宋体" w:eastAsia="宋体" w:cs="宋体"/>
              </w:rPr>
              <w:t xml:space="preserve">φ</w:t>
            </w:r>
            <w:r>
              <w:rPr>
                <w:rFonts w:hint="eastAsia" w:ascii="宋体" w:hAnsi="宋体" w:eastAsia="宋体" w:cs="宋体"/>
                <w:lang w:eastAsia="zh-CN"/>
              </w:rPr>
              <w:t xml:space="preserve">114×3mm的标准国际钢管，横杆外径应不大于32mm；</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2.单杠有效使用宽度不小于1220mm，符合GB19272-2024《室外健身器材的安全通用要求》；</w:t>
            </w:r>
            <w:r/>
          </w:p>
          <w:p>
            <w:pPr>
              <w:rPr>
                <w:rFonts w:hint="eastAsia" w:ascii="宋体" w:hAnsi="宋体" w:eastAsia="宋体" w:cs="宋体"/>
                <w:lang w:eastAsia="zh-CN"/>
              </w:rPr>
            </w:pPr>
            <w:r>
              <w:rPr>
                <w:rFonts w:hint="eastAsia" w:ascii="宋体" w:hAnsi="宋体" w:eastAsia="宋体" w:cs="宋体"/>
                <w:lang w:eastAsia="zh-CN"/>
              </w:rPr>
              <w:t xml:space="preserve">3.整机无勾挂，无挤压点，无剪切点，无卡夹处，符合GB19272-2024《室外健身器材的安全通用要求》标准；</w:t>
            </w:r>
            <w:r/>
          </w:p>
          <w:p>
            <w:pPr>
              <w:rPr>
                <w:rFonts w:hint="eastAsia" w:ascii="宋体" w:hAnsi="宋体" w:eastAsia="宋体" w:cs="宋体"/>
                <w:lang w:eastAsia="zh-CN"/>
              </w:rPr>
            </w:pPr>
            <w:r>
              <w:rPr>
                <w:rFonts w:hint="eastAsia" w:ascii="宋体" w:hAnsi="宋体" w:eastAsia="宋体" w:cs="宋体"/>
                <w:lang w:eastAsia="zh-CN"/>
              </w:rPr>
              <w:t xml:space="preserve">★4.产品需符合GB19272-2024《室外健身器材的安全通用要求》的要求，并通过经国家批准的器材质量认证机构的产品质量认证，提供认证证书及确认函扫描件加盖公章。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146810" cy="8724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146810" cy="872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0.3pt;height:68.7pt;mso-wrap-distance-left:0.0pt;mso-wrap-distance-top:0.0pt;mso-wrap-distance-right:0.0pt;mso-wrap-distance-bottom:0.0pt;" stroked="f">
                      <v:path textboxrect="0,0,0,0"/>
                      <v:imagedata r:id="rId12"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双杠</w:t>
            </w:r>
            <w:r/>
          </w:p>
        </w:tc>
        <w:tc>
          <w:tcPr>
            <w:tcW w:w="4957" w:type="dxa"/>
            <w:textDirection w:val="lrTb"/>
            <w:noWrap w:val="false"/>
          </w:tcPr>
          <w:p>
            <w:pPr>
              <w:spacing w:after="0"/>
              <w:rPr>
                <w:rFonts w:hint="eastAsia" w:ascii="宋体" w:hAnsi="宋体" w:eastAsia="宋体" w:cs="宋体"/>
                <w:lang w:eastAsia="zh-CN"/>
              </w:rPr>
            </w:pPr>
            <w:r>
              <w:rPr>
                <w:rFonts w:hint="eastAsia" w:ascii="宋体" w:hAnsi="宋体" w:eastAsia="宋体" w:cs="宋体"/>
                <w:lang w:eastAsia="zh-CN"/>
              </w:rPr>
              <w:t xml:space="preserve">1.主要承载立柱采用不小于</w:t>
            </w:r>
            <w:r>
              <w:rPr>
                <w:rFonts w:hint="eastAsia" w:ascii="宋体" w:hAnsi="宋体" w:eastAsia="宋体" w:cs="宋体"/>
              </w:rPr>
              <w:t xml:space="preserve">φ</w:t>
            </w:r>
            <w:r>
              <w:rPr>
                <w:rFonts w:hint="eastAsia" w:ascii="宋体" w:hAnsi="宋体" w:eastAsia="宋体" w:cs="宋体"/>
                <w:lang w:eastAsia="zh-CN"/>
              </w:rPr>
              <w:t xml:space="preserve">114×3mm的国标钢管;</w:t>
            </w:r>
            <w:r/>
          </w:p>
          <w:p>
            <w:pPr>
              <w:spacing w:after="0"/>
              <w:rPr>
                <w:rFonts w:hint="eastAsia" w:ascii="宋体" w:hAnsi="宋体" w:eastAsia="宋体" w:cs="宋体"/>
                <w:lang w:eastAsia="zh-CN"/>
              </w:rPr>
            </w:pPr>
            <w:r>
              <w:rPr>
                <w:rFonts w:hint="eastAsia" w:ascii="宋体" w:hAnsi="宋体" w:eastAsia="宋体" w:cs="宋体"/>
                <w:lang w:eastAsia="zh-CN"/>
              </w:rPr>
              <w:t xml:space="preserve">2.横杠的外经应不大于50mm。</w:t>
            </w:r>
            <w:r/>
          </w:p>
          <w:p>
            <w:pPr>
              <w:spacing w:after="0"/>
              <w:rPr>
                <w:rFonts w:hint="eastAsia" w:ascii="宋体" w:hAnsi="宋体" w:eastAsia="宋体" w:cs="宋体"/>
                <w:lang w:eastAsia="zh-CN"/>
              </w:rPr>
            </w:pPr>
            <w:r>
              <w:rPr>
                <w:rFonts w:hint="eastAsia" w:ascii="宋体" w:hAnsi="宋体" w:eastAsia="宋体" w:cs="宋体"/>
                <w:lang w:eastAsia="zh-CN"/>
              </w:rPr>
              <w:t xml:space="preserve">3.杠长应为2000mm-2500mm，杠面高度应为1200mm-1700mm。</w:t>
            </w:r>
            <w:r/>
          </w:p>
          <w:p>
            <w:pPr>
              <w:spacing w:after="0"/>
              <w:rPr>
                <w:rFonts w:hint="eastAsia" w:ascii="宋体" w:hAnsi="宋体" w:eastAsia="宋体" w:cs="宋体"/>
                <w:lang w:eastAsia="zh-CN"/>
              </w:rPr>
            </w:pPr>
            <w:r>
              <w:rPr>
                <w:rFonts w:hint="eastAsia" w:ascii="宋体" w:hAnsi="宋体" w:eastAsia="宋体" w:cs="宋体"/>
                <w:lang w:eastAsia="zh-CN"/>
              </w:rPr>
              <w:t xml:space="preserve">4.两杠内侧距离应为 390mm-550mm。</w:t>
            </w:r>
            <w:r/>
          </w:p>
          <w:p>
            <w:pPr>
              <w:spacing w:after="0"/>
              <w:rPr>
                <w:rFonts w:hint="eastAsia" w:ascii="宋体" w:hAnsi="宋体" w:eastAsia="宋体" w:cs="宋体"/>
                <w:lang w:eastAsia="zh-CN"/>
              </w:rPr>
            </w:pPr>
            <w:r>
              <w:rPr>
                <w:rFonts w:hint="eastAsia" w:ascii="宋体" w:hAnsi="宋体" w:eastAsia="宋体" w:cs="宋体"/>
                <w:lang w:eastAsia="zh-CN"/>
              </w:rPr>
              <w:t xml:space="preserve">5.器材标牌采用全不锈钢腐蚀，拉铆钉固定，边</w:t>
            </w:r>
            <w:r>
              <w:rPr>
                <w:rFonts w:hint="eastAsia" w:ascii="宋体" w:hAnsi="宋体" w:eastAsia="宋体" w:cs="宋体"/>
                <w:lang w:eastAsia="zh-CN"/>
              </w:rPr>
              <w:t xml:space="preserve">缘紧贴立柱，避免造成勾挂伤害；</w:t>
            </w:r>
            <w:r/>
          </w:p>
          <w:p>
            <w:pPr>
              <w:spacing w:after="0"/>
              <w:rPr>
                <w:rFonts w:hint="eastAsia" w:ascii="宋体" w:hAnsi="宋体" w:eastAsia="宋体" w:cs="宋体"/>
                <w:lang w:eastAsia="zh-CN"/>
              </w:rPr>
            </w:pPr>
            <w:r>
              <w:rPr>
                <w:rFonts w:hint="eastAsia" w:ascii="宋体" w:hAnsi="宋体" w:eastAsia="宋体" w:cs="宋体"/>
                <w:lang w:eastAsia="zh-CN"/>
              </w:rPr>
              <w:t xml:space="preserve">6.整机无勾挂，无挤压点，无剪切点，无卡夹处，符合GB19272-2024标准；</w:t>
            </w:r>
            <w:r/>
          </w:p>
          <w:p>
            <w:pPr>
              <w:rPr>
                <w:rFonts w:hint="eastAsia" w:ascii="宋体" w:hAnsi="宋体" w:eastAsia="宋体" w:cs="宋体"/>
                <w:lang w:eastAsia="zh-CN"/>
              </w:rPr>
            </w:pPr>
            <w:r>
              <w:rPr>
                <w:rFonts w:hint="eastAsia" w:ascii="宋体" w:hAnsi="宋体" w:eastAsia="宋体" w:cs="宋体"/>
                <w:lang w:eastAsia="zh-CN"/>
              </w:rPr>
              <w:t xml:space="preserve">★7.产品需符合GB19272-2024《室外健身器材的安全通用要求》的要求，并通过经国家批准的器材质量认证机构的产品质量认证，提供认证证书及确认函扫描件加盖公章。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83310" cy="11607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83310" cy="1160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5.3pt;height:91.4pt;mso-wrap-distance-left:0.0pt;mso-wrap-distance-top:0.0pt;mso-wrap-distance-right:0.0pt;mso-wrap-distance-bottom:0.0pt;" stroked="f">
                      <v:path textboxrect="0,0,0,0"/>
                      <v:imagedata r:id="rId13"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上肢牵引器</w:t>
            </w:r>
            <w:r/>
          </w:p>
        </w:tc>
        <w:tc>
          <w:tcPr>
            <w:tcW w:w="4957" w:type="dxa"/>
            <w:vAlign w:val="center"/>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1.主要承载立柱采用不小于</w:t>
            </w:r>
            <w:r>
              <w:rPr>
                <w:rFonts w:hint="eastAsia" w:ascii="宋体" w:hAnsi="宋体" w:eastAsia="宋体" w:cs="宋体"/>
              </w:rPr>
              <w:t xml:space="preserve">φ</w:t>
            </w:r>
            <w:r>
              <w:rPr>
                <w:rFonts w:hint="eastAsia" w:ascii="宋体" w:hAnsi="宋体" w:eastAsia="宋体" w:cs="宋体"/>
                <w:lang w:eastAsia="zh-CN"/>
              </w:rPr>
              <w:t xml:space="preserve">114×3mm的国标钢管：</w:t>
            </w:r>
            <w:r/>
          </w:p>
          <w:p>
            <w:pPr>
              <w:rPr>
                <w:rFonts w:hint="eastAsia" w:ascii="宋体" w:hAnsi="宋体" w:eastAsia="宋体" w:cs="宋体"/>
                <w:lang w:eastAsia="zh-CN"/>
              </w:rPr>
            </w:pPr>
            <w:r>
              <w:rPr>
                <w:rFonts w:hint="eastAsia" w:ascii="宋体" w:hAnsi="宋体" w:eastAsia="宋体" w:cs="宋体"/>
                <w:lang w:eastAsia="zh-CN"/>
              </w:rPr>
              <w:t xml:space="preserve">2.立柱横梁采用不小于</w:t>
            </w:r>
            <w:r>
              <w:rPr>
                <w:rFonts w:hint="eastAsia" w:ascii="宋体" w:hAnsi="宋体" w:eastAsia="宋体" w:cs="宋体"/>
              </w:rPr>
              <w:t xml:space="preserve">φ</w:t>
            </w:r>
            <w:r>
              <w:rPr>
                <w:rFonts w:hint="eastAsia" w:ascii="宋体" w:hAnsi="宋体" w:eastAsia="宋体" w:cs="宋体"/>
                <w:lang w:eastAsia="zh-CN"/>
              </w:rPr>
              <w:t xml:space="preserve">48×3mm的国标钢管；</w:t>
            </w:r>
            <w:r/>
          </w:p>
          <w:p>
            <w:pPr>
              <w:rPr>
                <w:rFonts w:hint="eastAsia" w:ascii="宋体" w:hAnsi="宋体" w:eastAsia="宋体" w:cs="宋体"/>
                <w:lang w:eastAsia="zh-CN"/>
              </w:rPr>
            </w:pPr>
            <w:r>
              <w:rPr>
                <w:rFonts w:hint="eastAsia" w:ascii="宋体" w:hAnsi="宋体" w:eastAsia="宋体" w:cs="宋体"/>
                <w:lang w:eastAsia="zh-CN"/>
              </w:rPr>
              <w:t xml:space="preserve">3.立柱采用封头，避免淋入雨水；</w:t>
            </w:r>
            <w:r/>
          </w:p>
          <w:p>
            <w:pPr>
              <w:rPr>
                <w:rFonts w:hint="eastAsia" w:ascii="宋体" w:hAnsi="宋体" w:eastAsia="宋体" w:cs="宋体"/>
                <w:lang w:eastAsia="zh-CN"/>
              </w:rPr>
            </w:pPr>
            <w:r>
              <w:rPr>
                <w:rFonts w:hint="eastAsia" w:ascii="宋体" w:hAnsi="宋体" w:eastAsia="宋体" w:cs="宋体"/>
                <w:lang w:eastAsia="zh-CN"/>
              </w:rPr>
              <w:t xml:space="preserve">4.可双人同时使用；</w:t>
            </w:r>
            <w:r/>
          </w:p>
          <w:p>
            <w:pPr>
              <w:rPr>
                <w:rFonts w:hint="eastAsia" w:ascii="宋体" w:hAnsi="宋体" w:eastAsia="宋体" w:cs="宋体"/>
                <w:lang w:eastAsia="zh-CN"/>
              </w:rPr>
            </w:pPr>
            <w:r>
              <w:rPr>
                <w:rFonts w:hint="eastAsia" w:ascii="宋体" w:hAnsi="宋体" w:eastAsia="宋体" w:cs="宋体"/>
                <w:lang w:eastAsia="zh-CN"/>
              </w:rPr>
              <w:t xml:space="preserve">5.采用橡塑手把套，以增加使用时的舒适程度，手柄 端部直径应不小于50mm，除专用工具外应不可拆；</w:t>
            </w:r>
            <w:r/>
          </w:p>
          <w:p>
            <w:pPr>
              <w:rPr>
                <w:rFonts w:hint="eastAsia" w:ascii="宋体" w:hAnsi="宋体" w:eastAsia="宋体" w:cs="宋体"/>
                <w:lang w:eastAsia="zh-CN"/>
              </w:rPr>
            </w:pPr>
            <w:r>
              <w:rPr>
                <w:rFonts w:hint="eastAsia" w:ascii="宋体" w:hAnsi="宋体" w:eastAsia="宋体" w:cs="宋体"/>
                <w:lang w:eastAsia="zh-CN"/>
              </w:rPr>
              <w:t xml:space="preserve">6.活动把手（不含柔性部件)质量不大于600g，柔性连接装置小于把手重量；</w:t>
            </w:r>
            <w:r/>
          </w:p>
          <w:p>
            <w:pPr>
              <w:rPr>
                <w:rFonts w:hint="eastAsia" w:ascii="宋体" w:hAnsi="宋体" w:eastAsia="宋体" w:cs="宋体"/>
                <w:lang w:eastAsia="zh-CN"/>
              </w:rPr>
            </w:pPr>
            <w:r>
              <w:rPr>
                <w:rFonts w:hint="eastAsia" w:ascii="宋体" w:hAnsi="宋体" w:eastAsia="宋体" w:cs="宋体"/>
                <w:lang w:eastAsia="zh-CN"/>
              </w:rPr>
              <w:t xml:space="preserve">7.若使用链环结构时，链扣之间最大间隙小于8mm  </w:t>
            </w:r>
            <w:r/>
          </w:p>
          <w:p>
            <w:pPr>
              <w:rPr>
                <w:rFonts w:hint="eastAsia" w:ascii="宋体" w:hAnsi="宋体" w:eastAsia="宋体" w:cs="宋体"/>
                <w:lang w:eastAsia="zh-CN"/>
              </w:rPr>
            </w:pPr>
            <w:r>
              <w:rPr>
                <w:rFonts w:hint="eastAsia" w:ascii="宋体" w:hAnsi="宋体" w:eastAsia="宋体" w:cs="宋体"/>
                <w:lang w:eastAsia="zh-CN"/>
              </w:rPr>
              <w:t xml:space="preserve">8.整机无勾挂，无挤压点，无剪切点，无卡夹处，各处孔径空隙符合GB19272-2024《室外健身器材的安全通用要求》标准；</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★9.产品需符合GB19272-2024《室外健身器材的安全通用要求》的要求，并通过经国家批准的器材质量认证机构的产品质量认证，提供认证证书及确认函扫描件加盖公章。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151257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076325" cy="1512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4.8pt;height:119.1pt;mso-wrap-distance-left:0.0pt;mso-wrap-distance-top:0.0pt;mso-wrap-distance-right:0.0pt;mso-wrap-distance-bottom:0.0pt;" stroked="f">
                      <v:path textboxrect="0,0,0,0"/>
                      <v:imagedata r:id="rId14"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双位太空漫步机</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w:t>
            </w:r>
            <w:r>
              <w:rPr>
                <w:rFonts w:hint="eastAsia" w:ascii="宋体" w:hAnsi="宋体" w:eastAsia="宋体" w:cs="宋体"/>
              </w:rPr>
              <w:t xml:space="preserve">φ</w:t>
            </w:r>
            <w:r>
              <w:rPr>
                <w:rFonts w:hint="eastAsia" w:ascii="宋体" w:hAnsi="宋体" w:eastAsia="宋体" w:cs="宋体"/>
                <w:lang w:eastAsia="zh-CN"/>
              </w:rPr>
              <w:t xml:space="preserve">60×3mm优质圆管或不小于50×50×3.0mm的方管，与其他管材同时满足GB19272-2024 《室外健身器材的安全通用要求》标准中相关静载荷、稳定性要求。</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2.使用人数：2人。</w:t>
            </w:r>
            <w:r/>
          </w:p>
          <w:p>
            <w:pPr>
              <w:rPr>
                <w:rFonts w:hint="eastAsia" w:ascii="宋体" w:hAnsi="宋体" w:eastAsia="宋体" w:cs="宋体"/>
                <w:lang w:eastAsia="zh-CN"/>
              </w:rPr>
            </w:pPr>
            <w:r>
              <w:rPr>
                <w:rFonts w:hint="eastAsia" w:ascii="宋体" w:hAnsi="宋体" w:eastAsia="宋体" w:cs="宋体"/>
                <w:lang w:eastAsia="zh-CN"/>
              </w:rPr>
              <w:t xml:space="preserve">3.摆杆有限位装置，且单侧摆动幅度不大于70°，限位部件为铸钢件。</w:t>
            </w:r>
            <w:r/>
          </w:p>
          <w:p>
            <w:pPr>
              <w:rPr>
                <w:rFonts w:hint="eastAsia" w:ascii="宋体" w:hAnsi="宋体" w:eastAsia="宋体" w:cs="宋体"/>
                <w:lang w:eastAsia="zh-CN"/>
              </w:rPr>
            </w:pPr>
            <w:r>
              <w:rPr>
                <w:rFonts w:hint="eastAsia" w:ascii="宋体" w:hAnsi="宋体" w:eastAsia="宋体" w:cs="宋体"/>
                <w:lang w:eastAsia="zh-CN"/>
              </w:rPr>
              <w:t xml:space="preserve">4.摆杆与主立柱内侧的最小距离处大于60mm。</w:t>
            </w:r>
            <w:r/>
          </w:p>
          <w:p>
            <w:pPr>
              <w:rPr>
                <w:rFonts w:hint="eastAsia" w:ascii="宋体" w:hAnsi="宋体" w:eastAsia="宋体" w:cs="宋体"/>
                <w:lang w:eastAsia="zh-CN"/>
              </w:rPr>
            </w:pPr>
            <w:r>
              <w:rPr>
                <w:rFonts w:hint="eastAsia" w:ascii="宋体" w:hAnsi="宋体" w:eastAsia="宋体" w:cs="宋体"/>
                <w:lang w:eastAsia="zh-CN"/>
              </w:rPr>
              <w:t xml:space="preserve">5.踏板采用4mm优质钢板冲压件，踏板的主运动方向和易滑脱方向应设置高度不小于30mm、长度大于踏板周长2/3的防滑脱的凸台或护板；凸台顶部棱边R弧2mm。</w:t>
            </w:r>
            <w:r/>
          </w:p>
          <w:p>
            <w:pPr>
              <w:rPr>
                <w:rFonts w:hint="eastAsia" w:ascii="宋体" w:hAnsi="宋体" w:eastAsia="宋体" w:cs="宋体"/>
                <w:lang w:eastAsia="zh-CN"/>
              </w:rPr>
            </w:pPr>
            <w:r>
              <w:rPr>
                <w:rFonts w:hint="eastAsia" w:ascii="宋体" w:hAnsi="宋体" w:eastAsia="宋体" w:cs="宋体"/>
                <w:lang w:eastAsia="zh-CN"/>
              </w:rPr>
              <w:t xml:space="preserve">6.脚踏部位应有防滑措施，站立使用的单脚防滑面应不小于（3×104）mm²，摩擦系数应不小于0.5。</w:t>
            </w:r>
            <w:r/>
          </w:p>
          <w:p>
            <w:pPr>
              <w:rPr>
                <w:rFonts w:hint="eastAsia" w:ascii="宋体" w:hAnsi="宋体" w:eastAsia="宋体" w:cs="宋体"/>
                <w:lang w:eastAsia="zh-CN"/>
              </w:rPr>
            </w:pPr>
            <w:r>
              <w:rPr>
                <w:rFonts w:hint="eastAsia" w:ascii="宋体" w:hAnsi="宋体" w:eastAsia="宋体" w:cs="宋体"/>
                <w:lang w:eastAsia="zh-CN"/>
              </w:rPr>
              <w:t xml:space="preserve">7.摆动部件下缘距地面或底面最小高度应不小于80mm。</w:t>
            </w:r>
            <w:r/>
          </w:p>
          <w:p>
            <w:pPr>
              <w:rPr>
                <w:rFonts w:hint="eastAsia" w:ascii="宋体" w:hAnsi="宋体" w:eastAsia="宋体" w:cs="宋体"/>
                <w:lang w:eastAsia="zh-CN"/>
              </w:rPr>
            </w:pPr>
            <w:r>
              <w:rPr>
                <w:rFonts w:hint="eastAsia" w:ascii="宋体" w:hAnsi="宋体" w:eastAsia="宋体" w:cs="宋体"/>
                <w:lang w:eastAsia="zh-CN"/>
              </w:rPr>
              <w:t xml:space="preserve">8.相邻运动的两踏板的间距应不小于100mm。</w:t>
            </w:r>
            <w:r/>
          </w:p>
          <w:p>
            <w:pPr>
              <w:rPr>
                <w:rFonts w:hint="eastAsia" w:ascii="宋体" w:hAnsi="宋体" w:eastAsia="宋体" w:cs="宋体"/>
                <w:lang w:eastAsia="zh-CN"/>
              </w:rPr>
            </w:pPr>
            <w:r>
              <w:rPr>
                <w:rFonts w:hint="eastAsia" w:ascii="宋体" w:hAnsi="宋体" w:eastAsia="宋体" w:cs="宋体"/>
                <w:lang w:eastAsia="zh-CN"/>
              </w:rPr>
              <w:t xml:space="preserve">9.转轴直径为30mm，并辅以调质热处理；轴承座最薄处壁厚6.5mm，轴承选用深沟球轴承。</w:t>
            </w:r>
            <w:r/>
          </w:p>
          <w:p>
            <w:pPr>
              <w:rPr>
                <w:rFonts w:hint="eastAsia" w:ascii="宋体" w:hAnsi="宋体" w:eastAsia="宋体" w:cs="宋体"/>
                <w:lang w:eastAsia="zh-CN"/>
              </w:rPr>
            </w:pPr>
            <w:r>
              <w:rPr>
                <w:rFonts w:hint="eastAsia" w:ascii="宋体" w:hAnsi="宋体" w:eastAsia="宋体" w:cs="宋体"/>
                <w:lang w:eastAsia="zh-CN"/>
              </w:rPr>
              <w:t xml:space="preserve">10.踏板前后采取防止碰撞第三者的缓冲措施。</w:t>
            </w:r>
            <w:r/>
          </w:p>
          <w:p>
            <w:pPr>
              <w:rPr>
                <w:rFonts w:hint="eastAsia" w:ascii="宋体" w:hAnsi="宋体" w:eastAsia="宋体" w:cs="宋体"/>
                <w:lang w:eastAsia="zh-CN"/>
              </w:rPr>
            </w:pPr>
            <w:r>
              <w:rPr>
                <w:rFonts w:hint="eastAsia" w:ascii="宋体" w:hAnsi="宋体" w:eastAsia="宋体" w:cs="宋体"/>
                <w:lang w:eastAsia="zh-CN"/>
              </w:rPr>
              <w:t xml:space="preserve">★11.产品需符合GB19272-2024《室外健身器材的安全通用要求》的要求，并通过经国家批准的器材质量认证机构的产品质量认证，提供认证证书及确认函扫描件加盖公章。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62611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76325" cy="62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4.8pt;height:49.3pt;mso-wrap-distance-left:0.0pt;mso-wrap-distance-top:0.0pt;mso-wrap-distance-right:0.0pt;mso-wrap-distance-bottom:0.0pt;" stroked="f">
                      <v:path textboxrect="0,0,0,0"/>
                      <v:imagedata r:id="rId15"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三位扭腰器</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w:t>
            </w:r>
            <w:r>
              <w:rPr>
                <w:rFonts w:hint="eastAsia" w:ascii="宋体" w:hAnsi="宋体" w:eastAsia="宋体" w:cs="宋体"/>
              </w:rPr>
              <w:t xml:space="preserve">φ</w:t>
            </w:r>
            <w:r>
              <w:rPr>
                <w:rFonts w:hint="eastAsia" w:ascii="宋体" w:hAnsi="宋体" w:eastAsia="宋体" w:cs="宋体"/>
                <w:lang w:eastAsia="zh-CN"/>
              </w:rPr>
              <w:t xml:space="preserve">32×2.0mm优质钢管，扭腰盘立柱不小于</w:t>
            </w:r>
            <w:r>
              <w:rPr>
                <w:rFonts w:hint="eastAsia" w:ascii="宋体" w:hAnsi="宋体" w:eastAsia="宋体" w:cs="宋体"/>
              </w:rPr>
              <w:t xml:space="preserve">φ</w:t>
            </w:r>
            <w:r>
              <w:rPr>
                <w:rFonts w:hint="eastAsia" w:ascii="宋体" w:hAnsi="宋体" w:eastAsia="宋体" w:cs="宋体"/>
                <w:lang w:eastAsia="zh-CN"/>
              </w:rPr>
              <w:t xml:space="preserve">60×3mm，与其他管材同时满足GB19272-2024 《室外健身器材的安全通用要求》标准中相关静载荷、稳定性要求。</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2.使用人数：3人。</w:t>
            </w:r>
            <w:r/>
          </w:p>
          <w:p>
            <w:pPr>
              <w:rPr>
                <w:rFonts w:hint="eastAsia" w:ascii="宋体" w:hAnsi="宋体" w:eastAsia="宋体" w:cs="宋体"/>
                <w:lang w:eastAsia="zh-CN"/>
              </w:rPr>
            </w:pPr>
            <w:r>
              <w:rPr>
                <w:rFonts w:hint="eastAsia" w:ascii="宋体" w:hAnsi="宋体" w:eastAsia="宋体" w:cs="宋体"/>
                <w:lang w:eastAsia="zh-CN"/>
              </w:rPr>
              <w:t xml:space="preserve">3.转动部位采用深沟球轴承或推力轴承。</w:t>
            </w:r>
            <w:r/>
          </w:p>
          <w:p>
            <w:pPr>
              <w:rPr>
                <w:rFonts w:hint="eastAsia" w:ascii="宋体" w:hAnsi="宋体" w:eastAsia="宋体" w:cs="宋体"/>
                <w:lang w:eastAsia="zh-CN"/>
              </w:rPr>
            </w:pPr>
            <w:r>
              <w:rPr>
                <w:rFonts w:hint="eastAsia" w:ascii="宋体" w:hAnsi="宋体" w:eastAsia="宋体" w:cs="宋体"/>
                <w:lang w:eastAsia="zh-CN"/>
              </w:rPr>
              <w:t xml:space="preserve">4.扭腰盘直径不小于320mm，采用4mm优质钢板冲压制作；盘上表面边缘R5mm的圆弧过渡；扭腰盘下部棱边R2mm。</w:t>
            </w:r>
            <w:r/>
          </w:p>
          <w:p>
            <w:pPr>
              <w:rPr>
                <w:rFonts w:hint="eastAsia" w:ascii="宋体" w:hAnsi="宋体" w:eastAsia="宋体" w:cs="宋体"/>
                <w:lang w:eastAsia="zh-CN"/>
              </w:rPr>
            </w:pPr>
            <w:r>
              <w:rPr>
                <w:rFonts w:hint="eastAsia" w:ascii="宋体" w:hAnsi="宋体" w:eastAsia="宋体" w:cs="宋体"/>
                <w:lang w:eastAsia="zh-CN"/>
              </w:rPr>
              <w:t xml:space="preserve">5.扭腰盘应具有阻尼装置。 </w:t>
            </w:r>
            <w:r/>
          </w:p>
          <w:p>
            <w:pPr>
              <w:rPr>
                <w:rFonts w:hint="eastAsia" w:ascii="宋体" w:hAnsi="宋体" w:eastAsia="宋体" w:cs="宋体"/>
                <w:lang w:eastAsia="zh-CN"/>
              </w:rPr>
            </w:pPr>
            <w:r>
              <w:rPr>
                <w:rFonts w:hint="eastAsia" w:ascii="宋体" w:hAnsi="宋体" w:eastAsia="宋体" w:cs="宋体"/>
                <w:lang w:eastAsia="zh-CN"/>
              </w:rPr>
              <w:t xml:space="preserve">★6.产品需符合GB19272-2024《室外健身器材的安全通用要求》的要求，并通过经国家批准的器材质量认证机构的产品质量认证，提供认证证书及确认函扫描件加盖公章。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106934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76325" cy="1069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4.8pt;height:84.2pt;mso-wrap-distance-left:0.0pt;mso-wrap-distance-top:0.0pt;mso-wrap-distance-right:0.0pt;mso-wrap-distance-bottom:0.0pt;" stroked="f">
                      <v:path textboxrect="0,0,0,0"/>
                      <v:imagedata r:id="rId16"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7</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双位坐蹬训练器</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1.主要承载立柱不小于</w:t>
            </w:r>
            <w:r>
              <w:rPr>
                <w:rFonts w:hint="eastAsia" w:ascii="宋体" w:hAnsi="宋体" w:eastAsia="宋体" w:cs="宋体"/>
              </w:rPr>
              <w:t xml:space="preserve">φ</w:t>
            </w:r>
            <w:r>
              <w:rPr>
                <w:rFonts w:hint="eastAsia" w:ascii="宋体" w:hAnsi="宋体" w:eastAsia="宋体" w:cs="宋体"/>
                <w:lang w:eastAsia="zh-CN"/>
              </w:rPr>
              <w:t xml:space="preserve">114×3mm的国标钢管，主要承载横梁不小于</w:t>
            </w:r>
            <w:r>
              <w:rPr>
                <w:rFonts w:hint="eastAsia" w:ascii="宋体" w:hAnsi="宋体" w:eastAsia="宋体" w:cs="宋体"/>
              </w:rPr>
              <w:t xml:space="preserve">φ</w:t>
            </w:r>
            <w:r>
              <w:rPr>
                <w:rFonts w:hint="eastAsia" w:ascii="宋体" w:hAnsi="宋体" w:eastAsia="宋体" w:cs="宋体"/>
                <w:lang w:eastAsia="zh-CN"/>
              </w:rPr>
              <w:t xml:space="preserve">60×2.5mm优质钢管或不小于100×50×3钢管，与其他管材同时满足GB19272-2024 《室外健身器材的安全通用要求》标准中相关静载荷、稳定性要求。</w:t>
            </w:r>
            <w:r>
              <w:rPr>
                <w:rFonts w:hint="eastAsia" w:ascii="宋体" w:hAnsi="宋体" w:eastAsia="宋体" w:cs="宋体"/>
                <w:lang w:val="zh-CN" w:eastAsia="zh-CN"/>
              </w:rPr>
              <w:t xml:space="preserve">安装采用直埋方式；</w:t>
            </w:r>
            <w:r/>
          </w:p>
          <w:p>
            <w:pPr>
              <w:rPr>
                <w:rFonts w:hint="eastAsia" w:ascii="宋体" w:hAnsi="宋体" w:eastAsia="宋体" w:cs="宋体"/>
                <w:lang w:eastAsia="zh-CN"/>
              </w:rPr>
            </w:pPr>
            <w:r>
              <w:rPr>
                <w:rFonts w:hint="eastAsia" w:ascii="宋体" w:hAnsi="宋体" w:eastAsia="宋体" w:cs="宋体"/>
                <w:lang w:eastAsia="zh-CN"/>
              </w:rPr>
              <w:t xml:space="preserve">2.使用人数：2人。 </w:t>
            </w:r>
            <w:r/>
          </w:p>
          <w:p>
            <w:pPr>
              <w:rPr>
                <w:rFonts w:hint="eastAsia" w:ascii="宋体" w:hAnsi="宋体" w:eastAsia="宋体" w:cs="宋体"/>
                <w:lang w:eastAsia="zh-CN"/>
              </w:rPr>
            </w:pPr>
            <w:r>
              <w:rPr>
                <w:rFonts w:hint="eastAsia" w:ascii="宋体" w:hAnsi="宋体" w:eastAsia="宋体" w:cs="宋体"/>
                <w:lang w:eastAsia="zh-CN"/>
              </w:rPr>
              <w:t xml:space="preserve">3.座支撑管为</w:t>
            </w:r>
            <w:r>
              <w:rPr>
                <w:rFonts w:hint="eastAsia" w:ascii="宋体" w:hAnsi="宋体" w:eastAsia="宋体" w:cs="宋体"/>
              </w:rPr>
              <w:t xml:space="preserve">φ</w:t>
            </w:r>
            <w:r>
              <w:rPr>
                <w:rFonts w:hint="eastAsia" w:ascii="宋体" w:hAnsi="宋体" w:eastAsia="宋体" w:cs="宋体"/>
                <w:lang w:eastAsia="zh-CN"/>
              </w:rPr>
              <w:t xml:space="preserve">60×3mm优质钢管弯管而成。</w:t>
            </w:r>
            <w:r/>
          </w:p>
          <w:p>
            <w:pPr>
              <w:rPr>
                <w:rFonts w:hint="eastAsia" w:ascii="宋体" w:hAnsi="宋体" w:eastAsia="宋体" w:cs="宋体"/>
                <w:lang w:eastAsia="zh-CN"/>
              </w:rPr>
            </w:pPr>
            <w:r>
              <w:rPr>
                <w:rFonts w:hint="eastAsia" w:ascii="宋体" w:hAnsi="宋体" w:eastAsia="宋体" w:cs="宋体"/>
                <w:lang w:eastAsia="zh-CN"/>
              </w:rPr>
              <w:t xml:space="preserve">4.限位轴承座为精密铸钢件，主轴直径</w:t>
            </w:r>
            <w:r>
              <w:rPr>
                <w:rFonts w:hint="eastAsia" w:ascii="宋体" w:hAnsi="宋体" w:eastAsia="宋体" w:cs="宋体"/>
              </w:rPr>
              <w:t xml:space="preserve">φ</w:t>
            </w:r>
            <w:r>
              <w:rPr>
                <w:rFonts w:hint="eastAsia" w:ascii="宋体" w:hAnsi="宋体" w:eastAsia="宋体" w:cs="宋体"/>
                <w:lang w:eastAsia="zh-CN"/>
              </w:rPr>
              <w:t xml:space="preserve">30mm，限位轴直径</w:t>
            </w:r>
            <w:r>
              <w:rPr>
                <w:rFonts w:hint="eastAsia" w:ascii="宋体" w:hAnsi="宋体" w:eastAsia="宋体" w:cs="宋体"/>
              </w:rPr>
              <w:t xml:space="preserve">φ</w:t>
            </w:r>
            <w:r>
              <w:rPr>
                <w:rFonts w:hint="eastAsia" w:ascii="宋体" w:hAnsi="宋体" w:eastAsia="宋体" w:cs="宋体"/>
                <w:lang w:eastAsia="zh-CN"/>
              </w:rPr>
              <w:t xml:space="preserve">20mm。限位耳板为8mm钢板整体冲压件且边角圆弧过渡。</w:t>
            </w:r>
            <w:r/>
          </w:p>
          <w:p>
            <w:pPr>
              <w:rPr>
                <w:rFonts w:hint="eastAsia" w:ascii="宋体" w:hAnsi="宋体" w:eastAsia="宋体" w:cs="宋体"/>
                <w:lang w:eastAsia="zh-CN"/>
              </w:rPr>
            </w:pPr>
            <w:r>
              <w:rPr>
                <w:rFonts w:hint="eastAsia" w:ascii="宋体" w:hAnsi="宋体" w:eastAsia="宋体" w:cs="宋体"/>
                <w:lang w:eastAsia="zh-CN"/>
              </w:rPr>
              <w:t xml:space="preserve">★5.产品需符合GB19272-2024《室外健身器材的安全通用要求》的要求，并通过经国家批准的器材质量认证机构的产品质量认证，提供认证证书及确认函扫描件加盖公章。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111</w:t>
            </w:r>
            <w:r>
              <w:rPr>
                <w:rFonts w:hint="eastAsia" w:ascii="宋体" w:hAnsi="宋体" w:eastAsia="宋体" w:cs="宋体"/>
              </w:rPr>
              <w:t xml:space="preserve">件</w:t>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76325" cy="75247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7632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4.8pt;height:59.2pt;mso-wrap-distance-left:0.0pt;mso-wrap-distance-top:0.0pt;mso-wrap-distance-right:0.0pt;mso-wrap-distance-bottom:0.0pt;" stroked="f">
                      <v:path textboxrect="0,0,0,0"/>
                      <v:imagedata r:id="rId17"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8</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室外乒乓球台</w:t>
            </w:r>
            <w:r/>
          </w:p>
        </w:tc>
        <w:tc>
          <w:tcPr>
            <w:tcW w:w="4957" w:type="dxa"/>
            <w:textDirection w:val="lrTb"/>
            <w:noWrap w:val="false"/>
          </w:tcPr>
          <w:p>
            <w:pPr>
              <w:pStyle w:val="910"/>
              <w:spacing w:line="0" w:lineRule="atLeast"/>
              <w:rPr>
                <w:rFonts w:hint="eastAsia" w:eastAsia="宋体"/>
                <w:lang w:eastAsia="zh-CN"/>
              </w:rPr>
            </w:pPr>
            <w:r>
              <w:rPr>
                <w:rFonts w:hint="eastAsia" w:eastAsia="宋体"/>
                <w:lang w:eastAsia="zh-CN"/>
              </w:rPr>
              <w:t xml:space="preserve">1.球台台面采用SMC材料，整体高温模压一次成型，台面弹性为230～260mm，能承受500N静载荷要求和冲击球冲击要求，稳定性好，耐气候性强、耐老化程度高，防腐、防晒、防雨、阻燃、不易变形等；</w:t>
            </w:r>
            <w:r/>
          </w:p>
          <w:p>
            <w:pPr>
              <w:pStyle w:val="910"/>
              <w:spacing w:line="0" w:lineRule="atLeast"/>
              <w:rPr>
                <w:rFonts w:hint="eastAsia" w:eastAsia="宋体"/>
                <w:lang w:eastAsia="zh-CN"/>
              </w:rPr>
            </w:pPr>
            <w:r>
              <w:rPr>
                <w:rFonts w:hint="eastAsia" w:eastAsia="宋体"/>
                <w:lang w:eastAsia="zh-CN"/>
              </w:rPr>
              <w:t xml:space="preserve">2.台面长度为：不小于2740mm，台面宽度为：不小于1525mm，台面离地高度为：不小于760mm，半张台面对角线之差≤4mm，半张台面平面度≤5mm，端、边线宽度20±1.5mm，中线宽3±1mm，中线对称度≤3mm，中线与网间距离≤50mm，中线与断线距离≤10mm。</w:t>
            </w:r>
            <w:r/>
          </w:p>
          <w:p>
            <w:pPr>
              <w:pStyle w:val="910"/>
              <w:spacing w:line="0" w:lineRule="atLeast"/>
              <w:rPr>
                <w:rFonts w:hint="eastAsia" w:eastAsia="宋体"/>
                <w:lang w:eastAsia="zh-CN"/>
              </w:rPr>
            </w:pPr>
            <w:r>
              <w:rPr>
                <w:rFonts w:hint="eastAsia" w:eastAsia="宋体"/>
                <w:lang w:eastAsia="zh-CN"/>
              </w:rPr>
              <w:t xml:space="preserve">3.台面背部采用钢管支撑架连接，板面支撑框架</w:t>
            </w:r>
            <w:r>
              <w:rPr>
                <w:rFonts w:hint="eastAsia" w:eastAsia="宋体"/>
                <w:lang w:val="en-US" w:eastAsia="zh-CN"/>
              </w:rPr>
              <w:t xml:space="preserve">采用</w:t>
            </w:r>
            <w:r>
              <w:rPr>
                <w:rFonts w:hint="eastAsia" w:eastAsia="宋体"/>
                <w:lang w:eastAsia="zh-CN"/>
              </w:rPr>
              <w:t xml:space="preserve">支撑管连接。</w:t>
            </w:r>
            <w:r/>
          </w:p>
          <w:p>
            <w:pPr>
              <w:pStyle w:val="910"/>
              <w:spacing w:line="0" w:lineRule="atLeast"/>
              <w:rPr>
                <w:rFonts w:hint="eastAsia" w:eastAsia="宋体"/>
                <w:lang w:eastAsia="zh-CN"/>
              </w:rPr>
            </w:pPr>
            <w:r>
              <w:rPr>
                <w:rFonts w:hint="eastAsia" w:eastAsia="宋体"/>
                <w:lang w:eastAsia="zh-CN"/>
              </w:rPr>
              <w:t xml:space="preserve">4.底架采用彩虹腿设计结构，采用不小于φ60×3mm的优质钢管，保证整体的稳定性；</w:t>
            </w:r>
            <w:r/>
          </w:p>
          <w:p>
            <w:pPr>
              <w:pStyle w:val="910"/>
              <w:spacing w:line="0" w:lineRule="atLeast"/>
              <w:rPr>
                <w:rFonts w:hint="eastAsia" w:eastAsia="宋体"/>
                <w:lang w:eastAsia="zh-CN"/>
              </w:rPr>
            </w:pPr>
            <w:r>
              <w:rPr>
                <w:rFonts w:hint="eastAsia" w:eastAsia="宋体"/>
                <w:lang w:eastAsia="zh-CN"/>
              </w:rPr>
              <w:t xml:space="preserve">5.球台网架防锈、防松、防盗、防损坏；</w:t>
            </w:r>
            <w:r/>
          </w:p>
          <w:p>
            <w:pPr>
              <w:pStyle w:val="910"/>
              <w:spacing w:line="0" w:lineRule="atLeast"/>
              <w:rPr>
                <w:rFonts w:hint="eastAsia" w:eastAsia="宋体"/>
                <w:lang w:eastAsia="zh-CN"/>
              </w:rPr>
            </w:pPr>
            <w:r>
              <w:rPr>
                <w:rFonts w:hint="eastAsia" w:eastAsia="宋体"/>
                <w:lang w:eastAsia="zh-CN"/>
              </w:rPr>
              <w:t xml:space="preserve">6.焊接严密牢固、无漏焊、虚焊、包渣、裂纹等缺陷。器材无钩挂、卡夹等潜在危险。</w:t>
            </w:r>
            <w:r/>
          </w:p>
          <w:p>
            <w:pPr>
              <w:pStyle w:val="910"/>
              <w:spacing w:line="0" w:lineRule="atLeast"/>
              <w:rPr>
                <w:rFonts w:hint="eastAsia" w:eastAsia="宋体"/>
                <w:lang w:eastAsia="zh-CN"/>
              </w:rPr>
            </w:pPr>
            <w:r>
              <w:rPr>
                <w:rFonts w:hint="eastAsia" w:eastAsia="宋体"/>
                <w:lang w:eastAsia="zh-CN"/>
              </w:rPr>
              <w:t xml:space="preserve">7.器材按照GB19272-2011</w:t>
            </w:r>
            <w:r>
              <w:rPr>
                <w:rFonts w:hint="eastAsia" w:eastAsia="宋体"/>
                <w:lang w:val="en-US" w:eastAsia="zh-CN"/>
              </w:rPr>
              <w:t xml:space="preserve">  </w:t>
            </w:r>
            <w:r>
              <w:rPr>
                <w:rFonts w:hint="eastAsia" w:eastAsia="宋体"/>
                <w:b/>
                <w:bCs/>
                <w:lang w:eastAsia="zh-CN"/>
              </w:rPr>
              <w:t xml:space="preserve">GB19272-20</w:t>
            </w:r>
            <w:r>
              <w:rPr>
                <w:rFonts w:hint="eastAsia" w:eastAsia="宋体"/>
                <w:b/>
                <w:bCs/>
                <w:lang w:val="en-US" w:eastAsia="zh-CN"/>
              </w:rPr>
              <w:t xml:space="preserve">24</w:t>
            </w:r>
            <w:r>
              <w:rPr>
                <w:rFonts w:hint="eastAsia" w:eastAsia="宋体"/>
                <w:lang w:eastAsia="zh-CN"/>
              </w:rPr>
              <w:t xml:space="preserve">标准进行相关静载荷、稳定性及疲劳试验，并符合标准要求。</w:t>
            </w:r>
            <w:r/>
          </w:p>
          <w:p>
            <w:pPr>
              <w:pStyle w:val="910"/>
              <w:spacing w:line="0" w:lineRule="atLeast"/>
              <w:rPr>
                <w:rFonts w:hint="eastAsia" w:eastAsia="宋体"/>
                <w:lang w:eastAsia="zh-CN"/>
              </w:rPr>
            </w:pPr>
            <w:r>
              <w:rPr>
                <w:rFonts w:hint="eastAsia" w:eastAsia="宋体"/>
                <w:lang w:eastAsia="zh-CN"/>
              </w:rPr>
              <w:t xml:space="preserve">★</w:t>
            </w:r>
            <w:r>
              <w:rPr>
                <w:rFonts w:hint="eastAsia" w:eastAsia="宋体"/>
                <w:lang w:val="en-US" w:eastAsia="zh-CN"/>
              </w:rPr>
              <w:t xml:space="preserve">8</w:t>
            </w:r>
            <w:r>
              <w:rPr>
                <w:rFonts w:hint="eastAsia" w:eastAsia="宋体"/>
                <w:lang w:eastAsia="zh-CN"/>
              </w:rPr>
              <w:t xml:space="preserve">.产品需符合GB19272-2024《室外健身器材的安全通用要求》</w:t>
            </w:r>
            <w:r>
              <w:rPr>
                <w:rFonts w:hint="eastAsia" w:eastAsia="宋体"/>
                <w:lang w:val="en-US" w:eastAsia="zh-CN"/>
              </w:rPr>
              <w:t xml:space="preserve">的</w:t>
            </w:r>
            <w:r>
              <w:rPr>
                <w:rFonts w:hint="eastAsia" w:eastAsia="宋体"/>
                <w:lang w:eastAsia="zh-CN"/>
              </w:rPr>
              <w:t xml:space="preserve">要求，并通过经国家批准的器材质量认证机构的产品质量认证，提供认证证书</w:t>
            </w:r>
            <w:r>
              <w:rPr>
                <w:rFonts w:hint="eastAsia" w:eastAsia="宋体"/>
                <w:lang w:eastAsia="zh-CN"/>
              </w:rPr>
              <w:t xml:space="preserve">及确认函</w:t>
            </w:r>
            <w:r>
              <w:rPr>
                <w:rFonts w:hint="eastAsia" w:eastAsia="宋体"/>
                <w:lang w:val="en-US" w:eastAsia="zh-CN"/>
              </w:rPr>
              <w:t xml:space="preserve">扫描件加盖公章</w:t>
            </w:r>
            <w:r>
              <w:rPr>
                <w:rFonts w:hint="eastAsia" w:eastAsia="宋体"/>
                <w:lang w:eastAsia="zh-CN"/>
              </w:rPr>
              <w:t xml:space="preserve">。</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22</w:t>
            </w:r>
            <w:r>
              <w:rPr>
                <w:rFonts w:hint="eastAsia" w:ascii="宋体" w:hAnsi="宋体" w:eastAsia="宋体" w:cs="宋体"/>
                <w:lang w:eastAsia="zh-CN"/>
              </w:rPr>
              <w:t xml:space="preserve">张</w:t>
            </w:r>
            <w:r>
              <w:rPr>
                <w:rFonts w:hint="eastAsia" w:ascii="宋体" w:hAnsi="宋体" w:eastAsia="宋体" w:cs="宋体"/>
              </w:rPr>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b/>
              </w:rPr>
              <mc:AlternateContent>
                <mc:Choice Requires="wpg">
                  <w:drawing>
                    <wp:inline xmlns:wp="http://schemas.openxmlformats.org/drawingml/2006/wordprocessingDrawing" distT="0" distB="0" distL="0" distR="0">
                      <wp:extent cx="766445" cy="44323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6445" cy="443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3pt;height:34.9pt;mso-wrap-distance-left:0.0pt;mso-wrap-distance-top:0.0pt;mso-wrap-distance-right:0.0pt;mso-wrap-distance-bottom:0.0pt;" stroked="f">
                      <v:path textboxrect="0,0,0,0"/>
                      <v:imagedata r:id="rId18"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9</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室内乒乓球台</w:t>
            </w:r>
            <w:r/>
          </w:p>
        </w:tc>
        <w:tc>
          <w:tcPr>
            <w:tcW w:w="4957" w:type="dxa"/>
            <w:textDirection w:val="lrTb"/>
            <w:noWrap w:val="false"/>
          </w:tcPr>
          <w:p>
            <w:pPr>
              <w:spacing w:after="0"/>
              <w:rPr>
                <w:rFonts w:hint="eastAsia" w:ascii="宋体" w:hAnsi="宋体" w:eastAsia="宋体" w:cs="宋体"/>
                <w:lang w:eastAsia="zh-CN"/>
              </w:rPr>
            </w:pPr>
            <w:r>
              <w:rPr>
                <w:rFonts w:hint="eastAsia" w:ascii="宋体" w:hAnsi="宋体" w:eastAsia="宋体" w:cs="宋体"/>
                <w:lang w:eastAsia="zh-CN"/>
              </w:rPr>
              <w:t xml:space="preserve">1.主要承载立柱：不小于40mm×40mm×1mm的方管，支架带轮可移动，可折叠方便收纳</w:t>
            </w:r>
            <w:r/>
          </w:p>
          <w:p>
            <w:pPr>
              <w:spacing w:after="0"/>
              <w:rPr>
                <w:rFonts w:hint="eastAsia" w:ascii="宋体" w:hAnsi="宋体" w:eastAsia="宋体" w:cs="宋体"/>
                <w:lang w:eastAsia="zh-CN"/>
              </w:rPr>
            </w:pPr>
            <w:r>
              <w:rPr>
                <w:rFonts w:hint="eastAsia" w:ascii="宋体" w:hAnsi="宋体" w:eastAsia="宋体" w:cs="宋体"/>
                <w:lang w:eastAsia="zh-CN"/>
              </w:rPr>
              <w:t xml:space="preserve">2.台面尺寸2740-2745mm×1525±3mm，台高：760±3mm；台面厚度15-30mm高密度纤维板；</w:t>
            </w:r>
            <w:r/>
          </w:p>
          <w:p>
            <w:pPr>
              <w:spacing w:after="0"/>
              <w:rPr>
                <w:rFonts w:hint="eastAsia" w:ascii="宋体" w:hAnsi="宋体" w:eastAsia="宋体" w:cs="宋体"/>
                <w:lang w:eastAsia="zh-CN"/>
              </w:rPr>
            </w:pPr>
            <w:r>
              <w:rPr>
                <w:rFonts w:hint="eastAsia" w:ascii="宋体" w:hAnsi="宋体" w:eastAsia="宋体" w:cs="宋体"/>
                <w:lang w:eastAsia="zh-CN"/>
              </w:rPr>
              <w:t xml:space="preserve">3.台面颜色：黑色/蓝色，内附网架一副</w:t>
            </w:r>
            <w:r/>
          </w:p>
          <w:p>
            <w:pPr>
              <w:spacing w:after="0"/>
              <w:rPr>
                <w:rFonts w:hint="eastAsia" w:ascii="宋体" w:hAnsi="宋体" w:eastAsia="宋体" w:cs="宋体"/>
                <w:lang w:val="zh-CN" w:eastAsia="zh-CN" w:bidi="zh-CN"/>
              </w:rPr>
            </w:pPr>
            <w:r>
              <w:rPr>
                <w:rFonts w:hint="eastAsia" w:ascii="宋体" w:hAnsi="宋体" w:eastAsia="宋体" w:cs="宋体"/>
                <w:lang w:eastAsia="zh-CN"/>
              </w:rPr>
              <w:t xml:space="preserve">★4.产品需符合</w:t>
            </w:r>
            <w:r>
              <w:rPr>
                <w:rFonts w:ascii="宋体" w:hAnsi="宋体" w:eastAsia="宋体" w:cs="宋体"/>
                <w:lang w:eastAsia="zh-CN"/>
              </w:rPr>
              <w:t xml:space="preserve">QB/T 2700-2005标准的要求</w:t>
            </w:r>
            <w:r>
              <w:rPr>
                <w:rFonts w:hint="eastAsia" w:ascii="宋体" w:hAnsi="宋体" w:eastAsia="宋体" w:cs="宋体"/>
                <w:lang w:eastAsia="zh-CN"/>
              </w:rPr>
              <w:t xml:space="preserve">，并通过经国家批准的器材质量认证机构的产品质量认证，提供认证证书及确认函扫描件加盖公章。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lang w:eastAsia="zh-CN"/>
              </w:rPr>
              <w:t xml:space="preserve">22</w:t>
            </w:r>
            <w:r>
              <w:rPr>
                <w:rFonts w:hint="eastAsia" w:ascii="宋体" w:hAnsi="宋体" w:eastAsia="宋体" w:cs="宋体"/>
              </w:rPr>
              <w:t xml:space="preserve">张</w:t>
            </w:r>
            <w:r>
              <w:rPr>
                <w:rFonts w:hint="eastAsia" w:ascii="宋体" w:hAnsi="宋体" w:eastAsia="宋体" w:cs="宋体"/>
              </w:rPr>
            </w:r>
            <w:r>
              <w:rPr>
                <w:rFonts w:hint="eastAsia" w:ascii="宋体" w:hAnsi="宋体" w:eastAsia="宋体" w:cs="宋体"/>
              </w:rPr>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b/>
              </w:rPr>
              <mc:AlternateContent>
                <mc:Choice Requires="wpg">
                  <w:drawing>
                    <wp:inline xmlns:wp="http://schemas.openxmlformats.org/drawingml/2006/wordprocessingDrawing" distT="0" distB="0" distL="0" distR="0">
                      <wp:extent cx="935355" cy="50673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35355" cy="50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3.6pt;height:39.9pt;mso-wrap-distance-left:0.0pt;mso-wrap-distance-top:0.0pt;mso-wrap-distance-right:0.0pt;mso-wrap-distance-bottom:0.0pt;" stroked="f">
                      <v:path textboxrect="0,0,0,0"/>
                      <v:imagedata r:id="rId19"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移动篮球架</w:t>
            </w:r>
            <w:r/>
          </w:p>
        </w:tc>
        <w:tc>
          <w:tcPr>
            <w:tcW w:w="4957"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1.立柱采用规格不小于150mm×150mm×3.0mm国标优质钢管，篮架上、下拉杆采用不小于Ф38×3.0mm国标优质钢管。</w:t>
            </w:r>
            <w:r/>
          </w:p>
          <w:p>
            <w:pPr>
              <w:rPr>
                <w:rFonts w:hint="eastAsia" w:ascii="宋体" w:hAnsi="宋体" w:eastAsia="宋体" w:cs="宋体"/>
                <w:lang w:eastAsia="zh-CN"/>
              </w:rPr>
            </w:pPr>
            <w:r>
              <w:rPr>
                <w:rFonts w:hint="eastAsia" w:ascii="宋体" w:hAnsi="宋体" w:eastAsia="宋体" w:cs="宋体"/>
                <w:lang w:eastAsia="zh-CN"/>
              </w:rPr>
              <w:t xml:space="preserve">2.底座箱体规格为1000mm×2000mm，底座箱体内应有整体骨架支撑，外部采用3.0mm钢板包覆，箱体内放置配重块位置采用30×30角钢支撑，与箱体骨架整体焊接，箱体内无存水结构；</w:t>
            </w:r>
            <w:r/>
          </w:p>
          <w:p>
            <w:pPr>
              <w:rPr>
                <w:rFonts w:hint="eastAsia" w:ascii="宋体" w:hAnsi="宋体" w:eastAsia="宋体" w:cs="宋体"/>
                <w:lang w:eastAsia="zh-CN"/>
              </w:rPr>
            </w:pPr>
            <w:r>
              <w:rPr>
                <w:rFonts w:hint="eastAsia" w:ascii="宋体" w:hAnsi="宋体" w:eastAsia="宋体" w:cs="宋体"/>
                <w:lang w:eastAsia="zh-CN"/>
              </w:rPr>
              <w:t xml:space="preserve">3.通过调节上拉杆可调节篮板的板面垂直度，通过调节下拉杆，可调节篮圈与地面的平行度，通过调节篮板与探臂连接部位，可微调篮板垂直度和平行度；</w:t>
            </w:r>
            <w:r/>
          </w:p>
          <w:p>
            <w:pPr>
              <w:rPr>
                <w:rFonts w:hint="eastAsia" w:ascii="宋体" w:hAnsi="宋体" w:eastAsia="宋体" w:cs="宋体"/>
                <w:lang w:eastAsia="zh-CN"/>
              </w:rPr>
            </w:pPr>
            <w:r>
              <w:rPr>
                <w:rFonts w:hint="eastAsia" w:ascii="宋体" w:hAnsi="宋体" w:eastAsia="宋体" w:cs="宋体"/>
                <w:lang w:eastAsia="zh-CN"/>
              </w:rPr>
              <w:t xml:space="preserve">4.篮球板尺寸：1800mm×1050mm×50mm，篮板连接处所用螺栓均作预埋处理，保证平整光滑，防水、抗寒、耐热，不变形；</w:t>
            </w:r>
            <w:r/>
          </w:p>
          <w:p>
            <w:pPr>
              <w:rPr>
                <w:rFonts w:hint="eastAsia" w:ascii="宋体" w:hAnsi="宋体" w:eastAsia="宋体" w:cs="宋体"/>
                <w:lang w:eastAsia="zh-CN"/>
              </w:rPr>
            </w:pPr>
            <w:r>
              <w:rPr>
                <w:rFonts w:hint="eastAsia" w:ascii="宋体" w:hAnsi="宋体" w:eastAsia="宋体" w:cs="宋体"/>
                <w:lang w:eastAsia="zh-CN"/>
              </w:rPr>
              <w:t xml:space="preserve">5.篮球板SMC面板厚度不低于5mm，翻边宽度不低于50mm，翻边厚度不低于7 mm；背面加强筋采用V字型与井字型相结合结构；</w:t>
            </w:r>
            <w:r/>
          </w:p>
          <w:p>
            <w:pPr>
              <w:pStyle w:val="762"/>
              <w:ind w:firstLine="0"/>
              <w:tabs>
                <w:tab w:val="left" w:pos="567" w:leader="none"/>
              </w:tabs>
              <w:rPr>
                <w:rFonts w:hint="eastAsia" w:ascii="宋体" w:hAnsi="宋体" w:cs="宋体"/>
                <w:sz w:val="22"/>
                <w:lang w:eastAsia="zh-CN"/>
              </w:rPr>
            </w:pPr>
            <w:r>
              <w:rPr>
                <w:rFonts w:hint="eastAsia" w:ascii="宋体" w:hAnsi="宋体" w:cs="宋体"/>
                <w:sz w:val="22"/>
                <w:lang w:eastAsia="zh-CN"/>
              </w:rPr>
              <w:t xml:space="preserve">6.篮圈采用抗压篮圈，水平固定在篮板上，与篮架连接的钢板采用优质钢板，优质特制圆头螺栓。篮圈用直径为</w:t>
            </w:r>
            <w:r>
              <w:rPr>
                <w:rFonts w:hint="eastAsia" w:ascii="宋体" w:hAnsi="宋体" w:cs="宋体"/>
                <w:sz w:val="22"/>
              </w:rPr>
              <w:t xml:space="preserve">Φ</w:t>
            </w:r>
            <w:r>
              <w:rPr>
                <w:rFonts w:hint="eastAsia" w:ascii="宋体" w:hAnsi="宋体" w:cs="宋体"/>
                <w:sz w:val="22"/>
                <w:lang w:eastAsia="zh-CN"/>
              </w:rPr>
              <w:t xml:space="preserve">18mm的实心圆钢制作，整圆内侧直径450mm。</w:t>
            </w:r>
            <w:r/>
          </w:p>
          <w:p>
            <w:pPr>
              <w:rPr>
                <w:rFonts w:hint="eastAsia" w:ascii="宋体" w:hAnsi="宋体" w:eastAsia="宋体" w:cs="宋体"/>
                <w:lang w:eastAsia="zh-CN"/>
              </w:rPr>
            </w:pPr>
            <w:r>
              <w:rPr>
                <w:rFonts w:hint="eastAsia" w:ascii="宋体" w:hAnsi="宋体" w:eastAsia="宋体" w:cs="宋体"/>
                <w:lang w:eastAsia="zh-CN"/>
              </w:rPr>
              <w:t xml:space="preserve">★7.产品需符合GB19272-2024《室外健身器材的安全通用要求》的要求，并通过经国家批准的器材质量认证机构的产品质量认证，提供认证证书及确认函扫描件加盖公章。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color w:val="333333"/>
              </w:rPr>
            </w:pPr>
            <w:r>
              <w:rPr>
                <w:rFonts w:hint="eastAsia" w:ascii="宋体" w:hAnsi="宋体" w:eastAsia="宋体" w:cs="宋体"/>
                <w:lang w:eastAsia="zh-CN"/>
              </w:rPr>
              <w:t xml:space="preserve">9</w:t>
            </w:r>
            <w:r>
              <w:rPr>
                <w:rFonts w:hint="eastAsia" w:ascii="宋体" w:hAnsi="宋体" w:eastAsia="宋体" w:cs="宋体"/>
              </w:rPr>
              <w:t xml:space="preserve">付</w:t>
            </w:r>
            <w:r>
              <w:rPr>
                <w:rFonts w:hint="eastAsia" w:ascii="宋体" w:hAnsi="宋体" w:eastAsia="宋体" w:cs="宋体"/>
              </w:rPr>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1083310" cy="66802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83310" cy="668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5.3pt;height:52.6pt;mso-wrap-distance-left:0.0pt;mso-wrap-distance-top:0.0pt;mso-wrap-distance-right:0.0pt;mso-wrap-distance-bottom:0.0pt;" stroked="f">
                      <v:path textboxrect="0,0,0,0"/>
                      <v:imagedata r:id="rId20"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11</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地埋篮球架</w:t>
            </w:r>
            <w:r/>
          </w:p>
        </w:tc>
        <w:tc>
          <w:tcPr>
            <w:tcW w:w="4957" w:type="dxa"/>
            <w:textDirection w:val="lrTb"/>
            <w:noWrap w:val="false"/>
          </w:tcPr>
          <w:p>
            <w:pPr>
              <w:spacing w:after="0"/>
              <w:rPr>
                <w:rFonts w:hint="eastAsia" w:ascii="宋体" w:hAnsi="宋体" w:eastAsia="宋体" w:cs="宋体"/>
                <w:lang w:eastAsia="zh-CN"/>
              </w:rPr>
            </w:pPr>
            <w:r>
              <w:rPr>
                <w:rFonts w:hint="eastAsia" w:ascii="宋体" w:hAnsi="宋体" w:eastAsia="宋体" w:cs="宋体"/>
                <w:lang w:eastAsia="zh-CN"/>
              </w:rPr>
              <w:t xml:space="preserve">1.主架采用不小于</w:t>
            </w:r>
            <w:r>
              <w:rPr>
                <w:rFonts w:hint="eastAsia" w:ascii="宋体" w:hAnsi="宋体" w:eastAsia="宋体" w:cs="宋体"/>
              </w:rPr>
              <w:t xml:space="preserve">Φ</w:t>
            </w:r>
            <w:r>
              <w:rPr>
                <w:rFonts w:hint="eastAsia" w:ascii="宋体" w:hAnsi="宋体" w:eastAsia="宋体" w:cs="宋体"/>
                <w:lang w:eastAsia="zh-CN"/>
              </w:rPr>
              <w:t xml:space="preserve">165×4mm定制的优质国标钢管整体弯制而成，篮架上、下拉杆采用优质国标钢管。</w:t>
            </w:r>
            <w:r/>
          </w:p>
          <w:p>
            <w:pPr>
              <w:spacing w:after="0"/>
              <w:rPr>
                <w:rFonts w:hint="eastAsia" w:ascii="宋体" w:hAnsi="宋体" w:eastAsia="宋体" w:cs="宋体"/>
                <w:lang w:eastAsia="zh-CN"/>
              </w:rPr>
            </w:pPr>
            <w:r>
              <w:rPr>
                <w:rFonts w:hint="eastAsia" w:ascii="宋体" w:hAnsi="宋体" w:eastAsia="宋体" w:cs="宋体"/>
                <w:lang w:eastAsia="zh-CN"/>
              </w:rPr>
              <w:t xml:space="preserve">2.通过调节拉杆可调节篮板的板面垂直度、平行度，通过调节篮板与探臂连接部位，可微调篮板垂直和平行度；</w:t>
            </w:r>
            <w:r/>
          </w:p>
          <w:p>
            <w:pPr>
              <w:spacing w:after="0"/>
              <w:rPr>
                <w:rFonts w:hint="eastAsia" w:ascii="宋体" w:hAnsi="宋体" w:eastAsia="宋体" w:cs="宋体"/>
                <w:lang w:eastAsia="zh-CN"/>
              </w:rPr>
            </w:pPr>
            <w:r>
              <w:rPr>
                <w:rFonts w:hint="eastAsia" w:ascii="宋体" w:hAnsi="宋体" w:eastAsia="宋体" w:cs="宋体"/>
                <w:lang w:eastAsia="zh-CN"/>
              </w:rPr>
              <w:t xml:space="preserve">3.篮球板尺寸：1800mm×1050mm×50mm，篮板连接处所用螺栓均作预埋处理，保证平整光滑，防水、抗寒、耐热，不变形；</w:t>
            </w:r>
            <w:r/>
          </w:p>
          <w:p>
            <w:pPr>
              <w:spacing w:after="0"/>
              <w:rPr>
                <w:rFonts w:hint="eastAsia" w:ascii="宋体" w:hAnsi="宋体" w:eastAsia="宋体" w:cs="宋体"/>
                <w:lang w:eastAsia="zh-CN"/>
              </w:rPr>
            </w:pPr>
            <w:r>
              <w:rPr>
                <w:rFonts w:hint="eastAsia" w:ascii="宋体" w:hAnsi="宋体" w:eastAsia="宋体" w:cs="宋体"/>
                <w:lang w:eastAsia="zh-CN"/>
              </w:rPr>
              <w:t xml:space="preserve">4.篮圈采用抗压篮圈，水平固定在篮板上，与篮架连接的钢板采用优质钢板。篮圈用直径为</w:t>
            </w:r>
            <w:r>
              <w:rPr>
                <w:rFonts w:hint="eastAsia" w:ascii="宋体" w:hAnsi="宋体" w:eastAsia="宋体" w:cs="宋体"/>
              </w:rPr>
              <w:t xml:space="preserve">Φ</w:t>
            </w:r>
            <w:r>
              <w:rPr>
                <w:rFonts w:hint="eastAsia" w:ascii="宋体" w:hAnsi="宋体" w:eastAsia="宋体" w:cs="宋体"/>
                <w:lang w:eastAsia="zh-CN"/>
              </w:rPr>
              <w:t xml:space="preserve">18mm的实心圆钢制作，整圆内侧直径450mm。</w:t>
            </w:r>
            <w:r/>
          </w:p>
          <w:p>
            <w:pPr>
              <w:rPr>
                <w:rFonts w:hint="eastAsia" w:ascii="宋体" w:hAnsi="宋体" w:eastAsia="宋体" w:cs="宋体"/>
                <w:lang w:eastAsia="zh-CN"/>
              </w:rPr>
            </w:pPr>
            <w:r>
              <w:rPr>
                <w:rFonts w:hint="eastAsia" w:ascii="宋体" w:hAnsi="宋体" w:eastAsia="宋体" w:cs="宋体"/>
                <w:lang w:eastAsia="zh-CN"/>
              </w:rPr>
              <w:t xml:space="preserve">★5.产品需符合GB19272-2024《室外健身器材的安全通用要求》的要求，并通过经国家批准的器材质量认证机构的产品质量认证，提供认证证书及确认函扫描件加盖公章。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t xml:space="preserve">付</w:t>
            </w:r>
            <w:r>
              <w:rPr>
                <w:rFonts w:hint="eastAsia" w:ascii="宋体" w:hAnsi="宋体" w:eastAsia="宋体" w:cs="宋体"/>
              </w:rPr>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795020" cy="116776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95020" cy="116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2.6pt;height:91.9pt;mso-wrap-distance-left:0.0pt;mso-wrap-distance-top:0.0pt;mso-wrap-distance-right:0.0pt;mso-wrap-distance-bottom:0.0pt;" stroked="f">
                      <v:path textboxrect="0,0,0,0"/>
                      <v:imagedata r:id="rId21" o:title=""/>
                    </v:shape>
                  </w:pict>
                </mc:Fallback>
              </mc:AlternateContent>
            </w:r>
            <w:r/>
          </w:p>
        </w:tc>
      </w:tr>
      <w:tr>
        <w:trPr>
          <w:jc w:val="center"/>
        </w:trPr>
        <w:tc>
          <w:tcPr>
            <w:tcW w:w="794"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12</w:t>
            </w:r>
            <w:r/>
          </w:p>
        </w:tc>
        <w:tc>
          <w:tcP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羽毛球架</w:t>
            </w:r>
            <w:r/>
          </w:p>
        </w:tc>
        <w:tc>
          <w:tcPr>
            <w:tcW w:w="4957" w:type="dxa"/>
            <w:textDirection w:val="lrTb"/>
            <w:noWrap w:val="false"/>
          </w:tcPr>
          <w:p>
            <w:pPr>
              <w:spacing w:after="0"/>
              <w:rPr>
                <w:rFonts w:hint="eastAsia" w:ascii="宋体" w:hAnsi="宋体" w:eastAsia="宋体" w:cs="宋体"/>
                <w:lang w:eastAsia="zh-CN"/>
              </w:rPr>
            </w:pPr>
            <w:r>
              <w:rPr>
                <w:rFonts w:hint="eastAsia" w:ascii="宋体" w:hAnsi="宋体" w:eastAsia="宋体" w:cs="宋体"/>
                <w:lang w:eastAsia="zh-CN"/>
              </w:rPr>
              <w:t xml:space="preserve">1.移动式，立柱采用规格不小于</w:t>
            </w:r>
            <w:r>
              <w:rPr>
                <w:rFonts w:hint="eastAsia" w:ascii="宋体" w:hAnsi="宋体" w:eastAsia="宋体" w:cs="宋体"/>
              </w:rPr>
              <w:t xml:space="preserve">φ</w:t>
            </w:r>
            <w:r>
              <w:rPr>
                <w:rFonts w:hint="eastAsia" w:ascii="宋体" w:hAnsi="宋体" w:eastAsia="宋体" w:cs="宋体"/>
                <w:lang w:eastAsia="zh-CN"/>
              </w:rPr>
              <w:t xml:space="preserve">40×3mm优质钢管。</w:t>
            </w:r>
            <w:r/>
          </w:p>
          <w:p>
            <w:pPr>
              <w:spacing w:after="0"/>
              <w:rPr>
                <w:rFonts w:hint="eastAsia" w:ascii="宋体" w:hAnsi="宋体" w:eastAsia="宋体" w:cs="宋体"/>
                <w:lang w:eastAsia="zh-CN"/>
              </w:rPr>
            </w:pPr>
            <w:r>
              <w:rPr>
                <w:rFonts w:hint="eastAsia" w:ascii="宋体" w:hAnsi="宋体" w:eastAsia="宋体" w:cs="宋体"/>
                <w:lang w:eastAsia="zh-CN"/>
              </w:rPr>
              <w:t xml:space="preserve">2.底座为铸铁整体结构。</w:t>
            </w:r>
            <w:r/>
          </w:p>
          <w:p>
            <w:pPr>
              <w:spacing w:after="0"/>
              <w:rPr>
                <w:rFonts w:hint="eastAsia" w:ascii="宋体" w:hAnsi="宋体" w:eastAsia="宋体" w:cs="宋体"/>
                <w:lang w:eastAsia="zh-CN"/>
              </w:rPr>
            </w:pPr>
            <w:r>
              <w:rPr>
                <w:rFonts w:hint="eastAsia" w:ascii="宋体" w:hAnsi="宋体" w:eastAsia="宋体" w:cs="宋体"/>
                <w:lang w:eastAsia="zh-CN"/>
              </w:rPr>
              <w:t xml:space="preserve">3.稳定性满足200N平拉试验要求；</w:t>
            </w:r>
            <w:r/>
          </w:p>
          <w:p>
            <w:pPr>
              <w:spacing w:after="0"/>
              <w:rPr>
                <w:rFonts w:hint="eastAsia" w:ascii="宋体" w:hAnsi="宋体" w:eastAsia="宋体" w:cs="宋体"/>
                <w:lang w:eastAsia="zh-CN"/>
              </w:rPr>
            </w:pPr>
            <w:r>
              <w:rPr>
                <w:rFonts w:hint="eastAsia" w:ascii="宋体" w:hAnsi="宋体" w:eastAsia="宋体" w:cs="宋体"/>
                <w:lang w:eastAsia="zh-CN"/>
              </w:rPr>
              <w:t xml:space="preserve">4.器材铭牌采用全不锈钢腐蚀，拉铆钉坚固，边缘紧贴立柱，避免造成勾挂伤害；</w:t>
            </w:r>
            <w:r/>
          </w:p>
          <w:p>
            <w:pPr>
              <w:spacing w:after="0"/>
              <w:rPr>
                <w:rFonts w:hint="eastAsia" w:ascii="宋体" w:hAnsi="宋体" w:eastAsia="宋体" w:cs="宋体"/>
                <w:lang w:eastAsia="zh-CN"/>
              </w:rPr>
            </w:pPr>
            <w:r>
              <w:rPr>
                <w:rFonts w:hint="eastAsia" w:ascii="宋体" w:hAnsi="宋体" w:eastAsia="宋体" w:cs="宋体"/>
                <w:lang w:eastAsia="zh-CN"/>
              </w:rPr>
              <w:t xml:space="preserve">5.整机无勾挂，无挤压点，无剪切点，无卡夹；</w:t>
            </w:r>
            <w:r/>
          </w:p>
          <w:p>
            <w:pPr>
              <w:spacing w:after="0"/>
              <w:rPr>
                <w:rFonts w:hint="eastAsia" w:ascii="宋体" w:hAnsi="宋体" w:eastAsia="宋体" w:cs="宋体"/>
                <w:lang w:eastAsia="zh-CN"/>
              </w:rPr>
            </w:pPr>
            <w:r>
              <w:rPr>
                <w:rFonts w:hint="eastAsia" w:ascii="宋体" w:hAnsi="宋体" w:eastAsia="宋体" w:cs="宋体"/>
                <w:lang w:eastAsia="zh-CN"/>
              </w:rPr>
              <w:t xml:space="preserve">6.标准件选用防盗304不锈钢材质；</w:t>
            </w:r>
            <w:r/>
          </w:p>
          <w:p>
            <w:pPr>
              <w:rPr>
                <w:rFonts w:hint="eastAsia" w:ascii="宋体" w:hAnsi="宋体" w:eastAsia="宋体" w:cs="宋体"/>
                <w:lang w:eastAsia="zh-CN"/>
              </w:rPr>
            </w:pPr>
            <w:r>
              <w:rPr>
                <w:rFonts w:hint="eastAsia" w:ascii="宋体" w:hAnsi="宋体" w:eastAsia="宋体" w:cs="宋体"/>
                <w:lang w:eastAsia="zh-CN"/>
              </w:rPr>
              <w:t xml:space="preserve">★7.产品需符合</w:t>
            </w:r>
            <w:r>
              <w:rPr>
                <w:rFonts w:ascii="宋体" w:hAnsi="宋体" w:eastAsia="宋体" w:cs="宋体"/>
                <w:lang w:eastAsia="zh-CN"/>
              </w:rPr>
              <w:t xml:space="preserve">GB/T 19851.13-2007标准的要求</w:t>
            </w:r>
            <w:r>
              <w:rPr>
                <w:rFonts w:hint="eastAsia" w:ascii="宋体" w:hAnsi="宋体" w:eastAsia="宋体" w:cs="宋体"/>
                <w:lang w:eastAsia="zh-CN"/>
              </w:rPr>
              <w:t xml:space="preserve">，并通过经国家批准的器材质量认证机构的产品质量认证，提供认证证书及确认函扫描件加盖公章。</w:t>
            </w:r>
            <w:r/>
          </w:p>
        </w:tc>
        <w:tc>
          <w:tcPr>
            <w:tcW w:w="84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20</w:t>
            </w:r>
            <w:r>
              <w:rPr>
                <w:rFonts w:hint="eastAsia" w:ascii="宋体" w:hAnsi="宋体" w:eastAsia="宋体" w:cs="宋体"/>
              </w:rPr>
              <w:t xml:space="preserve">付</w:t>
            </w:r>
            <w:r>
              <w:rPr>
                <w:rFonts w:hint="eastAsia" w:ascii="宋体" w:hAnsi="宋体" w:eastAsia="宋体" w:cs="宋体"/>
              </w:rPr>
            </w:r>
            <w:r/>
          </w:p>
        </w:tc>
        <w:tc>
          <w:tcPr>
            <w:tcW w:w="2269" w:type="dxa"/>
            <w:vAlign w:val="center"/>
            <w:textDirection w:val="lrTb"/>
            <w:noWrap w:val="false"/>
          </w:tcPr>
          <w:p>
            <w:pPr>
              <w:jc w:val="center"/>
              <w:rPr>
                <w:rFonts w:hint="eastAsia" w:ascii="宋体" w:hAnsi="宋体" w:eastAsia="宋体" w:cs="宋体"/>
              </w:rPr>
            </w:pPr>
            <w:r>
              <w:rPr>
                <w:rFonts w:ascii="宋体" w:hAnsi="宋体" w:eastAsia="宋体" w:cs="宋体"/>
              </w:rPr>
              <mc:AlternateContent>
                <mc:Choice Requires="wpg">
                  <w:drawing>
                    <wp:inline xmlns:wp="http://schemas.openxmlformats.org/drawingml/2006/wordprocessingDrawing" distT="0" distB="0" distL="0" distR="0">
                      <wp:extent cx="928370" cy="111823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28370" cy="1118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3.1pt;height:88.0pt;mso-wrap-distance-left:0.0pt;mso-wrap-distance-top:0.0pt;mso-wrap-distance-right:0.0pt;mso-wrap-distance-bottom:0.0pt;" stroked="f">
                      <v:path textboxrect="0,0,0,0"/>
                      <v:imagedata r:id="rId22" o:title=""/>
                    </v:shape>
                  </w:pict>
                </mc:Fallback>
              </mc:AlternateContent>
            </w:r>
            <w:r/>
          </w:p>
        </w:tc>
      </w:tr>
    </w:tbl>
    <w:p>
      <w:pPr>
        <w:ind w:firstLine="281"/>
        <w:spacing w:line="240" w:lineRule="atLeast"/>
        <w:rPr>
          <w:rFonts w:ascii="宋体" w:hAnsi="宋体"/>
          <w:b/>
          <w:sz w:val="28"/>
          <w:szCs w:val="28"/>
          <w:lang w:eastAsia="zh-CN"/>
        </w:rPr>
      </w:pPr>
      <w:r>
        <w:rPr>
          <w:rFonts w:hint="eastAsia" w:ascii="宋体" w:hAnsi="宋体" w:eastAsia="宋体"/>
          <w:b/>
          <w:sz w:val="28"/>
          <w:szCs w:val="28"/>
          <w:lang w:eastAsia="zh-CN"/>
        </w:rPr>
        <w:t xml:space="preserve">二</w:t>
      </w:r>
      <w:r>
        <w:rPr>
          <w:rFonts w:hint="eastAsia" w:ascii="宋体" w:hAnsi="宋体"/>
          <w:b/>
          <w:lang w:eastAsia="zh-CN"/>
        </w:rPr>
        <w:t xml:space="preserve">、样品要求</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1、采购清单中核心产品需提供样品零器件，样品要求如下：</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（1）三位扭腰器须提供扭腰盘一块；</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（2）双位漫步机须提供承载立柱一根（尺寸：截面：φ114×3mm，高度不小于500mm ；）、踏板（含摆杆）一个、轴承一个；</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（3）上肢牵引器须提供牵引器把手（含柔性部件）一个；</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（4）室外乒乓球台须提供台面面板小样一块（尺寸：30cm × 30cm 正方形）；</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（5）移动篮球架须提供主体立柱切段一个（长度30cm）。</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所有样品不得出现投标人名称、品牌标识和其他可以识别投标人身份的字符、徽标、人员名称等。</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样品须用专门的密封袋或密封箱，确保密封牢固，密封袋或箱显著位置标注项目名称、项目编号和投标人名称并在密封处加盖投标人的公章或法定代表人印章。</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中标样品按照采购文件的规定进行保管、封存，并作为履约验收的参考。未中标人的投标样品请供应商评标结束后当日自行带回，采购人不对样品负保管责任。</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2、提交时间：开标当日8:30-9:00，样品送达人须携带有效的授权委托书，样品送达登记后即可离场。</w:t>
      </w:r>
      <w:r/>
    </w:p>
    <w:p>
      <w:pPr>
        <w:ind w:firstLine="422"/>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3、提交地点：姜堰区公共资源交易中心一楼开标二室（姜堰区上海路88号）。</w:t>
      </w:r>
      <w:r/>
    </w:p>
    <w:p>
      <w:pPr>
        <w:ind w:firstLine="420"/>
        <w:spacing w:line="54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4、没有提供样品或提供的样品不全的，其相应的评分项不得分。中标人的样品须由采购人封样，若所提供实物与样品不符则采购人可要求退货且按合同规定进行赔偿或采购人将暂时使用中标人提供的与样品不符的货物直至中标人重新提供与样品相符的货物直至采购人满意为止。</w:t>
      </w:r>
      <w:r/>
    </w:p>
    <w:p>
      <w:pPr>
        <w:ind w:firstLine="482"/>
        <w:spacing w:line="520" w:lineRule="exact"/>
        <w:rPr>
          <w:rFonts w:hint="eastAsia" w:ascii="宋体" w:hAnsi="宋体" w:eastAsia="宋体" w:cs="宋体"/>
          <w:color w:val="000000"/>
          <w:lang w:eastAsia="zh-CN"/>
        </w:rPr>
      </w:pPr>
      <w:r>
        <w:rPr>
          <w:rFonts w:hint="eastAsia" w:ascii="宋体" w:hAnsi="宋体"/>
          <w:b/>
          <w:color w:val="000000"/>
          <w:lang w:eastAsia="zh-CN"/>
        </w:rPr>
        <w:t xml:space="preserve">三、合同</w:t>
      </w:r>
      <w:r>
        <w:rPr>
          <w:rFonts w:hint="eastAsia" w:ascii="宋体" w:hAnsi="宋体" w:eastAsia="宋体" w:cs="宋体"/>
          <w:b/>
          <w:bCs/>
          <w:color w:val="000000"/>
          <w:lang w:eastAsia="zh-CN"/>
        </w:rPr>
        <w:t xml:space="preserve">履行期限：</w:t>
      </w:r>
      <w:r>
        <w:rPr>
          <w:rFonts w:hint="eastAsia" w:ascii="宋体" w:hAnsi="宋体" w:eastAsia="宋体" w:cs="宋体"/>
          <w:color w:val="000000"/>
          <w:lang w:eastAsia="zh-CN"/>
        </w:rPr>
        <w:t xml:space="preserve">合同签订后60日内完成项目所有内容并安装调试到位。</w:t>
      </w:r>
      <w:r/>
    </w:p>
    <w:p>
      <w:pPr>
        <w:ind w:firstLine="482"/>
        <w:spacing w:line="520" w:lineRule="exact"/>
        <w:rPr>
          <w:rFonts w:hint="eastAsia" w:ascii="宋体" w:hAnsi="宋体" w:eastAsia="宋体" w:cs="宋体"/>
          <w:b/>
          <w:bCs/>
          <w:color w:val="000000"/>
          <w:lang w:eastAsia="zh-CN"/>
        </w:rPr>
      </w:pPr>
      <w:r>
        <w:rPr>
          <w:rFonts w:hint="eastAsia" w:ascii="宋体" w:hAnsi="宋体"/>
          <w:b/>
          <w:color w:val="000000"/>
          <w:lang w:eastAsia="zh-CN"/>
        </w:rPr>
        <w:t xml:space="preserve">四、履约保证金</w:t>
      </w:r>
      <w:r>
        <w:rPr>
          <w:rFonts w:hint="eastAsia"/>
          <w:b/>
          <w:color w:val="000000"/>
          <w:lang w:eastAsia="zh-CN"/>
        </w:rPr>
        <w:t xml:space="preserve">：</w:t>
      </w:r>
      <w:r>
        <w:rPr>
          <w:rFonts w:hint="eastAsia"/>
          <w:color w:val="000000"/>
          <w:lang w:eastAsia="zh-CN"/>
        </w:rPr>
        <w:t xml:space="preserve">无 </w:t>
      </w:r>
      <w:r/>
    </w:p>
    <w:p>
      <w:pPr>
        <w:ind w:firstLine="482"/>
        <w:spacing w:line="520" w:lineRule="exact"/>
        <w:rPr>
          <w:rFonts w:ascii="宋体" w:hAnsi="宋体"/>
          <w:bCs/>
          <w:color w:val="000000"/>
          <w:lang w:eastAsia="zh-CN"/>
        </w:rPr>
      </w:pPr>
      <w:r>
        <w:rPr>
          <w:rFonts w:hint="eastAsia" w:ascii="宋体" w:hAnsi="宋体"/>
          <w:b/>
          <w:color w:val="000000"/>
          <w:lang w:eastAsia="zh-CN"/>
        </w:rPr>
        <w:t xml:space="preserve">五、质保期：</w:t>
      </w:r>
      <w:r>
        <w:rPr>
          <w:rFonts w:hint="eastAsia" w:ascii="宋体" w:hAnsi="宋体"/>
          <w:bCs/>
          <w:color w:val="000000"/>
          <w:lang w:eastAsia="zh-CN"/>
        </w:rPr>
        <w:t xml:space="preserve">自产品验收合格（以双方在验收报告签订日期为准），提供</w:t>
      </w:r>
      <w:r>
        <w:rPr>
          <w:rFonts w:hint="eastAsia" w:ascii="宋体" w:hAnsi="宋体"/>
          <w:bCs/>
          <w:color w:val="000000"/>
          <w:lang w:eastAsia="zh-CN"/>
        </w:rPr>
        <w:t xml:space="preserve">3</w:t>
      </w:r>
      <w:r>
        <w:rPr>
          <w:rFonts w:hint="eastAsia" w:ascii="宋体" w:hAnsi="宋体"/>
          <w:bCs/>
          <w:color w:val="000000"/>
          <w:lang w:eastAsia="zh-CN"/>
        </w:rPr>
        <w:t xml:space="preserve">年整体全免费质保服务。全免费质保期内，除人为损坏和不可抗拒因素外，中标人对物品进行免费维修或更换。</w:t>
      </w:r>
      <w:r/>
    </w:p>
    <w:p>
      <w:pPr>
        <w:ind w:firstLine="482"/>
        <w:spacing w:line="520" w:lineRule="exact"/>
        <w:rPr>
          <w:rFonts w:hint="eastAsia" w:ascii="宋体" w:hAnsi="宋体" w:eastAsia="宋体" w:cs="宋体"/>
          <w:b/>
          <w:bCs/>
          <w:color w:val="000000"/>
          <w:lang w:eastAsia="zh-CN"/>
        </w:rPr>
      </w:pPr>
      <w:r>
        <w:rPr>
          <w:rFonts w:hint="eastAsia" w:cs="宋体"/>
          <w:b/>
          <w:bCs/>
          <w:color w:val="000000"/>
          <w:lang w:eastAsia="zh-CN" w:bidi="zh-CN"/>
        </w:rPr>
        <w:t xml:space="preserve">六</w:t>
      </w:r>
      <w:r>
        <w:rPr>
          <w:rFonts w:hint="eastAsia" w:ascii="宋体" w:hAnsi="宋体" w:eastAsia="宋体" w:cs="宋体"/>
          <w:b/>
          <w:bCs/>
          <w:color w:val="000000"/>
          <w:lang w:eastAsia="zh-CN" w:bidi="zh-CN"/>
        </w:rPr>
        <w:t xml:space="preserve">、</w:t>
      </w:r>
      <w:r>
        <w:rPr>
          <w:rFonts w:hint="eastAsia" w:ascii="宋体" w:hAnsi="宋体" w:eastAsia="宋体" w:cs="宋体"/>
          <w:b/>
          <w:bCs/>
          <w:color w:val="000000"/>
          <w:lang w:eastAsia="zh-CN"/>
        </w:rPr>
        <w:t xml:space="preserve">合同形式及付款方式：</w:t>
      </w:r>
      <w:r/>
    </w:p>
    <w:p>
      <w:pPr>
        <w:ind w:firstLine="482"/>
        <w:spacing w:line="52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1.合同形式：固定单价合同</w:t>
      </w:r>
      <w:r/>
    </w:p>
    <w:p>
      <w:pPr>
        <w:ind w:firstLine="480"/>
        <w:spacing w:line="540" w:lineRule="exact"/>
        <w:rPr>
          <w:color w:val="000000"/>
          <w:lang w:eastAsia="zh-CN"/>
        </w:rPr>
      </w:pPr>
      <w:r>
        <w:rPr>
          <w:rFonts w:hint="eastAsia" w:ascii="宋体" w:hAnsi="宋体" w:eastAsia="宋体"/>
          <w:bCs/>
          <w:color w:val="000000"/>
          <w:lang w:eastAsia="zh-CN"/>
        </w:rPr>
        <w:t xml:space="preserve">2.付款方式：</w:t>
      </w:r>
      <w:r>
        <w:rPr>
          <w:rFonts w:hint="eastAsia"/>
          <w:color w:val="000000"/>
          <w:lang w:eastAsia="zh-CN"/>
        </w:rPr>
        <w:t xml:space="preserve">签订合同后预付合同价的30%；中标人所有货物交货安装调试完毕，经验收合格，并出具书面交货、验收报告后一次性付清余款。中标人申请支付货款时，须提供发票</w:t>
      </w:r>
      <w:r>
        <w:rPr>
          <w:rFonts w:hint="eastAsia"/>
          <w:bCs/>
          <w:color w:val="000000"/>
          <w:lang w:eastAsia="zh-CN"/>
        </w:rPr>
        <w:t xml:space="preserve">。</w:t>
      </w:r>
      <w:r/>
    </w:p>
    <w:p>
      <w:pPr>
        <w:ind w:firstLine="482"/>
        <w:spacing w:line="520" w:lineRule="exact"/>
        <w:rPr>
          <w:rFonts w:hint="eastAsia" w:ascii="宋体" w:hAnsi="宋体" w:eastAsia="宋体" w:cs="宋体"/>
          <w:b/>
          <w:bCs/>
          <w:color w:val="000000"/>
          <w:lang w:eastAsia="zh-CN"/>
        </w:rPr>
      </w:pPr>
      <w:r>
        <w:rPr>
          <w:rFonts w:hint="eastAsia" w:cs="宋体"/>
          <w:b/>
          <w:bCs/>
          <w:color w:val="000000"/>
          <w:lang w:eastAsia="zh-CN" w:bidi="zh-CN"/>
        </w:rPr>
        <w:t xml:space="preserve">七</w:t>
      </w:r>
      <w:r>
        <w:rPr>
          <w:rFonts w:hint="eastAsia" w:ascii="宋体" w:hAnsi="宋体" w:eastAsia="宋体" w:cs="宋体"/>
          <w:b/>
          <w:bCs/>
          <w:color w:val="000000"/>
          <w:lang w:eastAsia="zh-CN" w:bidi="zh-CN"/>
        </w:rPr>
        <w:t xml:space="preserve">、</w:t>
      </w:r>
      <w:r>
        <w:rPr>
          <w:rFonts w:hint="eastAsia" w:ascii="宋体" w:hAnsi="宋体" w:eastAsia="宋体" w:cs="宋体"/>
          <w:b/>
          <w:bCs/>
          <w:color w:val="000000"/>
          <w:lang w:eastAsia="zh-CN"/>
        </w:rPr>
        <w:t xml:space="preserve">售后服务响应：</w:t>
      </w:r>
      <w:r/>
    </w:p>
    <w:p>
      <w:pPr>
        <w:ind w:firstLine="480"/>
        <w:spacing w:line="540" w:lineRule="exact"/>
        <w:rPr>
          <w:rFonts w:hint="eastAsia" w:ascii="宋体" w:hAnsi="宋体" w:eastAsia="宋体"/>
          <w:bCs/>
          <w:color w:val="000000"/>
          <w:lang w:eastAsia="zh-CN"/>
        </w:rPr>
      </w:pPr>
      <w:r>
        <w:rPr>
          <w:rFonts w:hint="eastAsia"/>
          <w:bCs/>
          <w:color w:val="000000"/>
          <w:lang w:eastAsia="zh-CN"/>
        </w:rPr>
        <w:t xml:space="preserve">1.</w:t>
      </w:r>
      <w:r>
        <w:rPr>
          <w:rFonts w:hint="eastAsia" w:ascii="宋体" w:hAnsi="宋体" w:eastAsia="宋体"/>
          <w:bCs/>
          <w:color w:val="000000"/>
          <w:lang w:eastAsia="zh-CN"/>
        </w:rPr>
        <w:t xml:space="preserve">中标人在接到采购人维修要求后，必须在1小时内对采购人所提出的维修要求作出响应，2小时内到达维修现场，并在12小时内修复完毕，如24小时内无法修复完毕应免费更换同样品牌、规格的产品。否则由于故障造成的全部损失中标人承担。</w:t>
      </w:r>
      <w:r/>
    </w:p>
    <w:p>
      <w:pPr>
        <w:ind w:firstLine="480"/>
        <w:spacing w:line="540" w:lineRule="exact"/>
        <w:rPr>
          <w:rFonts w:hint="eastAsia" w:ascii="宋体" w:hAnsi="宋体" w:eastAsia="宋体"/>
          <w:bCs/>
          <w:color w:val="000000"/>
          <w:lang w:eastAsia="zh-CN"/>
        </w:rPr>
      </w:pPr>
      <w:r>
        <w:rPr>
          <w:rFonts w:hint="eastAsia" w:ascii="宋体" w:hAnsi="宋体" w:eastAsia="宋体"/>
          <w:bCs/>
          <w:color w:val="000000"/>
          <w:lang w:eastAsia="zh-CN"/>
        </w:rPr>
        <w:t xml:space="preserve">2、质保期内，每半年须组织售后服务人员对所供货物进行巡检一次。质保期满后的维修内容减免上门费及人工费等费用，仅按原材料的价格收取维修费用，零配件应保证3年以上的供应期，合同签订时提供原材料的价格、零配件的优惠价为质保期满后的结算依据，未提供在质保期满后价格维修清单的内容视为免费维修，价格不因时间的递增或物价上涨而改变结算价格。</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3、免费质保期内如有质量问题时（使用不当除外），供应商将免费修复、更换，同一问题二次修复后仍有问题时，则全套更换。</w:t>
      </w:r>
      <w:r/>
    </w:p>
    <w:p>
      <w:pPr>
        <w:ind w:firstLine="482"/>
        <w:spacing w:line="520" w:lineRule="exact"/>
        <w:rPr>
          <w:rFonts w:hint="eastAsia" w:ascii="宋体" w:hAnsi="宋体" w:eastAsia="宋体" w:cs="宋体"/>
          <w:b/>
          <w:bCs/>
          <w:lang w:eastAsia="zh-CN"/>
        </w:rPr>
      </w:pPr>
      <w:r>
        <w:rPr>
          <w:rFonts w:hint="eastAsia" w:cs="宋体"/>
          <w:b/>
          <w:bCs/>
          <w:lang w:eastAsia="zh-CN" w:bidi="zh-CN"/>
        </w:rPr>
        <w:t xml:space="preserve">八</w:t>
      </w:r>
      <w:r>
        <w:rPr>
          <w:rFonts w:hint="eastAsia" w:ascii="宋体" w:hAnsi="宋体" w:eastAsia="宋体" w:cs="宋体"/>
          <w:b/>
          <w:bCs/>
          <w:lang w:eastAsia="zh-CN" w:bidi="zh-CN"/>
        </w:rPr>
        <w:t xml:space="preserve">、</w:t>
      </w:r>
      <w:r>
        <w:rPr>
          <w:rFonts w:hint="eastAsia" w:ascii="宋体" w:hAnsi="宋体" w:eastAsia="宋体" w:cs="宋体"/>
          <w:b/>
          <w:bCs/>
          <w:lang w:eastAsia="zh-CN"/>
        </w:rPr>
        <w:t xml:space="preserve">综合说明</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1.投标人按照招标文件的要求提交投标文件，并对所提供的全部资料的真实性承担法律责任。</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招标代理服务等所发生的全部费用以及供应商企业利润和政策性文件规定及合同包含的所有风险、责任等各项应有费用以及投标人认为应纳入的其它一切费用。</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3.中标单位将根据招标文件、投标文件的相关约定，承担合同责任，履行合同义务。</w:t>
      </w:r>
      <w:r/>
    </w:p>
    <w:p>
      <w:pPr>
        <w:ind w:firstLine="480"/>
        <w:spacing w:line="540" w:lineRule="exact"/>
        <w:rPr>
          <w:rFonts w:hint="eastAsia" w:ascii="宋体" w:hAnsi="宋体" w:eastAsia="宋体"/>
          <w:bCs/>
          <w:lang w:eastAsia="zh-CN"/>
        </w:rPr>
      </w:pPr>
      <w:r>
        <w:rPr>
          <w:rFonts w:hint="eastAsia" w:ascii="宋体" w:hAnsi="宋体" w:eastAsia="宋体"/>
          <w:bCs/>
          <w:lang w:eastAsia="zh-CN"/>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rPr>
          <w:rFonts w:hint="eastAsia" w:ascii="宋体" w:hAnsi="宋体" w:eastAsia="宋体"/>
          <w:bCs/>
          <w:lang w:eastAsia="zh-CN"/>
        </w:rPr>
      </w:pPr>
      <w:r>
        <w:rPr>
          <w:rFonts w:hint="eastAsia" w:ascii="宋体" w:hAnsi="宋体" w:eastAsia="宋体"/>
          <w:bCs/>
          <w:lang w:eastAsia="zh-CN"/>
        </w:rPr>
        <w:br w:type="page" w:clear="all"/>
      </w:r>
      <w:r/>
    </w:p>
    <w:p>
      <w:pPr>
        <w:jc w:val="center"/>
        <w:spacing w:after="0"/>
        <w:rPr>
          <w:rFonts w:hint="eastAsia" w:ascii="宋体" w:hAnsi="宋体" w:eastAsia="宋体" w:cs="宋体"/>
          <w:color w:val="000000"/>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lang w:eastAsia="zh-CN"/>
        </w:rPr>
      </w:r>
      <w:r/>
    </w:p>
    <w:p>
      <w:pPr>
        <w:jc w:val="center"/>
        <w:spacing w:after="0"/>
        <w:rPr>
          <w:rFonts w:hint="eastAsia" w:ascii="宋体" w:hAnsi="宋体" w:eastAsia="宋体" w:cs="宋体"/>
          <w:b/>
          <w:bCs/>
          <w:color w:val="000000"/>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lang w:eastAsia="zh-CN"/>
        </w:rPr>
        <w:t xml:space="preserve">第四章   </w:t>
      </w:r>
      <w:r>
        <w:rPr>
          <w:rFonts w:ascii="宋体" w:hAnsi="宋体" w:eastAsia="宋体" w:cs="宋体"/>
          <w:b/>
          <w:bCs/>
          <w:color w:val="000000"/>
          <w:sz w:val="30"/>
          <w:lang w:eastAsia="zh-CN"/>
        </w:rPr>
        <w:t xml:space="preserve">评标办法及标准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line="85" w:lineRule="atLeast"/>
        <w:rPr>
          <w:sz w:val="24"/>
          <w:szCs w:val="24"/>
          <w:lang w:eastAsia="zh-CN"/>
        </w:rPr>
        <w:pBdr>
          <w:top w:val="none" w:color="000000" w:sz="0" w:space="0"/>
          <w:left w:val="none" w:color="000000" w:sz="0" w:space="0"/>
          <w:bottom w:val="none" w:color="000000" w:sz="0" w:space="0"/>
          <w:right w:val="none" w:color="000000" w:sz="0" w:space="0"/>
        </w:pBdr>
      </w:pPr>
      <w:r/>
      <w:bookmarkStart w:id="1" w:name="OLE_LINK3"/>
      <w:r>
        <w:rPr>
          <w:rFonts w:hint="eastAsia" w:ascii="宋体" w:hAnsi="宋体" w:eastAsia="宋体" w:cs="宋体"/>
          <w:b/>
          <w:color w:val="000000"/>
          <w:sz w:val="24"/>
          <w:szCs w:val="24"/>
          <w:lang w:eastAsia="zh-CN"/>
        </w:rPr>
        <w:t xml:space="preserve">一、评标办法：</w:t>
      </w:r>
      <w:r/>
    </w:p>
    <w:p>
      <w:pPr>
        <w:ind w:firstLine="630"/>
        <w:spacing w:line="360" w:lineRule="exact"/>
        <w:rPr>
          <w:sz w:val="24"/>
          <w:szCs w:val="24"/>
          <w:lang w:eastAsia="zh-CN"/>
        </w:rPr>
      </w:pPr>
      <w:r>
        <w:rPr>
          <w:rFonts w:hint="eastAsia" w:ascii="宋体" w:hAnsi="宋体" w:eastAsia="宋体" w:cs="宋体"/>
          <w:sz w:val="24"/>
          <w:szCs w:val="24"/>
          <w:lang w:eastAsia="zh-CN"/>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ind w:firstLine="630"/>
        <w:spacing w:line="360" w:lineRule="exact"/>
        <w:rPr>
          <w:sz w:val="24"/>
          <w:szCs w:val="24"/>
        </w:rPr>
      </w:pPr>
      <w:r>
        <w:rPr>
          <w:rFonts w:hint="eastAsia" w:ascii="宋体" w:hAnsi="宋体" w:eastAsia="宋体" w:cs="宋体"/>
          <w:sz w:val="24"/>
          <w:szCs w:val="24"/>
          <w:lang w:eastAsia="zh-CN"/>
        </w:rPr>
        <w:t xml:space="preserve">小微型企业价格扣除：①本项目对小型和微型企业产品给予10%</w:t>
      </w:r>
      <w:r>
        <w:rPr>
          <w:rFonts w:hint="eastAsia" w:ascii="宋体" w:hAnsi="宋体" w:eastAsia="宋体" w:cs="宋体"/>
          <w:sz w:val="24"/>
          <w:szCs w:val="24"/>
          <w:lang w:eastAsia="zh-CN"/>
        </w:rPr>
        <w:t xml:space="preserve">的扣除价格。联合体投标的：a.联合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小型、微型企业提供中型企业提供的服务的，视同为中型企业。③以供应商响应文件中提供的《中小企业声明函》（详见第六章格式九）为依据。④企业标准请参照《关于印发中小企业划型标准规定的通知》（工信部联企业[2011]300号）文件规定自行填写。</w:t>
      </w:r>
      <w:r>
        <w:rPr>
          <w:rFonts w:hint="eastAsia" w:ascii="宋体" w:hAnsi="宋体" w:eastAsia="宋体" w:cs="宋体"/>
          <w:sz w:val="24"/>
          <w:szCs w:val="24"/>
        </w:rPr>
        <w:t xml:space="preserve">（如面向中小企业的不享受价格折扣）</w:t>
      </w:r>
      <w:r/>
    </w:p>
    <w:p>
      <w:pPr>
        <w:numPr>
          <w:ilvl w:val="0"/>
          <w:numId w:val="6"/>
        </w:numPr>
        <w:ind w:firstLine="422"/>
        <w:jc w:val="both"/>
        <w:spacing w:before="120" w:after="0" w:line="85" w:lineRule="atLeast"/>
        <w:widowControl w:val="off"/>
        <w:rPr>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技术、商务、价格评分应分别考虑下列因素： </w:t>
      </w:r>
      <w:r/>
    </w:p>
    <w:tbl>
      <w:tblPr>
        <w:tblW w:w="4586"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1328"/>
        <w:gridCol w:w="5882"/>
        <w:gridCol w:w="1569"/>
      </w:tblGrid>
      <w:tr>
        <w:trPr>
          <w:jc w:val="center"/>
          <w:trHeight w:val="722"/>
        </w:trPr>
        <w:tc>
          <w:tcPr>
            <w:tcW w:w="1328" w:type="dxa"/>
            <w:vAlign w:val="center"/>
            <w:textDirection w:val="lrTb"/>
            <w:noWrap w:val="false"/>
          </w:tcPr>
          <w:p>
            <w:pPr>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评审因素</w:t>
            </w:r>
            <w:r/>
          </w:p>
        </w:tc>
        <w:tc>
          <w:tcPr>
            <w:tcW w:w="5883" w:type="dxa"/>
            <w:vAlign w:val="center"/>
            <w:textDirection w:val="lrTb"/>
            <w:noWrap w:val="false"/>
          </w:tcPr>
          <w:p>
            <w:pPr>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评分细则</w:t>
            </w:r>
            <w:r/>
          </w:p>
        </w:tc>
        <w:tc>
          <w:tcPr>
            <w:tcW w:w="1569" w:type="dxa"/>
            <w:vAlign w:val="center"/>
            <w:textDirection w:val="lrTb"/>
            <w:noWrap w:val="false"/>
          </w:tcPr>
          <w:p>
            <w:pPr>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分值（分）</w:t>
            </w:r>
            <w:r/>
          </w:p>
        </w:tc>
      </w:tr>
      <w:tr>
        <w:trPr>
          <w:jc w:val="center"/>
        </w:trPr>
        <w:tc>
          <w:tcPr>
            <w:gridSpan w:val="3"/>
            <w:tcW w:w="8780" w:type="dxa"/>
            <w:vAlign w:val="center"/>
            <w:textDirection w:val="lrTb"/>
            <w:noWrap w:val="false"/>
          </w:tcPr>
          <w:p>
            <w:pPr>
              <w:ind w:left="-78" w:right="-73"/>
              <w:jc w:val="center"/>
              <w:spacing w:line="288" w:lineRule="auto"/>
              <w:rPr>
                <w:rFonts w:hint="eastAsia" w:ascii="宋体" w:hAnsi="宋体" w:eastAsia="宋体" w:cs="宋体"/>
                <w:b/>
                <w:sz w:val="21"/>
                <w:szCs w:val="21"/>
              </w:rPr>
            </w:pPr>
            <w:r>
              <w:rPr>
                <w:rFonts w:hint="eastAsia" w:ascii="宋体" w:hAnsi="宋体" w:eastAsia="宋体" w:cs="宋体"/>
                <w:b/>
                <w:sz w:val="21"/>
                <w:szCs w:val="21"/>
              </w:rPr>
              <w:t xml:space="preserve">报价部分（</w:t>
            </w:r>
            <w:r>
              <w:rPr>
                <w:rFonts w:hint="eastAsia" w:cs="宋体"/>
                <w:b/>
                <w:sz w:val="21"/>
                <w:szCs w:val="21"/>
                <w:lang w:eastAsia="zh-CN"/>
              </w:rPr>
              <w:t xml:space="preserve">3</w:t>
            </w:r>
            <w:r>
              <w:rPr>
                <w:rFonts w:ascii="宋体" w:hAnsi="宋体" w:eastAsia="宋体" w:cs="宋体"/>
                <w:b/>
                <w:sz w:val="21"/>
                <w:szCs w:val="21"/>
              </w:rPr>
              <w:t xml:space="preserve">0</w:t>
            </w:r>
            <w:r>
              <w:rPr>
                <w:rFonts w:hint="eastAsia" w:ascii="宋体" w:hAnsi="宋体" w:eastAsia="宋体" w:cs="宋体"/>
                <w:b/>
                <w:sz w:val="21"/>
                <w:szCs w:val="21"/>
              </w:rPr>
              <w:t xml:space="preserve">分）</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sz w:val="21"/>
                <w:szCs w:val="21"/>
              </w:rPr>
            </w:pPr>
            <w:r>
              <w:rPr>
                <w:rFonts w:hint="eastAsia" w:ascii="宋体" w:hAnsi="宋体" w:eastAsia="宋体" w:cs="宋体"/>
                <w:bCs/>
                <w:sz w:val="21"/>
                <w:szCs w:val="21"/>
              </w:rPr>
              <w:t xml:space="preserve">价格部分</w:t>
            </w:r>
            <w:r/>
          </w:p>
        </w:tc>
        <w:tc>
          <w:tcPr>
            <w:tcW w:w="5883"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价格分应当采用经评审的最低价法计算，即满足招标文件要求且最终报价最低的投标报价为评标基准价，</w:t>
            </w:r>
            <w:r>
              <w:rPr>
                <w:rFonts w:hint="eastAsia" w:ascii="宋体" w:hAnsi="宋体" w:eastAsia="宋体" w:cs="宋体"/>
                <w:sz w:val="21"/>
                <w:szCs w:val="21"/>
                <w:lang w:eastAsia="zh-CN"/>
              </w:rPr>
              <w:t xml:space="preserve">其价格分为满分。其他供应商的价格分统一按照下列公式计算：</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投标报价得分=（评标基准价/最终报价）×</w:t>
            </w:r>
            <w:r>
              <w:rPr>
                <w:rFonts w:hint="eastAsia" w:cs="宋体"/>
                <w:sz w:val="21"/>
                <w:szCs w:val="21"/>
                <w:lang w:eastAsia="zh-CN"/>
              </w:rPr>
              <w:t xml:space="preserve">3</w:t>
            </w:r>
            <w:r>
              <w:rPr>
                <w:rFonts w:hint="eastAsia" w:ascii="宋体" w:hAnsi="宋体" w:eastAsia="宋体" w:cs="宋体"/>
                <w:sz w:val="21"/>
                <w:szCs w:val="21"/>
                <w:lang w:eastAsia="zh-CN"/>
              </w:rPr>
              <w:t xml:space="preserve">0，小数点后保留2位。</w:t>
            </w:r>
            <w:r/>
          </w:p>
        </w:tc>
        <w:tc>
          <w:tcPr>
            <w:tcW w:w="1569" w:type="dxa"/>
            <w:vAlign w:val="center"/>
            <w:textDirection w:val="lrTb"/>
            <w:noWrap w:val="false"/>
          </w:tcPr>
          <w:p>
            <w:pPr>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30</w:t>
            </w:r>
            <w:r/>
          </w:p>
        </w:tc>
      </w:tr>
      <w:tr>
        <w:trPr>
          <w:jc w:val="center"/>
        </w:trPr>
        <w:tc>
          <w:tcPr>
            <w:gridSpan w:val="3"/>
            <w:tcW w:w="8780" w:type="dxa"/>
            <w:vAlign w:val="center"/>
            <w:textDirection w:val="lrTb"/>
            <w:noWrap w:val="false"/>
          </w:tcPr>
          <w:p>
            <w:pPr>
              <w:jc w:val="center"/>
              <w:spacing w:line="288" w:lineRule="auto"/>
              <w:rPr>
                <w:rFonts w:hint="eastAsia" w:ascii="宋体" w:hAnsi="宋体" w:eastAsia="宋体" w:cs="宋体"/>
                <w:sz w:val="21"/>
                <w:szCs w:val="21"/>
              </w:rPr>
            </w:pPr>
            <w:r>
              <w:rPr>
                <w:rFonts w:hint="eastAsia" w:ascii="宋体" w:hAnsi="宋体" w:eastAsia="宋体" w:cs="宋体"/>
                <w:b/>
                <w:sz w:val="21"/>
                <w:szCs w:val="21"/>
              </w:rPr>
              <w:t xml:space="preserve">商务部分（</w:t>
            </w:r>
            <w:r>
              <w:rPr>
                <w:rFonts w:hint="eastAsia" w:cs="宋体"/>
                <w:b/>
                <w:sz w:val="21"/>
                <w:szCs w:val="21"/>
                <w:lang w:eastAsia="zh-CN"/>
              </w:rPr>
              <w:t xml:space="preserve">23</w:t>
            </w:r>
            <w:r>
              <w:rPr>
                <w:rFonts w:hint="eastAsia" w:ascii="宋体" w:hAnsi="宋体" w:eastAsia="宋体" w:cs="宋体"/>
                <w:b/>
                <w:sz w:val="21"/>
                <w:szCs w:val="21"/>
              </w:rPr>
              <w:t xml:space="preserve">分）</w:t>
            </w:r>
            <w:r/>
          </w:p>
        </w:tc>
      </w:tr>
      <w:tr>
        <w:trPr>
          <w:jc w:val="center"/>
        </w:trPr>
        <w:tc>
          <w:tcPr>
            <w:tcW w:w="1328" w:type="dxa"/>
            <w:vAlign w:val="center"/>
            <w:textDirection w:val="lrTb"/>
            <w:noWrap w:val="false"/>
          </w:tcPr>
          <w:p>
            <w:pPr>
              <w:jc w:val="center"/>
              <w:spacing w:line="520" w:lineRule="exact"/>
              <w:rPr>
                <w:rFonts w:hint="eastAsia" w:ascii="宋体" w:hAnsi="宋体" w:eastAsia="宋体" w:cs="宋体"/>
                <w:bCs/>
                <w:sz w:val="21"/>
                <w:szCs w:val="21"/>
              </w:rPr>
            </w:pPr>
            <w:r>
              <w:rPr>
                <w:rFonts w:hint="eastAsia" w:ascii="宋体" w:hAnsi="宋体" w:eastAsia="宋体" w:cs="宋体"/>
                <w:bCs/>
                <w:sz w:val="21"/>
                <w:szCs w:val="21"/>
              </w:rPr>
              <w:t xml:space="preserve">技术参数响应情况</w:t>
            </w:r>
            <w:r/>
          </w:p>
          <w:p>
            <w:pPr>
              <w:jc w:val="center"/>
              <w:spacing w:line="288"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83" w:type="dxa"/>
            <w:vAlign w:val="center"/>
            <w:textDirection w:val="lrTb"/>
            <w:noWrap w:val="false"/>
          </w:tcPr>
          <w:p>
            <w:pPr>
              <w:rPr>
                <w:rFonts w:hint="eastAsia" w:ascii="宋体" w:hAnsi="宋体" w:eastAsia="宋体" w:cs="宋体"/>
                <w:b/>
                <w:bCs/>
                <w:sz w:val="21"/>
                <w:szCs w:val="21"/>
                <w:lang w:eastAsia="zh-CN"/>
              </w:rPr>
            </w:pPr>
            <w:r>
              <w:rPr>
                <w:rFonts w:hint="eastAsia" w:ascii="宋体" w:hAnsi="宋体" w:eastAsia="宋体" w:cs="宋体"/>
                <w:sz w:val="21"/>
                <w:szCs w:val="21"/>
                <w:lang w:eastAsia="zh-CN"/>
              </w:rPr>
              <w:t xml:space="preserve">根据各供应商所投产品技术偏离表、投标产品彩图及投标产品技术情况描述由评标委员会进行评分。完全响应招标文件第</w:t>
            </w:r>
            <w:r>
              <w:rPr>
                <w:rFonts w:hint="eastAsia" w:cs="宋体"/>
                <w:sz w:val="21"/>
                <w:szCs w:val="21"/>
                <w:lang w:eastAsia="zh-CN"/>
              </w:rPr>
              <w:t xml:space="preserve">五</w:t>
            </w:r>
            <w:r>
              <w:rPr>
                <w:rFonts w:hint="eastAsia" w:ascii="宋体" w:hAnsi="宋体" w:eastAsia="宋体" w:cs="宋体"/>
                <w:sz w:val="21"/>
                <w:szCs w:val="21"/>
                <w:lang w:eastAsia="zh-CN"/>
              </w:rPr>
              <w:t xml:space="preserve">部分的技术要求的得满分</w:t>
            </w:r>
            <w:r>
              <w:rPr>
                <w:rFonts w:hint="eastAsia" w:cs="宋体"/>
                <w:sz w:val="21"/>
                <w:szCs w:val="21"/>
                <w:lang w:eastAsia="zh-CN"/>
              </w:rPr>
              <w:t xml:space="preserve">10</w:t>
            </w:r>
            <w:r>
              <w:rPr>
                <w:rFonts w:hint="eastAsia" w:ascii="宋体" w:hAnsi="宋体" w:eastAsia="宋体" w:cs="宋体"/>
                <w:sz w:val="21"/>
                <w:szCs w:val="21"/>
                <w:lang w:eastAsia="zh-CN"/>
              </w:rPr>
              <w:t xml:space="preserve">分，关键指标要求（标注★）为必须满足项，如有负偏离，将作为无效投标；其余指标要求负偏离一项（指参数要求中的一条）扣1分，扣完为止。</w:t>
            </w:r>
            <w:r/>
          </w:p>
        </w:tc>
        <w:tc>
          <w:tcPr>
            <w:tcW w:w="1569" w:type="dxa"/>
            <w:vAlign w:val="center"/>
            <w:textDirection w:val="lrTb"/>
            <w:noWrap w:val="false"/>
          </w:tcPr>
          <w:p>
            <w:pPr>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10</w:t>
            </w:r>
            <w:r/>
          </w:p>
        </w:tc>
      </w:tr>
      <w:tr>
        <w:trPr>
          <w:jc w:val="center"/>
          <w:trHeight w:val="1724"/>
        </w:trPr>
        <w:tc>
          <w:tcPr>
            <w:tcW w:w="1328" w:type="dxa"/>
            <w:vAlign w:val="center"/>
            <w:textDirection w:val="lrTb"/>
            <w:noWrap w:val="false"/>
          </w:tcPr>
          <w:p>
            <w:pPr>
              <w:jc w:val="cente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核心产品 检测报告</w:t>
            </w:r>
            <w:r/>
          </w:p>
        </w:tc>
        <w:tc>
          <w:tcPr>
            <w:tcW w:w="5883" w:type="dxa"/>
            <w:vAlign w:val="center"/>
            <w:textDirection w:val="lrTb"/>
            <w:noWrap w:val="false"/>
          </w:tcPr>
          <w:p>
            <w:pP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双位漫步机、三位扭腰器、上肢牵引器、室外乒乓球台、移动篮球架五件核心产品，每个产品提供专业第三方检测机构出具的合格质量检测报告得1分，最高得5分。</w:t>
            </w:r>
            <w:r/>
          </w:p>
          <w:p>
            <w:pPr>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lang w:eastAsia="zh-CN" w:bidi="en-US"/>
              </w:rPr>
              <w:t xml:space="preserve">提供检测报告复印件并加盖投标单位公章，未提供或不符合要求的不得分。</w:t>
            </w:r>
            <w:r/>
          </w:p>
        </w:tc>
        <w:tc>
          <w:tcPr>
            <w:tcW w:w="1569" w:type="dxa"/>
            <w:vAlign w:val="center"/>
            <w:textDirection w:val="lrTb"/>
            <w:noWrap w:val="false"/>
          </w:tcPr>
          <w:p>
            <w:pPr>
              <w:ind w:left="-78" w:right="-73"/>
              <w:jc w:val="center"/>
              <w:spacing w:line="288" w:lineRule="auto"/>
              <w:rPr>
                <w:rFonts w:cs="宋体"/>
                <w:color w:val="000000"/>
                <w:sz w:val="21"/>
                <w:szCs w:val="21"/>
                <w:lang w:eastAsia="zh-CN"/>
              </w:rPr>
            </w:pPr>
            <w:r>
              <w:rPr>
                <w:rFonts w:hint="eastAsia" w:cs="宋体"/>
                <w:color w:val="000000"/>
                <w:sz w:val="21"/>
                <w:szCs w:val="21"/>
                <w:lang w:eastAsia="zh-CN"/>
              </w:rPr>
              <w:t xml:space="preserve">5</w:t>
            </w:r>
            <w:r/>
          </w:p>
        </w:tc>
      </w:tr>
      <w:tr>
        <w:trPr>
          <w:jc w:val="center"/>
          <w:trHeight w:val="1724"/>
        </w:trPr>
        <w:tc>
          <w:tcPr>
            <w:tcW w:w="1328" w:type="dxa"/>
            <w:vAlign w:val="center"/>
            <w:textDirection w:val="lrTb"/>
            <w:noWrap w:val="false"/>
          </w:tcPr>
          <w:p>
            <w:pPr>
              <w:jc w:val="center"/>
              <w:spacing w:line="320" w:lineRule="exact"/>
              <w:rPr>
                <w:rFonts w:hint="eastAsia" w:ascii="宋体" w:hAnsi="宋体" w:eastAsia="宋体" w:cs="宋体"/>
                <w:bCs/>
                <w:sz w:val="21"/>
                <w:szCs w:val="21"/>
              </w:rPr>
            </w:pPr>
            <w:r>
              <w:rPr>
                <w:rFonts w:hint="eastAsia" w:ascii="宋体" w:hAnsi="宋体" w:eastAsia="宋体" w:cs="宋体"/>
                <w:bCs/>
                <w:sz w:val="21"/>
                <w:szCs w:val="21"/>
              </w:rPr>
              <w:t xml:space="preserve">资质认证</w:t>
            </w:r>
            <w:r/>
          </w:p>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5883" w:type="dxa"/>
            <w:vAlign w:val="center"/>
            <w:textDirection w:val="lrTb"/>
            <w:noWrap w:val="false"/>
          </w:tcPr>
          <w:p>
            <w:pPr>
              <w:rPr>
                <w:rFonts w:hint="eastAsia" w:ascii="宋体" w:hAnsi="宋体" w:eastAsia="宋体"/>
                <w:sz w:val="21"/>
                <w:szCs w:val="21"/>
                <w:lang w:eastAsia="zh-CN"/>
              </w:rPr>
            </w:pPr>
            <w:r>
              <w:rPr>
                <w:rFonts w:hint="eastAsia" w:hAnsi="宋体"/>
                <w:sz w:val="21"/>
                <w:szCs w:val="21"/>
                <w:lang w:eastAsia="zh-CN"/>
              </w:rPr>
              <w:t xml:space="preserve">投标供应商或生产企业</w:t>
            </w:r>
            <w:r>
              <w:rPr>
                <w:rFonts w:hint="eastAsia" w:ascii="宋体" w:hAnsi="宋体" w:eastAsia="宋体"/>
                <w:sz w:val="21"/>
                <w:szCs w:val="21"/>
                <w:lang w:eastAsia="zh-CN"/>
              </w:rPr>
              <w:t xml:space="preserve">具有有效的质量管理体系、环境管理体系、职业健康安全管理体系，有一个得</w:t>
            </w:r>
            <w:r>
              <w:rPr>
                <w:rFonts w:hint="eastAsia"/>
                <w:sz w:val="21"/>
                <w:szCs w:val="21"/>
                <w:lang w:eastAsia="zh-CN"/>
              </w:rPr>
              <w:t xml:space="preserve">1</w:t>
            </w:r>
            <w:r>
              <w:rPr>
                <w:rFonts w:hint="eastAsia" w:ascii="宋体" w:hAnsi="宋体" w:eastAsia="宋体"/>
                <w:sz w:val="21"/>
                <w:szCs w:val="21"/>
                <w:lang w:eastAsia="zh-CN"/>
              </w:rPr>
              <w:t xml:space="preserve">分，最高得</w:t>
            </w:r>
            <w:r>
              <w:rPr>
                <w:rFonts w:hint="eastAsia"/>
                <w:sz w:val="21"/>
                <w:szCs w:val="21"/>
                <w:lang w:eastAsia="zh-CN"/>
              </w:rPr>
              <w:t xml:space="preserve">3</w:t>
            </w:r>
            <w:r>
              <w:rPr>
                <w:rFonts w:hint="eastAsia" w:ascii="宋体" w:hAnsi="宋体" w:eastAsia="宋体"/>
                <w:sz w:val="21"/>
                <w:szCs w:val="21"/>
                <w:lang w:eastAsia="zh-CN"/>
              </w:rPr>
              <w:t xml:space="preserve">分。</w:t>
            </w:r>
            <w:r/>
          </w:p>
          <w:p>
            <w:pPr>
              <w:rPr>
                <w:rFonts w:hint="eastAsia" w:ascii="宋体" w:hAnsi="宋体" w:eastAsia="宋体" w:cs="宋体"/>
                <w:b/>
                <w:bCs/>
                <w:sz w:val="21"/>
                <w:szCs w:val="21"/>
                <w:lang w:eastAsia="zh-CN" w:bidi="en-US"/>
              </w:rPr>
            </w:pPr>
            <w:r>
              <w:rPr>
                <w:rFonts w:hint="eastAsia" w:ascii="宋体" w:hAnsi="宋体" w:eastAsia="宋体" w:cs="宋体"/>
                <w:b/>
                <w:bCs/>
                <w:sz w:val="21"/>
                <w:szCs w:val="21"/>
                <w:lang w:eastAsia="zh-CN" w:bidi="en-US"/>
              </w:rPr>
              <w:t xml:space="preserve">提供国家认证认可信息公共服务平台查询截图及证书扫描件。证书失效或未提供或不符合要求的均不得分。</w:t>
            </w:r>
            <w:r/>
          </w:p>
        </w:tc>
        <w:tc>
          <w:tcPr>
            <w:tcW w:w="1569" w:type="dxa"/>
            <w:vAlign w:val="center"/>
            <w:textDirection w:val="lrTb"/>
            <w:noWrap w:val="false"/>
          </w:tcPr>
          <w:p>
            <w:pPr>
              <w:ind w:left="-78" w:right="-73"/>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3</w:t>
            </w:r>
            <w:r/>
          </w:p>
        </w:tc>
      </w:tr>
      <w:tr>
        <w:trPr>
          <w:jc w:val="center"/>
        </w:trPr>
        <w:tc>
          <w:tcPr>
            <w:tcW w:w="1328" w:type="dxa"/>
            <w:vAlign w:val="center"/>
            <w:textDirection w:val="lrTb"/>
            <w:noWrap w:val="false"/>
          </w:tcPr>
          <w:p>
            <w:pPr>
              <w:jc w:val="center"/>
              <w:spacing w:line="320" w:lineRule="exact"/>
              <w:rPr>
                <w:rFonts w:hint="eastAsia" w:ascii="宋体" w:hAnsi="宋体" w:eastAsia="宋体" w:cs="宋体"/>
                <w:bCs/>
                <w:sz w:val="21"/>
                <w:szCs w:val="21"/>
              </w:rPr>
            </w:pPr>
            <w:r>
              <w:rPr>
                <w:rFonts w:hint="eastAsia" w:ascii="宋体" w:hAnsi="宋体" w:eastAsia="宋体" w:cs="宋体"/>
                <w:bCs/>
                <w:sz w:val="21"/>
                <w:szCs w:val="21"/>
              </w:rPr>
              <w:t xml:space="preserve">业绩</w:t>
            </w:r>
            <w:r/>
          </w:p>
        </w:tc>
        <w:tc>
          <w:tcPr>
            <w:tcW w:w="5883" w:type="dxa"/>
            <w:vAlign w:val="center"/>
            <w:textDirection w:val="lrTb"/>
            <w:noWrap w:val="false"/>
          </w:tcPr>
          <w:p>
            <w:pPr>
              <w:pStyle w:val="743"/>
              <w:spacing w:line="288" w:lineRule="auto"/>
              <w:rPr>
                <w:rFonts w:hint="eastAsia" w:hAnsi="宋体" w:eastAsia="宋体"/>
                <w:sz w:val="21"/>
                <w:szCs w:val="21"/>
                <w:lang w:eastAsia="zh-CN"/>
              </w:rPr>
            </w:pPr>
            <w:r>
              <w:rPr>
                <w:rFonts w:hint="eastAsia" w:hAnsi="宋体"/>
                <w:sz w:val="21"/>
                <w:szCs w:val="21"/>
                <w:lang w:eastAsia="zh-CN"/>
              </w:rPr>
              <w:t xml:space="preserve">投标供应商或生产企业</w:t>
            </w:r>
            <w:r>
              <w:rPr>
                <w:rFonts w:hint="eastAsia" w:hAnsi="宋体" w:eastAsia="宋体"/>
                <w:sz w:val="21"/>
                <w:szCs w:val="21"/>
                <w:lang w:eastAsia="zh-CN"/>
              </w:rPr>
              <w:t xml:space="preserve">近三年（自202</w:t>
            </w:r>
            <w:r>
              <w:rPr>
                <w:rFonts w:hint="eastAsia" w:hAnsi="宋体"/>
                <w:sz w:val="21"/>
                <w:szCs w:val="21"/>
                <w:lang w:eastAsia="zh-CN"/>
              </w:rPr>
              <w:t xml:space="preserve">3</w:t>
            </w:r>
            <w:r>
              <w:rPr>
                <w:rFonts w:hint="eastAsia" w:hAnsi="宋体" w:eastAsia="宋体"/>
                <w:sz w:val="21"/>
                <w:szCs w:val="21"/>
                <w:lang w:eastAsia="zh-CN"/>
              </w:rPr>
              <w:t xml:space="preserve">年1月1日起至投标截止日止</w:t>
            </w:r>
            <w:r>
              <w:rPr>
                <w:rFonts w:hint="eastAsia" w:hAnsi="宋体"/>
                <w:sz w:val="21"/>
                <w:szCs w:val="21"/>
                <w:lang w:eastAsia="zh-CN"/>
              </w:rPr>
              <w:t xml:space="preserve">，</w:t>
            </w:r>
            <w:r>
              <w:rPr>
                <w:rFonts w:hint="eastAsia" w:hAnsi="宋体" w:eastAsia="宋体" w:cs="宋体"/>
                <w:sz w:val="21"/>
                <w:szCs w:val="21"/>
                <w:lang w:eastAsia="zh-CN"/>
              </w:rPr>
              <w:t xml:space="preserve">以合同签订的时间为准</w:t>
            </w:r>
            <w:r>
              <w:rPr>
                <w:rFonts w:hint="eastAsia" w:hAnsi="宋体" w:eastAsia="宋体"/>
                <w:sz w:val="21"/>
                <w:szCs w:val="21"/>
                <w:lang w:eastAsia="zh-CN"/>
              </w:rPr>
              <w:t xml:space="preserve">）有与本项目类似的室外健身器材销售业绩的，每提供一个得</w:t>
            </w:r>
            <w:r>
              <w:rPr>
                <w:rFonts w:hint="eastAsia" w:hAnsi="宋体"/>
                <w:sz w:val="21"/>
                <w:szCs w:val="21"/>
                <w:lang w:eastAsia="zh-CN"/>
              </w:rPr>
              <w:t xml:space="preserve">1</w:t>
            </w:r>
            <w:r>
              <w:rPr>
                <w:rFonts w:hint="eastAsia" w:hAnsi="宋体" w:eastAsia="宋体"/>
                <w:sz w:val="21"/>
                <w:szCs w:val="21"/>
                <w:lang w:eastAsia="zh-CN"/>
              </w:rPr>
              <w:t xml:space="preserve">分，本项最高得</w:t>
            </w:r>
            <w:r>
              <w:rPr>
                <w:rFonts w:hint="eastAsia" w:hAnsi="宋体"/>
                <w:sz w:val="21"/>
                <w:szCs w:val="21"/>
                <w:lang w:eastAsia="zh-CN"/>
              </w:rPr>
              <w:t xml:space="preserve">3</w:t>
            </w:r>
            <w:r>
              <w:rPr>
                <w:rFonts w:hint="eastAsia" w:hAnsi="宋体" w:eastAsia="宋体"/>
                <w:sz w:val="21"/>
                <w:szCs w:val="21"/>
                <w:lang w:eastAsia="zh-CN"/>
              </w:rPr>
              <w:t xml:space="preserve">分。</w:t>
            </w:r>
            <w:r/>
          </w:p>
          <w:p>
            <w:pPr>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提供相关证明材料扫描件，无资料、提供资料不全或无法体现投标人业绩的不得分。</w:t>
            </w:r>
            <w:r/>
          </w:p>
        </w:tc>
        <w:tc>
          <w:tcPr>
            <w:tcW w:w="1569" w:type="dxa"/>
            <w:vAlign w:val="center"/>
            <w:textDirection w:val="lrTb"/>
            <w:noWrap w:val="false"/>
          </w:tcPr>
          <w:p>
            <w:pPr>
              <w:ind w:left="-78" w:right="-73"/>
              <w:jc w:val="center"/>
              <w:spacing w:line="288" w:lineRule="auto"/>
              <w:rPr>
                <w:rFonts w:cs="宋体"/>
                <w:sz w:val="21"/>
                <w:szCs w:val="21"/>
                <w:lang w:eastAsia="zh-CN"/>
              </w:rPr>
            </w:pPr>
            <w:r>
              <w:rPr>
                <w:rFonts w:hint="eastAsia" w:cs="宋体"/>
                <w:sz w:val="21"/>
                <w:szCs w:val="21"/>
                <w:lang w:eastAsia="zh-CN"/>
              </w:rPr>
              <w:t xml:space="preserve">3</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bCs/>
                <w:sz w:val="21"/>
                <w:szCs w:val="21"/>
              </w:rPr>
            </w:pPr>
            <w:r>
              <w:rPr>
                <w:rFonts w:hint="eastAsia" w:ascii="宋体" w:hAnsi="宋体" w:eastAsia="宋体" w:cs="宋体"/>
                <w:bCs/>
                <w:sz w:val="21"/>
                <w:szCs w:val="21"/>
              </w:rPr>
              <w:t xml:space="preserve">产品保险</w:t>
            </w:r>
            <w:r/>
          </w:p>
        </w:tc>
        <w:tc>
          <w:tcPr>
            <w:tcW w:w="5883" w:type="dxa"/>
            <w:vAlign w:val="center"/>
            <w:textDirection w:val="lrTb"/>
            <w:noWrap w:val="false"/>
          </w:tcPr>
          <w:p>
            <w:pPr>
              <w:rPr>
                <w:rFonts w:hint="eastAsia" w:ascii="宋体" w:hAnsi="宋体" w:eastAsia="宋体" w:cs="宋体"/>
                <w:sz w:val="21"/>
                <w:szCs w:val="21"/>
                <w:lang w:eastAsia="zh-CN"/>
              </w:rPr>
            </w:pPr>
            <w:r>
              <w:rPr>
                <w:rFonts w:hint="eastAsia" w:hAnsi="宋体"/>
                <w:sz w:val="21"/>
                <w:szCs w:val="21"/>
                <w:lang w:eastAsia="zh-CN"/>
              </w:rPr>
              <w:t xml:space="preserve">投标供应商或生产企业</w:t>
            </w:r>
            <w:r>
              <w:rPr>
                <w:rFonts w:hint="eastAsia" w:ascii="宋体" w:hAnsi="宋体" w:eastAsia="宋体" w:cs="宋体"/>
                <w:sz w:val="21"/>
                <w:szCs w:val="21"/>
                <w:lang w:eastAsia="zh-CN"/>
              </w:rPr>
              <w:t xml:space="preserve">提供投保的产品责任险、产品质量险</w:t>
            </w:r>
            <w:r>
              <w:rPr>
                <w:rFonts w:hint="eastAsia" w:cs="宋体"/>
                <w:sz w:val="21"/>
                <w:szCs w:val="21"/>
                <w:lang w:eastAsia="zh-CN"/>
              </w:rPr>
              <w:t xml:space="preserve">，</w:t>
            </w:r>
            <w:r>
              <w:rPr>
                <w:rFonts w:hint="eastAsia" w:ascii="宋体" w:hAnsi="宋体" w:eastAsia="宋体" w:cs="宋体"/>
                <w:sz w:val="21"/>
                <w:szCs w:val="21"/>
                <w:lang w:eastAsia="zh-CN"/>
              </w:rPr>
              <w:t xml:space="preserve">并同时提供其在服务期内承担相应安全责任的承诺书，每投保一个险种得</w:t>
            </w:r>
            <w:r>
              <w:rPr>
                <w:rFonts w:hint="eastAsia" w:cs="宋体"/>
                <w:sz w:val="21"/>
                <w:szCs w:val="21"/>
                <w:lang w:eastAsia="zh-CN"/>
              </w:rPr>
              <w:t xml:space="preserve">1</w:t>
            </w:r>
            <w:r>
              <w:rPr>
                <w:rFonts w:hint="eastAsia" w:ascii="宋体" w:hAnsi="宋体" w:eastAsia="宋体" w:cs="宋体"/>
                <w:sz w:val="21"/>
                <w:szCs w:val="21"/>
                <w:lang w:eastAsia="zh-CN"/>
              </w:rPr>
              <w:t xml:space="preserve">分，最高得</w:t>
            </w:r>
            <w:r>
              <w:rPr>
                <w:rFonts w:hint="eastAsia" w:cs="宋体"/>
                <w:sz w:val="21"/>
                <w:szCs w:val="21"/>
                <w:lang w:eastAsia="zh-CN"/>
              </w:rPr>
              <w:t xml:space="preserve">2</w:t>
            </w:r>
            <w:r>
              <w:rPr>
                <w:rFonts w:hint="eastAsia" w:ascii="宋体" w:hAnsi="宋体" w:eastAsia="宋体" w:cs="宋体"/>
                <w:sz w:val="21"/>
                <w:szCs w:val="21"/>
                <w:lang w:eastAsia="zh-CN"/>
              </w:rPr>
              <w:t xml:space="preserve">分。</w:t>
            </w:r>
            <w:r/>
          </w:p>
          <w:p>
            <w:pPr>
              <w:rPr>
                <w:rFonts w:hint="eastAsia" w:ascii="宋体" w:hAnsi="宋体" w:eastAsia="宋体" w:cs="宋体"/>
                <w:b/>
                <w:bCs/>
                <w:sz w:val="21"/>
                <w:szCs w:val="21"/>
                <w:lang w:eastAsia="zh-CN" w:bidi="en-US"/>
              </w:rPr>
            </w:pPr>
            <w:r>
              <w:rPr>
                <w:rFonts w:hint="eastAsia" w:ascii="宋体" w:hAnsi="宋体" w:eastAsia="宋体" w:cs="宋体"/>
                <w:b/>
                <w:bCs/>
                <w:sz w:val="21"/>
                <w:szCs w:val="21"/>
                <w:lang w:eastAsia="zh-CN"/>
              </w:rPr>
              <w:t xml:space="preserve">（需提供承诺书（格式自拟）和有效保险单及缴费发票扫描件，无内容和内容不全均不得分）。</w:t>
            </w:r>
            <w:r/>
          </w:p>
        </w:tc>
        <w:tc>
          <w:tcPr>
            <w:tcW w:w="1569" w:type="dxa"/>
            <w:vAlign w:val="center"/>
            <w:textDirection w:val="lrTb"/>
            <w:noWrap w:val="false"/>
          </w:tcPr>
          <w:p>
            <w:pPr>
              <w:ind w:left="-78" w:right="-73"/>
              <w:jc w:val="center"/>
              <w:spacing w:line="288" w:lineRule="auto"/>
              <w:rPr>
                <w:rFonts w:cs="宋体"/>
                <w:sz w:val="21"/>
                <w:szCs w:val="21"/>
                <w:lang w:eastAsia="zh-CN"/>
              </w:rPr>
            </w:pPr>
            <w:r>
              <w:rPr>
                <w:rFonts w:hint="eastAsia" w:cs="宋体"/>
                <w:sz w:val="21"/>
                <w:szCs w:val="21"/>
                <w:lang w:eastAsia="zh-CN"/>
              </w:rPr>
              <w:t xml:space="preserve">2</w:t>
            </w:r>
            <w:r/>
          </w:p>
        </w:tc>
      </w:tr>
      <w:tr>
        <w:trPr>
          <w:jc w:val="center"/>
        </w:trPr>
        <w:tc>
          <w:tcPr>
            <w:gridSpan w:val="3"/>
            <w:tcW w:w="8780" w:type="dxa"/>
            <w:vAlign w:val="center"/>
            <w:textDirection w:val="lrTb"/>
            <w:noWrap w:val="false"/>
          </w:tcPr>
          <w:p>
            <w:pPr>
              <w:jc w:val="center"/>
              <w:spacing w:line="288" w:lineRule="auto"/>
              <w:rPr>
                <w:rFonts w:hint="eastAsia" w:ascii="宋体" w:hAnsi="宋体" w:eastAsia="宋体" w:cs="宋体"/>
                <w:sz w:val="21"/>
                <w:szCs w:val="21"/>
              </w:rPr>
            </w:pPr>
            <w:r>
              <w:rPr>
                <w:rFonts w:hint="eastAsia" w:ascii="宋体" w:hAnsi="宋体" w:eastAsia="宋体" w:cs="宋体"/>
                <w:b/>
                <w:sz w:val="21"/>
                <w:szCs w:val="21"/>
              </w:rPr>
              <w:t xml:space="preserve">技术部分（</w:t>
            </w:r>
            <w:r>
              <w:rPr>
                <w:rFonts w:hint="eastAsia" w:cs="宋体"/>
                <w:b/>
                <w:sz w:val="21"/>
                <w:szCs w:val="21"/>
                <w:lang w:eastAsia="zh-CN"/>
              </w:rPr>
              <w:t xml:space="preserve">47</w:t>
            </w:r>
            <w:r>
              <w:rPr>
                <w:rFonts w:hint="eastAsia" w:ascii="宋体" w:hAnsi="宋体" w:eastAsia="宋体" w:cs="宋体"/>
                <w:b/>
                <w:sz w:val="21"/>
                <w:szCs w:val="21"/>
              </w:rPr>
              <w:t xml:space="preserve">分）</w:t>
            </w:r>
            <w:r/>
          </w:p>
        </w:tc>
      </w:tr>
      <w:tr>
        <w:trPr>
          <w:jc w:val="center"/>
          <w:trHeight w:val="3126"/>
        </w:trPr>
        <w:tc>
          <w:tcPr>
            <w:tcW w:w="1328" w:type="dxa"/>
            <w:vAlign w:val="center"/>
            <w:vMerge w:val="restart"/>
            <w:textDirection w:val="lrTb"/>
            <w:noWrap w:val="false"/>
          </w:tcPr>
          <w:p>
            <w:pPr>
              <w:jc w:val="center"/>
              <w:spacing w:line="440" w:lineRule="atLeast"/>
              <w:rPr>
                <w:rFonts w:ascii="宋体" w:hAnsi="宋体" w:cs="宋体"/>
                <w:b/>
                <w:color w:val="000000"/>
                <w:szCs w:val="21"/>
              </w:rPr>
            </w:pPr>
            <w:r>
              <w:rPr>
                <w:rFonts w:hint="eastAsia" w:ascii="宋体" w:hAnsi="宋体" w:cs="宋体"/>
                <w:b/>
                <w:color w:val="000000"/>
                <w:szCs w:val="21"/>
              </w:rPr>
              <w:t xml:space="preserve">样品部分</w:t>
            </w:r>
            <w:r/>
          </w:p>
          <w:p>
            <w:pPr>
              <w:jc w:val="center"/>
              <w:spacing w:line="288" w:lineRule="auto"/>
              <w:rPr>
                <w:rFonts w:hint="eastAsia" w:ascii="宋体" w:hAnsi="宋体" w:eastAsia="宋体" w:cs="宋体"/>
                <w:b/>
                <w:sz w:val="21"/>
                <w:szCs w:val="21"/>
              </w:rPr>
            </w:pPr>
            <w:r>
              <w:rPr>
                <w:rFonts w:hint="eastAsia" w:ascii="宋体" w:hAnsi="宋体" w:cs="宋体"/>
                <w:b/>
                <w:color w:val="000000"/>
                <w:szCs w:val="21"/>
              </w:rPr>
              <w:t xml:space="preserve">（</w:t>
            </w:r>
            <w:r>
              <w:rPr>
                <w:rFonts w:hint="eastAsia" w:ascii="宋体" w:hAnsi="宋体" w:cs="宋体"/>
                <w:b/>
                <w:color w:val="000000"/>
                <w:szCs w:val="21"/>
              </w:rPr>
              <w:t xml:space="preserve">1</w:t>
            </w:r>
            <w:r>
              <w:rPr>
                <w:rFonts w:hint="eastAsia" w:ascii="宋体" w:hAnsi="宋体" w:cs="宋体"/>
                <w:b/>
                <w:color w:val="000000"/>
                <w:szCs w:val="21"/>
                <w:lang w:eastAsia="zh-CN"/>
              </w:rPr>
              <w:t xml:space="preserve">5</w:t>
            </w:r>
            <w:r>
              <w:rPr>
                <w:rFonts w:hint="eastAsia" w:ascii="宋体" w:hAnsi="宋体" w:cs="宋体"/>
                <w:b/>
                <w:color w:val="000000"/>
                <w:szCs w:val="21"/>
              </w:rPr>
              <w:t xml:space="preserve">分）</w:t>
            </w:r>
            <w:r/>
          </w:p>
        </w:tc>
        <w:tc>
          <w:tcPr>
            <w:tcW w:w="5883" w:type="dxa"/>
            <w:vAlign w:val="center"/>
            <w:textDirection w:val="lrTb"/>
            <w:noWrap w:val="false"/>
          </w:tcPr>
          <w:p>
            <w:pPr>
              <w:spacing w:line="240" w:lineRule="auto"/>
              <w:rPr>
                <w:rFonts w:ascii="宋体" w:hAnsi="宋体" w:cs="宋体"/>
                <w:bCs/>
                <w:color w:val="000000"/>
                <w:szCs w:val="21"/>
                <w:lang w:eastAsia="zh-CN"/>
              </w:rPr>
            </w:pPr>
            <w:r>
              <w:rPr>
                <w:rFonts w:hint="eastAsia" w:ascii="宋体" w:hAnsi="宋体" w:cs="宋体"/>
                <w:b/>
                <w:color w:val="000000"/>
                <w:szCs w:val="21"/>
                <w:lang w:eastAsia="zh-CN"/>
              </w:rPr>
              <w:t xml:space="preserve">1.</w:t>
            </w:r>
            <w:r>
              <w:rPr>
                <w:rFonts w:hint="eastAsia" w:ascii="宋体" w:hAnsi="宋体" w:cs="宋体"/>
                <w:b/>
                <w:color w:val="000000"/>
                <w:szCs w:val="21"/>
                <w:lang w:eastAsia="zh-CN"/>
              </w:rPr>
              <w:t xml:space="preserve">表面处理工艺、设计的合理性</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器材各零部件的外观表面平整光滑；无外部机械损伤（如划痕、凸起等）；无涂镀层裂纹、变形、锈蚀等现象；器材与人体接触或易接触的外露表面，均光滑平整，无锐边、尖角和毛刺现象；工艺非常精致；得</w:t>
            </w:r>
            <w:r>
              <w:rPr>
                <w:rFonts w:hint="eastAsia" w:cs="宋体"/>
                <w:sz w:val="21"/>
                <w:szCs w:val="21"/>
                <w:lang w:eastAsia="zh-CN"/>
              </w:rPr>
              <w:t xml:space="preserve">5</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器材各零部件的外观表面不平滑有点粗糙；无明显外部机械损伤（如划痕、凸起等）；无明显涂镀层裂纹、变形、锈蚀等现象；器材与人体接触或易接触的外露表面不平滑有点粗糙，无锐边、尖角和毛刺现象；工艺较精致；得</w:t>
            </w:r>
            <w:r>
              <w:rPr>
                <w:rFonts w:hint="eastAsia" w:cs="宋体"/>
                <w:sz w:val="21"/>
                <w:szCs w:val="21"/>
                <w:lang w:eastAsia="zh-CN"/>
              </w:rPr>
              <w:t xml:space="preserve">3</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器材各零部件的外观表面非常粗糙，有明显外部机械损伤（如划痕、凸起等）、有涂镀层裂纹、变形、锈蚀等现象；器材与人体接触或易接触的外露表面非常粗糙，有锐边、尖角和毛</w:t>
            </w:r>
            <w:r>
              <w:rPr>
                <w:rFonts w:hint="eastAsia" w:ascii="宋体" w:hAnsi="宋体" w:eastAsia="宋体" w:cs="宋体"/>
                <w:color w:val="000000"/>
                <w:sz w:val="21"/>
                <w:szCs w:val="21"/>
                <w:lang w:eastAsia="zh-CN"/>
              </w:rPr>
              <w:t xml:space="preserve">刺现象；工艺不太精致；得</w:t>
            </w:r>
            <w:r>
              <w:rPr>
                <w:rFonts w:hint="eastAsia" w:cs="宋体"/>
                <w:color w:val="000000"/>
                <w:sz w:val="21"/>
                <w:szCs w:val="21"/>
                <w:lang w:eastAsia="zh-CN"/>
              </w:rPr>
              <w:t xml:space="preserve">1</w:t>
            </w:r>
            <w:r>
              <w:rPr>
                <w:rFonts w:hint="eastAsia" w:ascii="宋体" w:hAnsi="宋体" w:eastAsia="宋体" w:cs="宋体"/>
                <w:color w:val="000000"/>
                <w:sz w:val="21"/>
                <w:szCs w:val="21"/>
                <w:lang w:eastAsia="zh-CN"/>
              </w:rPr>
              <w:t xml:space="preserve">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注：1.未提供样品不得分。</w:t>
            </w:r>
            <w:r/>
          </w:p>
          <w:p>
            <w:pPr>
              <w:numPr>
                <w:ilvl w:val="0"/>
                <w:numId w:val="7"/>
              </w:numPr>
              <w:spacing w:line="240" w:lineRule="auto"/>
              <w:tabs>
                <w:tab w:val="left" w:pos="312" w:leader="none"/>
              </w:tabs>
              <w:rPr>
                <w:rFonts w:hint="eastAsia" w:ascii="宋体" w:hAnsi="宋体" w:eastAsia="宋体" w:cs="宋体"/>
                <w:sz w:val="21"/>
                <w:szCs w:val="21"/>
                <w:lang w:eastAsia="zh-CN"/>
              </w:rPr>
            </w:pPr>
            <w:r>
              <w:rPr>
                <w:rFonts w:ascii="宋体" w:hAnsi="宋体" w:eastAsia="宋体" w:cs="宋体"/>
                <w:color w:val="000000"/>
                <w:sz w:val="21"/>
                <w:szCs w:val="21"/>
                <w:lang w:eastAsia="zh-CN"/>
              </w:rPr>
              <w:t xml:space="preserve">样品不得出现投标人名称</w:t>
            </w:r>
            <w:r>
              <w:rPr>
                <w:rFonts w:ascii="宋体" w:hAnsi="宋体" w:eastAsia="宋体" w:cs="宋体"/>
                <w:sz w:val="21"/>
                <w:szCs w:val="21"/>
                <w:lang w:eastAsia="zh-CN"/>
              </w:rPr>
              <w:t xml:space="preserve">、品牌标识和其他可以识别投标人身份的字符、徽标、人员名称等。</w:t>
            </w:r>
            <w:r/>
          </w:p>
        </w:tc>
        <w:tc>
          <w:tcPr>
            <w:tcW w:w="1569" w:type="dxa"/>
            <w:vAlign w:val="center"/>
            <w:textDirection w:val="lrTb"/>
            <w:noWrap w:val="false"/>
          </w:tcPr>
          <w:p>
            <w:pPr>
              <w:jc w:val="center"/>
              <w:rPr>
                <w:rFonts w:hint="eastAsia" w:ascii="宋体" w:hAnsi="宋体" w:eastAsia="宋体" w:cs="宋体"/>
                <w:sz w:val="21"/>
                <w:szCs w:val="21"/>
                <w:lang w:eastAsia="zh-CN"/>
              </w:rPr>
            </w:pPr>
            <w:r>
              <w:rPr>
                <w:rFonts w:hint="eastAsia" w:cs="宋体"/>
                <w:sz w:val="21"/>
                <w:szCs w:val="21"/>
                <w:lang w:eastAsia="zh-CN"/>
              </w:rPr>
              <w:t xml:space="preserve">5</w:t>
            </w:r>
            <w:r/>
          </w:p>
        </w:tc>
      </w:tr>
      <w:tr>
        <w:trPr>
          <w:jc w:val="center"/>
          <w:trHeight w:val="955"/>
        </w:trPr>
        <w:tc>
          <w:tcPr>
            <w:tcW w:w="1328" w:type="dxa"/>
            <w:vAlign w:val="center"/>
            <w:vMerge w:val="continue"/>
            <w:textDirection w:val="lrTb"/>
            <w:noWrap w:val="false"/>
          </w:tcPr>
          <w:p>
            <w:r/>
            <w:r/>
          </w:p>
        </w:tc>
        <w:tc>
          <w:tcPr>
            <w:tcW w:w="5883" w:type="dxa"/>
            <w:vAlign w:val="center"/>
            <w:textDirection w:val="lrTb"/>
            <w:noWrap w:val="false"/>
          </w:tcPr>
          <w:p>
            <w:pPr>
              <w:spacing w:line="240" w:lineRule="auto"/>
              <w:rPr>
                <w:rFonts w:ascii="宋体" w:hAnsi="宋体" w:cs="宋体"/>
                <w:b/>
                <w:color w:val="000000"/>
                <w:szCs w:val="21"/>
                <w:lang w:eastAsia="zh-CN"/>
              </w:rPr>
            </w:pPr>
            <w:r>
              <w:rPr>
                <w:rFonts w:hint="eastAsia" w:ascii="宋体" w:hAnsi="宋体" w:cs="宋体"/>
                <w:b/>
                <w:color w:val="000000"/>
                <w:szCs w:val="21"/>
                <w:lang w:eastAsia="zh-CN"/>
              </w:rPr>
              <w:t xml:space="preserve">2.</w:t>
            </w:r>
            <w:r>
              <w:rPr>
                <w:rFonts w:hint="eastAsia" w:ascii="宋体" w:hAnsi="宋体" w:cs="宋体"/>
                <w:b/>
                <w:color w:val="000000"/>
                <w:szCs w:val="21"/>
                <w:lang w:eastAsia="zh-CN"/>
              </w:rPr>
              <w:t xml:space="preserve">结构稳定性、安全性</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每有一个安全隐患则扣1分，如接口锋利易伤人、‌缝隙形状不规范、材料变形、‌螺钉螺母松动、易发生衣服头发钩挂或缠绕等直至扣完为止。若有重大安全问题则直接被扣为0</w:t>
            </w:r>
            <w:r>
              <w:rPr>
                <w:rFonts w:hint="eastAsia" w:ascii="宋体" w:hAnsi="宋体" w:eastAsia="宋体" w:cs="宋体"/>
                <w:color w:val="000000"/>
                <w:sz w:val="21"/>
                <w:szCs w:val="21"/>
                <w:lang w:eastAsia="zh-CN"/>
              </w:rPr>
              <w:t xml:space="preserve">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注：1.未提供样品不得分。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ascii="宋体" w:hAnsi="宋体" w:eastAsia="宋体" w:cs="宋体"/>
                <w:sz w:val="21"/>
                <w:szCs w:val="21"/>
                <w:lang w:eastAsia="zh-CN"/>
              </w:rPr>
              <w:t xml:space="preserve">样品不得出现投标人名称、品牌标识和其他可以识别投标人身份的字符、徽标、人员名称等。</w:t>
            </w:r>
            <w:r/>
          </w:p>
        </w:tc>
        <w:tc>
          <w:tcPr>
            <w:tcW w:w="1569" w:type="dxa"/>
            <w:vAlign w:val="center"/>
            <w:textDirection w:val="lrTb"/>
            <w:noWrap w:val="false"/>
          </w:tcPr>
          <w:p>
            <w:pPr>
              <w:jc w:val="center"/>
              <w:rPr>
                <w:rFonts w:hint="eastAsia" w:ascii="宋体" w:hAnsi="宋体" w:eastAsia="宋体" w:cs="宋体"/>
                <w:sz w:val="21"/>
                <w:szCs w:val="21"/>
                <w:lang w:eastAsia="zh-CN"/>
              </w:rPr>
            </w:pPr>
            <w:r>
              <w:rPr>
                <w:rFonts w:hint="eastAsia" w:cs="宋体"/>
                <w:sz w:val="21"/>
                <w:szCs w:val="21"/>
                <w:lang w:eastAsia="zh-CN"/>
              </w:rPr>
              <w:t xml:space="preserve">5</w:t>
            </w:r>
            <w:r/>
          </w:p>
        </w:tc>
      </w:tr>
      <w:tr>
        <w:trPr>
          <w:jc w:val="center"/>
          <w:trHeight w:val="2522"/>
        </w:trPr>
        <w:tc>
          <w:tcPr>
            <w:tcW w:w="1328"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5883" w:type="dxa"/>
            <w:vAlign w:val="center"/>
            <w:textDirection w:val="lrTb"/>
            <w:noWrap w:val="false"/>
          </w:tcPr>
          <w:p>
            <w:pPr>
              <w:spacing w:line="240" w:lineRule="auto"/>
              <w:rPr>
                <w:rFonts w:ascii="宋体" w:hAnsi="宋体" w:cs="宋体"/>
                <w:b/>
                <w:color w:val="000000"/>
                <w:szCs w:val="21"/>
                <w:lang w:eastAsia="zh-CN"/>
              </w:rPr>
            </w:pPr>
            <w:r>
              <w:rPr>
                <w:rFonts w:hint="eastAsia" w:ascii="宋体" w:hAnsi="宋体" w:cs="宋体"/>
                <w:b/>
                <w:color w:val="000000"/>
                <w:sz w:val="21"/>
                <w:szCs w:val="21"/>
                <w:lang w:eastAsia="zh-CN"/>
              </w:rPr>
              <w:t xml:space="preserve">3.</w:t>
            </w:r>
            <w:r>
              <w:rPr>
                <w:rFonts w:hint="eastAsia" w:ascii="宋体" w:hAnsi="宋体" w:cs="宋体"/>
                <w:b/>
                <w:color w:val="000000"/>
                <w:szCs w:val="21"/>
                <w:lang w:eastAsia="zh-CN"/>
              </w:rPr>
              <w:t xml:space="preserve">外观</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样品外观喷漆均匀平整，光滑光亮，色泽均匀；镀层结合牢固，无起皮、脱落、露底等；刷漆边缘没有漏漆；零部件无染色、掉沫；固定点结实牢固；得5分；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样品外观喷漆较均匀，不光滑有点粗糙，色泽均匀；镀层结合相对牢固，无明显起皮、脱落、露底等；刷漆边缘无明显漏漆；零部件无明显染色、掉沫；固定点较牢固；得3分；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sz w:val="21"/>
                <w:szCs w:val="21"/>
                <w:lang w:eastAsia="zh-CN"/>
              </w:rPr>
              <w:t xml:space="preserve">样品外观喷漆不均，不光滑非常粗糙，表面颜色深浅不一；镀层结合不牢固，存在起皮、脱落、露底等现象；刷漆边缘漏漆；</w:t>
            </w:r>
            <w:r>
              <w:rPr>
                <w:rFonts w:hint="eastAsia" w:ascii="宋体" w:hAnsi="宋体" w:eastAsia="宋体" w:cs="宋体"/>
                <w:color w:val="000000"/>
                <w:sz w:val="21"/>
                <w:szCs w:val="21"/>
                <w:lang w:eastAsia="zh-CN"/>
              </w:rPr>
              <w:t xml:space="preserve">零部件染色、掉沫；固定点松动；得1分；</w:t>
            </w:r>
            <w:r/>
          </w:p>
          <w:p>
            <w:pP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注：1.未提供样品不得分。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ascii="宋体" w:hAnsi="宋体" w:eastAsia="宋体" w:cs="宋体"/>
                <w:sz w:val="21"/>
                <w:szCs w:val="21"/>
                <w:lang w:eastAsia="zh-CN"/>
              </w:rPr>
              <w:t xml:space="preserve">样品不得出现投标人名称、品牌标识和其他可以识别投标人身份的字符、徽标、人员名称等。</w:t>
            </w:r>
            <w:r/>
          </w:p>
        </w:tc>
        <w:tc>
          <w:tcPr>
            <w:tcW w:w="1569" w:type="dxa"/>
            <w:vAlign w:val="center"/>
            <w:textDirection w:val="lrTb"/>
            <w:noWrap w:val="false"/>
          </w:tcPr>
          <w:p>
            <w:pPr>
              <w:jc w:val="center"/>
              <w:rPr>
                <w:rFonts w:hint="eastAsia" w:ascii="宋体" w:hAnsi="宋体" w:eastAsia="宋体" w:cs="宋体"/>
                <w:sz w:val="21"/>
                <w:szCs w:val="21"/>
                <w:lang w:eastAsia="zh-CN"/>
              </w:rPr>
            </w:pPr>
            <w:r>
              <w:rPr>
                <w:rFonts w:hint="eastAsia" w:cs="宋体"/>
                <w:sz w:val="21"/>
                <w:szCs w:val="21"/>
                <w:lang w:eastAsia="zh-CN"/>
              </w:rPr>
              <w:t xml:space="preserve">5</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bCs/>
                <w:sz w:val="21"/>
                <w:szCs w:val="21"/>
              </w:rPr>
            </w:pPr>
            <w:r>
              <w:rPr>
                <w:rFonts w:hint="eastAsia" w:ascii="宋体" w:hAnsi="宋体" w:eastAsia="宋体" w:cs="宋体"/>
                <w:sz w:val="21"/>
                <w:szCs w:val="21"/>
              </w:rPr>
              <w:t xml:space="preserve">供货保障方案</w:t>
            </w:r>
            <w:r/>
          </w:p>
        </w:tc>
        <w:tc>
          <w:tcPr>
            <w:tcW w:w="5883" w:type="dxa"/>
            <w:textDirection w:val="lrTb"/>
            <w:noWrap w:val="false"/>
          </w:tcPr>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根据供应商提供的针对本项目的供货保障计划和方案：对其方案的可行性、周密性、科学性、包括但不限于货物配送安全、接到供货通知响应时间、少量货物配送承诺以及安装保证等进行评分：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供货保障计划和方案符合客观规律和实际情况，供货保障计划和方案内容完整，包含货物配送安全、接到供货通知响应时间、少量货物配送承诺以及安装保证等四项且高于采购需求，同时提出其他与本项目相关的方案内容；方案逻辑清晰，切实可行的；得</w:t>
            </w:r>
            <w:r>
              <w:rPr>
                <w:rFonts w:ascii="宋体" w:hAnsi="宋体" w:eastAsia="宋体" w:cs="宋体"/>
                <w:sz w:val="21"/>
                <w:szCs w:val="21"/>
                <w:lang w:eastAsia="zh-CN"/>
              </w:rPr>
              <w:t xml:space="preserve">10</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2、供货保障计划和方案基本符合客观规律和实际情况，供货保障计划和方案仅包含货物配送安全、接到供货通知响应时间、少量货物配送承诺以及安装保证这四项内容，方案符合逻辑，切实可行的；得</w:t>
            </w:r>
            <w:r>
              <w:rPr>
                <w:rFonts w:ascii="宋体" w:hAnsi="宋体" w:eastAsia="宋体" w:cs="宋体"/>
                <w:sz w:val="21"/>
                <w:szCs w:val="21"/>
                <w:lang w:eastAsia="zh-CN"/>
              </w:rPr>
              <w:t xml:space="preserve">5</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3、供货保障计划和方案不符合客观规律和实际情况，供货保障计划和方案描述不全面，逻辑混乱，不合理的；得1分；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4、不提供得0分。</w:t>
            </w:r>
            <w:r/>
          </w:p>
        </w:tc>
        <w:tc>
          <w:tcPr>
            <w:tcW w:w="1569" w:type="dxa"/>
            <w:vAlign w:val="center"/>
            <w:textDirection w:val="lrTb"/>
            <w:noWrap w:val="false"/>
          </w:tcPr>
          <w:p>
            <w:pPr>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10</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施工质量保障措施方案</w:t>
            </w:r>
            <w:r/>
          </w:p>
        </w:tc>
        <w:tc>
          <w:tcPr>
            <w:tcW w:w="5883" w:type="dxa"/>
            <w:textDirection w:val="lrTb"/>
            <w:noWrap w:val="false"/>
          </w:tcPr>
          <w:p>
            <w:pPr>
              <w:ind w:firstLine="210"/>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根据供应商提供的针对本项目的提供施工质量控制保证方案，内容包括但不限于项目管理及施工人员水平、施工过程、安全文明施工、环保措施、质量保证措施等进行评分：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1、施工质量保障措施方案结合项目实际、方案内容包括项目</w:t>
            </w:r>
            <w:r>
              <w:rPr>
                <w:rFonts w:hint="eastAsia" w:ascii="宋体" w:hAnsi="宋体" w:eastAsia="宋体" w:cs="宋体"/>
                <w:sz w:val="21"/>
                <w:szCs w:val="21"/>
                <w:lang w:eastAsia="zh-CN"/>
              </w:rPr>
              <w:t xml:space="preserve">管理及施工人员水平、施工过程、安全文明施工、环保措施、质量保证措施等五项，同时提出其他与本项目相关的方案内容，各部分内容合理清晰且后续履约过程中可以按此方案履约，保证项目实施的；得</w:t>
            </w:r>
            <w:r>
              <w:rPr>
                <w:rFonts w:ascii="宋体" w:hAnsi="宋体" w:eastAsia="宋体" w:cs="宋体"/>
                <w:sz w:val="21"/>
                <w:szCs w:val="21"/>
                <w:lang w:eastAsia="zh-CN"/>
              </w:rPr>
              <w:t xml:space="preserve">10</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2、施工质量保障措施方案，方案内容仅限于项目管理及施工人员水平、施工过程、安全文明施工、环保措施、质量保证措施这五项；各部分描述有欠缺；切实可行的。得</w:t>
            </w:r>
            <w:r>
              <w:rPr>
                <w:rFonts w:ascii="宋体" w:hAnsi="宋体" w:eastAsia="宋体" w:cs="宋体"/>
                <w:sz w:val="21"/>
                <w:szCs w:val="21"/>
                <w:lang w:eastAsia="zh-CN"/>
              </w:rPr>
              <w:t xml:space="preserve">5</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3、施工质量保障措施方案内容描述不全面，后续履约过程中不能按此方案履约，不能保证项目实施的；得1分。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4、不提供的得0分。</w:t>
            </w:r>
            <w:r/>
          </w:p>
        </w:tc>
        <w:tc>
          <w:tcPr>
            <w:tcW w:w="1569" w:type="dxa"/>
            <w:vAlign w:val="center"/>
            <w:textDirection w:val="lrTb"/>
            <w:noWrap w:val="false"/>
          </w:tcPr>
          <w:p>
            <w:pPr>
              <w:jc w:val="center"/>
              <w:spacing w:line="288" w:lineRule="auto"/>
              <w:rPr>
                <w:rFonts w:hint="eastAsia" w:ascii="宋体" w:hAnsi="宋体" w:eastAsia="宋体" w:cs="宋体"/>
                <w:sz w:val="21"/>
                <w:szCs w:val="21"/>
                <w:lang w:eastAsia="zh-CN"/>
              </w:rPr>
            </w:pPr>
            <w:r>
              <w:rPr>
                <w:rFonts w:hint="eastAsia" w:cs="宋体"/>
                <w:sz w:val="21"/>
                <w:szCs w:val="21"/>
                <w:lang w:eastAsia="zh-CN"/>
              </w:rPr>
              <w:t xml:space="preserve">10</w:t>
            </w:r>
            <w:r/>
          </w:p>
        </w:tc>
      </w:tr>
      <w:tr>
        <w:trPr>
          <w:jc w:val="center"/>
        </w:trPr>
        <w:tc>
          <w:tcPr>
            <w:tcW w:w="1328" w:type="dxa"/>
            <w:vAlign w:val="center"/>
            <w:textDirection w:val="lrTb"/>
            <w:noWrap w:val="false"/>
          </w:tcPr>
          <w:p>
            <w:pPr>
              <w:jc w:val="center"/>
              <w:spacing w:line="288" w:lineRule="auto"/>
              <w:rPr>
                <w:rFonts w:hint="eastAsia" w:ascii="宋体" w:hAnsi="宋体" w:eastAsia="宋体" w:cs="宋体"/>
                <w:bCs/>
                <w:sz w:val="21"/>
                <w:szCs w:val="21"/>
              </w:rPr>
            </w:pPr>
            <w:r>
              <w:rPr>
                <w:rFonts w:hint="eastAsia" w:ascii="宋体" w:hAnsi="宋体" w:eastAsia="宋体" w:cs="宋体"/>
                <w:bCs/>
                <w:sz w:val="21"/>
                <w:szCs w:val="21"/>
              </w:rPr>
              <w:t xml:space="preserve">售后服务及保障</w:t>
            </w:r>
            <w:r/>
          </w:p>
        </w:tc>
        <w:tc>
          <w:tcPr>
            <w:tcW w:w="5883" w:type="dxa"/>
            <w:vAlign w:val="center"/>
            <w:textDirection w:val="lrTb"/>
            <w:noWrap w:val="false"/>
          </w:tcPr>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根据供应商提供的针对本项目的提供售后服务方案，包含但不限于售后服务体系、售后人员水平、售后服务报修细则、售后保障措施等进行评分：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1、售后服务方案内容全面合理，包含售后服务体系、售后人员水平、售后服务报修细则、售后保障措施四项内容，并提出其他切实可行的重要方案内容，切实可行的；得</w:t>
            </w:r>
            <w:r>
              <w:rPr>
                <w:rFonts w:hint="eastAsia" w:cs="宋体"/>
                <w:sz w:val="21"/>
                <w:szCs w:val="21"/>
                <w:lang w:eastAsia="zh-CN"/>
              </w:rPr>
              <w:t xml:space="preserve">10</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2、售后服务方案内容仅包含售后服务体系、售后人员水平、售后服务报修细则、售后保障措施四项内容，切实可行的得</w:t>
            </w:r>
            <w:r>
              <w:rPr>
                <w:rFonts w:hint="eastAsia" w:cs="宋体"/>
                <w:sz w:val="21"/>
                <w:szCs w:val="21"/>
                <w:lang w:eastAsia="zh-CN"/>
              </w:rPr>
              <w:t xml:space="preserve">5</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3、售后服务方案描述不全面，且逻辑混乱，不合理的，得</w:t>
            </w:r>
            <w:r>
              <w:rPr>
                <w:rFonts w:hint="eastAsia" w:cs="宋体"/>
                <w:sz w:val="21"/>
                <w:szCs w:val="21"/>
                <w:lang w:eastAsia="zh-CN"/>
              </w:rPr>
              <w:t xml:space="preserve">1</w:t>
            </w:r>
            <w:r>
              <w:rPr>
                <w:rFonts w:hint="eastAsia" w:ascii="宋体" w:hAnsi="宋体" w:eastAsia="宋体" w:cs="宋体"/>
                <w:sz w:val="21"/>
                <w:szCs w:val="21"/>
                <w:lang w:eastAsia="zh-CN"/>
              </w:rPr>
              <w:t xml:space="preserve">分。</w:t>
            </w:r>
            <w:r/>
          </w:p>
          <w:p>
            <w:pPr>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4、不提供的得0分。</w:t>
            </w:r>
            <w:r/>
          </w:p>
        </w:tc>
        <w:tc>
          <w:tcPr>
            <w:tcW w:w="1569" w:type="dxa"/>
            <w:vAlign w:val="center"/>
            <w:textDirection w:val="lrTb"/>
            <w:noWrap w:val="false"/>
          </w:tcPr>
          <w:p>
            <w:pPr>
              <w:jc w:val="center"/>
              <w:spacing w:line="288" w:lineRule="auto"/>
              <w:rPr>
                <w:rFonts w:hint="eastAsia" w:ascii="宋体" w:hAnsi="宋体" w:eastAsia="宋体"/>
                <w:sz w:val="21"/>
                <w:szCs w:val="21"/>
                <w:lang w:eastAsia="zh-CN"/>
              </w:rPr>
            </w:pPr>
            <w:r>
              <w:rPr>
                <w:rFonts w:hint="eastAsia"/>
                <w:sz w:val="21"/>
                <w:szCs w:val="21"/>
                <w:lang w:eastAsia="zh-CN"/>
              </w:rPr>
              <w:t xml:space="preserve">10</w:t>
            </w:r>
            <w:r/>
          </w:p>
        </w:tc>
      </w:tr>
      <w:tr>
        <w:trPr>
          <w:jc w:val="center"/>
        </w:trPr>
        <w:tc>
          <w:tcPr>
            <w:tcW w:w="1328" w:type="dxa"/>
            <w:vAlign w:val="center"/>
            <w:textDirection w:val="lrTb"/>
            <w:noWrap w:val="false"/>
          </w:tcPr>
          <w:p>
            <w:pPr>
              <w:jc w:val="center"/>
              <w:spacing w:line="288" w:lineRule="auto"/>
              <w:rPr>
                <w:rFonts w:cs="宋体"/>
                <w:bCs/>
                <w:sz w:val="21"/>
                <w:szCs w:val="21"/>
                <w:lang w:eastAsia="zh-CN"/>
              </w:rPr>
            </w:pPr>
            <w:r>
              <w:rPr>
                <w:rFonts w:hint="eastAsia" w:cs="宋体"/>
                <w:bCs/>
                <w:sz w:val="21"/>
                <w:szCs w:val="21"/>
                <w:lang w:eastAsia="zh-CN"/>
              </w:rPr>
              <w:t xml:space="preserve">质保服务</w:t>
            </w:r>
            <w:r/>
          </w:p>
          <w:p>
            <w:pPr>
              <w:jc w:val="center"/>
              <w:spacing w:line="288" w:lineRule="auto"/>
              <w:rPr>
                <w:rFonts w:hint="eastAsia" w:ascii="宋体" w:hAnsi="宋体" w:eastAsia="宋体" w:cs="宋体"/>
                <w:bCs/>
                <w:sz w:val="21"/>
                <w:szCs w:val="21"/>
                <w:lang w:eastAsia="zh-CN"/>
              </w:rPr>
            </w:pPr>
            <w:r>
              <w:rPr>
                <w:rFonts w:hint="eastAsia" w:cs="宋体"/>
                <w:bCs/>
                <w:sz w:val="21"/>
                <w:szCs w:val="21"/>
                <w:lang w:eastAsia="zh-CN"/>
              </w:rPr>
              <w:t xml:space="preserve">承诺</w:t>
            </w:r>
            <w:r/>
          </w:p>
        </w:tc>
        <w:tc>
          <w:tcPr>
            <w:tcW w:w="5883" w:type="dxa"/>
            <w:vAlign w:val="center"/>
            <w:textDirection w:val="lrTb"/>
            <w:noWrap w:val="false"/>
          </w:tcPr>
          <w:p>
            <w:pPr>
              <w:spacing w:line="240" w:lineRule="auto"/>
              <w:rPr>
                <w:rFonts w:hint="eastAsia" w:ascii="宋体" w:hAnsi="宋体" w:eastAsia="宋体" w:cs="宋体"/>
                <w:sz w:val="21"/>
                <w:szCs w:val="21"/>
              </w:rPr>
            </w:pPr>
            <w:r>
              <w:rPr>
                <w:rFonts w:hint="eastAsia"/>
                <w:bCs/>
                <w:lang w:eastAsia="zh-CN"/>
              </w:rPr>
              <w:t xml:space="preserve">健身器材需</w:t>
            </w:r>
            <w:r>
              <w:rPr>
                <w:rFonts w:hint="eastAsia" w:ascii="宋体" w:hAnsi="宋体"/>
                <w:bCs/>
                <w:lang w:eastAsia="zh-CN"/>
              </w:rPr>
              <w:t xml:space="preserve">提供</w:t>
            </w:r>
            <w:r>
              <w:rPr>
                <w:rFonts w:hint="eastAsia" w:ascii="宋体" w:hAnsi="宋体"/>
                <w:bCs/>
                <w:lang w:eastAsia="zh-CN"/>
              </w:rPr>
              <w:t xml:space="preserve">3</w:t>
            </w:r>
            <w:r>
              <w:rPr>
                <w:rFonts w:hint="eastAsia" w:ascii="宋体" w:hAnsi="宋体"/>
                <w:bCs/>
                <w:lang w:eastAsia="zh-CN"/>
              </w:rPr>
              <w:t xml:space="preserve">年整体全免费质保服务</w:t>
            </w:r>
            <w:r>
              <w:rPr>
                <w:rFonts w:hint="eastAsia"/>
                <w:bCs/>
                <w:lang w:eastAsia="zh-CN"/>
              </w:rPr>
              <w:t xml:space="preserve">，供应商承诺每多1年质保服务得1分，本项最高得2分。 （承诺书格式自拟）</w:t>
            </w:r>
            <w:r/>
          </w:p>
        </w:tc>
        <w:tc>
          <w:tcPr>
            <w:tcW w:w="1569" w:type="dxa"/>
            <w:vAlign w:val="center"/>
            <w:textDirection w:val="lrTb"/>
            <w:noWrap w:val="false"/>
          </w:tcPr>
          <w:p>
            <w:pPr>
              <w:jc w:val="center"/>
              <w:spacing w:line="288" w:lineRule="auto"/>
              <w:rPr>
                <w:sz w:val="21"/>
                <w:szCs w:val="21"/>
                <w:lang w:eastAsia="zh-CN"/>
              </w:rPr>
            </w:pPr>
            <w:r>
              <w:rPr>
                <w:rFonts w:hint="eastAsia"/>
                <w:sz w:val="21"/>
                <w:szCs w:val="21"/>
                <w:lang w:eastAsia="zh-CN"/>
              </w:rPr>
              <w:t xml:space="preserve">2</w:t>
            </w:r>
            <w:r/>
          </w:p>
        </w:tc>
      </w:tr>
    </w:tbl>
    <w:p>
      <w:pPr>
        <w:pStyle w:val="768"/>
      </w:pPr>
      <w:r/>
      <w:r/>
    </w:p>
    <w:p>
      <w:pPr>
        <w:pStyle w:val="768"/>
      </w:pPr>
      <w:r/>
      <w:r/>
    </w:p>
    <w:p>
      <w:pPr>
        <w:pStyle w:val="768"/>
        <w:spacing w:line="360" w:lineRule="auto"/>
        <w:rPr>
          <w:rFonts w:hint="eastAsia" w:ascii="宋体" w:hAnsi="宋体" w:cs="宋体"/>
          <w:sz w:val="24"/>
          <w:szCs w:val="24"/>
        </w:rPr>
      </w:pPr>
      <w:r>
        <w:rPr>
          <w:rFonts w:hint="eastAsia" w:ascii="宋体" w:hAnsi="宋体" w:cs="宋体"/>
          <w:sz w:val="24"/>
          <w:szCs w:val="24"/>
        </w:rPr>
        <w:t xml:space="preserve">注:1、以上所有要求提供的证明材料在投标截止时间之前扫描件加盖单位公章或者电子签章上传，未提供或未按要求提供不得分，用投标文件制作工具制作并生成上传至苏采云平台。</w:t>
      </w:r>
      <w:r/>
    </w:p>
    <w:p>
      <w:pPr>
        <w:pStyle w:val="768"/>
        <w:spacing w:line="360" w:lineRule="auto"/>
        <w:rPr>
          <w:rFonts w:hint="eastAsia" w:ascii="宋体" w:hAnsi="宋体" w:cs="宋体"/>
          <w:sz w:val="24"/>
          <w:szCs w:val="24"/>
        </w:rPr>
      </w:pPr>
      <w:r>
        <w:rPr>
          <w:rFonts w:hint="eastAsia" w:ascii="宋体" w:hAnsi="宋体" w:cs="宋体"/>
          <w:sz w:val="24"/>
          <w:szCs w:val="24"/>
        </w:rPr>
        <w:t xml:space="preserve">2、供应商所提供的证明材料应真实、有效。在合同签订前须提供原件供采购人核查。无法提供原件或提供不全的，采购人有权取消其中标资格，并按相关规定对其进行严肃处理。（检测机构直接出具的报告方可视为原件，任何扫描打印件、复印件等不能视为原件）</w:t>
      </w:r>
      <w:r/>
    </w:p>
    <w:p>
      <w:pPr>
        <w:pStyle w:val="768"/>
        <w:rPr>
          <w:rFonts w:hint="eastAsia" w:ascii="宋体" w:hAnsi="宋体" w:cs="宋体"/>
          <w:sz w:val="24"/>
          <w:szCs w:val="24"/>
        </w:rPr>
      </w:pPr>
      <w:r>
        <w:rPr>
          <w:rFonts w:hint="eastAsia" w:ascii="宋体" w:hAnsi="宋体" w:cs="宋体"/>
          <w:sz w:val="24"/>
          <w:szCs w:val="24"/>
        </w:rPr>
      </w:r>
      <w:r/>
    </w:p>
    <w:p>
      <w:pPr>
        <w:jc w:val="both"/>
        <w:spacing w:line="85" w:lineRule="atLeast"/>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三、推荐中标候选人:</w:t>
      </w:r>
      <w:r/>
    </w:p>
    <w:p>
      <w:pPr>
        <w:ind w:firstLine="488"/>
        <w:jc w:val="both"/>
        <w:spacing w:line="85"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汇总上述各项分值（保留两位小数,小数点后第三位四舍五入），按总得分由高到低的顺序排列,综合得分最高的为中标候选人。</w:t>
      </w:r>
      <w:r/>
    </w:p>
    <w:p>
      <w:p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br w:type="page" w:clear="all"/>
      </w:r>
      <w:bookmarkEnd w:id="1"/>
      <w:r/>
      <w:r/>
    </w:p>
    <w:p>
      <w:pPr>
        <w:jc w:val="center"/>
        <w:spacing w:after="0" w:line="71" w:lineRule="atLeast"/>
        <w:rPr>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lang w:eastAsia="zh-CN"/>
        </w:rPr>
        <w:t xml:space="preserve">第五章 合同条款</w:t>
      </w:r>
      <w:r/>
    </w:p>
    <w:p>
      <w:pPr>
        <w:ind w:firstLine="567"/>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00" w:lineRule="atLeast"/>
        <w:tabs>
          <w:tab w:val="left" w:pos="9360" w:leader="none"/>
        </w:tabs>
        <w:rPr>
          <w:lang w:eastAsia="zh-CN"/>
        </w:rPr>
        <w:pBdr>
          <w:top w:val="none" w:color="000000" w:sz="0" w:space="0"/>
          <w:left w:val="none" w:color="000000" w:sz="0" w:space="0"/>
          <w:bottom w:val="none" w:color="000000" w:sz="0" w:space="0"/>
          <w:right w:val="none" w:color="000000" w:sz="0" w:space="0"/>
        </w:pBdr>
      </w:pPr>
      <w:r/>
      <w:bookmarkStart w:id="2" w:name="OLE_LINK8"/>
      <w:r>
        <w:rPr>
          <w:rFonts w:ascii="宋体" w:hAnsi="宋体" w:eastAsia="宋体" w:cs="宋体"/>
          <w:color w:val="000000"/>
          <w:sz w:val="24"/>
          <w:lang w:eastAsia="zh-CN"/>
        </w:rPr>
        <w:t xml:space="preserve">甲方： (采购人); 乙方：(成交人);   </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签订地点：; 签订时间：</w:t>
      </w:r>
      <w:r>
        <w:rPr>
          <w:rFonts w:hint="eastAsia" w:ascii="宋体" w:hAnsi="宋体" w:eastAsia="宋体" w:cs="宋体"/>
          <w:color w:val="000000"/>
          <w:sz w:val="21"/>
          <w:szCs w:val="21"/>
          <w:lang w:eastAsia="zh-CN"/>
        </w:rPr>
        <w:t xml:space="preserve"> </w:t>
      </w:r>
      <w:r>
        <w:rPr>
          <w:rFonts w:ascii="宋体" w:hAnsi="宋体" w:eastAsia="宋体" w:cs="宋体"/>
          <w:color w:val="000000"/>
          <w:sz w:val="21"/>
          <w:szCs w:val="21"/>
          <w:lang w:eastAsia="zh-CN"/>
        </w:rPr>
        <w:t xml:space="preserve">年</w:t>
      </w:r>
      <w:r>
        <w:rPr>
          <w:rFonts w:hint="eastAsia" w:ascii="宋体" w:hAnsi="宋体" w:eastAsia="宋体" w:cs="宋体"/>
          <w:color w:val="000000"/>
          <w:sz w:val="21"/>
          <w:szCs w:val="21"/>
          <w:lang w:eastAsia="zh-CN"/>
        </w:rPr>
        <w:t xml:space="preserve"> </w:t>
      </w:r>
      <w:r>
        <w:rPr>
          <w:rFonts w:ascii="宋体" w:hAnsi="宋体" w:eastAsia="宋体" w:cs="宋体"/>
          <w:color w:val="000000"/>
          <w:sz w:val="21"/>
          <w:szCs w:val="21"/>
          <w:lang w:eastAsia="zh-CN"/>
        </w:rPr>
        <w:t xml:space="preserve">月</w:t>
      </w:r>
      <w:r>
        <w:rPr>
          <w:rFonts w:hint="eastAsia" w:ascii="宋体" w:hAnsi="宋体" w:eastAsia="宋体" w:cs="宋体"/>
          <w:color w:val="000000"/>
          <w:sz w:val="21"/>
          <w:szCs w:val="21"/>
          <w:lang w:eastAsia="zh-CN"/>
        </w:rPr>
        <w:t xml:space="preserve"> </w:t>
      </w:r>
      <w:r>
        <w:rPr>
          <w:rFonts w:ascii="宋体" w:hAnsi="宋体" w:eastAsia="宋体" w:cs="宋体"/>
          <w:color w:val="000000"/>
          <w:sz w:val="21"/>
          <w:szCs w:val="21"/>
          <w:lang w:eastAsia="zh-CN"/>
        </w:rPr>
        <w:t xml:space="preserve">日。   </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甲乙双方根据《中华人民共和国政府采购法》、《中华人民共和国民法典》及政府采购文件(文件编号:)，按照平等、自愿的原则，协商签订政府采购供货合同。             </w:t>
      </w:r>
      <w:r/>
    </w:p>
    <w:p>
      <w:pPr>
        <w:ind w:firstLine="472"/>
        <w:jc w:val="both"/>
        <w:spacing w:after="0" w:line="400" w:lineRule="atLeast"/>
        <w:tabs>
          <w:tab w:val="left" w:pos="993" w:leader="none"/>
          <w:tab w:val="left" w:pos="1134"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一、说明：</w:t>
      </w:r>
      <w:r/>
    </w:p>
    <w:p>
      <w:pPr>
        <w:ind w:firstLine="460"/>
        <w:jc w:val="both"/>
        <w:spacing w:after="0" w:line="400" w:lineRule="atLeast"/>
        <w:tabs>
          <w:tab w:val="left" w:pos="993" w:leader="none"/>
          <w:tab w:val="left" w:pos="1134"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受甲方委托，</w:t>
      </w:r>
      <w:r>
        <w:rPr>
          <w:rFonts w:hint="eastAsia" w:ascii="宋体" w:hAnsi="宋体" w:eastAsia="宋体" w:cs="宋体"/>
          <w:color w:val="000000"/>
          <w:sz w:val="21"/>
          <w:szCs w:val="21"/>
          <w:lang w:eastAsia="zh-CN"/>
        </w:rPr>
        <w:t xml:space="preserve">苏州市群益工程顾问有限责任公司</w:t>
      </w:r>
      <w:r>
        <w:rPr>
          <w:rFonts w:ascii="宋体" w:hAnsi="宋体" w:eastAsia="宋体" w:cs="宋体"/>
          <w:color w:val="000000"/>
          <w:sz w:val="21"/>
          <w:szCs w:val="21"/>
          <w:lang w:eastAsia="zh-CN"/>
        </w:rPr>
        <w:t xml:space="preserve">于年月日组织了的公开招标，经招标小组认真严格的评审，确定由乙方成交。</w:t>
      </w:r>
      <w:r/>
    </w:p>
    <w:p>
      <w:pPr>
        <w:numPr>
          <w:ilvl w:val="0"/>
          <w:numId w:val="8"/>
        </w:numPr>
        <w:ind w:firstLine="422"/>
        <w:jc w:val="both"/>
        <w:spacing w:after="0" w:line="400" w:lineRule="atLeast"/>
        <w:rPr>
          <w:rFonts w:hint="eastAsia" w:ascii="宋体" w:hAnsi="宋体" w:eastAsia="宋体" w:cs="宋体"/>
          <w:b/>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适用范围</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本合同条款适用与本次采购活动。项目实施范围详见附件（</w:t>
      </w:r>
      <w:r>
        <w:rPr>
          <w:rFonts w:hint="eastAsia" w:ascii="宋体" w:hAnsi="宋体" w:eastAsia="宋体" w:cs="宋体"/>
          <w:color w:val="000000"/>
          <w:sz w:val="21"/>
          <w:szCs w:val="21"/>
          <w:lang w:eastAsia="zh-CN"/>
        </w:rPr>
        <w:t xml:space="preserve">招标</w:t>
      </w:r>
      <w:r>
        <w:rPr>
          <w:rFonts w:ascii="宋体" w:hAnsi="宋体" w:eastAsia="宋体" w:cs="宋体"/>
          <w:color w:val="000000"/>
          <w:sz w:val="21"/>
          <w:szCs w:val="21"/>
          <w:lang w:eastAsia="zh-CN"/>
        </w:rPr>
        <w:t xml:space="preserve">文件和响应文件及补充文件、承诺书等）。</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三</w:t>
      </w:r>
      <w:r>
        <w:rPr>
          <w:rFonts w:ascii="宋体" w:hAnsi="宋体" w:eastAsia="宋体" w:cs="宋体"/>
          <w:color w:val="000000"/>
          <w:sz w:val="21"/>
          <w:szCs w:val="21"/>
          <w:lang w:eastAsia="zh-CN"/>
        </w:rPr>
        <w:t xml:space="preserve">、</w:t>
      </w:r>
      <w:r>
        <w:rPr>
          <w:rFonts w:ascii="宋体" w:hAnsi="宋体" w:eastAsia="宋体" w:cs="宋体"/>
          <w:b/>
          <w:color w:val="000000"/>
          <w:sz w:val="21"/>
          <w:szCs w:val="21"/>
          <w:lang w:eastAsia="zh-CN"/>
        </w:rPr>
        <w:t xml:space="preserve">项目基本情况</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四、委托服务事项</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 </w:t>
      </w:r>
      <w:r/>
    </w:p>
    <w:p>
      <w:pPr>
        <w:ind w:firstLine="472"/>
        <w:jc w:val="both"/>
        <w:spacing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五、合同期限</w:t>
      </w:r>
      <w:r/>
    </w:p>
    <w:p>
      <w:pPr>
        <w:ind w:firstLine="480"/>
        <w:jc w:val="both"/>
        <w:spacing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本合同期限自年月</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日起至年月日止。</w:t>
      </w:r>
      <w:r/>
    </w:p>
    <w:p>
      <w:pPr>
        <w:ind w:firstLine="472"/>
        <w:spacing w:after="24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六、费用结算方式</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七、履约保证金</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履约保证金为中标价的</w:t>
      </w:r>
      <w:r>
        <w:rPr>
          <w:rFonts w:ascii="宋体" w:hAnsi="宋体" w:eastAsia="宋体" w:cs="宋体"/>
          <w:color w:val="000000"/>
          <w:sz w:val="21"/>
          <w:szCs w:val="21"/>
          <w:u w:val="single"/>
          <w:lang w:eastAsia="zh-CN"/>
        </w:rPr>
        <w:t xml:space="preserve">     %</w:t>
      </w:r>
      <w:r>
        <w:rPr>
          <w:rFonts w:ascii="宋体" w:hAnsi="宋体" w:eastAsia="宋体" w:cs="宋体"/>
          <w:color w:val="000000"/>
          <w:sz w:val="21"/>
          <w:szCs w:val="21"/>
          <w:lang w:eastAsia="zh-CN"/>
        </w:rPr>
        <w:t xml:space="preserve">，以保证乙方遵守本合同的一切条款、条件和承诺。</w:t>
      </w:r>
      <w:r/>
    </w:p>
    <w:p>
      <w:pPr>
        <w:ind w:firstLine="48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八、项目工作要求</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ind w:firstLine="354"/>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九、合同生效和终止</w:t>
      </w:r>
      <w:r>
        <w:rPr>
          <w:rFonts w:ascii="宋体" w:hAnsi="宋体" w:eastAsia="宋体" w:cs="宋体"/>
          <w:color w:val="000000"/>
          <w:sz w:val="21"/>
          <w:szCs w:val="21"/>
          <w:lang w:eastAsia="zh-CN"/>
        </w:rPr>
        <w:t xml:space="preserve">：</w:t>
      </w:r>
      <w:r/>
    </w:p>
    <w:p>
      <w:pPr>
        <w:ind w:firstLine="35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ind w:firstLine="354"/>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十、双方权利义务：</w:t>
      </w:r>
      <w:r/>
    </w:p>
    <w:p>
      <w:pPr>
        <w:ind w:firstLine="35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ind w:firstLine="354"/>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十一、争议处理</w:t>
      </w:r>
      <w:r/>
    </w:p>
    <w:p>
      <w:pPr>
        <w:ind w:firstLine="352"/>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合同在履行过程中发生争议时，甲方与乙方及时协商解决。协商不成时，提请泰州仲裁委员会仲裁。</w:t>
      </w:r>
      <w:r/>
    </w:p>
    <w:p>
      <w:pPr>
        <w:ind w:firstLine="354"/>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十二、其他</w:t>
      </w:r>
      <w:r/>
    </w:p>
    <w:p>
      <w:pPr>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1．未经过甲方的书面同意，乙方不得转让其应履行的合同项下的义务，和将部分合同项下的义务分包给其他单位完成。</w:t>
      </w:r>
      <w:r/>
    </w:p>
    <w:p>
      <w:pPr>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2．合同履行期内甲乙双方均不得随意变更或解除合同。合同若有未尽事宜，需经双方共同协商，订立补充协议，补充协议与本合同有同等法律效力。</w:t>
      </w:r>
      <w:r/>
    </w:p>
    <w:p>
      <w:pPr>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3．采购文件（编号：     ）、响应文件及评标过程中形成的文字资料、询标纪要均作为本合同的组成部分，具有同等效力。</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4、本合同一式肆份，自签订之日起生效。</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5、本合同未尽事宜，遵照《民法典》有关条文执行。</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甲方（盖章）：</w:t>
      </w:r>
      <w:r>
        <w:rPr>
          <w:rFonts w:hint="eastAsia" w:ascii="宋体" w:hAnsi="宋体"/>
          <w:sz w:val="21"/>
          <w:szCs w:val="21"/>
          <w:lang w:eastAsia="zh-CN"/>
        </w:rPr>
        <w:t xml:space="preserve">                             </w:t>
      </w:r>
      <w:r>
        <w:rPr>
          <w:rFonts w:hint="eastAsia" w:ascii="宋体" w:hAnsi="宋体"/>
          <w:sz w:val="21"/>
          <w:szCs w:val="21"/>
          <w:lang w:eastAsia="zh-CN"/>
        </w:rPr>
        <w:t xml:space="preserve">乙方（盖章）：</w:t>
      </w:r>
      <w:r>
        <w:rPr>
          <w:rFonts w:hint="eastAsia" w:ascii="宋体" w:hAnsi="宋体"/>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法定代表人或受委托人（签字）：</w:t>
      </w:r>
      <w:r>
        <w:rPr>
          <w:rFonts w:hint="eastAsia" w:ascii="宋体" w:hAnsi="宋体"/>
          <w:sz w:val="21"/>
          <w:szCs w:val="21"/>
          <w:lang w:eastAsia="zh-CN"/>
        </w:rPr>
        <w:t xml:space="preserve">            </w:t>
      </w:r>
      <w:r>
        <w:rPr>
          <w:rFonts w:hint="eastAsia" w:ascii="宋体" w:hAnsi="宋体"/>
          <w:sz w:val="21"/>
          <w:szCs w:val="21"/>
          <w:lang w:eastAsia="zh-CN"/>
        </w:rPr>
        <w:t xml:space="preserve">法定代表人或受委托人（签字）：</w:t>
      </w:r>
      <w:r>
        <w:rPr>
          <w:rFonts w:hint="eastAsia" w:ascii="宋体" w:hAnsi="宋体"/>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联系人：</w:t>
      </w:r>
      <w:r>
        <w:rPr>
          <w:rFonts w:hint="eastAsia" w:ascii="宋体" w:hAnsi="宋体"/>
          <w:sz w:val="21"/>
          <w:szCs w:val="21"/>
          <w:lang w:eastAsia="zh-CN"/>
        </w:rPr>
        <w:t xml:space="preserve">                                  </w:t>
      </w:r>
      <w:r>
        <w:rPr>
          <w:rFonts w:hint="eastAsia" w:ascii="宋体" w:hAnsi="宋体"/>
          <w:sz w:val="21"/>
          <w:szCs w:val="21"/>
          <w:lang w:eastAsia="zh-CN"/>
        </w:rPr>
        <w:t xml:space="preserve">联系人：</w:t>
      </w:r>
      <w:r/>
    </w:p>
    <w:p>
      <w:pPr>
        <w:spacing w:line="460" w:lineRule="exact"/>
        <w:rPr>
          <w:rFonts w:ascii="宋体" w:hAnsi="宋体"/>
          <w:sz w:val="21"/>
          <w:szCs w:val="21"/>
          <w:lang w:eastAsia="zh-CN"/>
        </w:rPr>
      </w:pPr>
      <w:r>
        <w:rPr>
          <w:rFonts w:hint="eastAsia" w:ascii="宋体" w:hAnsi="宋体"/>
          <w:sz w:val="21"/>
          <w:szCs w:val="21"/>
          <w:lang w:eastAsia="zh-CN"/>
        </w:rPr>
        <w:t xml:space="preserve">地址：</w:t>
      </w:r>
      <w:r>
        <w:rPr>
          <w:rFonts w:hint="eastAsia" w:ascii="宋体" w:hAnsi="宋体"/>
          <w:sz w:val="21"/>
          <w:szCs w:val="21"/>
          <w:lang w:eastAsia="zh-CN"/>
        </w:rPr>
        <w:t xml:space="preserve">                                    </w:t>
      </w:r>
      <w:r>
        <w:rPr>
          <w:rFonts w:hint="eastAsia" w:ascii="宋体" w:hAnsi="宋体"/>
          <w:sz w:val="21"/>
          <w:szCs w:val="21"/>
          <w:lang w:eastAsia="zh-CN"/>
        </w:rPr>
        <w:t xml:space="preserve">地址：</w:t>
      </w:r>
      <w:r>
        <w:rPr>
          <w:rFonts w:hint="eastAsia" w:ascii="宋体" w:hAnsi="宋体"/>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电话和传真：</w:t>
      </w:r>
      <w:r>
        <w:rPr>
          <w:rFonts w:hint="eastAsia" w:ascii="宋体" w:hAnsi="宋体"/>
          <w:sz w:val="21"/>
          <w:szCs w:val="21"/>
          <w:lang w:eastAsia="zh-CN"/>
        </w:rPr>
        <w:t xml:space="preserve">                              </w:t>
      </w:r>
      <w:r>
        <w:rPr>
          <w:rFonts w:hint="eastAsia" w:ascii="宋体" w:hAnsi="宋体"/>
          <w:sz w:val="21"/>
          <w:szCs w:val="21"/>
          <w:lang w:eastAsia="zh-CN"/>
        </w:rPr>
        <w:t xml:space="preserve">电话传真：</w:t>
      </w:r>
      <w:r/>
    </w:p>
    <w:p>
      <w:pPr>
        <w:spacing w:line="460" w:lineRule="exact"/>
        <w:rPr>
          <w:rFonts w:ascii="宋体" w:hAnsi="宋体"/>
          <w:sz w:val="21"/>
          <w:szCs w:val="21"/>
          <w:lang w:eastAsia="zh-CN"/>
        </w:rPr>
      </w:pPr>
      <w:r>
        <w:rPr>
          <w:rFonts w:hint="eastAsia" w:ascii="宋体" w:hAnsi="宋体"/>
          <w:sz w:val="21"/>
          <w:szCs w:val="21"/>
          <w:lang w:eastAsia="zh-CN"/>
        </w:rPr>
        <w:t xml:space="preserve">开户银行：</w:t>
      </w:r>
      <w:r>
        <w:rPr>
          <w:rFonts w:hint="eastAsia" w:ascii="宋体" w:hAnsi="宋体"/>
          <w:sz w:val="21"/>
          <w:szCs w:val="21"/>
          <w:lang w:eastAsia="zh-CN"/>
        </w:rPr>
        <w:t xml:space="preserve">                                </w:t>
      </w:r>
      <w:r>
        <w:rPr>
          <w:rFonts w:hint="eastAsia" w:ascii="宋体" w:hAnsi="宋体"/>
          <w:sz w:val="21"/>
          <w:szCs w:val="21"/>
          <w:lang w:eastAsia="zh-CN"/>
        </w:rPr>
        <w:t xml:space="preserve">开户银行：</w:t>
      </w:r>
      <w:r>
        <w:rPr>
          <w:rFonts w:hint="eastAsia" w:ascii="宋体" w:hAnsi="宋体"/>
          <w:sz w:val="21"/>
          <w:szCs w:val="21"/>
          <w:lang w:eastAsia="zh-CN"/>
        </w:rPr>
        <w:t xml:space="preserve"> </w:t>
      </w:r>
      <w:r/>
    </w:p>
    <w:p>
      <w:pPr>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 w:val="21"/>
          <w:szCs w:val="21"/>
          <w:lang w:eastAsia="zh-CN"/>
        </w:rPr>
        <w:t xml:space="preserve">帐号：</w:t>
      </w:r>
      <w:r>
        <w:rPr>
          <w:rFonts w:hint="eastAsia" w:ascii="宋体" w:hAnsi="宋体"/>
          <w:sz w:val="21"/>
          <w:szCs w:val="21"/>
          <w:lang w:eastAsia="zh-CN"/>
        </w:rPr>
        <w:t xml:space="preserve">                                    </w:t>
      </w:r>
      <w:r>
        <w:rPr>
          <w:rFonts w:hint="eastAsia" w:ascii="宋体" w:hAnsi="宋体"/>
          <w:sz w:val="21"/>
          <w:szCs w:val="21"/>
          <w:lang w:eastAsia="zh-CN"/>
        </w:rPr>
        <w:t xml:space="preserve">帐号：</w:t>
      </w:r>
      <w:r>
        <w:rPr>
          <w:rFonts w:hint="eastAsia" w:ascii="宋体"/>
          <w:sz w:val="21"/>
          <w:szCs w:val="21"/>
          <w:lang w:eastAsia="zh-CN"/>
        </w:rPr>
        <w:t xml:space="preserve">    </w:t>
      </w:r>
      <w:r>
        <w:rPr>
          <w:rFonts w:hint="eastAsia" w:eastAsia="仿宋_GB2312"/>
          <w:sz w:val="21"/>
          <w:szCs w:val="21"/>
          <w:lang w:eastAsia="zh-CN"/>
        </w:rPr>
        <w:t xml:space="preserve">  </w:t>
      </w:r>
      <w:r>
        <w:rPr>
          <w:rFonts w:ascii="宋体" w:hAnsi="宋体" w:eastAsia="宋体" w:cs="宋体"/>
          <w:b/>
          <w:color w:val="000000"/>
          <w:sz w:val="21"/>
          <w:szCs w:val="21"/>
          <w:lang w:eastAsia="zh-CN"/>
        </w:rPr>
        <w:t xml:space="preserve"> </w:t>
      </w:r>
      <w:r/>
    </w:p>
    <w:p>
      <w:pPr>
        <w:ind w:firstLine="200"/>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 </w:t>
      </w:r>
      <w:r/>
    </w:p>
    <w:p>
      <w:pPr>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zh-CN"/>
        </w:rPr>
        <w:t xml:space="preserve"> </w:t>
      </w:r>
      <w:r/>
    </w:p>
    <w:p>
      <w:pPr>
        <w:ind w:firstLine="420"/>
        <w:spacing w:line="360" w:lineRule="auto"/>
        <w:tabs>
          <w:tab w:val="left" w:pos="420" w:leader="none"/>
        </w:tabs>
        <w:rPr>
          <w:rFonts w:ascii="宋体" w:hAnsi="宋体" w:cs="宋体"/>
          <w:sz w:val="21"/>
          <w:szCs w:val="21"/>
          <w:shd w:val="clear" w:color="auto" w:fill="ffffff"/>
          <w:lang w:eastAsia="zh-CN"/>
        </w:rPr>
      </w:pPr>
      <w:r>
        <w:rPr>
          <w:rFonts w:ascii="宋体" w:hAnsi="宋体" w:cs="宋体"/>
          <w:sz w:val="21"/>
          <w:szCs w:val="21"/>
          <w:shd w:val="clear" w:color="auto" w:fill="ffffff"/>
          <w:lang w:eastAsia="zh-CN"/>
        </w:rPr>
      </w:r>
      <w:r/>
    </w:p>
    <w:p>
      <w:pPr>
        <w:ind w:firstLine="420"/>
        <w:jc w:val="center"/>
        <w:spacing w:line="360" w:lineRule="auto"/>
        <w:tabs>
          <w:tab w:val="left" w:pos="420" w:leader="none"/>
        </w:tabs>
        <w:rPr>
          <w:rFonts w:ascii="宋体" w:hAnsi="宋体" w:cs="宋体"/>
          <w:sz w:val="21"/>
          <w:szCs w:val="21"/>
          <w:shd w:val="clear" w:color="auto" w:fill="ffffff"/>
          <w:lang w:eastAsia="zh-CN"/>
        </w:rPr>
      </w:pPr>
      <w:r>
        <w:rPr>
          <w:rFonts w:ascii="宋体" w:hAnsi="宋体" w:cs="宋体"/>
          <w:sz w:val="21"/>
          <w:szCs w:val="21"/>
          <w:shd w:val="clear" w:color="auto" w:fill="ffffff"/>
          <w:lang w:eastAsia="zh-CN"/>
        </w:rPr>
      </w:r>
      <w:r/>
    </w:p>
    <w:p>
      <w:pPr>
        <w:rPr>
          <w:sz w:val="21"/>
          <w:szCs w:val="21"/>
          <w:lang w:eastAsia="zh-CN"/>
        </w:rPr>
      </w:pPr>
      <w:r>
        <w:rPr>
          <w:sz w:val="21"/>
          <w:szCs w:val="21"/>
          <w:lang w:eastAsia="zh-CN"/>
        </w:rPr>
      </w:r>
      <w:r/>
    </w:p>
    <w:p>
      <w:pPr>
        <w:pStyle w:val="763"/>
        <w:ind w:firstLine="400"/>
        <w:rPr>
          <w:lang w:eastAsia="zh-CN"/>
        </w:rPr>
      </w:pPr>
      <w:r>
        <w:rPr>
          <w:lang w:eastAsia="zh-CN"/>
        </w:rPr>
      </w:r>
      <w:r/>
    </w:p>
    <w:p>
      <w:pPr>
        <w:rPr>
          <w:lang w:eastAsia="zh-CN"/>
        </w:rPr>
      </w:pPr>
      <w:r>
        <w:rPr>
          <w:lang w:eastAsia="zh-CN"/>
        </w:rPr>
      </w:r>
      <w:r/>
    </w:p>
    <w:p>
      <w:pPr>
        <w:pStyle w:val="763"/>
        <w:rPr>
          <w:lang w:eastAsia="zh-CN"/>
        </w:rPr>
      </w:pPr>
      <w:r>
        <w:rPr>
          <w:lang w:eastAsia="zh-CN"/>
        </w:rPr>
      </w:r>
      <w:r/>
    </w:p>
    <w:p>
      <w:pPr>
        <w:rPr>
          <w:lang w:eastAsia="zh-CN"/>
        </w:rPr>
      </w:pPr>
      <w:r>
        <w:rPr>
          <w:lang w:eastAsia="zh-CN"/>
        </w:rPr>
      </w:r>
      <w:r/>
    </w:p>
    <w:p>
      <w:pPr>
        <w:pStyle w:val="763"/>
        <w:rPr>
          <w:lang w:eastAsia="zh-CN"/>
        </w:rPr>
      </w:pPr>
      <w:r>
        <w:rPr>
          <w:lang w:eastAsia="zh-CN"/>
        </w:rPr>
      </w:r>
      <w:r/>
    </w:p>
    <w:p>
      <w:pPr>
        <w:rPr>
          <w:lang w:eastAsia="zh-CN"/>
        </w:rPr>
      </w:pPr>
      <w:r>
        <w:rPr>
          <w:lang w:eastAsia="zh-CN"/>
        </w:rPr>
      </w:r>
      <w:r/>
    </w:p>
    <w:p>
      <w:pPr>
        <w:pStyle w:val="763"/>
        <w:rPr>
          <w:lang w:eastAsia="zh-CN"/>
        </w:rPr>
      </w:pPr>
      <w:r>
        <w:rPr>
          <w:lang w:eastAsia="zh-CN"/>
        </w:rPr>
      </w:r>
      <w:r/>
    </w:p>
    <w:p>
      <w:pPr>
        <w:pStyle w:val="763"/>
        <w:rPr>
          <w:lang w:eastAsia="zh-CN"/>
        </w:rPr>
      </w:pPr>
      <w:r>
        <w:rPr>
          <w:lang w:eastAsia="zh-CN"/>
        </w:rPr>
      </w:r>
      <w:bookmarkEnd w:id="2"/>
      <w:r/>
      <w:r/>
    </w:p>
    <w:p>
      <w:pPr>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spacing w:after="0"/>
        <w:rPr>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jc w:val="center"/>
        <w:spacing w:after="0" w:line="85" w:lineRule="atLeast"/>
        <w:rPr>
          <w:b/>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lang w:eastAsia="zh-CN"/>
        </w:rPr>
        <w:t xml:space="preserve">第六章 投标文件格式</w:t>
      </w:r>
      <w:r/>
    </w:p>
    <w:p>
      <w:pPr>
        <w:ind w:firstLine="24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1、说明：对本章所有的投标书格式 ，除开标一览表外，投标方可根据自身情况进行补充和修改，但补充和修改不得造成与本格式内容有实质性的违背。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2、投标人应按标段准备投标文件并清楚注明标段名称,否则造成的一切后果由投标人自行承担。</w:t>
      </w:r>
      <w:r>
        <w:rPr>
          <w:rFonts w:ascii="宋体" w:hAnsi="宋体" w:eastAsia="宋体" w:cs="宋体"/>
          <w:color w:val="000000"/>
          <w:sz w:val="24"/>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开标一览表</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项目编号：</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货币单位：人民币元</w:t>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Mar>
              <w:left w:w="15" w:type="dxa"/>
              <w:top w:w="15" w:type="dxa"/>
              <w:right w:w="15" w:type="dxa"/>
              <w:bottom w:w="15" w:type="dxa"/>
            </w:tcMar>
            <w:tcW w:w="2567"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Mar>
              <w:left w:w="15" w:type="dxa"/>
              <w:top w:w="15" w:type="dxa"/>
              <w:right w:w="15" w:type="dxa"/>
              <w:bottom w:w="15" w:type="dxa"/>
            </w:tcMar>
            <w:tcW w:w="2551"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项目内容</w:t>
            </w:r>
            <w:r/>
          </w:p>
        </w:tc>
        <w:tc>
          <w:tcPr>
            <w:tcMar>
              <w:left w:w="15" w:type="dxa"/>
              <w:top w:w="15" w:type="dxa"/>
              <w:right w:w="15" w:type="dxa"/>
              <w:bottom w:w="15" w:type="dxa"/>
            </w:tcMar>
            <w:tcW w:w="3779" w:type="dxa"/>
            <w:vAlign w:val="center"/>
            <w:textDirection w:val="lrTb"/>
            <w:noWrap/>
          </w:tcPr>
          <w:p>
            <w:pPr>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总价（小写）</w:t>
            </w:r>
            <w:r/>
          </w:p>
        </w:tc>
      </w:tr>
      <w:tr>
        <w:trPr>
          <w:trHeight w:val="1091"/>
        </w:trPr>
        <w:tc>
          <w:tcPr>
            <w:tcMar>
              <w:left w:w="15" w:type="dxa"/>
              <w:top w:w="15" w:type="dxa"/>
              <w:right w:w="15" w:type="dxa"/>
              <w:bottom w:w="15" w:type="dxa"/>
            </w:tcMar>
            <w:tcW w:w="2567" w:type="dxa"/>
            <w:vAlign w:val="center"/>
            <w:textDirection w:val="lrTb"/>
            <w:noWrap/>
          </w:tcPr>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Mar>
              <w:left w:w="15" w:type="dxa"/>
              <w:top w:w="15" w:type="dxa"/>
              <w:right w:w="15" w:type="dxa"/>
              <w:bottom w:w="15" w:type="dxa"/>
            </w:tcMar>
            <w:tcW w:w="2551"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详见投标文件</w:t>
            </w:r>
            <w:r/>
          </w:p>
        </w:tc>
        <w:tc>
          <w:tcPr>
            <w:tcMar>
              <w:left w:w="15" w:type="dxa"/>
              <w:top w:w="15" w:type="dxa"/>
              <w:right w:w="15" w:type="dxa"/>
              <w:bottom w:w="15" w:type="dxa"/>
            </w:tcMar>
            <w:tcW w:w="3779" w:type="dxa"/>
            <w:vAlign w:val="center"/>
            <w:textDirection w:val="lrTb"/>
            <w:noWrap/>
          </w:tcPr>
          <w:p>
            <w:pPr>
              <w:spacing w:before="240" w:after="240" w:line="240" w:lineRule="auto"/>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 </w:t>
            </w:r>
            <w:r>
              <w:rPr>
                <w:rFonts w:hint="eastAsia" w:ascii="宋体" w:hAnsi="宋体" w:eastAsia="宋体" w:cs="宋体"/>
                <w:color w:val="000000"/>
                <w:sz w:val="27"/>
                <w:lang w:eastAsia="zh-CN"/>
              </w:rPr>
              <w:t xml:space="preserve"> </w:t>
            </w:r>
            <w:r>
              <w:rPr>
                <w:rFonts w:ascii="宋体" w:hAnsi="宋体" w:eastAsia="宋体" w:cs="宋体"/>
                <w:color w:val="000000"/>
                <w:sz w:val="27"/>
              </w:rPr>
              <w:t xml:space="preserve">元</w:t>
            </w:r>
            <w:r/>
          </w:p>
        </w:tc>
      </w:tr>
      <w:tr>
        <w:trPr/>
        <w:tc>
          <w:tcPr>
            <w:tcMar>
              <w:left w:w="15" w:type="dxa"/>
              <w:top w:w="15" w:type="dxa"/>
              <w:right w:w="15" w:type="dxa"/>
              <w:bottom w:w="15" w:type="dxa"/>
            </w:tcMar>
            <w:tcW w:w="2567"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总价（大写）：</w:t>
            </w:r>
            <w:r/>
          </w:p>
        </w:tc>
        <w:tc>
          <w:tcPr>
            <w:gridSpan w:val="2"/>
            <w:tcMar>
              <w:left w:w="15" w:type="dxa"/>
              <w:top w:w="15" w:type="dxa"/>
              <w:right w:w="15" w:type="dxa"/>
              <w:bottom w:w="15" w:type="dxa"/>
            </w:tcMar>
            <w:tcW w:w="6330"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金额大写</w:t>
            </w:r>
            <w:r>
              <w:rPr>
                <w:rFonts w:ascii="宋体" w:hAnsi="宋体" w:eastAsia="宋体" w:cs="宋体"/>
                <w:color w:val="000000"/>
                <w:sz w:val="28"/>
              </w:rPr>
              <w:t xml:space="preserve"> </w:t>
            </w:r>
            <w:r/>
          </w:p>
        </w:tc>
      </w:tr>
    </w:tbl>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firstLine="54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lang w:eastAsia="zh-CN"/>
        </w:rPr>
        <w:t xml:space="preserve">投标人公章： （电子签章）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400"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投标分项报价表</w:t>
      </w:r>
      <w:r/>
    </w:p>
    <w:p>
      <w:pPr>
        <w:jc w:val="center"/>
        <w:spacing w:after="0"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 </w:t>
      </w:r>
      <w:r/>
    </w:p>
    <w:tbl>
      <w:tblPr>
        <w:tblW w:w="4550" w:type="pct"/>
        <w:tblInd w:w="-108" w:type="dxa"/>
        <w:tblLayout w:type="fixed"/>
        <w:tblLook w:val="04A0" w:firstRow="1" w:lastRow="0" w:firstColumn="1" w:lastColumn="0" w:noHBand="0" w:noVBand="1"/>
      </w:tblPr>
      <w:tblGrid>
        <w:gridCol w:w="1390"/>
        <w:gridCol w:w="691"/>
        <w:gridCol w:w="942"/>
        <w:gridCol w:w="1095"/>
        <w:gridCol w:w="4592"/>
      </w:tblGrid>
      <w:tr>
        <w:trPr>
          <w:trHeight w:val="454"/>
        </w:trPr>
        <w:tc>
          <w:tcPr>
            <w:shd w:val="clear" w:color="auto" w:fill="c0c0c0"/>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lang w:eastAsia="zh-CN" w:bidi="ar"/>
              </w:rPr>
              <w:t xml:space="preserve">名称</w:t>
            </w:r>
            <w:r/>
          </w:p>
        </w:tc>
        <w:tc>
          <w:tcPr>
            <w:shd w:val="clear" w:color="auto" w:fill="c0c0c0"/>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lang w:eastAsia="zh-CN"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b/>
                <w:lang w:eastAsia="zh-CN"/>
              </w:rPr>
            </w:pPr>
            <w:r>
              <w:rPr>
                <w:rFonts w:hint="eastAsia" w:ascii="宋体" w:hAnsi="宋体" w:eastAsia="宋体" w:cs="宋体"/>
                <w:b/>
                <w:lang w:eastAsia="zh-CN"/>
              </w:rPr>
              <w:t xml:space="preserve">单价</w:t>
            </w:r>
            <w:r>
              <w:rPr>
                <w:rStyle w:val="911"/>
                <w:rFonts w:hint="eastAsia" w:ascii="宋体" w:hAnsi="宋体" w:eastAsia="宋体" w:cs="宋体"/>
                <w:sz w:val="22"/>
                <w:szCs w:val="22"/>
                <w:lang w:eastAsia="zh-CN" w:bidi="ar"/>
              </w:rPr>
              <w:t xml:space="preserve">(</w:t>
            </w:r>
            <w:r>
              <w:rPr>
                <w:rStyle w:val="912"/>
                <w:rFonts w:hint="default"/>
                <w:b/>
                <w:bCs/>
                <w:sz w:val="22"/>
                <w:szCs w:val="22"/>
                <w:lang w:eastAsia="zh-CN" w:bidi="ar"/>
              </w:rPr>
              <w:t xml:space="preserve">元</w:t>
            </w:r>
            <w:r>
              <w:rPr>
                <w:rStyle w:val="911"/>
                <w:rFonts w:hint="eastAsia" w:ascii="宋体" w:hAnsi="宋体" w:eastAsia="宋体" w:cs="宋体"/>
                <w:sz w:val="22"/>
                <w:szCs w:val="22"/>
                <w:lang w:eastAsia="zh-CN" w:bidi="ar"/>
              </w:rPr>
              <w:t xml:space="preserve">)</w:t>
            </w:r>
            <w:r/>
          </w:p>
        </w:tc>
        <w:tc>
          <w:tcPr>
            <w:shd w:val="clear" w:color="auto" w:fill="c0c0c0"/>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rPr>
                <w:rFonts w:hint="eastAsia" w:ascii="宋体" w:hAnsi="宋体" w:eastAsia="宋体" w:cs="宋体"/>
                <w:b/>
                <w:bCs/>
                <w:color w:val="000000"/>
                <w:lang w:eastAsia="zh-CN" w:bidi="ar"/>
              </w:rPr>
            </w:pPr>
            <w:r>
              <w:rPr>
                <w:rFonts w:hint="eastAsia" w:ascii="宋体" w:hAnsi="宋体" w:eastAsia="宋体" w:cs="宋体"/>
                <w:b/>
                <w:bCs/>
                <w:color w:val="000000"/>
                <w:lang w:eastAsia="zh-CN" w:bidi="ar"/>
              </w:rPr>
              <w:t xml:space="preserve">分项总价（元）</w:t>
            </w:r>
            <w:r/>
          </w:p>
        </w:tc>
        <w:tc>
          <w:tcPr>
            <w:shd w:val="clear" w:color="auto" w:fill="c0c0c0"/>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lang w:eastAsia="zh-CN"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none" w:color="000000" w:sz="0"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rPr>
            </w:pPr>
            <w:r>
              <w:rPr>
                <w:rFonts w:hint="eastAsia" w:ascii="宋体" w:hAnsi="宋体" w:eastAsia="宋体" w:cs="宋体"/>
                <w:color w:val="000000"/>
              </w:rPr>
            </w:r>
            <w:r/>
          </w:p>
        </w:tc>
        <w:tc>
          <w:tcPr>
            <w:tcBorders>
              <w:top w:val="none" w:color="000000" w:sz="0"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rPr>
            </w:pPr>
            <w:r>
              <w:rPr>
                <w:rFonts w:hint="eastAsia" w:ascii="宋体" w:hAnsi="宋体" w:eastAsia="宋体" w:cs="宋体"/>
                <w:color w:val="000000"/>
              </w:rPr>
            </w:r>
            <w:r/>
          </w:p>
        </w:tc>
        <w:tc>
          <w:tcPr>
            <w:tcBorders>
              <w:top w:val="none" w:color="000000" w:sz="0"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c>
          <w:tcPr>
            <w:tcBorders>
              <w:top w:val="none" w:color="000000" w:sz="0"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rPr>
            </w:pPr>
            <w:r>
              <w:rPr>
                <w:rFonts w:hint="eastAsia" w:ascii="宋体" w:hAnsi="宋体" w:eastAsia="宋体" w:cs="宋体"/>
                <w:color w:val="000000"/>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both"/>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b/>
                <w:lang w:eastAsia="zh-CN"/>
              </w:rPr>
              <w:t xml:space="preserve">总报价（元）</w:t>
            </w:r>
            <w:r/>
          </w:p>
        </w:tc>
        <w:tc>
          <w:tcPr>
            <w:gridSpan w:val="4"/>
            <w:tcBorders>
              <w:top w:val="single" w:color="000000" w:sz="4" w:space="0"/>
              <w:left w:val="single" w:color="000000" w:sz="4" w:space="0"/>
              <w:bottom w:val="single" w:color="000000" w:sz="4" w:space="0"/>
              <w:right w:val="single" w:color="000000" w:sz="4" w:space="0"/>
            </w:tcBorders>
            <w:tcW w:w="6544" w:type="dxa"/>
            <w:vAlign w:val="center"/>
            <w:textDirection w:val="lrTb"/>
            <w:noWrap/>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r>
            <w:r/>
          </w:p>
        </w:tc>
      </w:tr>
    </w:tbl>
    <w:p>
      <w:pPr>
        <w:jc w:val="both"/>
        <w:spacing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ind w:firstLine="440"/>
        <w:jc w:val="both"/>
        <w:spacing w:after="0" w:line="85" w:lineRule="atLeast"/>
        <w:widowControl w:val="off"/>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注：1.表中总报价应与投标响应报价表中总报价一致，如不一致，必须详细说明具体原因。</w:t>
      </w:r>
      <w:r/>
    </w:p>
    <w:p>
      <w:pPr>
        <w:ind w:firstLine="880"/>
        <w:jc w:val="both"/>
        <w:spacing w:after="0" w:line="85" w:lineRule="atLeast"/>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2.以上表格中各项可进一步细分，行数不够可自加，应包括为完成本项目各项服务可能发生的全部费用及投标人的利润和应交纳的税金、招标代理费等（包括人员工资、《劳动合同法》及相关法律法规规定的各种社会保险费、工具、办公费等其他费用）详细列出。投标人对合同内容的费用、质量、文明服务等实行全面承包等所涉及的一切费用。</w:t>
      </w:r>
      <w:r/>
    </w:p>
    <w:p>
      <w:pPr>
        <w:jc w:val="both"/>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w:t>
      </w:r>
      <w:r/>
    </w:p>
    <w:p>
      <w:pPr>
        <w:jc w:val="right"/>
        <w:spacing w:after="0" w:line="51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投标人名称：（盖单位章）</w:t>
      </w:r>
      <w:r/>
    </w:p>
    <w:p>
      <w:pPr>
        <w:jc w:val="right"/>
        <w:spacing w:line="312" w:lineRule="auto"/>
        <w:tabs>
          <w:tab w:val="left" w:pos="1800" w:leader="none"/>
          <w:tab w:val="left" w:pos="5580" w:leader="none"/>
        </w:tabs>
        <w:rPr>
          <w:rFonts w:hint="eastAsia" w:ascii="宋体" w:hAnsi="宋体" w:eastAsia="宋体" w:cs="宋体"/>
          <w:lang w:eastAsia="zh-CN"/>
        </w:rPr>
      </w:pPr>
      <w:r>
        <w:rPr>
          <w:rFonts w:hint="eastAsia" w:ascii="宋体" w:hAnsi="宋体" w:eastAsia="宋体" w:cs="宋体"/>
          <w:color w:val="000000"/>
          <w:lang w:eastAsia="zh-CN"/>
        </w:rPr>
        <w:t xml:space="preserve">法定代表人或授权委托人：（签字或盖章）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投 标 函</w:t>
      </w:r>
      <w:r/>
    </w:p>
    <w:p>
      <w:pPr>
        <w:ind w:left="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泰州市姜堰区文体广电和旅游局</w:t>
      </w:r>
      <w:r>
        <w:rPr>
          <w:rFonts w:ascii="宋体" w:hAnsi="宋体" w:eastAsia="宋体" w:cs="宋体"/>
          <w:color w:val="000000"/>
          <w:sz w:val="24"/>
          <w:u w:val="single"/>
          <w:lang w:eastAsia="zh-CN"/>
        </w:rPr>
        <w:t xml:space="preserve">：</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我方全面研究了 项目招标文件，决定参加贵单位组织的本项目投标。</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1、我方自愿按照招标文件规定的各项要求向采购人提供所需货物及服务。</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2、一旦我方中标，我们将严格履行招标文件中规定的每一项要求，按期、按质、按量履行合同的义务。</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3、我们已详细审查全部招标文件，包括更正文件(如有)，对招标文件及更正公告(如有)无任何异议。我们完全理解并同意放弃对这方面有不明及误解的权力。</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4、我们同意按招标文件中的规定，本投标书的有效期限为自投标截止之日起60 天。</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5、我们愿意提供招标采购单位在招标文件中要求的所有资料。</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6、我们愿意遵守招标文件中所列的收费标准。</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7、我们承诺该项投标在开标后的全过程中保持有效，不作任何更改和变动。</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8、我方愿意提供贵单位可能另外要求的，与投标有关的文件资料，并保证我方已提供和将要提供的文件资料是真实、准确的。</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投标人名称：        （盖章）</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邮政编码：</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    期：</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关于参加政府采购活动前3年内在经营活动中没有重大违法记录的书面声明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泰州市姜堰区文体广电和旅游局</w:t>
      </w:r>
      <w:r>
        <w:rPr>
          <w:rFonts w:ascii="宋体" w:hAnsi="宋体" w:eastAsia="宋体" w:cs="宋体"/>
          <w:color w:val="000000"/>
          <w:sz w:val="24"/>
          <w:u w:val="single"/>
          <w:lang w:eastAsia="zh-CN"/>
        </w:rPr>
        <w:t xml:space="preserve">：</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ascii="宋体" w:hAnsi="宋体" w:eastAsia="宋体" w:cs="宋体"/>
          <w:color w:val="000000"/>
          <w:sz w:val="24"/>
          <w:u w:val="single"/>
          <w:lang w:eastAsia="zh-CN"/>
        </w:rPr>
        <w:t xml:space="preserve">公司（单位）</w:t>
      </w:r>
      <w:r>
        <w:rPr>
          <w:rFonts w:ascii="宋体" w:hAnsi="宋体" w:eastAsia="宋体" w:cs="宋体"/>
          <w:color w:val="000000"/>
          <w:sz w:val="24"/>
          <w:lang w:eastAsia="zh-CN"/>
        </w:rPr>
        <w:t xml:space="preserve">愿意承担由此而产生的一切后果。</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p>
    <w:p>
      <w:pPr>
        <w:ind w:firstLine="56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投标人（盖章）：</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法定代表人或法定代表人授权代表（签字或盖章）：</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日期：</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pStyle w:val="763"/>
        <w:jc w:val="center"/>
        <w:rPr>
          <w:lang w:eastAsia="zh-CN"/>
        </w:rPr>
      </w:pPr>
      <w:r>
        <w:rPr>
          <w:lang w:eastAsia="zh-CN"/>
        </w:rPr>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法定代表人授权委托书</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泰州市姜堰区文体广电和旅游局</w:t>
      </w:r>
      <w:r>
        <w:rPr>
          <w:rFonts w:ascii="宋体" w:hAnsi="宋体" w:eastAsia="宋体" w:cs="宋体"/>
          <w:color w:val="000000"/>
          <w:sz w:val="24"/>
          <w:u w:val="single"/>
          <w:lang w:eastAsia="zh-CN"/>
        </w:rPr>
        <w:t xml:space="preserve">：</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系中华人民共和国合法公司（单位），特授权 代表我公司（单位）全权办理针对本项目（）的投标、参与开标、评标、签约等具体工作，并签署全部有关的文件、协议及合同。</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我公司（单位）对被授权代表的签名负全部责任。</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在撤销授权的书面通知送达你处以前，本授权书一直有效，被授权代表签署的所有文件（在授权书有效期内签署的）不因授权的撤销而失效。</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被授权代表情况：</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姓名：         性别：       电话：</w:t>
      </w:r>
      <w:r/>
    </w:p>
    <w:p>
      <w:pPr>
        <w:jc w:val="right"/>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right"/>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年  月   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lang w:eastAsia="zh-CN"/>
        </w:rPr>
        <w:t xml:space="preserve">承诺书</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（招标人名称）：</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我单位郑重承诺以下事项：</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1.本公司（单位）对本项目</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所提供的服务不低于采购文件要求的标准；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2.本公司（单位）具备履行合同所必需的专业技术能力；</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3.本公司未被“信用中国”网站（www.creditchina.gov.cn）列入失信执行人、重大税收违法案件当事人名单、政府采购严重违法失信行为记录名单。</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4、我单位承诺响应招标文件所有内容；</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5、我单位提供的货物及服务不低于招标文件要求的标准；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6、我单位承诺如果服务过程中未按上述要求履行，我单位承担违约责任，双倍赔偿招标人损失，招标人可直接解除合同，并没收履约保证金。</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7.如违背上述承诺，本公司（单位）将承担一切法律责任。</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right"/>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投标人：（盖单位章）</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jc w:val="right"/>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年月日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lang w:eastAsia="zh-CN"/>
        </w:rPr>
        <w:t xml:space="preserve"> </w:t>
      </w:r>
      <w:r>
        <w:rPr>
          <w:rFonts w:ascii="宋体" w:hAnsi="宋体" w:eastAsia="宋体" w:cs="宋体"/>
          <w:b/>
          <w:color w:val="000000"/>
          <w:sz w:val="30"/>
        </w:rPr>
        <w:t xml:space="preserve">商务偏离表</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8"/>
        <w:gridCol w:w="3545"/>
        <w:gridCol w:w="1322"/>
        <w:gridCol w:w="1978"/>
      </w:tblGrid>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招标文件的商务条款</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2"/>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82"/>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firstLine="482"/>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若无偏离，在“有无偏离”栏中填写“无”；若有偏离在“有无偏离”栏中填写“有” 并在“偏离内容及原因”栏中作出说明。</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法定代表人或法定代表人授权代表（签字或盖章）：</w:t>
      </w:r>
      <w:r/>
    </w:p>
    <w:p>
      <w:pPr>
        <w:spacing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rPr>
          <w:rFonts w:ascii="宋体" w:hAnsi="宋体" w:eastAsia="宋体" w:cs="宋体"/>
          <w:b/>
          <w:color w:val="000000"/>
          <w:sz w:val="30"/>
        </w:rPr>
        <w:t xml:space="preserve">技术偏离表</w:t>
      </w:r>
      <w:r/>
    </w:p>
    <w:p>
      <w:pPr>
        <w:jc w:val="center"/>
        <w:spacing w:after="0" w:line="519" w:lineRule="atLeast"/>
        <w:tabs>
          <w:tab w:val="left" w:pos="2340" w:leader="none"/>
          <w:tab w:val="left" w:pos="2520" w:leader="none"/>
          <w:tab w:val="left" w:pos="2700" w:leader="none"/>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64"/>
        <w:gridCol w:w="2604"/>
        <w:gridCol w:w="2905"/>
        <w:gridCol w:w="1554"/>
        <w:gridCol w:w="1374"/>
      </w:tblGrid>
      <w:tr>
        <w:trPr>
          <w:trHeight w:val="388"/>
        </w:trPr>
        <w:tc>
          <w:tcPr>
            <w:tcMar>
              <w:left w:w="108" w:type="dxa"/>
              <w:top w:w="0" w:type="dxa"/>
              <w:right w:w="108" w:type="dxa"/>
              <w:bottom w:w="0" w:type="dxa"/>
            </w:tcMar>
            <w:tcW w:w="76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260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p>
        </w:tc>
        <w:tc>
          <w:tcPr>
            <w:tcMar>
              <w:left w:w="108" w:type="dxa"/>
              <w:top w:w="0" w:type="dxa"/>
              <w:right w:w="108" w:type="dxa"/>
              <w:bottom w:w="0" w:type="dxa"/>
            </w:tcMar>
            <w:tcW w:w="2905"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970"/>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ind w:firstLine="5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604"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905"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firstLine="482"/>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若无偏离，在“有无偏离”栏中填写“无”；若有偏离在“有无偏离”栏中填写“有” 并在“偏离内容及原因”栏中作出说明。</w:t>
      </w:r>
      <w:r/>
    </w:p>
    <w:p>
      <w:pPr>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p>
    <w:p>
      <w:pPr>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p>
    <w:p>
      <w:pPr>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lang w:eastAsia="zh-CN"/>
        </w:rPr>
        <w:t xml:space="preserve"> </w:t>
      </w:r>
      <w:r/>
    </w:p>
    <w:p>
      <w:pPr>
        <w:ind w:firstLine="506"/>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6"/>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投标人（盖章）：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法定代表人或法定代表人授权代表（签字或盖章）：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w:t>
      </w:r>
      <w:r/>
    </w:p>
    <w:p>
      <w:pPr>
        <w:jc w:val="center"/>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4"/>
          <w:lang w:eastAsia="zh-CN"/>
        </w:rPr>
        <w:t xml:space="preserve"> </w:t>
      </w:r>
      <w:r/>
    </w:p>
    <w:p>
      <w:pPr>
        <w:jc w:val="center"/>
        <w:spacing w:after="0" w:line="499" w:lineRule="atLeast"/>
        <w:rPr>
          <w:rFonts w:hint="eastAsia" w:ascii="宋体" w:hAnsi="宋体" w:eastAsia="宋体" w:cs="宋体"/>
          <w:color w:val="000000"/>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lang w:eastAsia="zh-CN"/>
        </w:rPr>
        <w:t xml:space="preserve"> </w:t>
      </w:r>
      <w:r/>
    </w:p>
    <w:p>
      <w:pPr>
        <w:pStyle w:val="763"/>
        <w:rPr>
          <w:rFonts w:hint="eastAsia" w:ascii="宋体" w:hAnsi="宋体" w:eastAsia="宋体" w:cs="宋体"/>
          <w:color w:val="000000"/>
          <w:sz w:val="26"/>
          <w:lang w:eastAsia="zh-CN"/>
        </w:rPr>
      </w:pPr>
      <w:r>
        <w:rPr>
          <w:rFonts w:hint="eastAsia" w:ascii="宋体" w:hAnsi="宋体" w:eastAsia="宋体" w:cs="宋体"/>
          <w:color w:val="000000"/>
          <w:sz w:val="26"/>
          <w:lang w:eastAsia="zh-CN"/>
        </w:rPr>
      </w:r>
      <w:r/>
    </w:p>
    <w:p>
      <w:pPr>
        <w:rPr>
          <w:rFonts w:hint="eastAsia" w:ascii="宋体" w:hAnsi="宋体" w:eastAsia="宋体" w:cs="宋体"/>
          <w:color w:val="000000"/>
          <w:sz w:val="26"/>
          <w:lang w:eastAsia="zh-CN"/>
        </w:rPr>
      </w:pPr>
      <w:r>
        <w:rPr>
          <w:rFonts w:hint="eastAsia" w:ascii="宋体" w:hAnsi="宋体" w:eastAsia="宋体" w:cs="宋体"/>
          <w:color w:val="000000"/>
          <w:sz w:val="26"/>
          <w:lang w:eastAsia="zh-CN"/>
        </w:rPr>
      </w:r>
      <w:r/>
    </w:p>
    <w:p>
      <w:pPr>
        <w:pStyle w:val="763"/>
        <w:rPr>
          <w:rFonts w:hint="eastAsia" w:ascii="宋体" w:hAnsi="宋体" w:eastAsia="宋体" w:cs="宋体"/>
          <w:color w:val="000000"/>
          <w:sz w:val="26"/>
          <w:lang w:eastAsia="zh-CN"/>
        </w:rPr>
      </w:pPr>
      <w:r>
        <w:rPr>
          <w:rFonts w:hint="eastAsia" w:ascii="宋体" w:hAnsi="宋体" w:eastAsia="宋体" w:cs="宋体"/>
          <w:color w:val="000000"/>
          <w:sz w:val="26"/>
          <w:lang w:eastAsia="zh-CN"/>
        </w:rPr>
      </w:r>
      <w:r/>
    </w:p>
    <w:p>
      <w:pPr>
        <w:rPr>
          <w:lang w:eastAsia="zh-CN"/>
        </w:rPr>
      </w:pPr>
      <w:r>
        <w:rPr>
          <w:lang w:eastAsia="zh-CN"/>
        </w:rPr>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具备履行合同所必需的设备和专业技术能力的声明</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              （采购单位名称）：</w:t>
      </w:r>
      <w:r/>
    </w:p>
    <w:p>
      <w:pPr>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我单位（供应商名称）郑重声明：我公司具备履行本项采购合同所必需的设备和专业技术能力，为履行本项采购合同我单位具备如下主要设备和主要专业技术能力：</w:t>
      </w:r>
      <w:r/>
    </w:p>
    <w:p>
      <w:pPr>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主要设备有：                         。( 若有 )</w:t>
      </w:r>
      <w:r/>
    </w:p>
    <w:p>
      <w:pPr>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主要专业技术能力有：                 。( 若有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声明人：（公章）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日期：______年    月    日</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其他证明材料及文件：（如果投标人认为需要提供的话）</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pStyle w:val="763"/>
        <w:rPr>
          <w:lang w:eastAsia="zh-CN"/>
        </w:rP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00"/>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pStyle w:val="740"/>
        <w:rPr>
          <w:rFonts w:hint="eastAsia" w:ascii="宋体" w:hAnsi="宋体" w:eastAsia="宋体" w:cs="宋体"/>
          <w:b/>
          <w:color w:val="000000"/>
          <w:sz w:val="32"/>
          <w:lang w:eastAsia="zh-CN"/>
        </w:rPr>
      </w:pPr>
      <w:r>
        <w:rPr>
          <w:rFonts w:hint="eastAsia" w:ascii="宋体" w:hAnsi="宋体" w:eastAsia="宋体" w:cs="宋体"/>
          <w:b/>
          <w:color w:val="000000"/>
          <w:sz w:val="32"/>
          <w:lang w:eastAsia="zh-CN"/>
        </w:rPr>
      </w:r>
      <w:r/>
    </w:p>
    <w:p>
      <w:pPr>
        <w:pStyle w:val="735"/>
        <w:ind w:firstLine="0"/>
        <w:jc w:val="center"/>
        <w:keepLines/>
        <w:keepNext/>
        <w:spacing w:line="360" w:lineRule="auto"/>
        <w:rPr>
          <w:rFonts w:ascii="Times New Roman" w:hAnsi="Times New Roman" w:eastAsia="宋体"/>
          <w:b/>
          <w:bCs/>
          <w:color w:val="000000"/>
          <w:sz w:val="32"/>
          <w:szCs w:val="32"/>
          <w:lang w:eastAsia="zh-CN"/>
        </w:rPr>
      </w:pPr>
      <w:r/>
      <w:bookmarkStart w:id="3" w:name="_Hlk159839462"/>
      <w:r>
        <w:rPr>
          <w:rFonts w:hint="eastAsia" w:ascii="Times New Roman" w:hAnsi="Times New Roman" w:eastAsia="宋体"/>
          <w:b/>
          <w:bCs/>
          <w:color w:val="000000"/>
          <w:sz w:val="32"/>
          <w:szCs w:val="32"/>
          <w:lang w:eastAsia="zh-CN"/>
        </w:rPr>
        <w:t xml:space="preserve">中小企业声明函</w:t>
      </w:r>
      <w:r>
        <w:rPr>
          <w:rFonts w:hint="eastAsia" w:ascii="Times New Roman" w:hAnsi="Times New Roman" w:eastAsia="宋体"/>
          <w:b/>
          <w:bCs/>
          <w:color w:val="000000"/>
          <w:sz w:val="32"/>
          <w:szCs w:val="32"/>
          <w:lang w:eastAsia="zh-CN"/>
        </w:rPr>
        <w:t xml:space="preserve">(</w:t>
      </w:r>
      <w:r>
        <w:rPr>
          <w:rFonts w:hint="eastAsia" w:ascii="Times New Roman" w:hAnsi="Times New Roman" w:eastAsia="宋体"/>
          <w:b/>
          <w:bCs/>
          <w:color w:val="000000"/>
          <w:sz w:val="32"/>
          <w:szCs w:val="32"/>
          <w:lang w:eastAsia="zh-CN"/>
        </w:rPr>
        <w:t xml:space="preserve">如</w:t>
      </w:r>
      <w:r>
        <w:rPr>
          <w:rFonts w:hint="eastAsia"/>
          <w:b/>
          <w:bCs/>
          <w:color w:val="000000"/>
          <w:sz w:val="32"/>
          <w:szCs w:val="32"/>
          <w:lang w:eastAsia="zh-CN"/>
        </w:rPr>
        <w:t xml:space="preserve">有</w:t>
      </w:r>
      <w:r>
        <w:rPr>
          <w:rFonts w:hint="eastAsia" w:ascii="Times New Roman" w:hAnsi="Times New Roman" w:eastAsia="宋体"/>
          <w:b/>
          <w:bCs/>
          <w:color w:val="000000"/>
          <w:sz w:val="32"/>
          <w:szCs w:val="32"/>
          <w:lang w:eastAsia="zh-CN"/>
        </w:rPr>
        <w:t xml:space="preserve">，非</w:t>
      </w:r>
      <w:r>
        <w:rPr>
          <w:rFonts w:hint="eastAsia"/>
          <w:b/>
          <w:bCs/>
          <w:color w:val="000000"/>
          <w:sz w:val="32"/>
          <w:szCs w:val="32"/>
          <w:lang w:eastAsia="zh-CN"/>
        </w:rPr>
        <w:t xml:space="preserve">中小企业</w:t>
      </w:r>
      <w:r>
        <w:rPr>
          <w:rFonts w:hint="eastAsia" w:ascii="Times New Roman" w:hAnsi="Times New Roman" w:eastAsia="宋体"/>
          <w:b/>
          <w:bCs/>
          <w:color w:val="000000"/>
          <w:sz w:val="32"/>
          <w:szCs w:val="32"/>
          <w:lang w:eastAsia="zh-CN"/>
        </w:rPr>
        <w:t xml:space="preserve">单位不需提供）</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本公司（联合体）郑重声明，根据《政府采购促进中小企业发展管理办法》（财库﹝</w:t>
      </w:r>
      <w:r>
        <w:rPr>
          <w:rFonts w:hint="eastAsia" w:ascii="Times New Roman" w:hAnsi="Times New Roman" w:eastAsia="宋体"/>
          <w:color w:val="000000"/>
          <w:sz w:val="21"/>
          <w:szCs w:val="21"/>
          <w:lang w:eastAsia="zh-CN"/>
        </w:rPr>
        <w:t xml:space="preserve">2020</w:t>
      </w:r>
      <w:r>
        <w:rPr>
          <w:rFonts w:hint="eastAsia" w:ascii="Times New Roman" w:hAnsi="Times New Roman" w:eastAsia="宋体"/>
          <w:color w:val="000000"/>
          <w:sz w:val="21"/>
          <w:szCs w:val="21"/>
          <w:lang w:eastAsia="zh-CN"/>
        </w:rPr>
        <w:t xml:space="preserve">﹞</w:t>
      </w:r>
      <w:r>
        <w:rPr>
          <w:rFonts w:hint="eastAsia" w:ascii="Times New Roman" w:hAnsi="Times New Roman" w:eastAsia="宋体"/>
          <w:color w:val="000000"/>
          <w:sz w:val="21"/>
          <w:szCs w:val="21"/>
          <w:lang w:eastAsia="zh-CN"/>
        </w:rPr>
        <w:t xml:space="preserve">46</w:t>
      </w:r>
      <w:r>
        <w:rPr>
          <w:rFonts w:hint="eastAsia" w:ascii="Times New Roman" w:hAnsi="Times New Roman" w:eastAsia="宋体"/>
          <w:color w:val="000000"/>
          <w:sz w:val="21"/>
          <w:szCs w:val="21"/>
          <w:lang w:eastAsia="zh-CN"/>
        </w:rPr>
        <w:t xml:space="preserve">号）的规定，本公司（联合体）参加</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u w:val="single"/>
          <w:lang w:eastAsia="zh-CN"/>
        </w:rPr>
        <w:t xml:space="preserve">（单位名称）</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的</w:t>
      </w:r>
      <w:r>
        <w:rPr>
          <w:rFonts w:hint="eastAsia" w:ascii="Times New Roman" w:hAnsi="Times New Roman" w:eastAsia="宋体"/>
          <w:color w:val="000000"/>
          <w:sz w:val="21"/>
          <w:szCs w:val="21"/>
          <w:u w:val="single"/>
          <w:lang w:eastAsia="zh-CN"/>
        </w:rPr>
        <w:t xml:space="preserve">（项目名称）</w:t>
      </w:r>
      <w:r>
        <w:rPr>
          <w:rFonts w:hint="eastAsia" w:ascii="Times New Roman" w:hAnsi="Times New Roman" w:eastAsia="宋体"/>
          <w:color w:val="000000"/>
          <w:sz w:val="21"/>
          <w:szCs w:val="21"/>
          <w:lang w:eastAsia="zh-CN"/>
        </w:rPr>
        <w:t xml:space="preserve">采购活动，提供的货物全部由符合政策要求的中小企业制造。相关企业（含联合体中的中小企业、签订分包意向协议的中小企业）的具体情况如下：</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1.</w:t>
      </w:r>
      <w:r>
        <w:rPr>
          <w:rFonts w:hint="eastAsia" w:ascii="Times New Roman" w:hAnsi="Times New Roman" w:eastAsia="宋体"/>
          <w:color w:val="000000"/>
          <w:sz w:val="21"/>
          <w:szCs w:val="21"/>
          <w:u w:val="single"/>
          <w:lang w:eastAsia="zh-CN"/>
        </w:rPr>
        <w:t xml:space="preserve">（标的名称）</w:t>
      </w:r>
      <w:r>
        <w:rPr>
          <w:rFonts w:hint="eastAsia" w:ascii="Times New Roman" w:hAnsi="Times New Roman" w:eastAsia="宋体"/>
          <w:color w:val="000000"/>
          <w:sz w:val="21"/>
          <w:szCs w:val="21"/>
          <w:lang w:eastAsia="zh-CN"/>
        </w:rPr>
        <w:t xml:space="preserve">，属于</w:t>
      </w:r>
      <w:r>
        <w:rPr>
          <w:rFonts w:hint="eastAsia" w:ascii="Times New Roman" w:hAnsi="Times New Roman" w:eastAsia="宋体"/>
          <w:color w:val="000000"/>
          <w:sz w:val="21"/>
          <w:szCs w:val="21"/>
          <w:u w:val="single"/>
          <w:lang w:eastAsia="zh-CN"/>
        </w:rPr>
        <w:t xml:space="preserve">（采购文件中明确的所属行业）</w:t>
      </w:r>
      <w:r>
        <w:rPr>
          <w:rFonts w:hint="eastAsia" w:ascii="Times New Roman" w:hAnsi="Times New Roman" w:eastAsia="宋体"/>
          <w:color w:val="000000"/>
          <w:sz w:val="21"/>
          <w:szCs w:val="21"/>
          <w:lang w:eastAsia="zh-CN"/>
        </w:rPr>
        <w:t xml:space="preserve">行业；制造商为</w:t>
      </w:r>
      <w:r>
        <w:rPr>
          <w:rFonts w:hint="eastAsia" w:ascii="Times New Roman" w:hAnsi="Times New Roman" w:eastAsia="宋体"/>
          <w:color w:val="000000"/>
          <w:sz w:val="21"/>
          <w:szCs w:val="21"/>
          <w:u w:val="single"/>
          <w:lang w:eastAsia="zh-CN"/>
        </w:rPr>
        <w:t xml:space="preserve">（企业名称）</w:t>
      </w:r>
      <w:r>
        <w:rPr>
          <w:rFonts w:hint="eastAsia" w:ascii="Times New Roman" w:hAnsi="Times New Roman" w:eastAsia="宋体"/>
          <w:color w:val="000000"/>
          <w:sz w:val="21"/>
          <w:szCs w:val="21"/>
          <w:lang w:eastAsia="zh-CN"/>
        </w:rPr>
        <w:t xml:space="preserve">，从业人员</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人，营业收入为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万元，资产总额为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万元，属于</w:t>
      </w:r>
      <w:r>
        <w:rPr>
          <w:rFonts w:hint="eastAsia" w:ascii="Times New Roman" w:hAnsi="Times New Roman" w:eastAsia="宋体"/>
          <w:color w:val="000000"/>
          <w:sz w:val="21"/>
          <w:szCs w:val="21"/>
          <w:u w:val="single"/>
          <w:lang w:eastAsia="zh-CN"/>
        </w:rPr>
        <w:t xml:space="preserve">（中型企业、小型企业、微型企业）</w:t>
      </w:r>
      <w:r>
        <w:rPr>
          <w:rFonts w:hint="eastAsia" w:ascii="Times New Roman" w:hAnsi="Times New Roman" w:eastAsia="宋体"/>
          <w:color w:val="000000"/>
          <w:sz w:val="21"/>
          <w:szCs w:val="21"/>
          <w:lang w:eastAsia="zh-CN"/>
        </w:rPr>
        <w:t xml:space="preserve">；</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2.</w:t>
      </w:r>
      <w:r>
        <w:rPr>
          <w:rFonts w:hint="eastAsia" w:ascii="Times New Roman" w:hAnsi="Times New Roman" w:eastAsia="宋体"/>
          <w:color w:val="000000"/>
          <w:sz w:val="21"/>
          <w:szCs w:val="21"/>
          <w:u w:val="single"/>
          <w:lang w:eastAsia="zh-CN"/>
        </w:rPr>
        <w:t xml:space="preserve">（标的名称）</w:t>
      </w:r>
      <w:r>
        <w:rPr>
          <w:rFonts w:hint="eastAsia" w:ascii="Times New Roman" w:hAnsi="Times New Roman" w:eastAsia="宋体"/>
          <w:color w:val="000000"/>
          <w:sz w:val="21"/>
          <w:szCs w:val="21"/>
          <w:lang w:eastAsia="zh-CN"/>
        </w:rPr>
        <w:t xml:space="preserve">，属于</w:t>
      </w:r>
      <w:r>
        <w:rPr>
          <w:rFonts w:hint="eastAsia" w:ascii="Times New Roman" w:hAnsi="Times New Roman" w:eastAsia="宋体"/>
          <w:color w:val="000000"/>
          <w:sz w:val="21"/>
          <w:szCs w:val="21"/>
          <w:u w:val="single"/>
          <w:lang w:eastAsia="zh-CN"/>
        </w:rPr>
        <w:t xml:space="preserve">（采购文件中明确的所属行业）</w:t>
      </w:r>
      <w:r>
        <w:rPr>
          <w:rFonts w:hint="eastAsia" w:ascii="Times New Roman" w:hAnsi="Times New Roman" w:eastAsia="宋体"/>
          <w:color w:val="000000"/>
          <w:sz w:val="21"/>
          <w:szCs w:val="21"/>
          <w:lang w:eastAsia="zh-CN"/>
        </w:rPr>
        <w:t xml:space="preserve">行业；制造商为</w:t>
      </w:r>
      <w:r>
        <w:rPr>
          <w:rFonts w:hint="eastAsia" w:ascii="Times New Roman" w:hAnsi="Times New Roman" w:eastAsia="宋体"/>
          <w:color w:val="000000"/>
          <w:sz w:val="21"/>
          <w:szCs w:val="21"/>
          <w:u w:val="single"/>
          <w:lang w:eastAsia="zh-CN"/>
        </w:rPr>
        <w:t xml:space="preserve">（企业名称）</w:t>
      </w:r>
      <w:r>
        <w:rPr>
          <w:rFonts w:hint="eastAsia" w:ascii="Times New Roman" w:hAnsi="Times New Roman" w:eastAsia="宋体"/>
          <w:color w:val="000000"/>
          <w:sz w:val="21"/>
          <w:szCs w:val="21"/>
          <w:lang w:eastAsia="zh-CN"/>
        </w:rPr>
        <w:t xml:space="preserve">，从业人员</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人，营业收入为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万元，资产总额为</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万元，属于</w:t>
      </w:r>
      <w:r>
        <w:rPr>
          <w:rFonts w:hint="eastAsia" w:ascii="Times New Roman" w:hAnsi="Times New Roman" w:eastAsia="宋体"/>
          <w:color w:val="000000"/>
          <w:sz w:val="21"/>
          <w:szCs w:val="21"/>
          <w:u w:val="single"/>
          <w:lang w:eastAsia="zh-CN"/>
        </w:rPr>
        <w:t xml:space="preserve">（中型企业、小型企业、微型企业）</w:t>
      </w:r>
      <w:r>
        <w:rPr>
          <w:rFonts w:hint="eastAsia" w:ascii="Times New Roman" w:hAnsi="Times New Roman" w:eastAsia="宋体"/>
          <w:color w:val="000000"/>
          <w:sz w:val="21"/>
          <w:szCs w:val="21"/>
          <w:u w:val="single"/>
          <w:lang w:eastAsia="zh-CN"/>
        </w:rPr>
        <w:t xml:space="preserve"> </w:t>
      </w:r>
      <w:r>
        <w:rPr>
          <w:rFonts w:hint="eastAsia" w:ascii="Times New Roman" w:hAnsi="Times New Roman" w:eastAsia="宋体"/>
          <w:color w:val="000000"/>
          <w:sz w:val="21"/>
          <w:szCs w:val="21"/>
          <w:lang w:eastAsia="zh-CN"/>
        </w:rPr>
        <w:t xml:space="preserve">；</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w:t>
      </w:r>
      <w:r>
        <w:rPr>
          <w:rFonts w:hint="eastAsia" w:ascii="Times New Roman" w:hAnsi="Times New Roman" w:eastAsia="宋体"/>
          <w:color w:val="000000"/>
          <w:sz w:val="21"/>
          <w:szCs w:val="21"/>
          <w:lang w:eastAsia="zh-CN"/>
        </w:rPr>
        <w:t xml:space="preserve"> </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以上企业，不属于大企业的分支机构，不存在控股股东为大企业的情形，也不存在与大企业的负责人为同一人的情形。</w:t>
      </w:r>
      <w:r/>
    </w:p>
    <w:p>
      <w:pPr>
        <w:pStyle w:val="735"/>
        <w:keepLines/>
        <w:keepNext/>
        <w:spacing w:line="360" w:lineRule="auto"/>
        <w:rPr>
          <w:rFonts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 xml:space="preserve">本企业对上述声明内容的真实性负责。如有虚假，将依法承担相应责任。</w:t>
      </w:r>
      <w:r>
        <w:rPr>
          <w:rFonts w:hint="eastAsia" w:ascii="Times New Roman" w:hAnsi="Times New Roman" w:eastAsia="宋体"/>
          <w:color w:val="000000"/>
          <w:sz w:val="21"/>
          <w:szCs w:val="21"/>
          <w:lang w:eastAsia="zh-CN"/>
        </w:rPr>
        <w:t xml:space="preserve"> </w:t>
      </w:r>
      <w:r/>
    </w:p>
    <w:p>
      <w:pPr>
        <w:pStyle w:val="735"/>
        <w:keepLines/>
        <w:keepNext/>
        <w:spacing w:line="360" w:lineRule="auto"/>
        <w:rPr>
          <w:rFonts w:ascii="Times New Roman" w:hAnsi="Times New Roman" w:eastAsia="宋体"/>
          <w:color w:val="000000"/>
          <w:sz w:val="21"/>
          <w:szCs w:val="21"/>
          <w:lang w:eastAsia="zh-CN"/>
        </w:rPr>
      </w:pPr>
      <w:r>
        <w:rPr>
          <w:rFonts w:ascii="Times New Roman" w:hAnsi="Times New Roman" w:eastAsia="宋体"/>
          <w:color w:val="000000"/>
          <w:sz w:val="21"/>
          <w:szCs w:val="21"/>
          <w:lang w:eastAsia="zh-CN"/>
        </w:rPr>
      </w:r>
      <w:r/>
    </w:p>
    <w:p>
      <w:pPr>
        <w:pStyle w:val="735"/>
        <w:keepLines/>
        <w:keepNext/>
        <w:spacing w:line="360" w:lineRule="auto"/>
        <w:rPr>
          <w:rFonts w:ascii="Times New Roman" w:hAnsi="Times New Roman" w:eastAsia="宋体"/>
          <w:color w:val="000000"/>
          <w:sz w:val="21"/>
          <w:szCs w:val="21"/>
          <w:lang w:eastAsia="zh-CN"/>
        </w:rPr>
      </w:pPr>
      <w:r>
        <w:rPr>
          <w:rFonts w:ascii="Times New Roman" w:hAnsi="Times New Roman" w:eastAsia="宋体"/>
          <w:color w:val="000000"/>
          <w:sz w:val="21"/>
          <w:szCs w:val="21"/>
          <w:lang w:eastAsia="zh-CN"/>
        </w:rPr>
      </w:r>
      <w:r/>
    </w:p>
    <w:p>
      <w:pPr>
        <w:ind w:firstLine="480"/>
        <w:jc w:val="center"/>
        <w:spacing w:line="480" w:lineRule="exact"/>
        <w:rPr>
          <w:rFonts w:ascii="宋体" w:hAnsi="宋体"/>
          <w:sz w:val="24"/>
          <w:szCs w:val="24"/>
          <w:lang w:eastAsia="zh-CN"/>
        </w:rPr>
      </w:pPr>
      <w:r>
        <w:rPr>
          <w:rFonts w:hint="eastAsia" w:ascii="宋体" w:hAnsi="宋体"/>
          <w:sz w:val="24"/>
          <w:szCs w:val="24"/>
          <w:lang w:eastAsia="zh-CN"/>
        </w:rPr>
        <w:t xml:space="preserve">  </w:t>
      </w:r>
      <w:r>
        <w:rPr>
          <w:rFonts w:hint="eastAsia" w:ascii="宋体" w:hAnsi="宋体"/>
          <w:sz w:val="24"/>
          <w:szCs w:val="24"/>
          <w:lang w:eastAsia="zh-CN"/>
        </w:rPr>
        <w:t xml:space="preserve">企业名称</w:t>
      </w:r>
      <w:r>
        <w:rPr>
          <w:rFonts w:hint="eastAsia" w:ascii="宋体" w:hAnsi="宋体" w:cs="宋体"/>
          <w:sz w:val="24"/>
          <w:szCs w:val="24"/>
          <w:lang w:eastAsia="zh-CN"/>
        </w:rPr>
        <w:t xml:space="preserve">（</w:t>
      </w:r>
      <w:r>
        <w:rPr>
          <w:rFonts w:hint="eastAsia" w:ascii="Times New Roman" w:hAnsi="Times New Roman"/>
          <w:sz w:val="24"/>
          <w:szCs w:val="24"/>
          <w:u w:val="single"/>
          <w:lang w:eastAsia="zh-CN"/>
        </w:rPr>
        <w:t xml:space="preserve">加盖</w:t>
      </w:r>
      <w:r>
        <w:rPr>
          <w:rFonts w:ascii="Times New Roman" w:hAnsi="Times New Roman"/>
          <w:sz w:val="24"/>
          <w:szCs w:val="24"/>
          <w:u w:val="single"/>
          <w:lang w:eastAsia="zh-CN"/>
        </w:rPr>
        <w:t xml:space="preserve">CA</w:t>
      </w:r>
      <w:r>
        <w:rPr>
          <w:rFonts w:hint="eastAsia" w:ascii="Times New Roman" w:hAnsi="Times New Roman"/>
          <w:sz w:val="24"/>
          <w:szCs w:val="24"/>
          <w:u w:val="single"/>
          <w:lang w:eastAsia="zh-CN"/>
        </w:rPr>
        <w:t xml:space="preserve">电子公章</w:t>
      </w:r>
      <w:r>
        <w:rPr>
          <w:rFonts w:hint="eastAsia" w:ascii="宋体" w:hAnsi="宋体" w:cs="宋体"/>
          <w:sz w:val="24"/>
          <w:szCs w:val="24"/>
          <w:lang w:eastAsia="zh-CN"/>
        </w:rPr>
        <w:t xml:space="preserve">）</w:t>
      </w:r>
      <w:r>
        <w:rPr>
          <w:rFonts w:hint="eastAsia" w:ascii="宋体" w:hAnsi="宋体"/>
          <w:sz w:val="24"/>
          <w:szCs w:val="24"/>
          <w:lang w:eastAsia="zh-CN"/>
        </w:rPr>
        <w:t xml:space="preserve">：</w:t>
      </w:r>
      <w:r/>
    </w:p>
    <w:p>
      <w:pPr>
        <w:jc w:val="center"/>
        <w:spacing w:line="480" w:lineRule="exact"/>
        <w:rPr>
          <w:rFonts w:ascii="宋体" w:hAnsi="宋体"/>
          <w:sz w:val="24"/>
          <w:szCs w:val="24"/>
          <w:lang w:eastAsia="zh-CN"/>
        </w:rPr>
      </w:pPr>
      <w:r>
        <w:rPr>
          <w:rFonts w:hint="eastAsia" w:ascii="宋体" w:hAnsi="宋体"/>
          <w:sz w:val="24"/>
          <w:szCs w:val="24"/>
          <w:lang w:eastAsia="zh-CN"/>
        </w:rPr>
        <w:t xml:space="preserve">     </w:t>
      </w:r>
      <w:r>
        <w:rPr>
          <w:rFonts w:hint="eastAsia" w:ascii="宋体" w:hAnsi="宋体"/>
          <w:sz w:val="24"/>
          <w:szCs w:val="24"/>
          <w:lang w:eastAsia="zh-CN"/>
        </w:rPr>
        <w:t xml:space="preserve">日</w:t>
      </w:r>
      <w:r>
        <w:rPr>
          <w:rFonts w:hint="eastAsia" w:ascii="宋体" w:hAnsi="宋体"/>
          <w:sz w:val="24"/>
          <w:szCs w:val="24"/>
          <w:lang w:eastAsia="zh-CN"/>
        </w:rPr>
        <w:t xml:space="preserve"> </w:t>
      </w:r>
      <w:r>
        <w:rPr>
          <w:rFonts w:hint="eastAsia" w:ascii="宋体" w:hAnsi="宋体"/>
          <w:sz w:val="24"/>
          <w:szCs w:val="24"/>
          <w:lang w:eastAsia="zh-CN"/>
        </w:rPr>
        <w:t xml:space="preserve">期：</w:t>
      </w:r>
      <w:r/>
    </w:p>
    <w:p>
      <w:pPr>
        <w:pStyle w:val="735"/>
        <w:ind w:firstLine="0"/>
        <w:jc w:val="right"/>
        <w:keepLines/>
        <w:keepNext/>
        <w:spacing w:line="360" w:lineRule="auto"/>
        <w:rPr>
          <w:rFonts w:ascii="Times New Roman" w:hAnsi="Times New Roman" w:eastAsia="宋体"/>
          <w:color w:val="000000"/>
          <w:sz w:val="24"/>
          <w:szCs w:val="24"/>
          <w:u w:val="single"/>
          <w:lang w:eastAsia="zh-CN"/>
        </w:rPr>
      </w:pPr>
      <w:r>
        <w:rPr>
          <w:rFonts w:hint="eastAsia" w:ascii="Times New Roman" w:hAnsi="Times New Roman" w:eastAsia="宋体"/>
          <w:color w:val="000000"/>
          <w:sz w:val="24"/>
          <w:szCs w:val="24"/>
          <w:lang w:eastAsia="zh-CN"/>
        </w:rPr>
        <w:t xml:space="preserve">：</w:t>
      </w:r>
      <w:r>
        <w:rPr>
          <w:rFonts w:hint="eastAsia" w:ascii="Times New Roman" w:hAnsi="Times New Roman" w:eastAsia="宋体"/>
          <w:color w:val="000000"/>
          <w:sz w:val="24"/>
          <w:szCs w:val="24"/>
          <w:u w:val="single"/>
          <w:lang w:eastAsia="zh-CN"/>
        </w:rPr>
        <w:t xml:space="preserve">                  </w:t>
      </w:r>
      <w:r/>
    </w:p>
    <w:p>
      <w:pPr>
        <w:pStyle w:val="735"/>
        <w:ind w:firstLine="0"/>
        <w:jc w:val="both"/>
        <w:keepLines/>
        <w:keepNext/>
        <w:spacing w:line="360" w:lineRule="auto"/>
        <w:rPr>
          <w:rFonts w:ascii="Times New Roman" w:hAnsi="Times New Roman" w:eastAsia="宋体"/>
          <w:color w:val="000000"/>
          <w:sz w:val="24"/>
          <w:szCs w:val="24"/>
          <w:u w:val="single"/>
          <w:lang w:eastAsia="zh-CN"/>
        </w:rPr>
      </w:pPr>
      <w:r>
        <w:rPr>
          <w:rFonts w:ascii="Times New Roman" w:hAnsi="Times New Roman" w:eastAsia="宋体"/>
          <w:color w:val="000000"/>
          <w:sz w:val="24"/>
          <w:szCs w:val="24"/>
          <w:u w:val="single"/>
          <w:lang w:eastAsia="zh-CN"/>
        </w:rPr>
      </w:r>
      <w:r/>
    </w:p>
    <w:p>
      <w:pPr>
        <w:ind w:firstLine="472"/>
        <w:keepLines/>
        <w:keepNext/>
        <w:spacing w:line="360" w:lineRule="auto"/>
        <w:rPr>
          <w:rFonts w:ascii="Times New Roman" w:hAnsi="Times New Roman" w:eastAsia="宋体"/>
          <w:b/>
          <w:color w:val="000000"/>
          <w:sz w:val="24"/>
          <w:lang w:eastAsia="zh-CN"/>
        </w:rPr>
      </w:pPr>
      <w:r>
        <w:rPr>
          <w:rFonts w:ascii="Times New Roman" w:hAnsi="Times New Roman" w:eastAsia="宋体"/>
          <w:b/>
          <w:color w:val="000000"/>
          <w:sz w:val="24"/>
          <w:lang w:eastAsia="zh-CN"/>
        </w:rPr>
      </w:r>
      <w:r/>
    </w:p>
    <w:p>
      <w:pPr>
        <w:keepLines/>
        <w:keepNext/>
        <w:spacing w:line="360" w:lineRule="auto"/>
        <w:rPr>
          <w:rFonts w:ascii="Times New Roman" w:hAnsi="Times New Roman" w:eastAsia="宋体"/>
          <w:b/>
          <w:color w:val="000000"/>
          <w:sz w:val="21"/>
          <w:szCs w:val="21"/>
          <w:lang w:eastAsia="zh-CN"/>
        </w:rPr>
      </w:pPr>
      <w:r>
        <w:rPr>
          <w:rFonts w:hint="eastAsia" w:ascii="Times New Roman" w:hAnsi="Times New Roman" w:eastAsia="宋体"/>
          <w:b/>
          <w:color w:val="000000"/>
          <w:sz w:val="21"/>
          <w:szCs w:val="21"/>
          <w:lang w:eastAsia="zh-CN"/>
        </w:rPr>
        <w:t xml:space="preserve">注：</w:t>
      </w:r>
      <w:r/>
    </w:p>
    <w:p>
      <w:pPr>
        <w:ind w:firstLine="413"/>
        <w:keepLines/>
        <w:keepNext/>
        <w:spacing w:line="360" w:lineRule="auto"/>
        <w:rPr>
          <w:rFonts w:ascii="Times New Roman" w:hAnsi="Times New Roman" w:eastAsia="宋体"/>
          <w:b/>
          <w:color w:val="000000"/>
          <w:sz w:val="21"/>
          <w:szCs w:val="21"/>
          <w:lang w:eastAsia="zh-CN"/>
        </w:rPr>
      </w:pPr>
      <w:r>
        <w:rPr>
          <w:rFonts w:hint="eastAsia" w:ascii="Times New Roman" w:hAnsi="Times New Roman" w:eastAsia="宋体"/>
          <w:b/>
          <w:color w:val="000000"/>
          <w:sz w:val="21"/>
          <w:szCs w:val="21"/>
          <w:lang w:eastAsia="zh-CN"/>
        </w:rPr>
        <w:t xml:space="preserve">1.</w:t>
      </w:r>
      <w:r>
        <w:rPr>
          <w:rFonts w:hint="eastAsia" w:ascii="Times New Roman" w:hAnsi="Times New Roman" w:eastAsia="宋体"/>
          <w:b/>
          <w:color w:val="000000"/>
          <w:sz w:val="21"/>
          <w:szCs w:val="21"/>
          <w:lang w:eastAsia="zh-CN"/>
        </w:rPr>
        <w:t xml:space="preserve">从业人员、营业收入、资产总额填报上一年度数据，无上一年度数据的新成立企业可不填报。</w:t>
      </w:r>
      <w:r/>
    </w:p>
    <w:p>
      <w:pPr>
        <w:ind w:firstLine="413"/>
        <w:keepLines/>
        <w:keepNext/>
        <w:spacing w:line="360" w:lineRule="auto"/>
        <w:rPr>
          <w:rFonts w:ascii="Times New Roman" w:hAnsi="Times New Roman" w:eastAsia="宋体"/>
          <w:b/>
          <w:color w:val="000000"/>
          <w:sz w:val="21"/>
          <w:szCs w:val="21"/>
          <w:lang w:eastAsia="zh-CN"/>
        </w:rPr>
      </w:pPr>
      <w:r>
        <w:rPr>
          <w:rFonts w:hint="eastAsia" w:ascii="Times New Roman" w:hAnsi="Times New Roman" w:eastAsia="宋体"/>
          <w:b/>
          <w:color w:val="000000"/>
          <w:sz w:val="21"/>
          <w:szCs w:val="21"/>
          <w:lang w:eastAsia="zh-CN"/>
        </w:rPr>
        <w:t xml:space="preserve">2.</w:t>
      </w:r>
      <w:r>
        <w:rPr>
          <w:rFonts w:hint="eastAsia" w:ascii="Times New Roman" w:hAnsi="Times New Roman" w:eastAsia="宋体"/>
          <w:b/>
          <w:color w:val="000000"/>
          <w:sz w:val="21"/>
          <w:szCs w:val="21"/>
          <w:lang w:eastAsia="zh-CN"/>
        </w:rPr>
        <w:t xml:space="preserve">中标人的中小企业声明函将在结果公告中对外公示，请按照《政府采购促进中小企业发展管理办法》（财库﹝</w:t>
      </w:r>
      <w:r>
        <w:rPr>
          <w:rFonts w:hint="eastAsia" w:ascii="Times New Roman" w:hAnsi="Times New Roman" w:eastAsia="宋体"/>
          <w:b/>
          <w:color w:val="000000"/>
          <w:sz w:val="21"/>
          <w:szCs w:val="21"/>
          <w:lang w:eastAsia="zh-CN"/>
        </w:rPr>
        <w:t xml:space="preserve">2020</w:t>
      </w:r>
      <w:r>
        <w:rPr>
          <w:rFonts w:hint="eastAsia" w:ascii="Times New Roman" w:hAnsi="Times New Roman" w:eastAsia="宋体"/>
          <w:b/>
          <w:color w:val="000000"/>
          <w:sz w:val="21"/>
          <w:szCs w:val="21"/>
          <w:lang w:eastAsia="zh-CN"/>
        </w:rPr>
        <w:t xml:space="preserve">﹞</w:t>
      </w:r>
      <w:r>
        <w:rPr>
          <w:rFonts w:hint="eastAsia" w:ascii="Times New Roman" w:hAnsi="Times New Roman" w:eastAsia="宋体"/>
          <w:b/>
          <w:color w:val="000000"/>
          <w:sz w:val="21"/>
          <w:szCs w:val="21"/>
          <w:lang w:eastAsia="zh-CN"/>
        </w:rPr>
        <w:t xml:space="preserve">46</w:t>
      </w:r>
      <w:r>
        <w:rPr>
          <w:rFonts w:hint="eastAsia" w:ascii="Times New Roman" w:hAnsi="Times New Roman" w:eastAsia="宋体"/>
          <w:b/>
          <w:color w:val="000000"/>
          <w:sz w:val="21"/>
          <w:szCs w:val="21"/>
          <w:lang w:eastAsia="zh-CN"/>
        </w:rPr>
        <w:t xml:space="preserve">号）的规定填写。</w:t>
      </w:r>
      <w:r/>
    </w:p>
    <w:p>
      <w:pPr>
        <w:ind w:firstLine="480"/>
        <w:spacing w:line="480" w:lineRule="exact"/>
        <w:rPr>
          <w:rFonts w:ascii="宋体" w:hAnsi="宋体"/>
          <w:sz w:val="24"/>
          <w:szCs w:val="24"/>
          <w:lang w:eastAsia="zh-CN"/>
        </w:rPr>
      </w:pPr>
      <w:r>
        <w:rPr>
          <w:rFonts w:ascii="宋体" w:hAnsi="宋体"/>
          <w:sz w:val="24"/>
          <w:szCs w:val="24"/>
          <w:lang w:eastAsia="zh-CN"/>
        </w:rPr>
      </w:r>
      <w:r/>
    </w:p>
    <w:p>
      <w:pPr>
        <w:jc w:val="center"/>
        <w:spacing w:line="480" w:lineRule="exact"/>
        <w:rPr>
          <w:spacing w:val="6"/>
          <w:lang w:eastAsia="zh-CN"/>
        </w:rPr>
      </w:pPr>
      <w:r>
        <w:rPr>
          <w:rFonts w:hint="eastAsia" w:ascii="宋体" w:hAnsi="宋体"/>
          <w:sz w:val="24"/>
          <w:szCs w:val="24"/>
          <w:lang w:eastAsia="zh-CN"/>
        </w:rPr>
        <w:t xml:space="preserve">      </w:t>
      </w:r>
      <w:r>
        <w:rPr>
          <w:rFonts w:hint="eastAsia" w:ascii="Times New Roman" w:hAnsi="Times New Roman" w:eastAsia="宋体"/>
          <w:b/>
          <w:bCs/>
          <w:color w:val="000000"/>
          <w:sz w:val="32"/>
          <w:szCs w:val="32"/>
          <w:lang w:eastAsia="zh-CN"/>
        </w:rPr>
        <w:t xml:space="preserve">   </w:t>
      </w:r>
      <w:bookmarkEnd w:id="3"/>
      <w:r>
        <w:rPr>
          <w:rFonts w:hint="eastAsia" w:ascii="Times New Roman" w:hAnsi="Times New Roman" w:eastAsia="宋体"/>
          <w:b/>
          <w:bCs/>
          <w:color w:val="000000"/>
          <w:sz w:val="32"/>
          <w:szCs w:val="32"/>
          <w:lang w:eastAsia="zh-CN"/>
        </w:rPr>
        <w:t xml:space="preserve">残疾人福利性单位声明函</w:t>
      </w:r>
      <w:r/>
    </w:p>
    <w:p>
      <w:pPr>
        <w:ind w:firstLine="480"/>
        <w:spacing w:line="588" w:lineRule="exact"/>
        <w:rPr>
          <w:rFonts w:hint="eastAsia" w:ascii="宋体" w:hAnsi="宋体" w:eastAsia="宋体" w:cs="宋体"/>
          <w:sz w:val="21"/>
          <w:szCs w:val="16"/>
          <w:lang w:eastAsia="zh-CN"/>
        </w:rPr>
      </w:pPr>
      <w:r>
        <w:rPr>
          <w:rFonts w:hint="eastAsia" w:ascii="宋体" w:hAnsi="宋体" w:eastAsia="宋体" w:cs="宋体"/>
          <w:sz w:val="21"/>
          <w:szCs w:val="16"/>
          <w:lang w:eastAsia="zh-CN"/>
        </w:rPr>
      </w:r>
      <w:r/>
    </w:p>
    <w:p>
      <w:pPr>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t xml:space="preserve">本单位对上述声明的真实性负责。如有虚假，将依法承担相应责任。</w:t>
      </w:r>
      <w:r/>
    </w:p>
    <w:p>
      <w:pPr>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588" w:lineRule="exact"/>
        <w:rPr>
          <w:rFonts w:hint="eastAsia" w:ascii="宋体" w:hAnsi="宋体" w:eastAsia="宋体" w:cs="宋体"/>
          <w:sz w:val="24"/>
          <w:lang w:eastAsia="zh-CN"/>
        </w:rPr>
      </w:pPr>
      <w:r>
        <w:rPr>
          <w:rFonts w:hint="eastAsia" w:ascii="宋体" w:hAnsi="宋体" w:eastAsia="宋体" w:cs="宋体"/>
          <w:sz w:val="24"/>
          <w:lang w:eastAsia="zh-CN"/>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宋体" w:hAnsi="宋体" w:eastAsia="宋体" w:cs="宋体"/>
          <w:spacing w:val="6"/>
          <w:sz w:val="30"/>
          <w:szCs w:val="30"/>
          <w:lang w:eastAsia="zh-CN"/>
        </w:rPr>
      </w:pPr>
      <w:r>
        <w:rPr>
          <w:rFonts w:hint="eastAsia" w:ascii="宋体" w:hAnsi="宋体" w:eastAsia="宋体" w:cs="宋体"/>
          <w:spacing w:val="6"/>
          <w:sz w:val="30"/>
          <w:szCs w:val="30"/>
          <w:lang w:eastAsia="zh-CN"/>
        </w:rPr>
      </w:r>
      <w:r/>
    </w:p>
    <w:p>
      <w:pPr>
        <w:ind w:right="1560" w:firstLine="624"/>
        <w:jc w:val="center"/>
        <w:spacing w:line="588" w:lineRule="exact"/>
        <w:tabs>
          <w:tab w:val="left" w:pos="4860" w:leader="none"/>
        </w:tabs>
        <w:rPr>
          <w:rFonts w:hint="eastAsia" w:ascii="宋体" w:hAnsi="宋体" w:eastAsia="宋体" w:cs="宋体"/>
          <w:sz w:val="24"/>
          <w:lang w:eastAsia="zh-CN"/>
        </w:rPr>
      </w:pPr>
      <w:r>
        <w:rPr>
          <w:rFonts w:hint="eastAsia" w:ascii="宋体" w:hAnsi="宋体" w:eastAsia="宋体" w:cs="宋体"/>
          <w:spacing w:val="6"/>
          <w:sz w:val="30"/>
          <w:szCs w:val="30"/>
          <w:lang w:eastAsia="zh-CN"/>
        </w:rPr>
        <w:t xml:space="preserve">             </w:t>
      </w:r>
      <w:r>
        <w:rPr>
          <w:rFonts w:hint="eastAsia" w:ascii="宋体" w:hAnsi="宋体" w:eastAsia="宋体" w:cs="宋体"/>
          <w:sz w:val="24"/>
          <w:lang w:eastAsia="zh-CN"/>
        </w:rPr>
        <w:t xml:space="preserve">             供应商全称（盖章）：</w:t>
      </w:r>
      <w:r/>
    </w:p>
    <w:p>
      <w:pPr>
        <w:ind w:right="1560" w:firstLine="480"/>
        <w:jc w:val="center"/>
        <w:spacing w:line="588" w:lineRule="exact"/>
        <w:tabs>
          <w:tab w:val="left" w:pos="4860" w:leader="none"/>
        </w:tabs>
        <w:rPr>
          <w:rFonts w:hint="eastAsia" w:ascii="宋体" w:hAnsi="宋体" w:eastAsia="宋体" w:cs="宋体"/>
          <w:sz w:val="24"/>
          <w:lang w:eastAsia="zh-CN"/>
        </w:rPr>
      </w:pPr>
      <w:r>
        <w:rPr>
          <w:rFonts w:hint="eastAsia" w:ascii="宋体" w:hAnsi="宋体" w:eastAsia="宋体" w:cs="宋体"/>
          <w:sz w:val="24"/>
          <w:lang w:eastAsia="zh-CN"/>
        </w:rPr>
        <w:t xml:space="preserve">                           日  期：</w:t>
      </w:r>
      <w:r/>
    </w:p>
    <w:p>
      <w:pPr>
        <w:rPr>
          <w:lang w:eastAsia="zh-CN"/>
        </w:rPr>
      </w:pPr>
      <w:r>
        <w:rPr>
          <w:lang w:eastAsia="zh-CN"/>
        </w:rPr>
      </w:r>
      <w:r/>
    </w:p>
    <w:p>
      <w:pPr>
        <w:rPr>
          <w:lang w:eastAsia="zh-CN"/>
        </w:rPr>
      </w:pPr>
      <w:r>
        <w:rPr>
          <w:lang w:eastAsia="zh-CN"/>
        </w:rPr>
      </w:r>
      <w:r/>
    </w:p>
    <w:p>
      <w:pPr>
        <w:pStyle w:val="763"/>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52"/>
        <w:jc w:val="center"/>
        <w:rPr>
          <w:lang w:eastAsia="zh-CN"/>
        </w:rPr>
      </w:pPr>
      <w:r>
        <w:rPr>
          <w:rFonts w:hint="eastAsia"/>
          <w:lang w:eastAsia="zh-CN"/>
        </w:rPr>
        <w:t xml:space="preserve">属于监狱企业的证明文件</w:t>
      </w:r>
      <w:r/>
    </w:p>
    <w:p>
      <w:pPr>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（提供由省级以上监狱管理局、戒毒管理局(含新疆生产建设兵团)出具的属于监狱企业的证明文件）</w:t>
      </w:r>
      <w:r/>
    </w:p>
    <w:p>
      <w:pPr>
        <w:jc w:val="center"/>
        <w:spacing w:after="0" w:line="85" w:lineRule="atLeast"/>
        <w:rPr>
          <w:rFonts w:hint="eastAsia" w:ascii="宋体" w:hAnsi="宋体" w:eastAsia="宋体" w:cs="宋体"/>
          <w:b/>
          <w:color w:val="000000"/>
          <w:sz w:val="30"/>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hint="eastAsia" w:ascii="宋体" w:hAnsi="宋体" w:eastAsia="宋体" w:cs="宋体"/>
          <w:b/>
          <w:color w:val="000000"/>
          <w:sz w:val="30"/>
          <w:lang w:eastAsia="zh-CN"/>
        </w:rPr>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业绩一览表</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97"/>
        <w:gridCol w:w="1890"/>
        <w:gridCol w:w="1335"/>
        <w:gridCol w:w="1595"/>
        <w:gridCol w:w="2090"/>
        <w:gridCol w:w="1056"/>
      </w:tblGrid>
      <w:tr>
        <w:trPr>
          <w:trHeight w:val="405"/>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实施时间</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业主联系人</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  注</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注：1、请供应商提供上述表格中业绩的合同（合同首页、签字盖章页不可缺）复印件。</w:t>
      </w:r>
      <w:r/>
    </w:p>
    <w:p>
      <w:pPr>
        <w:ind w:firstLine="96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2、如有需要说明的事项，请在备注中列明。</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供应商公章：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法定代表人或授权代表（签字或盖章）：</w:t>
      </w:r>
      <w:r/>
    </w:p>
    <w:p>
      <w:pPr>
        <w:ind w:firstLine="480"/>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jc w:val="center"/>
        <w:spacing w:after="0"/>
        <w:rPr>
          <w:rFonts w:hint="eastAsia" w:ascii="宋体" w:hAnsi="宋体" w:eastAsia="宋体" w:cs="宋体"/>
          <w:b/>
          <w:color w:val="000000"/>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仿宋_GB2312">
    <w:panose1 w:val="02010609060101010101"/>
  </w:font>
  <w:font w:name="幼圆">
    <w:panose1 w:val="02010509060101010101"/>
  </w:font>
  <w:font w:name="Verdana">
    <w:panose1 w:val="020B0604030504040204"/>
  </w:font>
  <w:font w:name="Cambria">
    <w:panose1 w:val="020405030504060302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18"/>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18"/>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1020" w:hanging="360"/>
      </w:pPr>
      <w:rPr>
        <w:color w:val="000000"/>
      </w:r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7">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7"/>
  </w:num>
  <w:num w:numId="3">
    <w:abstractNumId w:val="6"/>
  </w:num>
  <w:num w:numId="4">
    <w:abstractNumId w:val="4"/>
  </w:num>
  <w:num w:numId="5">
    <w:abstractNumId w:val="3"/>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default="1">
    <w:name w:val="Normal"/>
    <w:qFormat/>
    <w:pPr>
      <w:spacing w:after="200" w:line="276" w:lineRule="auto"/>
    </w:pPr>
    <w:rPr>
      <w:rFonts w:ascii="Arial" w:hAnsi="Arial" w:eastAsia="Arial"/>
      <w:sz w:val="22"/>
      <w:szCs w:val="22"/>
      <w:lang w:eastAsia="en-US"/>
    </w:rPr>
  </w:style>
  <w:style w:type="paragraph" w:styleId="651">
    <w:name w:val="Heading 1"/>
    <w:basedOn w:val="650"/>
    <w:next w:val="650"/>
    <w:link w:val="725"/>
    <w:uiPriority w:val="9"/>
    <w:qFormat/>
    <w:pPr>
      <w:keepLines/>
      <w:keepNext/>
      <w:spacing w:before="480"/>
      <w:outlineLvl w:val="0"/>
    </w:pPr>
    <w:rPr>
      <w:rFonts w:cs="Arial"/>
      <w:sz w:val="40"/>
      <w:szCs w:val="40"/>
    </w:rPr>
  </w:style>
  <w:style w:type="paragraph" w:styleId="652">
    <w:name w:val="Heading 2"/>
    <w:basedOn w:val="650"/>
    <w:next w:val="650"/>
    <w:link w:val="726"/>
    <w:uiPriority w:val="9"/>
    <w:qFormat/>
    <w:pPr>
      <w:keepLines/>
      <w:keepNext/>
      <w:spacing w:before="360"/>
      <w:outlineLvl w:val="1"/>
    </w:pPr>
    <w:rPr>
      <w:rFonts w:cs="Arial"/>
      <w:sz w:val="34"/>
    </w:rPr>
  </w:style>
  <w:style w:type="paragraph" w:styleId="653">
    <w:name w:val="Heading 3"/>
    <w:basedOn w:val="650"/>
    <w:next w:val="650"/>
    <w:link w:val="727"/>
    <w:uiPriority w:val="9"/>
    <w:qFormat/>
    <w:pPr>
      <w:keepLines/>
      <w:keepNext/>
      <w:spacing w:before="320"/>
      <w:outlineLvl w:val="2"/>
    </w:pPr>
    <w:rPr>
      <w:rFonts w:cs="Arial"/>
      <w:sz w:val="30"/>
      <w:szCs w:val="30"/>
    </w:rPr>
  </w:style>
  <w:style w:type="paragraph" w:styleId="654">
    <w:name w:val="Heading 4"/>
    <w:basedOn w:val="650"/>
    <w:next w:val="650"/>
    <w:link w:val="728"/>
    <w:uiPriority w:val="9"/>
    <w:qFormat/>
    <w:pPr>
      <w:keepLines/>
      <w:keepNext/>
      <w:spacing w:before="320"/>
      <w:outlineLvl w:val="3"/>
    </w:pPr>
    <w:rPr>
      <w:rFonts w:cs="Arial"/>
      <w:b/>
      <w:bCs/>
      <w:sz w:val="26"/>
      <w:szCs w:val="26"/>
    </w:rPr>
  </w:style>
  <w:style w:type="paragraph" w:styleId="655">
    <w:name w:val="Heading 5"/>
    <w:basedOn w:val="650"/>
    <w:next w:val="650"/>
    <w:link w:val="729"/>
    <w:uiPriority w:val="9"/>
    <w:qFormat/>
    <w:pPr>
      <w:keepLines/>
      <w:keepNext/>
      <w:spacing w:before="320"/>
      <w:outlineLvl w:val="4"/>
    </w:pPr>
    <w:rPr>
      <w:rFonts w:cs="Arial"/>
      <w:b/>
      <w:bCs/>
      <w:sz w:val="24"/>
      <w:szCs w:val="24"/>
    </w:rPr>
  </w:style>
  <w:style w:type="paragraph" w:styleId="656">
    <w:name w:val="Heading 6"/>
    <w:basedOn w:val="650"/>
    <w:next w:val="650"/>
    <w:link w:val="730"/>
    <w:uiPriority w:val="9"/>
    <w:qFormat/>
    <w:pPr>
      <w:keepLines/>
      <w:keepNext/>
      <w:spacing w:before="320"/>
      <w:outlineLvl w:val="5"/>
    </w:pPr>
    <w:rPr>
      <w:rFonts w:cs="Arial"/>
      <w:b/>
      <w:bCs/>
    </w:rPr>
  </w:style>
  <w:style w:type="paragraph" w:styleId="657">
    <w:name w:val="Heading 7"/>
    <w:basedOn w:val="650"/>
    <w:next w:val="650"/>
    <w:link w:val="731"/>
    <w:uiPriority w:val="9"/>
    <w:qFormat/>
    <w:pPr>
      <w:keepLines/>
      <w:keepNext/>
      <w:spacing w:before="320"/>
      <w:outlineLvl w:val="6"/>
    </w:pPr>
    <w:rPr>
      <w:rFonts w:cs="Arial"/>
      <w:b/>
      <w:bCs/>
      <w:i/>
      <w:iCs/>
    </w:rPr>
  </w:style>
  <w:style w:type="paragraph" w:styleId="658">
    <w:name w:val="Heading 8"/>
    <w:basedOn w:val="650"/>
    <w:next w:val="650"/>
    <w:link w:val="732"/>
    <w:uiPriority w:val="9"/>
    <w:qFormat/>
    <w:pPr>
      <w:keepLines/>
      <w:keepNext/>
      <w:spacing w:before="320"/>
      <w:outlineLvl w:val="7"/>
    </w:pPr>
    <w:rPr>
      <w:rFonts w:cs="Arial"/>
      <w:i/>
      <w:iCs/>
    </w:rPr>
  </w:style>
  <w:style w:type="paragraph" w:styleId="659">
    <w:name w:val="Heading 9"/>
    <w:basedOn w:val="650"/>
    <w:next w:val="650"/>
    <w:link w:val="733"/>
    <w:uiPriority w:val="9"/>
    <w:qFormat/>
    <w:pPr>
      <w:keepLines/>
      <w:keepNext/>
      <w:spacing w:before="320"/>
      <w:outlineLvl w:val="8"/>
    </w:pPr>
    <w:rPr>
      <w:rFonts w:cs="Arial"/>
      <w:i/>
      <w:iCs/>
      <w:sz w:val="21"/>
      <w:szCs w:val="21"/>
    </w:rPr>
  </w:style>
  <w:style w:type="character" w:styleId="660" w:default="1">
    <w:name w:val="Default Paragraph Font"/>
    <w:uiPriority w:val="1"/>
    <w:semiHidden/>
    <w:unhideWhenUsed/>
  </w:style>
  <w:style w:type="table" w:styleId="661" w:default="1">
    <w:name w:val="Normal Table"/>
    <w:uiPriority w:val="99"/>
    <w:semiHidden/>
    <w:unhideWhenUsed/>
    <w:tblPr>
      <w:tblInd w:w="0" w:type="dxa"/>
      <w:tblCellMar>
        <w:left w:w="108" w:type="dxa"/>
        <w:top w:w="0" w:type="dxa"/>
        <w:right w:w="108" w:type="dxa"/>
        <w:bottom w:w="0" w:type="dxa"/>
      </w:tblCellMar>
    </w:tblPr>
  </w:style>
  <w:style w:type="numbering" w:styleId="662" w:default="1">
    <w:name w:val="No List"/>
    <w:uiPriority w:val="99"/>
    <w:semiHidden/>
    <w:unhideWhenUsed/>
  </w:style>
  <w:style w:type="character" w:styleId="663" w:customStyle="1">
    <w:name w:val="Heading 1 Char"/>
    <w:uiPriority w:val="9"/>
    <w:rPr>
      <w:rFonts w:ascii="Arial" w:hAnsi="Arial" w:eastAsia="Arial" w:cs="Arial"/>
      <w:sz w:val="40"/>
      <w:szCs w:val="40"/>
    </w:rPr>
  </w:style>
  <w:style w:type="character" w:styleId="664" w:customStyle="1">
    <w:name w:val="Heading 2 Char"/>
    <w:uiPriority w:val="9"/>
    <w:rPr>
      <w:rFonts w:ascii="Arial" w:hAnsi="Arial" w:eastAsia="Arial" w:cs="Arial"/>
      <w:sz w:val="34"/>
    </w:rPr>
  </w:style>
  <w:style w:type="character" w:styleId="665" w:customStyle="1">
    <w:name w:val="Heading 3 Char"/>
    <w:uiPriority w:val="9"/>
    <w:rPr>
      <w:rFonts w:ascii="Arial" w:hAnsi="Arial" w:eastAsia="Arial" w:cs="Arial"/>
      <w:sz w:val="30"/>
      <w:szCs w:val="30"/>
    </w:rPr>
  </w:style>
  <w:style w:type="character" w:styleId="666" w:customStyle="1">
    <w:name w:val="Heading 4 Char"/>
    <w:uiPriority w:val="9"/>
    <w:rPr>
      <w:rFonts w:ascii="Arial" w:hAnsi="Arial" w:eastAsia="Arial" w:cs="Arial"/>
      <w:b/>
      <w:bCs/>
      <w:sz w:val="26"/>
      <w:szCs w:val="26"/>
    </w:rPr>
  </w:style>
  <w:style w:type="character" w:styleId="667" w:customStyle="1">
    <w:name w:val="Heading 5 Char"/>
    <w:uiPriority w:val="9"/>
    <w:rPr>
      <w:rFonts w:ascii="Arial" w:hAnsi="Arial" w:eastAsia="Arial" w:cs="Arial"/>
      <w:b/>
      <w:bCs/>
      <w:sz w:val="24"/>
      <w:szCs w:val="24"/>
    </w:rPr>
  </w:style>
  <w:style w:type="character" w:styleId="668" w:customStyle="1">
    <w:name w:val="Heading 6 Char"/>
    <w:uiPriority w:val="9"/>
    <w:rPr>
      <w:rFonts w:ascii="Arial" w:hAnsi="Arial" w:eastAsia="Arial" w:cs="Arial"/>
      <w:b/>
      <w:bCs/>
      <w:sz w:val="22"/>
      <w:szCs w:val="22"/>
    </w:rPr>
  </w:style>
  <w:style w:type="character" w:styleId="669" w:customStyle="1">
    <w:name w:val="Heading 7 Char"/>
    <w:uiPriority w:val="9"/>
    <w:rPr>
      <w:rFonts w:ascii="Arial" w:hAnsi="Arial" w:eastAsia="Arial" w:cs="Arial"/>
      <w:b/>
      <w:bCs/>
      <w:i/>
      <w:iCs/>
      <w:sz w:val="22"/>
      <w:szCs w:val="22"/>
    </w:rPr>
  </w:style>
  <w:style w:type="character" w:styleId="670" w:customStyle="1">
    <w:name w:val="Heading 8 Char"/>
    <w:uiPriority w:val="9"/>
    <w:rPr>
      <w:rFonts w:ascii="Arial" w:hAnsi="Arial" w:eastAsia="Arial" w:cs="Arial"/>
      <w:i/>
      <w:iCs/>
      <w:sz w:val="22"/>
      <w:szCs w:val="22"/>
    </w:rPr>
  </w:style>
  <w:style w:type="character" w:styleId="671" w:customStyle="1">
    <w:name w:val="Heading 9 Char"/>
    <w:uiPriority w:val="9"/>
    <w:rPr>
      <w:rFonts w:ascii="Arial" w:hAnsi="Arial" w:eastAsia="Arial" w:cs="Arial"/>
      <w:i/>
      <w:iCs/>
      <w:sz w:val="21"/>
      <w:szCs w:val="21"/>
    </w:rPr>
  </w:style>
  <w:style w:type="paragraph" w:styleId="672">
    <w:name w:val="List Paragraph"/>
    <w:basedOn w:val="650"/>
    <w:uiPriority w:val="34"/>
    <w:qFormat/>
    <w:pPr>
      <w:contextualSpacing/>
      <w:ind w:left="720"/>
    </w:pPr>
  </w:style>
  <w:style w:type="paragraph" w:styleId="673">
    <w:name w:val="No Spacing"/>
    <w:basedOn w:val="650"/>
    <w:uiPriority w:val="1"/>
    <w:qFormat/>
    <w:pPr>
      <w:spacing w:after="0" w:line="240" w:lineRule="auto"/>
    </w:pPr>
  </w:style>
  <w:style w:type="paragraph" w:styleId="674">
    <w:name w:val="Title"/>
    <w:basedOn w:val="650"/>
    <w:next w:val="650"/>
    <w:link w:val="761"/>
    <w:uiPriority w:val="10"/>
    <w:qFormat/>
    <w:pPr>
      <w:contextualSpacing/>
      <w:spacing w:before="300"/>
    </w:pPr>
    <w:rPr>
      <w:sz w:val="48"/>
      <w:szCs w:val="48"/>
    </w:rPr>
  </w:style>
  <w:style w:type="character" w:styleId="675" w:customStyle="1">
    <w:name w:val="Title Char"/>
    <w:uiPriority w:val="10"/>
    <w:rPr>
      <w:sz w:val="48"/>
      <w:szCs w:val="48"/>
    </w:rPr>
  </w:style>
  <w:style w:type="paragraph" w:styleId="676">
    <w:name w:val="Subtitle"/>
    <w:basedOn w:val="650"/>
    <w:next w:val="650"/>
    <w:link w:val="754"/>
    <w:uiPriority w:val="11"/>
    <w:qFormat/>
    <w:pPr>
      <w:spacing w:before="200"/>
    </w:pPr>
    <w:rPr>
      <w:sz w:val="24"/>
      <w:szCs w:val="24"/>
    </w:rPr>
  </w:style>
  <w:style w:type="character" w:styleId="677" w:customStyle="1">
    <w:name w:val="Subtitle Char"/>
    <w:uiPriority w:val="11"/>
    <w:rPr>
      <w:sz w:val="24"/>
      <w:szCs w:val="24"/>
    </w:rPr>
  </w:style>
  <w:style w:type="paragraph" w:styleId="678">
    <w:name w:val="Quote"/>
    <w:basedOn w:val="650"/>
    <w:next w:val="650"/>
    <w:link w:val="770"/>
    <w:uiPriority w:val="29"/>
    <w:qFormat/>
    <w:pPr>
      <w:ind w:left="720" w:right="720"/>
    </w:pPr>
    <w:rPr>
      <w:i/>
    </w:rPr>
  </w:style>
  <w:style w:type="character" w:styleId="679" w:customStyle="1">
    <w:name w:val="Quote Char"/>
    <w:uiPriority w:val="29"/>
    <w:rPr>
      <w:i/>
    </w:rPr>
  </w:style>
  <w:style w:type="paragraph" w:styleId="680">
    <w:name w:val="Intense Quote"/>
    <w:basedOn w:val="650"/>
    <w:next w:val="650"/>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customStyle="1">
    <w:name w:val="Intense Quote Char"/>
    <w:uiPriority w:val="30"/>
    <w:rPr>
      <w:i/>
    </w:rPr>
  </w:style>
  <w:style w:type="paragraph" w:styleId="682">
    <w:name w:val="Header"/>
    <w:basedOn w:val="650"/>
    <w:link w:val="751"/>
    <w:uiPriority w:val="99"/>
    <w:unhideWhenUsed/>
    <w:qFormat/>
    <w:pPr>
      <w:spacing w:after="0" w:line="240" w:lineRule="auto"/>
      <w:tabs>
        <w:tab w:val="center" w:pos="7143" w:leader="none"/>
        <w:tab w:val="right" w:pos="14287" w:leader="none"/>
      </w:tabs>
    </w:pPr>
  </w:style>
  <w:style w:type="character" w:styleId="683" w:customStyle="1">
    <w:name w:val="Header Char"/>
    <w:uiPriority w:val="99"/>
  </w:style>
  <w:style w:type="paragraph" w:styleId="684">
    <w:name w:val="Footer"/>
    <w:basedOn w:val="650"/>
    <w:link w:val="747"/>
    <w:uiPriority w:val="99"/>
    <w:unhideWhenUsed/>
    <w:qFormat/>
    <w:pPr>
      <w:spacing w:after="0" w:line="240" w:lineRule="auto"/>
      <w:tabs>
        <w:tab w:val="center" w:pos="7143" w:leader="none"/>
        <w:tab w:val="right" w:pos="14287" w:leader="none"/>
      </w:tabs>
    </w:pPr>
  </w:style>
  <w:style w:type="paragraph" w:styleId="685">
    <w:name w:val="Caption"/>
    <w:basedOn w:val="650"/>
    <w:next w:val="650"/>
    <w:uiPriority w:val="35"/>
    <w:qFormat/>
    <w:rPr>
      <w:b/>
      <w:bCs/>
      <w:color w:val="5b9bd5"/>
      <w:sz w:val="18"/>
      <w:szCs w:val="18"/>
    </w:rPr>
  </w:style>
  <w:style w:type="character" w:styleId="686" w:customStyle="1">
    <w:name w:val="Caption Char"/>
    <w:uiPriority w:val="99"/>
  </w:style>
  <w:style w:type="table" w:styleId="687">
    <w:name w:val="Table Grid"/>
    <w:basedOn w:val="661"/>
    <w:uiPriority w:val="59"/>
    <w:qFormat/>
    <w:tblPr/>
  </w:style>
  <w:style w:type="table" w:styleId="688">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689">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690">
    <w:name w:val="Plain Table 3"/>
    <w:uiPriority w:val="99"/>
    <w:tblPr>
      <w:tblStyleRowBandSize w:val="1"/>
      <w:tblStyleColBandSize w:val="1"/>
      <w:tblInd w:w="0" w:type="dxa"/>
      <w:tblCellMar>
        <w:left w:w="0" w:type="dxa"/>
        <w:top w:w="0" w:type="dxa"/>
        <w:right w:w="0" w:type="dxa"/>
        <w:bottom w:w="0" w:type="dxa"/>
      </w:tblCellMar>
    </w:tblPr>
  </w:style>
  <w:style w:type="table" w:styleId="691">
    <w:name w:val="Plain Table 4"/>
    <w:uiPriority w:val="99"/>
    <w:tblPr>
      <w:tblStyleRowBandSize w:val="1"/>
      <w:tblStyleColBandSize w:val="1"/>
      <w:tblInd w:w="0" w:type="dxa"/>
      <w:tblCellMar>
        <w:left w:w="0" w:type="dxa"/>
        <w:top w:w="0" w:type="dxa"/>
        <w:right w:w="0" w:type="dxa"/>
        <w:bottom w:w="0" w:type="dxa"/>
      </w:tblCellMar>
    </w:tblPr>
  </w:style>
  <w:style w:type="table" w:styleId="692">
    <w:name w:val="Plain Table 5"/>
    <w:uiPriority w:val="99"/>
    <w:tblPr>
      <w:tblStyleRowBandSize w:val="1"/>
      <w:tblStyleColBandSize w:val="1"/>
      <w:tblInd w:w="0" w:type="dxa"/>
      <w:tblCellMar>
        <w:left w:w="0" w:type="dxa"/>
        <w:top w:w="0" w:type="dxa"/>
        <w:right w:w="0" w:type="dxa"/>
        <w:bottom w:w="0" w:type="dxa"/>
      </w:tblCellMar>
    </w:tblPr>
  </w:style>
  <w:style w:type="table" w:styleId="693">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694">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695">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696">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697">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698">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699">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00">
    <w:name w:val="List Table 1 Light"/>
    <w:uiPriority w:val="99"/>
    <w:tblPr>
      <w:tblStyleRowBandSize w:val="1"/>
      <w:tblStyleColBandSize w:val="1"/>
      <w:tblInd w:w="0" w:type="dxa"/>
      <w:tblCellMar>
        <w:left w:w="0" w:type="dxa"/>
        <w:top w:w="0" w:type="dxa"/>
        <w:right w:w="0" w:type="dxa"/>
        <w:bottom w:w="0" w:type="dxa"/>
      </w:tblCellMar>
    </w:tblPr>
  </w:style>
  <w:style w:type="table" w:styleId="70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02">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03">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04">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705">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706">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character" w:styleId="707">
    <w:name w:val="Hyperlink"/>
    <w:uiPriority w:val="99"/>
    <w:unhideWhenUsed/>
    <w:qFormat/>
    <w:rPr>
      <w:color w:val="0563c1"/>
      <w:u w:val="single"/>
    </w:rPr>
  </w:style>
  <w:style w:type="paragraph" w:styleId="708">
    <w:name w:val="footnote text"/>
    <w:basedOn w:val="650"/>
    <w:link w:val="755"/>
    <w:uiPriority w:val="99"/>
    <w:unhideWhenUsed/>
    <w:qFormat/>
    <w:pPr>
      <w:spacing w:after="40" w:line="240" w:lineRule="auto"/>
    </w:pPr>
    <w:rPr>
      <w:sz w:val="18"/>
    </w:rPr>
  </w:style>
  <w:style w:type="character" w:styleId="709" w:customStyle="1">
    <w:name w:val="Footnote Text Char"/>
    <w:uiPriority w:val="99"/>
    <w:rPr>
      <w:sz w:val="18"/>
    </w:rPr>
  </w:style>
  <w:style w:type="character" w:styleId="710">
    <w:name w:val="footnote reference"/>
    <w:uiPriority w:val="99"/>
    <w:unhideWhenUsed/>
    <w:qFormat/>
    <w:rPr>
      <w:vertAlign w:val="superscript"/>
    </w:rPr>
  </w:style>
  <w:style w:type="paragraph" w:styleId="711">
    <w:name w:val="endnote text"/>
    <w:basedOn w:val="650"/>
    <w:link w:val="746"/>
    <w:uiPriority w:val="99"/>
    <w:unhideWhenUsed/>
    <w:qFormat/>
    <w:pPr>
      <w:spacing w:after="0" w:line="240" w:lineRule="auto"/>
    </w:pPr>
    <w:rPr>
      <w:sz w:val="20"/>
    </w:rPr>
  </w:style>
  <w:style w:type="character" w:styleId="712" w:customStyle="1">
    <w:name w:val="Endnote Text Char"/>
    <w:uiPriority w:val="99"/>
    <w:rPr>
      <w:sz w:val="20"/>
    </w:rPr>
  </w:style>
  <w:style w:type="character" w:styleId="713">
    <w:name w:val="endnote reference"/>
    <w:uiPriority w:val="99"/>
    <w:unhideWhenUsed/>
    <w:qFormat/>
    <w:rPr>
      <w:vertAlign w:val="superscript"/>
    </w:rPr>
  </w:style>
  <w:style w:type="paragraph" w:styleId="714">
    <w:name w:val="toc 1"/>
    <w:basedOn w:val="650"/>
    <w:next w:val="650"/>
    <w:uiPriority w:val="39"/>
    <w:unhideWhenUsed/>
    <w:pPr>
      <w:spacing w:after="57"/>
    </w:pPr>
  </w:style>
  <w:style w:type="paragraph" w:styleId="715">
    <w:name w:val="toc 2"/>
    <w:basedOn w:val="650"/>
    <w:next w:val="650"/>
    <w:uiPriority w:val="39"/>
    <w:unhideWhenUsed/>
    <w:pPr>
      <w:ind w:left="283"/>
      <w:spacing w:after="57"/>
    </w:pPr>
  </w:style>
  <w:style w:type="paragraph" w:styleId="716">
    <w:name w:val="toc 3"/>
    <w:basedOn w:val="650"/>
    <w:next w:val="650"/>
    <w:uiPriority w:val="39"/>
    <w:unhideWhenUsed/>
    <w:pPr>
      <w:ind w:left="567"/>
      <w:spacing w:after="57"/>
    </w:pPr>
  </w:style>
  <w:style w:type="paragraph" w:styleId="717">
    <w:name w:val="toc 4"/>
    <w:basedOn w:val="650"/>
    <w:next w:val="650"/>
    <w:uiPriority w:val="39"/>
    <w:unhideWhenUsed/>
    <w:pPr>
      <w:ind w:left="850"/>
      <w:spacing w:after="57"/>
    </w:pPr>
  </w:style>
  <w:style w:type="paragraph" w:styleId="718">
    <w:name w:val="toc 5"/>
    <w:basedOn w:val="650"/>
    <w:next w:val="650"/>
    <w:uiPriority w:val="39"/>
    <w:unhideWhenUsed/>
    <w:pPr>
      <w:ind w:left="1134"/>
      <w:spacing w:after="57"/>
    </w:pPr>
  </w:style>
  <w:style w:type="paragraph" w:styleId="719">
    <w:name w:val="toc 6"/>
    <w:basedOn w:val="650"/>
    <w:next w:val="650"/>
    <w:uiPriority w:val="39"/>
    <w:unhideWhenUsed/>
    <w:pPr>
      <w:ind w:left="1417"/>
      <w:spacing w:after="57"/>
    </w:pPr>
  </w:style>
  <w:style w:type="paragraph" w:styleId="720">
    <w:name w:val="toc 7"/>
    <w:basedOn w:val="650"/>
    <w:next w:val="650"/>
    <w:uiPriority w:val="39"/>
    <w:unhideWhenUsed/>
    <w:pPr>
      <w:ind w:left="1701"/>
      <w:spacing w:after="57"/>
    </w:pPr>
  </w:style>
  <w:style w:type="paragraph" w:styleId="721">
    <w:name w:val="toc 8"/>
    <w:basedOn w:val="650"/>
    <w:next w:val="650"/>
    <w:uiPriority w:val="39"/>
    <w:unhideWhenUsed/>
    <w:pPr>
      <w:ind w:left="1984"/>
      <w:spacing w:after="57"/>
    </w:pPr>
  </w:style>
  <w:style w:type="paragraph" w:styleId="722">
    <w:name w:val="toc 9"/>
    <w:basedOn w:val="650"/>
    <w:next w:val="650"/>
    <w:uiPriority w:val="39"/>
    <w:unhideWhenUsed/>
    <w:pPr>
      <w:ind w:left="2268"/>
      <w:spacing w:after="57"/>
    </w:pPr>
  </w:style>
  <w:style w:type="paragraph" w:styleId="723">
    <w:name w:val="TOC Heading"/>
    <w:uiPriority w:val="39"/>
    <w:unhideWhenUsed/>
  </w:style>
  <w:style w:type="paragraph" w:styleId="724">
    <w:name w:val="table of figures"/>
    <w:basedOn w:val="650"/>
    <w:next w:val="650"/>
    <w:uiPriority w:val="99"/>
    <w:unhideWhenUsed/>
    <w:qFormat/>
    <w:pPr>
      <w:spacing w:after="0"/>
    </w:pPr>
  </w:style>
  <w:style w:type="character" w:styleId="725" w:customStyle="1">
    <w:name w:val="标题 1 字符"/>
    <w:link w:val="651"/>
    <w:uiPriority w:val="9"/>
    <w:qFormat/>
    <w:rPr>
      <w:rFonts w:ascii="Arial" w:hAnsi="Arial" w:eastAsia="Arial" w:cs="Arial"/>
      <w:sz w:val="40"/>
      <w:szCs w:val="40"/>
    </w:rPr>
  </w:style>
  <w:style w:type="character" w:styleId="726" w:customStyle="1">
    <w:name w:val="标题 2 字符"/>
    <w:link w:val="652"/>
    <w:uiPriority w:val="9"/>
    <w:qFormat/>
    <w:rPr>
      <w:rFonts w:ascii="Arial" w:hAnsi="Arial" w:eastAsia="Arial" w:cs="Arial"/>
      <w:sz w:val="34"/>
    </w:rPr>
  </w:style>
  <w:style w:type="character" w:styleId="727" w:customStyle="1">
    <w:name w:val="标题 3 字符"/>
    <w:link w:val="653"/>
    <w:uiPriority w:val="9"/>
    <w:qFormat/>
    <w:rPr>
      <w:rFonts w:ascii="Arial" w:hAnsi="Arial" w:eastAsia="Arial" w:cs="Arial"/>
      <w:sz w:val="30"/>
      <w:szCs w:val="30"/>
    </w:rPr>
  </w:style>
  <w:style w:type="character" w:styleId="728" w:customStyle="1">
    <w:name w:val="标题 4 字符"/>
    <w:link w:val="654"/>
    <w:uiPriority w:val="9"/>
    <w:qFormat/>
    <w:rPr>
      <w:rFonts w:ascii="Arial" w:hAnsi="Arial" w:eastAsia="Arial" w:cs="Arial"/>
      <w:b/>
      <w:bCs/>
      <w:sz w:val="26"/>
      <w:szCs w:val="26"/>
    </w:rPr>
  </w:style>
  <w:style w:type="character" w:styleId="729" w:customStyle="1">
    <w:name w:val="标题 5 字符"/>
    <w:link w:val="655"/>
    <w:uiPriority w:val="9"/>
    <w:qFormat/>
    <w:rPr>
      <w:rFonts w:ascii="Arial" w:hAnsi="Arial" w:eastAsia="Arial" w:cs="Arial"/>
      <w:b/>
      <w:bCs/>
      <w:sz w:val="24"/>
      <w:szCs w:val="24"/>
    </w:rPr>
  </w:style>
  <w:style w:type="character" w:styleId="730" w:customStyle="1">
    <w:name w:val="标题 6 字符"/>
    <w:link w:val="656"/>
    <w:uiPriority w:val="9"/>
    <w:qFormat/>
    <w:rPr>
      <w:rFonts w:ascii="Arial" w:hAnsi="Arial" w:eastAsia="Arial" w:cs="Arial"/>
      <w:b/>
      <w:bCs/>
      <w:sz w:val="22"/>
      <w:szCs w:val="22"/>
    </w:rPr>
  </w:style>
  <w:style w:type="character" w:styleId="731" w:customStyle="1">
    <w:name w:val="标题 7 字符"/>
    <w:link w:val="657"/>
    <w:uiPriority w:val="9"/>
    <w:qFormat/>
    <w:rPr>
      <w:rFonts w:ascii="Arial" w:hAnsi="Arial" w:eastAsia="Arial" w:cs="Arial"/>
      <w:b/>
      <w:bCs/>
      <w:i/>
      <w:iCs/>
      <w:sz w:val="22"/>
      <w:szCs w:val="22"/>
    </w:rPr>
  </w:style>
  <w:style w:type="character" w:styleId="732" w:customStyle="1">
    <w:name w:val="标题 8 字符"/>
    <w:link w:val="658"/>
    <w:uiPriority w:val="9"/>
    <w:qFormat/>
    <w:rPr>
      <w:rFonts w:ascii="Arial" w:hAnsi="Arial" w:eastAsia="Arial" w:cs="Arial"/>
      <w:i/>
      <w:iCs/>
      <w:sz w:val="22"/>
      <w:szCs w:val="22"/>
    </w:rPr>
  </w:style>
  <w:style w:type="character" w:styleId="733" w:customStyle="1">
    <w:name w:val="标题 9 字符"/>
    <w:link w:val="659"/>
    <w:uiPriority w:val="9"/>
    <w:qFormat/>
    <w:rPr>
      <w:rFonts w:ascii="Arial" w:hAnsi="Arial" w:eastAsia="Arial" w:cs="Arial"/>
      <w:i/>
      <w:iCs/>
      <w:sz w:val="21"/>
      <w:szCs w:val="21"/>
    </w:rPr>
  </w:style>
  <w:style w:type="paragraph" w:styleId="734" w:customStyle="1">
    <w:name w:val="目录 7"/>
    <w:basedOn w:val="651"/>
    <w:next w:val="650"/>
    <w:uiPriority w:val="39"/>
    <w:unhideWhenUsed/>
    <w:qFormat/>
    <w:pPr>
      <w:ind w:left="1701"/>
      <w:spacing w:after="57"/>
    </w:pPr>
  </w:style>
  <w:style w:type="paragraph" w:styleId="735">
    <w:name w:val="Normal Indent"/>
    <w:basedOn w:val="650"/>
    <w:qFormat/>
    <w:pPr>
      <w:ind w:firstLine="420"/>
    </w:pPr>
    <w:rPr>
      <w:szCs w:val="20"/>
    </w:rPr>
  </w:style>
  <w:style w:type="paragraph" w:styleId="736">
    <w:name w:val="Document Map"/>
    <w:basedOn w:val="650"/>
    <w:qFormat/>
    <w:pPr>
      <w:shd w:val="clear" w:color="auto" w:fill="000080"/>
    </w:pPr>
  </w:style>
  <w:style w:type="paragraph" w:styleId="737">
    <w:name w:val="Body Text"/>
    <w:basedOn w:val="650"/>
    <w:uiPriority w:val="99"/>
    <w:unhideWhenUsed/>
    <w:qFormat/>
    <w:pPr>
      <w:spacing w:after="120"/>
    </w:pPr>
  </w:style>
  <w:style w:type="paragraph" w:styleId="738">
    <w:name w:val="Body Text Indent"/>
    <w:basedOn w:val="650"/>
    <w:qFormat/>
    <w:pPr>
      <w:ind w:left="420"/>
      <w:spacing w:after="120"/>
    </w:pPr>
    <w:rPr>
      <w:sz w:val="24"/>
      <w:szCs w:val="20"/>
    </w:rPr>
  </w:style>
  <w:style w:type="paragraph" w:styleId="739">
    <w:name w:val="List 2"/>
    <w:basedOn w:val="651"/>
    <w:next w:val="734"/>
    <w:uiPriority w:val="99"/>
    <w:unhideWhenUsed/>
    <w:qFormat/>
    <w:pPr>
      <w:ind w:left="100" w:firstLine="3640"/>
      <w:spacing w:before="0" w:after="0" w:line="240" w:lineRule="auto"/>
    </w:pPr>
    <w:rPr>
      <w:rFonts w:ascii="Times New Roman" w:hAnsi="Times New Roman" w:eastAsia="宋体" w:cs="Times New Roman"/>
    </w:rPr>
  </w:style>
  <w:style w:type="paragraph" w:styleId="740">
    <w:name w:val="Block Text"/>
    <w:basedOn w:val="650"/>
    <w:qFormat/>
    <w:pPr>
      <w:ind w:left="525" w:right="-1" w:firstLine="525"/>
      <w:spacing w:line="312" w:lineRule="atLeast"/>
    </w:pPr>
    <w:rPr>
      <w:sz w:val="28"/>
      <w:szCs w:val="28"/>
    </w:rPr>
  </w:style>
  <w:style w:type="paragraph" w:styleId="741" w:customStyle="1">
    <w:name w:val="目录 5"/>
    <w:basedOn w:val="650"/>
    <w:next w:val="650"/>
    <w:uiPriority w:val="39"/>
    <w:unhideWhenUsed/>
    <w:qFormat/>
    <w:pPr>
      <w:ind w:left="1134"/>
      <w:spacing w:after="57"/>
    </w:pPr>
  </w:style>
  <w:style w:type="paragraph" w:styleId="742" w:customStyle="1">
    <w:name w:val="目录 3"/>
    <w:basedOn w:val="650"/>
    <w:next w:val="650"/>
    <w:uiPriority w:val="39"/>
    <w:unhideWhenUsed/>
    <w:qFormat/>
    <w:pPr>
      <w:ind w:left="567"/>
      <w:spacing w:after="57"/>
    </w:pPr>
  </w:style>
  <w:style w:type="paragraph" w:styleId="743">
    <w:name w:val="Plain Text"/>
    <w:basedOn w:val="650"/>
    <w:link w:val="744"/>
    <w:qFormat/>
    <w:rPr>
      <w:rFonts w:ascii="宋体" w:hAnsi="Courier New"/>
      <w:sz w:val="20"/>
      <w:szCs w:val="20"/>
    </w:rPr>
  </w:style>
  <w:style w:type="character" w:styleId="744" w:customStyle="1">
    <w:name w:val="纯文本 字符"/>
    <w:link w:val="743"/>
    <w:qFormat/>
    <w:rPr>
      <w:rFonts w:ascii="宋体" w:hAnsi="Courier New" w:eastAsia="Arial"/>
      <w:lang w:eastAsia="en-US"/>
    </w:rPr>
  </w:style>
  <w:style w:type="paragraph" w:styleId="745" w:customStyle="1">
    <w:name w:val="目录 8"/>
    <w:basedOn w:val="650"/>
    <w:next w:val="650"/>
    <w:uiPriority w:val="39"/>
    <w:unhideWhenUsed/>
    <w:qFormat/>
    <w:pPr>
      <w:ind w:left="1984"/>
      <w:spacing w:after="57"/>
    </w:pPr>
  </w:style>
  <w:style w:type="character" w:styleId="746" w:customStyle="1">
    <w:name w:val="尾注文本 字符"/>
    <w:link w:val="711"/>
    <w:uiPriority w:val="99"/>
    <w:qFormat/>
    <w:rPr>
      <w:sz w:val="20"/>
    </w:rPr>
  </w:style>
  <w:style w:type="character" w:styleId="747" w:customStyle="1">
    <w:name w:val="页脚 字符"/>
    <w:link w:val="684"/>
    <w:uiPriority w:val="99"/>
    <w:qFormat/>
  </w:style>
  <w:style w:type="paragraph" w:styleId="748">
    <w:name w:val="envelope return"/>
    <w:basedOn w:val="749"/>
    <w:uiPriority w:val="99"/>
    <w:unhideWhenUsed/>
    <w:qFormat/>
    <w:rPr>
      <w:rFonts w:ascii="Arial" w:hAnsi="Arial" w:cs="Arial"/>
    </w:rPr>
  </w:style>
  <w:style w:type="paragraph" w:styleId="749" w:customStyle="1">
    <w:name w:val="Normal_19"/>
    <w:next w:val="750"/>
    <w:qFormat/>
    <w:pPr>
      <w:jc w:val="both"/>
      <w:widowControl w:val="off"/>
    </w:pPr>
    <w:rPr>
      <w:rFonts w:ascii="Calibri" w:hAnsi="Calibri"/>
      <w:sz w:val="21"/>
      <w:szCs w:val="24"/>
    </w:rPr>
  </w:style>
  <w:style w:type="paragraph" w:styleId="750" w:customStyle="1">
    <w:name w:val="正文文本缩进1"/>
    <w:basedOn w:val="650"/>
    <w:next w:val="748"/>
    <w:unhideWhenUsed/>
    <w:qFormat/>
    <w:pPr>
      <w:ind w:firstLine="570"/>
    </w:pPr>
    <w:rPr>
      <w:rFonts w:ascii="宋体" w:eastAsia="宋体"/>
      <w:sz w:val="28"/>
    </w:rPr>
  </w:style>
  <w:style w:type="character" w:styleId="751" w:customStyle="1">
    <w:name w:val="页眉 字符"/>
    <w:link w:val="682"/>
    <w:uiPriority w:val="99"/>
    <w:qFormat/>
  </w:style>
  <w:style w:type="paragraph" w:styleId="752" w:customStyle="1">
    <w:name w:val="目录 1"/>
    <w:basedOn w:val="650"/>
    <w:next w:val="650"/>
    <w:uiPriority w:val="39"/>
    <w:unhideWhenUsed/>
    <w:qFormat/>
    <w:pPr>
      <w:spacing w:after="57"/>
    </w:pPr>
  </w:style>
  <w:style w:type="paragraph" w:styleId="753" w:customStyle="1">
    <w:name w:val="目录 4"/>
    <w:basedOn w:val="650"/>
    <w:next w:val="650"/>
    <w:uiPriority w:val="39"/>
    <w:unhideWhenUsed/>
    <w:qFormat/>
    <w:pPr>
      <w:ind w:left="850"/>
      <w:spacing w:after="57"/>
    </w:pPr>
  </w:style>
  <w:style w:type="character" w:styleId="754" w:customStyle="1">
    <w:name w:val="副标题 字符"/>
    <w:link w:val="676"/>
    <w:uiPriority w:val="11"/>
    <w:qFormat/>
    <w:rPr>
      <w:sz w:val="24"/>
      <w:szCs w:val="24"/>
    </w:rPr>
  </w:style>
  <w:style w:type="character" w:styleId="755" w:customStyle="1">
    <w:name w:val="脚注文本 字符"/>
    <w:link w:val="708"/>
    <w:uiPriority w:val="99"/>
    <w:qFormat/>
    <w:rPr>
      <w:sz w:val="18"/>
    </w:rPr>
  </w:style>
  <w:style w:type="paragraph" w:styleId="756" w:customStyle="1">
    <w:name w:val="目录 6"/>
    <w:basedOn w:val="650"/>
    <w:next w:val="650"/>
    <w:uiPriority w:val="39"/>
    <w:unhideWhenUsed/>
    <w:qFormat/>
    <w:pPr>
      <w:ind w:left="1417"/>
      <w:spacing w:after="57"/>
    </w:pPr>
  </w:style>
  <w:style w:type="paragraph" w:styleId="757" w:customStyle="1">
    <w:name w:val="目录 2"/>
    <w:basedOn w:val="650"/>
    <w:next w:val="650"/>
    <w:uiPriority w:val="39"/>
    <w:unhideWhenUsed/>
    <w:qFormat/>
    <w:pPr>
      <w:ind w:left="283"/>
      <w:spacing w:after="57"/>
    </w:pPr>
  </w:style>
  <w:style w:type="paragraph" w:styleId="758" w:customStyle="1">
    <w:name w:val="目录 9"/>
    <w:basedOn w:val="650"/>
    <w:next w:val="650"/>
    <w:uiPriority w:val="39"/>
    <w:unhideWhenUsed/>
    <w:qFormat/>
    <w:pPr>
      <w:ind w:left="2268"/>
      <w:spacing w:after="57"/>
    </w:pPr>
  </w:style>
  <w:style w:type="paragraph" w:styleId="759">
    <w:name w:val="Normal (Web)"/>
    <w:basedOn w:val="650"/>
    <w:uiPriority w:val="99"/>
    <w:qFormat/>
    <w:pPr>
      <w:spacing w:beforeAutospacing="1" w:afterAutospacing="1"/>
    </w:pPr>
    <w:rPr>
      <w:sz w:val="24"/>
    </w:rPr>
  </w:style>
  <w:style w:type="paragraph" w:styleId="760">
    <w:name w:val="index 1"/>
    <w:basedOn w:val="650"/>
    <w:next w:val="650"/>
    <w:qFormat/>
  </w:style>
  <w:style w:type="character" w:styleId="761" w:customStyle="1">
    <w:name w:val="标题 字符"/>
    <w:link w:val="674"/>
    <w:uiPriority w:val="10"/>
    <w:qFormat/>
    <w:rPr>
      <w:sz w:val="48"/>
      <w:szCs w:val="48"/>
    </w:rPr>
  </w:style>
  <w:style w:type="paragraph" w:styleId="762" w:customStyle="1">
    <w:name w:val="正文首行缩进"/>
    <w:basedOn w:val="737"/>
    <w:next w:val="763"/>
    <w:qFormat/>
    <w:pPr>
      <w:ind w:firstLine="420"/>
    </w:pPr>
    <w:rPr>
      <w:rFonts w:eastAsia="宋体"/>
      <w:sz w:val="21"/>
    </w:rPr>
  </w:style>
  <w:style w:type="paragraph" w:styleId="763" w:customStyle="1">
    <w:name w:val="正文首行缩进 2"/>
    <w:basedOn w:val="738"/>
    <w:unhideWhenUsed/>
    <w:qFormat/>
    <w:pPr>
      <w:ind w:firstLine="420"/>
    </w:pPr>
  </w:style>
  <w:style w:type="character" w:styleId="764">
    <w:name w:val="Strong"/>
    <w:qFormat/>
    <w:rPr>
      <w:rFonts w:ascii="Calibri" w:hAnsi="Calibri" w:eastAsia="宋体" w:cs="Times New Roman"/>
      <w:b/>
    </w:rPr>
  </w:style>
  <w:style w:type="character" w:styleId="765">
    <w:name w:val="Emphasis"/>
    <w:qFormat/>
    <w:rPr>
      <w:i/>
    </w:rPr>
  </w:style>
  <w:style w:type="paragraph" w:styleId="766" w:customStyle="1">
    <w:name w:val="Default"/>
    <w:next w:val="650"/>
    <w:qFormat/>
    <w:pPr>
      <w:ind w:firstLine="5120"/>
      <w:widowControl w:val="off"/>
    </w:pPr>
    <w:rPr>
      <w:rFonts w:ascii="Calibri" w:hAnsi="Calibri"/>
    </w:rPr>
  </w:style>
  <w:style w:type="paragraph" w:styleId="767" w:customStyle="1">
    <w:name w:val="首行缩进"/>
    <w:basedOn w:val="650"/>
    <w:qFormat/>
    <w:pPr>
      <w:ind w:firstLine="480"/>
    </w:pPr>
    <w:rPr>
      <w:szCs w:val="20"/>
      <w:lang w:val="zh-CN"/>
    </w:rPr>
  </w:style>
  <w:style w:type="paragraph" w:styleId="768" w:customStyle="1">
    <w:name w:val="_Style 3"/>
    <w:qFormat/>
    <w:pPr>
      <w:jc w:val="both"/>
      <w:widowControl w:val="off"/>
    </w:pPr>
    <w:rPr>
      <w:rFonts w:ascii="Calibri" w:hAnsi="Calibri"/>
      <w:sz w:val="21"/>
      <w:szCs w:val="22"/>
    </w:rPr>
  </w:style>
  <w:style w:type="paragraph" w:styleId="769" w:customStyle="1">
    <w:name w:val="标题 21"/>
    <w:basedOn w:val="650"/>
    <w:next w:val="650"/>
    <w:qFormat/>
    <w:pPr>
      <w:keepLines/>
      <w:keepNext/>
      <w:spacing w:before="260" w:after="260" w:line="416" w:lineRule="auto"/>
      <w:outlineLvl w:val="1"/>
    </w:pPr>
    <w:rPr>
      <w:rFonts w:ascii="Cambria" w:hAnsi="Cambria" w:eastAsia="宋体"/>
      <w:b/>
      <w:bCs/>
      <w:sz w:val="32"/>
      <w:szCs w:val="32"/>
    </w:rPr>
  </w:style>
  <w:style w:type="character" w:styleId="770" w:customStyle="1">
    <w:name w:val="引用 字符"/>
    <w:link w:val="678"/>
    <w:uiPriority w:val="29"/>
    <w:qFormat/>
    <w:rPr>
      <w:i/>
    </w:rPr>
  </w:style>
  <w:style w:type="character" w:styleId="771" w:customStyle="1">
    <w:name w:val="明显引用 字符"/>
    <w:link w:val="680"/>
    <w:uiPriority w:val="30"/>
    <w:qFormat/>
    <w:rPr>
      <w:i/>
    </w:rPr>
  </w:style>
  <w:style w:type="character" w:styleId="772" w:customStyle="1">
    <w:name w:val="Footer Char"/>
    <w:uiPriority w:val="99"/>
    <w:qFormat/>
  </w:style>
  <w:style w:type="table" w:styleId="773" w:customStyle="1">
    <w:name w:val="Table Grid Light"/>
    <w:basedOn w:val="661"/>
    <w:uiPriority w:val="59"/>
    <w:qFormat/>
    <w:tblPr/>
  </w:style>
  <w:style w:type="table" w:styleId="774" w:customStyle="1">
    <w:name w:val="无格式表格 11"/>
    <w:basedOn w:val="661"/>
    <w:uiPriority w:val="59"/>
    <w:qFormat/>
    <w:tblPr/>
  </w:style>
  <w:style w:type="table" w:styleId="775" w:customStyle="1">
    <w:name w:val="无格式表格 21"/>
    <w:basedOn w:val="661"/>
    <w:uiPriority w:val="59"/>
    <w:qFormat/>
    <w:tblPr/>
  </w:style>
  <w:style w:type="table" w:styleId="776" w:customStyle="1">
    <w:name w:val="无格式表格 31"/>
    <w:basedOn w:val="661"/>
    <w:uiPriority w:val="99"/>
    <w:qFormat/>
    <w:tblPr/>
  </w:style>
  <w:style w:type="table" w:styleId="777" w:customStyle="1">
    <w:name w:val="无格式表格 41"/>
    <w:basedOn w:val="661"/>
    <w:uiPriority w:val="99"/>
    <w:qFormat/>
    <w:tblPr/>
  </w:style>
  <w:style w:type="table" w:styleId="778" w:customStyle="1">
    <w:name w:val="无格式表格 51"/>
    <w:basedOn w:val="661"/>
    <w:uiPriority w:val="99"/>
    <w:qFormat/>
    <w:tblPr/>
  </w:style>
  <w:style w:type="table" w:styleId="779" w:customStyle="1">
    <w:name w:val="网格表 1 浅色1"/>
    <w:basedOn w:val="661"/>
    <w:uiPriority w:val="99"/>
    <w:qFormat/>
    <w:tblPr/>
  </w:style>
  <w:style w:type="table" w:styleId="780" w:customStyle="1">
    <w:name w:val="Grid Table 1 Light - Accent 1"/>
    <w:basedOn w:val="661"/>
    <w:uiPriority w:val="99"/>
    <w:qFormat/>
    <w:tblPr/>
  </w:style>
  <w:style w:type="table" w:styleId="781" w:customStyle="1">
    <w:name w:val="Grid Table 1 Light - Accent 2"/>
    <w:basedOn w:val="661"/>
    <w:uiPriority w:val="99"/>
    <w:qFormat/>
    <w:tblPr/>
  </w:style>
  <w:style w:type="table" w:styleId="782" w:customStyle="1">
    <w:name w:val="Grid Table 1 Light - Accent 3"/>
    <w:basedOn w:val="661"/>
    <w:uiPriority w:val="99"/>
    <w:qFormat/>
    <w:tblPr/>
  </w:style>
  <w:style w:type="table" w:styleId="783" w:customStyle="1">
    <w:name w:val="Grid Table 1 Light - Accent 4"/>
    <w:basedOn w:val="661"/>
    <w:uiPriority w:val="99"/>
    <w:qFormat/>
    <w:tblPr/>
  </w:style>
  <w:style w:type="table" w:styleId="784" w:customStyle="1">
    <w:name w:val="Grid Table 1 Light - Accent 5"/>
    <w:basedOn w:val="661"/>
    <w:uiPriority w:val="99"/>
    <w:qFormat/>
    <w:tblPr/>
  </w:style>
  <w:style w:type="table" w:styleId="785" w:customStyle="1">
    <w:name w:val="Grid Table 1 Light - Accent 6"/>
    <w:basedOn w:val="661"/>
    <w:uiPriority w:val="99"/>
    <w:qFormat/>
    <w:tblPr/>
  </w:style>
  <w:style w:type="table" w:styleId="786" w:customStyle="1">
    <w:name w:val="网格表 21"/>
    <w:basedOn w:val="661"/>
    <w:uiPriority w:val="99"/>
    <w:qFormat/>
    <w:tblPr/>
  </w:style>
  <w:style w:type="table" w:styleId="787" w:customStyle="1">
    <w:name w:val="Grid Table 2 - Accent 1"/>
    <w:basedOn w:val="661"/>
    <w:uiPriority w:val="99"/>
    <w:qFormat/>
    <w:tblPr/>
  </w:style>
  <w:style w:type="table" w:styleId="788" w:customStyle="1">
    <w:name w:val="Grid Table 2 - Accent 2"/>
    <w:basedOn w:val="661"/>
    <w:uiPriority w:val="99"/>
    <w:qFormat/>
    <w:tblPr/>
  </w:style>
  <w:style w:type="table" w:styleId="789" w:customStyle="1">
    <w:name w:val="Grid Table 2 - Accent 3"/>
    <w:basedOn w:val="661"/>
    <w:uiPriority w:val="99"/>
    <w:qFormat/>
    <w:tblPr/>
  </w:style>
  <w:style w:type="table" w:styleId="790" w:customStyle="1">
    <w:name w:val="Grid Table 2 - Accent 4"/>
    <w:basedOn w:val="661"/>
    <w:uiPriority w:val="99"/>
    <w:qFormat/>
    <w:tblPr/>
  </w:style>
  <w:style w:type="table" w:styleId="791" w:customStyle="1">
    <w:name w:val="Grid Table 2 - Accent 5"/>
    <w:basedOn w:val="661"/>
    <w:uiPriority w:val="99"/>
    <w:qFormat/>
    <w:tblPr/>
  </w:style>
  <w:style w:type="table" w:styleId="792" w:customStyle="1">
    <w:name w:val="Grid Table 2 - Accent 6"/>
    <w:basedOn w:val="661"/>
    <w:uiPriority w:val="99"/>
    <w:qFormat/>
    <w:tblPr/>
  </w:style>
  <w:style w:type="table" w:styleId="793" w:customStyle="1">
    <w:name w:val="网格表 31"/>
    <w:basedOn w:val="661"/>
    <w:uiPriority w:val="99"/>
    <w:qFormat/>
    <w:tblPr/>
  </w:style>
  <w:style w:type="table" w:styleId="794" w:customStyle="1">
    <w:name w:val="Grid Table 3 - Accent 1"/>
    <w:basedOn w:val="661"/>
    <w:uiPriority w:val="99"/>
    <w:qFormat/>
    <w:tblPr/>
  </w:style>
  <w:style w:type="table" w:styleId="795" w:customStyle="1">
    <w:name w:val="Grid Table 3 - Accent 2"/>
    <w:basedOn w:val="661"/>
    <w:uiPriority w:val="99"/>
    <w:qFormat/>
    <w:tblPr/>
  </w:style>
  <w:style w:type="table" w:styleId="796" w:customStyle="1">
    <w:name w:val="Grid Table 3 - Accent 3"/>
    <w:basedOn w:val="661"/>
    <w:uiPriority w:val="99"/>
    <w:qFormat/>
    <w:tblPr/>
  </w:style>
  <w:style w:type="table" w:styleId="797" w:customStyle="1">
    <w:name w:val="Grid Table 3 - Accent 4"/>
    <w:basedOn w:val="661"/>
    <w:uiPriority w:val="99"/>
    <w:qFormat/>
    <w:tblPr/>
  </w:style>
  <w:style w:type="table" w:styleId="798" w:customStyle="1">
    <w:name w:val="Grid Table 3 - Accent 5"/>
    <w:basedOn w:val="661"/>
    <w:uiPriority w:val="99"/>
    <w:qFormat/>
    <w:tblPr/>
  </w:style>
  <w:style w:type="table" w:styleId="799" w:customStyle="1">
    <w:name w:val="Grid Table 3 - Accent 6"/>
    <w:basedOn w:val="661"/>
    <w:uiPriority w:val="99"/>
    <w:qFormat/>
    <w:tblPr/>
  </w:style>
  <w:style w:type="table" w:styleId="800" w:customStyle="1">
    <w:name w:val="网格表 41"/>
    <w:basedOn w:val="661"/>
    <w:uiPriority w:val="59"/>
    <w:qFormat/>
    <w:tblPr/>
  </w:style>
  <w:style w:type="table" w:styleId="801" w:customStyle="1">
    <w:name w:val="Grid Table 4 - Accent 1"/>
    <w:basedOn w:val="661"/>
    <w:uiPriority w:val="59"/>
    <w:qFormat/>
    <w:tblPr/>
  </w:style>
  <w:style w:type="table" w:styleId="802" w:customStyle="1">
    <w:name w:val="Grid Table 4 - Accent 2"/>
    <w:basedOn w:val="661"/>
    <w:uiPriority w:val="59"/>
    <w:qFormat/>
    <w:tblPr/>
  </w:style>
  <w:style w:type="table" w:styleId="803" w:customStyle="1">
    <w:name w:val="Grid Table 4 - Accent 3"/>
    <w:basedOn w:val="661"/>
    <w:uiPriority w:val="59"/>
    <w:qFormat/>
    <w:tblPr/>
  </w:style>
  <w:style w:type="table" w:styleId="804" w:customStyle="1">
    <w:name w:val="Grid Table 4 - Accent 4"/>
    <w:basedOn w:val="661"/>
    <w:uiPriority w:val="59"/>
    <w:qFormat/>
    <w:tblPr/>
  </w:style>
  <w:style w:type="table" w:styleId="805" w:customStyle="1">
    <w:name w:val="Grid Table 4 - Accent 5"/>
    <w:basedOn w:val="661"/>
    <w:uiPriority w:val="59"/>
    <w:qFormat/>
    <w:tblPr/>
  </w:style>
  <w:style w:type="table" w:styleId="806" w:customStyle="1">
    <w:name w:val="Grid Table 4 - Accent 6"/>
    <w:basedOn w:val="661"/>
    <w:uiPriority w:val="59"/>
    <w:qFormat/>
    <w:tblPr/>
  </w:style>
  <w:style w:type="table" w:styleId="807" w:customStyle="1">
    <w:name w:val="网格表 5 深色1"/>
    <w:basedOn w:val="661"/>
    <w:uiPriority w:val="99"/>
    <w:qFormat/>
    <w:tblPr/>
  </w:style>
  <w:style w:type="table" w:styleId="808" w:customStyle="1">
    <w:name w:val="Grid Table 5 Dark- Accent 1"/>
    <w:basedOn w:val="661"/>
    <w:uiPriority w:val="99"/>
    <w:qFormat/>
    <w:tblPr/>
  </w:style>
  <w:style w:type="table" w:styleId="809" w:customStyle="1">
    <w:name w:val="Grid Table 5 Dark - Accent 2"/>
    <w:basedOn w:val="661"/>
    <w:uiPriority w:val="99"/>
    <w:qFormat/>
    <w:tblPr/>
  </w:style>
  <w:style w:type="table" w:styleId="810" w:customStyle="1">
    <w:name w:val="Grid Table 5 Dark - Accent 3"/>
    <w:basedOn w:val="661"/>
    <w:uiPriority w:val="99"/>
    <w:qFormat/>
    <w:tblPr/>
  </w:style>
  <w:style w:type="table" w:styleId="811" w:customStyle="1">
    <w:name w:val="Grid Table 5 Dark- Accent 4"/>
    <w:basedOn w:val="661"/>
    <w:uiPriority w:val="99"/>
    <w:qFormat/>
    <w:tblPr/>
  </w:style>
  <w:style w:type="table" w:styleId="812" w:customStyle="1">
    <w:name w:val="Grid Table 5 Dark - Accent 5"/>
    <w:basedOn w:val="661"/>
    <w:uiPriority w:val="99"/>
    <w:qFormat/>
    <w:tblPr/>
  </w:style>
  <w:style w:type="table" w:styleId="813" w:customStyle="1">
    <w:name w:val="Grid Table 5 Dark - Accent 6"/>
    <w:basedOn w:val="661"/>
    <w:uiPriority w:val="99"/>
    <w:qFormat/>
    <w:tblPr/>
  </w:style>
  <w:style w:type="table" w:styleId="814" w:customStyle="1">
    <w:name w:val="网格表 6 彩色1"/>
    <w:basedOn w:val="661"/>
    <w:uiPriority w:val="99"/>
    <w:qFormat/>
    <w:tblPr/>
  </w:style>
  <w:style w:type="table" w:styleId="815" w:customStyle="1">
    <w:name w:val="Grid Table 6 Colorful - Accent 1"/>
    <w:basedOn w:val="661"/>
    <w:uiPriority w:val="99"/>
    <w:qFormat/>
    <w:tblPr/>
  </w:style>
  <w:style w:type="table" w:styleId="816" w:customStyle="1">
    <w:name w:val="Grid Table 6 Colorful - Accent 2"/>
    <w:basedOn w:val="661"/>
    <w:uiPriority w:val="99"/>
    <w:qFormat/>
    <w:tblPr/>
  </w:style>
  <w:style w:type="table" w:styleId="817" w:customStyle="1">
    <w:name w:val="Grid Table 6 Colorful - Accent 3"/>
    <w:basedOn w:val="661"/>
    <w:uiPriority w:val="99"/>
    <w:qFormat/>
    <w:tblPr/>
  </w:style>
  <w:style w:type="table" w:styleId="818" w:customStyle="1">
    <w:name w:val="Grid Table 6 Colorful - Accent 4"/>
    <w:basedOn w:val="661"/>
    <w:uiPriority w:val="99"/>
    <w:qFormat/>
    <w:tblPr/>
  </w:style>
  <w:style w:type="table" w:styleId="819" w:customStyle="1">
    <w:name w:val="Grid Table 6 Colorful - Accent 5"/>
    <w:basedOn w:val="661"/>
    <w:uiPriority w:val="99"/>
    <w:qFormat/>
    <w:tblPr/>
  </w:style>
  <w:style w:type="table" w:styleId="820" w:customStyle="1">
    <w:name w:val="Grid Table 6 Colorful - Accent 6"/>
    <w:basedOn w:val="661"/>
    <w:uiPriority w:val="99"/>
    <w:qFormat/>
    <w:tblPr/>
  </w:style>
  <w:style w:type="table" w:styleId="821" w:customStyle="1">
    <w:name w:val="网格表 7 彩色1"/>
    <w:basedOn w:val="661"/>
    <w:uiPriority w:val="99"/>
    <w:qFormat/>
    <w:tblPr/>
  </w:style>
  <w:style w:type="table" w:styleId="822" w:customStyle="1">
    <w:name w:val="Grid Table 7 Colorful - Accent 1"/>
    <w:basedOn w:val="661"/>
    <w:uiPriority w:val="99"/>
    <w:qFormat/>
    <w:tblPr/>
  </w:style>
  <w:style w:type="table" w:styleId="823" w:customStyle="1">
    <w:name w:val="Grid Table 7 Colorful - Accent 2"/>
    <w:basedOn w:val="661"/>
    <w:uiPriority w:val="99"/>
    <w:qFormat/>
    <w:tblPr/>
  </w:style>
  <w:style w:type="table" w:styleId="824" w:customStyle="1">
    <w:name w:val="Grid Table 7 Colorful - Accent 3"/>
    <w:basedOn w:val="661"/>
    <w:uiPriority w:val="99"/>
    <w:qFormat/>
    <w:tblPr/>
  </w:style>
  <w:style w:type="table" w:styleId="825" w:customStyle="1">
    <w:name w:val="Grid Table 7 Colorful - Accent 4"/>
    <w:basedOn w:val="661"/>
    <w:uiPriority w:val="99"/>
    <w:qFormat/>
    <w:tblPr/>
  </w:style>
  <w:style w:type="table" w:styleId="826" w:customStyle="1">
    <w:name w:val="Grid Table 7 Colorful - Accent 5"/>
    <w:basedOn w:val="661"/>
    <w:uiPriority w:val="99"/>
    <w:qFormat/>
    <w:tblPr/>
  </w:style>
  <w:style w:type="table" w:styleId="827" w:customStyle="1">
    <w:name w:val="Grid Table 7 Colorful - Accent 6"/>
    <w:basedOn w:val="661"/>
    <w:uiPriority w:val="99"/>
    <w:qFormat/>
    <w:tblPr/>
  </w:style>
  <w:style w:type="table" w:styleId="828" w:customStyle="1">
    <w:name w:val="清单表 1 浅色1"/>
    <w:basedOn w:val="661"/>
    <w:uiPriority w:val="99"/>
    <w:qFormat/>
    <w:tblPr/>
  </w:style>
  <w:style w:type="table" w:styleId="829" w:customStyle="1">
    <w:name w:val="List Table 1 Light - Accent 1"/>
    <w:basedOn w:val="661"/>
    <w:uiPriority w:val="99"/>
    <w:qFormat/>
    <w:tblPr/>
  </w:style>
  <w:style w:type="table" w:styleId="830" w:customStyle="1">
    <w:name w:val="List Table 1 Light - Accent 2"/>
    <w:basedOn w:val="661"/>
    <w:uiPriority w:val="99"/>
    <w:qFormat/>
    <w:tblPr/>
  </w:style>
  <w:style w:type="table" w:styleId="831" w:customStyle="1">
    <w:name w:val="List Table 1 Light - Accent 3"/>
    <w:basedOn w:val="661"/>
    <w:uiPriority w:val="99"/>
    <w:qFormat/>
    <w:tblPr/>
  </w:style>
  <w:style w:type="table" w:styleId="832" w:customStyle="1">
    <w:name w:val="List Table 1 Light - Accent 4"/>
    <w:basedOn w:val="661"/>
    <w:uiPriority w:val="99"/>
    <w:qFormat/>
    <w:tblPr/>
  </w:style>
  <w:style w:type="table" w:styleId="833" w:customStyle="1">
    <w:name w:val="List Table 1 Light - Accent 5"/>
    <w:basedOn w:val="661"/>
    <w:uiPriority w:val="99"/>
    <w:qFormat/>
    <w:tblPr/>
  </w:style>
  <w:style w:type="table" w:styleId="834" w:customStyle="1">
    <w:name w:val="List Table 1 Light - Accent 6"/>
    <w:basedOn w:val="661"/>
    <w:uiPriority w:val="99"/>
    <w:qFormat/>
    <w:tblPr/>
  </w:style>
  <w:style w:type="table" w:styleId="835" w:customStyle="1">
    <w:name w:val="清单表 21"/>
    <w:basedOn w:val="661"/>
    <w:uiPriority w:val="99"/>
    <w:qFormat/>
    <w:tblPr/>
  </w:style>
  <w:style w:type="table" w:styleId="836" w:customStyle="1">
    <w:name w:val="List Table 2 - Accent 1"/>
    <w:basedOn w:val="661"/>
    <w:uiPriority w:val="99"/>
    <w:qFormat/>
    <w:tblPr/>
  </w:style>
  <w:style w:type="table" w:styleId="837" w:customStyle="1">
    <w:name w:val="List Table 2 - Accent 2"/>
    <w:basedOn w:val="661"/>
    <w:uiPriority w:val="99"/>
    <w:qFormat/>
    <w:tblPr/>
  </w:style>
  <w:style w:type="table" w:styleId="838" w:customStyle="1">
    <w:name w:val="List Table 2 - Accent 3"/>
    <w:basedOn w:val="661"/>
    <w:uiPriority w:val="99"/>
    <w:qFormat/>
    <w:tblPr/>
  </w:style>
  <w:style w:type="table" w:styleId="839" w:customStyle="1">
    <w:name w:val="List Table 2 - Accent 4"/>
    <w:basedOn w:val="661"/>
    <w:uiPriority w:val="99"/>
    <w:qFormat/>
    <w:tblPr/>
  </w:style>
  <w:style w:type="table" w:styleId="840" w:customStyle="1">
    <w:name w:val="List Table 2 - Accent 5"/>
    <w:basedOn w:val="661"/>
    <w:uiPriority w:val="99"/>
    <w:qFormat/>
    <w:tblPr/>
  </w:style>
  <w:style w:type="table" w:styleId="841" w:customStyle="1">
    <w:name w:val="List Table 2 - Accent 6"/>
    <w:basedOn w:val="661"/>
    <w:uiPriority w:val="99"/>
    <w:qFormat/>
    <w:tblPr/>
  </w:style>
  <w:style w:type="table" w:styleId="842" w:customStyle="1">
    <w:name w:val="清单表 31"/>
    <w:basedOn w:val="661"/>
    <w:uiPriority w:val="99"/>
    <w:qFormat/>
    <w:tblPr/>
  </w:style>
  <w:style w:type="table" w:styleId="843" w:customStyle="1">
    <w:name w:val="List Table 3 - Accent 1"/>
    <w:basedOn w:val="661"/>
    <w:uiPriority w:val="99"/>
    <w:qFormat/>
    <w:tblPr/>
  </w:style>
  <w:style w:type="table" w:styleId="844" w:customStyle="1">
    <w:name w:val="List Table 3 - Accent 2"/>
    <w:basedOn w:val="661"/>
    <w:uiPriority w:val="99"/>
    <w:qFormat/>
    <w:tblPr/>
  </w:style>
  <w:style w:type="table" w:styleId="845" w:customStyle="1">
    <w:name w:val="List Table 3 - Accent 3"/>
    <w:basedOn w:val="661"/>
    <w:uiPriority w:val="99"/>
    <w:qFormat/>
    <w:tblPr/>
  </w:style>
  <w:style w:type="table" w:styleId="846" w:customStyle="1">
    <w:name w:val="List Table 3 - Accent 4"/>
    <w:basedOn w:val="661"/>
    <w:uiPriority w:val="99"/>
    <w:qFormat/>
    <w:tblPr/>
  </w:style>
  <w:style w:type="table" w:styleId="847" w:customStyle="1">
    <w:name w:val="List Table 3 - Accent 5"/>
    <w:basedOn w:val="661"/>
    <w:uiPriority w:val="99"/>
    <w:qFormat/>
    <w:tblPr/>
  </w:style>
  <w:style w:type="table" w:styleId="848" w:customStyle="1">
    <w:name w:val="List Table 3 - Accent 6"/>
    <w:basedOn w:val="661"/>
    <w:uiPriority w:val="99"/>
    <w:qFormat/>
    <w:tblPr/>
  </w:style>
  <w:style w:type="table" w:styleId="849" w:customStyle="1">
    <w:name w:val="清单表 41"/>
    <w:basedOn w:val="661"/>
    <w:uiPriority w:val="99"/>
    <w:qFormat/>
    <w:tblPr/>
  </w:style>
  <w:style w:type="table" w:styleId="850" w:customStyle="1">
    <w:name w:val="List Table 4 - Accent 1"/>
    <w:basedOn w:val="661"/>
    <w:uiPriority w:val="99"/>
    <w:qFormat/>
    <w:tblPr/>
  </w:style>
  <w:style w:type="table" w:styleId="851" w:customStyle="1">
    <w:name w:val="List Table 4 - Accent 2"/>
    <w:basedOn w:val="661"/>
    <w:uiPriority w:val="99"/>
    <w:qFormat/>
    <w:tblPr/>
  </w:style>
  <w:style w:type="table" w:styleId="852" w:customStyle="1">
    <w:name w:val="List Table 4 - Accent 3"/>
    <w:basedOn w:val="661"/>
    <w:uiPriority w:val="99"/>
    <w:qFormat/>
    <w:tblPr/>
  </w:style>
  <w:style w:type="table" w:styleId="853" w:customStyle="1">
    <w:name w:val="List Table 4 - Accent 4"/>
    <w:basedOn w:val="661"/>
    <w:uiPriority w:val="99"/>
    <w:qFormat/>
    <w:tblPr/>
  </w:style>
  <w:style w:type="table" w:styleId="854" w:customStyle="1">
    <w:name w:val="List Table 4 - Accent 5"/>
    <w:basedOn w:val="661"/>
    <w:uiPriority w:val="99"/>
    <w:qFormat/>
    <w:tblPr/>
  </w:style>
  <w:style w:type="table" w:styleId="855" w:customStyle="1">
    <w:name w:val="List Table 4 - Accent 6"/>
    <w:basedOn w:val="661"/>
    <w:uiPriority w:val="99"/>
    <w:qFormat/>
    <w:tblPr/>
  </w:style>
  <w:style w:type="table" w:styleId="856" w:customStyle="1">
    <w:name w:val="清单表 5 深色1"/>
    <w:basedOn w:val="661"/>
    <w:uiPriority w:val="99"/>
    <w:qFormat/>
    <w:tblPr/>
  </w:style>
  <w:style w:type="table" w:styleId="857" w:customStyle="1">
    <w:name w:val="List Table 5 Dark - Accent 1"/>
    <w:basedOn w:val="661"/>
    <w:uiPriority w:val="99"/>
    <w:qFormat/>
    <w:tblPr/>
  </w:style>
  <w:style w:type="table" w:styleId="858" w:customStyle="1">
    <w:name w:val="List Table 5 Dark - Accent 2"/>
    <w:basedOn w:val="661"/>
    <w:uiPriority w:val="99"/>
    <w:qFormat/>
    <w:tblPr/>
  </w:style>
  <w:style w:type="table" w:styleId="859" w:customStyle="1">
    <w:name w:val="List Table 5 Dark - Accent 3"/>
    <w:basedOn w:val="661"/>
    <w:uiPriority w:val="99"/>
    <w:qFormat/>
    <w:tblPr/>
  </w:style>
  <w:style w:type="table" w:styleId="860" w:customStyle="1">
    <w:name w:val="List Table 5 Dark - Accent 4"/>
    <w:basedOn w:val="661"/>
    <w:uiPriority w:val="99"/>
    <w:qFormat/>
    <w:tblPr/>
  </w:style>
  <w:style w:type="table" w:styleId="861" w:customStyle="1">
    <w:name w:val="List Table 5 Dark - Accent 5"/>
    <w:basedOn w:val="661"/>
    <w:uiPriority w:val="99"/>
    <w:qFormat/>
    <w:tblPr/>
  </w:style>
  <w:style w:type="table" w:styleId="862" w:customStyle="1">
    <w:name w:val="List Table 5 Dark - Accent 6"/>
    <w:basedOn w:val="661"/>
    <w:uiPriority w:val="99"/>
    <w:qFormat/>
    <w:tblPr/>
  </w:style>
  <w:style w:type="table" w:styleId="863" w:customStyle="1">
    <w:name w:val="清单表 6 彩色1"/>
    <w:basedOn w:val="661"/>
    <w:uiPriority w:val="99"/>
    <w:qFormat/>
    <w:tblPr/>
  </w:style>
  <w:style w:type="table" w:styleId="864" w:customStyle="1">
    <w:name w:val="List Table 6 Colorful - Accent 1"/>
    <w:basedOn w:val="661"/>
    <w:uiPriority w:val="99"/>
    <w:qFormat/>
    <w:tblPr/>
  </w:style>
  <w:style w:type="table" w:styleId="865" w:customStyle="1">
    <w:name w:val="List Table 6 Colorful - Accent 2"/>
    <w:basedOn w:val="661"/>
    <w:uiPriority w:val="99"/>
    <w:qFormat/>
    <w:tblPr/>
  </w:style>
  <w:style w:type="table" w:styleId="866" w:customStyle="1">
    <w:name w:val="List Table 6 Colorful - Accent 3"/>
    <w:basedOn w:val="661"/>
    <w:uiPriority w:val="99"/>
    <w:qFormat/>
    <w:tblPr/>
  </w:style>
  <w:style w:type="table" w:styleId="867" w:customStyle="1">
    <w:name w:val="List Table 6 Colorful - Accent 4"/>
    <w:basedOn w:val="661"/>
    <w:uiPriority w:val="99"/>
    <w:qFormat/>
    <w:tblPr/>
  </w:style>
  <w:style w:type="table" w:styleId="868" w:customStyle="1">
    <w:name w:val="List Table 6 Colorful - Accent 5"/>
    <w:basedOn w:val="661"/>
    <w:uiPriority w:val="99"/>
    <w:qFormat/>
    <w:tblPr/>
  </w:style>
  <w:style w:type="table" w:styleId="869" w:customStyle="1">
    <w:name w:val="List Table 6 Colorful - Accent 6"/>
    <w:basedOn w:val="661"/>
    <w:uiPriority w:val="99"/>
    <w:qFormat/>
    <w:tblPr/>
  </w:style>
  <w:style w:type="table" w:styleId="870" w:customStyle="1">
    <w:name w:val="清单表 7 彩色1"/>
    <w:basedOn w:val="661"/>
    <w:uiPriority w:val="99"/>
    <w:qFormat/>
    <w:tblPr/>
  </w:style>
  <w:style w:type="table" w:styleId="871" w:customStyle="1">
    <w:name w:val="List Table 7 Colorful - Accent 1"/>
    <w:basedOn w:val="661"/>
    <w:uiPriority w:val="99"/>
    <w:qFormat/>
    <w:tblPr/>
  </w:style>
  <w:style w:type="table" w:styleId="872" w:customStyle="1">
    <w:name w:val="List Table 7 Colorful - Accent 2"/>
    <w:basedOn w:val="661"/>
    <w:uiPriority w:val="99"/>
    <w:qFormat/>
    <w:tblPr/>
  </w:style>
  <w:style w:type="table" w:styleId="873" w:customStyle="1">
    <w:name w:val="List Table 7 Colorful - Accent 3"/>
    <w:basedOn w:val="661"/>
    <w:uiPriority w:val="99"/>
    <w:qFormat/>
    <w:tblPr/>
  </w:style>
  <w:style w:type="table" w:styleId="874" w:customStyle="1">
    <w:name w:val="List Table 7 Colorful - Accent 4"/>
    <w:basedOn w:val="661"/>
    <w:uiPriority w:val="99"/>
    <w:qFormat/>
    <w:tblPr/>
  </w:style>
  <w:style w:type="table" w:styleId="875" w:customStyle="1">
    <w:name w:val="List Table 7 Colorful - Accent 5"/>
    <w:basedOn w:val="661"/>
    <w:uiPriority w:val="99"/>
    <w:qFormat/>
    <w:tblPr/>
  </w:style>
  <w:style w:type="table" w:styleId="876" w:customStyle="1">
    <w:name w:val="List Table 7 Colorful - Accent 6"/>
    <w:basedOn w:val="661"/>
    <w:uiPriority w:val="99"/>
    <w:qFormat/>
    <w:tblPr/>
  </w:style>
  <w:style w:type="table" w:styleId="877" w:customStyle="1">
    <w:name w:val="Lined - Accent"/>
    <w:basedOn w:val="661"/>
    <w:uiPriority w:val="99"/>
    <w:qFormat/>
    <w:rPr>
      <w:color w:val="404040"/>
    </w:rPr>
    <w:tblPr/>
  </w:style>
  <w:style w:type="table" w:styleId="878" w:customStyle="1">
    <w:name w:val="Lined - Accent 1"/>
    <w:basedOn w:val="661"/>
    <w:uiPriority w:val="99"/>
    <w:qFormat/>
    <w:rPr>
      <w:color w:val="404040"/>
    </w:rPr>
    <w:tblPr/>
  </w:style>
  <w:style w:type="table" w:styleId="879" w:customStyle="1">
    <w:name w:val="Lined - Accent 2"/>
    <w:basedOn w:val="661"/>
    <w:uiPriority w:val="99"/>
    <w:qFormat/>
    <w:rPr>
      <w:color w:val="404040"/>
    </w:rPr>
    <w:tblPr/>
  </w:style>
  <w:style w:type="table" w:styleId="880" w:customStyle="1">
    <w:name w:val="Lined - Accent 3"/>
    <w:basedOn w:val="661"/>
    <w:uiPriority w:val="99"/>
    <w:qFormat/>
    <w:rPr>
      <w:color w:val="404040"/>
    </w:rPr>
    <w:tblPr/>
  </w:style>
  <w:style w:type="table" w:styleId="881" w:customStyle="1">
    <w:name w:val="Lined - Accent 4"/>
    <w:basedOn w:val="661"/>
    <w:uiPriority w:val="99"/>
    <w:qFormat/>
    <w:rPr>
      <w:color w:val="404040"/>
    </w:rPr>
    <w:tblPr/>
  </w:style>
  <w:style w:type="table" w:styleId="882" w:customStyle="1">
    <w:name w:val="Lined - Accent 5"/>
    <w:basedOn w:val="661"/>
    <w:uiPriority w:val="99"/>
    <w:qFormat/>
    <w:rPr>
      <w:color w:val="404040"/>
    </w:rPr>
    <w:tblPr/>
  </w:style>
  <w:style w:type="table" w:styleId="883" w:customStyle="1">
    <w:name w:val="Lined - Accent 6"/>
    <w:basedOn w:val="661"/>
    <w:uiPriority w:val="99"/>
    <w:qFormat/>
    <w:rPr>
      <w:color w:val="404040"/>
    </w:rPr>
    <w:tblPr/>
  </w:style>
  <w:style w:type="table" w:styleId="884" w:customStyle="1">
    <w:name w:val="Bordered &amp; Lined - Accent"/>
    <w:basedOn w:val="661"/>
    <w:uiPriority w:val="99"/>
    <w:qFormat/>
    <w:rPr>
      <w:color w:val="404040"/>
    </w:rPr>
    <w:tblPr/>
  </w:style>
  <w:style w:type="table" w:styleId="885" w:customStyle="1">
    <w:name w:val="Bordered &amp; Lined - Accent 1"/>
    <w:basedOn w:val="661"/>
    <w:uiPriority w:val="99"/>
    <w:qFormat/>
    <w:rPr>
      <w:color w:val="404040"/>
    </w:rPr>
    <w:tblPr/>
  </w:style>
  <w:style w:type="table" w:styleId="886" w:customStyle="1">
    <w:name w:val="Bordered &amp; Lined - Accent 2"/>
    <w:basedOn w:val="661"/>
    <w:uiPriority w:val="99"/>
    <w:qFormat/>
    <w:rPr>
      <w:color w:val="404040"/>
    </w:rPr>
    <w:tblPr/>
  </w:style>
  <w:style w:type="table" w:styleId="887" w:customStyle="1">
    <w:name w:val="Bordered &amp; Lined - Accent 3"/>
    <w:basedOn w:val="661"/>
    <w:uiPriority w:val="99"/>
    <w:qFormat/>
    <w:rPr>
      <w:color w:val="404040"/>
    </w:rPr>
    <w:tblPr/>
  </w:style>
  <w:style w:type="table" w:styleId="888" w:customStyle="1">
    <w:name w:val="Bordered &amp; Lined - Accent 4"/>
    <w:basedOn w:val="661"/>
    <w:uiPriority w:val="99"/>
    <w:qFormat/>
    <w:rPr>
      <w:color w:val="404040"/>
    </w:rPr>
    <w:tblPr/>
  </w:style>
  <w:style w:type="table" w:styleId="889" w:customStyle="1">
    <w:name w:val="Bordered &amp; Lined - Accent 5"/>
    <w:basedOn w:val="661"/>
    <w:uiPriority w:val="99"/>
    <w:qFormat/>
    <w:rPr>
      <w:color w:val="404040"/>
    </w:rPr>
    <w:tblPr/>
  </w:style>
  <w:style w:type="table" w:styleId="890" w:customStyle="1">
    <w:name w:val="Bordered &amp; Lined - Accent 6"/>
    <w:basedOn w:val="661"/>
    <w:uiPriority w:val="99"/>
    <w:qFormat/>
    <w:rPr>
      <w:color w:val="404040"/>
    </w:rPr>
    <w:tblPr/>
  </w:style>
  <w:style w:type="table" w:styleId="891" w:customStyle="1">
    <w:name w:val="Bordered"/>
    <w:basedOn w:val="661"/>
    <w:uiPriority w:val="99"/>
    <w:qFormat/>
    <w:tblPr/>
  </w:style>
  <w:style w:type="table" w:styleId="892" w:customStyle="1">
    <w:name w:val="Bordered - Accent 1"/>
    <w:basedOn w:val="661"/>
    <w:uiPriority w:val="99"/>
    <w:qFormat/>
    <w:tblPr/>
  </w:style>
  <w:style w:type="table" w:styleId="893" w:customStyle="1">
    <w:name w:val="Bordered - Accent 2"/>
    <w:basedOn w:val="661"/>
    <w:uiPriority w:val="99"/>
    <w:qFormat/>
    <w:tblPr/>
  </w:style>
  <w:style w:type="table" w:styleId="894" w:customStyle="1">
    <w:name w:val="Bordered - Accent 3"/>
    <w:basedOn w:val="661"/>
    <w:uiPriority w:val="99"/>
    <w:qFormat/>
    <w:tblPr/>
  </w:style>
  <w:style w:type="table" w:styleId="895" w:customStyle="1">
    <w:name w:val="Bordered - Accent 4"/>
    <w:basedOn w:val="661"/>
    <w:uiPriority w:val="99"/>
    <w:qFormat/>
    <w:tblPr/>
  </w:style>
  <w:style w:type="table" w:styleId="896" w:customStyle="1">
    <w:name w:val="Bordered - Accent 5"/>
    <w:basedOn w:val="661"/>
    <w:uiPriority w:val="99"/>
    <w:qFormat/>
    <w:tblPr/>
  </w:style>
  <w:style w:type="table" w:styleId="897" w:customStyle="1">
    <w:name w:val="Bordered - Accent 6"/>
    <w:basedOn w:val="661"/>
    <w:uiPriority w:val="99"/>
    <w:qFormat/>
    <w:tblPr/>
  </w:style>
  <w:style w:type="paragraph" w:styleId="898" w:customStyle="1">
    <w:name w:val="TOC 标题1"/>
    <w:uiPriority w:val="39"/>
    <w:unhideWhenUsed/>
    <w:qFormat/>
    <w:pPr>
      <w:spacing w:after="200" w:line="276" w:lineRule="auto"/>
    </w:pPr>
    <w:rPr>
      <w:rFonts w:ascii="Arial" w:hAnsi="Arial" w:eastAsia="Arial"/>
      <w:sz w:val="22"/>
      <w:szCs w:val="22"/>
      <w:lang w:eastAsia="en-US"/>
    </w:rPr>
  </w:style>
  <w:style w:type="paragraph" w:styleId="899" w:customStyle="1">
    <w:name w:val="正文1"/>
    <w:next w:val="900"/>
    <w:qFormat/>
    <w:pPr>
      <w:jc w:val="both"/>
      <w:widowControl w:val="off"/>
    </w:pPr>
    <w:rPr>
      <w:b/>
      <w:bCs/>
      <w:smallCaps/>
      <w:spacing w:val="5"/>
    </w:rPr>
  </w:style>
  <w:style w:type="paragraph" w:styleId="900" w:customStyle="1">
    <w:name w:val="注释标题1"/>
    <w:basedOn w:val="899"/>
    <w:next w:val="899"/>
    <w:qFormat/>
    <w:rPr>
      <w:rFonts w:ascii="Verdana" w:hAnsi="Verdana"/>
    </w:rPr>
  </w:style>
  <w:style w:type="paragraph" w:styleId="901" w:customStyle="1">
    <w:name w:val="正文缩进1"/>
    <w:basedOn w:val="650"/>
    <w:unhideWhenUsed/>
    <w:qFormat/>
    <w:pPr>
      <w:ind w:firstLine="420"/>
    </w:pPr>
    <w:rPr>
      <w:sz w:val="24"/>
    </w:rPr>
  </w:style>
  <w:style w:type="paragraph" w:styleId="902" w:customStyle="1">
    <w:name w:val="正文文本1"/>
    <w:basedOn w:val="650"/>
    <w:unhideWhenUsed/>
    <w:qFormat/>
    <w:rPr>
      <w:rFonts w:ascii="楷体_GB2312"/>
      <w:b/>
      <w:bCs/>
      <w:sz w:val="28"/>
    </w:rPr>
  </w:style>
  <w:style w:type="paragraph" w:styleId="903" w:customStyle="1">
    <w:name w:val="正文首行缩进 21"/>
    <w:basedOn w:val="750"/>
    <w:uiPriority w:val="99"/>
    <w:unhideWhenUsed/>
    <w:qFormat/>
    <w:pPr>
      <w:ind w:firstLine="420"/>
    </w:pPr>
  </w:style>
  <w:style w:type="paragraph" w:styleId="904" w:customStyle="1">
    <w:name w:val="纯文本1111"/>
    <w:basedOn w:val="650"/>
    <w:next w:val="901"/>
    <w:unhideWhenUsed/>
    <w:qFormat/>
    <w:rPr>
      <w:rFonts w:ascii="宋体" w:hAnsi="Courier New"/>
    </w:rPr>
  </w:style>
  <w:style w:type="paragraph" w:styleId="905" w:customStyle="1">
    <w:name w:val="纯文本1"/>
    <w:basedOn w:val="650"/>
    <w:next w:val="901"/>
    <w:qFormat/>
    <w:rPr>
      <w:rFonts w:ascii="宋体" w:hAnsi="Courier New"/>
      <w:szCs w:val="20"/>
    </w:rPr>
  </w:style>
  <w:style w:type="paragraph" w:styleId="906" w:customStyle="1">
    <w:name w:val="列表段落1"/>
    <w:basedOn w:val="650"/>
    <w:uiPriority w:val="99"/>
    <w:qFormat/>
    <w:pPr>
      <w:ind w:firstLine="420"/>
    </w:pPr>
  </w:style>
  <w:style w:type="paragraph" w:styleId="907" w:customStyle="1">
    <w:name w:val="Char Char Char Char"/>
    <w:basedOn w:val="650"/>
    <w:qFormat/>
    <w:rPr>
      <w:rFonts w:ascii="Tahoma" w:hAnsi="Tahoma"/>
      <w:sz w:val="24"/>
      <w:szCs w:val="24"/>
    </w:rPr>
  </w:style>
  <w:style w:type="character" w:styleId="908" w:customStyle="1">
    <w:name w:val="font12"/>
    <w:qFormat/>
    <w:rPr>
      <w:rFonts w:hint="eastAsia" w:ascii="幼圆" w:hAnsi="幼圆" w:eastAsia="幼圆" w:cs="幼圆"/>
      <w:color w:val="000000"/>
      <w:sz w:val="20"/>
      <w:szCs w:val="20"/>
      <w:u w:val="none"/>
    </w:rPr>
  </w:style>
  <w:style w:type="character" w:styleId="909" w:customStyle="1">
    <w:name w:val="font111"/>
    <w:qFormat/>
    <w:rPr>
      <w:rFonts w:hint="eastAsia" w:ascii="宋体" w:hAnsi="宋体" w:eastAsia="宋体" w:cs="宋体"/>
      <w:color w:val="000000"/>
      <w:sz w:val="20"/>
      <w:szCs w:val="20"/>
      <w:u w:val="none"/>
    </w:rPr>
  </w:style>
  <w:style w:type="paragraph" w:styleId="910" w:customStyle="1">
    <w:name w:val="Table Paragraph"/>
    <w:basedOn w:val="650"/>
    <w:qFormat/>
    <w:rPr>
      <w:rFonts w:ascii="宋体" w:hAnsi="宋体" w:cs="宋体"/>
      <w:lang w:val="zh-CN" w:bidi="zh-CN"/>
    </w:rPr>
  </w:style>
  <w:style w:type="character" w:styleId="911" w:customStyle="1">
    <w:name w:val="font81"/>
    <w:qFormat/>
    <w:rPr>
      <w:rFonts w:ascii="Times New Roman" w:hAnsi="Times New Roman" w:cs="Times New Roman"/>
      <w:b/>
      <w:bCs/>
      <w:color w:val="000000"/>
      <w:sz w:val="20"/>
      <w:szCs w:val="20"/>
      <w:u w:val="none"/>
    </w:rPr>
  </w:style>
  <w:style w:type="character" w:styleId="912" w:customStyle="1">
    <w:name w:val="font41"/>
    <w:qFormat/>
    <w:rPr>
      <w:rFonts w:hint="eastAsia" w:ascii="宋体" w:hAnsi="宋体" w:eastAsia="宋体" w:cs="宋体"/>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8%8E%B7%E5%8F%96%E6%8B%9B%E6%A0%87%E6%96%87%E4%BB%B6%EF%BC%8C%E5%B9%B6%E4%BA%8E2023%E5%B9%B411%E6%9C%88" TargetMode="External"/><Relationship Id="rId10" Type="http://schemas.openxmlformats.org/officeDocument/2006/relationships/image" Target="media/image1.jp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g"/><Relationship Id="rId16" Type="http://schemas.openxmlformats.org/officeDocument/2006/relationships/image" Target="media/image7.jp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g"/><Relationship Id="rId21" Type="http://schemas.openxmlformats.org/officeDocument/2006/relationships/image" Target="media/image12.png"/><Relationship Id="rId22"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申海</dc:creator>
  <cp:lastModifiedBy>钱俞芹</cp:lastModifiedBy>
  <cp:revision>8</cp:revision>
  <dcterms:created xsi:type="dcterms:W3CDTF">2024-03-30T16:45:00Z</dcterms:created>
  <dcterms:modified xsi:type="dcterms:W3CDTF">2026-06-10T02:33:53Z</dcterms:modified>
</cp:coreProperties>
</file>