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cs="宋体"/>
          <w:b/>
          <w:bCs/>
          <w:strike w:val="0"/>
          <w:color w:val="auto"/>
          <w:sz w:val="36"/>
          <w:highlight w:val="none"/>
          <w:lang w:eastAsia="zh-CN"/>
        </w:rPr>
        <w:t xml:space="preserve">JSZC-320000-SWGC-G2026-0076号</w:t>
      </w:r>
      <w:r/>
    </w:p>
    <w:p>
      <w:pPr>
        <w:jc w:val="center"/>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lang w:eastAsia="zh-CN"/>
        </w:rPr>
      </w:pPr>
      <w:r>
        <w:rPr>
          <w:rFonts w:hint="eastAsia" w:ascii="Times New Roman" w:hAnsi="Times New Roman" w:eastAsia="宋体" w:cs="宋体"/>
          <w:b/>
          <w:bCs/>
          <w:color w:val="auto"/>
          <w:sz w:val="36"/>
          <w:highlight w:val="none"/>
          <w:lang w:eastAsia="zh-CN"/>
        </w:rPr>
        <w:t xml:space="preserve">扬州工业职业技术学院教学楼教室课桌椅更换项目</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公开招标文件</w:t>
      </w:r>
      <w:r/>
    </w:p>
    <w:p>
      <w:pPr>
        <w:pStyle w:val="970"/>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ascii="Times New Roman" w:hAnsi="Times New Roman" w:eastAsia="宋体"/>
          <w:color w:val="auto"/>
        </w:rPr>
        <mc:AlternateContent>
          <mc:Choice Requires="wpg">
            <w:drawing>
              <wp:inline xmlns:wp="http://schemas.openxmlformats.org/drawingml/2006/wordprocessingDrawing" distT="0" distB="0" distL="0" distR="0">
                <wp:extent cx="5265420" cy="3050540"/>
                <wp:effectExtent l="0" t="0" r="1143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265420" cy="305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6pt;height:240.2pt;mso-wrap-distance-left:0.0pt;mso-wrap-distance-top:0.0pt;mso-wrap-distance-right:0.0pt;mso-wrap-distance-bottom:0.0pt;" stroked="f">
                <v:path textboxrect="0,0,0,0"/>
                <v:imagedata r:id="rId14" o:title=""/>
              </v:shape>
            </w:pict>
          </mc:Fallback>
        </mc:AlternateContent>
      </w:r>
      <w:r/>
    </w:p>
    <w:p>
      <w:pPr>
        <w:jc w:val="center"/>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eastAsia" w:ascii="Times New Roman" w:hAnsi="Times New Roman" w:eastAsia="宋体" w:cs="宋体"/>
          <w:b/>
          <w:bCs/>
          <w:color w:val="auto"/>
          <w:sz w:val="36"/>
          <w:highlight w:val="none"/>
          <w:lang w:val="en-US" w:eastAsia="zh-CN"/>
        </w:rPr>
        <w:t xml:space="preserve">06</w:t>
      </w:r>
      <w:r>
        <w:rPr>
          <w:rFonts w:hint="eastAsia" w:ascii="Times New Roman" w:hAnsi="Times New Roman" w:eastAsia="宋体"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03</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none"/>
        </w:rPr>
      </w:r>
      <w:r/>
    </w:p>
    <w:p>
      <w:pPr>
        <w:pStyle w:val="98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ind w:left="0" w:right="0" w:firstLine="0"/>
        <w:jc w:val="center"/>
        <w:keepLines w:val="0"/>
        <w:keepNext w:val="0"/>
        <w:pageBreakBefore w:val="0"/>
        <w:spacing w:before="0" w:after="0" w:line="480" w:lineRule="auto"/>
        <w:widowControl w:val="off"/>
        <w:rPr>
          <w:color w:val="auto"/>
          <w:sz w:val="32"/>
          <w:szCs w:val="32"/>
        </w:rPr>
      </w:pPr>
      <w:r>
        <w:rPr>
          <w:rFonts w:ascii="宋体" w:hAnsi="宋体" w:eastAsia="宋体"/>
          <w:color w:val="auto"/>
          <w:sz w:val="32"/>
          <w:szCs w:val="32"/>
        </w:rPr>
        <w:t xml:space="preserve">目录</w:t>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TOC \o "1-1" \h \u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_Toc27131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olor w:val="auto"/>
          <w:sz w:val="32"/>
          <w:szCs w:val="32"/>
          <w:highlight w:val="none"/>
        </w:rPr>
        <w:t xml:space="preserve">第一章 采购公告</w:t>
      </w:r>
      <w:r>
        <w:rPr>
          <w:color w:val="auto"/>
          <w:sz w:val="32"/>
          <w:szCs w:val="32"/>
        </w:rPr>
        <w:tab/>
      </w:r>
      <w:r>
        <w:rPr>
          <w:color w:val="auto"/>
          <w:sz w:val="32"/>
          <w:szCs w:val="32"/>
        </w:rPr>
        <w:fldChar w:fldCharType="begin"/>
      </w:r>
      <w:r>
        <w:rPr>
          <w:color w:val="auto"/>
          <w:sz w:val="32"/>
          <w:szCs w:val="32"/>
        </w:rPr>
        <w:instrText xml:space="preserve"> PAGEREF _Toc27131 \h </w:instrText>
      </w:r>
      <w:r>
        <w:rPr>
          <w:color w:val="auto"/>
          <w:sz w:val="32"/>
          <w:szCs w:val="32"/>
        </w:rPr>
        <w:fldChar w:fldCharType="separate"/>
      </w:r>
      <w:r>
        <w:rPr>
          <w:color w:val="auto"/>
          <w:sz w:val="32"/>
          <w:szCs w:val="32"/>
        </w:rPr>
        <w:t xml:space="preserve">1</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_Toc8455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olor w:val="auto"/>
          <w:sz w:val="32"/>
          <w:szCs w:val="32"/>
          <w:highlight w:val="none"/>
        </w:rPr>
        <w:t xml:space="preserve">第二章 投标人须知</w:t>
      </w:r>
      <w:r>
        <w:rPr>
          <w:color w:val="auto"/>
          <w:sz w:val="32"/>
          <w:szCs w:val="32"/>
        </w:rPr>
        <w:tab/>
      </w:r>
      <w:r>
        <w:rPr>
          <w:color w:val="auto"/>
          <w:sz w:val="32"/>
          <w:szCs w:val="32"/>
        </w:rPr>
        <w:fldChar w:fldCharType="begin"/>
      </w:r>
      <w:r>
        <w:rPr>
          <w:color w:val="auto"/>
          <w:sz w:val="32"/>
          <w:szCs w:val="32"/>
        </w:rPr>
        <w:instrText xml:space="preserve"> PAGEREF _Toc8455 \h </w:instrText>
      </w:r>
      <w:r>
        <w:rPr>
          <w:color w:val="auto"/>
          <w:sz w:val="32"/>
          <w:szCs w:val="32"/>
        </w:rPr>
        <w:fldChar w:fldCharType="separate"/>
      </w:r>
      <w:r>
        <w:rPr>
          <w:color w:val="auto"/>
          <w:sz w:val="32"/>
          <w:szCs w:val="32"/>
        </w:rPr>
        <w:t xml:space="preserve">5</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_Toc30440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olor w:val="auto"/>
          <w:sz w:val="32"/>
          <w:szCs w:val="32"/>
          <w:highlight w:val="none"/>
        </w:rPr>
        <w:t xml:space="preserve">第三章 合同条款及格式</w:t>
      </w:r>
      <w:r>
        <w:rPr>
          <w:color w:val="auto"/>
          <w:sz w:val="32"/>
          <w:szCs w:val="32"/>
        </w:rPr>
        <w:tab/>
      </w:r>
      <w:r>
        <w:rPr>
          <w:color w:val="auto"/>
          <w:sz w:val="32"/>
          <w:szCs w:val="32"/>
        </w:rPr>
        <w:fldChar w:fldCharType="begin"/>
      </w:r>
      <w:r>
        <w:rPr>
          <w:color w:val="auto"/>
          <w:sz w:val="32"/>
          <w:szCs w:val="32"/>
        </w:rPr>
        <w:instrText xml:space="preserve"> PAGEREF _Toc30440 \h </w:instrText>
      </w:r>
      <w:r>
        <w:rPr>
          <w:color w:val="auto"/>
          <w:sz w:val="32"/>
          <w:szCs w:val="32"/>
        </w:rPr>
        <w:fldChar w:fldCharType="separate"/>
      </w:r>
      <w:r>
        <w:rPr>
          <w:color w:val="auto"/>
          <w:sz w:val="32"/>
          <w:szCs w:val="32"/>
        </w:rPr>
        <w:t xml:space="preserve">17</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_Toc3819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s="Arial"/>
          <w:color w:val="auto"/>
          <w:sz w:val="32"/>
          <w:szCs w:val="32"/>
          <w:lang w:val="en-US" w:eastAsia="zh-CN" w:bidi="ar-SA"/>
        </w:rPr>
        <w:t xml:space="preserve">第四章 </w:t>
      </w:r>
      <w:r>
        <w:rPr>
          <w:rFonts w:hint="eastAsia" w:ascii="Times New Roman" w:hAnsi="Times New Roman" w:eastAsia="宋体"/>
          <w:color w:val="auto"/>
          <w:sz w:val="32"/>
          <w:szCs w:val="32"/>
          <w:highlight w:val="none"/>
        </w:rPr>
        <w:t xml:space="preserve">项目需求</w:t>
      </w:r>
      <w:r>
        <w:rPr>
          <w:color w:val="auto"/>
          <w:sz w:val="32"/>
          <w:szCs w:val="32"/>
        </w:rPr>
        <w:tab/>
      </w:r>
      <w:r>
        <w:rPr>
          <w:color w:val="auto"/>
          <w:sz w:val="32"/>
          <w:szCs w:val="32"/>
        </w:rPr>
        <w:fldChar w:fldCharType="begin"/>
      </w:r>
      <w:r>
        <w:rPr>
          <w:color w:val="auto"/>
          <w:sz w:val="32"/>
          <w:szCs w:val="32"/>
        </w:rPr>
        <w:instrText xml:space="preserve"> PAGEREF _Toc3819 \h </w:instrText>
      </w:r>
      <w:r>
        <w:rPr>
          <w:color w:val="auto"/>
          <w:sz w:val="32"/>
          <w:szCs w:val="32"/>
        </w:rPr>
        <w:fldChar w:fldCharType="separate"/>
      </w:r>
      <w:r>
        <w:rPr>
          <w:color w:val="auto"/>
          <w:sz w:val="32"/>
          <w:szCs w:val="32"/>
        </w:rPr>
        <w:t xml:space="preserve">21</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_Toc6620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olor w:val="auto"/>
          <w:sz w:val="32"/>
          <w:szCs w:val="32"/>
          <w:highlight w:val="none"/>
        </w:rPr>
        <w:t xml:space="preserve">第五章 评标方法及评标标准</w:t>
      </w:r>
      <w:r>
        <w:rPr>
          <w:color w:val="auto"/>
          <w:sz w:val="32"/>
          <w:szCs w:val="32"/>
        </w:rPr>
        <w:tab/>
      </w:r>
      <w:r>
        <w:rPr>
          <w:color w:val="auto"/>
          <w:sz w:val="32"/>
          <w:szCs w:val="32"/>
        </w:rPr>
        <w:fldChar w:fldCharType="begin"/>
      </w:r>
      <w:r>
        <w:rPr>
          <w:color w:val="auto"/>
          <w:sz w:val="32"/>
          <w:szCs w:val="32"/>
        </w:rPr>
        <w:instrText xml:space="preserve"> PAGEREF _Toc6620 \h </w:instrText>
      </w:r>
      <w:r>
        <w:rPr>
          <w:color w:val="auto"/>
          <w:sz w:val="32"/>
          <w:szCs w:val="32"/>
        </w:rPr>
        <w:fldChar w:fldCharType="separate"/>
      </w:r>
      <w:r>
        <w:rPr>
          <w:color w:val="auto"/>
          <w:sz w:val="32"/>
          <w:szCs w:val="32"/>
        </w:rPr>
        <w:t xml:space="preserve">26</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pStyle w:val="745"/>
        <w:keepLines w:val="0"/>
        <w:keepNext w:val="0"/>
        <w:pageBreakBefore w:val="0"/>
        <w:spacing w:line="480" w:lineRule="auto"/>
        <w:widowControl w:val="off"/>
        <w:tabs>
          <w:tab w:val="right" w:pos="8306" w:leader="dot"/>
        </w:tabs>
        <w:rPr>
          <w:color w:val="auto"/>
          <w:sz w:val="32"/>
          <w:szCs w:val="32"/>
        </w:rPr>
      </w:pPr>
      <w:r>
        <w:rPr>
          <w:rFonts w:hint="eastAsia" w:ascii="Times New Roman" w:hAnsi="Times New Roman" w:eastAsia="宋体" w:cs="宋体"/>
          <w:color w:val="auto"/>
          <w:sz w:val="32"/>
          <w:szCs w:val="32"/>
          <w:highlight w:val="none"/>
        </w:rPr>
        <w:fldChar w:fldCharType="begin"/>
      </w:r>
      <w:r>
        <w:rPr>
          <w:rFonts w:hint="eastAsia" w:ascii="Times New Roman" w:hAnsi="Times New Roman" w:eastAsia="宋体" w:cs="宋体"/>
          <w:color w:val="auto"/>
          <w:sz w:val="32"/>
          <w:szCs w:val="32"/>
          <w:highlight w:val="none"/>
        </w:rPr>
        <w:instrText xml:space="preserve"> HYPERLINK \l _Toc24650 </w:instrText>
      </w:r>
      <w:r>
        <w:rPr>
          <w:rFonts w:hint="eastAsia" w:ascii="Times New Roman" w:hAnsi="Times New Roman" w:eastAsia="宋体" w:cs="宋体"/>
          <w:color w:val="auto"/>
          <w:sz w:val="32"/>
          <w:szCs w:val="32"/>
          <w:highlight w:val="none"/>
        </w:rPr>
        <w:fldChar w:fldCharType="separate"/>
      </w:r>
      <w:r>
        <w:rPr>
          <w:rFonts w:hint="eastAsia" w:ascii="Times New Roman" w:hAnsi="Times New Roman" w:eastAsia="宋体"/>
          <w:color w:val="auto"/>
          <w:sz w:val="32"/>
          <w:szCs w:val="32"/>
          <w:highlight w:val="none"/>
        </w:rPr>
        <w:t xml:space="preserve">第六章 投标文件格式</w:t>
      </w:r>
      <w:r>
        <w:rPr>
          <w:color w:val="auto"/>
          <w:sz w:val="32"/>
          <w:szCs w:val="32"/>
        </w:rPr>
        <w:tab/>
      </w:r>
      <w:r>
        <w:rPr>
          <w:color w:val="auto"/>
          <w:sz w:val="32"/>
          <w:szCs w:val="32"/>
        </w:rPr>
        <w:fldChar w:fldCharType="begin"/>
      </w:r>
      <w:r>
        <w:rPr>
          <w:color w:val="auto"/>
          <w:sz w:val="32"/>
          <w:szCs w:val="32"/>
        </w:rPr>
        <w:instrText xml:space="preserve"> PAGEREF _Toc24650 \h </w:instrText>
      </w:r>
      <w:r>
        <w:rPr>
          <w:color w:val="auto"/>
          <w:sz w:val="32"/>
          <w:szCs w:val="32"/>
        </w:rPr>
        <w:fldChar w:fldCharType="separate"/>
      </w:r>
      <w:r>
        <w:rPr>
          <w:color w:val="auto"/>
          <w:sz w:val="32"/>
          <w:szCs w:val="32"/>
        </w:rPr>
        <w:t xml:space="preserve">32</w:t>
      </w:r>
      <w:r>
        <w:rPr>
          <w:color w:val="auto"/>
          <w:sz w:val="32"/>
          <w:szCs w:val="32"/>
        </w:rPr>
        <w:fldChar w:fldCharType="end"/>
      </w:r>
      <w:r>
        <w:rPr>
          <w:rFonts w:hint="eastAsia" w:ascii="Times New Roman" w:hAnsi="Times New Roman" w:eastAsia="宋体" w:cs="宋体"/>
          <w:color w:val="auto"/>
          <w:sz w:val="32"/>
          <w:szCs w:val="32"/>
          <w:highlight w:val="none"/>
        </w:rPr>
        <w:fldChar w:fldCharType="end"/>
      </w:r>
      <w:r/>
    </w:p>
    <w:p>
      <w:pPr>
        <w:keepLines w:val="0"/>
        <w:keepNext w:val="0"/>
        <w:pageBreakBefore w:val="0"/>
        <w:spacing w:line="48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32"/>
          <w:szCs w:val="32"/>
          <w:highlight w:val="none"/>
        </w:rPr>
        <w:fldChar w:fldCharType="end"/>
      </w:r>
      <w:r/>
    </w:p>
    <w:p>
      <w:pPr>
        <w:pageBreakBefore w:val="0"/>
        <w:spacing w:line="36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Style w:val="719"/>
        <w:pageBreakBefore w:val="0"/>
        <w:spacing w:line="360" w:lineRule="auto"/>
        <w:rPr>
          <w:rFonts w:hint="eastAsia" w:ascii="Times New Roman" w:hAnsi="Times New Roman" w:eastAsia="宋体"/>
          <w:color w:val="auto"/>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bookmarkStart w:id="0" w:name="_Toc62"/>
      <w:r/>
      <w:bookmarkStart w:id="1" w:name="_Toc3619"/>
      <w:r/>
      <w:bookmarkStart w:id="2" w:name="_Toc55204177"/>
      <w:r/>
      <w:r/>
    </w:p>
    <w:p>
      <w:pPr>
        <w:pStyle w:val="719"/>
        <w:pageBreakBefore w:val="0"/>
        <w:spacing w:line="360" w:lineRule="auto"/>
        <w:rPr>
          <w:rFonts w:ascii="Times New Roman" w:hAnsi="Times New Roman" w:eastAsia="宋体"/>
          <w:color w:val="auto"/>
          <w:highlight w:val="none"/>
        </w:rPr>
      </w:pPr>
      <w:r/>
      <w:bookmarkStart w:id="3" w:name="_Toc27131"/>
      <w:r>
        <w:rPr>
          <w:rFonts w:hint="eastAsia" w:ascii="Times New Roman" w:hAnsi="Times New Roman" w:eastAsia="宋体"/>
          <w:color w:val="auto"/>
          <w:highlight w:val="none"/>
        </w:rPr>
        <w:t xml:space="preserve">第一章 </w:t>
      </w:r>
      <w:bookmarkEnd w:id="0"/>
      <w:r/>
      <w:bookmarkEnd w:id="1"/>
      <w:r/>
      <w:bookmarkStart w:id="4" w:name="_Toc27417"/>
      <w:r/>
      <w:bookmarkStart w:id="5" w:name="_Toc28446"/>
      <w:r>
        <w:rPr>
          <w:rFonts w:hint="eastAsia" w:ascii="Times New Roman" w:hAnsi="Times New Roman" w:eastAsia="宋体"/>
          <w:color w:val="auto"/>
          <w:highlight w:val="none"/>
        </w:rPr>
        <w:t xml:space="preserve">采购公告</w:t>
      </w:r>
      <w:bookmarkEnd w:id="2"/>
      <w:r/>
      <w:bookmarkEnd w:id="3"/>
      <w:r/>
      <w:bookmarkEnd w:id="4"/>
      <w:r/>
      <w:bookmarkEnd w:id="5"/>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扬州工业职业技术学院</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s="宋体"/>
          <w:color w:val="auto"/>
          <w:highlight w:val="none"/>
          <w:lang w:eastAsia="zh-CN"/>
        </w:rPr>
        <w:t xml:space="preserve">扬州工业职业技术学院教学楼教室课桌椅更换项目</w:t>
      </w:r>
      <w:r>
        <w:rPr>
          <w:rFonts w:hint="eastAsia" w:ascii="Times New Roman" w:hAnsi="Times New Roman" w:eastAsia="宋体" w:cs="宋体"/>
          <w:color w:val="auto"/>
          <w:highlight w:val="none"/>
        </w:rPr>
        <w:t xml:space="preserve">（</w:t>
      </w:r>
      <w:r>
        <w:rPr>
          <w:rFonts w:hint="eastAsia" w:ascii="Times New Roman" w:hAnsi="Times New Roman" w:cs="宋体"/>
          <w:color w:val="auto"/>
          <w:szCs w:val="21"/>
          <w:highlight w:val="none"/>
          <w:lang w:eastAsia="zh-CN"/>
        </w:rPr>
        <w:t xml:space="preserve">JSZC-320000-SWGC-G2026-0076号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highlight w:val="none"/>
          <w:u w:val="single"/>
          <w:lang w:eastAsia="zh-CN"/>
        </w:rPr>
        <w:t xml:space="preserve">扬州工业职业技术学院教学楼教室课桌椅更换项目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2026年6月24日上午10:30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ascii="Times New Roman" w:hAnsi="Times New Roman" w:eastAsia="宋体" w:cs="宋体"/>
          <w:b/>
          <w:bCs/>
          <w:color w:val="auto"/>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s="宋体"/>
          <w:color w:val="auto"/>
          <w:szCs w:val="21"/>
          <w:highlight w:val="none"/>
          <w:lang w:eastAsia="zh-CN"/>
        </w:rPr>
        <w:t xml:space="preserve">JSZC-320000-SWGC-G2026-0076号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1"/>
      <w:r>
        <w:rPr>
          <w:rFonts w:hint="eastAsia" w:ascii="Times New Roman" w:hAnsi="Times New Roman" w:eastAsia="宋体" w:cs="宋体"/>
          <w:color w:val="auto"/>
          <w:highlight w:val="none"/>
          <w:lang w:eastAsia="zh-CN"/>
        </w:rPr>
        <w:t xml:space="preserve">扬州工业职业技术学院教学楼教室课桌椅更换项目</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eastAsia="宋体" w:cs="宋体"/>
          <w:color w:val="auto"/>
          <w:sz w:val="21"/>
          <w:szCs w:val="21"/>
          <w:highlight w:val="none"/>
          <w:lang w:val="en-US" w:eastAsia="zh-CN"/>
        </w:rPr>
        <w:t xml:space="preserve">15</w:t>
      </w: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最高限价：153万元，报价超过最高限价的为无效投标文件。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2" w:name="_Toc35393791"/>
      <w:r/>
      <w:bookmarkStart w:id="13" w:name="_Toc28359003"/>
      <w:r/>
      <w:bookmarkStart w:id="14" w:name="_Toc28359080"/>
      <w:r/>
      <w:bookmarkStart w:id="15" w:name="_Toc38985264"/>
      <w:r/>
      <w:bookmarkStart w:id="16" w:name="_Toc35393622"/>
      <w:r>
        <w:rPr>
          <w:rFonts w:hint="eastAsia" w:ascii="Times New Roman" w:hAnsi="Times New Roman" w:eastAsia="宋体" w:cs="宋体"/>
          <w:b/>
          <w:bCs/>
          <w:color w:val="auto"/>
          <w:highlight w:val="none"/>
        </w:rPr>
        <w:t xml:space="preserve">二、申请人的资格要求：</w:t>
      </w:r>
      <w:bookmarkEnd w:id="12"/>
      <w:r/>
      <w:bookmarkEnd w:id="13"/>
      <w:r/>
      <w:bookmarkEnd w:id="14"/>
      <w:r/>
      <w:bookmarkEnd w:id="15"/>
      <w:r/>
      <w:bookmarkEnd w:id="16"/>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7" w:name="_Toc28359004"/>
      <w:r/>
      <w:bookmarkStart w:id="18" w:name="_Toc28359081"/>
      <w:r/>
      <w:bookmarkStart w:id="19" w:name="_Toc35393623"/>
      <w:r/>
      <w:bookmarkStart w:id="20" w:name="_Toc35393792"/>
      <w:r/>
      <w:bookmarkStart w:id="21"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 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bookmarkStart w:id="114" w:name="_GoBack"/>
      <w:r/>
      <w:bookmarkEnd w:id="114"/>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1.7 未被“信用中国”网站（www.creditchina.gov.cn）、“中国政府采购网"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Times New Roman" w:hAnsi="Times New Roman" w:eastAsia="宋体" w:cs="宋体"/>
          <w:i/>
          <w:color w:val="auto"/>
          <w:szCs w:val="21"/>
          <w:highlight w:val="none"/>
          <w:u w:val="singl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Times New Roman" w:hAnsi="Times New Roman" w:eastAsia="宋体" w:cs="宋体"/>
          <w:i/>
          <w:color w:val="auto"/>
          <w:szCs w:val="21"/>
          <w:highlight w:val="none"/>
          <w:u w:val="single"/>
          <w:lang w:eastAsia="zh-CN"/>
        </w:rPr>
        <w:t xml:space="preserve">（</w:t>
      </w:r>
      <w:r>
        <w:rPr>
          <w:rFonts w:hint="eastAsia" w:ascii="Times New Roman" w:hAnsi="Times New Roman" w:eastAsia="宋体" w:cs="宋体"/>
          <w:i/>
          <w:color w:val="auto"/>
          <w:szCs w:val="21"/>
          <w:highlight w:val="none"/>
          <w:u w:val="single"/>
        </w:rPr>
        <w:t xml:space="preserve">含新疆生产建设兵团</w:t>
      </w:r>
      <w:r>
        <w:rPr>
          <w:rFonts w:hint="eastAsia" w:ascii="Times New Roman" w:hAnsi="Times New Roman" w:eastAsia="宋体" w:cs="宋体"/>
          <w:i/>
          <w:color w:val="auto"/>
          <w:szCs w:val="21"/>
          <w:highlight w:val="none"/>
          <w:u w:val="single"/>
          <w:lang w:eastAsia="zh-CN"/>
        </w:rPr>
        <w:t xml:space="preserve">）</w:t>
      </w:r>
      <w:r>
        <w:rPr>
          <w:rFonts w:hint="eastAsia" w:ascii="Times New Roman" w:hAnsi="Times New Roman" w:eastAsia="宋体" w:cs="宋体"/>
          <w:i/>
          <w:color w:val="auto"/>
          <w:szCs w:val="21"/>
          <w:highlight w:val="none"/>
          <w:u w:val="single"/>
        </w:rPr>
        <w:t xml:space="preserve">出具的属于监狱企业的证明文件。）</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sz w:val="21"/>
          <w:szCs w:val="21"/>
          <w:highlight w:val="none"/>
        </w:rPr>
        <w:t xml:space="preserve">联合体投标。</w:t>
      </w:r>
      <w:r/>
    </w:p>
    <w:tbl>
      <w:tblPr>
        <w:tblStyle w:val="729"/>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2968"/>
        <w:gridCol w:w="3267"/>
      </w:tblGrid>
      <w:tr>
        <w:trPr>
          <w:trHeight w:val="593"/>
        </w:trPr>
        <w:tc>
          <w:tcPr>
            <w:tcW w:w="161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67"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61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67"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592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592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7"/>
      <w:r/>
      <w:bookmarkEnd w:id="18"/>
      <w:r/>
      <w:bookmarkEnd w:id="19"/>
      <w:r/>
      <w:bookmarkEnd w:id="20"/>
      <w:r/>
      <w:bookmarkEnd w:id="21"/>
      <w:r/>
      <w:r/>
    </w:p>
    <w:p>
      <w:pPr>
        <w:ind w:firstLine="420"/>
        <w:pageBreakBefore w:val="0"/>
        <w:spacing w:line="360" w:lineRule="auto"/>
        <w:rPr>
          <w:rFonts w:hint="eastAsia" w:ascii="Times New Roman" w:hAnsi="Times New Roman" w:eastAsia="宋体" w:cs="宋体"/>
          <w:color w:val="auto"/>
          <w:highlight w:val="none"/>
        </w:rPr>
      </w:pPr>
      <w:r/>
      <w:bookmarkStart w:id="22" w:name="_Toc28359082"/>
      <w:r/>
      <w:bookmarkStart w:id="23" w:name="_Toc28359005"/>
      <w:r/>
      <w:bookmarkStart w:id="24" w:name="_Toc38985266"/>
      <w:r/>
      <w:bookmarkStart w:id="25" w:name="_Toc35393793"/>
      <w:r/>
      <w:bookmarkStart w:id="26"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53"/>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2"/>
      <w:r/>
      <w:bookmarkEnd w:id="23"/>
      <w:r>
        <w:rPr>
          <w:rFonts w:hint="eastAsia" w:ascii="Times New Roman" w:hAnsi="Times New Roman" w:eastAsia="宋体" w:cs="宋体"/>
          <w:b/>
          <w:bCs/>
          <w:color w:val="auto"/>
          <w:highlight w:val="none"/>
        </w:rPr>
        <w:t xml:space="preserve">截止时间、开标时间和地点</w:t>
      </w:r>
      <w:bookmarkEnd w:id="24"/>
      <w:r/>
      <w:bookmarkEnd w:id="25"/>
      <w:r/>
      <w:bookmarkEnd w:id="26"/>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2026年6月24日上午10:30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u w:val="single"/>
        </w:rPr>
        <w:t xml:space="preserve"> </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//jszfcg.jsczt.cn/）</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7" w:name="_Toc38985267"/>
      <w:r/>
      <w:bookmarkStart w:id="28" w:name="_Toc35393625"/>
      <w:r/>
      <w:bookmarkStart w:id="29" w:name="_Toc28359007"/>
      <w:r/>
      <w:bookmarkStart w:id="30" w:name="_Toc28359084"/>
      <w:r/>
      <w:bookmarkStart w:id="31" w:name="_Toc35393794"/>
      <w:r>
        <w:rPr>
          <w:rFonts w:hint="eastAsia" w:ascii="Times New Roman" w:hAnsi="Times New Roman" w:eastAsia="宋体" w:cs="宋体"/>
          <w:b/>
          <w:bCs/>
          <w:color w:val="auto"/>
          <w:highlight w:val="none"/>
        </w:rPr>
        <w:t xml:space="preserve">五、公告期限</w:t>
      </w:r>
      <w:bookmarkEnd w:id="27"/>
      <w:r/>
      <w:bookmarkEnd w:id="28"/>
      <w:r/>
      <w:bookmarkEnd w:id="29"/>
      <w:r/>
      <w:bookmarkEnd w:id="30"/>
      <w:r/>
      <w:bookmarkEnd w:id="31"/>
      <w:r/>
      <w:r/>
    </w:p>
    <w:p>
      <w:pPr>
        <w:ind w:firstLine="420"/>
        <w:pageBreakBefore w:val="0"/>
        <w:spacing w:line="360" w:lineRule="auto"/>
        <w:rPr>
          <w:rFonts w:hint="eastAsia" w:ascii="Times New Roman" w:hAnsi="Times New Roman" w:eastAsia="宋体" w:cs="宋体"/>
          <w:color w:val="auto"/>
          <w:highlight w:val="none"/>
        </w:rPr>
      </w:pPr>
      <w:r/>
      <w:bookmarkStart w:id="32" w:name="_Toc35393626"/>
      <w:r/>
      <w:bookmarkStart w:id="33" w:name="_Toc35393795"/>
      <w:r/>
      <w:bookmarkStart w:id="34"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2"/>
      <w:r/>
      <w:bookmarkEnd w:id="33"/>
      <w:r/>
      <w:bookmarkEnd w:id="34"/>
      <w:r/>
      <w:r/>
    </w:p>
    <w:p>
      <w:pPr>
        <w:ind w:firstLine="422"/>
        <w:pageBreakBefore w:val="0"/>
        <w:spacing w:line="360" w:lineRule="auto"/>
        <w:rPr>
          <w:rFonts w:hint="eastAsia" w:ascii="Times New Roman" w:hAnsi="Times New Roman" w:eastAsia="宋体" w:cs="宋体"/>
          <w:b/>
          <w:bCs/>
          <w:color w:val="auto"/>
          <w:highlight w:val="none"/>
        </w:rPr>
      </w:pPr>
      <w:r/>
      <w:bookmarkStart w:id="35" w:name="_Toc28359008"/>
      <w:r/>
      <w:bookmarkStart w:id="36" w:name="_Toc38985269"/>
      <w:r/>
      <w:bookmarkStart w:id="37" w:name="_Toc35393627"/>
      <w:r/>
      <w:bookmarkStart w:id="38" w:name="_Toc28359085"/>
      <w:r/>
      <w:bookmarkStart w:id="39" w:name="_Toc35393796"/>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szCs w:val="21"/>
          <w:highlight w:val="none"/>
          <w:lang w:eastAsia="zh-CN"/>
        </w:rPr>
        <w:t xml:space="preserve">“江苏省政府采购网”和“中国政府采购网”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5"/>
      <w:r/>
      <w:bookmarkEnd w:id="36"/>
      <w:r/>
      <w:bookmarkEnd w:id="37"/>
      <w:r/>
      <w:bookmarkEnd w:id="38"/>
      <w:r/>
      <w:bookmarkEnd w:id="39"/>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40" w:name="_Toc28359010"/>
      <w:r/>
      <w:bookmarkStart w:id="41"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szCs w:val="21"/>
          <w:highlight w:val="none"/>
          <w:lang w:eastAsia="zh-CN"/>
        </w:rPr>
        <w:t xml:space="preserve">扬州工业职业技术学院</w:t>
      </w:r>
      <w:r/>
    </w:p>
    <w:p>
      <w:pPr>
        <w:ind w:firstLine="420"/>
        <w:jc w:val="left"/>
        <w:pageBreakBefore w:val="0"/>
        <w:spacing w:line="360" w:lineRule="auto"/>
        <w:rPr>
          <w:rFonts w:hint="eastAsia" w:ascii="Times New Roman" w:hAnsi="Times New Roman" w:eastAsia="宋体" w:cs="宋体"/>
          <w:color w:val="auto"/>
          <w:highlight w:val="none"/>
        </w:rPr>
      </w:pPr>
      <w:r/>
      <w:bookmarkStart w:id="42" w:name="_Toc28359009"/>
      <w:r/>
      <w:bookmarkStart w:id="43" w:name="_Toc28359086"/>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rPr>
        <w:t xml:space="preserve">扬州市邗江区华扬西路199号</w:t>
      </w:r>
      <w:r>
        <w:rPr>
          <w:rFonts w:hint="eastAsia" w:ascii="Times New Roman" w:hAnsi="Times New Roman" w:eastAsia="宋体" w:cs="宋体"/>
          <w:color w:val="auto"/>
          <w:highlight w:val="none"/>
        </w:rPr>
        <w:t xml:space="preserve"> </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联系人：董庆源</w:t>
      </w:r>
      <w:r/>
    </w:p>
    <w:p>
      <w:pPr>
        <w:ind w:firstLine="420"/>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联系方式：15952729246</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2"/>
      <w:r/>
      <w:bookmarkEnd w:id="43"/>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s="宋体"/>
          <w:color w:val="auto"/>
          <w:szCs w:val="21"/>
          <w:highlight w:val="none"/>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扬州市邗江区翠岗路48号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缪晓庆、李韦林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eastAsia="宋体" w:cs="宋体"/>
          <w:color w:val="auto"/>
          <w:highlight w:val="none"/>
        </w:rPr>
        <w:t xml:space="preserve">    联系方式：</w:t>
      </w:r>
      <w:r>
        <w:rPr>
          <w:rFonts w:hint="default" w:ascii="Times New Roman" w:hAnsi="Times New Roman" w:eastAsia="宋体" w:cs="宋体"/>
          <w:color w:val="auto"/>
          <w:highlight w:val="none"/>
          <w:u w:val="single"/>
          <w:lang w:val="en-US" w:eastAsia="zh-CN"/>
        </w:rPr>
      </w:r>
      <w:r>
        <w:rPr>
          <w:rFonts w:ascii="Times New Roman" w:hAnsi="Times New Roman" w:eastAsia="Times New Roman" w:cs="Times New Roman"/>
          <w:color w:val="000000"/>
          <w:sz w:val="21"/>
        </w:rPr>
        <w:t xml:space="preserve">0514-87982240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0514-82129112</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r>
      <w:r/>
      <w:r/>
    </w:p>
    <w:p>
      <w:pPr>
        <w:pageBreakBefore w:val="0"/>
        <w:spacing w:line="360" w:lineRule="auto"/>
        <w:rPr>
          <w:rFonts w:hint="eastAsia" w:ascii="Times New Roman" w:hAnsi="Times New Roman" w:eastAsia="宋体"/>
          <w:color w:val="auto"/>
          <w:highlight w:val="none"/>
        </w:rPr>
      </w:pPr>
      <w:r/>
      <w:bookmarkStart w:id="44" w:name="_Toc55204178"/>
      <w:r/>
      <w:bookmarkStart w:id="45" w:name="_Toc13371"/>
      <w:r>
        <w:rPr>
          <w:rFonts w:hint="eastAsia" w:ascii="Times New Roman" w:hAnsi="Times New Roman" w:eastAsia="宋体"/>
          <w:color w:val="auto"/>
          <w:highlight w:val="none"/>
        </w:rPr>
        <w:br w:type="page" w:clear="all"/>
      </w:r>
      <w:r/>
    </w:p>
    <w:p>
      <w:pPr>
        <w:pStyle w:val="719"/>
        <w:pageBreakBefore w:val="0"/>
        <w:spacing w:line="360" w:lineRule="auto"/>
        <w:rPr>
          <w:rFonts w:ascii="Times New Roman" w:hAnsi="Times New Roman" w:eastAsia="宋体"/>
          <w:color w:val="auto"/>
          <w:highlight w:val="none"/>
        </w:rPr>
      </w:pPr>
      <w:r/>
      <w:bookmarkStart w:id="46" w:name="_Toc8455"/>
      <w:r>
        <w:rPr>
          <w:rFonts w:hint="eastAsia" w:ascii="Times New Roman" w:hAnsi="Times New Roman" w:eastAsia="宋体"/>
          <w:color w:val="auto"/>
          <w:highlight w:val="none"/>
        </w:rPr>
        <w:t xml:space="preserve">第二章 投标人须知</w:t>
      </w:r>
      <w:bookmarkEnd w:id="44"/>
      <w:r/>
      <w:bookmarkEnd w:id="45"/>
      <w:r/>
      <w:bookmarkEnd w:id="46"/>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 本次招标采取公开招标方式，本招标文件仅适用于</w:t>
      </w:r>
      <w:r>
        <w:rPr>
          <w:rFonts w:hint="eastAsia" w:ascii="Times New Roman" w:hAnsi="Times New Roman" w:cs="宋体"/>
          <w:bCs/>
          <w:color w:val="auto"/>
          <w:szCs w:val="21"/>
          <w:highlight w:val="none"/>
          <w:lang w:eastAsia="zh-CN"/>
        </w:rPr>
        <w:t xml:space="preserve">JSZC-320000-SWGC-G2026-0076号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4.2本次采购由</w:t>
      </w:r>
      <w:r>
        <w:rPr>
          <w:rFonts w:hint="eastAsia" w:ascii="Times New Roman" w:hAnsi="Times New Roman" w:eastAsia="宋体" w:cs="宋体"/>
          <w:b/>
          <w:bCs/>
          <w:color w:val="auto"/>
          <w:szCs w:val="21"/>
          <w:highlight w:val="none"/>
          <w:lang w:val="en-US" w:eastAsia="zh-CN"/>
        </w:rPr>
        <w:t xml:space="preserve">中标人</w:t>
      </w:r>
      <w:r>
        <w:rPr>
          <w:rFonts w:hint="eastAsia" w:ascii="Times New Roman" w:hAnsi="Times New Roman" w:eastAsia="宋体" w:cs="宋体"/>
          <w:b/>
          <w:bCs/>
          <w:color w:val="auto"/>
          <w:szCs w:val="21"/>
          <w:highlight w:val="none"/>
        </w:rPr>
        <w:t xml:space="preserve">在领取</w:t>
      </w:r>
      <w:r>
        <w:rPr>
          <w:rFonts w:hint="eastAsia" w:ascii="Times New Roman" w:hAnsi="Times New Roman" w:eastAsia="宋体" w:cs="宋体"/>
          <w:b/>
          <w:bCs/>
          <w:color w:val="auto"/>
          <w:szCs w:val="21"/>
          <w:highlight w:val="none"/>
          <w:lang w:val="en-US" w:eastAsia="zh-CN"/>
        </w:rPr>
        <w:t xml:space="preserve">中标</w:t>
      </w:r>
      <w:r>
        <w:rPr>
          <w:rFonts w:hint="eastAsia" w:ascii="Times New Roman" w:hAnsi="Times New Roman" w:eastAsia="宋体" w:cs="宋体"/>
          <w:b/>
          <w:bCs/>
          <w:color w:val="auto"/>
          <w:szCs w:val="21"/>
          <w:highlight w:val="none"/>
        </w:rPr>
        <w:t xml:space="preserve">通知书前一次性支付给招标代理机构代理服务费（具体计算方式详见下表）。</w:t>
      </w:r>
      <w:r/>
    </w:p>
    <w:tbl>
      <w:tblPr>
        <w:tblStyle w:val="729"/>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pageBreakBefore w:val="0"/>
              <w:spacing w:beforeAutospacing="0" w:afterAutospacing="0"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项目</w:t>
            </w:r>
            <w:r/>
          </w:p>
          <w:p>
            <w:pPr>
              <w:ind w:left="160"/>
              <w:jc w:val="center"/>
              <w:pageBreakBefore w:val="0"/>
              <w:spacing w:beforeAutospacing="0" w:afterAutospacing="0"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50</w:t>
            </w:r>
            <w:r>
              <w:rPr>
                <w:rFonts w:hint="eastAsia" w:ascii="Times New Roman" w:hAnsi="Times New Roman" w:eastAsia="宋体" w:cs="宋体"/>
                <w:color w:val="auto"/>
                <w:szCs w:val="21"/>
                <w:highlight w:val="none"/>
              </w:rPr>
              <w:t xml:space="preserve">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50</w:t>
            </w:r>
            <w:r>
              <w:rPr>
                <w:rFonts w:hint="eastAsia" w:ascii="Times New Roman" w:hAnsi="Times New Roman" w:eastAsia="宋体" w:cs="宋体"/>
                <w:color w:val="auto"/>
                <w:szCs w:val="21"/>
                <w:highlight w:val="none"/>
              </w:rPr>
              <w:t xml:space="preserve">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pacing w:val="40"/>
                <w:szCs w:val="21"/>
                <w:highlight w:val="none"/>
              </w:rPr>
            </w:pPr>
            <w:r>
              <w:rPr>
                <w:rFonts w:ascii="Times New Roman" w:hAnsi="Times New Roman"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ind w:firstLine="105"/>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lang w:val="en-US" w:eastAsia="zh-CN"/>
              </w:rPr>
              <w:t xml:space="preserve">36</w:t>
            </w:r>
            <w:r>
              <w:rPr>
                <w:rFonts w:hint="eastAsia" w:ascii="Times New Roman" w:hAnsi="Times New Roman"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25000</w:t>
            </w:r>
            <w:r>
              <w:rPr>
                <w:rFonts w:hint="eastAsia" w:ascii="Times New Roman" w:hAnsi="Times New Roman" w:eastAsia="宋体" w:cs="宋体"/>
                <w:color w:val="auto"/>
                <w:szCs w:val="21"/>
                <w:highlight w:val="none"/>
              </w:rPr>
              <w:t xml:space="preserve">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基准费率表</w:t>
      </w:r>
      <w:r/>
    </w:p>
    <w:tbl>
      <w:tblPr>
        <w:tblStyle w:val="729"/>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中标</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成交</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beforeAutospacing="0" w:afterAutospacing="0" w:line="36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50</w:t>
            </w:r>
            <w:r>
              <w:rPr>
                <w:rFonts w:hint="eastAsia" w:ascii="Times New Roman" w:hAnsi="Times New Roman" w:eastAsia="宋体" w:cs="宋体"/>
                <w:color w:val="auto"/>
                <w:szCs w:val="21"/>
                <w:highlight w:val="none"/>
              </w:rPr>
              <w:t xml:space="preserve">以下</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jc w:val="center"/>
              <w:pageBreakBefore w:val="0"/>
              <w:spacing w:beforeAutospacing="0" w:afterAutospacing="0" w:line="36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固定价2000元</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beforeAutospacing="0" w:afterAutospacing="0" w:line="36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50-100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beforeAutospacing="0" w:afterAutospacing="0" w:line="360" w:lineRule="auto"/>
              <w:widowControl/>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500</w:t>
            </w:r>
            <w:r>
              <w:rPr>
                <w:rFonts w:hint="eastAsia" w:ascii="Times New Roman" w:hAnsi="Times New Roman" w:eastAsia="宋体" w:cs="宋体"/>
                <w:color w:val="auto"/>
                <w:szCs w:val="21"/>
                <w:highlight w:val="none"/>
                <w:lang w:val="en-US" w:eastAsia="zh-CN"/>
              </w:rPr>
              <w:t xml:space="preserve">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beforeAutospacing="0" w:afterAutospacing="0"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0.55％</w:t>
            </w:r>
            <w:r/>
          </w:p>
        </w:tc>
      </w:tr>
    </w:tbl>
    <w:p>
      <w:pPr>
        <w:ind w:firstLine="420"/>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（2）代理服务费支付方式：一次性以电汇或转账形式支付。</w:t>
      </w:r>
      <w:r/>
    </w:p>
    <w:p>
      <w:pPr>
        <w:ind w:firstLine="420"/>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（3）代理服务费不在响应报价中单列，包含在响应总价中，由</w:t>
      </w:r>
      <w:r>
        <w:rPr>
          <w:rFonts w:hint="eastAsia" w:ascii="Times New Roman" w:hAnsi="Times New Roman" w:eastAsia="宋体" w:cs="宋体"/>
          <w:color w:val="auto"/>
          <w:szCs w:val="21"/>
          <w:highlight w:val="none"/>
          <w:lang w:val="en-US" w:eastAsia="zh-CN"/>
        </w:rPr>
        <w:t xml:space="preserve">成交</w:t>
      </w:r>
      <w:r>
        <w:rPr>
          <w:rFonts w:hint="eastAsia" w:ascii="Times New Roman" w:hAnsi="Times New Roman" w:eastAsia="宋体" w:cs="宋体"/>
          <w:color w:val="auto"/>
          <w:szCs w:val="21"/>
          <w:highlight w:val="none"/>
        </w:rPr>
        <w:t xml:space="preserve">人支付给代理机构。</w:t>
      </w:r>
      <w:r/>
    </w:p>
    <w:p>
      <w:pPr>
        <w:ind w:firstLine="632"/>
        <w:pageBreakBefore w:val="0"/>
        <w:spacing w:beforeAutospacing="0" w:afterAutospacing="0"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代理服务费开户银行：</w:t>
      </w:r>
      <w:r>
        <w:rPr>
          <w:rFonts w:hint="eastAsia" w:ascii="Times New Roman" w:hAnsi="Times New Roman" w:eastAsia="宋体" w:cs="宋体"/>
          <w:b/>
          <w:bCs/>
          <w:color w:val="auto"/>
          <w:szCs w:val="21"/>
          <w:highlight w:val="none"/>
        </w:rPr>
        <w:t xml:space="preserve">中国工商银行扬州雍华府支行</w:t>
      </w:r>
      <w:r/>
    </w:p>
    <w:p>
      <w:pPr>
        <w:ind w:firstLine="422"/>
        <w:pageBreakBefore w:val="0"/>
        <w:spacing w:beforeAutospacing="0" w:afterAutospacing="0"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pageBreakBefore w:val="0"/>
        <w:spacing w:beforeAutospacing="0" w:afterAutospacing="0"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开户帐号：</w:t>
      </w:r>
      <w:r>
        <w:rPr>
          <w:rFonts w:hint="eastAsia" w:ascii="Times New Roman" w:hAnsi="Times New Roman" w:eastAsia="宋体" w:cs="宋体"/>
          <w:b/>
          <w:bCs/>
          <w:color w:val="auto"/>
          <w:szCs w:val="21"/>
          <w:highlight w:val="none"/>
        </w:rPr>
        <w:t xml:space="preserve">1108020819100000612</w:t>
      </w:r>
      <w:r/>
    </w:p>
    <w:p>
      <w:pPr>
        <w:ind w:firstLine="422"/>
        <w:jc w:val="left"/>
        <w:pageBreakBefore w:val="0"/>
        <w:spacing w:beforeAutospacing="0" w:afterAutospacing="0"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5</w:t>
      </w:r>
      <w:r>
        <w:rPr>
          <w:rFonts w:hint="eastAsia" w:ascii="Times New Roman" w:hAnsi="Times New Roman" w:eastAsia="宋体" w:cs="宋体"/>
          <w:b/>
          <w:bCs/>
          <w:color w:val="auto"/>
          <w:szCs w:val="21"/>
          <w:highlight w:val="none"/>
        </w:rPr>
        <w:t xml:space="preserve">专家评审费</w:t>
      </w:r>
      <w:r>
        <w:rPr>
          <w:rFonts w:hint="eastAsia" w:ascii="Times New Roman" w:hAnsi="Times New Roman" w:eastAsia="宋体" w:cs="宋体"/>
          <w:b/>
          <w:bCs/>
          <w:color w:val="auto"/>
          <w:szCs w:val="21"/>
          <w:highlight w:val="none"/>
          <w:lang w:val="en-US" w:eastAsia="zh-CN"/>
        </w:rPr>
        <w:t xml:space="preserve">按照</w:t>
      </w:r>
      <w:r>
        <w:rPr>
          <w:rFonts w:hint="eastAsia" w:ascii="Times New Roman" w:hAnsi="Times New Roman" w:eastAsia="宋体" w:cs="宋体"/>
          <w:b/>
          <w:bCs/>
          <w:color w:val="auto"/>
          <w:szCs w:val="21"/>
          <w:highlight w:val="none"/>
        </w:rPr>
        <w:t xml:space="preserve">《关于规范江苏省政府采购专家评审费标准的通知》（苏财购〔2016〕48号）执行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lang w:val="en-US" w:eastAsia="zh-CN"/>
        </w:rPr>
        <w:t xml:space="preserve">由采购人支付</w:t>
      </w:r>
      <w:r>
        <w:rPr>
          <w:rFonts w:hint="eastAsia" w:ascii="Times New Roman" w:hAnsi="Times New Roman" w:eastAsia="宋体" w:cs="宋体"/>
          <w:b/>
          <w:bCs/>
          <w:color w:val="auto"/>
          <w:szCs w:val="21"/>
          <w:highlight w:val="none"/>
        </w:rPr>
        <w:t xml:space="preserve">。</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cs="宋体"/>
          <w:bCs/>
          <w:color w:val="auto"/>
          <w:szCs w:val="21"/>
          <w:highlight w:val="none"/>
          <w:lang w:eastAsia="zh-CN"/>
        </w:rPr>
        <w:t xml:space="preserve">“江苏省政府采购网”和“中国政府采购网”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47" w:name="_Toc16938541"/>
      <w:r/>
      <w:bookmarkStart w:id="48" w:name="_Toc513029225"/>
      <w:r/>
      <w:bookmarkStart w:id="49" w:name="_Toc20823297"/>
      <w:r/>
      <w:bookmarkStart w:id="50" w:name="_Toc462564084"/>
      <w:r>
        <w:rPr>
          <w:rFonts w:hint="eastAsia" w:ascii="Times New Roman" w:hAnsi="Times New Roman" w:eastAsia="宋体" w:cs="宋体"/>
          <w:b/>
          <w:color w:val="auto"/>
          <w:szCs w:val="21"/>
          <w:highlight w:val="none"/>
        </w:rPr>
        <w:t xml:space="preserve">17.投标文件</w:t>
      </w:r>
      <w:bookmarkEnd w:id="47"/>
      <w:r/>
      <w:bookmarkEnd w:id="48"/>
      <w:r/>
      <w:bookmarkEnd w:id="49"/>
      <w:r/>
      <w:bookmarkEnd w:id="50"/>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1" w:name="_Toc513029226"/>
      <w:r/>
      <w:bookmarkStart w:id="52" w:name="_Toc16938542"/>
      <w:r/>
      <w:bookmarkStart w:id="53" w:name="_Toc20823298"/>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1"/>
      <w:r/>
      <w:bookmarkEnd w:id="52"/>
      <w:r/>
      <w:bookmarkEnd w:id="53"/>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4" w:name="_Toc20823299"/>
      <w:r/>
      <w:bookmarkStart w:id="55" w:name="_Toc513029227"/>
      <w:r/>
      <w:bookmarkStart w:id="56" w:name="_Toc16938543"/>
      <w:r>
        <w:rPr>
          <w:rFonts w:hint="eastAsia" w:ascii="Times New Roman" w:hAnsi="Times New Roman" w:eastAsia="宋体" w:cs="宋体"/>
          <w:b/>
          <w:color w:val="auto"/>
          <w:szCs w:val="21"/>
          <w:highlight w:val="none"/>
        </w:rPr>
        <w:t xml:space="preserve">19.投标文件</w:t>
      </w:r>
      <w:bookmarkEnd w:id="54"/>
      <w:r/>
      <w:bookmarkEnd w:id="55"/>
      <w:r/>
      <w:bookmarkEnd w:id="56"/>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57" w:name="_Toc513029228"/>
      <w:r/>
      <w:bookmarkStart w:id="58" w:name="_Toc16938544"/>
      <w:r/>
      <w:bookmarkStart w:id="59" w:name="_Toc20823300"/>
      <w:r>
        <w:rPr>
          <w:rFonts w:hint="eastAsia" w:ascii="Times New Roman" w:hAnsi="Times New Roman" w:eastAsia="宋体" w:cs="宋体"/>
          <w:b/>
          <w:color w:val="auto"/>
          <w:szCs w:val="21"/>
          <w:highlight w:val="none"/>
        </w:rPr>
        <w:t xml:space="preserve">20.投标文件的撤回和修改</w:t>
      </w:r>
      <w:bookmarkEnd w:id="57"/>
      <w:r/>
      <w:bookmarkEnd w:id="58"/>
      <w:r/>
      <w:bookmarkEnd w:id="59"/>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eastAsia="宋体" w:cs="宋体"/>
          <w:b/>
          <w:bCs/>
          <w:color w:val="auto"/>
          <w:szCs w:val="21"/>
          <w:highlight w:val="none"/>
          <w:u w:val="single"/>
          <w:lang w:eastAsia="zh-CN"/>
        </w:rPr>
        <w:t xml:space="preserve">固定课桌椅</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响应)报价平均值X50%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响应)报价X50%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响应)报价&lt;采购项目最高限价X45%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cs="宋体"/>
          <w:bCs/>
          <w:color w:val="auto"/>
          <w:szCs w:val="21"/>
          <w:highlight w:val="none"/>
          <w:lang w:eastAsia="zh-CN"/>
        </w:rPr>
        <w:t xml:space="preserve">“江苏省政府采购网”和“中国政府采购网”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60" w:name="_Toc23141"/>
      <w:r/>
      <w:bookmarkStart w:id="61" w:name="_Toc55204179"/>
      <w:r/>
      <w:bookmarkStart w:id="62" w:name="_Toc30440"/>
      <w:r/>
      <w:bookmarkStart w:id="63" w:name="_Hlk69392822"/>
      <w:r>
        <w:rPr>
          <w:rFonts w:hint="eastAsia" w:ascii="Times New Roman" w:hAnsi="Times New Roman" w:eastAsia="宋体"/>
          <w:color w:val="auto"/>
          <w:highlight w:val="none"/>
        </w:rPr>
        <w:t xml:space="preserve">第三章 合同条款及格式</w:t>
      </w:r>
      <w:bookmarkEnd w:id="60"/>
      <w:r/>
      <w:bookmarkEnd w:id="61"/>
      <w:r/>
      <w:bookmarkEnd w:id="62"/>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76"/>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r/>
    </w:p>
    <w:p>
      <w:pPr>
        <w:pStyle w:val="976"/>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扬州市政府采购合同（货物）（合同编号）</w:t>
      </w:r>
      <w:r/>
    </w:p>
    <w:p>
      <w:pPr>
        <w:pStyle w:val="976"/>
        <w:ind w:firstLine="420"/>
        <w:pageBreakBefore w:val="0"/>
        <w:spacing w:line="360" w:lineRule="auto"/>
        <w:rPr>
          <w:rFonts w:hint="eastAsia" w:ascii="Times New Roman" w:hAnsi="Times New Roman" w:eastAsia="宋体" w:cs="宋体"/>
          <w:color w:val="auto"/>
          <w:sz w:val="21"/>
          <w:highlight w:val="none"/>
          <w:lang w:eastAsia="zh-CN"/>
        </w:rPr>
      </w:pPr>
      <w:r>
        <w:rPr>
          <w:rFonts w:hint="eastAsia" w:ascii="Times New Roman" w:hAnsi="Times New Roman" w:eastAsia="宋体" w:cs="宋体"/>
          <w:color w:val="auto"/>
          <w:sz w:val="21"/>
          <w:highlight w:val="none"/>
        </w:rPr>
        <w:t xml:space="preserve">项目名称：</w:t>
      </w:r>
      <w:r>
        <w:rPr>
          <w:rFonts w:hint="eastAsia" w:ascii="Times New Roman" w:hAnsi="Times New Roman" w:eastAsia="宋体" w:cs="宋体"/>
          <w:color w:val="auto"/>
          <w:sz w:val="21"/>
          <w:highlight w:val="none"/>
          <w:lang w:eastAsia="zh-CN"/>
        </w:rPr>
        <w:t xml:space="preserve">扬州工业职业技术学院教学楼教室课桌椅更换项目</w:t>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项目编号：</w:t>
      </w:r>
      <w:r>
        <w:rPr>
          <w:rFonts w:hint="eastAsia" w:ascii="Times New Roman" w:hAnsi="Times New Roman" w:cs="宋体"/>
          <w:color w:val="auto"/>
          <w:sz w:val="21"/>
          <w:highlight w:val="none"/>
          <w:lang w:eastAsia="zh-CN"/>
        </w:rPr>
        <w:t xml:space="preserve">JSZC-320000-SWGC-G2026-0076号</w:t>
      </w:r>
      <w:r/>
    </w:p>
    <w:p>
      <w:pPr>
        <w:pStyle w:val="976"/>
        <w:ind w:firstLine="420"/>
        <w:pageBreakBefore w:val="0"/>
        <w:spacing w:line="360" w:lineRule="auto"/>
        <w:rPr>
          <w:rFonts w:hint="eastAsia" w:ascii="Times New Roman" w:hAnsi="Times New Roman" w:eastAsia="宋体" w:cs="宋体"/>
          <w:color w:val="auto"/>
          <w:sz w:val="21"/>
          <w:highlight w:val="none"/>
          <w:lang w:eastAsia="zh-CN"/>
        </w:rPr>
      </w:pPr>
      <w:r>
        <w:rPr>
          <w:rFonts w:hint="eastAsia" w:ascii="Times New Roman" w:hAnsi="Times New Roman" w:eastAsia="宋体" w:cs="宋体"/>
          <w:color w:val="auto"/>
          <w:sz w:val="21"/>
          <w:highlight w:val="none"/>
        </w:rPr>
        <w:t xml:space="preserve">甲方：（买方）</w:t>
      </w:r>
      <w:r>
        <w:rPr>
          <w:rFonts w:hint="eastAsia" w:ascii="Times New Roman" w:hAnsi="Times New Roman" w:eastAsia="宋体" w:cs="宋体"/>
          <w:color w:val="auto"/>
          <w:sz w:val="21"/>
          <w:highlight w:val="none"/>
          <w:lang w:eastAsia="zh-CN"/>
        </w:rPr>
        <w:t xml:space="preserve">扬州工业职业技术学院</w:t>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乙方：（卖方）_________</w:t>
      </w:r>
      <w:r/>
    </w:p>
    <w:tbl>
      <w:tblPr>
        <w:tblStyle w:val="729"/>
        <w:tblpPr w:horzAnchor="page" w:tblpX="1840" w:vertAnchor="text" w:tblpY="464"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0"/>
        <w:gridCol w:w="542"/>
      </w:tblGrid>
      <w:tr>
        <w:trPr>
          <w:trHeight w:val="737"/>
        </w:trPr>
        <w:tc>
          <w:tcPr>
            <w:tcBorders>
              <w:top w:val="none" w:color="000000" w:sz="4" w:space="0"/>
              <w:left w:val="none" w:color="000000" w:sz="4" w:space="0"/>
              <w:bottom w:val="none" w:color="000000" w:sz="4" w:space="0"/>
              <w:right w:val="none" w:color="000000" w:sz="4" w:space="0"/>
            </w:tcBorders>
            <w:tcW w:w="4681" w:type="pct"/>
            <w:vAlign w:val="bottom"/>
            <w:textDirection w:val="lrTb"/>
            <w:noWrap w:val="false"/>
          </w:tcPr>
          <w:p>
            <w:pPr>
              <w:pStyle w:val="739"/>
              <w:ind w:firstLine="420"/>
              <w:keepLines w:val="0"/>
              <w:keepNext w:val="0"/>
              <w:pageBreakBefore w:val="0"/>
              <w:spacing w:line="360" w:lineRule="auto"/>
              <w:widowControl w:val="off"/>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根据《中华人民共和国民法典》等法律法规的规定，甲乙双方按照江苏苏维工程管理有限公司关于本项目</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采购结果签订本合同。</w:t>
            </w:r>
            <w:bookmarkEnd w:id="63"/>
            <w:r/>
            <w:r/>
          </w:p>
          <w:p>
            <w:pPr>
              <w:pStyle w:val="739"/>
              <w:ind w:firstLine="420"/>
              <w:keepLines w:val="0"/>
              <w:keepNext w:val="0"/>
              <w:pageBreakBefore w:val="0"/>
              <w:spacing w:line="360" w:lineRule="auto"/>
              <w:widowControl w:val="off"/>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39"/>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39"/>
              <w:ind w:firstLine="420"/>
              <w:pageBreakBefore w:val="0"/>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1.3 数量</w:t>
            </w:r>
            <w:r>
              <w:rPr>
                <w:rFonts w:hint="eastAsia" w:ascii="Times New Roman" w:hAnsi="Times New Roman" w:eastAsia="宋体"/>
                <w:color w:val="auto"/>
                <w:sz w:val="21"/>
                <w:highlight w:val="none"/>
                <w:lang w:eastAsia="zh-CN"/>
              </w:rPr>
              <w:t xml:space="preserve">（</w:t>
            </w:r>
            <w:r>
              <w:rPr>
                <w:rFonts w:ascii="Times New Roman" w:hAnsi="Times New Roman" w:eastAsia="宋体"/>
                <w:color w:val="auto"/>
                <w:sz w:val="21"/>
                <w:highlight w:val="none"/>
              </w:rPr>
              <w:t xml:space="preserve">单位）</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大写）：_____________圆</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_______________元）人民币。</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739"/>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rPr>
              <w:t xml:space="preserve">年。</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自交货验收合格之日起计）</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39"/>
              <w:ind w:firstLine="420"/>
              <w:pageBreakBefore w:val="0"/>
              <w:spacing w:line="360" w:lineRule="auto"/>
              <w:rPr>
                <w:rFonts w:hint="default" w:ascii="Times New Roman" w:hAnsi="Times New Roman" w:eastAsia="宋体"/>
                <w:color w:val="auto"/>
                <w:sz w:val="21"/>
                <w:highlight w:val="none"/>
                <w:u w:val="single"/>
                <w:lang w:val="en-US" w:eastAsia="zh-CN"/>
              </w:rPr>
            </w:pPr>
            <w:r>
              <w:rPr>
                <w:rFonts w:hint="eastAsia" w:ascii="Times New Roman" w:hAnsi="Times New Roman" w:eastAsia="宋体"/>
                <w:color w:val="auto"/>
                <w:sz w:val="21"/>
                <w:highlight w:val="none"/>
              </w:rPr>
              <w:t xml:space="preserve">9.1 交付期：</w:t>
            </w:r>
            <w:r>
              <w:rPr>
                <w:rFonts w:hint="eastAsia" w:ascii="Times New Roman" w:hAnsi="Times New Roman" w:eastAsia="宋体"/>
                <w:color w:val="auto"/>
                <w:sz w:val="21"/>
                <w:highlight w:val="none"/>
                <w:lang w:val="en-US" w:eastAsia="zh-CN"/>
              </w:rPr>
              <w:t xml:space="preserve">2026年8月20日前供货安装完毕</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w:t>
            </w:r>
            <w:r>
              <w:rPr>
                <w:rFonts w:hint="eastAsia" w:ascii="Times New Roman" w:hAnsi="Times New Roman" w:cs="宋体"/>
                <w:color w:val="auto"/>
                <w:szCs w:val="21"/>
                <w:highlight w:val="none"/>
                <w:lang w:val="en-US" w:eastAsia="zh-CN"/>
              </w:rPr>
              <w:t xml:space="preserve">乙方须向甲方出具预付款履约担保（</w:t>
            </w:r>
            <w:r>
              <w:rPr>
                <w:rFonts w:hint="eastAsia" w:ascii="Times New Roman" w:hAnsi="Times New Roman" w:eastAsia="宋体" w:cs="宋体"/>
                <w:color w:val="auto"/>
                <w:szCs w:val="21"/>
                <w:highlight w:val="none"/>
              </w:rPr>
              <w:t xml:space="preserve">合同总价30%</w:t>
            </w:r>
            <w:r>
              <w:rPr>
                <w:rFonts w:hint="eastAsia" w:ascii="Times New Roman" w:hAnsi="Times New Roman" w:cs="宋体"/>
                <w:color w:val="auto"/>
                <w:szCs w:val="21"/>
                <w:highlight w:val="none"/>
                <w:lang w:val="en-US" w:eastAsia="zh-CN"/>
              </w:rPr>
              <w:t xml:space="preserve">），</w:t>
            </w:r>
            <w:r>
              <w:rPr>
                <w:rFonts w:hint="eastAsia" w:ascii="Times New Roman" w:hAnsi="Times New Roman" w:eastAsia="宋体" w:cs="宋体"/>
                <w:color w:val="auto"/>
                <w:szCs w:val="21"/>
                <w:highlight w:val="none"/>
              </w:rPr>
              <w:t xml:space="preserve">乙方可以自主选择支票、汇票、本票、保函（电子保函）等非现金形式</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lang w:val="en-US" w:eastAsia="zh-CN"/>
              </w:rPr>
              <w:t xml:space="preserve">并</w:t>
            </w:r>
            <w:r>
              <w:rPr>
                <w:rFonts w:hint="eastAsia" w:ascii="Times New Roman" w:hAnsi="Times New Roman" w:eastAsia="宋体" w:cs="宋体"/>
                <w:color w:val="auto"/>
                <w:szCs w:val="21"/>
                <w:highlight w:val="none"/>
              </w:rPr>
              <w:t xml:space="preserve">向甲方开具发票，甲方自收到发票之日起10个工作日内支付合同总价30%的预付款</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货物到达甲方指定的地点并更换完成，终验合格后，乙方向甲方开具发票，甲方自收到发票之日起10 个工作日内支付至合同总价的50%</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余款待</w:t>
            </w:r>
            <w:r>
              <w:rPr>
                <w:rFonts w:hint="eastAsia" w:ascii="Times New Roman" w:hAnsi="Times New Roman" w:cs="宋体"/>
                <w:color w:val="auto"/>
                <w:szCs w:val="21"/>
                <w:highlight w:val="none"/>
                <w:lang w:val="en-US" w:eastAsia="zh-CN"/>
              </w:rPr>
              <w:t xml:space="preserve">甲方</w:t>
            </w:r>
            <w:r>
              <w:rPr>
                <w:rFonts w:hint="eastAsia" w:ascii="Times New Roman" w:hAnsi="Times New Roman" w:eastAsia="宋体" w:cs="宋体"/>
                <w:color w:val="auto"/>
                <w:szCs w:val="21"/>
                <w:highlight w:val="none"/>
              </w:rPr>
              <w:t xml:space="preserve">2027年预算下达后支付。</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运输、保险、检验、款项利息及银行手续费等）。</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如在使用过程中发生质量问题，乙方在接到甲方通知后在小时内到达甲方现场。</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rPr>
              <w:t xml:space="preserve">年，因人为因素出现的故障不在免费保修范围内。超过保修期的机器设备，</w:t>
            </w:r>
            <w:r>
              <w:rPr>
                <w:rFonts w:hint="eastAsia" w:ascii="Times New Roman" w:hAnsi="Times New Roman" w:eastAsia="宋体"/>
                <w:color w:val="auto"/>
                <w:sz w:val="21"/>
                <w:highlight w:val="none"/>
                <w:lang w:eastAsia="zh-CN"/>
              </w:rPr>
              <w:t xml:space="preserve">终身维修</w:t>
            </w:r>
            <w:r>
              <w:rPr>
                <w:rFonts w:hint="eastAsia" w:ascii="Times New Roman" w:hAnsi="Times New Roman" w:eastAsia="宋体"/>
                <w:color w:val="auto"/>
                <w:sz w:val="21"/>
                <w:highlight w:val="none"/>
              </w:rPr>
              <w:t xml:space="preserve">，维修时只收部件成本费。</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甲方无故逾期验收和办理款项支付手续的,甲方应按逾期付款总额每日万分之五向乙方支付违约金。</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39"/>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合同经双方法定代表人签章并加盖单位公章后生效。</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s="宋体"/>
                <w:color w:val="auto"/>
                <w:sz w:val="21"/>
                <w:highlight w:val="none"/>
              </w:rPr>
              <w:t xml:space="preserve">《中华人民共和国民法典》、《中华人民共和国政府采购法》</w:t>
            </w:r>
            <w:r>
              <w:rPr>
                <w:rFonts w:hint="eastAsia" w:ascii="Times New Roman" w:hAnsi="Times New Roman" w:eastAsia="宋体"/>
                <w:color w:val="auto"/>
                <w:sz w:val="21"/>
                <w:highlight w:val="none"/>
              </w:rPr>
              <w:t xml:space="preserve">有关条文执行。</w:t>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lang w:val="en-US" w:eastAsia="zh-CN"/>
              </w:rPr>
              <w:t xml:space="preserve">19</w:t>
            </w:r>
            <w:r>
              <w:rPr>
                <w:rFonts w:hint="eastAsia" w:ascii="Times New Roman" w:hAnsi="Times New Roman" w:eastAsia="宋体" w:cs="宋体"/>
                <w:color w:val="auto"/>
                <w:sz w:val="21"/>
                <w:highlight w:val="none"/>
              </w:rPr>
              <w:t xml:space="preserve">.3 本合同正本一式肆份，具有同等法律效力，甲方、乙方各执贰份。</w:t>
            </w:r>
            <w:r/>
          </w:p>
          <w:p>
            <w:pPr>
              <w:pStyle w:val="739"/>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9"/>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eastAsia="宋体"/>
                      <w:color w:val="auto"/>
                      <w:sz w:val="21"/>
                      <w:highlight w:val="none"/>
                      <w:lang w:eastAsia="zh-CN"/>
                    </w:rPr>
                    <w:t xml:space="preserve">扬州工业职业技术学院</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9"/>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3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ind w:left="0" w:right="0"/>
              <w:jc w:val="left"/>
              <w:keepLines w:val="0"/>
              <w:keepNext w:val="0"/>
              <w:pageBreakBefore w:val="0"/>
              <w:spacing w:beforeAutospacing="0" w:afterAutospacing="0" w:line="360" w:lineRule="auto"/>
              <w:rPr>
                <w:rFonts w:hint="default" w:ascii="Times New Roman" w:hAnsi="Times New Roman" w:eastAsia="宋体" w:cs="宋体"/>
                <w:color w:val="auto"/>
                <w:sz w:val="24"/>
                <w:highlight w:val="none"/>
                <w:u w:val="single"/>
              </w:rPr>
              <w:suppressLineNumbers w:val="0"/>
            </w:pPr>
            <w:r>
              <w:rPr>
                <w:rFonts w:hint="default" w:ascii="Times New Roman" w:hAnsi="Times New Roman" w:eastAsia="宋体" w:cs="宋体"/>
                <w:color w:val="auto"/>
                <w:sz w:val="24"/>
                <w:highlight w:val="none"/>
                <w:u w:val="single"/>
              </w:rPr>
            </w:r>
            <w:r/>
          </w:p>
        </w:tc>
        <w:tc>
          <w:tcPr>
            <w:tcBorders>
              <w:top w:val="none" w:color="000000" w:sz="4" w:space="0"/>
              <w:left w:val="none" w:color="000000" w:sz="4" w:space="0"/>
              <w:bottom w:val="none" w:color="000000" w:sz="4" w:space="0"/>
              <w:right w:val="none" w:color="000000" w:sz="4" w:space="0"/>
            </w:tcBorders>
            <w:tcW w:w="318" w:type="pct"/>
            <w:vAlign w:val="bottom"/>
            <w:textDirection w:val="lrTb"/>
            <w:noWrap w:val="false"/>
          </w:tcPr>
          <w:p>
            <w:pPr>
              <w:ind w:left="0" w:right="0"/>
              <w:keepLines w:val="0"/>
              <w:keepNext w:val="0"/>
              <w:pageBreakBefore w:val="0"/>
              <w:spacing w:beforeAutospacing="0" w:afterAutospacing="0" w:line="360" w:lineRule="auto"/>
              <w:rPr>
                <w:rFonts w:hint="default" w:ascii="Times New Roman" w:hAnsi="Times New Roman" w:eastAsia="宋体" w:cs="宋体"/>
                <w:color w:val="auto"/>
                <w:sz w:val="24"/>
                <w:highlight w:val="none"/>
              </w:rPr>
              <w:suppressLineNumbers w:val="0"/>
            </w:pPr>
            <w:r>
              <w:rPr>
                <w:rFonts w:hint="default" w:ascii="Times New Roman" w:hAnsi="Times New Roman" w:eastAsia="宋体" w:cs="宋体"/>
                <w:color w:val="auto"/>
                <w:sz w:val="24"/>
                <w:highlight w:val="none"/>
              </w:rPr>
            </w:r>
            <w:r/>
          </w:p>
        </w:tc>
      </w:tr>
    </w:tbl>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br w:type="page" w:clear="all"/>
      </w:r>
      <w:r/>
    </w:p>
    <w:p>
      <w:pPr>
        <w:pStyle w:val="719"/>
        <w:numPr>
          <w:ilvl w:val="0"/>
          <w:numId w:val="0"/>
        </w:numPr>
        <w:pageBreakBefore w:val="0"/>
        <w:spacing w:line="360" w:lineRule="auto"/>
        <w:rPr>
          <w:rFonts w:hint="eastAsia" w:ascii="Times New Roman" w:hAnsi="Times New Roman" w:eastAsia="宋体" w:cs="Arial"/>
          <w:b/>
          <w:color w:val="auto"/>
          <w:sz w:val="30"/>
          <w:szCs w:val="40"/>
          <w:lang w:val="en-US" w:eastAsia="zh-CN" w:bidi="ar-SA"/>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64" w:name="_Toc15957"/>
      <w:r/>
      <w:r/>
    </w:p>
    <w:p>
      <w:pPr>
        <w:pStyle w:val="719"/>
        <w:numPr>
          <w:ilvl w:val="0"/>
          <w:numId w:val="0"/>
        </w:numPr>
        <w:pageBreakBefore w:val="0"/>
        <w:spacing w:line="360" w:lineRule="auto"/>
        <w:rPr>
          <w:rFonts w:ascii="Times New Roman" w:hAnsi="Times New Roman" w:eastAsia="宋体"/>
          <w:color w:val="auto"/>
          <w:highlight w:val="none"/>
        </w:rPr>
      </w:pPr>
      <w:r/>
      <w:bookmarkStart w:id="65" w:name="_Toc3819"/>
      <w:r>
        <w:rPr>
          <w:rFonts w:hint="eastAsia" w:ascii="Times New Roman" w:hAnsi="Times New Roman" w:eastAsia="宋体" w:cs="Arial"/>
          <w:b/>
          <w:color w:val="auto"/>
          <w:sz w:val="30"/>
          <w:szCs w:val="40"/>
          <w:lang w:val="en-US" w:eastAsia="zh-CN" w:bidi="ar-SA"/>
        </w:rPr>
        <w:t xml:space="preserve">第四章 </w:t>
      </w:r>
      <w:r>
        <w:rPr>
          <w:rFonts w:hint="eastAsia" w:ascii="Times New Roman" w:hAnsi="Times New Roman" w:eastAsia="宋体"/>
          <w:color w:val="auto"/>
          <w:highlight w:val="none"/>
        </w:rPr>
        <w:t xml:space="preserve">项目需求</w:t>
      </w:r>
      <w:bookmarkEnd w:id="64"/>
      <w:r/>
      <w:bookmarkEnd w:id="65"/>
      <w:r/>
      <w:r/>
    </w:p>
    <w:p>
      <w:pPr>
        <w:ind w:firstLine="422"/>
        <w:pageBreakBefore w:val="0"/>
        <w:spacing w:line="360" w:lineRule="auto"/>
        <w:rPr>
          <w:rFonts w:hint="eastAsia" w:ascii="Times New Roman" w:hAnsi="Times New Roman" w:eastAsia="宋体" w:cs="宋体"/>
          <w:b/>
          <w:bCs/>
          <w:color w:val="auto"/>
          <w:highlight w:val="none"/>
        </w:rPr>
      </w:pPr>
      <w:r/>
      <w:bookmarkStart w:id="66" w:name="_Toc319408306"/>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735"/>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34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34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olor w:val="auto"/>
              </w:rPr>
              <w:t xml:space="preserve">固定课桌椅</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3411"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3411"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 评标方法与评标标准”。</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r>
        <w:rPr>
          <w:rFonts w:hint="eastAsia" w:ascii="Times New Roman" w:hAnsi="Times New Roman" w:eastAsia="宋体"/>
          <w:color w:val="auto"/>
          <w:sz w:val="24"/>
          <w:szCs w:val="24"/>
          <w:highlight w:val="none"/>
        </w:rPr>
        <w:t xml:space="preserve"> </w:t>
      </w:r>
      <w:r/>
    </w:p>
    <w:p>
      <w:pPr>
        <w:pStyle w:val="1002"/>
        <w:numPr>
          <w:ilvl w:val="0"/>
          <w:numId w:val="0"/>
        </w:numPr>
        <w:ind w:firstLine="420"/>
        <w:jc w:val="left"/>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扬州工业职业技术学院教学楼 B 座 1-4 层共 37 间教室，拆除原有固定课桌椅，采购相同数量固定课桌椅进行更换，共计37间教室，每间配置62人位学生课桌椅，合计 2294人位。</w:t>
      </w:r>
      <w:r/>
    </w:p>
    <w:p>
      <w:pPr>
        <w:pStyle w:val="756"/>
        <w:pageBreakBefore w:val="0"/>
        <w:spacing w:after="0" w:line="360" w:lineRule="auto"/>
        <w:rPr>
          <w:rFonts w:hint="eastAsia" w:ascii="Times New Roman" w:hAnsi="Times New Roman" w:eastAsia="宋体"/>
          <w:b w:val="0"/>
          <w:bCs/>
          <w:color w:val="auto"/>
          <w:sz w:val="21"/>
          <w:szCs w:val="21"/>
          <w:highlight w:val="none"/>
          <w:lang w:val="en-US" w:eastAsia="zh-CN"/>
        </w:rPr>
      </w:pPr>
      <w:r>
        <w:rPr>
          <w:rFonts w:hint="eastAsia" w:ascii="Times New Roman" w:hAnsi="Times New Roman" w:eastAsia="宋体"/>
          <w:b w:val="0"/>
          <w:bCs/>
          <w:color w:val="auto"/>
          <w:sz w:val="21"/>
          <w:szCs w:val="21"/>
          <w:highlight w:val="none"/>
          <w:lang w:val="en-US" w:eastAsia="zh-CN"/>
        </w:rPr>
        <w:t xml:space="preserve">（</w:t>
      </w:r>
      <w:r>
        <w:rPr>
          <w:rFonts w:hint="eastAsia" w:ascii="Times New Roman" w:hAnsi="Times New Roman"/>
          <w:b w:val="0"/>
          <w:bCs/>
          <w:color w:val="auto"/>
          <w:sz w:val="21"/>
          <w:szCs w:val="21"/>
          <w:highlight w:val="none"/>
          <w:lang w:val="en-US" w:eastAsia="zh-CN"/>
        </w:rPr>
        <w:t xml:space="preserve">2</w:t>
      </w:r>
      <w:r>
        <w:rPr>
          <w:rFonts w:hint="eastAsia" w:ascii="Times New Roman" w:hAnsi="Times New Roman" w:eastAsia="宋体"/>
          <w:b w:val="0"/>
          <w:bCs/>
          <w:color w:val="auto"/>
          <w:sz w:val="21"/>
          <w:szCs w:val="21"/>
          <w:highlight w:val="none"/>
          <w:lang w:val="en-US" w:eastAsia="zh-CN"/>
        </w:rPr>
        <w:t xml:space="preserve">）中标人生产前需要和用户沟通确认桌椅颜色。</w:t>
      </w:r>
      <w:r/>
    </w:p>
    <w:p>
      <w:pPr>
        <w:pStyle w:val="756"/>
        <w:pageBreakBefore w:val="0"/>
        <w:spacing w:after="0" w:line="360" w:lineRule="auto"/>
        <w:rPr>
          <w:rFonts w:hint="eastAsia" w:ascii="Times New Roman" w:hAnsi="Times New Roman" w:eastAsia="宋体"/>
          <w:b w:val="0"/>
          <w:bCs/>
          <w:color w:val="auto"/>
          <w:sz w:val="21"/>
          <w:szCs w:val="21"/>
          <w:highlight w:val="none"/>
          <w:lang w:val="en-US" w:eastAsia="zh-CN"/>
        </w:rPr>
      </w:pPr>
      <w:r>
        <w:rPr>
          <w:rFonts w:hint="eastAsia" w:ascii="Times New Roman" w:hAnsi="Times New Roman" w:eastAsia="宋体"/>
          <w:b w:val="0"/>
          <w:bCs/>
          <w:color w:val="auto"/>
          <w:sz w:val="21"/>
          <w:szCs w:val="21"/>
          <w:highlight w:val="none"/>
          <w:lang w:val="en-US" w:eastAsia="zh-CN"/>
        </w:rPr>
        <w:t xml:space="preserve">（</w:t>
      </w:r>
      <w:r>
        <w:rPr>
          <w:rFonts w:hint="eastAsia" w:ascii="Times New Roman" w:hAnsi="Times New Roman"/>
          <w:b w:val="0"/>
          <w:bCs/>
          <w:color w:val="auto"/>
          <w:sz w:val="21"/>
          <w:szCs w:val="21"/>
          <w:highlight w:val="none"/>
          <w:lang w:val="en-US" w:eastAsia="zh-CN"/>
        </w:rPr>
        <w:t xml:space="preserve">3</w:t>
      </w:r>
      <w:r>
        <w:rPr>
          <w:rFonts w:hint="eastAsia" w:ascii="Times New Roman" w:hAnsi="Times New Roman" w:eastAsia="宋体"/>
          <w:b w:val="0"/>
          <w:bCs/>
          <w:color w:val="auto"/>
          <w:sz w:val="21"/>
          <w:szCs w:val="21"/>
          <w:highlight w:val="none"/>
          <w:lang w:val="en-US" w:eastAsia="zh-CN"/>
        </w:rPr>
        <w:t xml:space="preserve">）实际供货数量可能会有微调，最终按实际供货数量结算。</w:t>
      </w:r>
      <w:r/>
    </w:p>
    <w:p>
      <w:pPr>
        <w:pStyle w:val="756"/>
        <w:ind w:left="0" w:firstLine="0"/>
        <w:pageBreakBefore w:val="0"/>
        <w:spacing w:after="0" w:line="360" w:lineRule="auto"/>
        <w:rPr>
          <w:rFonts w:hint="eastAsia" w:ascii="Times New Roman" w:hAnsi="Times New Roman" w:eastAsia="宋体"/>
          <w:b w:val="0"/>
          <w:bCs/>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val="0"/>
          <w:bCs/>
          <w:color w:val="auto"/>
          <w:sz w:val="21"/>
          <w:szCs w:val="21"/>
          <w:highlight w:val="none"/>
          <w:lang w:val="en-US" w:eastAsia="zh-CN"/>
        </w:rPr>
      </w:r>
      <w:r/>
    </w:p>
    <w:p>
      <w:pPr>
        <w:pStyle w:val="756"/>
        <w:pageBreakBefore w:val="0"/>
        <w:spacing w:after="0" w:line="360" w:lineRule="auto"/>
        <w:rPr>
          <w:rFonts w:hint="default" w:ascii="Times New Roman" w:hAnsi="Times New Roman" w:eastAsia="宋体"/>
          <w:b/>
          <w:bCs/>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 xml:space="preserve">三</w:t>
      </w:r>
      <w:r>
        <w:rPr>
          <w:rFonts w:hint="eastAsia" w:ascii="Times New Roman" w:hAnsi="Times New Roman" w:eastAsia="宋体"/>
          <w:b/>
          <w:color w:val="auto"/>
          <w:sz w:val="21"/>
          <w:szCs w:val="21"/>
          <w:highlight w:val="none"/>
        </w:rPr>
        <w:t xml:space="preserve">、</w:t>
      </w:r>
      <w:bookmarkEnd w:id="66"/>
      <w:r>
        <w:rPr>
          <w:rFonts w:hint="eastAsia" w:ascii="Times New Roman" w:hAnsi="Times New Roman" w:eastAsia="宋体"/>
          <w:b/>
          <w:color w:val="auto"/>
          <w:sz w:val="21"/>
          <w:szCs w:val="21"/>
          <w:highlight w:val="none"/>
          <w:lang w:val="en-US" w:eastAsia="zh-CN"/>
        </w:rPr>
        <w:t xml:space="preserve">采购清单</w:t>
      </w:r>
      <w:r/>
    </w:p>
    <w:tbl>
      <w:tblPr>
        <w:tblStyle w:val="729"/>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35"/>
        <w:gridCol w:w="1020"/>
        <w:gridCol w:w="1933"/>
        <w:gridCol w:w="2997"/>
        <w:gridCol w:w="778"/>
        <w:gridCol w:w="823"/>
        <w:gridCol w:w="5979"/>
      </w:tblGrid>
      <w:tr>
        <w:trPr>
          <w:trHeight w:val="410"/>
        </w:trPr>
        <w:tc>
          <w:tcPr>
            <w:tcBorders>
              <w:top w:val="single" w:color="000000" w:sz="8" w:space="0"/>
              <w:left w:val="single" w:color="000000" w:sz="8" w:space="0"/>
              <w:bottom w:val="none" w:color="000000" w:sz="4" w:space="0"/>
              <w:right w:val="single" w:color="000000" w:sz="4" w:space="0"/>
            </w:tcBorders>
            <w:tcW w:w="224"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序号</w:t>
            </w:r>
            <w:r/>
          </w:p>
        </w:tc>
        <w:tc>
          <w:tcPr>
            <w:tcBorders>
              <w:top w:val="single" w:color="000000" w:sz="8" w:space="0"/>
              <w:left w:val="single" w:color="000000" w:sz="4" w:space="0"/>
              <w:bottom w:val="none" w:color="000000" w:sz="4" w:space="0"/>
              <w:right w:val="single" w:color="000000" w:sz="4" w:space="0"/>
            </w:tcBorders>
            <w:tcW w:w="360"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名称</w:t>
            </w:r>
            <w:r/>
          </w:p>
        </w:tc>
        <w:tc>
          <w:tcPr>
            <w:tcBorders>
              <w:top w:val="single" w:color="000000" w:sz="8" w:space="0"/>
              <w:left w:val="single" w:color="000000" w:sz="4" w:space="0"/>
              <w:bottom w:val="none" w:color="000000" w:sz="4" w:space="0"/>
              <w:right w:val="single" w:color="000000" w:sz="4" w:space="0"/>
            </w:tcBorders>
            <w:tcW w:w="682"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规格（mm）</w:t>
            </w:r>
            <w:r/>
          </w:p>
        </w:tc>
        <w:tc>
          <w:tcPr>
            <w:tcBorders>
              <w:top w:val="single" w:color="000000" w:sz="8" w:space="0"/>
              <w:left w:val="single" w:color="000000" w:sz="4" w:space="0"/>
              <w:bottom w:val="none" w:color="000000" w:sz="4" w:space="0"/>
              <w:right w:val="single" w:color="000000" w:sz="4" w:space="0"/>
            </w:tcBorders>
            <w:tcW w:w="1058"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图片</w:t>
            </w:r>
            <w:r/>
          </w:p>
        </w:tc>
        <w:tc>
          <w:tcPr>
            <w:tcBorders>
              <w:top w:val="single" w:color="000000" w:sz="8" w:space="0"/>
              <w:left w:val="single" w:color="000000" w:sz="4" w:space="0"/>
              <w:bottom w:val="none" w:color="000000" w:sz="4" w:space="0"/>
              <w:right w:val="single" w:color="000000" w:sz="4" w:space="0"/>
            </w:tcBorders>
            <w:tcW w:w="275"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单位</w:t>
            </w:r>
            <w:r/>
          </w:p>
        </w:tc>
        <w:tc>
          <w:tcPr>
            <w:tcBorders>
              <w:top w:val="single" w:color="000000" w:sz="8" w:space="0"/>
              <w:left w:val="single" w:color="000000" w:sz="4" w:space="0"/>
              <w:bottom w:val="none" w:color="000000" w:sz="4" w:space="0"/>
              <w:right w:val="single" w:color="000000" w:sz="4" w:space="0"/>
            </w:tcBorders>
            <w:tcW w:w="291"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数量</w:t>
            </w:r>
            <w:r/>
          </w:p>
        </w:tc>
        <w:tc>
          <w:tcPr>
            <w:tcBorders>
              <w:top w:val="single" w:color="000000" w:sz="8" w:space="0"/>
              <w:left w:val="single" w:color="000000" w:sz="4" w:space="0"/>
              <w:bottom w:val="none" w:color="000000" w:sz="4" w:space="0"/>
              <w:right w:val="single" w:color="000000" w:sz="4" w:space="0"/>
            </w:tcBorders>
            <w:tcW w:w="2110" w:type="pct"/>
            <w:vAlign w:val="center"/>
            <w:textDirection w:val="lrTb"/>
            <w:noWrap/>
          </w:tcPr>
          <w:p>
            <w:pPr>
              <w:pStyle w:val="775"/>
              <w:rPr>
                <w:rFonts w:hint="eastAsia" w:ascii="Times New Roman" w:hAnsi="Times New Roman" w:eastAsia="宋体"/>
                <w:b/>
                <w:bCs/>
                <w:color w:val="auto"/>
              </w:rPr>
            </w:pPr>
            <w:r>
              <w:rPr>
                <w:rFonts w:hint="eastAsia" w:ascii="Times New Roman" w:hAnsi="Times New Roman" w:eastAsia="宋体"/>
                <w:b/>
                <w:bCs/>
                <w:color w:val="auto"/>
              </w:rPr>
              <w:t xml:space="preserve">技术参数</w:t>
            </w:r>
            <w:r/>
          </w:p>
        </w:tc>
      </w:tr>
      <w:tr>
        <w:trPr>
          <w:trHeight w:val="410"/>
        </w:trPr>
        <w:tc>
          <w:tcPr>
            <w:gridSpan w:val="7"/>
            <w:tcBorders>
              <w:top w:val="single" w:color="000000" w:sz="8" w:space="0"/>
              <w:left w:val="single" w:color="000000" w:sz="8" w:space="0"/>
              <w:bottom w:val="none" w:color="000000" w:sz="4" w:space="0"/>
              <w:right w:val="single" w:color="000000" w:sz="4" w:space="0"/>
            </w:tcBorders>
            <w:tcW w:w="5000"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教室（单间）</w:t>
            </w:r>
            <w:r/>
          </w:p>
        </w:tc>
      </w:tr>
      <w:tr>
        <w:trPr>
          <w:trHeight w:val="343"/>
        </w:trPr>
        <w:tc>
          <w:tcPr>
            <w:tcBorders>
              <w:top w:val="single" w:color="000000" w:sz="8" w:space="0"/>
              <w:left w:val="single" w:color="000000" w:sz="8" w:space="0"/>
              <w:bottom w:val="single" w:color="000000" w:sz="8" w:space="0"/>
              <w:right w:val="single" w:color="000000" w:sz="4" w:space="0"/>
            </w:tcBorders>
            <w:tcW w:w="224"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1</w:t>
            </w:r>
            <w:r/>
          </w:p>
        </w:tc>
        <w:tc>
          <w:tcPr>
            <w:tcBorders>
              <w:top w:val="single" w:color="000000" w:sz="8" w:space="0"/>
              <w:left w:val="single" w:color="000000" w:sz="4" w:space="0"/>
              <w:bottom w:val="single" w:color="000000" w:sz="8" w:space="0"/>
              <w:right w:val="single" w:color="000000" w:sz="4" w:space="0"/>
            </w:tcBorders>
            <w:tcW w:w="360"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固定课桌椅</w:t>
            </w:r>
            <w:r/>
          </w:p>
        </w:tc>
        <w:tc>
          <w:tcPr>
            <w:tcBorders>
              <w:top w:val="single" w:color="000000" w:sz="8" w:space="0"/>
              <w:left w:val="single" w:color="000000" w:sz="4" w:space="0"/>
              <w:bottom w:val="single" w:color="000000" w:sz="8" w:space="0"/>
              <w:right w:val="single" w:color="000000" w:sz="4" w:space="0"/>
            </w:tcBorders>
            <w:tcW w:w="682"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1.规格：中心距：530mm（±2mm），台面板宽度350mm（±2mm），椅座高度450mm（±2mm），桌面高度760mm（±2mm）</w:t>
            </w:r>
            <w:r/>
          </w:p>
        </w:tc>
        <w:tc>
          <w:tcPr>
            <w:tcBorders>
              <w:top w:val="single" w:color="000000" w:sz="8" w:space="0"/>
              <w:left w:val="single" w:color="000000" w:sz="4" w:space="0"/>
              <w:bottom w:val="single" w:color="000000" w:sz="8" w:space="0"/>
              <w:right w:val="single" w:color="000000" w:sz="4" w:space="0"/>
            </w:tcBorders>
            <w:tcW w:w="1058"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mc:AlternateContent>
                <mc:Choice Requires="wpg">
                  <w:drawing>
                    <wp:inline xmlns:wp="http://schemas.openxmlformats.org/drawingml/2006/wordprocessingDrawing" distT="0" distB="0" distL="0" distR="0">
                      <wp:extent cx="1762125" cy="1407160"/>
                      <wp:effectExtent l="0" t="0" r="9525" b="2540"/>
                      <wp:docPr id="3" name="图片 5" descr="14bdbb1be2885a62a434b3d4a8b8b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4bdbb1be2885a62a434b3d4a8b8bca2"/>
                              <pic:cNvPicPr>
                                <a:picLocks noChangeAspect="1"/>
                              </pic:cNvPicPr>
                              <pic:nvPr/>
                            </pic:nvPicPr>
                            <pic:blipFill>
                              <a:blip r:embed="rId15"/>
                              <a:stretch/>
                            </pic:blipFill>
                            <pic:spPr bwMode="auto">
                              <a:xfrm>
                                <a:off x="0" y="0"/>
                                <a:ext cx="1762125" cy="140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8.8pt;height:110.8pt;mso-wrap-distance-left:0.0pt;mso-wrap-distance-top:0.0pt;mso-wrap-distance-right:0.0pt;mso-wrap-distance-bottom:0.0pt;" stroked="false">
                      <v:path textboxrect="0,0,0,0"/>
                      <v:imagedata r:id="rId15" o:title=""/>
                    </v:shape>
                  </w:pict>
                </mc:Fallback>
              </mc:AlternateContent>
            </w:r>
            <w:r/>
          </w:p>
        </w:tc>
        <w:tc>
          <w:tcPr>
            <w:tcBorders>
              <w:top w:val="single" w:color="000000" w:sz="8" w:space="0"/>
              <w:left w:val="single" w:color="000000" w:sz="4" w:space="0"/>
              <w:bottom w:val="single" w:color="000000" w:sz="8" w:space="0"/>
              <w:right w:val="single" w:color="000000" w:sz="4" w:space="0"/>
            </w:tcBorders>
            <w:tcW w:w="275"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位</w:t>
            </w:r>
            <w:r/>
          </w:p>
        </w:tc>
        <w:tc>
          <w:tcPr>
            <w:tcBorders>
              <w:top w:val="single" w:color="000000" w:sz="8" w:space="0"/>
              <w:left w:val="single" w:color="000000" w:sz="4" w:space="0"/>
              <w:bottom w:val="single" w:color="000000" w:sz="8" w:space="0"/>
              <w:right w:val="single" w:color="000000" w:sz="4" w:space="0"/>
            </w:tcBorders>
            <w:tcW w:w="291" w:type="pct"/>
            <w:vAlign w:val="center"/>
            <w:textDirection w:val="lrTb"/>
            <w:noWrap/>
          </w:tcPr>
          <w:p>
            <w:pPr>
              <w:pStyle w:val="775"/>
              <w:rPr>
                <w:rFonts w:hint="eastAsia" w:ascii="Times New Roman" w:hAnsi="Times New Roman" w:eastAsia="宋体"/>
                <w:color w:val="auto"/>
              </w:rPr>
            </w:pPr>
            <w:r>
              <w:rPr>
                <w:rFonts w:hint="eastAsia" w:ascii="Times New Roman" w:hAnsi="Times New Roman" w:eastAsia="宋体"/>
                <w:color w:val="auto"/>
              </w:rPr>
              <w:t xml:space="preserve">2294</w:t>
            </w:r>
            <w:r/>
          </w:p>
        </w:tc>
        <w:tc>
          <w:tcPr>
            <w:tcBorders>
              <w:top w:val="single" w:color="000000" w:sz="8" w:space="0"/>
              <w:left w:val="single" w:color="000000" w:sz="4" w:space="0"/>
              <w:bottom w:val="single" w:color="000000" w:sz="8" w:space="0"/>
              <w:right w:val="single" w:color="000000" w:sz="4" w:space="0"/>
            </w:tcBorders>
            <w:tcW w:w="2110" w:type="pct"/>
            <w:vAlign w:val="center"/>
            <w:textDirection w:val="lrTb"/>
            <w:noWrap/>
          </w:tcPr>
          <w:p>
            <w:pPr>
              <w:pStyle w:val="775"/>
              <w:jc w:val="left"/>
              <w:rPr>
                <w:rFonts w:hint="eastAsia" w:ascii="Times New Roman" w:hAnsi="Times New Roman" w:eastAsia="宋体"/>
                <w:b/>
                <w:bCs/>
                <w:color w:val="auto"/>
              </w:rPr>
            </w:pPr>
            <w:r>
              <w:rPr>
                <w:rFonts w:hint="eastAsia" w:ascii="Times New Roman" w:hAnsi="Times New Roman" w:eastAsia="宋体" w:cs="宋体"/>
                <w:color w:val="auto"/>
                <w:sz w:val="24"/>
                <w:szCs w:val="24"/>
              </w:rPr>
              <w:t xml:space="preserve">★</w:t>
            </w:r>
            <w:r>
              <w:rPr>
                <w:rFonts w:hint="eastAsia" w:ascii="Times New Roman" w:hAnsi="Times New Roman" w:eastAsia="宋体"/>
                <w:b/>
                <w:bCs/>
                <w:color w:val="auto"/>
              </w:rPr>
              <w:t xml:space="preserve">1.台面板</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采用</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18mm 厚E0级三聚氰胺饰面刨花板，甲醛释放量≤0.05mg/m³，</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1.5mm 厚PVC封边，台面深度</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350mm。</w:t>
            </w:r>
            <w:r/>
          </w:p>
          <w:p>
            <w:pPr>
              <w:pStyle w:val="775"/>
              <w:jc w:val="left"/>
              <w:rPr>
                <w:rFonts w:hint="eastAsia" w:ascii="Times New Roman" w:hAnsi="Times New Roman" w:eastAsia="宋体"/>
                <w:b/>
                <w:bCs/>
                <w:color w:val="auto"/>
              </w:rPr>
            </w:pPr>
            <w:r>
              <w:rPr>
                <w:rFonts w:hint="eastAsia" w:ascii="Times New Roman" w:hAnsi="Times New Roman" w:eastAsia="宋体" w:cs="宋体"/>
                <w:color w:val="auto"/>
                <w:sz w:val="24"/>
                <w:szCs w:val="24"/>
              </w:rPr>
              <w:t xml:space="preserve">★</w:t>
            </w:r>
            <w:r>
              <w:rPr>
                <w:rFonts w:hint="eastAsia" w:ascii="Times New Roman" w:hAnsi="Times New Roman" w:eastAsia="宋体"/>
                <w:b/>
                <w:bCs/>
                <w:color w:val="auto"/>
              </w:rPr>
              <w:t xml:space="preserve">2.椅背</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（1）椅背：采用钢、铝、木融合一体的钢木结构。</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（2）背板：采用</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18mm厚E0级三聚氰胺饰面刨花板，与立管、上下受力横管、铝合金管连接固定。</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（3）椅背铝管：采用铝合金材质冷拉成型，尺寸</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63*57*2mm，弧形设计，两侧分别于背板、桌面板嵌入式连接，形成牢固框体；铝条高于桌面不少于1mm，防止用笔滑落。</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（4）受力横管：下横管采用</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80*40*2mm 矩形方管，上横管60*30*2mm 矩形方管。</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（5）左中右立管：采用</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80*40*2mm 矩形钢管。</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（6）立管底脚：采用铝合金材质经模具压铸成型，宽度</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44mm，底脚前后端尺寸</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312mm。配有 PP 材质地爆装饰盖。</w:t>
            </w:r>
            <w:r/>
          </w:p>
          <w:p>
            <w:pPr>
              <w:pStyle w:val="775"/>
              <w:jc w:val="left"/>
              <w:rPr>
                <w:rFonts w:hint="eastAsia" w:ascii="Times New Roman" w:hAnsi="Times New Roman" w:eastAsia="宋体"/>
                <w:b/>
                <w:bCs/>
                <w:color w:val="auto"/>
              </w:rPr>
            </w:pPr>
            <w:r>
              <w:rPr>
                <w:rFonts w:hint="eastAsia" w:ascii="Times New Roman" w:hAnsi="Times New Roman" w:eastAsia="宋体" w:cs="宋体"/>
                <w:color w:val="auto"/>
                <w:sz w:val="24"/>
                <w:szCs w:val="24"/>
              </w:rPr>
              <w:t xml:space="preserve">★</w:t>
            </w:r>
            <w:r>
              <w:rPr>
                <w:rFonts w:hint="eastAsia" w:ascii="Times New Roman" w:hAnsi="Times New Roman" w:eastAsia="宋体"/>
                <w:b/>
                <w:bCs/>
                <w:color w:val="auto"/>
              </w:rPr>
              <w:t xml:space="preserve">3.座板：</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（1）尺寸：</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425mm×413mm×45mm。</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（2）材质：改性 PP（聚丙烯）材料经模具压注成型，具有良好的力学性能，环保标准达到国家标准。</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（3）座板边部由前往后厚度渐变，边部后端最厚处不小于23mm，座板后端中间位置有两条长度不小于70mm*12mm 椅座回复让位糟，座板底部中间处设有3D造型的加强护框，受力倍增，金属加工成型的座板底座组件镶嵌紧固于内， 座板表面为田字格蚀纹工艺处理，透气、防滑。</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（4）受力底座：尺寸</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260mm×285mm×89mm</w:t>
            </w:r>
            <w:r>
              <w:rPr>
                <w:rFonts w:hint="eastAsia" w:ascii="Times New Roman" w:hAnsi="Times New Roman"/>
                <w:color w:val="auto"/>
                <w:lang w:eastAsia="zh-CN"/>
              </w:rPr>
              <w:t xml:space="preserve">，</w:t>
            </w:r>
            <w:r>
              <w:rPr>
                <w:rFonts w:hint="eastAsia" w:ascii="Times New Roman" w:hAnsi="Times New Roman" w:eastAsia="宋体"/>
                <w:color w:val="auto"/>
              </w:rPr>
              <w:t xml:space="preserve">采用PP材质经模具注塑成型，内配回复重力块及受力组件，塑料底座镶嵌于座板加强护框内，合为一体。</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（5）受力支撑组件：采用</w:t>
            </w:r>
            <w:r>
              <w:rPr>
                <w:rFonts w:hint="eastAsia" w:ascii="Times New Roman" w:hAnsi="Times New Roman"/>
                <w:color w:val="auto"/>
                <w:lang w:val="en-US" w:eastAsia="zh-CN"/>
              </w:rPr>
              <w:t xml:space="preserve">不少于</w:t>
            </w:r>
            <w:r>
              <w:rPr>
                <w:rFonts w:hint="eastAsia" w:ascii="Times New Roman" w:hAnsi="Times New Roman" w:eastAsia="宋体"/>
                <w:color w:val="auto"/>
              </w:rPr>
              <w:t xml:space="preserve">5mm 厚钢板折弯焊接加工成型，与横管及塑料底座相连。</w:t>
            </w:r>
            <w:r/>
          </w:p>
          <w:p>
            <w:pPr>
              <w:pStyle w:val="775"/>
              <w:jc w:val="left"/>
              <w:rPr>
                <w:rFonts w:hint="eastAsia" w:ascii="Times New Roman" w:hAnsi="Times New Roman" w:eastAsia="宋体"/>
                <w:b/>
                <w:bCs/>
                <w:color w:val="auto"/>
              </w:rPr>
            </w:pPr>
            <w:r>
              <w:rPr>
                <w:rFonts w:hint="eastAsia" w:ascii="Times New Roman" w:hAnsi="Times New Roman" w:eastAsia="宋体"/>
                <w:b/>
                <w:bCs/>
                <w:color w:val="auto"/>
              </w:rPr>
              <w:t xml:space="preserve">4.回复机构</w:t>
            </w:r>
            <w:r/>
          </w:p>
          <w:p>
            <w:pPr>
              <w:pStyle w:val="775"/>
              <w:jc w:val="left"/>
              <w:rPr>
                <w:rFonts w:hint="eastAsia" w:ascii="Times New Roman" w:hAnsi="Times New Roman" w:eastAsia="宋体"/>
                <w:color w:val="auto"/>
              </w:rPr>
            </w:pPr>
            <w:r>
              <w:rPr>
                <w:rFonts w:hint="eastAsia" w:ascii="Times New Roman" w:hAnsi="Times New Roman" w:eastAsia="宋体"/>
                <w:color w:val="auto"/>
              </w:rPr>
              <w:t xml:space="preserve">弹片自动复位机构，依靠弹性片实现快速回弹配合自重块自动回位。</w:t>
            </w:r>
            <w:r/>
          </w:p>
        </w:tc>
      </w:tr>
    </w:tbl>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bidi="ar-SA"/>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Times New Roman" w:hAnsi="Times New Roman" w:eastAsia="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bidi="ar-SA"/>
        </w:rPr>
        <w:t xml:space="preserve">四、</w:t>
      </w:r>
      <w:r>
        <w:rPr>
          <w:rFonts w:hint="eastAsia" w:ascii="Times New Roman" w:hAnsi="Times New Roman" w:eastAsia="宋体" w:cs="宋体"/>
          <w:b/>
          <w:bCs/>
          <w:color w:val="auto"/>
          <w:sz w:val="21"/>
          <w:szCs w:val="21"/>
          <w:highlight w:val="none"/>
        </w:rPr>
        <w:t xml:space="preserve">商务要求</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auto"/>
          <w:sz w:val="21"/>
          <w:szCs w:val="21"/>
          <w:highlight w:val="none"/>
          <w:u w:val="single"/>
          <w:lang w:val="en-US" w:eastAsia="zh-CN"/>
        </w:rPr>
      </w:pPr>
      <w:r>
        <w:rPr>
          <w:rFonts w:hint="eastAsia" w:ascii="Times New Roman" w:hAnsi="Times New Roman" w:eastAsia="宋体" w:cs="宋体"/>
          <w:b w:val="0"/>
          <w:bCs w:val="0"/>
          <w:i/>
          <w:iCs/>
          <w:color w:val="auto"/>
          <w:sz w:val="21"/>
          <w:szCs w:val="21"/>
          <w:highlight w:val="none"/>
          <w:u w:val="single"/>
          <w:lang w:val="en-US" w:eastAsia="zh-CN"/>
        </w:rPr>
        <w:t xml:space="preserve">1.交付期：2026年8月20日前供货安装完毕</w:t>
      </w:r>
      <w:r>
        <w:rPr>
          <w:rFonts w:hint="eastAsia" w:ascii="Times New Roman" w:hAnsi="Times New Roman" w:cs="宋体"/>
          <w:b w:val="0"/>
          <w:bCs w:val="0"/>
          <w:i/>
          <w:iCs/>
          <w:color w:val="auto"/>
          <w:sz w:val="21"/>
          <w:szCs w:val="21"/>
          <w:highlight w:val="none"/>
          <w:u w:val="single"/>
          <w:lang w:val="en-US" w:eastAsia="zh-CN"/>
        </w:rPr>
        <w:t xml:space="preserve">。</w:t>
      </w:r>
      <w:r>
        <w:rPr>
          <w:rFonts w:hint="eastAsia" w:cs="宋体"/>
          <w:i/>
          <w:iCs/>
          <w:color w:val="auto"/>
          <w:szCs w:val="21"/>
          <w:u w:val="single"/>
          <w:lang w:eastAsia="zh-CN"/>
        </w:rPr>
        <w:t xml:space="preserve">（</w:t>
      </w:r>
      <w:r>
        <w:rPr>
          <w:rFonts w:hint="eastAsia" w:cs="宋体"/>
          <w:i/>
          <w:iCs/>
          <w:color w:val="auto"/>
          <w:szCs w:val="21"/>
          <w:u w:val="single"/>
        </w:rPr>
        <w:t xml:space="preserve">提供承诺书，承诺书格式自拟，</w:t>
      </w:r>
      <w:r>
        <w:rPr>
          <w:rFonts w:hint="eastAsia" w:cs="宋体"/>
          <w:i/>
          <w:iCs/>
          <w:color w:val="auto"/>
          <w:szCs w:val="21"/>
          <w:u w:val="single"/>
          <w:lang w:val="en-US" w:eastAsia="zh-CN"/>
        </w:rPr>
        <w:t xml:space="preserve">加盖投标人公章后扫描上传</w:t>
      </w:r>
      <w:r>
        <w:rPr>
          <w:rFonts w:hint="eastAsia" w:cs="宋体"/>
          <w:i/>
          <w:iCs/>
          <w:color w:val="auto"/>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2.交付方式：甲方指定方式</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3.交付地点：甲方指定地点。</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4.质保期</w:t>
      </w:r>
      <w:r/>
    </w:p>
    <w:p>
      <w:pPr>
        <w:ind w:firstLine="420"/>
        <w:keepLines w:val="0"/>
        <w:keepNext w:val="0"/>
        <w:pageBreakBefore w:val="0"/>
        <w:spacing w:line="360" w:lineRule="auto"/>
        <w:widowControl w:val="off"/>
        <w:rPr>
          <w:rFonts w:hint="eastAsia" w:cs="宋体"/>
          <w:i/>
          <w:iCs/>
          <w:color w:val="auto"/>
          <w:szCs w:val="21"/>
          <w:u w:val="single"/>
        </w:rPr>
      </w:pPr>
      <w:r>
        <w:rPr>
          <w:rFonts w:hint="eastAsia" w:cs="宋体"/>
          <w:i/>
          <w:iCs/>
          <w:color w:val="auto"/>
          <w:szCs w:val="21"/>
          <w:u w:val="single"/>
        </w:rPr>
        <w:t xml:space="preserve">免费质保期</w:t>
      </w:r>
      <w:r>
        <w:rPr>
          <w:rFonts w:hint="eastAsia" w:cs="宋体"/>
          <w:i/>
          <w:iCs/>
          <w:color w:val="auto"/>
          <w:szCs w:val="21"/>
          <w:u w:val="single"/>
          <w:lang w:val="en-US" w:eastAsia="zh-CN"/>
        </w:rPr>
        <w:t xml:space="preserve">至少3</w:t>
      </w:r>
      <w:r>
        <w:rPr>
          <w:rFonts w:hint="eastAsia" w:cs="宋体"/>
          <w:i/>
          <w:iCs/>
          <w:color w:val="auto"/>
          <w:szCs w:val="21"/>
          <w:u w:val="single"/>
        </w:rPr>
        <w:t xml:space="preserve">年（自验收合格之日起计，提供承诺书，承诺书格式自拟，</w:t>
      </w:r>
      <w:r>
        <w:rPr>
          <w:rFonts w:hint="eastAsia" w:cs="宋体"/>
          <w:i/>
          <w:iCs/>
          <w:color w:val="auto"/>
          <w:szCs w:val="21"/>
          <w:u w:val="single"/>
          <w:lang w:val="en-US" w:eastAsia="zh-CN"/>
        </w:rPr>
        <w:t xml:space="preserve">加盖投标人公章后扫描上传</w:t>
      </w:r>
      <w:r>
        <w:rPr>
          <w:rFonts w:hint="eastAsia" w:cs="宋体"/>
          <w:i/>
          <w:iCs/>
          <w:color w:val="auto"/>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5.拟派项目人员方案</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提供人员配置表，特别明确项目负责人、项目设计人员、现场尺寸复核人员、安装人员、售后服务人员，具有类似项目从业经验，中标后能赴现场复核尺寸及点位，出具产品深化图，并在细节方面给予采购人专业的沟通指导。</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6.安装验收</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提供本项目货物包装、运输、安装及验收方案。货物的包装应有良好的防潮、防雨及防碰撞措施。安装队伍必须加强管理，遵守采购人的规章制度，文明安装，注意安全。</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7.验收方式</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1）货到采购人指定地点后，采购人须在5日内初验，采购人对货物依据招标文件上的技术规格要求和国家有关质量标准进行现场初验，外观、说明书、包装符合招标文件技术要求的，给予签收，初验不合格的不予签收。</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（2）中标人按照招标文件要求负责产品安装并与采购人使用人员交接使用事宜。</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（3）如采购人需要，采购人可请国家认可的专业检测机构参与最终验收，并由其出具质量检测报告。验收时采购人和中标人均须在现场，验收完毕后作出验收结果报告；若聘请第三方中立机构验收</w:t>
      </w:r>
      <w:r>
        <w:rPr>
          <w:rFonts w:hint="eastAsia" w:ascii="Times New Roman" w:hAnsi="Times New Roman" w:cs="宋体"/>
          <w:b w:val="0"/>
          <w:bCs w:val="0"/>
          <w:color w:val="auto"/>
          <w:sz w:val="21"/>
          <w:szCs w:val="21"/>
          <w:highlight w:val="none"/>
          <w:lang w:val="en-US" w:eastAsia="zh-CN"/>
        </w:rPr>
        <w:t xml:space="preserve">，</w:t>
      </w:r>
      <w:r>
        <w:rPr>
          <w:rFonts w:hint="eastAsia" w:ascii="Times New Roman" w:hAnsi="Times New Roman" w:cs="宋体"/>
          <w:b w:val="0"/>
          <w:bCs w:val="0"/>
          <w:color w:val="auto"/>
          <w:sz w:val="21"/>
          <w:szCs w:val="21"/>
          <w:highlight w:val="none"/>
          <w:lang w:val="en-US" w:eastAsia="zh-CN"/>
        </w:rPr>
        <w:t xml:space="preserve">检测验收费用</w:t>
      </w:r>
      <w:r>
        <w:rPr>
          <w:rFonts w:hint="eastAsia" w:ascii="Times New Roman" w:hAnsi="Times New Roman" w:eastAsia="宋体" w:cs="宋体"/>
          <w:b w:val="0"/>
          <w:bCs w:val="0"/>
          <w:color w:val="auto"/>
          <w:sz w:val="21"/>
          <w:szCs w:val="21"/>
          <w:highlight w:val="none"/>
          <w:lang w:val="en-US" w:eastAsia="zh-CN"/>
        </w:rPr>
        <w:t xml:space="preserve">由中标人</w:t>
      </w:r>
      <w:r>
        <w:rPr>
          <w:rFonts w:hint="eastAsia" w:ascii="Times New Roman" w:hAnsi="Times New Roman" w:cs="宋体"/>
          <w:b w:val="0"/>
          <w:bCs w:val="0"/>
          <w:color w:val="auto"/>
          <w:sz w:val="21"/>
          <w:szCs w:val="21"/>
          <w:highlight w:val="none"/>
          <w:lang w:val="en-US" w:eastAsia="zh-CN"/>
        </w:rPr>
        <w:t xml:space="preserve">支付</w:t>
      </w:r>
      <w:r>
        <w:rPr>
          <w:rFonts w:hint="eastAsia" w:ascii="Times New Roman" w:hAnsi="Times New Roman" w:eastAsia="宋体" w:cs="宋体"/>
          <w:b w:val="0"/>
          <w:bCs w:val="0"/>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8.售后服务</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auto"/>
          <w:sz w:val="21"/>
          <w:szCs w:val="21"/>
          <w:highlight w:val="none"/>
          <w:u w:val="single"/>
          <w:lang w:val="en-US" w:eastAsia="zh-CN"/>
        </w:rPr>
      </w:pPr>
      <w:r>
        <w:rPr>
          <w:rFonts w:hint="eastAsia" w:ascii="Times New Roman" w:hAnsi="Times New Roman" w:eastAsia="宋体" w:cs="宋体"/>
          <w:b w:val="0"/>
          <w:bCs w:val="0"/>
          <w:i/>
          <w:iCs/>
          <w:color w:val="auto"/>
          <w:sz w:val="21"/>
          <w:szCs w:val="21"/>
          <w:highlight w:val="none"/>
          <w:u w:val="single"/>
          <w:lang w:val="en-US" w:eastAsia="zh-CN"/>
        </w:rPr>
        <w:t xml:space="preserve">（1）承诺货物验收后，在质量保证期内，投标人应对由于设计、工艺或材料的缺陷所发生的任何不足或故障负责，所需费用由投标人承担。</w:t>
      </w:r>
      <w:r>
        <w:rPr>
          <w:rFonts w:hint="eastAsia" w:cs="宋体"/>
          <w:i/>
          <w:iCs/>
          <w:color w:val="auto"/>
          <w:szCs w:val="21"/>
          <w:u w:val="single"/>
          <w:lang w:eastAsia="zh-CN"/>
        </w:rPr>
        <w:t xml:space="preserve">（</w:t>
      </w:r>
      <w:r>
        <w:rPr>
          <w:rFonts w:hint="eastAsia" w:cs="宋体"/>
          <w:i/>
          <w:iCs/>
          <w:color w:val="auto"/>
          <w:szCs w:val="21"/>
          <w:u w:val="single"/>
        </w:rPr>
        <w:t xml:space="preserve">提供承诺书，承诺书格式自拟，</w:t>
      </w:r>
      <w:r>
        <w:rPr>
          <w:rFonts w:hint="eastAsia" w:cs="宋体"/>
          <w:i/>
          <w:iCs/>
          <w:color w:val="auto"/>
          <w:szCs w:val="21"/>
          <w:u w:val="single"/>
          <w:lang w:val="en-US" w:eastAsia="zh-CN"/>
        </w:rPr>
        <w:t xml:space="preserve">加盖投标人公章后扫描上传</w:t>
      </w:r>
      <w:r>
        <w:rPr>
          <w:rFonts w:hint="eastAsia" w:cs="宋体"/>
          <w:i/>
          <w:iCs/>
          <w:color w:val="auto"/>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auto"/>
          <w:sz w:val="21"/>
          <w:szCs w:val="21"/>
          <w:highlight w:val="none"/>
          <w:u w:val="single"/>
          <w:lang w:val="en-US" w:eastAsia="zh-CN"/>
        </w:rPr>
      </w:pPr>
      <w:r>
        <w:rPr>
          <w:rFonts w:hint="eastAsia" w:ascii="Times New Roman" w:hAnsi="Times New Roman" w:eastAsia="宋体" w:cs="宋体"/>
          <w:b w:val="0"/>
          <w:bCs w:val="0"/>
          <w:i/>
          <w:iCs/>
          <w:color w:val="auto"/>
          <w:sz w:val="21"/>
          <w:szCs w:val="21"/>
          <w:highlight w:val="none"/>
          <w:u w:val="single"/>
          <w:lang w:val="en-US" w:eastAsia="zh-CN"/>
        </w:rPr>
        <w:t xml:space="preserve">（2）承诺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rPr>
          <w:rFonts w:hint="eastAsia" w:cs="宋体"/>
          <w:i/>
          <w:iCs/>
          <w:color w:val="auto"/>
          <w:szCs w:val="21"/>
          <w:u w:val="single"/>
          <w:lang w:eastAsia="zh-CN"/>
        </w:rPr>
        <w:t xml:space="preserve">（</w:t>
      </w:r>
      <w:r>
        <w:rPr>
          <w:rFonts w:hint="eastAsia" w:cs="宋体"/>
          <w:i/>
          <w:iCs/>
          <w:color w:val="auto"/>
          <w:szCs w:val="21"/>
          <w:u w:val="single"/>
        </w:rPr>
        <w:t xml:space="preserve">提供承诺书，承诺书格式自拟，</w:t>
      </w:r>
      <w:r>
        <w:rPr>
          <w:rFonts w:hint="eastAsia" w:cs="宋体"/>
          <w:i/>
          <w:iCs/>
          <w:color w:val="auto"/>
          <w:szCs w:val="21"/>
          <w:u w:val="single"/>
          <w:lang w:val="en-US" w:eastAsia="zh-CN"/>
        </w:rPr>
        <w:t xml:space="preserve">加盖投标人公章后扫描上传</w:t>
      </w:r>
      <w:r>
        <w:rPr>
          <w:rFonts w:hint="eastAsia" w:cs="宋体"/>
          <w:i/>
          <w:iCs/>
          <w:color w:val="auto"/>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auto"/>
          <w:sz w:val="21"/>
          <w:szCs w:val="21"/>
          <w:highlight w:val="none"/>
          <w:u w:val="single"/>
          <w:lang w:val="en-US" w:eastAsia="zh-CN"/>
        </w:rPr>
      </w:pPr>
      <w:r>
        <w:rPr>
          <w:rFonts w:hint="eastAsia" w:ascii="Times New Roman" w:hAnsi="Times New Roman" w:eastAsia="宋体" w:cs="宋体"/>
          <w:b w:val="0"/>
          <w:bCs w:val="0"/>
          <w:i/>
          <w:iCs/>
          <w:color w:val="auto"/>
          <w:sz w:val="21"/>
          <w:szCs w:val="21"/>
          <w:highlight w:val="none"/>
          <w:u w:val="single"/>
          <w:lang w:val="en-US" w:eastAsia="zh-CN"/>
        </w:rPr>
        <w:t xml:space="preserve">（3）投标人承诺接到采购人报修通知起及时响应，并派技术人员到达现场并及时完成维修。</w:t>
      </w:r>
      <w:r>
        <w:rPr>
          <w:rFonts w:hint="eastAsia" w:cs="宋体"/>
          <w:i/>
          <w:iCs/>
          <w:color w:val="auto"/>
          <w:szCs w:val="21"/>
          <w:u w:val="single"/>
          <w:lang w:eastAsia="zh-CN"/>
        </w:rPr>
        <w:t xml:space="preserve">（</w:t>
      </w:r>
      <w:r>
        <w:rPr>
          <w:rFonts w:hint="eastAsia" w:cs="宋体"/>
          <w:i/>
          <w:iCs/>
          <w:color w:val="auto"/>
          <w:szCs w:val="21"/>
          <w:u w:val="single"/>
        </w:rPr>
        <w:t xml:space="preserve">提供承诺书，承诺书格式自拟，</w:t>
      </w:r>
      <w:r>
        <w:rPr>
          <w:rFonts w:hint="eastAsia" w:cs="宋体"/>
          <w:i/>
          <w:iCs/>
          <w:color w:val="auto"/>
          <w:szCs w:val="21"/>
          <w:u w:val="single"/>
          <w:lang w:val="en-US" w:eastAsia="zh-CN"/>
        </w:rPr>
        <w:t xml:space="preserve">加盖投标人公章后扫描上传</w:t>
      </w:r>
      <w:r>
        <w:rPr>
          <w:rFonts w:hint="eastAsia" w:cs="宋体"/>
          <w:i/>
          <w:iCs/>
          <w:color w:val="auto"/>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9.安全责任</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1）项目实施期间，中标人工作人员须遵守采购单位各项规章制度，进入项目现场的车辆、设备按指定的地点停放，不得妨碍其它施工和阻碍交通。项目结束后，及时清理现场，墙面、门窗如有损坏需恢复原状。</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（2）项目实施期间，如发生安全事故、人身伤害和其它财产安全事故，由中标人全权负责处理，并承担全部责任。</w:t>
      </w:r>
      <w:r/>
    </w:p>
    <w:p>
      <w:pPr>
        <w:ind w:firstLine="420"/>
        <w:keepLines w:val="0"/>
        <w:keepNext w:val="0"/>
        <w:pageBreakBefore w:val="0"/>
        <w:spacing w:line="360" w:lineRule="auto"/>
        <w:widowControl w:val="off"/>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10.其他要求</w:t>
      </w:r>
      <w:r/>
    </w:p>
    <w:p>
      <w:pPr>
        <w:ind w:firstLine="420"/>
        <w:keepLines w:val="0"/>
        <w:keepNext w:val="0"/>
        <w:pageBreakBefore w:val="0"/>
        <w:spacing w:line="360" w:lineRule="auto"/>
        <w:widowControl w:val="off"/>
        <w:rPr>
          <w:rFonts w:hint="default" w:ascii="Times New Roman" w:hAnsi="Times New Roman" w:cs="宋体"/>
          <w:b w:val="0"/>
          <w:bCs w:val="0"/>
          <w:color w:val="auto"/>
          <w:sz w:val="21"/>
          <w:szCs w:val="21"/>
          <w:highlight w:val="none"/>
          <w:lang w:val="en-US" w:eastAsia="zh-CN"/>
        </w:rPr>
      </w:pPr>
      <w:r>
        <w:rPr>
          <w:rFonts w:hint="default" w:ascii="Times New Roman" w:hAnsi="Times New Roman" w:cs="宋体"/>
          <w:b w:val="0"/>
          <w:bCs w:val="0"/>
          <w:color w:val="auto"/>
          <w:sz w:val="21"/>
          <w:szCs w:val="21"/>
          <w:highlight w:val="none"/>
          <w:lang w:val="en-US" w:eastAsia="zh-CN"/>
        </w:rPr>
        <w:t xml:space="preserve">中标</w:t>
      </w:r>
      <w:r>
        <w:rPr>
          <w:rFonts w:hint="eastAsia" w:ascii="Times New Roman" w:hAnsi="Times New Roman" w:cs="宋体"/>
          <w:b w:val="0"/>
          <w:bCs w:val="0"/>
          <w:color w:val="auto"/>
          <w:sz w:val="21"/>
          <w:szCs w:val="21"/>
          <w:highlight w:val="none"/>
          <w:lang w:val="en-US" w:eastAsia="zh-CN"/>
        </w:rPr>
        <w:t xml:space="preserve">人</w:t>
      </w:r>
      <w:r>
        <w:rPr>
          <w:rFonts w:hint="default" w:ascii="Times New Roman" w:hAnsi="Times New Roman" w:cs="宋体"/>
          <w:b w:val="0"/>
          <w:bCs w:val="0"/>
          <w:color w:val="auto"/>
          <w:sz w:val="21"/>
          <w:szCs w:val="21"/>
          <w:highlight w:val="none"/>
          <w:lang w:val="en-US" w:eastAsia="zh-CN"/>
        </w:rPr>
        <w:t xml:space="preserve">负责现场原有课桌椅拆除</w:t>
      </w:r>
      <w:r>
        <w:rPr>
          <w:rFonts w:hint="eastAsia" w:ascii="Times New Roman" w:hAnsi="Times New Roman" w:cs="宋体"/>
          <w:b w:val="0"/>
          <w:bCs w:val="0"/>
          <w:color w:val="auto"/>
          <w:sz w:val="21"/>
          <w:szCs w:val="21"/>
          <w:highlight w:val="none"/>
          <w:lang w:val="en-US" w:eastAsia="zh-CN"/>
        </w:rPr>
        <w:t xml:space="preserve">并放置在对应教室外</w:t>
      </w:r>
      <w:r>
        <w:rPr>
          <w:rFonts w:hint="default" w:ascii="Times New Roman" w:hAnsi="Times New Roman" w:cs="宋体"/>
          <w:b w:val="0"/>
          <w:bCs w:val="0"/>
          <w:color w:val="auto"/>
          <w:sz w:val="21"/>
          <w:szCs w:val="21"/>
          <w:highlight w:val="none"/>
          <w:lang w:val="en-US" w:eastAsia="zh-CN"/>
        </w:rPr>
        <w:t xml:space="preserve">，相关费用均包含在投标总价中，</w:t>
      </w:r>
      <w:r>
        <w:rPr>
          <w:rFonts w:hint="eastAsia" w:ascii="Times New Roman" w:hAnsi="Times New Roman" w:cs="宋体"/>
          <w:b w:val="0"/>
          <w:bCs w:val="0"/>
          <w:color w:val="auto"/>
          <w:sz w:val="21"/>
          <w:szCs w:val="21"/>
          <w:highlight w:val="none"/>
          <w:lang w:val="en-US" w:eastAsia="zh-CN"/>
        </w:rPr>
        <w:t xml:space="preserve">采购人</w:t>
      </w:r>
      <w:r>
        <w:rPr>
          <w:rFonts w:hint="default" w:ascii="Times New Roman" w:hAnsi="Times New Roman" w:cs="宋体"/>
          <w:b w:val="0"/>
          <w:bCs w:val="0"/>
          <w:color w:val="auto"/>
          <w:sz w:val="21"/>
          <w:szCs w:val="21"/>
          <w:highlight w:val="none"/>
          <w:lang w:val="en-US" w:eastAsia="zh-CN"/>
        </w:rPr>
        <w:t xml:space="preserve">不再另行支付。</w:t>
      </w:r>
      <w:r/>
    </w:p>
    <w:p>
      <w:pPr>
        <w:ind w:firstLine="420"/>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五、样品要求</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1、样品清单：供应商在递交投标文件时须同时按技术参数要求提供样品参加投标。</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2、样品送达时间：样品须在开标当天投标截止时间前送至扬州市邗江区翠岗路48号江苏苏维工程管理有限公司二楼样品室，逾期不予接收。由代理单位人员统一编号。</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3、样品费用：样品的制作、运输、安装、退场等费用均由投标人承担。</w:t>
      </w:r>
      <w:r/>
    </w:p>
    <w:p>
      <w:pPr>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4、样品标识：所有样品都不应含有或隐去或遮挡投标人单位名称、品牌、商标等能标明具体投标人的标识。</w:t>
      </w:r>
      <w:r/>
    </w:p>
    <w:p>
      <w:pPr>
        <w:ind w:firstLine="420"/>
        <w:keepLines w:val="0"/>
        <w:keepNext w:val="0"/>
        <w:pageBreakBefore w:val="0"/>
        <w:spacing w:line="360" w:lineRule="auto"/>
        <w:widowControl w:val="off"/>
        <w:rPr>
          <w:rFonts w:hint="eastAsia" w:ascii="Times New Roman" w:hAnsi="Times New Roman" w:eastAsia="宋体" w:cs="宋体"/>
          <w:bCs/>
          <w:color w:val="auto"/>
          <w:sz w:val="21"/>
          <w:szCs w:val="21"/>
          <w:highlight w:val="none"/>
        </w:rPr>
      </w:pPr>
      <w:r>
        <w:rPr>
          <w:rFonts w:hint="eastAsia" w:ascii="Times New Roman" w:hAnsi="Times New Roman" w:eastAsia="宋体" w:cs="宋体"/>
          <w:b w:val="0"/>
          <w:bCs w:val="0"/>
          <w:color w:val="auto"/>
          <w:sz w:val="21"/>
          <w:szCs w:val="21"/>
          <w:highlight w:val="none"/>
          <w:lang w:val="en-US" w:eastAsia="zh-CN"/>
        </w:rPr>
        <w:t xml:space="preserve">5、样品退场：采购活动结束后，未中标人的样品，由投标人1个工作日内及时取回；中标人的样品，应按采购人要求送至指定位置，由采购人进行封存保管，并作为履约验收的参考。若投标人未及时取回，代理机构不负有保管责任。</w:t>
      </w:r>
      <w:r/>
    </w:p>
    <w:p>
      <w:pPr>
        <w:ind w:firstLine="422"/>
        <w:pageBreakBefore w:val="0"/>
        <w:spacing w:line="360" w:lineRule="auto"/>
        <w:rPr>
          <w:rFonts w:hint="eastAsia" w:ascii="Times New Roman" w:hAnsi="Times New Roman" w:eastAsia="宋体" w:cs="宋体"/>
          <w:b/>
          <w:color w:val="auto"/>
          <w:szCs w:val="21"/>
          <w:highlight w:val="none"/>
        </w:rPr>
      </w:pPr>
      <w:r/>
      <w:bookmarkStart w:id="67" w:name="_Toc55204181"/>
      <w:r>
        <w:rPr>
          <w:rFonts w:hint="eastAsia" w:ascii="Times New Roman" w:hAnsi="Times New Roman" w:eastAsia="宋体" w:cs="宋体"/>
          <w:b/>
          <w:color w:val="auto"/>
          <w:szCs w:val="21"/>
          <w:highlight w:val="none"/>
          <w:lang w:val="en-US" w:eastAsia="zh-CN"/>
        </w:rPr>
        <w:t xml:space="preserve">六</w:t>
      </w:r>
      <w:r>
        <w:rPr>
          <w:rFonts w:hint="eastAsia" w:ascii="Times New Roman" w:hAnsi="Times New Roman" w:eastAsia="宋体" w:cs="宋体"/>
          <w:b/>
          <w:color w:val="auto"/>
          <w:szCs w:val="21"/>
          <w:highlight w:val="none"/>
        </w:rPr>
        <w:t xml:space="preserve">、节能产品要求</w:t>
      </w:r>
      <w:r/>
    </w:p>
    <w:p>
      <w:pPr>
        <w:ind w:firstLine="420"/>
        <w:jc w:val="left"/>
        <w:pageBreakBefore w:val="0"/>
        <w:spacing w:line="360" w:lineRule="auto"/>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r/>
    </w:p>
    <w:p>
      <w:pPr>
        <w:pStyle w:val="965"/>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719"/>
        <w:pageBreakBefore w:val="0"/>
        <w:spacing w:line="360" w:lineRule="auto"/>
        <w:rPr>
          <w:rFonts w:ascii="Times New Roman" w:hAnsi="Times New Roman" w:eastAsia="宋体"/>
          <w:color w:val="auto"/>
          <w:highlight w:val="none"/>
        </w:rPr>
      </w:pPr>
      <w:r/>
      <w:bookmarkStart w:id="68" w:name="_Toc10862"/>
      <w:r/>
      <w:bookmarkStart w:id="69" w:name="_Toc6620"/>
      <w:r>
        <w:rPr>
          <w:rFonts w:hint="eastAsia" w:ascii="Times New Roman" w:hAnsi="Times New Roman" w:eastAsia="宋体"/>
          <w:color w:val="auto"/>
          <w:highlight w:val="none"/>
        </w:rPr>
        <w:t xml:space="preserve">第五章 评标方法及评标标准</w:t>
      </w:r>
      <w:bookmarkEnd w:id="67"/>
      <w:r/>
      <w:bookmarkEnd w:id="68"/>
      <w:r/>
      <w:bookmarkEnd w:id="69"/>
      <w:r/>
      <w:r/>
    </w:p>
    <w:p>
      <w:pPr>
        <w:pStyle w:val="776"/>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76"/>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70" w:name="_Toc449016388"/>
      <w:r/>
      <w:bookmarkStart w:id="71" w:name="_Toc449017024"/>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70"/>
      <w:r/>
      <w:bookmarkEnd w:id="71"/>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1、小微型企业价格扣除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（1）本项目对小型和微型企业产品给予10%的扣除价格，用扣除后的价格参与评审。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（2）供应商需按照采购文件的要求提供相应的《中小企业声明函》。</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2、残疾人福利单位价格扣除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（1）本项目对残疾人福利性单位视同小型、微型企业，给予10%的价格扣除，用扣除后的价格参与评审。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（2）残疾人福利单位需按照采购文件的要求提供《残疾人福利性单位声明函》。</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（3）残疾人福利单位标准请参照《关于促进残疾人就业政府采购政策的通知》（财库2017〕141号）。</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3、监狱和戒毒企业价格扣除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（1）本项目对监狱和戒毒企业（简称监狱企业）视同小型、微型企业，给予10%的价格扣除，用扣除后的价格参与评审。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（3）监狱企业标准请参照《关于政府采购支持监狱企业发展有关问题的通知》（财库[2014]68号）。</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4、残疾人福利单位、监狱企业属于小型、微型企业的，不重复享受政策。</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6、联合体各方均为小型、微型企业（残疾人福利单位、监狱企业）的，联合体享受10%价格扣除，用扣除后的价格参与评审。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tbl>
      <w:tblPr>
        <w:tblStyle w:val="729"/>
        <w:tblW w:w="5194" w:type="pct"/>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45"/>
        <w:gridCol w:w="7408"/>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报价</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以满足招标文件要求的最低投标报价为评标基准价，得满分30分，其他投标报价=（评标基准价/其他投标报价）×30×100%</w:t>
            </w:r>
            <w:r/>
          </w:p>
        </w:tc>
      </w:tr>
      <w:tr>
        <w:trPr>
          <w:trHeight w:val="559"/>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企业实力</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w:t>
            </w:r>
            <w:r>
              <w:rPr>
                <w:rFonts w:hint="eastAsia" w:ascii="Times New Roman" w:hAnsi="Times New Roman"/>
                <w:color w:val="auto"/>
                <w:sz w:val="21"/>
                <w:szCs w:val="21"/>
                <w:lang w:val="en-US" w:eastAsia="zh-CN"/>
              </w:rPr>
              <w:t xml:space="preserve">8</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numPr>
                <w:ilvl w:val="0"/>
                <w:numId w:val="2"/>
              </w:num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投标人或所投产品制造商（生产者）通过由国家权威认证机构颁发的质量管理体系认证证书（ISO9001）</w:t>
            </w:r>
            <w:r>
              <w:rPr>
                <w:rFonts w:hint="eastAsia" w:ascii="Times New Roman" w:hAnsi="Times New Roman" w:eastAsia="宋体"/>
                <w:color w:val="auto"/>
                <w:sz w:val="21"/>
                <w:szCs w:val="21"/>
                <w:lang w:val="en-US" w:eastAsia="zh-CN"/>
              </w:rPr>
              <w:t xml:space="preserve">且证书范围包含：</w:t>
            </w:r>
            <w:r>
              <w:rPr>
                <w:rFonts w:hint="eastAsia" w:ascii="Times New Roman" w:hAnsi="Times New Roman"/>
                <w:color w:val="auto"/>
                <w:sz w:val="21"/>
                <w:szCs w:val="21"/>
                <w:lang w:val="en-US" w:eastAsia="zh-CN"/>
              </w:rPr>
              <w:t xml:space="preserve">课桌椅</w:t>
            </w:r>
            <w:r>
              <w:rPr>
                <w:rFonts w:hint="eastAsia" w:ascii="Times New Roman" w:hAnsi="Times New Roman" w:eastAsia="宋体"/>
                <w:color w:val="auto"/>
                <w:sz w:val="21"/>
                <w:szCs w:val="21"/>
                <w:lang w:val="en-US" w:eastAsia="zh-CN"/>
              </w:rPr>
              <w:t xml:space="preserve">；得</w:t>
            </w:r>
            <w:r>
              <w:rPr>
                <w:rFonts w:hint="eastAsia" w:ascii="Times New Roman" w:hAnsi="Times New Roman"/>
                <w:color w:val="auto"/>
                <w:sz w:val="21"/>
                <w:szCs w:val="21"/>
                <w:lang w:val="en-US" w:eastAsia="zh-CN"/>
              </w:rPr>
              <w:t xml:space="preserve">2</w:t>
            </w:r>
            <w:r>
              <w:rPr>
                <w:rFonts w:hint="eastAsia" w:ascii="Times New Roman" w:hAnsi="Times New Roman" w:eastAsia="宋体"/>
                <w:color w:val="auto"/>
                <w:sz w:val="21"/>
                <w:szCs w:val="21"/>
                <w:lang w:val="en-US" w:eastAsia="zh-CN"/>
              </w:rPr>
              <w:t xml:space="preserve">分。</w:t>
            </w:r>
            <w:r/>
          </w:p>
          <w:p>
            <w:pPr>
              <w:numPr>
                <w:ilvl w:val="0"/>
                <w:numId w:val="0"/>
              </w:numPr>
              <w:keepLines w:val="0"/>
              <w:keepNext w:val="0"/>
              <w:pageBreakBefore w:val="0"/>
              <w:spacing w:line="360" w:lineRule="auto"/>
              <w:widowControl w:val="off"/>
              <w:rPr>
                <w:rFonts w:ascii="Times New Roman" w:hAnsi="Times New Roman" w:eastAsia="宋体"/>
                <w:b/>
                <w:bCs/>
                <w:color w:val="auto"/>
                <w:sz w:val="21"/>
                <w:szCs w:val="21"/>
              </w:rPr>
            </w:pPr>
            <w:r>
              <w:rPr>
                <w:rFonts w:ascii="Times New Roman" w:hAnsi="Times New Roman" w:eastAsia="宋体"/>
                <w:color w:val="auto"/>
                <w:sz w:val="21"/>
                <w:szCs w:val="21"/>
              </w:rPr>
              <w:t xml:space="preserve">2.投标人或所投产品制造商（生产者）通过由国家认证机构颁发的《中国环境标志产品认证证书》</w:t>
            </w:r>
            <w:r>
              <w:rPr>
                <w:rFonts w:hint="eastAsia" w:ascii="Times New Roman" w:hAnsi="Times New Roman" w:eastAsia="宋体"/>
                <w:color w:val="auto"/>
                <w:sz w:val="21"/>
                <w:szCs w:val="21"/>
                <w:lang w:eastAsia="zh-CN"/>
              </w:rPr>
              <w:t xml:space="preserve">，</w:t>
            </w:r>
            <w:r>
              <w:rPr>
                <w:rFonts w:hint="eastAsia" w:ascii="Times New Roman" w:hAnsi="Times New Roman" w:eastAsia="宋体"/>
                <w:color w:val="auto"/>
                <w:sz w:val="21"/>
                <w:szCs w:val="21"/>
                <w:lang w:val="en-US" w:eastAsia="zh-CN"/>
              </w:rPr>
              <w:t xml:space="preserve">认证范围须包含：</w:t>
            </w:r>
            <w:r>
              <w:rPr>
                <w:rFonts w:hint="eastAsia" w:ascii="Times New Roman" w:hAnsi="Times New Roman"/>
                <w:color w:val="auto"/>
                <w:sz w:val="21"/>
                <w:szCs w:val="21"/>
                <w:lang w:val="en-US" w:eastAsia="zh-CN"/>
              </w:rPr>
              <w:t xml:space="preserve">课桌椅</w:t>
            </w:r>
            <w:r>
              <w:rPr>
                <w:rFonts w:hint="eastAsia" w:ascii="Times New Roman" w:hAnsi="Times New Roman" w:eastAsia="宋体"/>
                <w:color w:val="auto"/>
                <w:sz w:val="21"/>
                <w:szCs w:val="21"/>
                <w:lang w:val="en-US" w:eastAsia="zh-CN"/>
              </w:rPr>
              <w:t xml:space="preserve">；满足得2</w:t>
            </w:r>
            <w:r>
              <w:rPr>
                <w:rFonts w:ascii="Times New Roman" w:hAnsi="Times New Roman" w:eastAsia="宋体"/>
                <w:color w:val="auto"/>
                <w:sz w:val="21"/>
                <w:szCs w:val="21"/>
              </w:rPr>
              <w:t xml:space="preserve">分。</w:t>
            </w:r>
            <w:r/>
          </w:p>
          <w:p>
            <w:pPr>
              <w:keepLines w:val="0"/>
              <w:keepNext w:val="0"/>
              <w:pageBreakBefore w:val="0"/>
              <w:spacing w:line="360" w:lineRule="auto"/>
              <w:widowControl w:val="off"/>
              <w:rPr>
                <w:rFonts w:ascii="Times New Roman" w:hAnsi="Times New Roman" w:eastAsia="宋体"/>
                <w:b/>
                <w:bCs/>
                <w:color w:val="auto"/>
                <w:sz w:val="21"/>
                <w:szCs w:val="21"/>
              </w:rPr>
            </w:pPr>
            <w:r>
              <w:rPr>
                <w:rFonts w:hint="eastAsia" w:ascii="Times New Roman" w:hAnsi="Times New Roman" w:eastAsia="宋体"/>
                <w:color w:val="auto"/>
                <w:sz w:val="21"/>
                <w:szCs w:val="21"/>
                <w:lang w:val="en-US" w:eastAsia="zh-CN"/>
              </w:rPr>
              <w:t xml:space="preserve">3</w:t>
            </w:r>
            <w:r>
              <w:rPr>
                <w:rFonts w:ascii="Times New Roman" w:hAnsi="Times New Roman" w:eastAsia="宋体"/>
                <w:color w:val="auto"/>
                <w:sz w:val="21"/>
                <w:szCs w:val="21"/>
              </w:rPr>
              <w:t xml:space="preserve">.投标人或所投产品制造商（生产者）通过由国家认证机构颁发的《人类工效学产品认证证书》</w:t>
            </w:r>
            <w:r>
              <w:rPr>
                <w:rFonts w:hint="eastAsia" w:ascii="Times New Roman" w:hAnsi="Times New Roman" w:eastAsia="宋体"/>
                <w:color w:val="auto"/>
                <w:sz w:val="21"/>
                <w:szCs w:val="21"/>
                <w:lang w:eastAsia="zh-CN"/>
              </w:rPr>
              <w:t xml:space="preserve">，</w:t>
            </w:r>
            <w:r>
              <w:rPr>
                <w:rFonts w:hint="eastAsia" w:ascii="Times New Roman" w:hAnsi="Times New Roman" w:eastAsia="宋体"/>
                <w:color w:val="auto"/>
                <w:sz w:val="21"/>
                <w:szCs w:val="21"/>
                <w:lang w:val="en-US" w:eastAsia="zh-CN"/>
              </w:rPr>
              <w:t xml:space="preserve">认证范围须包含：</w:t>
            </w:r>
            <w:r>
              <w:rPr>
                <w:rFonts w:hint="eastAsia" w:ascii="Times New Roman" w:hAnsi="Times New Roman"/>
                <w:color w:val="auto"/>
                <w:sz w:val="21"/>
                <w:szCs w:val="21"/>
                <w:lang w:val="en-US" w:eastAsia="zh-CN"/>
              </w:rPr>
              <w:t xml:space="preserve">课桌椅</w:t>
            </w:r>
            <w:r>
              <w:rPr>
                <w:rFonts w:hint="eastAsia" w:ascii="Times New Roman" w:hAnsi="Times New Roman" w:eastAsia="宋体"/>
                <w:color w:val="auto"/>
                <w:sz w:val="21"/>
                <w:szCs w:val="21"/>
                <w:lang w:val="en-US" w:eastAsia="zh-CN"/>
              </w:rPr>
              <w:t xml:space="preserve">；满足得2</w:t>
            </w:r>
            <w:r>
              <w:rPr>
                <w:rFonts w:ascii="Times New Roman" w:hAnsi="Times New Roman" w:eastAsia="宋体"/>
                <w:color w:val="auto"/>
                <w:sz w:val="21"/>
                <w:szCs w:val="21"/>
              </w:rPr>
              <w:t xml:space="preserve">分。</w:t>
            </w:r>
            <w:r/>
          </w:p>
          <w:p>
            <w:pPr>
              <w:keepLines w:val="0"/>
              <w:keepNext w:val="0"/>
              <w:pageBreakBefore w:val="0"/>
              <w:spacing w:line="360" w:lineRule="auto"/>
              <w:widowControl w:val="off"/>
              <w:rPr>
                <w:rFonts w:hint="eastAsia" w:ascii="Times New Roman" w:hAnsi="Times New Roman" w:eastAsia="宋体"/>
                <w:b/>
                <w:bCs/>
                <w:color w:val="auto"/>
                <w:sz w:val="21"/>
                <w:szCs w:val="21"/>
                <w:lang w:eastAsia="zh-CN"/>
              </w:rPr>
            </w:pPr>
            <w:r>
              <w:rPr>
                <w:rFonts w:hint="eastAsia" w:ascii="Times New Roman" w:hAnsi="Times New Roman" w:eastAsia="宋体"/>
                <w:color w:val="auto"/>
                <w:sz w:val="21"/>
                <w:szCs w:val="21"/>
                <w:lang w:val="en-US" w:eastAsia="zh-CN"/>
              </w:rPr>
              <w:t xml:space="preserve">4.</w:t>
            </w:r>
            <w:r>
              <w:rPr>
                <w:rFonts w:ascii="Times New Roman" w:hAnsi="Times New Roman" w:eastAsia="宋体"/>
                <w:color w:val="auto"/>
                <w:sz w:val="21"/>
                <w:szCs w:val="21"/>
              </w:rPr>
              <w:t xml:space="preserve">投标人或所投产品制造商（生产者）通过由国家认证机构颁发的</w:t>
            </w:r>
            <w:r>
              <w:rPr>
                <w:rFonts w:hint="eastAsia" w:ascii="Times New Roman" w:hAnsi="Times New Roman"/>
                <w:b/>
                <w:bCs/>
                <w:color w:val="auto"/>
                <w:sz w:val="21"/>
                <w:szCs w:val="21"/>
                <w:highlight w:val="none"/>
                <w:lang w:val="en-US" w:eastAsia="zh-CN"/>
              </w:rPr>
              <w:t xml:space="preserve">《中国环保产品认证证书（CQC）》</w:t>
            </w:r>
            <w:r>
              <w:rPr>
                <w:rFonts w:hint="eastAsia" w:ascii="Times New Roman" w:hAnsi="Times New Roman" w:eastAsia="宋体"/>
                <w:color w:val="auto"/>
                <w:sz w:val="21"/>
                <w:szCs w:val="21"/>
                <w:lang w:eastAsia="zh-CN"/>
              </w:rPr>
              <w:t xml:space="preserve">，</w:t>
            </w:r>
            <w:r>
              <w:rPr>
                <w:rFonts w:hint="eastAsia" w:ascii="Times New Roman" w:hAnsi="Times New Roman" w:eastAsia="宋体"/>
                <w:color w:val="auto"/>
                <w:sz w:val="21"/>
                <w:szCs w:val="21"/>
                <w:lang w:val="en-US" w:eastAsia="zh-CN"/>
              </w:rPr>
              <w:t xml:space="preserve">认证范围须包含：</w:t>
            </w:r>
            <w:r>
              <w:rPr>
                <w:rFonts w:hint="eastAsia" w:ascii="Times New Roman" w:hAnsi="Times New Roman"/>
                <w:color w:val="auto"/>
                <w:sz w:val="21"/>
                <w:szCs w:val="21"/>
                <w:lang w:val="en-US" w:eastAsia="zh-CN"/>
              </w:rPr>
              <w:t xml:space="preserve">课桌椅</w:t>
            </w:r>
            <w:r>
              <w:rPr>
                <w:rFonts w:hint="eastAsia" w:ascii="Times New Roman" w:hAnsi="Times New Roman" w:eastAsia="宋体"/>
                <w:color w:val="auto"/>
                <w:sz w:val="21"/>
                <w:szCs w:val="21"/>
                <w:lang w:val="en-US" w:eastAsia="zh-CN"/>
              </w:rPr>
              <w:t xml:space="preserve">；满足得2</w:t>
            </w:r>
            <w:r>
              <w:rPr>
                <w:rFonts w:ascii="Times New Roman" w:hAnsi="Times New Roman" w:eastAsia="宋体"/>
                <w:color w:val="auto"/>
                <w:sz w:val="21"/>
                <w:szCs w:val="21"/>
              </w:rPr>
              <w:t xml:space="preserve">分</w:t>
            </w:r>
            <w:r>
              <w:rPr>
                <w:rFonts w:hint="eastAsia" w:ascii="Times New Roman" w:hAnsi="Times New Roman" w:eastAsia="宋体"/>
                <w:color w:val="auto"/>
                <w:sz w:val="21"/>
                <w:szCs w:val="21"/>
                <w:lang w:eastAsia="zh-CN"/>
              </w:rPr>
              <w:t xml:space="preserve">。</w:t>
            </w:r>
            <w:r/>
          </w:p>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注：若为代理商投标，证书单位名称要与制造商名称一致。</w:t>
            </w:r>
            <w:r/>
          </w:p>
          <w:p>
            <w:pPr>
              <w:keepLines w:val="0"/>
              <w:keepNext w:val="0"/>
              <w:pageBreakBefore w:val="0"/>
              <w:spacing w:line="360" w:lineRule="auto"/>
              <w:widowControl w:val="off"/>
              <w:rPr>
                <w:rFonts w:ascii="Times New Roman" w:hAnsi="Times New Roman" w:eastAsia="宋体"/>
                <w:color w:val="auto"/>
                <w:sz w:val="21"/>
                <w:szCs w:val="21"/>
              </w:rPr>
            </w:pPr>
            <w:r>
              <w:rPr>
                <w:rFonts w:hint="eastAsia" w:ascii="Times New Roman" w:hAnsi="Times New Roman" w:eastAsia="宋体"/>
                <w:b/>
                <w:bCs/>
                <w:color w:val="auto"/>
                <w:sz w:val="21"/>
                <w:szCs w:val="21"/>
                <w:highlight w:val="none"/>
              </w:rPr>
              <w:t xml:space="preserve">注：以上均需提供有效的证书以及在国家认监委网站查询截图</w:t>
            </w:r>
            <w:r>
              <w:rPr>
                <w:rFonts w:hint="eastAsia" w:ascii="Times New Roman" w:hAnsi="Times New Roman"/>
                <w:b/>
                <w:bCs/>
                <w:color w:val="auto"/>
                <w:sz w:val="21"/>
                <w:szCs w:val="21"/>
                <w:highlight w:val="none"/>
                <w:lang w:eastAsia="zh-CN"/>
              </w:rPr>
              <w:t xml:space="preserve">（</w:t>
            </w:r>
            <w:r>
              <w:rPr>
                <w:rFonts w:hint="eastAsia" w:ascii="Times New Roman" w:hAnsi="Times New Roman"/>
                <w:b/>
                <w:bCs/>
                <w:color w:val="auto"/>
                <w:sz w:val="21"/>
                <w:szCs w:val="21"/>
                <w:highlight w:val="none"/>
                <w:lang w:val="en-US" w:eastAsia="zh-CN"/>
              </w:rPr>
              <w:t xml:space="preserve">若认证范围不一致，但实为同一种产品即可</w:t>
            </w:r>
            <w:r>
              <w:rPr>
                <w:rFonts w:hint="eastAsia" w:ascii="Times New Roman" w:hAnsi="Times New Roman"/>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，加盖投标人公章</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lang w:val="en-US" w:eastAsia="zh-CN"/>
              </w:rPr>
              <w:t xml:space="preserve">扫描上传</w:t>
            </w:r>
            <w:r>
              <w:rPr>
                <w:rFonts w:hint="eastAsia" w:ascii="Times New Roman" w:hAnsi="Times New Roman" w:eastAsia="宋体"/>
                <w:b/>
                <w:bCs/>
                <w:color w:val="auto"/>
                <w:sz w:val="21"/>
                <w:szCs w:val="21"/>
                <w:lang w:eastAsia="zh-CN"/>
              </w:rPr>
              <w:t xml:space="preserve">，</w:t>
            </w:r>
            <w:r>
              <w:rPr>
                <w:rFonts w:hint="eastAsia" w:ascii="Times New Roman" w:hAnsi="Times New Roman" w:eastAsia="宋体"/>
                <w:b/>
                <w:bCs/>
                <w:color w:val="auto"/>
                <w:sz w:val="21"/>
                <w:szCs w:val="21"/>
                <w:lang w:val="en-US" w:eastAsia="zh-CN"/>
              </w:rPr>
              <w:t xml:space="preserve">未按要求提供不得分</w:t>
            </w:r>
            <w:r>
              <w:rPr>
                <w:rFonts w:hint="eastAsia" w:ascii="Times New Roman" w:hAnsi="Times New Roman" w:eastAsia="宋体"/>
                <w:b/>
                <w:bCs/>
                <w:color w:val="auto"/>
                <w:sz w:val="21"/>
                <w:szCs w:val="21"/>
                <w:highlight w:val="none"/>
              </w:rPr>
              <w:t xml:space="preserve">）</w:t>
            </w:r>
            <w:r/>
          </w:p>
        </w:tc>
      </w:tr>
      <w:tr>
        <w:trPr>
          <w:trHeight w:val="559"/>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样品</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w:t>
            </w:r>
            <w:r>
              <w:rPr>
                <w:rFonts w:hint="eastAsia" w:ascii="Times New Roman" w:hAnsi="Times New Roman" w:eastAsia="宋体"/>
                <w:color w:val="auto"/>
                <w:sz w:val="21"/>
                <w:szCs w:val="21"/>
                <w:lang w:val="en-US" w:eastAsia="zh-CN"/>
              </w:rPr>
              <w:t xml:space="preserve">12</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提供样品1组：</w:t>
            </w:r>
            <w:r>
              <w:rPr>
                <w:rFonts w:hint="eastAsia" w:ascii="Times New Roman" w:hAnsi="Times New Roman" w:eastAsia="宋体"/>
                <w:b/>
                <w:bCs/>
                <w:color w:val="auto"/>
                <w:sz w:val="21"/>
                <w:szCs w:val="21"/>
                <w:lang w:val="en-US" w:eastAsia="zh-CN"/>
              </w:rPr>
              <w:t xml:space="preserve">固定课桌椅两位一排</w:t>
            </w:r>
            <w:r>
              <w:rPr>
                <w:rFonts w:hint="eastAsia" w:ascii="Times New Roman" w:hAnsi="Times New Roman"/>
                <w:b/>
                <w:bCs/>
                <w:color w:val="auto"/>
                <w:sz w:val="21"/>
                <w:szCs w:val="21"/>
                <w:lang w:val="en-US" w:eastAsia="zh-CN"/>
              </w:rPr>
              <w:t xml:space="preserve">（中排）</w:t>
            </w:r>
            <w:r>
              <w:rPr>
                <w:rFonts w:hint="eastAsia" w:ascii="Times New Roman" w:hAnsi="Times New Roman" w:eastAsia="宋体"/>
                <w:b/>
                <w:bCs/>
                <w:color w:val="auto"/>
                <w:sz w:val="21"/>
                <w:szCs w:val="21"/>
                <w:lang w:val="en-US" w:eastAsia="zh-CN"/>
              </w:rPr>
              <w:t xml:space="preserve">一套</w:t>
            </w:r>
            <w:r>
              <w:rPr>
                <w:rFonts w:hint="eastAsia" w:ascii="Times New Roman" w:hAnsi="Times New Roman"/>
                <w:b/>
                <w:bCs/>
                <w:color w:val="auto"/>
                <w:sz w:val="21"/>
                <w:szCs w:val="21"/>
                <w:lang w:val="en-US" w:eastAsia="zh-CN"/>
              </w:rPr>
              <w:t xml:space="preserve">（尺寸见项目需求）</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每件样品均从选料、结构、工艺三个方面打分。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b/>
                <w:bCs/>
                <w:color w:val="auto"/>
                <w:sz w:val="21"/>
                <w:szCs w:val="21"/>
                <w:lang w:val="en-US" w:eastAsia="zh-CN"/>
              </w:rPr>
              <w:t xml:space="preserve">1.选料</w:t>
            </w:r>
            <w:r>
              <w:rPr>
                <w:rFonts w:hint="eastAsia" w:ascii="Times New Roman" w:hAnsi="Times New Roman" w:eastAsia="宋体"/>
                <w:color w:val="auto"/>
                <w:sz w:val="21"/>
                <w:szCs w:val="21"/>
                <w:lang w:val="en-US" w:eastAsia="zh-CN"/>
              </w:rPr>
              <w:t xml:space="preserve">：从主材、封边、有无异味等技术要求角度进行评价，完全满足的得4分，基本满足的得2分，有一项不满足的不得分。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b/>
                <w:bCs/>
                <w:color w:val="auto"/>
                <w:sz w:val="21"/>
                <w:szCs w:val="21"/>
                <w:lang w:val="en-US" w:eastAsia="zh-CN"/>
              </w:rPr>
              <w:t xml:space="preserve">2.结构：</w:t>
            </w:r>
            <w:r>
              <w:rPr>
                <w:rFonts w:hint="eastAsia" w:ascii="Times New Roman" w:hAnsi="Times New Roman" w:eastAsia="宋体"/>
                <w:color w:val="auto"/>
                <w:sz w:val="21"/>
                <w:szCs w:val="21"/>
                <w:lang w:val="en-US" w:eastAsia="zh-CN"/>
              </w:rPr>
              <w:t xml:space="preserve">从样品款式、外观造型、规格尺寸等参数的符合性和样品稳定性、承重性等技术要求角度进行评价，完全满足的得4分，基本满足的得2分，有一项不满足的不得分。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b/>
                <w:bCs/>
                <w:color w:val="auto"/>
                <w:sz w:val="21"/>
                <w:szCs w:val="21"/>
                <w:lang w:val="en-US" w:eastAsia="zh-CN"/>
              </w:rPr>
              <w:t xml:space="preserve">3.工艺：</w:t>
            </w:r>
            <w:r>
              <w:rPr>
                <w:rFonts w:hint="eastAsia" w:ascii="Times New Roman" w:hAnsi="Times New Roman" w:eastAsia="宋体"/>
                <w:color w:val="auto"/>
                <w:sz w:val="21"/>
                <w:szCs w:val="21"/>
                <w:lang w:val="en-US" w:eastAsia="zh-CN"/>
              </w:rPr>
              <w:t xml:space="preserve">从外观质感、桌面平整度、光泽度、五金配件连接紧密程度等技术要求角度进行评价，完全满足的得4分，基本满足的得2分，有一项不满足的不得分。</w:t>
            </w:r>
            <w:r/>
          </w:p>
          <w:p>
            <w:pPr>
              <w:keepLines w:val="0"/>
              <w:keepNext w:val="0"/>
              <w:pageBreakBefore w:val="0"/>
              <w:spacing w:line="360" w:lineRule="auto"/>
              <w:widowControl w:val="off"/>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 xml:space="preserve">注：未按要求提供或不提供样品的不得分。</w:t>
            </w:r>
            <w:r/>
          </w:p>
        </w:tc>
      </w:tr>
      <w:tr>
        <w:trPr>
          <w:trHeight w:val="2161"/>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rPr>
              <w:t xml:space="preserve">产品整体技术方案</w:t>
            </w:r>
            <w:r/>
          </w:p>
          <w:p>
            <w:pPr>
              <w:jc w:val="cente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ascii="Times New Roman" w:hAnsi="Times New Roman" w:eastAsia="宋体"/>
                <w:color w:val="auto"/>
                <w:sz w:val="21"/>
                <w:szCs w:val="21"/>
              </w:rPr>
              <w:t xml:space="preserve">（</w:t>
            </w:r>
            <w:r>
              <w:rPr>
                <w:rFonts w:hint="eastAsia" w:ascii="Times New Roman" w:hAnsi="Times New Roman" w:eastAsia="宋体"/>
                <w:color w:val="auto"/>
                <w:sz w:val="21"/>
                <w:szCs w:val="21"/>
                <w:lang w:val="en-US" w:eastAsia="zh-CN"/>
              </w:rPr>
              <w:t xml:space="preserve">6</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lang w:val="en-US" w:eastAsia="zh-CN"/>
              </w:rPr>
            </w:pPr>
            <w:r>
              <w:rPr>
                <w:rFonts w:hint="eastAsia" w:ascii="宋体" w:hAnsi="宋体" w:cs="宋体"/>
                <w:color w:val="auto"/>
                <w:szCs w:val="21"/>
                <w:shd w:val="clear" w:color="auto" w:fill="ffffff"/>
              </w:rPr>
              <w:t xml:space="preserve">投标人根据采购清单上家具款式、颜色、尺寸的要求，再结合采购人现场的装修风格、房间尺寸，提供</w:t>
            </w:r>
            <w:r>
              <w:rPr>
                <w:rFonts w:hint="eastAsia" w:ascii="宋体" w:hAnsi="宋体" w:cs="宋体"/>
                <w:color w:val="auto"/>
                <w:szCs w:val="21"/>
                <w:shd w:val="clear" w:color="auto" w:fill="ffffff"/>
                <w:lang w:val="en-US" w:eastAsia="zh-CN"/>
              </w:rPr>
              <w:t xml:space="preserve">任意一教室的</w:t>
            </w:r>
            <w:r>
              <w:rPr>
                <w:rFonts w:hint="eastAsia" w:ascii="宋体" w:hAnsi="宋体" w:cs="宋体"/>
                <w:color w:val="auto"/>
                <w:szCs w:val="21"/>
                <w:shd w:val="clear" w:color="auto" w:fill="ffffff"/>
              </w:rPr>
              <w:t xml:space="preserve">效果图及家具的产品深化设计图</w:t>
            </w:r>
            <w:r>
              <w:rPr>
                <w:rFonts w:hint="eastAsia" w:ascii="Times New Roman" w:hAnsi="Times New Roman" w:eastAsia="宋体"/>
                <w:color w:val="auto"/>
                <w:sz w:val="21"/>
                <w:szCs w:val="21"/>
                <w:lang w:val="en-US" w:eastAsia="zh-CN"/>
              </w:rPr>
              <w:t xml:space="preserve">：</w:t>
            </w:r>
            <w:r/>
          </w:p>
          <w:p>
            <w:pPr>
              <w:keepLines w:val="0"/>
              <w:keepNext w:val="0"/>
              <w:pageBreakBefore w:val="0"/>
              <w:spacing w:line="360" w:lineRule="auto"/>
              <w:widowControl w:val="off"/>
              <w:rPr>
                <w:rFonts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详细完整，产品深化设计明晰合理，得6分；</w:t>
            </w:r>
            <w:r/>
          </w:p>
          <w:p>
            <w:pPr>
              <w:keepLines w:val="0"/>
              <w:keepNext w:val="0"/>
              <w:pageBreakBefore w:val="0"/>
              <w:spacing w:line="360" w:lineRule="auto"/>
              <w:widowControl w:val="off"/>
              <w:rPr>
                <w:rFonts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方案一般，产品深化设计较粗糙，得3分；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缺实物图、实际场地布放设计图、场景效果图、深化设计得0分。</w:t>
            </w:r>
            <w:r/>
          </w:p>
        </w:tc>
      </w:tr>
      <w:tr>
        <w:trPr>
          <w:trHeight w:val="559"/>
        </w:trPr>
        <w:tc>
          <w:tcPr>
            <w:shd w:val="clear" w:color="auto" w:fill="auto"/>
            <w:tcBorders>
              <w:top w:val="single" w:color="auto" w:sz="4" w:space="0"/>
              <w:left w:val="single" w:color="auto" w:sz="4" w:space="0"/>
              <w:right w:val="single" w:color="auto" w:sz="4" w:space="0"/>
            </w:tcBorders>
            <w:tcW w:w="816" w:type="pct"/>
            <w:vAlign w:val="center"/>
            <w:vMerge w:val="restart"/>
            <w:textDirection w:val="lrTb"/>
            <w:noWrap w:val="false"/>
          </w:tcPr>
          <w:p>
            <w:pPr>
              <w:jc w:val="center"/>
              <w:keepLines w:val="0"/>
              <w:keepNext w:val="0"/>
              <w:pageBreakBefore w:val="0"/>
              <w:spacing w:line="360" w:lineRule="auto"/>
              <w:widowControl w:val="off"/>
              <w:rPr>
                <w:rFonts w:hint="eastAsia" w:ascii="Times New Roman" w:hAnsi="Times New Roman" w:eastAsia="宋体"/>
                <w:color w:val="auto"/>
                <w:sz w:val="21"/>
                <w:szCs w:val="21"/>
              </w:rPr>
            </w:pPr>
            <w:r>
              <w:rPr>
                <w:rFonts w:hint="eastAsia" w:ascii="Times New Roman" w:hAnsi="Times New Roman" w:eastAsia="宋体"/>
                <w:color w:val="auto"/>
                <w:sz w:val="21"/>
                <w:szCs w:val="21"/>
              </w:rPr>
              <w:t xml:space="preserve">技术响应</w:t>
            </w:r>
            <w:r/>
          </w:p>
          <w:p>
            <w:pPr>
              <w:jc w:val="center"/>
              <w:keepLines w:val="0"/>
              <w:keepNext w:val="0"/>
              <w:pageBreakBefore w:val="0"/>
              <w:spacing w:line="360" w:lineRule="auto"/>
              <w:widowControl w:val="off"/>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（1</w:t>
            </w:r>
            <w:r>
              <w:rPr>
                <w:rFonts w:hint="eastAsia" w:ascii="Times New Roman" w:hAnsi="Times New Roman"/>
                <w:color w:val="auto"/>
                <w:sz w:val="21"/>
                <w:szCs w:val="21"/>
                <w:lang w:val="en-US" w:eastAsia="zh-CN"/>
              </w:rPr>
              <w:t xml:space="preserve">2</w:t>
            </w:r>
            <w:r>
              <w:rPr>
                <w:rFonts w:hint="eastAsia" w:ascii="Times New Roman" w:hAnsi="Times New Roman" w:eastAsia="宋体"/>
                <w:color w:val="auto"/>
                <w:sz w:val="21"/>
                <w:szCs w:val="21"/>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 xml:space="preserve">所投产品技术参数及要求全部满足或优于招标文件要求的，得满分</w:t>
            </w:r>
            <w:r>
              <w:rPr>
                <w:rFonts w:hint="eastAsia" w:ascii="Times New Roman" w:hAnsi="Times New Roman" w:eastAsia="宋体" w:cs="宋体"/>
                <w:color w:val="auto"/>
                <w:sz w:val="21"/>
                <w:szCs w:val="21"/>
                <w:lang w:val="en-US" w:eastAsia="zh-CN"/>
              </w:rPr>
              <w:t xml:space="preserve">3</w:t>
            </w:r>
            <w:r>
              <w:rPr>
                <w:rFonts w:hint="eastAsia" w:ascii="Times New Roman" w:hAnsi="Times New Roman" w:eastAsia="宋体" w:cs="宋体"/>
                <w:color w:val="auto"/>
                <w:sz w:val="21"/>
                <w:szCs w:val="21"/>
              </w:rPr>
              <w:t xml:space="preserve">分。标注“★”的条款，每有一条不满足扣</w:t>
            </w:r>
            <w:r>
              <w:rPr>
                <w:rFonts w:hint="eastAsia" w:ascii="Times New Roman" w:hAnsi="Times New Roman" w:eastAsia="宋体" w:cs="宋体"/>
                <w:color w:val="auto"/>
                <w:sz w:val="21"/>
                <w:szCs w:val="21"/>
                <w:lang w:val="en-US" w:eastAsia="zh-CN"/>
              </w:rPr>
              <w:t xml:space="preserve">1</w:t>
            </w:r>
            <w:r>
              <w:rPr>
                <w:rFonts w:hint="eastAsia" w:ascii="Times New Roman" w:hAnsi="Times New Roman" w:eastAsia="宋体" w:cs="宋体"/>
                <w:color w:val="auto"/>
                <w:sz w:val="21"/>
                <w:szCs w:val="21"/>
              </w:rPr>
              <w:t xml:space="preserve">分；扣完为止。</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b/>
                <w:bCs/>
                <w:color w:val="auto"/>
                <w:szCs w:val="21"/>
                <w:highlight w:val="none"/>
                <w:lang w:val="en-US" w:eastAsia="zh-CN"/>
              </w:rPr>
              <w:t xml:space="preserve">以投标人提供的</w:t>
            </w:r>
            <w:r>
              <w:rPr>
                <w:rFonts w:hint="eastAsia" w:ascii="Times New Roman" w:hAnsi="Times New Roman" w:eastAsia="宋体"/>
                <w:b/>
                <w:bCs/>
                <w:color w:val="auto"/>
                <w:szCs w:val="21"/>
                <w:highlight w:val="none"/>
              </w:rPr>
              <w:t xml:space="preserve">《技术参数响应及偏离表》为准。</w:t>
            </w:r>
            <w:r>
              <w:rPr>
                <w:rFonts w:hint="eastAsia" w:ascii="Times New Roman" w:hAnsi="Times New Roman" w:eastAsia="宋体" w:cs="宋体"/>
                <w:b/>
                <w:bCs/>
                <w:color w:val="auto"/>
                <w:szCs w:val="21"/>
                <w:highlight w:val="none"/>
              </w:rPr>
              <w:t xml:space="preserve">若发现有提供虚假的证明材料或虚假应答技术参数响应及偏离表的，视为无效投标，上报采购监管部门并追究相关责任。</w:t>
            </w:r>
            <w:r/>
          </w:p>
        </w:tc>
      </w:tr>
      <w:tr>
        <w:trPr>
          <w:trHeight w:val="559"/>
        </w:trPr>
        <w:tc>
          <w:tcPr>
            <w:shd w:val="clear" w:color="auto" w:fill="auto"/>
            <w:tcBorders>
              <w:left w:val="single" w:color="auto" w:sz="4" w:space="0"/>
              <w:bottom w:val="single" w:color="auto" w:sz="4" w:space="0"/>
              <w:right w:val="single" w:color="auto" w:sz="4" w:space="0"/>
            </w:tcBorders>
            <w:tcW w:w="816" w:type="pct"/>
            <w:vAlign w:val="center"/>
            <w:vMerge w:val="continue"/>
            <w:textDirection w:val="lrTb"/>
            <w:noWrap w:val="false"/>
          </w:tcPr>
          <w:p>
            <w:pPr>
              <w:keepLines w:val="0"/>
              <w:keepNext w:val="0"/>
              <w:pageBreakBefore w:val="0"/>
              <w:spacing w:line="360" w:lineRule="auto"/>
              <w:widowControl w:val="off"/>
              <w:rPr>
                <w:rFonts w:hint="default" w:ascii="Times New Roman" w:hAnsi="Times New Roman" w:eastAsia="宋体"/>
                <w:color w:val="auto"/>
                <w:sz w:val="21"/>
                <w:szCs w:val="21"/>
                <w:lang w:val="en-US" w:eastAsia="zh-CN"/>
              </w:rPr>
            </w:pPr>
            <w:r>
              <w:rPr>
                <w:rFonts w:hint="default" w:ascii="Times New Roman" w:hAnsi="Times New Roman" w:eastAsia="宋体"/>
                <w:color w:val="auto"/>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投标人或所投产品制造商具有202</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年1月1日至今，由第三方检测机构出具的原材料检测报告：</w:t>
            </w:r>
            <w:r/>
          </w:p>
          <w:p>
            <w:pPr>
              <w:keepLines w:val="0"/>
              <w:keepNext w:val="0"/>
              <w:pageBreakBefore w:val="0"/>
              <w:spacing w:line="360" w:lineRule="auto"/>
              <w:widowControl w:val="off"/>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 xml:space="preserve">（1）刨花板（三聚氰胺饰面）：（3分）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检测内容包含：甲醛释放量、静</w:t>
            </w:r>
            <w:r>
              <w:rPr>
                <w:rFonts w:hint="eastAsia" w:ascii="Times New Roman" w:hAnsi="Times New Roman"/>
                <w:color w:val="auto"/>
                <w:sz w:val="21"/>
                <w:szCs w:val="21"/>
                <w:lang w:val="en-US" w:eastAsia="zh-CN"/>
              </w:rPr>
              <w:t xml:space="preserve">曲</w:t>
            </w:r>
            <w:r>
              <w:rPr>
                <w:rFonts w:hint="eastAsia" w:ascii="Times New Roman" w:hAnsi="Times New Roman" w:eastAsia="宋体"/>
                <w:color w:val="auto"/>
                <w:sz w:val="21"/>
                <w:szCs w:val="21"/>
                <w:lang w:val="en-US" w:eastAsia="zh-CN"/>
              </w:rPr>
              <w:t xml:space="preserve">强度、含水率，满足1项得1分，满分3分。</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 xml:space="preserve">（2）</w:t>
            </w:r>
            <w:r>
              <w:rPr>
                <w:rFonts w:hint="default" w:ascii="Times New Roman" w:hAnsi="Times New Roman" w:eastAsia="宋体" w:cs="Times New Roman"/>
                <w:b/>
                <w:bCs/>
                <w:color w:val="auto"/>
                <w:sz w:val="21"/>
                <w:szCs w:val="21"/>
                <w:lang w:val="en-US" w:eastAsia="zh-CN"/>
              </w:rPr>
              <w:t xml:space="preserve">钢</w:t>
            </w:r>
            <w:r>
              <w:rPr>
                <w:rFonts w:hint="eastAsia" w:ascii="Times New Roman" w:hAnsi="Times New Roman" w:cs="Times New Roman"/>
                <w:b/>
                <w:bCs/>
                <w:color w:val="auto"/>
                <w:sz w:val="21"/>
                <w:szCs w:val="21"/>
                <w:lang w:val="en-US" w:eastAsia="zh-CN"/>
              </w:rPr>
              <w:t xml:space="preserve">管</w:t>
            </w:r>
            <w:r>
              <w:rPr>
                <w:rFonts w:hint="eastAsia" w:ascii="Times New Roman" w:hAnsi="Times New Roman" w:eastAsia="宋体" w:cs="Times New Roman"/>
                <w:b/>
                <w:bCs/>
                <w:color w:val="auto"/>
                <w:sz w:val="21"/>
                <w:szCs w:val="21"/>
                <w:lang w:val="en-US" w:eastAsia="zh-CN"/>
              </w:rPr>
              <w:t xml:space="preserve">（3分）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检测内容包含：硬度、金属件喷涂层-抗盐雾（24h)、附着力；满足1项得1分，满分3分。</w:t>
            </w:r>
            <w:r/>
          </w:p>
          <w:p>
            <w:pPr>
              <w:keepLines w:val="0"/>
              <w:keepNext w:val="0"/>
              <w:pageBreakBefore w:val="0"/>
              <w:spacing w:line="360" w:lineRule="auto"/>
              <w:widowControl w:val="off"/>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 xml:space="preserve">（3）聚丙烯PP材料（2分）</w:t>
            </w:r>
            <w:r/>
          </w:p>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检测内容包含：甲醛释放量、有害物质限量；满足1项得1分，满</w:t>
            </w:r>
            <w:r>
              <w:rPr>
                <w:rFonts w:hint="eastAsia" w:ascii="Times New Roman" w:hAnsi="Times New Roman"/>
                <w:color w:val="auto"/>
                <w:sz w:val="21"/>
                <w:szCs w:val="21"/>
                <w:lang w:val="en-US" w:eastAsia="zh-CN"/>
              </w:rPr>
              <w:t xml:space="preserve">分</w:t>
            </w:r>
            <w:r>
              <w:rPr>
                <w:rFonts w:hint="eastAsia" w:ascii="Times New Roman" w:hAnsi="Times New Roman" w:eastAsia="宋体"/>
                <w:color w:val="auto"/>
                <w:sz w:val="21"/>
                <w:szCs w:val="21"/>
                <w:lang w:val="en-US" w:eastAsia="zh-CN"/>
              </w:rPr>
              <w:t xml:space="preserve">2分。</w:t>
            </w:r>
            <w:r/>
          </w:p>
          <w:p>
            <w:pPr>
              <w:numPr>
                <w:ilvl w:val="0"/>
                <w:numId w:val="3"/>
              </w:numPr>
              <w:keepLines w:val="0"/>
              <w:keepNext w:val="0"/>
              <w:pageBreakBefore w:val="0"/>
              <w:spacing w:line="360" w:lineRule="auto"/>
              <w:widowControl w:val="off"/>
              <w:rPr>
                <w:rFonts w:hint="eastAsia"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 xml:space="preserve">PVC 封边（1分）</w:t>
            </w:r>
            <w:r/>
          </w:p>
          <w:p>
            <w:pPr>
              <w:numPr>
                <w:ilvl w:val="0"/>
                <w:numId w:val="0"/>
              </w:numPr>
              <w:keepLines w:val="0"/>
              <w:keepNext w:val="0"/>
              <w:pageBreakBefore w:val="0"/>
              <w:spacing w:line="360" w:lineRule="auto"/>
              <w:widowControl w:val="off"/>
              <w:rPr>
                <w:rFonts w:hint="default" w:ascii="Times New Roman" w:hAnsi="Times New Roman" w:cs="Times New Roman"/>
                <w:b/>
                <w:bCs/>
                <w:color w:val="auto"/>
                <w:sz w:val="21"/>
                <w:szCs w:val="21"/>
                <w:lang w:val="en-US" w:eastAsia="zh-CN"/>
              </w:rPr>
            </w:pPr>
            <w:r>
              <w:rPr>
                <w:rFonts w:hint="eastAsia" w:ascii="Times New Roman" w:hAnsi="Times New Roman" w:eastAsia="宋体"/>
                <w:color w:val="auto"/>
                <w:sz w:val="21"/>
                <w:szCs w:val="21"/>
                <w:lang w:val="en-US" w:eastAsia="zh-CN"/>
              </w:rPr>
              <w:t xml:space="preserve">检测内容包含：有害物质限量；满足</w:t>
            </w:r>
            <w:r>
              <w:rPr>
                <w:rFonts w:hint="eastAsia" w:ascii="Times New Roman" w:hAnsi="Times New Roman"/>
                <w:color w:val="auto"/>
                <w:sz w:val="21"/>
                <w:szCs w:val="21"/>
                <w:lang w:val="en-US" w:eastAsia="zh-CN"/>
              </w:rPr>
              <w:t xml:space="preserve">1</w:t>
            </w:r>
            <w:r>
              <w:rPr>
                <w:rFonts w:hint="eastAsia" w:ascii="Times New Roman" w:hAnsi="Times New Roman" w:eastAsia="宋体"/>
                <w:color w:val="auto"/>
                <w:sz w:val="21"/>
                <w:szCs w:val="21"/>
                <w:lang w:val="en-US" w:eastAsia="zh-CN"/>
              </w:rPr>
              <w:t xml:space="preserve">分。</w:t>
            </w:r>
            <w:r/>
          </w:p>
          <w:p>
            <w:pPr>
              <w:pStyle w:val="733"/>
              <w:keepLines w:val="0"/>
              <w:keepNext w:val="0"/>
              <w:pageBreakBefore w:val="0"/>
              <w:spacing w:line="360" w:lineRule="auto"/>
              <w:widowControl w:val="off"/>
              <w:rPr>
                <w:rFonts w:hint="eastAsia" w:ascii="Times New Roman" w:hAnsi="Times New Roman"/>
                <w:b/>
                <w:bCs/>
                <w:color w:val="auto"/>
                <w:sz w:val="21"/>
                <w:szCs w:val="21"/>
                <w:highlight w:val="none"/>
              </w:rPr>
            </w:pPr>
            <w:r>
              <w:rPr>
                <w:rFonts w:hint="eastAsia" w:ascii="Times New Roman" w:hAnsi="Times New Roman"/>
                <w:b/>
                <w:bCs/>
                <w:color w:val="auto"/>
                <w:sz w:val="21"/>
                <w:szCs w:val="21"/>
                <w:highlight w:val="none"/>
                <w:lang w:val="en-US" w:eastAsia="zh-CN"/>
              </w:rPr>
              <w:t xml:space="preserve">注：①</w:t>
            </w:r>
            <w:r>
              <w:rPr>
                <w:rFonts w:hint="eastAsia" w:ascii="Times New Roman" w:hAnsi="Times New Roman"/>
                <w:b/>
                <w:bCs/>
                <w:color w:val="auto"/>
                <w:sz w:val="21"/>
                <w:szCs w:val="21"/>
                <w:highlight w:val="none"/>
              </w:rPr>
              <w:t xml:space="preserve">检测报告送检单位名称需与投标人或所投产品制造商名称一致；</w:t>
            </w:r>
            <w:r/>
          </w:p>
          <w:p>
            <w:pPr>
              <w:pStyle w:val="733"/>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b/>
                <w:bCs/>
                <w:color w:val="auto"/>
                <w:sz w:val="21"/>
                <w:szCs w:val="21"/>
                <w:highlight w:val="none"/>
                <w:lang w:val="en-US" w:eastAsia="zh-CN"/>
              </w:rPr>
              <w:t xml:space="preserve">②</w:t>
            </w:r>
            <w:r>
              <w:rPr>
                <w:rFonts w:hint="eastAsia" w:ascii="Times New Roman" w:hAnsi="Times New Roman"/>
                <w:b/>
                <w:bCs/>
                <w:color w:val="auto"/>
                <w:sz w:val="21"/>
                <w:szCs w:val="21"/>
                <w:highlight w:val="none"/>
              </w:rPr>
              <w:t xml:space="preserve">若检测报告描述名称不一致，但实为同种原材料或成品即可。</w:t>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业绩</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w:t>
            </w:r>
            <w:r>
              <w:rPr>
                <w:rFonts w:hint="eastAsia" w:ascii="Times New Roman" w:hAnsi="Times New Roman" w:eastAsia="宋体"/>
                <w:color w:val="auto"/>
                <w:sz w:val="21"/>
                <w:szCs w:val="21"/>
                <w:lang w:val="en-US" w:eastAsia="zh-CN"/>
              </w:rPr>
              <w:t xml:space="preserve">3</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投标人</w:t>
            </w:r>
            <w:r>
              <w:rPr>
                <w:rFonts w:hint="eastAsia" w:ascii="Times New Roman" w:hAnsi="Times New Roman" w:eastAsia="宋体"/>
                <w:color w:val="auto"/>
                <w:sz w:val="21"/>
                <w:szCs w:val="21"/>
                <w:lang w:val="en-US" w:eastAsia="zh-CN"/>
              </w:rPr>
              <w:t xml:space="preserve">自</w:t>
            </w:r>
            <w:r>
              <w:rPr>
                <w:rFonts w:ascii="Times New Roman" w:hAnsi="Times New Roman" w:eastAsia="宋体"/>
                <w:color w:val="auto"/>
                <w:sz w:val="21"/>
                <w:szCs w:val="21"/>
              </w:rPr>
              <w:t xml:space="preserve">202</w:t>
            </w:r>
            <w:r>
              <w:rPr>
                <w:rFonts w:hint="eastAsia" w:ascii="Times New Roman" w:hAnsi="Times New Roman"/>
                <w:color w:val="auto"/>
                <w:sz w:val="21"/>
                <w:szCs w:val="21"/>
                <w:lang w:val="en-US" w:eastAsia="zh-CN"/>
              </w:rPr>
              <w:t xml:space="preserve">3</w:t>
            </w:r>
            <w:r>
              <w:rPr>
                <w:rFonts w:ascii="Times New Roman" w:hAnsi="Times New Roman" w:eastAsia="宋体"/>
                <w:color w:val="auto"/>
                <w:sz w:val="21"/>
                <w:szCs w:val="21"/>
              </w:rPr>
              <w:t xml:space="preserve">年1月1日至今承担过类似项目业绩的，有一项得</w:t>
            </w:r>
            <w:r>
              <w:rPr>
                <w:rFonts w:hint="eastAsia" w:ascii="Times New Roman" w:hAnsi="Times New Roman" w:eastAsia="宋体"/>
                <w:color w:val="auto"/>
                <w:sz w:val="21"/>
                <w:szCs w:val="21"/>
                <w:lang w:val="en-US" w:eastAsia="zh-CN"/>
              </w:rPr>
              <w:t xml:space="preserve">1</w:t>
            </w:r>
            <w:r>
              <w:rPr>
                <w:rFonts w:ascii="Times New Roman" w:hAnsi="Times New Roman" w:eastAsia="宋体"/>
                <w:color w:val="auto"/>
                <w:sz w:val="21"/>
                <w:szCs w:val="21"/>
              </w:rPr>
              <w:t xml:space="preserve">分，满分</w:t>
            </w:r>
            <w:r>
              <w:rPr>
                <w:rFonts w:hint="eastAsia" w:ascii="Times New Roman" w:hAnsi="Times New Roman" w:eastAsia="宋体"/>
                <w:color w:val="auto"/>
                <w:sz w:val="21"/>
                <w:szCs w:val="21"/>
                <w:lang w:val="en-US" w:eastAsia="zh-CN"/>
              </w:rPr>
              <w:t xml:space="preserve">3</w:t>
            </w:r>
            <w:r>
              <w:rPr>
                <w:rFonts w:ascii="Times New Roman" w:hAnsi="Times New Roman" w:eastAsia="宋体"/>
                <w:color w:val="auto"/>
                <w:sz w:val="21"/>
                <w:szCs w:val="21"/>
              </w:rPr>
              <w:t xml:space="preserve">分。</w:t>
            </w:r>
            <w:r/>
          </w:p>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b/>
                <w:bCs/>
                <w:color w:val="auto"/>
                <w:sz w:val="21"/>
                <w:szCs w:val="21"/>
              </w:rPr>
              <w:t xml:space="preserve">（以合同签订时间为准，合同扫描上传，同一</w:t>
            </w:r>
            <w:r>
              <w:rPr>
                <w:rFonts w:hint="eastAsia" w:ascii="Times New Roman" w:hAnsi="Times New Roman"/>
                <w:b/>
                <w:bCs/>
                <w:color w:val="auto"/>
                <w:sz w:val="21"/>
                <w:szCs w:val="21"/>
                <w:lang w:val="en-US" w:eastAsia="zh-CN"/>
              </w:rPr>
              <w:t xml:space="preserve">采购</w:t>
            </w:r>
            <w:r>
              <w:rPr>
                <w:rFonts w:ascii="Times New Roman" w:hAnsi="Times New Roman" w:eastAsia="宋体"/>
                <w:b/>
                <w:bCs/>
                <w:color w:val="auto"/>
                <w:sz w:val="21"/>
                <w:szCs w:val="21"/>
              </w:rPr>
              <w:t xml:space="preserve">单位</w:t>
            </w:r>
            <w:r>
              <w:rPr>
                <w:rFonts w:hint="eastAsia" w:ascii="Times New Roman" w:hAnsi="Times New Roman"/>
                <w:b/>
                <w:bCs/>
                <w:color w:val="auto"/>
                <w:sz w:val="21"/>
                <w:szCs w:val="21"/>
                <w:lang w:val="en-US" w:eastAsia="zh-CN"/>
              </w:rPr>
              <w:t xml:space="preserve">的</w:t>
            </w:r>
            <w:r>
              <w:rPr>
                <w:rFonts w:ascii="Times New Roman" w:hAnsi="Times New Roman" w:eastAsia="宋体"/>
                <w:b/>
                <w:bCs/>
                <w:color w:val="auto"/>
                <w:sz w:val="21"/>
                <w:szCs w:val="21"/>
              </w:rPr>
              <w:t xml:space="preserve">合同不重复计分</w:t>
            </w:r>
            <w:r>
              <w:rPr>
                <w:rFonts w:hint="eastAsia" w:ascii="Times New Roman" w:hAnsi="Times New Roman" w:eastAsia="宋体"/>
                <w:b/>
                <w:bCs/>
                <w:color w:val="auto"/>
                <w:sz w:val="21"/>
                <w:szCs w:val="21"/>
                <w:lang w:eastAsia="zh-CN"/>
              </w:rPr>
              <w:t xml:space="preserve">，</w:t>
            </w:r>
            <w:r>
              <w:rPr>
                <w:rFonts w:hint="eastAsia" w:ascii="Times New Roman" w:hAnsi="Times New Roman" w:eastAsia="宋体"/>
                <w:b/>
                <w:bCs/>
                <w:color w:val="auto"/>
                <w:sz w:val="21"/>
                <w:szCs w:val="21"/>
                <w:lang w:val="en-US" w:eastAsia="zh-CN"/>
              </w:rPr>
              <w:t xml:space="preserve">未按要求提供不得分</w:t>
            </w:r>
            <w:r>
              <w:rPr>
                <w:rFonts w:ascii="Times New Roman" w:hAnsi="Times New Roman" w:eastAsia="宋体"/>
                <w:b/>
                <w:bCs/>
                <w:color w:val="auto"/>
                <w:sz w:val="21"/>
                <w:szCs w:val="21"/>
              </w:rPr>
              <w:t xml:space="preserve">）</w:t>
            </w:r>
            <w:r/>
          </w:p>
        </w:tc>
      </w:tr>
      <w:tr>
        <w:trPr>
          <w:trHeight w:val="4865"/>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实施方案</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w:t>
            </w:r>
            <w:r>
              <w:rPr>
                <w:rFonts w:hint="eastAsia" w:ascii="Times New Roman" w:hAnsi="Times New Roman" w:eastAsia="宋体"/>
                <w:color w:val="auto"/>
                <w:sz w:val="21"/>
                <w:szCs w:val="21"/>
              </w:rPr>
              <w:t xml:space="preserve">20</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1.拟派项目人员方案（5分）：方案重点突出、描述清晰完整、充分结合实际且针对性强，优于招标文件要求的得5分；完全符合招标文件要求的得3分；不符合招标文件要求的，不得分。</w:t>
            </w:r>
            <w:r/>
          </w:p>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2.质量控制措施方案（5分）：方案重点突出、描述清晰完整、充分结合实际且针对性强，优于招标文件要求的得5分；完全符合招标文件要求的得3分；不符合招标文件要求的，不得分。</w:t>
            </w:r>
            <w:r/>
          </w:p>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3.进度控制措施方案（5分）：方案重点突出、描述清晰完整、充分结合实际且针对性强，优于招标文件要求的得5分；完全符合招标文件要求的得3分；不符合招标文件要求的，不得分。</w:t>
            </w:r>
            <w:r/>
          </w:p>
          <w:p>
            <w:pP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4.供货安装实施方案（</w:t>
            </w:r>
            <w:r>
              <w:rPr>
                <w:rFonts w:hint="eastAsia" w:ascii="Times New Roman" w:hAnsi="Times New Roman" w:eastAsia="宋体"/>
                <w:color w:val="auto"/>
                <w:sz w:val="21"/>
                <w:szCs w:val="21"/>
              </w:rPr>
              <w:t xml:space="preserve">5</w:t>
            </w:r>
            <w:r>
              <w:rPr>
                <w:rFonts w:ascii="Times New Roman" w:hAnsi="Times New Roman" w:eastAsia="宋体"/>
                <w:color w:val="auto"/>
                <w:sz w:val="21"/>
                <w:szCs w:val="21"/>
              </w:rPr>
              <w:t xml:space="preserve">分）：方案重点突出、描述清晰完整、充分结合实际且针对性强，优于招标文件要求的得</w:t>
            </w:r>
            <w:r>
              <w:rPr>
                <w:rFonts w:hint="eastAsia" w:ascii="Times New Roman" w:hAnsi="Times New Roman" w:eastAsia="宋体"/>
                <w:color w:val="auto"/>
                <w:sz w:val="21"/>
                <w:szCs w:val="21"/>
              </w:rPr>
              <w:t xml:space="preserve">5</w:t>
            </w:r>
            <w:r>
              <w:rPr>
                <w:rFonts w:ascii="Times New Roman" w:hAnsi="Times New Roman" w:eastAsia="宋体"/>
                <w:color w:val="auto"/>
                <w:sz w:val="21"/>
                <w:szCs w:val="21"/>
              </w:rPr>
              <w:t xml:space="preserve">分；完全符合招标文件要求的得</w:t>
            </w:r>
            <w:r>
              <w:rPr>
                <w:rFonts w:hint="eastAsia" w:ascii="Times New Roman" w:hAnsi="Times New Roman" w:eastAsia="宋体"/>
                <w:color w:val="auto"/>
                <w:sz w:val="21"/>
                <w:szCs w:val="21"/>
              </w:rPr>
              <w:t xml:space="preserve">3</w:t>
            </w:r>
            <w:r>
              <w:rPr>
                <w:rFonts w:ascii="Times New Roman" w:hAnsi="Times New Roman" w:eastAsia="宋体"/>
                <w:color w:val="auto"/>
                <w:sz w:val="21"/>
                <w:szCs w:val="21"/>
              </w:rPr>
              <w:t xml:space="preserve">分；不符合招标文件要求的，不得分。</w:t>
            </w:r>
            <w:r/>
          </w:p>
        </w:tc>
      </w:tr>
      <w:tr>
        <w:trPr>
          <w:trHeight w:val="3210" w:hRule="exact"/>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售后服务</w:t>
            </w:r>
            <w:r/>
          </w:p>
          <w:p>
            <w:pPr>
              <w:jc w:val="center"/>
              <w:keepLines w:val="0"/>
              <w:keepNext w:val="0"/>
              <w:pageBreakBefore w:val="0"/>
              <w:spacing w:line="360" w:lineRule="auto"/>
              <w:widowControl w:val="off"/>
              <w:rPr>
                <w:rFonts w:ascii="Times New Roman" w:hAnsi="Times New Roman" w:eastAsia="宋体"/>
                <w:color w:val="auto"/>
                <w:sz w:val="21"/>
                <w:szCs w:val="21"/>
              </w:rPr>
            </w:pPr>
            <w:r>
              <w:rPr>
                <w:rFonts w:ascii="Times New Roman" w:hAnsi="Times New Roman" w:eastAsia="宋体"/>
                <w:color w:val="auto"/>
                <w:sz w:val="21"/>
                <w:szCs w:val="21"/>
              </w:rPr>
              <w:t xml:space="preserve">（</w:t>
            </w:r>
            <w:r>
              <w:rPr>
                <w:rFonts w:hint="eastAsia" w:ascii="Times New Roman" w:hAnsi="Times New Roman"/>
                <w:color w:val="auto"/>
                <w:sz w:val="21"/>
                <w:szCs w:val="21"/>
                <w:lang w:val="en-US" w:eastAsia="zh-CN"/>
              </w:rPr>
              <w:t xml:space="preserve">7</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ascii="Times New Roman" w:hAnsi="Times New Roman" w:eastAsia="宋体"/>
                <w:b/>
                <w:bCs/>
                <w:color w:val="auto"/>
                <w:sz w:val="21"/>
                <w:szCs w:val="21"/>
                <w:lang w:val="en-US" w:eastAsia="zh-CN"/>
              </w:rPr>
            </w:pPr>
            <w:r>
              <w:rPr>
                <w:rFonts w:hint="eastAsia" w:ascii="Times New Roman" w:hAnsi="Times New Roman"/>
                <w:color w:val="auto"/>
                <w:sz w:val="21"/>
                <w:szCs w:val="21"/>
                <w:lang w:val="en-US" w:eastAsia="zh-CN"/>
              </w:rPr>
              <w:t xml:space="preserve">1.</w:t>
            </w:r>
            <w:r>
              <w:rPr>
                <w:rFonts w:ascii="Times New Roman" w:hAnsi="Times New Roman" w:eastAsia="宋体"/>
                <w:color w:val="auto"/>
                <w:sz w:val="21"/>
                <w:szCs w:val="21"/>
                <w:lang w:val="en-US" w:eastAsia="zh-CN"/>
              </w:rPr>
              <w:t xml:space="preserve">投标人接到采购人报修通知起半小时响应，2小时内（包含2小时）派技术人员到达现场并及时完成维修的得2分；4小时内到达现场并完成维修的（包含4小时）的得1分；超过4小时的不得分</w:t>
            </w:r>
            <w:r>
              <w:rPr>
                <w:rFonts w:ascii="Times New Roman" w:hAnsi="Times New Roman" w:eastAsia="宋体"/>
                <w:b/>
                <w:bCs/>
                <w:color w:val="auto"/>
                <w:sz w:val="21"/>
                <w:szCs w:val="21"/>
                <w:lang w:val="en-US" w:eastAsia="zh-CN"/>
              </w:rPr>
              <w:t xml:space="preserve">（提供响应承诺书和售后能力相匹配的证明材料</w:t>
            </w:r>
            <w:r>
              <w:rPr>
                <w:rFonts w:hint="eastAsia" w:ascii="Times New Roman" w:hAnsi="Times New Roman" w:eastAsia="宋体"/>
                <w:b/>
                <w:bCs/>
                <w:color w:val="auto"/>
                <w:sz w:val="21"/>
                <w:szCs w:val="21"/>
                <w:lang w:val="en-US" w:eastAsia="zh-CN"/>
              </w:rPr>
              <w:t xml:space="preserve">加盖投标人公章扫描上传，格式自拟</w:t>
            </w:r>
            <w:r>
              <w:rPr>
                <w:rFonts w:hint="eastAsia" w:ascii="Times New Roman" w:hAnsi="Times New Roman" w:eastAsia="宋体"/>
                <w:b/>
                <w:bCs/>
                <w:color w:val="auto"/>
                <w:sz w:val="21"/>
                <w:szCs w:val="21"/>
                <w:lang w:eastAsia="zh-CN"/>
              </w:rPr>
              <w:t xml:space="preserve">，</w:t>
            </w:r>
            <w:r>
              <w:rPr>
                <w:rFonts w:hint="eastAsia" w:ascii="Times New Roman" w:hAnsi="Times New Roman" w:eastAsia="宋体"/>
                <w:b/>
                <w:bCs/>
                <w:color w:val="auto"/>
                <w:sz w:val="21"/>
                <w:szCs w:val="21"/>
                <w:lang w:val="en-US" w:eastAsia="zh-CN"/>
              </w:rPr>
              <w:t xml:space="preserve">未按要求提供不得分</w:t>
            </w:r>
            <w:r>
              <w:rPr>
                <w:rFonts w:ascii="Times New Roman" w:hAnsi="Times New Roman" w:eastAsia="宋体"/>
                <w:b/>
                <w:bCs/>
                <w:color w:val="auto"/>
                <w:sz w:val="21"/>
                <w:szCs w:val="21"/>
                <w:lang w:val="en-US" w:eastAsia="zh-CN"/>
              </w:rPr>
              <w:t xml:space="preserve">）。</w:t>
            </w:r>
            <w:r/>
          </w:p>
          <w:p>
            <w:pPr>
              <w:keepLines w:val="0"/>
              <w:keepNext w:val="0"/>
              <w:pageBreakBefore w:val="0"/>
              <w:spacing w:line="360" w:lineRule="auto"/>
              <w:widowControl w:val="off"/>
              <w:rPr>
                <w:rFonts w:ascii="Times New Roman" w:hAnsi="Times New Roman" w:eastAsia="宋体"/>
                <w:color w:val="auto"/>
                <w:sz w:val="21"/>
                <w:szCs w:val="21"/>
              </w:rPr>
            </w:pPr>
            <w:r>
              <w:rPr>
                <w:rFonts w:hint="eastAsia" w:ascii="Times New Roman" w:hAnsi="Times New Roman"/>
                <w:color w:val="auto"/>
                <w:sz w:val="21"/>
                <w:szCs w:val="21"/>
                <w:lang w:val="en-US" w:eastAsia="zh-CN"/>
              </w:rPr>
              <w:t xml:space="preserve">2.</w:t>
            </w:r>
            <w:r>
              <w:rPr>
                <w:rFonts w:ascii="Times New Roman" w:hAnsi="Times New Roman" w:eastAsia="宋体"/>
                <w:color w:val="auto"/>
                <w:sz w:val="21"/>
                <w:szCs w:val="21"/>
                <w:lang w:val="en-US" w:eastAsia="zh-CN"/>
              </w:rPr>
              <w:t xml:space="preserve">售后服务方案（</w:t>
            </w:r>
            <w:r>
              <w:rPr>
                <w:rFonts w:hint="eastAsia" w:ascii="Times New Roman" w:hAnsi="Times New Roman"/>
                <w:color w:val="auto"/>
                <w:sz w:val="21"/>
                <w:szCs w:val="21"/>
                <w:lang w:val="en-US" w:eastAsia="zh-CN"/>
              </w:rPr>
              <w:t xml:space="preserve">5</w:t>
            </w:r>
            <w:r>
              <w:rPr>
                <w:rFonts w:ascii="Times New Roman" w:hAnsi="Times New Roman" w:eastAsia="宋体"/>
                <w:color w:val="auto"/>
                <w:sz w:val="21"/>
                <w:szCs w:val="21"/>
                <w:lang w:val="en-US" w:eastAsia="zh-CN"/>
              </w:rPr>
              <w:t xml:space="preserve">分）：方案重点突出、描述清晰完整、充分结合实际且针对性强，优于招标文件要求的得</w:t>
            </w:r>
            <w:r>
              <w:rPr>
                <w:rFonts w:hint="eastAsia" w:ascii="Times New Roman" w:hAnsi="Times New Roman"/>
                <w:color w:val="auto"/>
                <w:sz w:val="21"/>
                <w:szCs w:val="21"/>
                <w:lang w:val="en-US" w:eastAsia="zh-CN"/>
              </w:rPr>
              <w:t xml:space="preserve">5</w:t>
            </w:r>
            <w:r>
              <w:rPr>
                <w:rFonts w:ascii="Times New Roman" w:hAnsi="Times New Roman" w:eastAsia="宋体"/>
                <w:color w:val="auto"/>
                <w:sz w:val="21"/>
                <w:szCs w:val="21"/>
                <w:lang w:val="en-US" w:eastAsia="zh-CN"/>
              </w:rPr>
              <w:t xml:space="preserve">分；完全符合招标文件要求的得</w:t>
            </w:r>
            <w:r>
              <w:rPr>
                <w:rFonts w:hint="eastAsia" w:ascii="Times New Roman" w:hAnsi="Times New Roman"/>
                <w:color w:val="auto"/>
                <w:sz w:val="21"/>
                <w:szCs w:val="21"/>
                <w:lang w:val="en-US" w:eastAsia="zh-CN"/>
              </w:rPr>
              <w:t xml:space="preserve">3</w:t>
            </w:r>
            <w:r>
              <w:rPr>
                <w:rFonts w:ascii="Times New Roman" w:hAnsi="Times New Roman" w:eastAsia="宋体"/>
                <w:color w:val="auto"/>
                <w:sz w:val="21"/>
                <w:szCs w:val="21"/>
                <w:lang w:val="en-US" w:eastAsia="zh-CN"/>
              </w:rPr>
              <w:t xml:space="preserve">分；不符合招标文件要求的，不得分。</w:t>
            </w:r>
            <w:r/>
          </w:p>
        </w:tc>
      </w:tr>
      <w:tr>
        <w:trPr>
          <w:trHeight w:val="1290" w:hRule="exact"/>
        </w:trPr>
        <w:tc>
          <w:tcPr>
            <w:shd w:val="clear" w:color="auto" w:fill="auto"/>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 xml:space="preserve">质保期</w:t>
            </w:r>
            <w:r/>
          </w:p>
          <w:p>
            <w:pPr>
              <w:jc w:val="cente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ascii="Times New Roman" w:hAnsi="Times New Roman" w:eastAsia="宋体"/>
                <w:color w:val="auto"/>
                <w:sz w:val="21"/>
                <w:szCs w:val="21"/>
              </w:rPr>
              <w:t xml:space="preserve">（</w:t>
            </w:r>
            <w:r>
              <w:rPr>
                <w:rFonts w:hint="eastAsia" w:ascii="Times New Roman" w:hAnsi="Times New Roman" w:eastAsia="宋体"/>
                <w:color w:val="auto"/>
                <w:sz w:val="21"/>
                <w:szCs w:val="21"/>
                <w:lang w:val="en-US" w:eastAsia="zh-CN"/>
              </w:rPr>
              <w:t xml:space="preserve">2</w:t>
            </w:r>
            <w:r>
              <w:rPr>
                <w:rFonts w:ascii="Times New Roman" w:hAnsi="Times New Roman" w:eastAsia="宋体"/>
                <w:color w:val="auto"/>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183" w:type="pct"/>
            <w:vAlign w:val="center"/>
            <w:textDirection w:val="lrTb"/>
            <w:noWrap w:val="false"/>
          </w:tcPr>
          <w:p>
            <w:pPr>
              <w:keepLines w:val="0"/>
              <w:keepNext w:val="0"/>
              <w:pageBreakBefore w:val="0"/>
              <w:spacing w:line="360" w:lineRule="auto"/>
              <w:widowControl w:val="off"/>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rPr>
              <w:t xml:space="preserve">质保期</w:t>
            </w:r>
            <w:r>
              <w:rPr>
                <w:rFonts w:hint="eastAsia" w:ascii="Times New Roman" w:hAnsi="Times New Roman" w:eastAsia="宋体"/>
                <w:color w:val="auto"/>
                <w:sz w:val="21"/>
                <w:szCs w:val="21"/>
                <w:lang w:val="en-US" w:eastAsia="zh-CN"/>
              </w:rPr>
              <w:t xml:space="preserve">至少3</w:t>
            </w:r>
            <w:r>
              <w:rPr>
                <w:rFonts w:hint="eastAsia" w:ascii="Times New Roman" w:hAnsi="Times New Roman" w:eastAsia="宋体"/>
                <w:color w:val="auto"/>
                <w:sz w:val="21"/>
                <w:szCs w:val="21"/>
              </w:rPr>
              <w:t xml:space="preserve">年，在此基础上投标人承诺每延长一年得1分，最多得2分。</w:t>
            </w:r>
            <w:r>
              <w:rPr>
                <w:rFonts w:hint="eastAsia" w:ascii="Times New Roman" w:hAnsi="Times New Roman" w:eastAsia="宋体"/>
                <w:b/>
                <w:bCs/>
                <w:color w:val="auto"/>
                <w:sz w:val="21"/>
                <w:szCs w:val="21"/>
              </w:rPr>
              <w:t xml:space="preserve">（需提供承诺书</w:t>
            </w:r>
            <w:r>
              <w:rPr>
                <w:rFonts w:hint="eastAsia" w:ascii="Times New Roman" w:hAnsi="Times New Roman" w:eastAsia="宋体"/>
                <w:b/>
                <w:bCs/>
                <w:color w:val="auto"/>
                <w:sz w:val="21"/>
                <w:szCs w:val="21"/>
                <w:lang w:val="en-US" w:eastAsia="zh-CN"/>
              </w:rPr>
              <w:t xml:space="preserve">加盖投标人公章扫描上传</w:t>
            </w:r>
            <w:r>
              <w:rPr>
                <w:rFonts w:hint="eastAsia" w:ascii="Times New Roman" w:hAnsi="Times New Roman" w:eastAsia="宋体"/>
                <w:b/>
                <w:bCs/>
                <w:color w:val="auto"/>
                <w:sz w:val="21"/>
                <w:szCs w:val="21"/>
                <w:lang w:eastAsia="zh-CN"/>
              </w:rPr>
              <w:t xml:space="preserve">，</w:t>
            </w:r>
            <w:r>
              <w:rPr>
                <w:rFonts w:hint="eastAsia" w:ascii="Times New Roman" w:hAnsi="Times New Roman" w:eastAsia="宋体"/>
                <w:b/>
                <w:bCs/>
                <w:color w:val="auto"/>
                <w:sz w:val="21"/>
                <w:szCs w:val="21"/>
                <w:lang w:val="en-US" w:eastAsia="zh-CN"/>
              </w:rPr>
              <w:t xml:space="preserve">承诺书格式自拟</w:t>
            </w:r>
            <w:r>
              <w:rPr>
                <w:rFonts w:hint="eastAsia" w:ascii="Times New Roman" w:hAnsi="Times New Roman" w:eastAsia="宋体"/>
                <w:b/>
                <w:bCs/>
                <w:color w:val="auto"/>
                <w:sz w:val="21"/>
                <w:szCs w:val="21"/>
                <w:lang w:eastAsia="zh-CN"/>
              </w:rPr>
              <w:t xml:space="preserve">，</w:t>
            </w:r>
            <w:r>
              <w:rPr>
                <w:rFonts w:hint="eastAsia" w:ascii="Times New Roman" w:hAnsi="Times New Roman" w:eastAsia="宋体"/>
                <w:b/>
                <w:bCs/>
                <w:color w:val="auto"/>
                <w:sz w:val="21"/>
                <w:szCs w:val="21"/>
                <w:lang w:val="en-US" w:eastAsia="zh-CN"/>
              </w:rPr>
              <w:t xml:space="preserve">未按要求提供不得分</w:t>
            </w:r>
            <w:r>
              <w:rPr>
                <w:rFonts w:hint="eastAsia" w:ascii="Times New Roman" w:hAnsi="Times New Roman" w:eastAsia="宋体"/>
                <w:b/>
                <w:bCs/>
                <w:color w:val="auto"/>
                <w:sz w:val="21"/>
                <w:szCs w:val="21"/>
              </w:rPr>
              <w:t xml:space="preserve">）</w:t>
            </w:r>
            <w:r/>
          </w:p>
        </w:tc>
      </w:tr>
    </w:tbl>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响应)报价平均值X50%；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响应)报价X50%；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响应)报价&lt;采购项目最高限价X45%；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72" w:name="_Toc24650"/>
      <w:r/>
      <w:bookmarkStart w:id="73" w:name="_Toc3287"/>
      <w:r>
        <w:rPr>
          <w:rFonts w:hint="eastAsia" w:ascii="Times New Roman" w:hAnsi="Times New Roman" w:eastAsia="宋体"/>
          <w:color w:val="auto"/>
          <w:highlight w:val="none"/>
        </w:rPr>
        <w:t xml:space="preserve">第六章 投标文件格式</w:t>
      </w:r>
      <w:bookmarkEnd w:id="72"/>
      <w:r/>
      <w:bookmarkEnd w:id="73"/>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735"/>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720"/>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74" w:name="_Toc26156"/>
      <w:r/>
      <w:bookmarkStart w:id="75" w:name="_Toc20369"/>
      <w:r/>
      <w:bookmarkStart w:id="76" w:name="_Toc1107"/>
      <w:r/>
      <w:bookmarkStart w:id="77" w:name="_Toc5792"/>
      <w:r/>
      <w:bookmarkStart w:id="78" w:name="_Toc7268"/>
      <w:r>
        <w:rPr>
          <w:rFonts w:hint="eastAsia" w:ascii="Times New Roman" w:hAnsi="Times New Roman" w:eastAsia="宋体" w:cs="宋体"/>
          <w:b/>
          <w:bCs/>
          <w:color w:val="auto"/>
          <w:sz w:val="32"/>
          <w:highlight w:val="none"/>
        </w:rPr>
        <w:t xml:space="preserve">一、</w:t>
      </w:r>
      <w:bookmarkEnd w:id="74"/>
      <w:r/>
      <w:bookmarkEnd w:id="75"/>
      <w:r/>
      <w:bookmarkEnd w:id="76"/>
      <w:r/>
      <w:bookmarkEnd w:id="77"/>
      <w:r/>
      <w:bookmarkEnd w:id="78"/>
      <w:r>
        <w:rPr>
          <w:rFonts w:hint="eastAsia" w:ascii="Times New Roman" w:hAnsi="Times New Roman" w:eastAsia="宋体"/>
          <w:b/>
          <w:bCs/>
          <w:color w:val="auto"/>
          <w:sz w:val="32"/>
          <w:highlight w:val="none"/>
        </w:rPr>
        <w:t xml:space="preserve">资格审查响应对照表</w:t>
      </w:r>
      <w:r/>
    </w:p>
    <w:tbl>
      <w:tblPr>
        <w:tblStyle w:val="72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致：</w:t>
      </w:r>
      <w:r>
        <w:rPr>
          <w:rFonts w:hint="eastAsia" w:ascii="Times New Roman" w:hAnsi="Times New Roman" w:eastAsia="宋体" w:cs="宋体"/>
          <w:color w:val="auto"/>
          <w:sz w:val="21"/>
          <w:highlight w:val="none"/>
        </w:rPr>
        <w:t xml:space="preserve">江苏苏维工程管理有限公司</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76"/>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94"/>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法定代表人身份证复印件、被授权人身份证复印件</w:t>
      </w:r>
      <w:r/>
    </w:p>
    <w:p>
      <w:pPr>
        <w:jc w:val="center"/>
        <w:pageBreakBefore w:val="0"/>
        <w:spacing w:line="360" w:lineRule="auto"/>
        <w:rPr>
          <w:rFonts w:hint="eastAsia" w:ascii="Times New Roman" w:hAnsi="Times New Roman"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85"/>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90"/>
          <w:rFonts w:hint="eastAsia" w:ascii="Times New Roman" w:hAnsi="Times New Roman" w:eastAsia="宋体" w:cs="宋体"/>
          <w:color w:val="auto"/>
          <w:sz w:val="21"/>
          <w:szCs w:val="21"/>
          <w:highlight w:val="none"/>
        </w:rPr>
        <w:t xml:space="preserve">中小微企业划型标准如下：</w:t>
      </w:r>
      <w:r/>
    </w:p>
    <w:tbl>
      <w:tblPr>
        <w:tblStyle w:val="729"/>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5"/>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bl>
    <w:p>
      <w:pPr>
        <w:pStyle w:val="985"/>
        <w:ind w:firstLine="810"/>
        <w:pageBreakBefore w:val="0"/>
        <w:spacing w:line="360" w:lineRule="auto"/>
        <w:widowControl/>
        <w:rPr>
          <w:rStyle w:val="990"/>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79" w:name="_Toc20616"/>
      <w:r/>
      <w:bookmarkStart w:id="80" w:name="_Toc14959"/>
      <w:r/>
      <w:bookmarkStart w:id="81" w:name="_Toc16911"/>
      <w:r/>
      <w:bookmarkStart w:id="82" w:name="_Toc3074"/>
      <w:r/>
      <w:bookmarkStart w:id="83" w:name="_Toc9345"/>
      <w:r>
        <w:rPr>
          <w:rFonts w:hint="eastAsia" w:ascii="Times New Roman" w:hAnsi="Times New Roman" w:eastAsia="宋体" w:cs="宋体"/>
          <w:color w:val="auto"/>
          <w:sz w:val="32"/>
          <w:highlight w:val="none"/>
        </w:rPr>
        <w:t xml:space="preserve">二、符合性审查响应对照表</w:t>
      </w:r>
      <w:bookmarkEnd w:id="79"/>
      <w:r/>
      <w:bookmarkEnd w:id="80"/>
      <w:r/>
      <w:bookmarkEnd w:id="81"/>
      <w:r/>
      <w:bookmarkEnd w:id="82"/>
      <w:r/>
      <w:bookmarkEnd w:id="83"/>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84" w:name="_Toc23068"/>
      <w:r/>
      <w:bookmarkStart w:id="85" w:name="_Toc29406"/>
      <w:r/>
      <w:bookmarkStart w:id="86" w:name="_Toc6752"/>
      <w:r/>
      <w:bookmarkStart w:id="87" w:name="_Toc14100"/>
      <w:r/>
      <w:bookmarkStart w:id="88" w:name="_Toc23420"/>
      <w:r>
        <w:rPr>
          <w:rFonts w:hint="eastAsia" w:ascii="Times New Roman" w:hAnsi="Times New Roman" w:eastAsia="宋体" w:cs="宋体"/>
          <w:color w:val="auto"/>
          <w:sz w:val="32"/>
          <w:highlight w:val="none"/>
        </w:rPr>
        <w:t xml:space="preserve">三、非实质性响应对照表</w:t>
      </w:r>
      <w:bookmarkEnd w:id="84"/>
      <w:r/>
      <w:bookmarkEnd w:id="85"/>
      <w:r/>
      <w:bookmarkEnd w:id="86"/>
      <w:r/>
      <w:bookmarkEnd w:id="87"/>
      <w:r/>
      <w:bookmarkEnd w:id="88"/>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53"/>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3"/>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60"/>
          <w:rFonts w:hint="eastAsia" w:ascii="Times New Roman" w:hAnsi="Times New Roman" w:eastAsia="宋体" w:cs="方正魏碑_GBK"/>
          <w:i w:val="0"/>
          <w:color w:val="auto"/>
          <w:highlight w:val="none"/>
          <w:u w:val="single"/>
          <w:shd w:val="clear" w:color="auto" w:fill="ffffff"/>
        </w:rPr>
        <w:t xml:space="preserve">（产品名称1）</w:t>
      </w:r>
      <w:r>
        <w:rPr>
          <w:rStyle w:val="760"/>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60"/>
          <w:rFonts w:hint="eastAsia" w:ascii="Times New Roman" w:hAnsi="Times New Roman" w:eastAsia="宋体" w:cs="方正魏碑_GBK"/>
          <w:i w:val="0"/>
          <w:color w:val="auto"/>
          <w:highlight w:val="none"/>
          <w:u w:val="single"/>
          <w:shd w:val="clear" w:color="auto" w:fill="ffffff"/>
        </w:rPr>
        <w:t xml:space="preserve">（厂名）</w:t>
      </w:r>
      <w:r>
        <w:rPr>
          <w:rStyle w:val="760"/>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60"/>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60"/>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0"/>
          <w:rFonts w:hint="eastAsia" w:ascii="Times New Roman" w:hAnsi="Times New Roman" w:eastAsia="宋体" w:cs="方正魏碑_GBK"/>
          <w:i w:val="0"/>
          <w:color w:val="auto"/>
          <w:highlight w:val="none"/>
          <w:u w:val="single"/>
          <w:shd w:val="clear" w:color="auto" w:fill="ffffff"/>
        </w:rPr>
        <w:t xml:space="preserve">（规定</w:t>
      </w:r>
      <w:r>
        <w:rPr>
          <w:rStyle w:val="760"/>
          <w:rFonts w:ascii="Times New Roman" w:hAnsi="Times New Roman" w:eastAsia="宋体" w:cs="方正魏碑_GBK"/>
          <w:i w:val="0"/>
          <w:color w:val="auto"/>
          <w:highlight w:val="none"/>
          <w:u w:val="single"/>
          <w:shd w:val="clear" w:color="auto" w:fill="ffffff"/>
        </w:rPr>
        <w:t xml:space="preserve">比例</w:t>
      </w:r>
      <w:r>
        <w:rPr>
          <w:rStyle w:val="760"/>
          <w:rFonts w:hint="eastAsia" w:ascii="Times New Roman" w:hAnsi="Times New Roman" w:eastAsia="宋体" w:cs="方正魏碑_GBK"/>
          <w:i w:val="0"/>
          <w:color w:val="auto"/>
          <w:highlight w:val="none"/>
          <w:u w:val="single"/>
          <w:shd w:val="clear" w:color="auto" w:fill="ffffff"/>
        </w:rPr>
        <w:t xml:space="preserve">）</w:t>
      </w:r>
      <w:r>
        <w:rPr>
          <w:rStyle w:val="760"/>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60"/>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0"/>
          <w:rFonts w:hint="eastAsia" w:ascii="Times New Roman" w:hAnsi="Times New Roman" w:eastAsia="宋体" w:cs="方正魏碑_GBK"/>
          <w:i w:val="0"/>
          <w:color w:val="auto"/>
          <w:highlight w:val="none"/>
          <w:u w:val="single"/>
          <w:shd w:val="clear" w:color="auto" w:fill="ffffff"/>
        </w:rPr>
        <w:t xml:space="preserve">（关键</w:t>
      </w:r>
      <w:r>
        <w:rPr>
          <w:rStyle w:val="760"/>
          <w:rFonts w:ascii="Times New Roman" w:hAnsi="Times New Roman" w:eastAsia="宋体" w:cs="方正魏碑_GBK"/>
          <w:i w:val="0"/>
          <w:color w:val="auto"/>
          <w:highlight w:val="none"/>
          <w:u w:val="single"/>
          <w:shd w:val="clear" w:color="auto" w:fill="ffffff"/>
        </w:rPr>
        <w:t xml:space="preserve">组件</w:t>
      </w:r>
      <w:r>
        <w:rPr>
          <w:rStyle w:val="760"/>
          <w:rFonts w:hint="eastAsia" w:ascii="Times New Roman" w:hAnsi="Times New Roman" w:eastAsia="宋体" w:cs="方正魏碑_GBK"/>
          <w:i w:val="0"/>
          <w:color w:val="auto"/>
          <w:highlight w:val="none"/>
          <w:u w:val="single"/>
          <w:shd w:val="clear" w:color="auto" w:fill="ffffff"/>
        </w:rPr>
        <w:t xml:space="preserve">）</w:t>
      </w:r>
      <w:r>
        <w:rPr>
          <w:rStyle w:val="760"/>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60"/>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0"/>
          <w:rFonts w:hint="eastAsia" w:ascii="Times New Roman" w:hAnsi="Times New Roman" w:eastAsia="宋体" w:cs="方正魏碑_GBK"/>
          <w:i w:val="0"/>
          <w:color w:val="auto"/>
          <w:highlight w:val="none"/>
          <w:u w:val="single"/>
          <w:shd w:val="clear" w:color="auto" w:fill="ffffff"/>
        </w:rPr>
        <w:t xml:space="preserve">（关键工序）</w:t>
      </w:r>
      <w:r>
        <w:rPr>
          <w:rStyle w:val="760"/>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53"/>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60"/>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60"/>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60"/>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60"/>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0"/>
          <w:rFonts w:hint="eastAsia" w:ascii="Times New Roman" w:hAnsi="Times New Roman" w:eastAsia="宋体" w:cs="方正魏碑_GBK"/>
          <w:i w:val="0"/>
          <w:color w:val="auto"/>
          <w:highlight w:val="none"/>
          <w:u w:val="single"/>
          <w:shd w:val="clear" w:color="auto" w:fill="ffffff"/>
        </w:rPr>
        <w:t xml:space="preserve">（规定</w:t>
      </w:r>
      <w:r>
        <w:rPr>
          <w:rStyle w:val="760"/>
          <w:rFonts w:ascii="Times New Roman" w:hAnsi="Times New Roman" w:eastAsia="宋体" w:cs="方正魏碑_GBK"/>
          <w:i w:val="0"/>
          <w:color w:val="auto"/>
          <w:highlight w:val="none"/>
          <w:u w:val="single"/>
          <w:shd w:val="clear" w:color="auto" w:fill="ffffff"/>
        </w:rPr>
        <w:t xml:space="preserve">比例</w:t>
      </w:r>
      <w:r>
        <w:rPr>
          <w:rStyle w:val="760"/>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60"/>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60"/>
          <w:rFonts w:hint="eastAsia" w:ascii="Times New Roman" w:hAnsi="Times New Roman" w:eastAsia="宋体" w:cs="方正魏碑_GBK"/>
          <w:i w:val="0"/>
          <w:color w:val="auto"/>
          <w:highlight w:val="none"/>
          <w:u w:val="single"/>
          <w:shd w:val="clear" w:color="auto" w:fill="ffffff"/>
        </w:rPr>
        <w:t xml:space="preserve">（关键</w:t>
      </w:r>
      <w:r>
        <w:rPr>
          <w:rStyle w:val="760"/>
          <w:rFonts w:ascii="Times New Roman" w:hAnsi="Times New Roman" w:eastAsia="宋体" w:cs="方正魏碑_GBK"/>
          <w:i w:val="0"/>
          <w:color w:val="auto"/>
          <w:highlight w:val="none"/>
          <w:u w:val="single"/>
          <w:shd w:val="clear" w:color="auto" w:fill="ffffff"/>
        </w:rPr>
        <w:t xml:space="preserve">组件</w:t>
      </w:r>
      <w:r>
        <w:rPr>
          <w:rStyle w:val="760"/>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60"/>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0"/>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53"/>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53"/>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53"/>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53"/>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53"/>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53"/>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53"/>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53"/>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53"/>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53"/>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53"/>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53"/>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89" w:name="_Toc25382"/>
      <w:r/>
      <w:bookmarkStart w:id="90" w:name="_Toc19910"/>
      <w:r>
        <w:rPr>
          <w:rFonts w:hint="eastAsia" w:ascii="Times New Roman" w:hAnsi="Times New Roman" w:eastAsia="宋体" w:cs="宋体"/>
          <w:b/>
          <w:bCs/>
          <w:color w:val="auto"/>
          <w:sz w:val="32"/>
          <w:szCs w:val="44"/>
          <w:highlight w:val="none"/>
        </w:rPr>
        <w:t xml:space="preserve">四、开标一览表</w:t>
      </w:r>
      <w:bookmarkEnd w:id="89"/>
      <w:r/>
      <w:bookmarkEnd w:id="90"/>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7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75"/>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91" w:name="_Toc20323"/>
      <w:r/>
      <w:bookmarkStart w:id="92" w:name="_Toc17891"/>
      <w:r>
        <w:rPr>
          <w:rFonts w:hint="eastAsia" w:ascii="Times New Roman" w:hAnsi="Times New Roman" w:eastAsia="宋体" w:cs="宋体"/>
          <w:b/>
          <w:bCs/>
          <w:color w:val="auto"/>
          <w:sz w:val="32"/>
          <w:szCs w:val="44"/>
          <w:highlight w:val="none"/>
        </w:rPr>
        <w:t xml:space="preserve">五、</w:t>
      </w:r>
      <w:bookmarkEnd w:id="91"/>
      <w:r/>
      <w:bookmarkEnd w:id="92"/>
      <w:r>
        <w:rPr>
          <w:rFonts w:hint="eastAsia" w:ascii="Times New Roman" w:hAnsi="Times New Roman" w:eastAsia="宋体" w:cs="宋体"/>
          <w:b/>
          <w:bCs/>
          <w:color w:val="auto"/>
          <w:sz w:val="32"/>
          <w:szCs w:val="44"/>
          <w:highlight w:val="none"/>
        </w:rPr>
        <w:t xml:space="preserve">投标产品配置及分项报价表</w:t>
      </w:r>
      <w:r/>
    </w:p>
    <w:tbl>
      <w:tblPr>
        <w:tblStyle w:val="72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产品</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规格</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日</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numPr>
          <w:ilvl w:val="0"/>
          <w:numId w:val="4"/>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numPr>
          <w:ilvl w:val="0"/>
          <w:numId w:val="0"/>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3.投标人需认真填写本报价表，尤其注意规格型号的准确填写。</w:t>
      </w:r>
      <w:r/>
    </w:p>
    <w:p>
      <w:pPr>
        <w:pageBreakBefore w:val="0"/>
        <w:spacing w:line="360" w:lineRule="auto"/>
        <w:rPr>
          <w:rFonts w:hint="eastAsia" w:ascii="Times New Roman" w:hAnsi="Times New Roman" w:eastAsia="宋体" w:cs="方正魏碑_GBK"/>
          <w:color w:val="auto"/>
          <w:sz w:val="21"/>
          <w:szCs w:val="21"/>
          <w:highlight w:val="none"/>
        </w:rPr>
      </w:pPr>
      <w:r>
        <w:rPr>
          <w:rFonts w:hint="eastAsia" w:ascii="Times New Roman" w:hAnsi="Times New Roman" w:eastAsia="宋体"/>
          <w:color w:val="auto"/>
          <w:sz w:val="21"/>
          <w:szCs w:val="21"/>
          <w:highlight w:val="none"/>
        </w:rPr>
        <w:t xml:space="preserve">4.项目经办人可以根据项目实际需要对表格结构进行调整</w:t>
      </w:r>
      <w:r>
        <w:rPr>
          <w:rFonts w:hint="eastAsia" w:ascii="Times New Roman" w:hAnsi="Times New Roman" w:eastAsia="宋体" w:cs="方正魏碑_GBK"/>
          <w:color w:val="auto"/>
          <w:sz w:val="21"/>
          <w:szCs w:val="21"/>
          <w:highlight w:val="none"/>
        </w:rPr>
        <w:t xml:space="preserve">。</w:t>
      </w:r>
      <w:r/>
    </w:p>
    <w:p>
      <w:pPr>
        <w:pageBreakBefore w:val="0"/>
        <w:spacing w:line="360" w:lineRule="auto"/>
        <w:rPr>
          <w:rFonts w:hint="default" w:ascii="Times New Roman" w:hAnsi="Times New Roman" w:eastAsia="宋体" w:cs="方正魏碑_GBK"/>
          <w:color w:val="auto"/>
          <w:sz w:val="24"/>
          <w:szCs w:val="24"/>
          <w:highlight w:val="none"/>
          <w:lang w:val="en-US" w:eastAsia="zh-CN"/>
        </w:rPr>
      </w:pPr>
      <w:r>
        <w:rPr>
          <w:rFonts w:hint="eastAsia" w:ascii="Times New Roman" w:hAnsi="Times New Roman" w:eastAsia="宋体" w:cs="方正魏碑_GBK"/>
          <w:color w:val="auto"/>
          <w:sz w:val="21"/>
          <w:szCs w:val="21"/>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lang w:val="en-US" w:eastAsia="zh-CN"/>
        </w:rPr>
        <w:t xml:space="preserve">。</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br w:type="page" w:clear="all"/>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93" w:name="_Toc17996"/>
      <w:r/>
      <w:bookmarkStart w:id="94" w:name="_Toc9678"/>
      <w:r/>
      <w:bookmarkStart w:id="95" w:name="_Toc5967"/>
      <w:r/>
      <w:bookmarkStart w:id="96" w:name="_Toc32755"/>
      <w:r/>
      <w:bookmarkStart w:id="97" w:name="_Toc16517"/>
      <w:r>
        <w:rPr>
          <w:rFonts w:hint="eastAsia" w:ascii="Times New Roman" w:hAnsi="Times New Roman" w:eastAsia="宋体" w:cs="宋体"/>
          <w:color w:val="auto"/>
          <w:sz w:val="32"/>
          <w:highlight w:val="none"/>
        </w:rPr>
        <w:t xml:space="preserve">六、技术参数响应及偏离表</w:t>
      </w:r>
      <w:bookmarkEnd w:id="93"/>
      <w:r/>
      <w:bookmarkEnd w:id="94"/>
      <w:r/>
      <w:bookmarkEnd w:id="95"/>
      <w:r/>
      <w:bookmarkEnd w:id="96"/>
      <w:r/>
      <w:bookmarkEnd w:id="97"/>
      <w:r/>
      <w:r/>
    </w:p>
    <w:tbl>
      <w:tblPr>
        <w:tblStyle w:val="729"/>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815"/>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98" w:name="_Hlt26955054"/>
      <w:r/>
      <w:bookmarkEnd w:id="98"/>
      <w:r/>
      <w:bookmarkStart w:id="99" w:name="_Toc32154"/>
      <w:r/>
      <w:bookmarkStart w:id="100" w:name="_Toc16820"/>
      <w:r>
        <w:rPr>
          <w:rFonts w:hint="eastAsia" w:ascii="Times New Roman" w:hAnsi="Times New Roman" w:eastAsia="宋体" w:cs="宋体"/>
          <w:b/>
          <w:bCs/>
          <w:color w:val="auto"/>
          <w:sz w:val="32"/>
          <w:szCs w:val="44"/>
          <w:highlight w:val="none"/>
        </w:rPr>
        <w:t xml:space="preserve">七、商务条款响应及偏离表</w:t>
      </w:r>
      <w:bookmarkEnd w:id="99"/>
      <w:r/>
      <w:bookmarkEnd w:id="100"/>
      <w:r/>
      <w:r/>
    </w:p>
    <w:tbl>
      <w:tblPr>
        <w:tblStyle w:val="729"/>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01" w:name="_Hlt26955064"/>
            <w:r/>
            <w:bookmarkEnd w:id="101"/>
            <w:r/>
            <w:bookmarkStart w:id="102" w:name="_Hlt26671372"/>
            <w:r/>
            <w:bookmarkEnd w:id="102"/>
            <w:r/>
            <w:bookmarkStart w:id="103" w:name="_Hlt26955056"/>
            <w:r/>
            <w:bookmarkEnd w:id="103"/>
            <w:r/>
            <w:bookmarkStart w:id="104" w:name="_Hlt26580838"/>
            <w:r/>
            <w:bookmarkEnd w:id="104"/>
            <w:r/>
            <w:bookmarkStart w:id="105" w:name="_Hlt26671343"/>
            <w:r/>
            <w:bookmarkEnd w:id="105"/>
            <w:r/>
            <w:bookmarkStart w:id="106" w:name="_Hlt26609391"/>
            <w:r/>
            <w:bookmarkEnd w:id="106"/>
            <w:r/>
            <w:bookmarkStart w:id="107" w:name="_Hlt26782999"/>
            <w:r/>
            <w:bookmarkEnd w:id="107"/>
            <w:r/>
            <w:bookmarkStart w:id="108" w:name="_Hlt24879081"/>
            <w:r/>
            <w:bookmarkEnd w:id="108"/>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72"/>
        <w:ind w:firstLine="480"/>
        <w:pageBreakBefore w:val="0"/>
        <w:spacing w:line="360" w:lineRule="auto"/>
        <w:rPr>
          <w:rFonts w:hint="eastAsia" w:ascii="Times New Roman" w:hAnsi="Times New Roman" w:eastAsia="宋体" w:cs="宋体"/>
          <w:color w:val="auto"/>
          <w:sz w:val="24"/>
          <w:highlight w:val="none"/>
        </w:rPr>
      </w:pPr>
      <w:r/>
      <w:bookmarkStart w:id="109" w:name="_Hlt26955066"/>
      <w:r/>
      <w:bookmarkEnd w:id="109"/>
      <w:r/>
      <w:bookmarkStart w:id="110" w:name="_Hlt26671374"/>
      <w:r/>
      <w:bookmarkEnd w:id="110"/>
      <w:r/>
      <w:bookmarkStart w:id="111" w:name="_Hlt26609389"/>
      <w:r/>
      <w:bookmarkEnd w:id="111"/>
      <w:r/>
      <w:bookmarkStart w:id="112" w:name="_Toc462564146"/>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12"/>
      <w:r/>
      <w:bookmarkStart w:id="113" w:name="_格式2__法定代表人授权书"/>
      <w:r/>
      <w:bookmarkEnd w:id="113"/>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729"/>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JSZC-320000-SWGC-G2026-0076号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JSZC-320000-SWGC-G2026-0076号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9">
    <w:name w:val="Heading 1"/>
    <w:basedOn w:val="718"/>
    <w:next w:val="718"/>
    <w:link w:val="817"/>
    <w:uiPriority w:val="9"/>
    <w:qFormat/>
    <w:pPr>
      <w:jc w:val="center"/>
      <w:keepLines/>
      <w:keepNext/>
      <w:spacing w:line="360" w:lineRule="auto"/>
      <w:outlineLvl w:val="0"/>
    </w:pPr>
    <w:rPr>
      <w:rFonts w:ascii="Arial" w:hAnsi="Arial" w:cs="Arial"/>
      <w:b/>
      <w:sz w:val="30"/>
      <w:szCs w:val="40"/>
    </w:rPr>
  </w:style>
  <w:style w:type="paragraph" w:styleId="720">
    <w:name w:val="Heading 2"/>
    <w:basedOn w:val="718"/>
    <w:next w:val="718"/>
    <w:link w:val="81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19"/>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2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2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22"/>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823"/>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824"/>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825"/>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table of authorities"/>
    <w:basedOn w:val="718"/>
    <w:next w:val="718"/>
    <w:uiPriority w:val="0"/>
    <w:qFormat/>
    <w:pPr>
      <w:ind w:left="420"/>
    </w:pPr>
    <w:rPr>
      <w:rFonts w:ascii="Times New Roman" w:hAnsi="Times New Roman"/>
    </w:r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99"/>
    <w:semiHidden/>
    <w:unhideWhenUsed/>
    <w:qFormat/>
    <w:pPr>
      <w:jc w:val="left"/>
    </w:pPr>
  </w:style>
  <w:style w:type="paragraph" w:styleId="734">
    <w:name w:val="Body Text"/>
    <w:basedOn w:val="718"/>
    <w:uiPriority w:val="0"/>
    <w:qFormat/>
    <w:pPr>
      <w:spacing w:after="120"/>
    </w:pPr>
    <w:rPr>
      <w:szCs w:val="24"/>
    </w:rPr>
  </w:style>
  <w:style w:type="paragraph" w:styleId="735">
    <w:name w:val="Body Text Indent"/>
    <w:basedOn w:val="718"/>
    <w:next w:val="736"/>
    <w:uiPriority w:val="0"/>
    <w:qFormat/>
    <w:pPr>
      <w:ind w:left="420"/>
      <w:spacing w:after="120"/>
    </w:pPr>
    <w:rPr>
      <w:rFonts w:ascii="等线" w:hAnsi="等线" w:eastAsia="等线"/>
    </w:rPr>
  </w:style>
  <w:style w:type="paragraph" w:styleId="736">
    <w:name w:val="envelope return"/>
    <w:basedOn w:val="718"/>
    <w:uiPriority w:val="0"/>
    <w:qFormat/>
    <w:rPr>
      <w:rFonts w:ascii="Arial" w:hAnsi="Arial"/>
    </w:r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Plain Text"/>
    <w:basedOn w:val="718"/>
    <w:uiPriority w:val="0"/>
    <w:qFormat/>
    <w:rPr>
      <w:rFonts w:ascii="宋体" w:hAnsi="Courier New"/>
      <w:sz w:val="20"/>
      <w:szCs w:val="21"/>
    </w:rPr>
  </w:style>
  <w:style w:type="paragraph" w:styleId="740">
    <w:name w:val="toc 8"/>
    <w:basedOn w:val="718"/>
    <w:next w:val="718"/>
    <w:uiPriority w:val="39"/>
    <w:unhideWhenUsed/>
    <w:qFormat/>
    <w:pPr>
      <w:ind w:left="1984"/>
      <w:spacing w:after="57"/>
    </w:pPr>
  </w:style>
  <w:style w:type="paragraph" w:styleId="741">
    <w:name w:val="Body Text Indent 2"/>
    <w:basedOn w:val="718"/>
    <w:uiPriority w:val="0"/>
    <w:qFormat/>
    <w:pPr>
      <w:ind w:left="640"/>
      <w:spacing w:after="120" w:line="480" w:lineRule="auto"/>
    </w:pPr>
    <w:rPr>
      <w:rFonts w:eastAsia="仿宋_GB2312"/>
      <w:sz w:val="32"/>
      <w:szCs w:val="28"/>
    </w:rPr>
  </w:style>
  <w:style w:type="paragraph" w:styleId="742">
    <w:name w:val="endnote text"/>
    <w:basedOn w:val="718"/>
    <w:link w:val="963"/>
    <w:uiPriority w:val="99"/>
    <w:semiHidden/>
    <w:unhideWhenUsed/>
    <w:qFormat/>
    <w:rPr>
      <w:sz w:val="20"/>
    </w:rPr>
  </w:style>
  <w:style w:type="paragraph" w:styleId="743">
    <w:name w:val="Footer"/>
    <w:basedOn w:val="718"/>
    <w:link w:val="836"/>
    <w:uiPriority w:val="99"/>
    <w:unhideWhenUsed/>
    <w:qFormat/>
    <w:pPr>
      <w:tabs>
        <w:tab w:val="center" w:pos="7143" w:leader="none"/>
        <w:tab w:val="right" w:pos="14287" w:leader="none"/>
      </w:tabs>
    </w:pPr>
  </w:style>
  <w:style w:type="paragraph" w:styleId="744">
    <w:name w:val="Header"/>
    <w:basedOn w:val="718"/>
    <w:link w:val="834"/>
    <w:uiPriority w:val="99"/>
    <w:unhideWhenUsed/>
    <w:qFormat/>
    <w:pPr>
      <w:tabs>
        <w:tab w:val="center" w:pos="7143" w:leader="none"/>
        <w:tab w:val="right" w:pos="14287" w:leader="none"/>
      </w:tabs>
    </w:pPr>
  </w:style>
  <w:style w:type="paragraph" w:styleId="745">
    <w:name w:val="toc 1"/>
    <w:basedOn w:val="718"/>
    <w:next w:val="718"/>
    <w:uiPriority w:val="39"/>
    <w:unhideWhenUsed/>
    <w:qFormat/>
    <w:pPr>
      <w:spacing w:after="57"/>
    </w:pPr>
  </w:style>
  <w:style w:type="paragraph" w:styleId="746">
    <w:name w:val="toc 4"/>
    <w:basedOn w:val="718"/>
    <w:next w:val="718"/>
    <w:uiPriority w:val="39"/>
    <w:unhideWhenUsed/>
    <w:qFormat/>
    <w:pPr>
      <w:ind w:left="850"/>
      <w:spacing w:after="57"/>
    </w:pPr>
  </w:style>
  <w:style w:type="paragraph" w:styleId="747">
    <w:name w:val="Subtitle"/>
    <w:basedOn w:val="718"/>
    <w:next w:val="718"/>
    <w:link w:val="829"/>
    <w:uiPriority w:val="11"/>
    <w:qFormat/>
    <w:pPr>
      <w:spacing w:before="200" w:after="200"/>
    </w:pPr>
    <w:rPr>
      <w:sz w:val="24"/>
      <w:szCs w:val="24"/>
    </w:rPr>
  </w:style>
  <w:style w:type="paragraph" w:styleId="748">
    <w:name w:val="footnote text"/>
    <w:basedOn w:val="718"/>
    <w:link w:val="962"/>
    <w:uiPriority w:val="99"/>
    <w:semiHidden/>
    <w:unhideWhenUsed/>
    <w:qFormat/>
    <w:pPr>
      <w:spacing w:after="40"/>
    </w:pPr>
    <w:rPr>
      <w:sz w:val="18"/>
    </w:rPr>
  </w:style>
  <w:style w:type="paragraph" w:styleId="749">
    <w:name w:val="toc 6"/>
    <w:basedOn w:val="718"/>
    <w:next w:val="718"/>
    <w:uiPriority w:val="39"/>
    <w:unhideWhenUsed/>
    <w:qFormat/>
    <w:pPr>
      <w:ind w:left="1417"/>
      <w:spacing w:after="57"/>
    </w:pPr>
  </w:style>
  <w:style w:type="paragraph" w:styleId="750">
    <w:name w:val="table of figures"/>
    <w:basedOn w:val="718"/>
    <w:next w:val="718"/>
    <w:uiPriority w:val="99"/>
    <w:unhideWhenUsed/>
    <w:qFormat/>
  </w:style>
  <w:style w:type="paragraph" w:styleId="751">
    <w:name w:val="toc 2"/>
    <w:basedOn w:val="718"/>
    <w:next w:val="718"/>
    <w:uiPriority w:val="39"/>
    <w:unhideWhenUsed/>
    <w:qFormat/>
    <w:pPr>
      <w:ind w:left="283"/>
      <w:spacing w:after="57"/>
    </w:pPr>
  </w:style>
  <w:style w:type="paragraph" w:styleId="752">
    <w:name w:val="toc 9"/>
    <w:basedOn w:val="718"/>
    <w:next w:val="718"/>
    <w:uiPriority w:val="39"/>
    <w:unhideWhenUsed/>
    <w:qFormat/>
    <w:pPr>
      <w:ind w:left="2268"/>
      <w:spacing w:after="57"/>
    </w:pPr>
  </w:style>
  <w:style w:type="paragraph" w:styleId="753">
    <w:name w:val="Normal (Web)"/>
    <w:basedOn w:val="718"/>
    <w:uiPriority w:val="99"/>
    <w:semiHidden/>
    <w:unhideWhenUsed/>
    <w:qFormat/>
    <w:pPr>
      <w:jc w:val="left"/>
      <w:spacing w:beforeAutospacing="1" w:afterAutospacing="1"/>
    </w:pPr>
    <w:rPr>
      <w:sz w:val="24"/>
    </w:rPr>
  </w:style>
  <w:style w:type="paragraph" w:styleId="754">
    <w:name w:val="index 1"/>
    <w:basedOn w:val="718"/>
    <w:next w:val="718"/>
    <w:uiPriority w:val="0"/>
    <w:qFormat/>
    <w:rPr>
      <w:rFonts w:ascii="仿宋_GB2312" w:hAnsi="宋体" w:eastAsia="仿宋_GB2312" w:cs="宋体"/>
      <w:sz w:val="30"/>
      <w:szCs w:val="24"/>
      <w:lang w:val="zh-CN"/>
    </w:rPr>
  </w:style>
  <w:style w:type="paragraph" w:styleId="755">
    <w:name w:val="Title"/>
    <w:basedOn w:val="718"/>
    <w:next w:val="718"/>
    <w:link w:val="828"/>
    <w:uiPriority w:val="10"/>
    <w:qFormat/>
    <w:pPr>
      <w:contextualSpacing/>
      <w:spacing w:before="300" w:after="200"/>
    </w:pPr>
    <w:rPr>
      <w:sz w:val="48"/>
      <w:szCs w:val="48"/>
    </w:rPr>
  </w:style>
  <w:style w:type="paragraph" w:styleId="756">
    <w:name w:val="Body Text First Indent"/>
    <w:basedOn w:val="734"/>
    <w:uiPriority w:val="99"/>
    <w:unhideWhenUsed/>
    <w:qFormat/>
    <w:pPr>
      <w:ind w:firstLine="426"/>
      <w:spacing w:line="400" w:lineRule="atLeast"/>
    </w:pPr>
    <w:rPr>
      <w:sz w:val="24"/>
      <w:szCs w:val="20"/>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28"/>
    <w:uiPriority w:val="0"/>
    <w:qFormat/>
    <w:rPr>
      <w:b/>
    </w:rPr>
  </w:style>
  <w:style w:type="character" w:styleId="759">
    <w:name w:val="endnote reference"/>
    <w:uiPriority w:val="99"/>
    <w:semiHidden/>
    <w:unhideWhenUsed/>
    <w:qFormat/>
    <w:rPr>
      <w:vertAlign w:val="superscript"/>
    </w:rPr>
  </w:style>
  <w:style w:type="character" w:styleId="760">
    <w:name w:val="Emphasis"/>
    <w:basedOn w:val="728"/>
    <w:uiPriority w:val="2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正文（缩进）"/>
    <w:basedOn w:val="718"/>
    <w:next w:val="764"/>
    <w:uiPriority w:val="0"/>
    <w:qFormat/>
    <w:pPr>
      <w:ind w:firstLine="480"/>
      <w:spacing w:before="156" w:after="156"/>
    </w:pPr>
  </w:style>
  <w:style w:type="paragraph" w:styleId="764" w:customStyle="1">
    <w:name w:val="Char Char Char Char Char Char Char Char Char"/>
    <w:basedOn w:val="718"/>
    <w:next w:val="765"/>
    <w:uiPriority w:val="99"/>
    <w:qFormat/>
    <w:pPr>
      <w:ind w:left="360" w:firstLine="5784"/>
    </w:pPr>
  </w:style>
  <w:style w:type="paragraph" w:styleId="765" w:customStyle="1">
    <w:name w:val="正文文本 21"/>
    <w:basedOn w:val="718"/>
    <w:next w:val="766"/>
    <w:uiPriority w:val="0"/>
    <w:qFormat/>
    <w:pPr>
      <w:spacing w:after="120" w:line="480" w:lineRule="auto"/>
    </w:pPr>
  </w:style>
  <w:style w:type="paragraph" w:styleId="766" w:customStyle="1">
    <w:name w:val="默认段落字体 Para Char Char Char Char Char Char Char"/>
    <w:basedOn w:val="718"/>
    <w:next w:val="767"/>
    <w:uiPriority w:val="99"/>
    <w:qFormat/>
    <w:pPr>
      <w:ind w:firstLine="200"/>
    </w:pPr>
    <w:rPr>
      <w:rFonts w:cs="Arial"/>
    </w:rPr>
  </w:style>
  <w:style w:type="paragraph" w:styleId="767" w:customStyle="1">
    <w:name w:val="样式 首行缩进:  2 字符"/>
    <w:basedOn w:val="718"/>
    <w:next w:val="768"/>
    <w:uiPriority w:val="99"/>
    <w:qFormat/>
    <w:pPr>
      <w:ind w:left="480" w:firstLine="5856"/>
      <w:spacing w:line="360" w:lineRule="auto"/>
    </w:pPr>
  </w:style>
  <w:style w:type="paragraph" w:styleId="768" w:customStyle="1">
    <w:name w:val="样式 段后: 0.25 行"/>
    <w:basedOn w:val="718"/>
    <w:next w:val="769"/>
    <w:uiPriority w:val="99"/>
    <w:qFormat/>
    <w:pPr>
      <w:ind w:left="420" w:firstLine="5796"/>
      <w:spacing w:line="300" w:lineRule="auto"/>
      <w:widowControl/>
    </w:pPr>
  </w:style>
  <w:style w:type="paragraph" w:styleId="769" w:customStyle="1">
    <w:name w:val="正文 New New New New New New New New New New New New New New"/>
    <w:next w:val="752"/>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70" w:customStyle="1">
    <w:name w:val="正文1"/>
    <w:basedOn w:val="718"/>
    <w:next w:val="771"/>
    <w:uiPriority w:val="0"/>
    <w:qFormat/>
    <w:pPr>
      <w:jc w:val="left"/>
      <w:spacing w:line="360" w:lineRule="atLeast"/>
    </w:pPr>
    <w:rPr>
      <w:rFonts w:ascii="宋体" w:cs="Arial"/>
      <w:sz w:val="24"/>
      <w:szCs w:val="20"/>
    </w:rPr>
  </w:style>
  <w:style w:type="paragraph" w:styleId="771" w:customStyle="1">
    <w:name w:val="正文文本1"/>
    <w:basedOn w:val="770"/>
    <w:next w:val="772"/>
    <w:uiPriority w:val="0"/>
    <w:qFormat/>
    <w:pPr>
      <w:spacing w:after="120"/>
    </w:pPr>
    <w:rPr>
      <w:lang w:eastAsia="en-US"/>
    </w:rPr>
  </w:style>
  <w:style w:type="paragraph" w:styleId="772" w:customStyle="1">
    <w:name w:val="一级条标题"/>
    <w:basedOn w:val="773"/>
    <w:next w:val="7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4" w:customStyle="1">
    <w:name w:val="段"/>
    <w:basedOn w:val="770"/>
    <w:next w:val="718"/>
    <w:uiPriority w:val="0"/>
    <w:qFormat/>
    <w:pPr>
      <w:ind w:firstLine="200"/>
      <w:widowControl/>
    </w:pPr>
    <w:rPr>
      <w:sz w:val="20"/>
    </w:rPr>
  </w:style>
  <w:style w:type="paragraph" w:styleId="775" w:customStyle="1">
    <w:name w:val="远大正文"/>
    <w:basedOn w:val="718"/>
    <w:uiPriority w:val="0"/>
    <w:qFormat/>
    <w:pPr>
      <w:ind w:firstLine="0"/>
      <w:jc w:val="center"/>
      <w:spacing w:line="360" w:lineRule="auto"/>
    </w:pPr>
    <w:rPr>
      <w:rFonts w:ascii="宋体" w:hAnsi="宋体" w:cs="Times New Roman"/>
    </w:rPr>
  </w:style>
  <w:style w:type="paragraph" w:styleId="776"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777" w:customStyle="1">
    <w:name w:val="标题1"/>
    <w:basedOn w:val="718"/>
    <w:next w:val="718"/>
    <w:uiPriority w:val="0"/>
    <w:qFormat/>
    <w:pPr>
      <w:jc w:val="center"/>
      <w:spacing w:before="240" w:after="60" w:line="360" w:lineRule="auto"/>
      <w:outlineLvl w:val="0"/>
    </w:pPr>
    <w:rPr>
      <w:rFonts w:ascii="宋体" w:hAnsi="宋体"/>
      <w:b/>
      <w:bCs/>
      <w:sz w:val="32"/>
      <w:szCs w:val="32"/>
    </w:rPr>
  </w:style>
  <w:style w:type="character" w:styleId="778" w:customStyle="1">
    <w:name w:val="Heading 1 Char"/>
    <w:basedOn w:val="728"/>
    <w:uiPriority w:val="9"/>
    <w:qFormat/>
    <w:rPr>
      <w:rFonts w:ascii="Arial" w:hAnsi="Arial" w:eastAsia="Arial" w:cs="Arial"/>
      <w:sz w:val="40"/>
      <w:szCs w:val="40"/>
    </w:rPr>
  </w:style>
  <w:style w:type="character" w:styleId="779" w:customStyle="1">
    <w:name w:val="Heading 2 Char"/>
    <w:basedOn w:val="728"/>
    <w:uiPriority w:val="9"/>
    <w:qFormat/>
    <w:rPr>
      <w:rFonts w:ascii="Arial" w:hAnsi="Arial" w:eastAsia="Arial" w:cs="Arial"/>
      <w:sz w:val="34"/>
    </w:rPr>
  </w:style>
  <w:style w:type="character" w:styleId="780" w:customStyle="1">
    <w:name w:val="Heading 3 Char"/>
    <w:basedOn w:val="728"/>
    <w:uiPriority w:val="9"/>
    <w:qFormat/>
    <w:rPr>
      <w:rFonts w:ascii="Arial" w:hAnsi="Arial" w:eastAsia="Arial" w:cs="Arial"/>
      <w:sz w:val="30"/>
      <w:szCs w:val="30"/>
    </w:rPr>
  </w:style>
  <w:style w:type="character" w:styleId="781" w:customStyle="1">
    <w:name w:val="Heading 4 Char"/>
    <w:basedOn w:val="728"/>
    <w:uiPriority w:val="9"/>
    <w:qFormat/>
    <w:rPr>
      <w:rFonts w:ascii="Arial" w:hAnsi="Arial" w:eastAsia="Arial" w:cs="Arial"/>
      <w:b/>
      <w:bCs/>
      <w:sz w:val="26"/>
      <w:szCs w:val="26"/>
    </w:rPr>
  </w:style>
  <w:style w:type="character" w:styleId="782" w:customStyle="1">
    <w:name w:val="Heading 5 Char"/>
    <w:basedOn w:val="728"/>
    <w:uiPriority w:val="9"/>
    <w:qFormat/>
    <w:rPr>
      <w:rFonts w:ascii="Arial" w:hAnsi="Arial" w:eastAsia="Arial" w:cs="Arial"/>
      <w:b/>
      <w:bCs/>
      <w:sz w:val="24"/>
      <w:szCs w:val="24"/>
    </w:rPr>
  </w:style>
  <w:style w:type="character" w:styleId="783" w:customStyle="1">
    <w:name w:val="Heading 6 Char"/>
    <w:basedOn w:val="728"/>
    <w:uiPriority w:val="9"/>
    <w:qFormat/>
    <w:rPr>
      <w:rFonts w:ascii="Arial" w:hAnsi="Arial" w:eastAsia="Arial" w:cs="Arial"/>
      <w:b/>
      <w:bCs/>
      <w:sz w:val="22"/>
      <w:szCs w:val="22"/>
    </w:rPr>
  </w:style>
  <w:style w:type="character" w:styleId="784" w:customStyle="1">
    <w:name w:val="Heading 7 Char"/>
    <w:basedOn w:val="728"/>
    <w:uiPriority w:val="9"/>
    <w:qFormat/>
    <w:rPr>
      <w:rFonts w:ascii="Arial" w:hAnsi="Arial" w:eastAsia="Arial" w:cs="Arial"/>
      <w:b/>
      <w:bCs/>
      <w:i/>
      <w:iCs/>
      <w:sz w:val="22"/>
      <w:szCs w:val="22"/>
    </w:rPr>
  </w:style>
  <w:style w:type="character" w:styleId="785" w:customStyle="1">
    <w:name w:val="Heading 8 Char"/>
    <w:basedOn w:val="728"/>
    <w:uiPriority w:val="9"/>
    <w:qFormat/>
    <w:rPr>
      <w:rFonts w:ascii="Arial" w:hAnsi="Arial" w:eastAsia="Arial" w:cs="Arial"/>
      <w:i/>
      <w:iCs/>
      <w:sz w:val="22"/>
      <w:szCs w:val="22"/>
    </w:rPr>
  </w:style>
  <w:style w:type="character" w:styleId="786" w:customStyle="1">
    <w:name w:val="Heading 9 Char"/>
    <w:basedOn w:val="728"/>
    <w:uiPriority w:val="9"/>
    <w:qFormat/>
    <w:rPr>
      <w:rFonts w:ascii="Arial" w:hAnsi="Arial" w:eastAsia="Arial" w:cs="Arial"/>
      <w:i/>
      <w:iCs/>
      <w:sz w:val="21"/>
      <w:szCs w:val="21"/>
    </w:rPr>
  </w:style>
  <w:style w:type="character" w:styleId="787" w:customStyle="1">
    <w:name w:val="Title Char"/>
    <w:basedOn w:val="728"/>
    <w:uiPriority w:val="10"/>
    <w:qFormat/>
    <w:rPr>
      <w:sz w:val="48"/>
      <w:szCs w:val="48"/>
    </w:rPr>
  </w:style>
  <w:style w:type="character" w:styleId="788" w:customStyle="1">
    <w:name w:val="Subtitle Char"/>
    <w:basedOn w:val="728"/>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8"/>
    <w:uiPriority w:val="99"/>
    <w:qFormat/>
  </w:style>
  <w:style w:type="character" w:styleId="792" w:customStyle="1">
    <w:name w:val="Caption Char"/>
    <w:uiPriority w:val="99"/>
    <w:qFormat/>
  </w:style>
  <w:style w:type="table" w:styleId="793"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Default"/>
    <w:next w:val="718"/>
    <w:uiPriority w:val="0"/>
    <w:qFormat/>
    <w:pPr>
      <w:widowControl w:val="off"/>
    </w:pPr>
    <w:rPr>
      <w:rFonts w:hint="default" w:ascii="黑体" w:hAnsi="Times New Roman" w:eastAsia="黑体" w:cs="Times New Roman"/>
      <w:lang w:val="en-US" w:eastAsia="zh-CN" w:bidi="ar-SA"/>
    </w:rPr>
  </w:style>
  <w:style w:type="paragraph" w:styleId="816" w:customStyle="1">
    <w:name w:val="首行缩进"/>
    <w:basedOn w:val="718"/>
    <w:uiPriority w:val="0"/>
    <w:qFormat/>
    <w:pPr>
      <w:ind w:firstLine="420"/>
      <w:spacing w:line="360" w:lineRule="auto"/>
    </w:pPr>
  </w:style>
  <w:style w:type="character" w:styleId="817" w:customStyle="1">
    <w:name w:val="标题 1 字符"/>
    <w:link w:val="719"/>
    <w:uiPriority w:val="9"/>
    <w:qFormat/>
    <w:rPr>
      <w:rFonts w:ascii="Arial" w:hAnsi="Arial" w:eastAsia="宋体" w:cs="Arial"/>
      <w:b/>
      <w:sz w:val="30"/>
      <w:szCs w:val="40"/>
    </w:rPr>
  </w:style>
  <w:style w:type="character" w:styleId="818" w:customStyle="1">
    <w:name w:val="标题 2 字符"/>
    <w:link w:val="720"/>
    <w:uiPriority w:val="9"/>
    <w:qFormat/>
    <w:rPr>
      <w:rFonts w:ascii="Arial" w:hAnsi="Arial" w:eastAsia="Arial" w:cs="Arial"/>
      <w:sz w:val="34"/>
    </w:rPr>
  </w:style>
  <w:style w:type="character" w:styleId="819" w:customStyle="1">
    <w:name w:val="标题 3 字符"/>
    <w:link w:val="721"/>
    <w:uiPriority w:val="9"/>
    <w:qFormat/>
    <w:rPr>
      <w:rFonts w:ascii="Arial" w:hAnsi="Arial" w:eastAsia="Arial" w:cs="Arial"/>
      <w:sz w:val="30"/>
      <w:szCs w:val="30"/>
    </w:rPr>
  </w:style>
  <w:style w:type="character" w:styleId="820" w:customStyle="1">
    <w:name w:val="标题 4 字符"/>
    <w:link w:val="722"/>
    <w:uiPriority w:val="9"/>
    <w:qFormat/>
    <w:rPr>
      <w:rFonts w:ascii="Arial" w:hAnsi="Arial" w:eastAsia="Arial" w:cs="Arial"/>
      <w:b/>
      <w:bCs/>
      <w:sz w:val="26"/>
      <w:szCs w:val="26"/>
    </w:rPr>
  </w:style>
  <w:style w:type="character" w:styleId="821" w:customStyle="1">
    <w:name w:val="标题 5 字符"/>
    <w:link w:val="723"/>
    <w:uiPriority w:val="9"/>
    <w:qFormat/>
    <w:rPr>
      <w:rFonts w:ascii="Arial" w:hAnsi="Arial" w:eastAsia="Arial" w:cs="Arial"/>
      <w:b/>
      <w:bCs/>
      <w:sz w:val="24"/>
      <w:szCs w:val="24"/>
    </w:rPr>
  </w:style>
  <w:style w:type="character" w:styleId="822" w:customStyle="1">
    <w:name w:val="标题 6 字符"/>
    <w:link w:val="724"/>
    <w:uiPriority w:val="9"/>
    <w:qFormat/>
    <w:rPr>
      <w:rFonts w:ascii="Arial" w:hAnsi="Arial" w:eastAsia="Arial" w:cs="Arial"/>
      <w:b/>
      <w:bCs/>
      <w:sz w:val="22"/>
      <w:szCs w:val="22"/>
    </w:rPr>
  </w:style>
  <w:style w:type="character" w:styleId="823" w:customStyle="1">
    <w:name w:val="标题 7 字符"/>
    <w:link w:val="725"/>
    <w:uiPriority w:val="9"/>
    <w:qFormat/>
    <w:rPr>
      <w:rFonts w:ascii="Arial" w:hAnsi="Arial" w:eastAsia="Arial" w:cs="Arial"/>
      <w:b/>
      <w:bCs/>
      <w:i/>
      <w:iCs/>
      <w:sz w:val="22"/>
      <w:szCs w:val="22"/>
    </w:rPr>
  </w:style>
  <w:style w:type="character" w:styleId="824" w:customStyle="1">
    <w:name w:val="标题 8 字符"/>
    <w:link w:val="726"/>
    <w:uiPriority w:val="9"/>
    <w:qFormat/>
    <w:rPr>
      <w:rFonts w:ascii="Arial" w:hAnsi="Arial" w:eastAsia="Arial" w:cs="Arial"/>
      <w:i/>
      <w:iCs/>
      <w:sz w:val="22"/>
      <w:szCs w:val="22"/>
    </w:rPr>
  </w:style>
  <w:style w:type="character" w:styleId="825" w:customStyle="1">
    <w:name w:val="标题 9 字符"/>
    <w:link w:val="727"/>
    <w:uiPriority w:val="9"/>
    <w:qFormat/>
    <w:rPr>
      <w:rFonts w:ascii="Arial" w:hAnsi="Arial" w:eastAsia="Arial" w:cs="Arial"/>
      <w:i/>
      <w:iCs/>
      <w:sz w:val="21"/>
      <w:szCs w:val="21"/>
    </w:rPr>
  </w:style>
  <w:style w:type="paragraph" w:styleId="826">
    <w:name w:val="List Paragraph"/>
    <w:basedOn w:val="718"/>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link w:val="755"/>
    <w:uiPriority w:val="10"/>
    <w:qFormat/>
    <w:rPr>
      <w:sz w:val="48"/>
      <w:szCs w:val="48"/>
    </w:rPr>
  </w:style>
  <w:style w:type="character" w:styleId="829" w:customStyle="1">
    <w:name w:val="副标题 字符"/>
    <w:link w:val="747"/>
    <w:uiPriority w:val="11"/>
    <w:qFormat/>
    <w:rPr>
      <w:sz w:val="24"/>
      <w:szCs w:val="24"/>
    </w:rPr>
  </w:style>
  <w:style w:type="paragraph" w:styleId="830">
    <w:name w:val="Quote"/>
    <w:basedOn w:val="718"/>
    <w:next w:val="718"/>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18"/>
    <w:next w:val="718"/>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44"/>
    <w:uiPriority w:val="99"/>
    <w:qFormat/>
  </w:style>
  <w:style w:type="character" w:styleId="835" w:customStyle="1">
    <w:name w:val="Footer Char"/>
    <w:uiPriority w:val="99"/>
    <w:qFormat/>
  </w:style>
  <w:style w:type="character" w:styleId="836" w:customStyle="1">
    <w:name w:val="页脚 字符"/>
    <w:link w:val="743"/>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48"/>
    <w:uiPriority w:val="99"/>
    <w:qFormat/>
    <w:rPr>
      <w:sz w:val="18"/>
    </w:rPr>
  </w:style>
  <w:style w:type="character" w:styleId="963" w:customStyle="1">
    <w:name w:val="尾注文本 字符"/>
    <w:link w:val="742"/>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
    <w:basedOn w:val="718"/>
    <w:next w:val="718"/>
    <w:uiPriority w:val="9"/>
    <w:qFormat/>
    <w:pPr>
      <w:keepLines/>
      <w:keepNext/>
      <w:spacing w:before="340" w:after="330" w:line="578" w:lineRule="auto"/>
      <w:outlineLvl w:val="0"/>
    </w:pPr>
    <w:rPr>
      <w:b/>
      <w:bCs/>
      <w:sz w:val="44"/>
      <w:szCs w:val="44"/>
    </w:rPr>
  </w:style>
  <w:style w:type="paragraph" w:styleId="966" w:customStyle="1">
    <w:name w:val="标题 21"/>
    <w:basedOn w:val="718"/>
    <w:next w:val="7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18"/>
    <w:next w:val="718"/>
    <w:uiPriority w:val="0"/>
    <w:qFormat/>
    <w:pPr>
      <w:keepLines/>
      <w:keepNext/>
      <w:spacing w:before="260" w:after="260" w:line="416" w:lineRule="auto"/>
      <w:outlineLvl w:val="2"/>
    </w:pPr>
    <w:rPr>
      <w:b/>
      <w:bCs/>
      <w:sz w:val="32"/>
      <w:szCs w:val="32"/>
    </w:rPr>
  </w:style>
  <w:style w:type="character" w:styleId="968" w:customStyle="1">
    <w:name w:val="默认段落字体1"/>
    <w:uiPriority w:val="1"/>
    <w:unhideWhenUsed/>
    <w:qFormat/>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正文文本缩进1"/>
    <w:basedOn w:val="718"/>
    <w:next w:val="971"/>
    <w:uiPriority w:val="0"/>
    <w:qFormat/>
    <w:pPr>
      <w:ind w:left="420"/>
      <w:spacing w:after="120"/>
    </w:pPr>
    <w:rPr>
      <w:rFonts w:ascii="等线" w:hAnsi="等线" w:eastAsia="等线"/>
    </w:rPr>
  </w:style>
  <w:style w:type="paragraph" w:styleId="971" w:customStyle="1">
    <w:name w:val="寄信人地址1"/>
    <w:basedOn w:val="718"/>
    <w:uiPriority w:val="99"/>
    <w:unhideWhenUsed/>
    <w:qFormat/>
    <w:rPr>
      <w:rFonts w:ascii="Arial" w:hAnsi="Arial"/>
    </w:rPr>
  </w:style>
  <w:style w:type="paragraph" w:styleId="972" w:customStyle="1">
    <w:name w:val="正文缩进1"/>
    <w:basedOn w:val="718"/>
    <w:uiPriority w:val="0"/>
    <w:unhideWhenUsed/>
    <w:qFormat/>
    <w:pPr>
      <w:ind w:firstLine="420"/>
    </w:pPr>
  </w:style>
  <w:style w:type="paragraph" w:styleId="973" w:customStyle="1">
    <w:name w:val="批注文字1"/>
    <w:basedOn w:val="718"/>
    <w:link w:val="974"/>
    <w:uiPriority w:val="0"/>
    <w:qFormat/>
    <w:pPr>
      <w:jc w:val="left"/>
    </w:pPr>
  </w:style>
  <w:style w:type="character" w:styleId="974" w:customStyle="1">
    <w:name w:val="批注文字 Char"/>
    <w:link w:val="973"/>
    <w:uiPriority w:val="0"/>
    <w:qFormat/>
    <w:rPr>
      <w:rFonts w:ascii="Calibri" w:hAnsi="Calibri"/>
      <w:sz w:val="21"/>
      <w:szCs w:val="22"/>
    </w:rPr>
  </w:style>
  <w:style w:type="paragraph" w:styleId="975" w:customStyle="1">
    <w:name w:val="正文文本11"/>
    <w:basedOn w:val="718"/>
    <w:next w:val="777"/>
    <w:uiPriority w:val="0"/>
    <w:qFormat/>
    <w:rPr>
      <w:rFonts w:ascii="楷体_GB2312" w:hAnsi="Arial" w:eastAsia="楷体_GB2312"/>
      <w:sz w:val="28"/>
      <w:szCs w:val="28"/>
    </w:rPr>
  </w:style>
  <w:style w:type="paragraph" w:styleId="976" w:customStyle="1">
    <w:name w:val="纯文本1"/>
    <w:basedOn w:val="718"/>
    <w:uiPriority w:val="99"/>
    <w:qFormat/>
    <w:rPr>
      <w:rFonts w:ascii="宋体" w:hAnsi="Courier New"/>
      <w:sz w:val="20"/>
      <w:szCs w:val="21"/>
    </w:rPr>
  </w:style>
  <w:style w:type="paragraph" w:styleId="977" w:customStyle="1">
    <w:name w:val="正文文本缩进 21"/>
    <w:basedOn w:val="718"/>
    <w:uiPriority w:val="0"/>
    <w:qFormat/>
    <w:pPr>
      <w:ind w:left="640"/>
      <w:spacing w:after="120" w:line="480" w:lineRule="auto"/>
    </w:pPr>
    <w:rPr>
      <w:rFonts w:eastAsia="仿宋_GB2312"/>
      <w:sz w:val="32"/>
      <w:szCs w:val="28"/>
    </w:rPr>
  </w:style>
  <w:style w:type="paragraph" w:styleId="978" w:customStyle="1">
    <w:name w:val="批注框文本1"/>
    <w:basedOn w:val="718"/>
    <w:link w:val="979"/>
    <w:uiPriority w:val="0"/>
    <w:qFormat/>
    <w:rPr>
      <w:sz w:val="18"/>
      <w:szCs w:val="18"/>
    </w:rPr>
  </w:style>
  <w:style w:type="character" w:styleId="979" w:customStyle="1">
    <w:name w:val="批注框文本 Char"/>
    <w:link w:val="978"/>
    <w:uiPriority w:val="0"/>
    <w:qFormat/>
    <w:rPr>
      <w:sz w:val="18"/>
      <w:szCs w:val="18"/>
    </w:rPr>
  </w:style>
  <w:style w:type="paragraph" w:styleId="980" w:customStyle="1">
    <w:name w:val="页脚1"/>
    <w:basedOn w:val="718"/>
    <w:uiPriority w:val="99"/>
    <w:unhideWhenUsed/>
    <w:qFormat/>
    <w:pPr>
      <w:jc w:val="left"/>
      <w:tabs>
        <w:tab w:val="center" w:pos="4153" w:leader="none"/>
        <w:tab w:val="right" w:pos="8306" w:leader="none"/>
      </w:tabs>
    </w:pPr>
    <w:rPr>
      <w:sz w:val="18"/>
      <w:szCs w:val="18"/>
    </w:rPr>
  </w:style>
  <w:style w:type="paragraph" w:styleId="981" w:customStyle="1">
    <w:name w:val="页眉1"/>
    <w:basedOn w:val="7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
    <w:basedOn w:val="718"/>
    <w:next w:val="718"/>
    <w:uiPriority w:val="39"/>
    <w:unhideWhenUsed/>
    <w:qFormat/>
  </w:style>
  <w:style w:type="paragraph" w:styleId="983" w:customStyle="1">
    <w:name w:val="目录 21"/>
    <w:basedOn w:val="718"/>
    <w:next w:val="718"/>
    <w:uiPriority w:val="0"/>
    <w:qFormat/>
    <w:pPr>
      <w:ind w:left="420"/>
    </w:pPr>
  </w:style>
  <w:style w:type="paragraph" w:styleId="984" w:customStyle="1">
    <w:name w:val="信息标题1"/>
    <w:basedOn w:val="71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5" w:customStyle="1">
    <w:name w:val="普通(网站)1"/>
    <w:basedOn w:val="718"/>
    <w:uiPriority w:val="0"/>
    <w:qFormat/>
    <w:rPr>
      <w:rFonts w:ascii="Times New Roman" w:hAnsi="Times New Roman"/>
      <w:sz w:val="24"/>
    </w:rPr>
  </w:style>
  <w:style w:type="paragraph" w:styleId="986" w:customStyle="1">
    <w:name w:val="批注主题1"/>
    <w:basedOn w:val="973"/>
    <w:next w:val="973"/>
    <w:link w:val="987"/>
    <w:uiPriority w:val="0"/>
    <w:qFormat/>
    <w:rPr>
      <w:b/>
      <w:bCs/>
    </w:rPr>
  </w:style>
  <w:style w:type="character" w:styleId="987" w:customStyle="1">
    <w:name w:val="批注主题 Char"/>
    <w:link w:val="986"/>
    <w:uiPriority w:val="0"/>
    <w:qFormat/>
    <w:rPr>
      <w:rFonts w:ascii="Calibri" w:hAnsi="Calibri"/>
      <w:b/>
      <w:bCs/>
      <w:sz w:val="21"/>
      <w:szCs w:val="22"/>
    </w:rPr>
  </w:style>
  <w:style w:type="paragraph" w:styleId="988" w:customStyle="1">
    <w:name w:val="正文首行缩进 21"/>
    <w:basedOn w:val="970"/>
    <w:next w:val="718"/>
    <w:uiPriority w:val="0"/>
    <w:qFormat/>
    <w:pPr>
      <w:ind w:firstLine="420"/>
      <w:spacing w:before="100" w:beforeAutospacing="1"/>
    </w:pPr>
    <w:rPr>
      <w:rFonts w:ascii="Times New Roman" w:hAnsi="Times New Roman" w:eastAsia="宋体"/>
      <w:sz w:val="20"/>
      <w:szCs w:val="21"/>
    </w:rPr>
  </w:style>
  <w:style w:type="table" w:styleId="989" w:customStyle="1">
    <w:name w:val="网格型1"/>
    <w:basedOn w:val="969"/>
    <w:uiPriority w:val="0"/>
    <w:qFormat/>
    <w:pPr>
      <w:jc w:val="both"/>
      <w:widowControl w:val="off"/>
    </w:pPr>
    <w:tblPr>
      <w:tblCellMar>
        <w:left w:w="0" w:type="dxa"/>
        <w:top w:w="0" w:type="dxa"/>
        <w:right w:w="0" w:type="dxa"/>
        <w:bottom w:w="0" w:type="dxa"/>
      </w:tblCellMar>
    </w:tblPr>
  </w:style>
  <w:style w:type="character" w:styleId="990" w:customStyle="1">
    <w:name w:val="要点1"/>
    <w:uiPriority w:val="0"/>
    <w:qFormat/>
    <w:rPr>
      <w:b/>
    </w:rPr>
  </w:style>
  <w:style w:type="character" w:styleId="991" w:customStyle="1">
    <w:name w:val="强调1"/>
    <w:uiPriority w:val="0"/>
    <w:qFormat/>
    <w:rPr>
      <w:i/>
    </w:rPr>
  </w:style>
  <w:style w:type="character" w:styleId="992" w:customStyle="1">
    <w:name w:val="超链接1"/>
    <w:uiPriority w:val="0"/>
    <w:qFormat/>
    <w:rPr>
      <w:color w:val="0000ff"/>
      <w:u w:val="single"/>
    </w:rPr>
  </w:style>
  <w:style w:type="character" w:styleId="993" w:customStyle="1">
    <w:name w:val="批注引用1"/>
    <w:uiPriority w:val="0"/>
    <w:qFormat/>
    <w:rPr>
      <w:sz w:val="21"/>
      <w:szCs w:val="21"/>
    </w:rPr>
  </w:style>
  <w:style w:type="paragraph" w:styleId="994" w:customStyle="1">
    <w:name w:val="Char"/>
    <w:basedOn w:val="718"/>
    <w:uiPriority w:val="0"/>
    <w:qFormat/>
    <w:pPr>
      <w:ind w:firstLine="200"/>
      <w:tabs>
        <w:tab w:val="left" w:pos="360" w:leader="none"/>
      </w:tabs>
    </w:pPr>
    <w:rPr>
      <w:rFonts w:ascii="Times New Roman" w:hAnsi="Times New Roman"/>
      <w:sz w:val="28"/>
      <w:szCs w:val="30"/>
    </w:rPr>
  </w:style>
  <w:style w:type="paragraph" w:styleId="995" w:customStyle="1">
    <w:name w:val="Table Paragraph"/>
    <w:basedOn w:val="718"/>
    <w:uiPriority w:val="1"/>
    <w:qFormat/>
    <w:rPr>
      <w:rFonts w:ascii="Noto Sans CJK JP Regular" w:hAnsi="Noto Sans CJK JP Regular" w:eastAsia="Noto Sans CJK JP Regular" w:cs="Noto Sans CJK JP Regular"/>
    </w:rPr>
  </w:style>
  <w:style w:type="paragraph" w:styleId="996" w:customStyle="1">
    <w:name w:val="正文（1）"/>
    <w:basedOn w:val="718"/>
    <w:uiPriority w:val="0"/>
    <w:qFormat/>
    <w:pPr>
      <w:numPr>
        <w:ilvl w:val="0"/>
        <w:numId w:val="1"/>
      </w:numPr>
      <w:ind w:firstLine="200"/>
    </w:pPr>
    <w:rPr>
      <w:szCs w:val="24"/>
    </w:rPr>
  </w:style>
  <w:style w:type="paragraph" w:styleId="997" w:customStyle="1">
    <w:name w:val="朱-正文"/>
    <w:basedOn w:val="718"/>
    <w:uiPriority w:val="0"/>
    <w:qFormat/>
    <w:pPr>
      <w:ind w:firstLine="200"/>
    </w:pPr>
    <w:rPr>
      <w:rFonts w:ascii="Times New Roman"/>
      <w:color w:val="000000"/>
      <w:szCs w:val="24"/>
      <w:lang w:val="en-GB"/>
    </w:rPr>
  </w:style>
  <w:style w:type="paragraph" w:styleId="998" w:customStyle="1">
    <w:name w:val="GP正文(首行缩进)"/>
    <w:basedOn w:val="718"/>
    <w:uiPriority w:val="0"/>
    <w:qFormat/>
    <w:pPr>
      <w:ind w:firstLine="480"/>
      <w:jc w:val="left"/>
    </w:pPr>
    <w:rPr>
      <w:rFonts w:ascii="Times New Roman" w:hAnsi="宋体"/>
      <w:sz w:val="24"/>
      <w:szCs w:val="24"/>
    </w:rPr>
  </w:style>
  <w:style w:type="character" w:styleId="999" w:customStyle="1">
    <w:name w:val="font71"/>
    <w:basedOn w:val="728"/>
    <w:uiPriority w:val="0"/>
    <w:qFormat/>
    <w:rPr>
      <w:rFonts w:hint="eastAsia" w:ascii="宋体" w:hAnsi="宋体" w:eastAsia="宋体" w:cs="宋体"/>
      <w:color w:val="ff0000"/>
      <w:sz w:val="21"/>
      <w:szCs w:val="21"/>
      <w:u w:val="none"/>
    </w:rPr>
  </w:style>
  <w:style w:type="character" w:styleId="1000" w:customStyle="1">
    <w:name w:val="font41"/>
    <w:uiPriority w:val="0"/>
    <w:qFormat/>
    <w:rPr>
      <w:rFonts w:hint="eastAsia" w:ascii="宋体" w:hAnsi="宋体" w:eastAsia="宋体" w:cs="宋体"/>
      <w:color w:val="000000"/>
      <w:sz w:val="21"/>
      <w:szCs w:val="21"/>
      <w:u w:val="none"/>
    </w:rPr>
  </w:style>
  <w:style w:type="paragraph" w:styleId="1001" w:customStyle="1">
    <w:name w:val="列出段落"/>
    <w:basedOn w:val="718"/>
    <w:uiPriority w:val="0"/>
    <w:qFormat/>
    <w:pPr>
      <w:ind w:firstLine="420"/>
    </w:pPr>
  </w:style>
  <w:style w:type="paragraph" w:styleId="1002" w:customStyle="1">
    <w:name w:val="列出段落2"/>
    <w:basedOn w:val="718"/>
    <w:uiPriority w:val="34"/>
    <w:qFormat/>
    <w:pPr>
      <w:ind w:firstLine="420"/>
    </w:pPr>
    <w:rPr>
      <w:rFonts w:ascii="宋体"/>
      <w:color w:val="404040"/>
    </w:rPr>
  </w:style>
  <w:style w:type="paragraph" w:styleId="1003" w:customStyle="1">
    <w:name w:val="列表段落1"/>
    <w:basedOn w:val="718"/>
    <w:uiPriority w:val="0"/>
    <w:qFormat/>
    <w:pPr>
      <w:ind w:firstLine="200"/>
    </w:pPr>
    <w:rPr>
      <w:rFonts w:cs="宋体"/>
    </w:rPr>
  </w:style>
  <w:style w:type="character" w:styleId="1004" w:customStyle="1">
    <w:name w:val="font51"/>
    <w:uiPriority w:val="0"/>
    <w:qFormat/>
    <w:rPr>
      <w:rFonts w:hint="eastAsia" w:ascii="宋体" w:hAnsi="宋体" w:eastAsia="宋体" w:cs="宋体"/>
      <w:color w:val="000000"/>
      <w:sz w:val="24"/>
      <w:szCs w:val="24"/>
      <w:u w:val="none"/>
      <w:vertAlign w:val="subscript"/>
    </w:rPr>
  </w:style>
  <w:style w:type="character" w:styleId="1005" w:customStyle="1">
    <w:name w:val="font61"/>
    <w:basedOn w:val="728"/>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81"/>
    <w:uiPriority w:val="0"/>
    <w:qFormat/>
    <w:rPr>
      <w:rFonts w:ascii="微软雅黑" w:hAnsi="微软雅黑" w:eastAsia="微软雅黑" w:cs="微软雅黑"/>
      <w:color w:val="000000"/>
      <w:sz w:val="24"/>
      <w:szCs w:val="24"/>
      <w:u w:val="none"/>
    </w:rPr>
  </w:style>
  <w:style w:type="character" w:styleId="1008" w:customStyle="1">
    <w:name w:val="font91"/>
    <w:basedOn w:val="728"/>
    <w:uiPriority w:val="0"/>
    <w:qFormat/>
    <w:rPr>
      <w:rFonts w:ascii="Segoe UI Symbol" w:hAnsi="Segoe UI Symbol" w:eastAsia="Segoe UI Symbol" w:cs="Segoe UI Symbol"/>
      <w:color w:val="000000"/>
      <w:sz w:val="24"/>
      <w:szCs w:val="24"/>
      <w:u w:val="none"/>
    </w:rPr>
  </w:style>
  <w:style w:type="character" w:styleId="1009" w:customStyle="1">
    <w:name w:val="font101"/>
    <w:uiPriority w:val="0"/>
    <w:qFormat/>
    <w:rPr>
      <w:rFonts w:ascii="Calibri" w:hAnsi="Calibri" w:cs="Calibri"/>
      <w:color w:val="000000"/>
      <w:sz w:val="24"/>
      <w:szCs w:val="24"/>
      <w:u w:val="none"/>
    </w:rPr>
  </w:style>
  <w:style w:type="paragraph" w:styleId="1010"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1" w:customStyle="1">
    <w:name w:val="TableEmphasis"/>
    <w:basedOn w:val="718"/>
    <w:uiPriority w:val="0"/>
    <w:qFormat/>
    <w:rPr>
      <w:rFonts w:ascii="Times New Roman" w:hAnsi="Times New Roman" w:eastAsia="Times New Roman"/>
      <w:b/>
      <w:bCs/>
      <w:color w:val="3333ff"/>
      <w:sz w:val="16"/>
      <w:szCs w:val="18"/>
    </w:rPr>
  </w:style>
  <w:style w:type="paragraph" w:styleId="1012" w:customStyle="1">
    <w:name w:val="修订1"/>
    <w:uiPriority w:val="99"/>
    <w:unhideWhenUsed/>
    <w:qFormat/>
    <w:rPr>
      <w:rFonts w:hint="default" w:ascii="Calibri" w:hAnsi="Calibri" w:eastAsia="宋体" w:cs="Times New Roman"/>
      <w:sz w:val="21"/>
      <w:szCs w:val="22"/>
      <w:lang w:val="en-US" w:eastAsia="zh-CN" w:bidi="ar-SA"/>
    </w:rPr>
  </w:style>
  <w:style w:type="paragraph" w:styleId="1013" w:customStyle="1">
    <w:name w:val="修订2"/>
    <w:uiPriority w:val="99"/>
    <w:semiHidden/>
    <w:qFormat/>
    <w:rPr>
      <w:rFonts w:hint="default" w:ascii="Calibri" w:hAnsi="Calibri" w:eastAsia="宋体" w:cs="Times New Roman"/>
      <w:sz w:val="21"/>
      <w:szCs w:val="22"/>
      <w:lang w:val="en-US" w:eastAsia="zh-CN" w:bidi="ar-SA"/>
    </w:rPr>
  </w:style>
  <w:style w:type="character" w:styleId="1014" w:customStyle="1">
    <w:name w:val="font11"/>
    <w:uiPriority w:val="0"/>
    <w:qFormat/>
    <w:rPr>
      <w:rFonts w:hint="eastAsia" w:ascii="宋体" w:hAnsi="宋体" w:eastAsia="宋体" w:cs="宋体"/>
      <w:color w:val="000000"/>
      <w:sz w:val="24"/>
      <w:szCs w:val="24"/>
      <w:u w:val="none"/>
    </w:rPr>
  </w:style>
  <w:style w:type="character" w:styleId="1015" w:customStyle="1">
    <w:name w:val="font21"/>
    <w:uiPriority w:val="0"/>
    <w:qFormat/>
    <w:rPr>
      <w:rFonts w:ascii="Segoe UI Symbol" w:hAnsi="Segoe UI Symbol" w:eastAsia="Segoe UI Symbol" w:cs="Segoe UI Symbol"/>
      <w:color w:val="000000"/>
      <w:sz w:val="24"/>
      <w:szCs w:val="24"/>
      <w:u w:val="none"/>
    </w:rPr>
  </w:style>
  <w:style w:type="character" w:styleId="1016" w:customStyle="1">
    <w:name w:val="NormalCharacter1"/>
    <w:uiPriority w:val="0"/>
    <w:semiHidden/>
    <w:qFormat/>
  </w:style>
  <w:style w:type="character" w:styleId="1017" w:customStyle="1">
    <w:name w:val="font31"/>
    <w:uiPriority w:val="0"/>
    <w:qFormat/>
    <w:rPr>
      <w:rFonts w:hint="eastAsia" w:ascii="宋体" w:hAnsi="宋体" w:eastAsia="宋体" w:cs="宋体"/>
      <w:color w:val="000000"/>
      <w:sz w:val="21"/>
      <w:szCs w:val="21"/>
      <w:u w:val="none"/>
    </w:rPr>
  </w:style>
  <w:style w:type="paragraph" w:styleId="1018" w:customStyle="1">
    <w:name w:val="无间隔1"/>
    <w:uiPriority w:val="1"/>
    <w:qFormat/>
    <w:rPr>
      <w:rFonts w:hint="default" w:ascii="Times New Roman" w:hAnsi="Times New Roman" w:eastAsia="宋体" w:cs="Times New Roman"/>
      <w:lang w:val="en-US" w:eastAsia="zh-CN" w:bidi="ar-SA"/>
    </w:rPr>
  </w:style>
  <w:style w:type="paragraph" w:styleId="1019" w:customStyle="1">
    <w:name w:val="索引 41"/>
    <w:basedOn w:val="718"/>
    <w:next w:val="718"/>
    <w:uiPriority w:val="99"/>
    <w:unhideWhenUsed/>
    <w:qFormat/>
    <w:pPr>
      <w:ind w:left="600"/>
    </w:pPr>
    <w:rPr>
      <w:rFonts w:ascii="Verdana" w:hAnsi="Verdana" w:eastAsia="微软雅黑"/>
      <w:szCs w:val="20"/>
    </w:rPr>
  </w:style>
  <w:style w:type="paragraph" w:styleId="1020" w:customStyle="1">
    <w:name w:val="样式 宋体 加粗 居中"/>
    <w:basedOn w:val="718"/>
    <w:uiPriority w:val="0"/>
    <w:qFormat/>
    <w:pPr>
      <w:jc w:val="center"/>
    </w:pPr>
    <w:rPr>
      <w:rFonts w:ascii="宋体" w:hAnsi="宋体" w:cs="宋体"/>
      <w:b/>
      <w:bCs/>
      <w:sz w:val="32"/>
      <w:szCs w:val="20"/>
    </w:rPr>
  </w:style>
  <w:style w:type="character" w:styleId="1021" w:customStyle="1">
    <w:name w:val="font151"/>
    <w:basedOn w:val="728"/>
    <w:uiPriority w:val="0"/>
    <w:qFormat/>
    <w:rPr>
      <w:rFonts w:hint="eastAsia" w:ascii="宋体" w:hAnsi="宋体" w:eastAsia="宋体" w:cs="宋体"/>
      <w:color w:val="000000"/>
      <w:sz w:val="24"/>
      <w:szCs w:val="24"/>
      <w:u w:val="none"/>
    </w:rPr>
  </w:style>
  <w:style w:type="character" w:styleId="1022" w:customStyle="1">
    <w:name w:val="font161"/>
    <w:basedOn w:val="728"/>
    <w:uiPriority w:val="0"/>
    <w:qFormat/>
    <w:rPr>
      <w:rFonts w:hint="eastAsia" w:ascii="宋体" w:hAnsi="宋体" w:eastAsia="宋体" w:cs="宋体"/>
      <w:color w:val="000000"/>
      <w:sz w:val="24"/>
      <w:szCs w:val="24"/>
      <w:u w:val="none"/>
    </w:rPr>
  </w:style>
  <w:style w:type="character" w:styleId="1023" w:customStyle="1">
    <w:name w:val="font171"/>
    <w:basedOn w:val="728"/>
    <w:uiPriority w:val="0"/>
    <w:qFormat/>
    <w:rPr>
      <w:rFonts w:hint="eastAsia" w:ascii="宋体" w:hAnsi="宋体" w:eastAsia="宋体" w:cs="宋体"/>
      <w:color w:val="000000"/>
      <w:sz w:val="24"/>
      <w:szCs w:val="24"/>
      <w:u w:val="none"/>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李韦林</cp:lastModifiedBy>
  <cp:revision>19</cp:revision>
  <dcterms:created xsi:type="dcterms:W3CDTF">2024-08-07T07:47:00Z</dcterms:created>
  <dcterms:modified xsi:type="dcterms:W3CDTF">2026-06-03T06:15:54Z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2049C8D15E904B0D902D033602A0DBF9_13</vt:lpwstr>
  </property>
  <property fmtid="{D5CDD505-2E9C-101B-9397-08002B2CF9AE}" pid="4" name="KSOTemplateDocerSaveRecord">
    <vt:lpwstr>eyJoZGlkIjoiMDYwN2NkZDAzMTBkNTllNGY2YWY0NzczNWEwMjM1OWIiLCJ1c2VySWQiOiIzMDc2NjU2NDYifQ==</vt:lpwstr>
  </property>
</Properties>
</file>