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spacing w:before="120" w:beforeAutospacing="0" w:after="120" w:afterAutospacing="0" w:line="360" w:lineRule="auto"/>
        <w:rPr>
          <w:color w:val="auto"/>
          <w:highlight w:val="none"/>
        </w:rPr>
      </w:pPr>
      <w:r>
        <w:rPr>
          <w:color w:val="auto"/>
          <w:highlight w:val="none"/>
        </w:rPr>
        <w:t xml:space="preserve"> </w:t>
      </w:r>
      <w:r/>
    </w:p>
    <w:p>
      <w:pPr>
        <w:pStyle w:val="65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51"/>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51"/>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1"/>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1"/>
        <w:spacing w:before="120" w:beforeAutospacing="0" w:after="120" w:afterAutospacing="0" w:line="360" w:lineRule="auto"/>
        <w:rPr>
          <w:rFonts w:hint="eastAsia" w:eastAsia="宋体"/>
          <w:color w:val="auto"/>
          <w:highlight w:val="none"/>
          <w:lang w:eastAsia="zh-CN"/>
        </w:rPr>
      </w:pPr>
      <w:r/>
      <w:bookmarkStart w:id="0" w:name="OLE_LINK5"/>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2026年度盐城经济技术开发区城市桥涵定期检测服务项目</w:t>
      </w:r>
      <w:bookmarkEnd w:id="0"/>
      <w:r/>
    </w:p>
    <w:p>
      <w:pPr>
        <w:pStyle w:val="651"/>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 xml:space="preserve">项目编号：JSZC-320991-ZCGL-G2026-0004</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spacing w:beforeAutospacing="0" w:afterAutospacing="0" w:line="360" w:lineRule="auto"/>
        <w:rPr>
          <w:color w:val="auto"/>
          <w:highlight w:val="none"/>
        </w:rPr>
      </w:pPr>
      <w:r>
        <w:rPr>
          <w:color w:val="auto"/>
          <w:highlight w:val="none"/>
        </w:rPr>
        <w:t xml:space="preserve"> </w:t>
      </w:r>
      <w:r/>
    </w:p>
    <w:p>
      <w:pPr>
        <w:pStyle w:val="651"/>
        <w:jc w:val="both"/>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51"/>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盐城经济技术开发区住房保障和建设局</w:t>
      </w:r>
      <w:r/>
    </w:p>
    <w:p>
      <w:pPr>
        <w:pStyle w:val="651"/>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5</w:t>
      </w:r>
      <w:r>
        <w:rPr>
          <w:rFonts w:ascii="Arial" w:hAnsi="Arial" w:cs="Arial"/>
          <w:b/>
          <w:color w:val="auto"/>
          <w:sz w:val="32"/>
          <w:szCs w:val="32"/>
          <w:highlight w:val="none"/>
        </w:rPr>
        <w:t xml:space="preserve">月</w:t>
      </w:r>
      <w:r/>
    </w:p>
    <w:p>
      <w:pPr>
        <w:pStyle w:val="651"/>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51"/>
        <w:jc w:val="center"/>
        <w:spacing w:before="120" w:beforeAutospacing="0" w:after="120" w:afterAutospacing="0" w:line="360" w:lineRule="auto"/>
        <w:rPr>
          <w:color w:val="auto"/>
          <w:highlight w:val="none"/>
        </w:rPr>
      </w:pPr>
      <w:r>
        <w:rPr>
          <w:color w:val="auto"/>
          <w:highlight w:val="none"/>
        </w:rPr>
        <w:t xml:space="preserve"> </w:t>
      </w:r>
      <w:r/>
    </w:p>
    <w:p>
      <w:pPr>
        <w:pStyle w:val="651"/>
        <w:jc w:val="center"/>
        <w:spacing w:beforeAutospacing="0" w:afterAutospacing="0" w:line="480" w:lineRule="auto"/>
        <w:rPr>
          <w:color w:val="auto"/>
          <w:highlight w:val="none"/>
        </w:rPr>
      </w:pPr>
      <w:r/>
      <w:bookmarkStart w:id="1" w:name="_Toc20823272"/>
      <w:r/>
      <w:bookmarkStart w:id="2" w:name="_Toc479757206"/>
      <w:r/>
      <w:bookmarkStart w:id="3" w:name="_Toc120614210"/>
      <w:r/>
      <w:bookmarkStart w:id="4" w:name="_Toc513029200"/>
      <w:r/>
      <w:bookmarkStart w:id="5" w:name="_Toc16938516"/>
      <w:r/>
      <w:bookmarkStart w:id="6" w:name="_Toc523127445"/>
      <w:r>
        <w:rPr>
          <w:rFonts w:ascii="黑体" w:hAnsi="宋体" w:eastAsia="黑体" w:cs="黑体"/>
          <w:b/>
          <w:color w:val="auto"/>
          <w:sz w:val="44"/>
          <w:szCs w:val="44"/>
          <w:highlight w:val="none"/>
        </w:rPr>
        <w:t xml:space="preserve">总  目  录</w:t>
      </w:r>
      <w:bookmarkEnd w:id="1"/>
      <w:r/>
      <w:bookmarkEnd w:id="2"/>
      <w:r/>
      <w:bookmarkEnd w:id="3"/>
      <w:r/>
      <w:bookmarkEnd w:id="4"/>
      <w:r/>
      <w:bookmarkEnd w:id="5"/>
      <w:r/>
      <w:bookmarkEnd w:id="6"/>
      <w:r/>
      <w:r/>
    </w:p>
    <w:p>
      <w:pPr>
        <w:pStyle w:val="651"/>
        <w:jc w:val="both"/>
        <w:spacing w:beforeAutospacing="0" w:afterAutospacing="0" w:line="480" w:lineRule="auto"/>
        <w:rPr>
          <w:color w:val="auto"/>
          <w:highlight w:val="none"/>
        </w:rPr>
      </w:pPr>
      <w:r>
        <w:rPr>
          <w:color w:val="auto"/>
          <w:highlight w:val="none"/>
        </w:rPr>
        <w:t xml:space="preserve"> </w:t>
      </w:r>
      <w:r/>
    </w:p>
    <w:p>
      <w:pPr>
        <w:pStyle w:val="65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65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651"/>
        <w:ind w:left="2160" w:hanging="1440"/>
        <w:jc w:val="both"/>
        <w:spacing w:beforeAutospacing="0" w:afterAutospacing="0" w:line="480" w:lineRule="auto"/>
        <w:tabs>
          <w:tab w:val="left" w:pos="1441" w:leader="none"/>
        </w:tabs>
        <w:rPr>
          <w:rFonts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18</w:t>
      </w:r>
      <w:r/>
    </w:p>
    <w:p>
      <w:pPr>
        <w:pStyle w:val="651"/>
        <w:ind w:left="2160" w:hanging="1440"/>
        <w:jc w:val="both"/>
        <w:spacing w:beforeAutospacing="0" w:afterAutospacing="0" w:line="480" w:lineRule="auto"/>
        <w:tabs>
          <w:tab w:val="left" w:pos="1441" w:leader="none"/>
        </w:tabs>
        <w:rPr>
          <w:rFonts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24</w:t>
      </w:r>
      <w:r/>
    </w:p>
    <w:p>
      <w:pPr>
        <w:pStyle w:val="651"/>
        <w:ind w:left="2160" w:hanging="1440"/>
        <w:jc w:val="both"/>
        <w:spacing w:beforeAutospacing="0" w:afterAutospacing="0" w:line="480" w:lineRule="auto"/>
        <w:tabs>
          <w:tab w:val="left" w:pos="1441" w:leader="none"/>
        </w:tabs>
        <w:rPr>
          <w:rFonts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39</w:t>
      </w:r>
      <w:r/>
    </w:p>
    <w:p>
      <w:pPr>
        <w:pStyle w:val="651"/>
        <w:ind w:left="2160" w:hanging="1440"/>
        <w:jc w:val="both"/>
        <w:spacing w:beforeAutospacing="0" w:afterAutospacing="0" w:line="480" w:lineRule="auto"/>
        <w:tabs>
          <w:tab w:val="left" w:pos="1441" w:leader="none"/>
        </w:tabs>
        <w:rPr>
          <w:rFonts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43</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rPr>
          <w:color w:val="auto"/>
          <w:highlight w:val="none"/>
        </w:rPr>
      </w:r>
    </w:p>
    <w:p>
      <w:pPr>
        <w:pStyle w:val="651"/>
        <w:jc w:val="center"/>
        <w:spacing w:beforeAutospacing="0" w:afterAutospacing="0"/>
        <w:rPr>
          <w:color w:val="auto"/>
          <w:highlight w:val="none"/>
        </w:rPr>
      </w:pPr>
      <w:r>
        <w:rPr>
          <w:color w:val="auto"/>
          <w:highlight w:val="none"/>
        </w:rPr>
      </w: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rPr>
          <w:color w:val="auto"/>
          <w:highlight w:val="none"/>
        </w:rPr>
      </w:r>
      <w:r/>
    </w:p>
    <w:p>
      <w:pPr>
        <w:pStyle w:val="651"/>
        <w:ind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51"/>
        <w:ind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2026年度盐城经济技术开发区城市桥涵定期检测服务项目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small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bookmarkStart w:id="7" w:name="OLE_LINK23"/>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 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bookmarkEnd w:id="7"/>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651"/>
        <w:ind w:firstLine="498"/>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8" w:name="_Toc28359079"/>
      <w:r/>
      <w:bookmarkStart w:id="9" w:name="_Toc35393621"/>
      <w:r/>
      <w:bookmarkStart w:id="10" w:name="_Toc38985263"/>
      <w:r/>
      <w:bookmarkStart w:id="11" w:name="_Hlk24379207"/>
      <w:r/>
      <w:bookmarkStart w:id="12" w:name="_Toc28359002"/>
      <w:r/>
      <w:bookmarkStart w:id="13" w:name="_Toc35393790"/>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1.项目编号：JSZC-320991-ZCGL-G2026-0004</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2.项目名称：</w:t>
      </w:r>
      <w:r>
        <w:rPr>
          <w:rFonts w:hint="eastAsia" w:ascii="宋体" w:hAnsi="宋体" w:eastAsia="宋体" w:cs="宋体"/>
          <w:color w:val="auto"/>
          <w:sz w:val="24"/>
          <w:szCs w:val="24"/>
          <w:highlight w:val="none"/>
          <w:u w:val="none"/>
          <w:lang w:eastAsia="zh-CN"/>
        </w:rPr>
        <w:t xml:space="preserve">2026年度盐城经济技术开发区城市桥涵定期检测服务项目</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i w:val="0"/>
          <w:iCs w:val="0"/>
          <w:caps w:val="0"/>
          <w:smallCaps w:val="0"/>
          <w:color w:val="auto"/>
          <w:spacing w:val="0"/>
          <w:sz w:val="24"/>
          <w:szCs w:val="24"/>
          <w:highlight w:val="none"/>
          <w:u w:val="none"/>
          <w:shd w:val="clear" w:color="auto" w:fill="ffffff"/>
          <w:lang w:val="en-US" w:eastAsia="zh-CN"/>
        </w:rPr>
        <w:t xml:space="preserve">3.</w:t>
      </w:r>
      <w:r>
        <w:rPr>
          <w:rFonts w:hint="eastAsia" w:ascii="宋体" w:hAnsi="宋体" w:eastAsia="宋体" w:cs="宋体"/>
          <w:i w:val="0"/>
          <w:iCs w:val="0"/>
          <w:caps w:val="0"/>
          <w:smallCaps w:val="0"/>
          <w:color w:val="auto"/>
          <w:spacing w:val="0"/>
          <w:sz w:val="24"/>
          <w:szCs w:val="24"/>
          <w:highlight w:val="none"/>
          <w:u w:val="none"/>
          <w:shd w:val="clear" w:color="auto" w:fill="ffffff"/>
        </w:rPr>
        <w:t xml:space="preserve">采购方式：</w:t>
      </w:r>
      <w:r>
        <w:rPr>
          <w:rFonts w:hint="eastAsia" w:ascii="宋体" w:hAnsi="宋体" w:eastAsia="宋体" w:cs="宋体"/>
          <w:i w:val="0"/>
          <w:iCs w:val="0"/>
          <w:caps w:val="0"/>
          <w:smallCaps w:val="0"/>
          <w:color w:val="auto"/>
          <w:spacing w:val="0"/>
          <w:sz w:val="24"/>
          <w:szCs w:val="24"/>
          <w:highlight w:val="none"/>
          <w:u w:val="none"/>
          <w:shd w:val="clear" w:color="auto" w:fill="ffffff"/>
          <w:lang w:val="en-US" w:eastAsia="zh-CN"/>
        </w:rPr>
        <w:t xml:space="preserve">公开招标</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.预算金额：</w:t>
      </w:r>
      <w:r>
        <w:rPr>
          <w:rFonts w:hint="eastAsia" w:ascii="宋体" w:hAnsi="宋体" w:eastAsia="宋体" w:cs="宋体"/>
          <w:color w:val="auto"/>
          <w:sz w:val="24"/>
          <w:szCs w:val="24"/>
          <w:highlight w:val="none"/>
          <w:u w:val="none"/>
          <w:lang w:val="en-US" w:eastAsia="zh-CN"/>
        </w:rPr>
        <w:t xml:space="preserve">100</w:t>
      </w:r>
      <w:r>
        <w:rPr>
          <w:rFonts w:hint="eastAsia" w:ascii="宋体" w:hAnsi="宋体" w:eastAsia="宋体" w:cs="宋体"/>
          <w:color w:val="auto"/>
          <w:sz w:val="24"/>
          <w:szCs w:val="24"/>
          <w:highlight w:val="none"/>
          <w:u w:val="none"/>
        </w:rPr>
        <w:t xml:space="preserve">万元。</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rPr>
        <w:t xml:space="preserve">最高限价：</w:t>
      </w:r>
      <w:r>
        <w:rPr>
          <w:rFonts w:hint="eastAsia" w:ascii="宋体" w:hAnsi="宋体" w:eastAsia="宋体" w:cs="宋体"/>
          <w:color w:val="auto"/>
          <w:sz w:val="24"/>
          <w:szCs w:val="24"/>
          <w:highlight w:val="none"/>
          <w:u w:val="none"/>
          <w:lang w:val="en-US" w:eastAsia="zh-CN"/>
        </w:rPr>
        <w:t xml:space="preserve">100</w:t>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shd w:val="clear" w:color="auto" w:fill="ffffff"/>
        </w:rPr>
        <w:t xml:space="preserve">投标报价高于最高限价的，采购人将不予接受，视为无效标书。</w:t>
      </w:r>
      <w:r/>
    </w:p>
    <w:p>
      <w:pPr>
        <w:ind w:firstLine="480"/>
        <w:spacing w:line="38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shd w:val="clear" w:color="auto" w:fill="ffffff"/>
          <w:lang w:val="en-US" w:eastAsia="zh-CN" w:bidi="ar-SA"/>
        </w:rPr>
        <w:t xml:space="preserve">6.采购需求：拟对盐城经济技术开发区约</w:t>
      </w:r>
      <w:r>
        <w:rPr>
          <w:rFonts w:ascii="宋体" w:hAnsi="宋体" w:eastAsia="宋体" w:cs="宋体"/>
          <w:color w:val="auto"/>
          <w:sz w:val="24"/>
          <w:szCs w:val="24"/>
          <w:highlight w:val="none"/>
          <w:u w:val="none"/>
          <w:shd w:val="clear" w:color="auto" w:fill="ffffff"/>
          <w:lang w:val="en-US" w:eastAsia="zh-CN" w:bidi="ar-SA"/>
        </w:rPr>
        <w:t xml:space="preserve">22</w:t>
      </w:r>
      <w:r>
        <w:rPr>
          <w:rFonts w:hint="eastAsia" w:ascii="宋体" w:hAnsi="宋体" w:eastAsia="宋体" w:cs="宋体"/>
          <w:color w:val="auto"/>
          <w:sz w:val="24"/>
          <w:szCs w:val="24"/>
          <w:highlight w:val="none"/>
          <w:u w:val="none"/>
          <w:shd w:val="clear" w:color="auto" w:fill="ffffff"/>
          <w:lang w:val="en-US" w:eastAsia="zh-CN" w:bidi="ar-SA"/>
        </w:rPr>
        <w:t xml:space="preserve">2座城市桥涵进行检测，包括常规检测和结构检测,</w:t>
      </w:r>
      <w:r>
        <w:rPr>
          <w:rFonts w:ascii="宋体" w:hAnsi="宋体" w:eastAsia="宋体" w:cs="宋体"/>
          <w:color w:val="auto"/>
          <w:sz w:val="24"/>
          <w:szCs w:val="24"/>
          <w:highlight w:val="none"/>
          <w:u w:val="none"/>
          <w:shd w:val="clear" w:color="auto" w:fill="ffffff"/>
          <w:lang w:val="en-US" w:eastAsia="zh-CN" w:bidi="ar-SA"/>
        </w:rPr>
        <w:t xml:space="preserve">具体内容以招标文件《采购需求》为准。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ascii="宋体" w:hAnsi="宋体" w:eastAsia="宋体" w:cs="宋体"/>
          <w:color w:val="auto"/>
          <w:sz w:val="24"/>
          <w:szCs w:val="24"/>
          <w:highlight w:val="none"/>
          <w:u w:val="single"/>
          <w:shd w:val="clear" w:color="auto" w:fill="ffffff"/>
          <w:lang w:val="en-US" w:eastAsia="zh-CN"/>
        </w:rPr>
        <w:t xml:space="preserve">120</w:t>
      </w:r>
      <w:r>
        <w:rPr>
          <w:rFonts w:hint="eastAsia" w:ascii="宋体" w:hAnsi="宋体" w:eastAsia="宋体" w:cs="宋体"/>
          <w:color w:val="auto"/>
          <w:sz w:val="24"/>
          <w:szCs w:val="24"/>
          <w:highlight w:val="none"/>
          <w:shd w:val="clear" w:color="auto" w:fill="ffffff"/>
        </w:rPr>
        <w:t xml:space="preserve">日历天</w:t>
      </w:r>
      <w:r>
        <w:rPr>
          <w:rFonts w:hint="eastAsia" w:ascii="宋体" w:hAnsi="宋体" w:eastAsia="宋体" w:cs="宋体"/>
          <w:color w:val="auto"/>
          <w:sz w:val="24"/>
          <w:szCs w:val="24"/>
          <w:highlight w:val="none"/>
          <w:shd w:val="clear" w:color="auto" w:fill="ffffff"/>
          <w:lang w:eastAsia="zh-CN"/>
        </w:rPr>
        <w:t xml:space="preserve">。</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651"/>
        <w:ind w:firstLine="498"/>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4" w:name="_Toc28359003"/>
      <w:r/>
      <w:bookmarkStart w:id="15" w:name="_Toc28359080"/>
      <w:r/>
      <w:bookmarkStart w:id="16" w:name="_Toc38985264"/>
      <w:r/>
      <w:bookmarkStart w:id="17" w:name="_Toc35393622"/>
      <w:r/>
      <w:bookmarkStart w:id="18" w:name="_Toc35393791"/>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51"/>
        <w:numPr>
          <w:ilvl w:val="0"/>
          <w:numId w:val="2"/>
        </w:numPr>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落实政府采购政策需满足的资格要求：本项目专门面向中小</w:t>
      </w:r>
      <w:r>
        <w:rPr>
          <w:rFonts w:hint="eastAsia" w:ascii="宋体" w:hAnsi="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企业采购（监狱企业、残疾人福利性单位视同小微企业）</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highlight w:val="none"/>
        </w:rPr>
        <w:t xml:space="preserve">不接受大型企业参与本项目投标</w:t>
      </w:r>
      <w:r>
        <w:rPr>
          <w:rFonts w:hint="eastAsia" w:ascii="宋体" w:hAnsi="宋体" w:eastAsia="宋体" w:cs="宋体"/>
          <w:color w:val="auto"/>
          <w:sz w:val="24"/>
          <w:szCs w:val="24"/>
          <w:highlight w:val="none"/>
        </w:rPr>
        <w:t xml:space="preserve">；采购标的的所属行业为其他未列明行业，投标人需按照采购文件的要求提供相应的《中小企业声明函》。企业标准请参照《关于印发中小企业划型标准规定的通知》（工信部联企业[2011]300号）文件规定自行填写。</w:t>
      </w:r>
      <w:r/>
    </w:p>
    <w:p>
      <w:pPr>
        <w:pStyle w:val="651"/>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651"/>
        <w:ind w:firstLine="480"/>
        <w:jc w:val="both"/>
        <w:pageBreakBefore w:val="0"/>
        <w:spacing w:beforeAutospacing="0" w:afterAutospacing="0"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w:t>
      </w:r>
      <w:r>
        <w:rPr>
          <w:rFonts w:ascii="宋体" w:hAnsi="宋体" w:eastAsia="宋体" w:cs="宋体"/>
          <w:color w:val="auto"/>
          <w:sz w:val="24"/>
          <w:szCs w:val="24"/>
          <w:highlight w:val="none"/>
          <w:lang w:val="en-US" w:eastAsia="zh-CN" w:bidi="ar-SA"/>
        </w:rPr>
        <w:t xml:space="preserve">投标人为独立法人，具有省级及以上建设行政主管部门颁发且在有效期内的工程质量检测资质证书，资质核准项目包含主体结构现场检测、桥梁结构检测；同时具备省级及以上市场监督管理部门核发且在有效期内的《检验检测机构资质认定证书》（CMA），证书附表认证参数完整覆盖本项目城市桥梁常规及结构全部检测内容。投标时须提供相关资质证书原件扫描件。</w:t>
      </w:r>
      <w:r/>
    </w:p>
    <w:p>
      <w:pPr>
        <w:pStyle w:val="651"/>
        <w:ind w:firstLine="480"/>
        <w:jc w:val="both"/>
        <w:pageBreakBefore w:val="0"/>
        <w:spacing w:beforeAutospacing="0" w:afterAutospacing="0"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3.2项目负责人须具备建设工程或交通工程相关专业中级及以上职称，从事桥梁结构检测相关工作满3年及以上</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投标人须提供能证明其“从事桥梁结构检测相关工作满3年”的证明材料</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w:t>
      </w:r>
      <w:r/>
    </w:p>
    <w:p>
      <w:pPr>
        <w:pStyle w:val="651"/>
        <w:ind w:firstLine="480"/>
        <w:jc w:val="both"/>
        <w:pageBreakBefore w:val="0"/>
        <w:spacing w:beforeAutospacing="0" w:afterAutospacing="0" w:line="40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3.3</w:t>
      </w:r>
      <w:r>
        <w:rPr>
          <w:rFonts w:ascii="宋体" w:hAnsi="宋体" w:eastAsia="宋体" w:cs="宋体"/>
          <w:color w:val="auto"/>
          <w:sz w:val="24"/>
          <w:szCs w:val="24"/>
          <w:highlight w:val="none"/>
          <w:lang w:val="en-US" w:eastAsia="zh-CN" w:bidi="ar-SA"/>
        </w:rPr>
        <w:t xml:space="preserve">本项目所有拟派岗位人员（含项目负责人、现场检测、数据复核、报告编制、审核批准等从业人员）均须为投标人本单位正式在岗职工，</w:t>
      </w:r>
      <w:r>
        <w:rPr>
          <w:rFonts w:hint="eastAsia" w:ascii="宋体" w:hAnsi="宋体" w:cs="宋体"/>
          <w:color w:val="auto"/>
          <w:sz w:val="24"/>
          <w:szCs w:val="24"/>
          <w:highlight w:val="none"/>
          <w:lang w:val="en-US" w:eastAsia="zh-CN" w:bidi="ar-SA"/>
        </w:rPr>
        <w:t xml:space="preserve">须提供</w:t>
      </w:r>
      <w:r>
        <w:rPr>
          <w:rFonts w:hint="eastAsia" w:ascii="宋体" w:hAnsi="宋体" w:eastAsia="宋体" w:cs="宋体"/>
          <w:color w:val="auto"/>
          <w:sz w:val="24"/>
          <w:szCs w:val="24"/>
          <w:highlight w:val="none"/>
          <w:lang w:val="en-US" w:eastAsia="zh-CN" w:bidi="ar-SA"/>
        </w:rPr>
        <w:t xml:space="preserve">从2026年2月开始至投标截止之日当月至少1个月在本单位缴纳的社保证明扫描件并加盖单位公章</w:t>
      </w:r>
      <w:r>
        <w:rPr>
          <w:rFonts w:ascii="宋体" w:hAnsi="宋体" w:eastAsia="宋体" w:cs="宋体"/>
          <w:color w:val="auto"/>
          <w:sz w:val="24"/>
          <w:szCs w:val="24"/>
          <w:highlight w:val="none"/>
          <w:lang w:val="en-US" w:eastAsia="zh-CN" w:bidi="ar-SA"/>
        </w:rPr>
        <w:t xml:space="preserve">；前述所有拟派岗位人员均须持有建设工程质量检测（桥梁检测）资格证书或培训考试合格证书；投标时须提供参与本项目拟派人员一览表、各人员资格证书及对应社保证明材料。</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投标人中标后跨区域开展检测业务，须严格按照江苏省建设工程质量检测相关管理规定及地方工程建设标准要求，及时到业务所在地建设主管部门办理异地检测备案手续，自觉接受属地行业主管部门监督管理。</w:t>
      </w:r>
      <w:r/>
    </w:p>
    <w:p>
      <w:pPr>
        <w:pStyle w:val="651"/>
        <w:ind w:firstLine="498"/>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bookmarkStart w:id="19" w:name="_Toc28359005"/>
      <w:r/>
      <w:bookmarkStart w:id="20" w:name="_Toc38985266"/>
      <w:r/>
      <w:bookmarkStart w:id="21" w:name="_Toc28359082"/>
      <w:r/>
      <w:bookmarkStart w:id="22" w:name="_Toc35393793"/>
      <w:r/>
      <w:bookmarkStart w:id="23"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9"/>
      <w:r/>
      <w:bookmarkEnd w:id="20"/>
      <w:r/>
      <w:bookmarkEnd w:id="21"/>
      <w:r/>
      <w:bookmarkEnd w:id="22"/>
      <w:r/>
      <w:bookmarkEnd w:id="23"/>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51"/>
        <w:ind w:firstLine="498"/>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22</w:t>
      </w:r>
      <w:r>
        <w:rPr>
          <w:rFonts w:hint="eastAsia" w:ascii="宋体" w:hAnsi="宋体" w:eastAsia="宋体" w:cs="宋体"/>
          <w:color w:val="auto"/>
          <w:sz w:val="24"/>
          <w:szCs w:val="24"/>
          <w:highlight w:val="none"/>
          <w:lang w:val="en-US" w:eastAsia="zh-CN" w:bidi="ar-SA"/>
        </w:rPr>
        <w:t xml:space="preserve">日9 点00分（北京时间）</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651"/>
        <w:ind w:firstLine="498"/>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24" w:name="_Toc38985267"/>
      <w:r/>
      <w:bookmarkStart w:id="25" w:name="_Toc35393625"/>
      <w:r/>
      <w:bookmarkStart w:id="26" w:name="_Toc28359084"/>
      <w:r/>
      <w:bookmarkStart w:id="27" w:name="_Toc28359007"/>
      <w:r/>
      <w:bookmarkStart w:id="28" w:name="_Toc35393794"/>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651"/>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8985268"/>
      <w:r/>
      <w:bookmarkStart w:id="30" w:name="_Toc35393626"/>
      <w:r/>
      <w:bookmarkStart w:id="31" w:name="_Toc35393795"/>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51"/>
        <w:ind w:firstLine="498"/>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51"/>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18"/>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1"/>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3.有关本次招标的事项若存在变动或修改，敬请及时关注在“中国政府采购网”、“江苏政府采购网”、“盐城市政府采购网”发布的更正公告。</w:t>
      </w:r>
      <w:r/>
    </w:p>
    <w:p>
      <w:pPr>
        <w:pStyle w:val="651"/>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4.本次招标不收取投标保证金，不收取质量保证金。</w:t>
      </w:r>
      <w:r/>
    </w:p>
    <w:p>
      <w:pPr>
        <w:pStyle w:val="640"/>
        <w:ind w:left="0" w:right="0" w:firstLine="482"/>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bCs/>
          <w:i w:val="0"/>
          <w:iCs w:val="0"/>
          <w:caps w:val="0"/>
          <w:small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small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small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small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smallCaps w:val="0"/>
          <w:color w:val="auto"/>
          <w:spacing w:val="0"/>
          <w:sz w:val="24"/>
          <w:szCs w:val="24"/>
          <w:highlight w:val="none"/>
          <w:u w:val="none"/>
          <w:shd w:val="clear" w:color="auto" w:fill="ffffff"/>
        </w:rPr>
        <w:t xml:space="preserve">提出询问，请按以下方式联系。</w:t>
      </w:r>
      <w:bookmarkEnd w:id="32"/>
      <w:r/>
      <w:r/>
    </w:p>
    <w:p>
      <w:pPr>
        <w:pStyle w:val="651"/>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09"/>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1.采购人信息</w:t>
      </w:r>
      <w:r/>
    </w:p>
    <w:p>
      <w:pPr>
        <w:ind w:firstLine="480"/>
        <w:keepLines w:val="0"/>
        <w:keepNext w:val="0"/>
        <w:pageBreakBefore w:val="0"/>
        <w:spacing w:line="40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    称：</w:t>
      </w:r>
      <w:r>
        <w:rPr>
          <w:rFonts w:hint="eastAsia" w:ascii="宋体" w:hAnsi="宋体" w:eastAsia="宋体" w:cs="宋体"/>
          <w:bCs/>
          <w:color w:val="auto"/>
          <w:sz w:val="24"/>
          <w:szCs w:val="24"/>
          <w:highlight w:val="none"/>
          <w:lang w:eastAsia="zh-CN"/>
        </w:rPr>
        <w:t xml:space="preserve">盐城经济技术开发区住房保障和建设局</w:t>
      </w:r>
      <w:r>
        <w:rPr>
          <w:rFonts w:hint="eastAsia" w:ascii="宋体" w:hAnsi="宋体" w:eastAsia="宋体" w:cs="宋体"/>
          <w:bCs/>
          <w:color w:val="auto"/>
          <w:sz w:val="24"/>
          <w:szCs w:val="24"/>
          <w:highlight w:val="none"/>
        </w:rPr>
        <w:t xml:space="preserve">　　　　　　　　　　　　</w:t>
      </w:r>
      <w:r/>
    </w:p>
    <w:p>
      <w:pPr>
        <w:ind w:firstLine="480"/>
        <w:keepLines w:val="0"/>
        <w:keepNext w:val="0"/>
        <w:pageBreakBefore w:val="0"/>
        <w:spacing w:line="400" w:lineRule="exact"/>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地    址：盐城市</w:t>
      </w:r>
      <w:r>
        <w:rPr>
          <w:rFonts w:hint="eastAsia" w:ascii="宋体" w:hAnsi="宋体" w:eastAsia="宋体" w:cs="宋体"/>
          <w:bCs/>
          <w:color w:val="auto"/>
          <w:sz w:val="24"/>
          <w:szCs w:val="24"/>
          <w:highlight w:val="none"/>
          <w:lang w:eastAsia="zh-CN"/>
        </w:rPr>
        <w:t xml:space="preserve">开发区松江路</w:t>
      </w:r>
      <w:r>
        <w:rPr>
          <w:rFonts w:hint="eastAsia" w:ascii="宋体" w:hAnsi="宋体" w:eastAsia="宋体" w:cs="宋体"/>
          <w:bCs/>
          <w:color w:val="auto"/>
          <w:sz w:val="24"/>
          <w:szCs w:val="24"/>
          <w:highlight w:val="none"/>
          <w:lang w:val="en-US" w:eastAsia="zh-CN"/>
        </w:rPr>
        <w:t xml:space="preserve">18号</w:t>
      </w:r>
      <w:r/>
    </w:p>
    <w:p>
      <w:pPr>
        <w:ind w:firstLine="480"/>
        <w:keepLines w:val="0"/>
        <w:keepNext w:val="0"/>
        <w:pageBreakBefore w:val="0"/>
        <w:spacing w:line="40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eastAsia="zh-CN"/>
        </w:rPr>
        <w:t xml:space="preserve">陈先生</w:t>
      </w:r>
      <w:r>
        <w:rPr>
          <w:rFonts w:hint="eastAsia" w:ascii="宋体" w:hAnsi="宋体" w:eastAsia="宋体" w:cs="宋体"/>
          <w:bCs/>
          <w:color w:val="auto"/>
          <w:sz w:val="24"/>
          <w:szCs w:val="24"/>
          <w:highlight w:val="none"/>
        </w:rPr>
        <w:t xml:space="preserve">　　　　　　　　</w:t>
      </w:r>
      <w:r/>
    </w:p>
    <w:p>
      <w:pPr>
        <w:pStyle w:val="651"/>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rPr>
        <w:t xml:space="preserve">联系方式：0515-</w:t>
      </w:r>
      <w:r>
        <w:rPr>
          <w:rFonts w:hint="eastAsia" w:ascii="宋体" w:hAnsi="宋体" w:eastAsia="宋体" w:cs="宋体"/>
          <w:bCs/>
          <w:color w:val="auto"/>
          <w:sz w:val="24"/>
          <w:szCs w:val="24"/>
          <w:highlight w:val="none"/>
          <w:lang w:val="en-US" w:eastAsia="zh-CN"/>
        </w:rPr>
        <w:t xml:space="preserve">68820159</w:t>
      </w:r>
      <w:r>
        <w:rPr>
          <w:rFonts w:hint="eastAsia" w:ascii="宋体" w:hAnsi="宋体" w:eastAsia="宋体" w:cs="宋体"/>
          <w:bCs/>
          <w:color w:val="auto"/>
          <w:sz w:val="24"/>
          <w:szCs w:val="24"/>
          <w:highlight w:val="none"/>
        </w:rPr>
        <w:t xml:space="preserve">　</w:t>
      </w: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            </w:t>
      </w:r>
      <w:r/>
    </w:p>
    <w:p>
      <w:pPr>
        <w:pStyle w:val="651"/>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2.采购代理机构信息</w:t>
      </w:r>
      <w:r/>
    </w:p>
    <w:p>
      <w:pPr>
        <w:ind w:firstLine="480"/>
        <w:keepLines w:val="0"/>
        <w:keepNext w:val="0"/>
        <w:pageBreakBefore w:val="0"/>
        <w:spacing w:line="400" w:lineRule="exact"/>
        <w:shd w:val="clear" w:color="auto" w:fill="ffffff"/>
        <w:widowControl/>
        <w:rPr>
          <w:rFonts w:hint="eastAsia" w:ascii="宋体" w:hAnsi="宋体" w:eastAsia="宋体" w:cs="宋体"/>
          <w:bCs/>
          <w:color w:val="auto"/>
          <w:sz w:val="24"/>
          <w:szCs w:val="24"/>
          <w:highlight w:val="none"/>
        </w:rPr>
      </w:pPr>
      <w:r/>
      <w:bookmarkStart w:id="34" w:name="_Toc28359010"/>
      <w:r/>
      <w:bookmarkStart w:id="35" w:name="_Toc28359087"/>
      <w:r>
        <w:rPr>
          <w:rFonts w:hint="eastAsia" w:ascii="宋体" w:hAnsi="宋体" w:eastAsia="宋体" w:cs="宋体"/>
          <w:bCs/>
          <w:color w:val="auto"/>
          <w:sz w:val="24"/>
          <w:szCs w:val="24"/>
          <w:highlight w:val="none"/>
        </w:rPr>
        <w:t xml:space="preserve">名    称：</w:t>
      </w:r>
      <w:r>
        <w:rPr>
          <w:rFonts w:hint="eastAsia" w:ascii="宋体" w:hAnsi="宋体" w:eastAsia="宋体" w:cs="宋体"/>
          <w:bCs/>
          <w:color w:val="auto"/>
          <w:sz w:val="24"/>
          <w:szCs w:val="24"/>
          <w:highlight w:val="none"/>
          <w:lang w:val="en-US" w:eastAsia="zh-CN"/>
        </w:rPr>
        <w:t xml:space="preserve">江苏执策建设管理有限公司</w:t>
      </w:r>
      <w:r/>
    </w:p>
    <w:p>
      <w:pPr>
        <w:ind w:firstLine="480"/>
        <w:keepLines w:val="0"/>
        <w:keepNext w:val="0"/>
        <w:pageBreakBefore w:val="0"/>
        <w:spacing w:line="400" w:lineRule="exact"/>
        <w:shd w:val="clear" w:color="auto" w:fill="ffffff"/>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地    址：</w:t>
      </w:r>
      <w:r>
        <w:rPr>
          <w:rFonts w:hint="eastAsia" w:ascii="宋体" w:hAnsi="宋体" w:eastAsia="宋体" w:cs="宋体"/>
          <w:bCs/>
          <w:color w:val="auto"/>
          <w:sz w:val="24"/>
          <w:szCs w:val="24"/>
          <w:highlight w:val="none"/>
          <w:lang w:val="en-US" w:eastAsia="zh-CN"/>
        </w:rPr>
        <w:t xml:space="preserve">盐城市盐都区恒荣世家北苑24幢2单元三楼</w:t>
      </w:r>
      <w:r/>
    </w:p>
    <w:p>
      <w:pPr>
        <w:ind w:firstLine="480"/>
        <w:keepLines w:val="0"/>
        <w:keepNext w:val="0"/>
        <w:pageBreakBefore w:val="0"/>
        <w:spacing w:line="400" w:lineRule="exact"/>
        <w:shd w:val="clear" w:color="auto" w:fill="ffffff"/>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 系 人：</w:t>
      </w:r>
      <w:r>
        <w:rPr>
          <w:rFonts w:hint="eastAsia" w:ascii="宋体" w:hAnsi="宋体" w:eastAsia="宋体" w:cs="宋体"/>
          <w:bCs/>
          <w:color w:val="auto"/>
          <w:sz w:val="24"/>
          <w:szCs w:val="24"/>
          <w:highlight w:val="none"/>
          <w:lang w:val="en-US" w:eastAsia="zh-CN"/>
        </w:rPr>
        <w:t xml:space="preserve">韦工</w:t>
      </w:r>
      <w:r/>
    </w:p>
    <w:p>
      <w:pPr>
        <w:pStyle w:val="651"/>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rPr>
        <w:t xml:space="preserve">联系电话：</w:t>
      </w:r>
      <w:r>
        <w:rPr>
          <w:rFonts w:hint="eastAsia" w:ascii="宋体" w:hAnsi="宋体" w:eastAsia="宋体" w:cs="宋体"/>
          <w:bCs/>
          <w:color w:val="auto"/>
          <w:sz w:val="24"/>
          <w:szCs w:val="24"/>
          <w:highlight w:val="none"/>
          <w:lang w:eastAsia="zh-CN"/>
        </w:rPr>
        <w:t xml:space="preserve">18105105536</w:t>
      </w: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     </w:t>
      </w:r>
      <w:bookmarkEnd w:id="34"/>
      <w:r/>
      <w:bookmarkEnd w:id="35"/>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            </w:t>
      </w:r>
      <w:r/>
    </w:p>
    <w:p>
      <w:pPr>
        <w:pStyle w:val="651"/>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6" w:name="_Toc28359021"/>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3.</w:t>
      </w:r>
      <w:bookmarkEnd w:id="36"/>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项目联系方式</w:t>
      </w:r>
      <w:r/>
    </w:p>
    <w:p>
      <w:pPr>
        <w:ind w:firstLine="480"/>
        <w:keepLines w:val="0"/>
        <w:keepNext w:val="0"/>
        <w:pageBreakBefore w:val="0"/>
        <w:spacing w:line="40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eastAsia="zh-CN"/>
        </w:rPr>
        <w:t xml:space="preserve">陈先生</w:t>
      </w:r>
      <w:r>
        <w:rPr>
          <w:rFonts w:hint="eastAsia" w:ascii="宋体" w:hAnsi="宋体" w:eastAsia="宋体" w:cs="宋体"/>
          <w:bCs/>
          <w:color w:val="auto"/>
          <w:sz w:val="24"/>
          <w:szCs w:val="24"/>
          <w:highlight w:val="none"/>
        </w:rPr>
        <w:t xml:space="preserve">　　　　　　　　</w:t>
      </w:r>
      <w:r/>
    </w:p>
    <w:p>
      <w:pPr>
        <w:pStyle w:val="651"/>
        <w:ind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small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rPr>
        <w:t xml:space="preserve">联系方式：0515-</w:t>
      </w:r>
      <w:r>
        <w:rPr>
          <w:rFonts w:hint="eastAsia" w:ascii="宋体" w:hAnsi="宋体" w:eastAsia="宋体" w:cs="宋体"/>
          <w:bCs/>
          <w:color w:val="auto"/>
          <w:sz w:val="24"/>
          <w:szCs w:val="24"/>
          <w:highlight w:val="none"/>
          <w:lang w:val="en-US" w:eastAsia="zh-CN"/>
        </w:rPr>
        <w:t xml:space="preserve">68820159</w:t>
      </w:r>
      <w:r>
        <w:rPr>
          <w:rFonts w:hint="eastAsia" w:ascii="宋体" w:hAnsi="宋体" w:eastAsia="宋体" w:cs="宋体"/>
          <w:bCs/>
          <w:color w:val="auto"/>
          <w:sz w:val="24"/>
          <w:szCs w:val="24"/>
          <w:highlight w:val="none"/>
        </w:rPr>
        <w:t xml:space="preserve">　</w:t>
      </w: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p>
    <w:p>
      <w:pPr>
        <w:pStyle w:val="651"/>
        <w:ind w:firstLine="2429"/>
        <w:jc w:val="both"/>
        <w:keepLines/>
        <w:keepNext/>
        <w:spacing w:before="260" w:beforeAutospacing="0" w:after="260" w:afterAutospacing="0" w:line="415" w:lineRule="auto"/>
        <w:widowControl w:val="off"/>
        <w:rPr>
          <w:color w:val="auto"/>
          <w:highlight w:val="none"/>
        </w:rPr>
      </w:pPr>
      <w:r/>
      <w:bookmarkStart w:id="37" w:name="_Toc120614211"/>
      <w:r>
        <w:rPr>
          <w:rFonts w:hint="eastAsia" w:ascii="黑体" w:hAnsi="宋体" w:eastAsia="黑体" w:cs="黑体"/>
          <w:b/>
          <w:color w:val="auto"/>
          <w:sz w:val="44"/>
          <w:szCs w:val="44"/>
          <w:highlight w:val="none"/>
        </w:rPr>
        <w:t xml:space="preserve">第二章  </w:t>
      </w:r>
      <w:bookmarkEnd w:id="37"/>
      <w:r/>
      <w:bookmarkStart w:id="38" w:name="_Toc120614213"/>
      <w:r/>
      <w:bookmarkStart w:id="39" w:name="_Toc20823274"/>
      <w:r/>
      <w:bookmarkStart w:id="40" w:name="_Toc513029202"/>
      <w:r/>
      <w:bookmarkStart w:id="41" w:name="_Toc16938518"/>
      <w:r>
        <w:rPr>
          <w:rFonts w:hint="eastAsia" w:ascii="黑体" w:hAnsi="宋体" w:eastAsia="黑体" w:cs="黑体"/>
          <w:b/>
          <w:color w:val="auto"/>
          <w:sz w:val="44"/>
          <w:szCs w:val="44"/>
          <w:highlight w:val="none"/>
        </w:rPr>
        <w:t xml:space="preserve">投标人须知</w:t>
      </w:r>
      <w:bookmarkEnd w:id="38"/>
      <w:r/>
      <w:bookmarkEnd w:id="39"/>
      <w:r/>
      <w:bookmarkEnd w:id="40"/>
      <w:r/>
      <w:bookmarkEnd w:id="41"/>
      <w:r/>
      <w:r/>
    </w:p>
    <w:p>
      <w:pPr>
        <w:pStyle w:val="651"/>
        <w:ind w:firstLine="498"/>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42" w:name="_Toc16938519"/>
      <w:r/>
      <w:bookmarkStart w:id="43" w:name="_Toc513029203"/>
      <w:r/>
      <w:bookmarkStart w:id="44" w:name="_Toc120614214"/>
      <w:r/>
      <w:bookmarkStart w:id="45" w:name="_Toc20823275"/>
      <w:r>
        <w:rPr>
          <w:rFonts w:hint="eastAsia" w:ascii="宋体" w:hAnsi="宋体" w:eastAsia="宋体" w:cs="宋体"/>
          <w:b/>
          <w:color w:val="auto"/>
          <w:sz w:val="24"/>
          <w:szCs w:val="24"/>
          <w:highlight w:val="none"/>
        </w:rPr>
        <w:t xml:space="preserve">一、总则</w:t>
      </w:r>
      <w:bookmarkEnd w:id="42"/>
      <w:r/>
      <w:bookmarkEnd w:id="43"/>
      <w:r/>
      <w:bookmarkEnd w:id="44"/>
      <w:r/>
      <w:bookmarkEnd w:id="45"/>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46" w:name="_Toc16938520"/>
      <w:r/>
      <w:bookmarkStart w:id="47" w:name="_Toc458694821"/>
      <w:r/>
      <w:bookmarkStart w:id="48" w:name="_Toc20823276"/>
      <w:r/>
      <w:bookmarkStart w:id="49" w:name="_Toc513029204"/>
      <w:r/>
      <w:bookmarkStart w:id="50" w:name="_Hlt16619475"/>
      <w:r>
        <w:rPr>
          <w:rFonts w:hint="eastAsia" w:ascii="宋体" w:hAnsi="宋体" w:eastAsia="宋体" w:cs="宋体"/>
          <w:color w:val="auto"/>
          <w:sz w:val="24"/>
          <w:szCs w:val="24"/>
          <w:highlight w:val="none"/>
        </w:rPr>
        <w:t xml:space="preserve">1</w:t>
      </w:r>
      <w:bookmarkEnd w:id="46"/>
      <w:r>
        <w:rPr>
          <w:rFonts w:hint="eastAsia" w:ascii="宋体" w:hAnsi="宋体" w:eastAsia="宋体" w:cs="宋体"/>
          <w:color w:val="auto"/>
          <w:sz w:val="24"/>
          <w:szCs w:val="24"/>
          <w:highlight w:val="none"/>
        </w:rPr>
        <w:t xml:space="preserve">、招标方式</w:t>
      </w:r>
      <w:bookmarkEnd w:id="47"/>
      <w:r/>
      <w:bookmarkEnd w:id="48"/>
      <w:r/>
      <w:bookmarkEnd w:id="49"/>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51" w:name="_Toc513029205"/>
      <w:r/>
      <w:bookmarkStart w:id="52" w:name="_Toc16938521"/>
      <w:r/>
      <w:bookmarkStart w:id="53" w:name="_Toc20823277"/>
      <w:r>
        <w:rPr>
          <w:rFonts w:hint="eastAsia" w:ascii="宋体" w:hAnsi="宋体" w:eastAsia="宋体" w:cs="宋体"/>
          <w:color w:val="auto"/>
          <w:sz w:val="24"/>
          <w:szCs w:val="24"/>
          <w:highlight w:val="none"/>
        </w:rPr>
        <w:t xml:space="preserve">2、合格的投标人</w:t>
      </w:r>
      <w:bookmarkEnd w:id="51"/>
      <w:r/>
      <w:bookmarkEnd w:id="52"/>
      <w:r/>
      <w:bookmarkEnd w:id="53"/>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54" w:name="_Toc20823278"/>
      <w:r/>
      <w:bookmarkStart w:id="55" w:name="_Toc513029206"/>
      <w:r/>
      <w:bookmarkStart w:id="56" w:name="_Toc16938522"/>
      <w:r>
        <w:rPr>
          <w:rFonts w:hint="eastAsia" w:ascii="宋体" w:hAnsi="宋体" w:eastAsia="宋体" w:cs="宋体"/>
          <w:color w:val="auto"/>
          <w:sz w:val="24"/>
          <w:szCs w:val="24"/>
          <w:highlight w:val="none"/>
        </w:rPr>
        <w:t xml:space="preserve">3、适用法律</w:t>
      </w:r>
      <w:bookmarkEnd w:id="54"/>
      <w:r/>
      <w:bookmarkEnd w:id="55"/>
      <w:r/>
      <w:bookmarkEnd w:id="56"/>
      <w:r/>
      <w:r/>
    </w:p>
    <w:p>
      <w:pPr>
        <w:pStyle w:val="651"/>
        <w:ind w:firstLine="42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57" w:name="_Toc462564067"/>
      <w:r/>
      <w:bookmarkStart w:id="58" w:name="_Toc20823279"/>
      <w:r/>
      <w:bookmarkStart w:id="59" w:name="_Toc513029207"/>
      <w:r/>
      <w:bookmarkStart w:id="60" w:name="_Toc16938523"/>
      <w:r>
        <w:rPr>
          <w:rFonts w:hint="eastAsia" w:ascii="宋体" w:hAnsi="宋体" w:eastAsia="宋体" w:cs="宋体"/>
          <w:color w:val="auto"/>
          <w:sz w:val="24"/>
          <w:szCs w:val="24"/>
          <w:highlight w:val="none"/>
        </w:rPr>
        <w:t xml:space="preserve">4、投标费用</w:t>
      </w:r>
      <w:bookmarkEnd w:id="57"/>
      <w:r/>
      <w:bookmarkEnd w:id="58"/>
      <w:r/>
      <w:bookmarkEnd w:id="59"/>
      <w:r/>
      <w:bookmarkEnd w:id="60"/>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在任何情况下均无义务和责任承担这些费用。</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4.2本次招标采购人不收取标书工本费。</w:t>
      </w:r>
      <w:r/>
    </w:p>
    <w:p>
      <w:pPr>
        <w:pStyle w:val="651"/>
        <w:ind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招标代理服务费（中标/成交服务费）由中标单位向代理公司支付，招标代理服务费参照（计价格[2002]1980号）标准计取；50万以下项目按照相关标准收取；50万－100万项目按收费标准8折计算；100万－500万的项目按收费标准6折计算。如服务费低于人民币4000元的，按人民币4000元计收。投标人投标时综合考虑进报价中，此项费用不得单列，凡漏项或少计均视为优惠招标人，不另行增加费用。中标后由中标单位在领取中标通知书前直接向招标代理公司一次性付清。</w:t>
      </w:r>
      <w:r/>
    </w:p>
    <w:p>
      <w:pPr>
        <w:pStyle w:val="651"/>
        <w:ind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51"/>
        <w:ind w:firstLine="321"/>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61" w:name="_Toc120614215"/>
      <w:r/>
      <w:bookmarkStart w:id="62" w:name="_Toc16938525"/>
      <w:r/>
      <w:bookmarkStart w:id="63" w:name="_Toc513029209"/>
      <w:r/>
      <w:bookmarkStart w:id="64" w:name="_Toc20823281"/>
      <w:r>
        <w:rPr>
          <w:rFonts w:hint="eastAsia" w:ascii="宋体" w:hAnsi="宋体" w:eastAsia="宋体" w:cs="宋体"/>
          <w:b/>
          <w:color w:val="auto"/>
          <w:sz w:val="24"/>
          <w:szCs w:val="24"/>
          <w:highlight w:val="none"/>
        </w:rPr>
        <w:t xml:space="preserve">二、招标文件</w:t>
      </w:r>
      <w:bookmarkEnd w:id="61"/>
      <w:r/>
      <w:bookmarkEnd w:id="62"/>
      <w:r/>
      <w:bookmarkEnd w:id="63"/>
      <w:r/>
      <w:bookmarkEnd w:id="64"/>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65" w:name="_Toc513029210"/>
      <w:r/>
      <w:bookmarkStart w:id="66" w:name="_Toc20823282"/>
      <w:r/>
      <w:bookmarkStart w:id="67" w:name="_Toc16938526"/>
      <w:r>
        <w:rPr>
          <w:rFonts w:hint="eastAsia" w:ascii="宋体" w:hAnsi="宋体" w:eastAsia="宋体" w:cs="宋体"/>
          <w:color w:val="auto"/>
          <w:sz w:val="24"/>
          <w:szCs w:val="24"/>
          <w:highlight w:val="none"/>
        </w:rPr>
        <w:t xml:space="preserve">6、招标文件构成</w:t>
      </w:r>
      <w:bookmarkEnd w:id="65"/>
      <w:r/>
      <w:bookmarkEnd w:id="66"/>
      <w:r/>
      <w:bookmarkEnd w:id="67"/>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51"/>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51"/>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51"/>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51"/>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51"/>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51"/>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1"/>
        <w:ind w:firstLine="56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68" w:name="_Toc16938527"/>
      <w:r/>
      <w:bookmarkStart w:id="69" w:name="_Toc513029211"/>
      <w:r/>
      <w:bookmarkStart w:id="70" w:name="_Toc462564070"/>
      <w:r/>
      <w:bookmarkStart w:id="71" w:name="_Toc20823283"/>
      <w:r>
        <w:rPr>
          <w:rFonts w:hint="eastAsia" w:ascii="宋体" w:hAnsi="宋体" w:eastAsia="宋体" w:cs="宋体"/>
          <w:color w:val="auto"/>
          <w:sz w:val="24"/>
          <w:szCs w:val="24"/>
          <w:highlight w:val="none"/>
        </w:rPr>
        <w:t xml:space="preserve">7、招标文件的澄清</w:t>
      </w:r>
      <w:bookmarkEnd w:id="68"/>
      <w:r/>
      <w:bookmarkEnd w:id="69"/>
      <w:r/>
      <w:bookmarkEnd w:id="70"/>
      <w:r/>
      <w:bookmarkEnd w:id="71"/>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pStyle w:val="651"/>
        <w:ind w:firstLine="56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72" w:name="_Toc20823284"/>
      <w:r/>
      <w:bookmarkStart w:id="73" w:name="_Toc16938528"/>
      <w:r/>
      <w:bookmarkStart w:id="74" w:name="_Toc462564071"/>
      <w:r/>
      <w:bookmarkStart w:id="75" w:name="_Toc513029212"/>
      <w:r>
        <w:rPr>
          <w:rFonts w:hint="eastAsia" w:ascii="宋体" w:hAnsi="宋体" w:eastAsia="宋体" w:cs="宋体"/>
          <w:color w:val="auto"/>
          <w:sz w:val="24"/>
          <w:szCs w:val="24"/>
          <w:highlight w:val="none"/>
        </w:rPr>
        <w:t xml:space="preserve">8、招标文件的修改</w:t>
      </w:r>
      <w:bookmarkEnd w:id="72"/>
      <w:r/>
      <w:bookmarkEnd w:id="73"/>
      <w:r/>
      <w:bookmarkEnd w:id="74"/>
      <w:r/>
      <w:bookmarkEnd w:id="75"/>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可以对招标文件进行修改。</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有权按照法定的要求推迟投标截止日期和开标日期。</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51"/>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76" w:name="_Toc462564072"/>
      <w:r/>
      <w:bookmarkStart w:id="77" w:name="_Toc16938529"/>
      <w:r/>
      <w:bookmarkStart w:id="78" w:name="_Toc20823285"/>
      <w:r/>
      <w:bookmarkStart w:id="79" w:name="_Toc513029213"/>
      <w:r/>
      <w:bookmarkStart w:id="80" w:name="_Toc120614216"/>
      <w:r>
        <w:rPr>
          <w:rFonts w:hint="eastAsia" w:ascii="宋体" w:hAnsi="宋体" w:eastAsia="宋体" w:cs="宋体"/>
          <w:b/>
          <w:color w:val="auto"/>
          <w:sz w:val="24"/>
          <w:szCs w:val="24"/>
          <w:highlight w:val="none"/>
        </w:rPr>
        <w:t xml:space="preserve">三、投标文件的编制</w:t>
      </w:r>
      <w:bookmarkEnd w:id="76"/>
      <w:r/>
      <w:bookmarkEnd w:id="77"/>
      <w:r/>
      <w:bookmarkEnd w:id="78"/>
      <w:r/>
      <w:bookmarkEnd w:id="79"/>
      <w:r/>
      <w:bookmarkEnd w:id="80"/>
      <w:r/>
      <w:r/>
    </w:p>
    <w:p>
      <w:pPr>
        <w:pStyle w:val="651"/>
        <w:ind w:firstLine="56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81" w:name="_Toc462564073"/>
      <w:r/>
      <w:bookmarkStart w:id="82" w:name="_Toc20823286"/>
      <w:r/>
      <w:bookmarkStart w:id="83" w:name="_Toc16938530"/>
      <w:r/>
      <w:bookmarkStart w:id="84" w:name="_Toc513029214"/>
      <w:r>
        <w:rPr>
          <w:rFonts w:hint="eastAsia" w:ascii="宋体" w:hAnsi="宋体" w:eastAsia="宋体" w:cs="宋体"/>
          <w:color w:val="auto"/>
          <w:sz w:val="24"/>
          <w:szCs w:val="24"/>
          <w:highlight w:val="none"/>
        </w:rPr>
        <w:t xml:space="preserve">9、投标文件的语言及度量衡单位</w:t>
      </w:r>
      <w:bookmarkEnd w:id="81"/>
      <w:r/>
      <w:bookmarkEnd w:id="82"/>
      <w:r/>
      <w:bookmarkEnd w:id="83"/>
      <w:r/>
      <w:bookmarkEnd w:id="84"/>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85" w:name="_Toc20823287"/>
      <w:r/>
      <w:bookmarkStart w:id="86" w:name="_Toc462564074"/>
      <w:r/>
      <w:bookmarkStart w:id="87" w:name="_Toc16938531"/>
      <w:r/>
      <w:bookmarkStart w:id="88" w:name="_Toc513029215"/>
      <w:r>
        <w:rPr>
          <w:rFonts w:hint="eastAsia" w:ascii="宋体" w:hAnsi="宋体" w:eastAsia="宋体" w:cs="宋体"/>
          <w:color w:val="auto"/>
          <w:sz w:val="24"/>
          <w:szCs w:val="24"/>
          <w:highlight w:val="none"/>
        </w:rPr>
        <w:t xml:space="preserve">10、投标文件构成</w:t>
      </w:r>
      <w:bookmarkEnd w:id="85"/>
      <w:r/>
      <w:bookmarkEnd w:id="86"/>
      <w:r/>
      <w:bookmarkEnd w:id="87"/>
      <w:r/>
      <w:bookmarkEnd w:id="88"/>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“江苏政府采购网”、“盐城市政府采购网”发布的招标文件不一致，请以</w:t>
      </w: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small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“江苏政府采购网”、“盐城市政府采购网”发布的招标文件为准。</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89" w:name="_Toc513029216"/>
      <w:r/>
      <w:bookmarkStart w:id="90" w:name="_Toc14577354"/>
      <w:r/>
      <w:bookmarkStart w:id="91" w:name="_Toc49090509"/>
      <w:r/>
      <w:bookmarkStart w:id="92" w:name="_Toc49090507"/>
      <w:r/>
      <w:bookmarkStart w:id="93" w:name="_Toc513029219"/>
      <w:r/>
      <w:bookmarkStart w:id="94" w:name="_Toc14577357"/>
      <w:r/>
      <w:bookmarkStart w:id="95" w:name="_Hlt26954838"/>
      <w:r/>
      <w:bookmarkStart w:id="96" w:name="_Hlt26670360"/>
      <w:r/>
      <w:bookmarkStart w:id="97" w:name="_Hlt26668975"/>
      <w:r>
        <w:rPr>
          <w:rFonts w:hint="eastAsia" w:ascii="宋体" w:hAnsi="宋体" w:eastAsia="宋体" w:cs="宋体"/>
          <w:color w:val="auto"/>
          <w:sz w:val="24"/>
          <w:szCs w:val="24"/>
          <w:highlight w:val="none"/>
        </w:rPr>
        <w:t xml:space="preserve">11、证明投标人及投标标的符合招标文件规定的文件</w:t>
      </w:r>
      <w:bookmarkEnd w:id="89"/>
      <w:r/>
      <w:bookmarkEnd w:id="90"/>
      <w:r/>
      <w:bookmarkEnd w:id="91"/>
      <w:r/>
      <w:bookmarkEnd w:id="92"/>
      <w:r/>
      <w:bookmarkEnd w:id="93"/>
      <w:r/>
      <w:bookmarkEnd w:id="94"/>
      <w:r/>
      <w:r/>
    </w:p>
    <w:p>
      <w:pPr>
        <w:pStyle w:val="651"/>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98" w:name="_Toc49090508"/>
      <w:r/>
      <w:bookmarkStart w:id="99" w:name="_Toc14577355"/>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8"/>
      <w:r/>
      <w:bookmarkEnd w:id="99"/>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100" w:name="_Hlt26670373"/>
      <w:r>
        <w:rPr>
          <w:rFonts w:hint="eastAsia" w:ascii="宋体" w:hAnsi="宋体" w:eastAsia="宋体" w:cs="宋体"/>
          <w:color w:val="auto"/>
          <w:sz w:val="24"/>
          <w:szCs w:val="24"/>
          <w:highlight w:val="none"/>
        </w:rPr>
        <w:t xml:space="preserve">表</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101" w:name="_Hlt26954840"/>
      <w:r>
        <w:rPr>
          <w:rFonts w:hint="eastAsia" w:ascii="宋体" w:hAnsi="宋体" w:eastAsia="宋体" w:cs="宋体"/>
          <w:color w:val="auto"/>
          <w:sz w:val="24"/>
          <w:szCs w:val="24"/>
          <w:highlight w:val="none"/>
        </w:rPr>
        <w:t xml:space="preserve">标人应按照招标文件规定格式填报投标分项报价表</w:t>
      </w:r>
      <w:bookmarkStart w:id="102" w:name="_Hlt26670399"/>
      <w:r>
        <w:rPr>
          <w:rFonts w:hint="eastAsia" w:ascii="宋体" w:hAnsi="宋体" w:eastAsia="宋体" w:cs="宋体"/>
          <w:color w:val="auto"/>
          <w:sz w:val="24"/>
          <w:szCs w:val="24"/>
          <w:highlight w:val="none"/>
        </w:rPr>
        <w:t xml:space="preserve">。</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03" w:name="_Hlt26954844"/>
      <w:r/>
      <w:bookmarkStart w:id="104" w:name="_Hlt26670486"/>
      <w:r/>
      <w:bookmarkStart w:id="105" w:name="_Hlt26670403"/>
      <w:r/>
      <w:bookmarkStart w:id="106" w:name="_Hlt26954848"/>
      <w:r/>
      <w:bookmarkStart w:id="107" w:name="_Hlt26670482"/>
      <w:r/>
      <w:bookmarkStart w:id="108" w:name="_Hlt26954731"/>
      <w:r/>
      <w:bookmarkStart w:id="109" w:name="_Hlt26954846"/>
      <w:r/>
      <w:bookmarkStart w:id="110" w:name="_Hlt26670425"/>
      <w:r/>
      <w:bookmarkStart w:id="111" w:name="_Hlt26668983"/>
      <w:r/>
      <w:bookmarkStart w:id="112" w:name="_Hlt26954842"/>
      <w:r>
        <w:rPr>
          <w:rFonts w:hint="eastAsia" w:ascii="宋体" w:hAnsi="宋体" w:eastAsia="宋体" w:cs="宋体"/>
          <w:color w:val="auto"/>
          <w:sz w:val="24"/>
          <w:szCs w:val="24"/>
          <w:highlight w:val="none"/>
        </w:rPr>
        <w:t xml:space="preserve">13、技术要求响应及偏离表、商务要求响应及偏离表</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51"/>
        <w:ind w:firstLine="480"/>
        <w:jc w:val="both"/>
        <w:pageBreakBefore w:val="0"/>
        <w:spacing w:beforeAutospacing="0" w:afterAutospacing="0" w:line="40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13" w:name="_Toc49090510"/>
      <w:r/>
      <w:bookmarkStart w:id="114" w:name="_Toc14577359"/>
      <w:r>
        <w:rPr>
          <w:rFonts w:hint="eastAsia" w:ascii="宋体" w:hAnsi="宋体" w:eastAsia="宋体" w:cs="宋体"/>
          <w:color w:val="auto"/>
          <w:sz w:val="24"/>
          <w:szCs w:val="24"/>
          <w:highlight w:val="none"/>
        </w:rPr>
        <w:t xml:space="preserve">14、投标函和开标一览表</w:t>
      </w:r>
      <w:bookmarkEnd w:id="113"/>
      <w:r/>
      <w:bookmarkEnd w:id="114"/>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15" w:name="_Toc49090511"/>
      <w:r/>
      <w:bookmarkStart w:id="116" w:name="_Toc14577360"/>
      <w:r/>
      <w:bookmarkStart w:id="117" w:name="_Hlt26670489"/>
      <w:r/>
      <w:bookmarkStart w:id="118" w:name="_Hlt26954734"/>
      <w:r/>
      <w:bookmarkStart w:id="119" w:name="_Hlt26954850"/>
      <w:r>
        <w:rPr>
          <w:rFonts w:hint="eastAsia" w:ascii="宋体" w:hAnsi="宋体" w:eastAsia="宋体" w:cs="宋体"/>
          <w:color w:val="auto"/>
          <w:sz w:val="24"/>
          <w:szCs w:val="24"/>
          <w:highlight w:val="none"/>
        </w:rPr>
        <w:t xml:space="preserve">15、投标有效期</w:t>
      </w:r>
      <w:bookmarkEnd w:id="115"/>
      <w:r/>
      <w:bookmarkEnd w:id="116"/>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51"/>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20" w:name="_Toc513029224"/>
      <w:r/>
      <w:bookmarkStart w:id="121" w:name="_Toc20823296"/>
      <w:r/>
      <w:bookmarkStart w:id="122" w:name="_Toc120614217"/>
      <w:r/>
      <w:bookmarkStart w:id="123" w:name="_Toc16938540"/>
      <w:r/>
      <w:bookmarkStart w:id="124" w:name="_Hlt26954852"/>
      <w:r/>
      <w:bookmarkStart w:id="125" w:name="_Hlt26954739"/>
      <w:r>
        <w:rPr>
          <w:rFonts w:hint="eastAsia" w:ascii="宋体" w:hAnsi="宋体" w:eastAsia="宋体" w:cs="宋体"/>
          <w:b/>
          <w:color w:val="auto"/>
          <w:sz w:val="24"/>
          <w:szCs w:val="24"/>
          <w:highlight w:val="none"/>
        </w:rPr>
        <w:t xml:space="preserve">四、投标文件的递交</w:t>
      </w:r>
      <w:bookmarkEnd w:id="120"/>
      <w:r/>
      <w:bookmarkEnd w:id="121"/>
      <w:r/>
      <w:bookmarkEnd w:id="122"/>
      <w:r/>
      <w:bookmarkEnd w:id="123"/>
      <w:r/>
      <w:r/>
    </w:p>
    <w:p>
      <w:pPr>
        <w:pStyle w:val="651"/>
        <w:ind w:firstLine="56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26" w:name="_Toc20823297"/>
      <w:r/>
      <w:bookmarkStart w:id="127" w:name="_Toc16938541"/>
      <w:r/>
      <w:bookmarkStart w:id="128" w:name="_Toc513029225"/>
      <w:r/>
      <w:bookmarkStart w:id="129" w:name="_Toc462564084"/>
      <w:r>
        <w:rPr>
          <w:rFonts w:hint="eastAsia" w:ascii="宋体" w:hAnsi="宋体" w:eastAsia="宋体" w:cs="宋体"/>
          <w:color w:val="auto"/>
          <w:sz w:val="24"/>
          <w:szCs w:val="24"/>
          <w:highlight w:val="none"/>
        </w:rPr>
        <w:t xml:space="preserve">17、投标文件</w:t>
      </w:r>
      <w:bookmarkEnd w:id="126"/>
      <w:r/>
      <w:bookmarkEnd w:id="127"/>
      <w:r/>
      <w:bookmarkEnd w:id="128"/>
      <w:r/>
      <w:bookmarkEnd w:id="129"/>
      <w:r>
        <w:rPr>
          <w:rFonts w:hint="eastAsia" w:ascii="宋体" w:hAnsi="宋体" w:eastAsia="宋体" w:cs="宋体"/>
          <w:color w:val="auto"/>
          <w:sz w:val="24"/>
          <w:szCs w:val="24"/>
          <w:highlight w:val="none"/>
        </w:rPr>
        <w:t xml:space="preserve">的递交</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51"/>
        <w:ind w:left="525"/>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0" w:name="_Toc16938542"/>
      <w:r/>
      <w:bookmarkEnd w:id="130"/>
      <w:r/>
      <w:bookmarkStart w:id="131" w:name="_Toc20823298"/>
      <w:r/>
      <w:bookmarkEnd w:id="131"/>
      <w:r/>
      <w:bookmarkStart w:id="132" w:name="_Toc513029226"/>
      <w:r/>
      <w:r/>
    </w:p>
    <w:p>
      <w:pPr>
        <w:pStyle w:val="651"/>
        <w:ind w:firstLine="420"/>
        <w:jc w:val="both"/>
        <w:keepLines/>
        <w:keepNext/>
        <w:pageBreakBefore w:val="0"/>
        <w:spacing w:before="280" w:beforeAutospacing="0" w:after="29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33" w:name="_Toc16938543"/>
      <w:r/>
      <w:bookmarkStart w:id="134" w:name="_Toc513029227"/>
      <w:r/>
      <w:bookmarkStart w:id="135" w:name="_Toc20823299"/>
      <w:r>
        <w:rPr>
          <w:rFonts w:hint="eastAsia" w:ascii="宋体" w:hAnsi="宋体" w:eastAsia="宋体" w:cs="宋体"/>
          <w:color w:val="auto"/>
          <w:sz w:val="24"/>
          <w:szCs w:val="24"/>
          <w:highlight w:val="none"/>
        </w:rPr>
        <w:t xml:space="preserve">19、投标文件</w:t>
      </w:r>
      <w:bookmarkEnd w:id="133"/>
      <w:r/>
      <w:bookmarkEnd w:id="134"/>
      <w:r/>
      <w:bookmarkEnd w:id="135"/>
      <w:r>
        <w:rPr>
          <w:rFonts w:hint="eastAsia" w:ascii="宋体" w:hAnsi="宋体" w:eastAsia="宋体" w:cs="宋体"/>
          <w:color w:val="auto"/>
          <w:sz w:val="24"/>
          <w:szCs w:val="24"/>
          <w:highlight w:val="none"/>
        </w:rPr>
        <w:t xml:space="preserve">的拒收</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36" w:name="_Toc16938544"/>
      <w:r/>
      <w:bookmarkStart w:id="137" w:name="_Toc513029228"/>
      <w:r/>
      <w:bookmarkStart w:id="138" w:name="_Toc20823300"/>
      <w:r>
        <w:rPr>
          <w:rFonts w:hint="eastAsia" w:ascii="宋体" w:hAnsi="宋体" w:eastAsia="宋体" w:cs="宋体"/>
          <w:color w:val="auto"/>
          <w:sz w:val="24"/>
          <w:szCs w:val="24"/>
          <w:highlight w:val="none"/>
        </w:rPr>
        <w:t xml:space="preserve">20、投标文件的撤回和修改</w:t>
      </w:r>
      <w:bookmarkEnd w:id="136"/>
      <w:r/>
      <w:bookmarkEnd w:id="137"/>
      <w:r/>
      <w:bookmarkEnd w:id="138"/>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51"/>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39" w:name="_Toc513029229"/>
      <w:r/>
      <w:bookmarkStart w:id="140" w:name="_Toc16938545"/>
      <w:r/>
      <w:bookmarkStart w:id="141" w:name="_Toc20823301"/>
      <w:r/>
      <w:bookmarkStart w:id="142" w:name="_Toc120614218"/>
      <w:r>
        <w:rPr>
          <w:rFonts w:hint="eastAsia" w:ascii="宋体" w:hAnsi="宋体" w:eastAsia="宋体" w:cs="宋体"/>
          <w:b/>
          <w:color w:val="auto"/>
          <w:sz w:val="24"/>
          <w:szCs w:val="24"/>
          <w:highlight w:val="none"/>
        </w:rPr>
        <w:t xml:space="preserve">五、开标与评标</w:t>
      </w:r>
      <w:bookmarkEnd w:id="139"/>
      <w:r/>
      <w:bookmarkEnd w:id="140"/>
      <w:r/>
      <w:bookmarkEnd w:id="141"/>
      <w:r/>
      <w:bookmarkEnd w:id="142"/>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43" w:name="_Toc16938546"/>
      <w:r/>
      <w:bookmarkStart w:id="144" w:name="_Toc513029230"/>
      <w:r/>
      <w:bookmarkStart w:id="145" w:name="_Toc20823302"/>
      <w:r>
        <w:rPr>
          <w:rFonts w:hint="eastAsia" w:ascii="宋体" w:hAnsi="宋体" w:eastAsia="宋体" w:cs="宋体"/>
          <w:color w:val="auto"/>
          <w:sz w:val="24"/>
          <w:szCs w:val="24"/>
          <w:highlight w:val="none"/>
        </w:rPr>
        <w:t xml:space="preserve">21、开标</w:t>
      </w:r>
      <w:bookmarkEnd w:id="143"/>
      <w:r/>
      <w:bookmarkEnd w:id="144"/>
      <w:r/>
      <w:bookmarkEnd w:id="145"/>
      <w:r/>
      <w:r/>
    </w:p>
    <w:p>
      <w:pPr>
        <w:pStyle w:val="651"/>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46" w:name="_Toc513029231"/>
      <w:r/>
      <w:bookmarkStart w:id="147" w:name="_Toc20823303"/>
      <w:r/>
      <w:bookmarkStart w:id="148" w:name="_Toc16938547"/>
      <w:r>
        <w:rPr>
          <w:rFonts w:hint="eastAsia" w:ascii="宋体" w:hAnsi="宋体" w:eastAsia="宋体" w:cs="宋体"/>
          <w:color w:val="auto"/>
          <w:sz w:val="24"/>
          <w:szCs w:val="24"/>
          <w:highlight w:val="none"/>
        </w:rPr>
        <w:t xml:space="preserve">22、评标委员会</w:t>
      </w:r>
      <w:bookmarkEnd w:id="146"/>
      <w:r/>
      <w:bookmarkEnd w:id="147"/>
      <w:r/>
      <w:bookmarkEnd w:id="148"/>
      <w:r/>
      <w:r/>
    </w:p>
    <w:p>
      <w:pPr>
        <w:pStyle w:val="651"/>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pStyle w:val="651"/>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51"/>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22.3评委会独立工作，负责评审所有投标文件并确定中标侯选人。</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均不得向投标人或与评标无关的其他人员透露。</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49" w:name="_Toc20823304"/>
      <w:r/>
      <w:bookmarkStart w:id="150" w:name="_Toc16938548"/>
      <w:r/>
      <w:bookmarkStart w:id="151" w:name="_Toc513029232"/>
      <w:r>
        <w:rPr>
          <w:rFonts w:hint="eastAsia" w:ascii="宋体" w:hAnsi="宋体" w:eastAsia="宋体" w:cs="宋体"/>
          <w:color w:val="auto"/>
          <w:sz w:val="24"/>
          <w:szCs w:val="24"/>
          <w:highlight w:val="none"/>
        </w:rPr>
        <w:t xml:space="preserve">24、投标文件的澄清</w:t>
      </w:r>
      <w:bookmarkEnd w:id="149"/>
      <w:r/>
      <w:bookmarkEnd w:id="150"/>
      <w:r/>
      <w:bookmarkEnd w:id="151"/>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1"/>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52" w:name="_Toc16938549"/>
      <w:r/>
      <w:bookmarkStart w:id="153" w:name="_Toc20823305"/>
      <w:r/>
      <w:bookmarkStart w:id="154" w:name="_Toc513029233"/>
      <w:r>
        <w:rPr>
          <w:rFonts w:hint="eastAsia" w:ascii="宋体" w:hAnsi="宋体" w:eastAsia="宋体" w:cs="宋体"/>
          <w:color w:val="auto"/>
          <w:sz w:val="24"/>
          <w:szCs w:val="24"/>
          <w:highlight w:val="none"/>
        </w:rPr>
        <w:t xml:space="preserve">25、对投标文件的初审</w:t>
      </w:r>
      <w:bookmarkEnd w:id="152"/>
      <w:r/>
      <w:bookmarkEnd w:id="153"/>
      <w:r/>
      <w:bookmarkEnd w:id="154"/>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将不再告知未通过资格审查和符合性审查的原因。</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1"/>
        <w:ind w:firstLine="42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55" w:name="_Toc513029234"/>
      <w:r/>
      <w:bookmarkStart w:id="156" w:name="_Toc16938550"/>
      <w:r/>
      <w:bookmarkStart w:id="157"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5"/>
      <w:r/>
      <w:bookmarkEnd w:id="156"/>
      <w:r/>
      <w:bookmarkEnd w:id="157"/>
      <w:r/>
      <w:r/>
    </w:p>
    <w:p>
      <w:pPr>
        <w:pStyle w:val="651"/>
        <w:ind w:firstLine="42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58" w:name="_Toc20823307"/>
      <w:r/>
      <w:bookmarkStart w:id="159" w:name="_Toc513029235"/>
      <w:r/>
      <w:bookmarkStart w:id="160" w:name="_Toc16938551"/>
      <w:r>
        <w:rPr>
          <w:rFonts w:hint="eastAsia" w:ascii="宋体" w:hAnsi="宋体" w:eastAsia="宋体" w:cs="宋体"/>
          <w:color w:val="auto"/>
          <w:sz w:val="24"/>
          <w:szCs w:val="24"/>
          <w:highlight w:val="none"/>
        </w:rPr>
        <w:t xml:space="preserve">26.1无效投标条款</w:t>
      </w:r>
      <w:bookmarkEnd w:id="158"/>
      <w:r/>
      <w:bookmarkEnd w:id="159"/>
      <w:r/>
      <w:bookmarkEnd w:id="160"/>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51"/>
        <w:ind w:firstLine="36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2"/>
        <w:jc w:val="both"/>
        <w:spacing w:line="440" w:lineRule="exact"/>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26.1.10投标人不能证明其报价合理性的，评标委员会应当将其作为无效投标处理。</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1"/>
        <w:ind w:firstLine="480"/>
        <w:jc w:val="both"/>
        <w:pageBreakBefore w:val="0"/>
        <w:spacing w:beforeAutospacing="0" w:afterAutospacing="0"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51"/>
        <w:ind w:left="47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1"/>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61" w:name="_Toc120614219"/>
      <w:r>
        <w:rPr>
          <w:rFonts w:hint="eastAsia" w:ascii="宋体" w:hAnsi="宋体" w:eastAsia="宋体" w:cs="宋体"/>
          <w:b/>
          <w:color w:val="auto"/>
          <w:sz w:val="24"/>
          <w:szCs w:val="24"/>
          <w:highlight w:val="none"/>
        </w:rPr>
        <w:t xml:space="preserve">六、定标</w:t>
      </w:r>
      <w:bookmarkEnd w:id="161"/>
      <w:r/>
      <w:r/>
    </w:p>
    <w:p>
      <w:pPr>
        <w:pStyle w:val="651"/>
        <w:ind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62" w:name="_Toc20823310"/>
      <w:r/>
      <w:bookmarkStart w:id="163" w:name="_Toc16938554"/>
      <w:r/>
      <w:bookmarkStart w:id="164" w:name="_Toc513029238"/>
      <w:r>
        <w:rPr>
          <w:rFonts w:hint="eastAsia" w:ascii="宋体" w:hAnsi="宋体" w:eastAsia="宋体" w:cs="宋体"/>
          <w:color w:val="auto"/>
          <w:sz w:val="24"/>
          <w:szCs w:val="24"/>
          <w:highlight w:val="none"/>
        </w:rPr>
        <w:t xml:space="preserve">27、</w:t>
      </w:r>
      <w:bookmarkEnd w:id="162"/>
      <w:r>
        <w:rPr>
          <w:rFonts w:hint="eastAsia" w:ascii="宋体" w:hAnsi="宋体" w:eastAsia="宋体" w:cs="宋体"/>
          <w:color w:val="auto"/>
          <w:sz w:val="24"/>
          <w:szCs w:val="24"/>
          <w:highlight w:val="none"/>
        </w:rPr>
        <w:t xml:space="preserve">确定</w:t>
      </w:r>
      <w:bookmarkEnd w:id="163"/>
      <w:r/>
      <w:bookmarkEnd w:id="164"/>
      <w:r>
        <w:rPr>
          <w:rFonts w:hint="eastAsia" w:ascii="宋体" w:hAnsi="宋体" w:eastAsia="宋体" w:cs="宋体"/>
          <w:color w:val="auto"/>
          <w:sz w:val="24"/>
          <w:szCs w:val="24"/>
          <w:highlight w:val="none"/>
        </w:rPr>
        <w:t xml:space="preserve">中标单位</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“江苏政府采购网”、“盐城市政府采购网”发布中标公告，公告期限为1个工作日。</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27.4.2向采购人行贿或者提供其他不正当利益的。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65" w:name="_Toc200451960"/>
      <w:r>
        <w:rPr>
          <w:rFonts w:hint="eastAsia" w:ascii="宋体" w:hAnsi="宋体" w:eastAsia="宋体" w:cs="宋体"/>
          <w:color w:val="auto"/>
          <w:sz w:val="24"/>
          <w:szCs w:val="24"/>
          <w:highlight w:val="none"/>
        </w:rPr>
        <w:t xml:space="preserve">27.5 有下列情形之一的，视为投标人串通投标，投标无效：</w:t>
      </w:r>
      <w:bookmarkEnd w:id="165"/>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51"/>
        <w:ind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日内，以书面形式根据下述28.4条款的规定向采购人提出质疑。上述应知其权益受到损害之日，是指：</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1"/>
        <w:ind w:firstLine="482"/>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p>
    <w:p>
      <w:pPr>
        <w:ind w:firstLine="480"/>
        <w:jc w:val="left"/>
        <w:pageBreakBefore w:val="0"/>
        <w:spacing w:line="40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51"/>
        <w:ind w:firstLine="468"/>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51"/>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51"/>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1"/>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51"/>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rPr>
      </w:pPr>
      <w:r/>
      <w:bookmarkStart w:id="166" w:name="_Toc20823308"/>
      <w:r/>
      <w:bookmarkStart w:id="167" w:name="_Toc16938552"/>
      <w:r/>
      <w:bookmarkStart w:id="168" w:name="_Toc513029236"/>
      <w:r/>
      <w:bookmarkStart w:id="169" w:name="_Toc120614220"/>
      <w:r>
        <w:rPr>
          <w:rFonts w:hint="eastAsia" w:ascii="宋体" w:hAnsi="宋体" w:eastAsia="宋体" w:cs="宋体"/>
          <w:b/>
          <w:color w:val="auto"/>
          <w:sz w:val="24"/>
          <w:szCs w:val="24"/>
          <w:highlight w:val="none"/>
        </w:rPr>
        <w:t xml:space="preserve">七、授予合同</w:t>
      </w:r>
      <w:bookmarkEnd w:id="166"/>
      <w:r/>
      <w:bookmarkEnd w:id="167"/>
      <w:r/>
      <w:bookmarkEnd w:id="168"/>
      <w:r/>
      <w:bookmarkEnd w:id="169"/>
      <w:r/>
      <w:r/>
    </w:p>
    <w:p>
      <w:pPr>
        <w:pStyle w:val="651"/>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bookmarkStart w:id="170" w:name="_Toc16938553"/>
      <w:r/>
      <w:bookmarkStart w:id="171" w:name="_Toc20823309"/>
      <w:r/>
      <w:bookmarkStart w:id="172" w:name="_Toc513029237"/>
      <w:r>
        <w:rPr>
          <w:rFonts w:hint="eastAsia" w:ascii="宋体" w:hAnsi="宋体" w:eastAsia="宋体" w:cs="宋体"/>
          <w:color w:val="auto"/>
          <w:sz w:val="24"/>
          <w:szCs w:val="24"/>
          <w:highlight w:val="none"/>
        </w:rPr>
        <w:t xml:space="preserve">30.签订合同</w:t>
      </w:r>
      <w:bookmarkEnd w:id="170"/>
      <w:r/>
      <w:bookmarkEnd w:id="171"/>
      <w:r/>
      <w:bookmarkEnd w:id="172"/>
      <w:r/>
      <w:r/>
    </w:p>
    <w:p>
      <w:pPr>
        <w:pStyle w:val="651"/>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51"/>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51"/>
        <w:ind w:firstLine="60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1"/>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1"/>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51"/>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51"/>
        <w:ind w:firstLine="60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651"/>
        <w:ind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5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both"/>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lef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51"/>
        <w:jc w:val="center"/>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jc w:val="center"/>
        <w:rPr>
          <w:rFonts w:ascii="Times New Roman" w:hAnsi="Times New Roman" w:cs="Times New Roman"/>
          <w:color w:val="auto"/>
          <w:sz w:val="52"/>
          <w:szCs w:val="52"/>
          <w:highlight w:val="none"/>
        </w:rPr>
      </w:pPr>
      <w:r/>
      <w:bookmarkStart w:id="173" w:name="_Toc20823346"/>
      <w:r/>
      <w:bookmarkStart w:id="174" w:name="_Toc479757211"/>
      <w:r/>
      <w:bookmarkStart w:id="175" w:name="_Toc16938590"/>
      <w:r/>
      <w:bookmarkStart w:id="176" w:name="_Hlt16619350"/>
      <w:r/>
      <w:bookmarkStart w:id="177" w:name="_Toc462564139"/>
      <w:r/>
      <w:bookmarkStart w:id="178" w:name="_Toc120614244"/>
      <w:r/>
      <w:bookmarkStart w:id="179" w:name="OLE_LINK7"/>
      <w:r/>
      <w:bookmarkStart w:id="180" w:name="_Hlt16619369"/>
      <w:r/>
      <w:r/>
    </w:p>
    <w:p>
      <w:pPr>
        <w:jc w:val="center"/>
        <w:rPr>
          <w:rFonts w:ascii="Times New Roman" w:hAnsi="Times New Roman" w:cs="Times New Roman"/>
          <w:color w:val="auto"/>
          <w:sz w:val="52"/>
          <w:szCs w:val="52"/>
          <w:highlight w:val="none"/>
        </w:rPr>
      </w:pPr>
      <w:r>
        <w:rPr>
          <w:rFonts w:ascii="Times New Roman" w:hAnsi="Times New Roman" w:cs="Times New Roman"/>
          <w:color w:val="auto"/>
          <w:sz w:val="52"/>
          <w:szCs w:val="52"/>
          <w:highlight w:val="none"/>
        </w:rPr>
      </w:r>
      <w:r/>
    </w:p>
    <w:p>
      <w:pPr>
        <w:jc w:val="center"/>
        <w:rPr>
          <w:rFonts w:hint="eastAsia" w:ascii="Times New Roman" w:hAnsi="Times New Roman" w:cs="Times New Roman"/>
          <w:b/>
          <w:bCs/>
          <w:color w:val="auto"/>
          <w:sz w:val="40"/>
          <w:szCs w:val="40"/>
          <w:highlight w:val="none"/>
          <w:lang w:val="en-US" w:eastAsia="zh-CN"/>
        </w:rPr>
      </w:pPr>
      <w:r>
        <w:rPr>
          <w:rFonts w:hint="eastAsia" w:ascii="Times New Roman" w:hAnsi="Times New Roman" w:cs="Times New Roman"/>
          <w:b/>
          <w:bCs/>
          <w:color w:val="auto"/>
          <w:sz w:val="40"/>
          <w:szCs w:val="40"/>
          <w:highlight w:val="none"/>
          <w:lang w:val="en-US" w:eastAsia="zh-CN"/>
        </w:rPr>
      </w:r>
      <w:r/>
    </w:p>
    <w:p>
      <w:pPr>
        <w:jc w:val="center"/>
        <w:rPr>
          <w:rFonts w:hint="eastAsia" w:ascii="Times New Roman" w:hAnsi="Times New Roman" w:eastAsia="宋体" w:cs="Times New Roman"/>
          <w:b/>
          <w:bCs/>
          <w:color w:val="auto"/>
          <w:sz w:val="52"/>
          <w:szCs w:val="52"/>
          <w:highlight w:val="none"/>
          <w:lang w:val="en-US" w:eastAsia="zh-CN"/>
        </w:rPr>
      </w:pPr>
      <w:r>
        <w:rPr>
          <w:rFonts w:hint="eastAsia" w:ascii="Times New Roman" w:hAnsi="Times New Roman" w:cs="Times New Roman"/>
          <w:b/>
          <w:bCs/>
          <w:color w:val="auto"/>
          <w:sz w:val="52"/>
          <w:szCs w:val="52"/>
          <w:highlight w:val="none"/>
          <w:lang w:val="en-US" w:eastAsia="zh-CN"/>
        </w:rPr>
        <w:t xml:space="preserve">桥涵检测项目服务合同</w:t>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rPr>
        <w:t xml:space="preserve">项目名称：</w:t>
      </w:r>
      <w:r>
        <w:rPr>
          <w:rFonts w:hint="eastAsia" w:ascii="Times New Roman" w:hAnsi="Times New Roman" w:cs="Times New Roman"/>
          <w:color w:val="auto"/>
          <w:sz w:val="24"/>
          <w:highlight w:val="none"/>
          <w:lang w:eastAsia="zh-CN"/>
        </w:rPr>
        <w:t xml:space="preserve">2026年度盐城经济技术开发区城市桥涵定期检测服务项目</w:t>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 </w:t>
      </w:r>
      <w:r/>
    </w:p>
    <w:p>
      <w:pPr>
        <w:rPr>
          <w:rFonts w:ascii="Times New Roman" w:hAnsi="Times New Roman" w:cs="Times New Roman"/>
          <w:color w:val="auto"/>
          <w:sz w:val="24"/>
          <w:highlight w:val="none"/>
        </w:rPr>
      </w:pPr>
      <w:r>
        <w:rPr>
          <w:rFonts w:hint="eastAsia" w:ascii="Times New Roman" w:hAnsi="Times New Roman" w:cs="Times New Roman"/>
          <w:color w:val="auto"/>
          <w:sz w:val="24"/>
          <w:highlight w:val="none"/>
          <w:lang w:eastAsia="zh-CN"/>
        </w:rPr>
        <w:t xml:space="preserve">项目地点：</w:t>
      </w:r>
      <w:r>
        <w:rPr>
          <w:rFonts w:ascii="Times New Roman" w:hAnsi="Times New Roman" w:cs="Times New Roman"/>
          <w:color w:val="auto"/>
          <w:sz w:val="24"/>
          <w:highlight w:val="none"/>
        </w:rPr>
        <w:t xml:space="preserve"> </w:t>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     </w:t>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签定日期： </w:t>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1800"/>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1800"/>
        <w:rPr>
          <w:rFonts w:ascii="Times New Roman" w:hAnsi="Times New Roman" w:cs="Times New Roman"/>
          <w:bCs/>
          <w:color w:val="auto"/>
          <w:sz w:val="24"/>
          <w:highlight w:val="none"/>
        </w:rPr>
      </w:pPr>
      <w:r>
        <w:rPr>
          <w:rFonts w:ascii="Times New Roman" w:hAnsi="Times New Roman" w:cs="Times New Roman"/>
          <w:color w:val="auto"/>
          <w:sz w:val="24"/>
          <w:highlight w:val="none"/>
        </w:rPr>
        <w:t xml:space="preserve">委托单位：</w:t>
      </w:r>
      <w:r>
        <w:rPr>
          <w:rFonts w:ascii="Times New Roman" w:hAnsi="Times New Roman" w:cs="Times New Roman"/>
          <w:bCs/>
          <w:color w:val="auto"/>
          <w:sz w:val="24"/>
          <w:highlight w:val="none"/>
          <w:u w:val="single"/>
        </w:rPr>
        <w:t xml:space="preserve">盐城经济技术开发区住房保障和建设局</w:t>
      </w:r>
      <w:r/>
    </w:p>
    <w:p>
      <w:pPr>
        <w:pStyle w:val="645"/>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666"/>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1800"/>
        <w:rPr>
          <w:rFonts w:ascii="Times New Roman" w:hAnsi="Times New Roman" w:eastAsia="宋体" w:cs="Times New Roman"/>
          <w:color w:val="auto"/>
          <w:sz w:val="24"/>
          <w:highlight w:val="none"/>
          <w:u w:val="single"/>
          <w:lang w:val="en-US" w:eastAsia="zh-CN"/>
        </w:rPr>
      </w:pPr>
      <w:r>
        <w:rPr>
          <w:rFonts w:ascii="Times New Roman" w:hAnsi="Times New Roman" w:cs="Times New Roman"/>
          <w:color w:val="auto"/>
          <w:sz w:val="24"/>
          <w:highlight w:val="none"/>
        </w:rPr>
        <w:t xml:space="preserve">检测单位：</w:t>
      </w:r>
      <w:r>
        <w:rPr>
          <w:rFonts w:hint="eastAsia" w:ascii="Times New Roman" w:hAnsi="Times New Roman" w:cs="Times New Roman"/>
          <w:color w:val="auto"/>
          <w:sz w:val="24"/>
          <w:highlight w:val="none"/>
          <w:u w:val="single"/>
          <w:lang w:val="en-US" w:eastAsia="zh-CN"/>
        </w:rPr>
        <w:t xml:space="preserve">                                 </w:t>
      </w:r>
      <w:r/>
    </w:p>
    <w:p>
      <w:pPr>
        <w:spacing w:line="480" w:lineRule="exact"/>
        <w:widowControl/>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480"/>
        <w:spacing w:line="420" w:lineRule="auto"/>
        <w:widowControl/>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480"/>
        <w:spacing w:line="420" w:lineRule="auto"/>
        <w:widowControl/>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ind w:firstLine="480"/>
        <w:spacing w:line="440" w:lineRule="exact"/>
        <w:widowControl/>
        <w:rPr>
          <w:rFonts w:ascii="Times New Roman" w:hAnsi="Times New Roman" w:cs="Times New Roman"/>
          <w:color w:val="auto"/>
          <w:highlight w:val="none"/>
        </w:rPr>
      </w:pPr>
      <w:r>
        <w:rPr>
          <w:rFonts w:ascii="Times New Roman" w:hAnsi="Times New Roman" w:cs="Times New Roman"/>
          <w:color w:val="auto"/>
          <w:highlight w:val="none"/>
        </w:rPr>
        <w:t xml:space="preserve">委托单位：</w:t>
      </w:r>
      <w:r>
        <w:rPr>
          <w:rFonts w:ascii="Times New Roman" w:hAnsi="Times New Roman" w:cs="Times New Roman"/>
          <w:bCs/>
          <w:color w:val="auto"/>
          <w:highlight w:val="none"/>
          <w:u w:val="single"/>
        </w:rPr>
        <w:t xml:space="preserve">盐城经济技术开发区住房保障和建设局</w:t>
      </w:r>
      <w:r>
        <w:rPr>
          <w:rFonts w:ascii="Times New Roman" w:hAnsi="Times New Roman" w:cs="Times New Roman"/>
          <w:color w:val="auto"/>
          <w:highlight w:val="none"/>
        </w:rPr>
        <w:t xml:space="preserve">（以下简称甲方）</w:t>
      </w:r>
      <w:r/>
    </w:p>
    <w:p>
      <w:pPr>
        <w:ind w:firstLine="480"/>
        <w:spacing w:line="440" w:lineRule="exact"/>
        <w:widowControl/>
        <w:rPr>
          <w:rFonts w:ascii="Times New Roman" w:hAnsi="Times New Roman" w:cs="Times New Roman"/>
          <w:color w:val="auto"/>
          <w:highlight w:val="none"/>
        </w:rPr>
      </w:pPr>
      <w:r>
        <w:rPr>
          <w:rFonts w:ascii="Times New Roman" w:hAnsi="Times New Roman" w:cs="Times New Roman"/>
          <w:color w:val="auto"/>
          <w:highlight w:val="none"/>
        </w:rPr>
        <w:t xml:space="preserve">检测单位：</w:t>
      </w:r>
      <w:r>
        <w:rPr>
          <w:rFonts w:ascii="Times New Roman" w:hAnsi="Times New Roman" w:cs="Times New Roman"/>
          <w:color w:val="auto"/>
          <w:highlight w:val="none"/>
          <w:u w:val="single"/>
        </w:rPr>
        <w:t xml:space="preserve">                                  </w:t>
      </w:r>
      <w:r>
        <w:rPr>
          <w:rFonts w:ascii="Times New Roman" w:hAnsi="Times New Roman" w:cs="Times New Roman"/>
          <w:color w:val="auto"/>
          <w:highlight w:val="none"/>
        </w:rPr>
        <w:t xml:space="preserve">（以下简称乙方）</w:t>
      </w:r>
      <w:r/>
    </w:p>
    <w:p>
      <w:pPr>
        <w:ind w:firstLine="480"/>
        <w:spacing w:line="440" w:lineRule="exact"/>
        <w:widowControl/>
        <w:rPr>
          <w:rFonts w:ascii="Times New Roman" w:hAnsi="Times New Roman" w:cs="Times New Roman"/>
          <w:color w:val="auto"/>
          <w:highlight w:val="none"/>
        </w:rPr>
      </w:pPr>
      <w:r>
        <w:rPr>
          <w:rFonts w:ascii="Times New Roman" w:hAnsi="Times New Roman" w:cs="Times New Roman"/>
          <w:color w:val="auto"/>
          <w:highlight w:val="none"/>
        </w:rPr>
        <w:t xml:space="preserve">根据《中华人民共和国民法典》及有关法律法规的规定，甲方委托乙方对</w:t>
      </w:r>
      <w:r>
        <w:rPr>
          <w:rFonts w:hint="eastAsia" w:ascii="Times New Roman" w:hAnsi="Times New Roman" w:cs="Times New Roman"/>
          <w:color w:val="auto"/>
          <w:highlight w:val="none"/>
          <w:u w:val="single"/>
          <w:lang w:eastAsia="zh-CN"/>
        </w:rPr>
        <w:t xml:space="preserve">2026年度盐城经济技术开发区城市桥涵定期检测服务项目</w:t>
      </w:r>
      <w:r>
        <w:rPr>
          <w:rFonts w:ascii="Times New Roman" w:hAnsi="Times New Roman" w:cs="Times New Roman"/>
          <w:color w:val="auto"/>
          <w:highlight w:val="none"/>
        </w:rPr>
        <w:t xml:space="preserve">进行</w:t>
      </w:r>
      <w:r>
        <w:rPr>
          <w:rFonts w:ascii="Times New Roman" w:hAnsi="Times New Roman" w:cs="Times New Roman"/>
          <w:color w:val="auto"/>
          <w:highlight w:val="none"/>
        </w:rPr>
        <w:t xml:space="preserve">检测服务</w:t>
      </w:r>
      <w:r>
        <w:rPr>
          <w:rFonts w:ascii="Times New Roman" w:hAnsi="Times New Roman" w:cs="Times New Roman"/>
          <w:color w:val="auto"/>
          <w:highlight w:val="none"/>
        </w:rPr>
        <w:t xml:space="preserve">，现经双方协商，一致同意签定如下合同，双方共同遵守。</w:t>
      </w:r>
      <w:r/>
    </w:p>
    <w:p>
      <w:pPr>
        <w:ind w:left="480"/>
        <w:spacing w:line="440" w:lineRule="exact"/>
        <w:widowControl/>
        <w:rPr>
          <w:rFonts w:ascii="Times New Roman" w:hAnsi="Times New Roman" w:cs="Times New Roman"/>
          <w:b/>
          <w:color w:val="auto"/>
          <w:highlight w:val="none"/>
        </w:rPr>
      </w:pPr>
      <w:r>
        <w:rPr>
          <w:rFonts w:ascii="Times New Roman" w:hAnsi="Times New Roman" w:cs="Times New Roman"/>
          <w:b/>
          <w:color w:val="auto"/>
          <w:highlight w:val="none"/>
        </w:rPr>
        <w:t xml:space="preserve">一、检测范围 </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1、常规定期检测</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1.1、常规定期检测应包含《城市桥梁养护技术标准》（CJJ99-2017）规定内容，主要包括以下内容：</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（1）校核城市桥梁的基本数据。</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（2）记录桥梁病害、实地判断损坏原因，估计维修范围和方案。</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（3）对难以判断其损坏程度和原因的构件，提出作特殊检测的建议。</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（4）对损坏严重、危及安全的城市桥梁，提出限载以至暂时限制交通的建议。</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（5）根据城市桥梁技术状况，确定下次检测的时间。</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1.2、常规定期检测应</w:t>
      </w:r>
      <w:r>
        <w:rPr>
          <w:rFonts w:hint="eastAsia" w:ascii="Times New Roman" w:hAnsi="Times New Roman" w:cs="Times New Roman"/>
          <w:color w:val="auto"/>
          <w:sz w:val="21"/>
          <w:szCs w:val="21"/>
          <w:highlight w:val="none"/>
          <w:lang w:val="en-US" w:eastAsia="zh-CN"/>
        </w:rPr>
        <w:t xml:space="preserve">对下列设施的完好状况及安全情况进行检测</w:t>
      </w:r>
      <w:r>
        <w:rPr>
          <w:rFonts w:ascii="Times New Roman" w:hAnsi="Times New Roman" w:cs="Times New Roman"/>
          <w:color w:val="auto"/>
          <w:sz w:val="21"/>
          <w:szCs w:val="21"/>
          <w:highlight w:val="none"/>
        </w:rPr>
        <w:t xml:space="preserve">：</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（1）桥面系：桥面铺装、桥头搭板、伸缩装置、排水系统、人行道、护栏等；</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（2）上部结构：主梁、主桁梁、主拱圈、横梁、横向联系、主节点、挂梁、联结件等；</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（3）下部结构：支座、盖梁、墩身、台帽、台身、翼墙、锥坡及河床冲刷情况等。</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（4）附属设施：外立面幕墙（对幕墙整体结构破损、变形、脱落进行检测，并对连接件等承载结构的稳定性进行评估），梯道、护坡、限高门架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限高标志</w:t>
      </w:r>
      <w:r>
        <w:rPr>
          <w:rFonts w:ascii="Times New Roman" w:hAnsi="Times New Roman" w:cs="Times New Roman"/>
          <w:color w:val="auto"/>
          <w:sz w:val="21"/>
          <w:szCs w:val="21"/>
          <w:highlight w:val="none"/>
        </w:rPr>
        <w:t xml:space="preserve">、</w:t>
      </w:r>
      <w:r>
        <w:rPr>
          <w:rFonts w:hint="eastAsia" w:ascii="Times New Roman" w:hAnsi="Times New Roman" w:cs="Times New Roman"/>
          <w:color w:val="auto"/>
          <w:sz w:val="21"/>
          <w:szCs w:val="21"/>
          <w:highlight w:val="none"/>
          <w:lang w:val="en-US" w:eastAsia="zh-CN"/>
        </w:rPr>
        <w:t xml:space="preserve">桥梁限载标志及交通标志</w:t>
      </w:r>
      <w:r>
        <w:rPr>
          <w:rFonts w:ascii="Times New Roman" w:hAnsi="Times New Roman" w:cs="Times New Roman"/>
          <w:color w:val="auto"/>
          <w:sz w:val="21"/>
          <w:szCs w:val="21"/>
          <w:highlight w:val="none"/>
        </w:rPr>
        <w:t xml:space="preserve">等附属设施。</w:t>
      </w:r>
      <w:r/>
    </w:p>
    <w:p>
      <w:pPr>
        <w:ind w:firstLine="420"/>
        <w:spacing w:line="360" w:lineRule="auto"/>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1.3、对I类养护桥梁进行桥梁结构变位进行测量，对拱桥及软弱地基桥梁沉降进行测量，对独柱墩桥梁的侧向倾角及梁体相对水平面位移进行测量；</w:t>
      </w:r>
      <w:r/>
    </w:p>
    <w:p>
      <w:pPr>
        <w:ind w:firstLine="420"/>
        <w:spacing w:line="360" w:lineRule="auto"/>
        <w:rPr>
          <w:rFonts w:hint="eastAsia" w:ascii="Times New Roman" w:hAnsi="Times New Roman" w:cs="Times New Roman"/>
          <w:color w:val="auto"/>
          <w:szCs w:val="21"/>
          <w:highlight w:val="none"/>
        </w:rPr>
      </w:pPr>
      <w:r>
        <w:rPr>
          <w:rFonts w:hint="eastAsia" w:cs="Times New Roman"/>
          <w:color w:val="auto"/>
          <w:sz w:val="21"/>
          <w:szCs w:val="21"/>
          <w:highlight w:val="none"/>
          <w:lang w:val="en-US" w:eastAsia="zh-CN"/>
        </w:rPr>
        <w:t xml:space="preserve">1.4、</w:t>
      </w:r>
      <w:r>
        <w:rPr>
          <w:rFonts w:ascii="Times New Roman" w:hAnsi="Times New Roman" w:cs="Times New Roman"/>
          <w:color w:val="auto"/>
          <w:szCs w:val="21"/>
          <w:highlight w:val="none"/>
          <w:lang w:val="en-US" w:eastAsia="zh-CN"/>
        </w:rPr>
        <w:t xml:space="preserve">特别说明</w:t>
      </w:r>
      <w:r>
        <w:rPr>
          <w:rFonts w:cs="Times New Roman"/>
          <w:color w:val="auto"/>
          <w:sz w:val="21"/>
          <w:szCs w:val="21"/>
          <w:highlight w:val="none"/>
          <w:lang w:val="en-US" w:eastAsia="zh-CN"/>
        </w:rPr>
        <w:t xml:space="preserve">：</w:t>
      </w:r>
      <w:r>
        <w:rPr>
          <w:rFonts w:hint="eastAsia" w:ascii="Times New Roman" w:hAnsi="Times New Roman" w:cs="Times New Roman"/>
          <w:color w:val="auto"/>
          <w:szCs w:val="21"/>
          <w:highlight w:val="none"/>
        </w:rPr>
        <w:t xml:space="preserve">除常规检测外，还需对东山路团结河系杆拱桥开展专项检测。对系杆拱拱肋线形、桥面线形等结构变位进</w:t>
      </w:r>
      <w:r>
        <w:rPr>
          <w:rFonts w:hint="eastAsia" w:ascii="Times New Roman" w:hAnsi="Times New Roman" w:cs="Times New Roman"/>
          <w:color w:val="auto"/>
          <w:szCs w:val="21"/>
          <w:highlight w:val="none"/>
        </w:rPr>
        <w:t xml:space="preserve">行精密测量；同时对吊杆开展专项检测，包含吊杆表观检查、锚固系统专项检查、吊杆索力检测及典型位置局部开窗检测。吊杆无法精确测算索力时，应测试其一阶振动频率，评估同跨同侧吊杆索力分布均匀性，并与历史检测数据进行对比，判定桥梁结构受力状态是否存在异常；逐根检查吊杆锚头及锚固区有无开裂、破损、积水、锈水渗出情况，核查锚头内部防锈油脂是否结块、乳化失效及锚头有无其他异常病害；对检测存疑的吊杆选取典型位置进行开窗检测，检查内部钢丝锈蚀、积水、断丝情况，开窗作业不得损伤吊杆钢丝，检测完成后须对开窗口进行原状及时修复封闭。</w:t>
      </w:r>
      <w:r/>
    </w:p>
    <w:p>
      <w:pPr>
        <w:ind w:firstLine="420"/>
        <w:spacing w:line="360" w:lineRule="auto"/>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w:t>
      </w:r>
      <w:r>
        <w:rPr>
          <w:rFonts w:hint="eastAsia" w:ascii="Times New Roman" w:hAnsi="Times New Roman" w:cs="Times New Roman"/>
          <w:color w:val="auto"/>
          <w:sz w:val="21"/>
          <w:szCs w:val="21"/>
          <w:highlight w:val="none"/>
          <w:lang w:val="en-US" w:eastAsia="zh-CN"/>
        </w:rPr>
        <w:t xml:space="preserve">5</w:t>
      </w:r>
      <w:r>
        <w:rPr>
          <w:rFonts w:ascii="Times New Roman" w:hAnsi="Times New Roman" w:cs="Times New Roman"/>
          <w:color w:val="auto"/>
          <w:sz w:val="21"/>
          <w:szCs w:val="21"/>
          <w:highlight w:val="none"/>
        </w:rPr>
        <w:t xml:space="preserve">、根据常规定期检测的结果，进行桥梁技术状况评估分级。Ⅰ类养护的城市桥梁应按影响安全状况进行评估；Ⅱ~Ⅴ类养护的城市桥梁应按附录D对桥面系、上部结构、下部结构评分扣分表进行评估，并应符合《城市桥梁养护技术标准》（CJJ99-2017）规定。</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2、结构定期检测</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2.1包应包含《城市桥梁养护技术标准》（CJJ99-2017）规定内容，主要包括桥梁外观检测（缺损状况检查）、桥梁细部几何尺寸测量、桥面线形测量、伸缩缝检测、伸缩缝高差检测等；并进行梁体线形、墩柱沉降及结构构件的检测；</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2.2材料特性、退化程度、退化性质检测：</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对钢筋混凝土和预应力混凝土结构梁式桥：混凝土强度检测、碳化深度检测、保护层厚度检测、钢筋锈蚀状况、裂缝检测（位置、长度、深度、宽度）；</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2.3支座检测：检测位移是否正常、组件是否完整，有无断裂、错位和脱空，固定端是否松动、剪断开裂、支座垫石开裂和破损，对于盆式橡胶支座固定螺栓是否剪断，螺母是否松动，橡胶支座变形、老化，施工时的临时约束是否解除。支座检测应有对病害的描述和照片；</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2.4桥墩、台及基础</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（1）基础下冲刷、掏空检测，扩大基础的地基侵蚀检测；</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（2）桩基：在水位涨落、干湿交替冲刷磨损、颈缩、露筋检测；桩的混凝土强度检测；</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（3）钢筋混凝土墩台及盖梁：检测指标同混凝土梁式桥；</w:t>
      </w:r>
      <w:r/>
    </w:p>
    <w:p>
      <w:pPr>
        <w:ind w:firstLine="420"/>
        <w:jc w:val="left"/>
        <w:spacing w:line="440" w:lineRule="exact"/>
        <w:widowControl/>
        <w:tabs>
          <w:tab w:val="left" w:pos="7455" w:leader="none"/>
        </w:tabs>
        <w:rPr>
          <w:rFonts w:ascii="Times New Roman" w:hAnsi="Times New Roman" w:eastAsia="宋体" w:cs="Times New Roman"/>
          <w:b w:val="0"/>
          <w:bCs w:val="0"/>
          <w:color w:val="auto"/>
          <w:sz w:val="21"/>
          <w:szCs w:val="21"/>
          <w:highlight w:val="none"/>
        </w:rPr>
      </w:pPr>
      <w:r>
        <w:rPr>
          <w:rFonts w:ascii="Times New Roman" w:hAnsi="Times New Roman" w:eastAsia="宋体" w:cs="Times New Roman"/>
          <w:b w:val="0"/>
          <w:bCs w:val="0"/>
          <w:color w:val="auto"/>
          <w:sz w:val="21"/>
          <w:szCs w:val="21"/>
          <w:highlight w:val="none"/>
        </w:rPr>
        <w:t xml:space="preserve">（4）砌体墩台：砌块断裂、通缝脱开、变形、泄水孔检测。</w:t>
      </w:r>
      <w:r/>
    </w:p>
    <w:p>
      <w:pPr>
        <w:ind w:firstLine="420"/>
        <w:jc w:val="left"/>
        <w:spacing w:line="440" w:lineRule="exact"/>
        <w:widowControl/>
        <w:tabs>
          <w:tab w:val="left" w:pos="7455" w:leader="none"/>
        </w:tabs>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2.5、承载能力评定</w:t>
      </w:r>
      <w:r/>
    </w:p>
    <w:p>
      <w:pPr>
        <w:ind w:firstLine="420"/>
        <w:jc w:val="left"/>
        <w:spacing w:line="440" w:lineRule="exact"/>
        <w:widowControl/>
        <w:tabs>
          <w:tab w:val="left" w:pos="7455" w:leader="none"/>
        </w:tabs>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lang w:val="en-US" w:eastAsia="zh-CN"/>
        </w:rPr>
        <w:t xml:space="preserve">依据CJJ/T 233-2015的相关规定，根据承载能力极限状态和正常使用极限状态的要求对指定桥梁进行结构检算，包括承载力检算、刚度检算、稳定性验算；对结构检算承载能力不满足要求、或缺少《竣工图》等检算依据的桥涵进行荷载试验，以确定其实际承载能力；进行根据桥梁的结构检测结果，通过结构分析检算或静</w:t>
      </w:r>
      <w:r>
        <w:rPr>
          <w:rFonts w:ascii="Times New Roman" w:hAnsi="Times New Roman" w:cs="Times New Roman"/>
          <w:color w:val="auto"/>
          <w:sz w:val="21"/>
          <w:szCs w:val="21"/>
          <w:highlight w:val="none"/>
          <w:lang w:val="en-US" w:eastAsia="zh-CN"/>
        </w:rPr>
        <w:t xml:space="preserve">载试验对桥梁的承载能力进行评定，明确限载标准。刚度检算： 依据《公路桥梁荷载试验规程》及设计规范，对桥梁在短期荷载作用下的竖向挠度/跨径比（刚度指标）进行复核。 结合实测线形与理论线形的对比，评估结构整体刚度是否满足正常使用极限状态的要求。若实测挠度大于理论计算值或规范限值，应判定刚度不足，并据此提出限载或加固建议。稳定性检算： 针对结构体系（如高墩、独柱墩桥梁、弯桥或窄桥）及受压构件（如拱肋、墩柱），依据《公路桥梁抗震设计规范》及《公路钢筋混凝土及预应力混凝土桥涵设计规范》进行整体稳定性和局部稳定性分析。</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2.6 盐渎大桥结构检测</w:t>
      </w:r>
      <w:r/>
    </w:p>
    <w:p>
      <w:pPr>
        <w:ind w:firstLine="420"/>
        <w:rPr>
          <w:rFonts w:hint="eastAsia" w:cs="Times New Roman"/>
          <w:color w:val="auto"/>
          <w:sz w:val="21"/>
          <w:szCs w:val="21"/>
          <w:highlight w:val="none"/>
          <w:lang w:val="en-US" w:eastAsia="zh-CN"/>
        </w:rPr>
      </w:pPr>
      <w:r>
        <w:rPr>
          <w:rFonts w:cs="Times New Roman"/>
          <w:color w:val="auto"/>
          <w:sz w:val="21"/>
          <w:szCs w:val="21"/>
          <w:highlight w:val="none"/>
          <w:lang w:val="en-US" w:eastAsia="zh-CN"/>
        </w:rPr>
        <w:t xml:space="preserve">2.</w:t>
      </w:r>
      <w:r>
        <w:rPr>
          <w:rFonts w:hint="eastAsia" w:cs="Times New Roman"/>
          <w:color w:val="auto"/>
          <w:sz w:val="21"/>
          <w:szCs w:val="21"/>
          <w:highlight w:val="none"/>
          <w:lang w:val="en-US" w:eastAsia="zh-CN"/>
        </w:rPr>
        <w:t xml:space="preserve">6</w:t>
      </w:r>
      <w:r>
        <w:rPr>
          <w:rFonts w:cs="Times New Roman"/>
          <w:color w:val="auto"/>
          <w:sz w:val="21"/>
          <w:szCs w:val="21"/>
          <w:highlight w:val="none"/>
          <w:lang w:val="en-US" w:eastAsia="zh-CN"/>
        </w:rPr>
        <w:t xml:space="preserve">.1</w:t>
      </w:r>
      <w:r>
        <w:rPr>
          <w:rFonts w:hint="eastAsia" w:cs="Times New Roman"/>
          <w:color w:val="auto"/>
          <w:sz w:val="21"/>
          <w:szCs w:val="21"/>
          <w:highlight w:val="none"/>
          <w:lang w:val="en-US" w:eastAsia="zh-CN"/>
        </w:rPr>
        <w:t xml:space="preserve"> 预应力混凝土连续现浇箱梁检测</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（1）外观病害：全面检查顶板、底板、腹板裂缝（宽度、长度、走向）、混凝土剥落、露筋、施工缝错台及锚头区渗水等。</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 材料性能：采用回弹法检测混凝土强度；检测混凝土碳化深度；采用电磁感应法检测钢筋保护层厚度；采用半电池点位法检测钢筋锈蚀电位。</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（3）预应力系统：采用超声波法检测孔道灌浆密实度；检查锚具、夹片的锈蚀与完整性。</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（4） 线形与变形：复测桥面高程、轴线偏位，测量箱梁静载挠度。</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2.6.2 连续钢桁梁检测</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（1）构件检查：检查主桁弦杆、腹杆、节点板的变形、裂纹及锈蚀等级；检查漆膜老化情况。</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（2）连接系统：对关键焊缝进行超声波无损探伤；复检高强螺栓扭矩及滑移情况。</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（3）几何测量：复测桁梁轴线、节间尺寸，测量竖向及横向挠度。</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2.6.3下部结构及附属设施检测</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（1）下部结构：检查墩台、盖梁裂缝、剥落、露筋及冲刷情况；测量墩台垂直度及沉降。</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（2）支座与伸缩缝：检查支座脱空、老化、偏移情况；检查伸缩缝破损、止水带老化及止水效果。</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（3）桥面及附属：检查桥面铺装病害、护栏完整性及桥面排水系统畅通情况。</w:t>
      </w:r>
      <w:r/>
    </w:p>
    <w:p>
      <w:pPr>
        <w:ind w:firstLine="420"/>
        <w:jc w:val="left"/>
        <w:spacing w:line="440" w:lineRule="exact"/>
        <w:widowControl/>
        <w:tabs>
          <w:tab w:val="left" w:pos="7455" w:leader="none"/>
        </w:tabs>
        <w:rPr>
          <w:rFonts w:ascii="Times New Roman" w:hAnsi="Times New Roman" w:cs="Times New Roman"/>
          <w:color w:val="auto"/>
          <w:highlight w:val="none"/>
        </w:rPr>
      </w:pPr>
      <w:r>
        <w:rPr>
          <w:rFonts w:ascii="Times New Roman" w:hAnsi="Times New Roman" w:eastAsia="宋体" w:cs="Times New Roman"/>
          <w:b w:val="0"/>
          <w:bCs w:val="0"/>
          <w:color w:val="auto"/>
          <w:sz w:val="21"/>
          <w:szCs w:val="21"/>
          <w:highlight w:val="none"/>
        </w:rPr>
        <w:t xml:space="preserve">2.</w:t>
      </w:r>
      <w:r>
        <w:rPr>
          <w:rFonts w:hint="eastAsia" w:ascii="Times New Roman" w:hAnsi="Times New Roman" w:cs="Times New Roman"/>
          <w:b w:val="0"/>
          <w:bCs w:val="0"/>
          <w:color w:val="auto"/>
          <w:sz w:val="21"/>
          <w:szCs w:val="21"/>
          <w:highlight w:val="none"/>
          <w:lang w:val="en-US" w:eastAsia="zh-CN"/>
        </w:rPr>
        <w:t xml:space="preserve">7</w:t>
      </w:r>
      <w:r>
        <w:rPr>
          <w:rFonts w:ascii="Times New Roman" w:hAnsi="Times New Roman" w:eastAsia="宋体" w:cs="Times New Roman"/>
          <w:b w:val="0"/>
          <w:bCs w:val="0"/>
          <w:color w:val="auto"/>
          <w:sz w:val="21"/>
          <w:szCs w:val="21"/>
          <w:highlight w:val="none"/>
        </w:rPr>
        <w:t xml:space="preserve">根据桥梁结构检测结果对需保养小修的桥梁提出养护建议，对需进行大中修及加固的桥梁提出养护意见和有设计资质单位出具的图纸，并通过专业机构图纸审查或专家评审。</w:t>
      </w:r>
      <w:r/>
    </w:p>
    <w:p>
      <w:pPr>
        <w:ind w:firstLine="480"/>
        <w:spacing w:line="440" w:lineRule="exact"/>
        <w:widowControl/>
        <w:rPr>
          <w:rFonts w:ascii="Times New Roman" w:hAnsi="Times New Roman" w:cs="Times New Roman"/>
          <w:b/>
          <w:bCs/>
          <w:color w:val="auto"/>
          <w:highlight w:val="none"/>
        </w:rPr>
      </w:pPr>
      <w:r>
        <w:rPr>
          <w:rFonts w:ascii="Times New Roman" w:hAnsi="Times New Roman" w:cs="Times New Roman"/>
          <w:b/>
          <w:bCs/>
          <w:color w:val="auto"/>
          <w:highlight w:val="none"/>
        </w:rPr>
        <w:t xml:space="preserve">二、甲方责任和义务</w:t>
      </w:r>
      <w:r/>
    </w:p>
    <w:p>
      <w:pPr>
        <w:ind w:firstLine="48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1、</w:t>
      </w:r>
      <w:r>
        <w:rPr>
          <w:rFonts w:ascii="Times New Roman" w:hAnsi="Times New Roman" w:cs="Times New Roman"/>
          <w:color w:val="auto"/>
          <w:highlight w:val="none"/>
        </w:rPr>
        <w:t xml:space="preserve">甲方应按约定的时间及时支付乙方检测费用。</w:t>
      </w:r>
      <w:r/>
    </w:p>
    <w:p>
      <w:pPr>
        <w:ind w:firstLine="48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2、</w:t>
      </w:r>
      <w:r>
        <w:rPr>
          <w:rFonts w:ascii="Times New Roman" w:hAnsi="Times New Roman" w:cs="Times New Roman"/>
          <w:color w:val="auto"/>
          <w:highlight w:val="none"/>
        </w:rPr>
        <w:t xml:space="preserve">指定取样、送样、见证取样人员保证样品取样符合有关标准的规定并保证样品的真实性；</w:t>
      </w:r>
      <w:r/>
    </w:p>
    <w:p>
      <w:pPr>
        <w:ind w:firstLine="420"/>
        <w:spacing w:line="44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桥梁检测过程中的协调、配合事项。</w:t>
      </w:r>
      <w:r/>
    </w:p>
    <w:p>
      <w:pPr>
        <w:ind w:firstLine="480"/>
        <w:spacing w:line="440" w:lineRule="exact"/>
        <w:widowControl/>
        <w:rPr>
          <w:rFonts w:ascii="Times New Roman" w:hAnsi="Times New Roman" w:cs="Times New Roman"/>
          <w:color w:val="auto"/>
          <w:highlight w:val="none"/>
        </w:rPr>
      </w:pPr>
      <w:r>
        <w:rPr>
          <w:rFonts w:ascii="Times New Roman" w:hAnsi="Times New Roman" w:cs="Times New Roman"/>
          <w:color w:val="auto"/>
          <w:highlight w:val="none"/>
        </w:rPr>
        <w:t xml:space="preserve">由于本项目需要检测的桥梁均为已通车桥梁，车流量较大，为使桥梁检测工作顺利、安全进行，甲方协助乙方和交通管理部门协调，乙方负责桥梁检测过程中的桥面交通临时封闭等工作。</w:t>
      </w:r>
      <w:r/>
    </w:p>
    <w:p>
      <w:pPr>
        <w:ind w:firstLine="480"/>
        <w:spacing w:line="440" w:lineRule="exact"/>
        <w:widowControl/>
        <w:rPr>
          <w:rFonts w:ascii="Times New Roman" w:hAnsi="Times New Roman" w:cs="Times New Roman"/>
          <w:color w:val="auto"/>
          <w:highlight w:val="none"/>
        </w:rPr>
      </w:pPr>
      <w:r>
        <w:rPr>
          <w:rFonts w:ascii="Times New Roman" w:hAnsi="Times New Roman" w:cs="Times New Roman"/>
          <w:b/>
          <w:bCs/>
          <w:color w:val="auto"/>
          <w:highlight w:val="none"/>
        </w:rPr>
        <w:t xml:space="preserve">三、乙方责任和义务</w:t>
      </w:r>
      <w:r/>
    </w:p>
    <w:p>
      <w:pPr>
        <w:ind w:firstLine="48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1、</w:t>
      </w:r>
      <w:r>
        <w:rPr>
          <w:rFonts w:ascii="Times New Roman" w:hAnsi="Times New Roman" w:cs="Times New Roman"/>
          <w:color w:val="auto"/>
          <w:highlight w:val="none"/>
        </w:rPr>
        <w:t xml:space="preserve"> 按期完成甲方委托，检测过程中发现病害较严重的情况应及时汇报甲方，经双方协商沟通是否需要进行进一步检测，按照合同约定的工期及时提供正式报告。</w:t>
      </w:r>
      <w:r/>
    </w:p>
    <w:p>
      <w:pPr>
        <w:ind w:firstLine="48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2、</w:t>
      </w:r>
      <w:r>
        <w:rPr>
          <w:rFonts w:ascii="Times New Roman" w:hAnsi="Times New Roman" w:cs="Times New Roman"/>
          <w:color w:val="auto"/>
          <w:highlight w:val="none"/>
        </w:rPr>
        <w:t xml:space="preserve">严格按国家规范、标准进行检测，确保数据公正、准确；必要时提供检测方案；</w:t>
      </w:r>
      <w:r/>
    </w:p>
    <w:p>
      <w:pPr>
        <w:ind w:firstLine="48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协助对甲方的技术进行保密；</w:t>
      </w:r>
      <w:r/>
    </w:p>
    <w:p>
      <w:pPr>
        <w:ind w:firstLine="48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4、</w:t>
      </w:r>
      <w:r>
        <w:rPr>
          <w:rFonts w:ascii="Times New Roman" w:hAnsi="Times New Roman" w:cs="Times New Roman"/>
          <w:color w:val="auto"/>
          <w:highlight w:val="none"/>
        </w:rPr>
        <w:t xml:space="preserve">向甲方提供必要的检测咨询服务。</w:t>
      </w:r>
      <w:r/>
    </w:p>
    <w:p>
      <w:pPr>
        <w:ind w:firstLine="480"/>
        <w:spacing w:line="440" w:lineRule="exact"/>
        <w:widowControl/>
        <w:rPr>
          <w:rFonts w:ascii="Times New Roman" w:hAnsi="Times New Roman" w:cs="Times New Roman"/>
          <w:b/>
          <w:bCs/>
          <w:color w:val="auto"/>
          <w:highlight w:val="none"/>
        </w:rPr>
      </w:pPr>
      <w:r>
        <w:rPr>
          <w:rFonts w:ascii="Times New Roman" w:hAnsi="Times New Roman" w:cs="Times New Roman"/>
          <w:b/>
          <w:bCs/>
          <w:color w:val="auto"/>
          <w:highlight w:val="none"/>
        </w:rPr>
        <w:t xml:space="preserve">四、检测期及检测程序（本程序甲方均委托乙方具体实施）</w:t>
      </w:r>
      <w:r/>
    </w:p>
    <w:p>
      <w:pPr>
        <w:ind w:firstLine="420"/>
        <w:spacing w:line="44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1、</w:t>
      </w:r>
      <w:r>
        <w:rPr>
          <w:rFonts w:ascii="Times New Roman" w:hAnsi="Times New Roman" w:cs="Times New Roman"/>
          <w:color w:val="auto"/>
          <w:highlight w:val="none"/>
        </w:rPr>
        <w:t xml:space="preserve">中标人自收到招标单位的服务通知后</w:t>
      </w:r>
      <w:r>
        <w:rPr>
          <w:rFonts w:ascii="Times New Roman" w:hAnsi="Times New Roman" w:cs="Times New Roman"/>
          <w:color w:val="auto"/>
          <w:highlight w:val="none"/>
          <w:u w:val="single"/>
        </w:rPr>
        <w:t xml:space="preserve"> 120日历天</w:t>
      </w:r>
      <w:r>
        <w:rPr>
          <w:rFonts w:ascii="Times New Roman" w:hAnsi="Times New Roman" w:cs="Times New Roman"/>
          <w:color w:val="auto"/>
          <w:highlight w:val="none"/>
        </w:rPr>
        <w:t xml:space="preserve">内完成相应服务项目内容；</w:t>
      </w:r>
      <w:r/>
    </w:p>
    <w:p>
      <w:pPr>
        <w:ind w:firstLine="420"/>
        <w:spacing w:line="440" w:lineRule="exact"/>
        <w:widowControl/>
        <w:rPr>
          <w:rFonts w:ascii="Times New Roman" w:hAnsi="Times New Roman" w:cs="Times New Roman"/>
          <w:color w:val="auto"/>
          <w:highlight w:val="none"/>
        </w:rPr>
      </w:pPr>
      <w:r>
        <w:rPr>
          <w:rFonts w:hint="eastAsia" w:ascii="Times New Roman" w:hAnsi="Times New Roman" w:cs="Times New Roman"/>
          <w:bCs/>
          <w:color w:val="auto"/>
          <w:highlight w:val="none"/>
          <w:lang w:val="en-US" w:eastAsia="zh-CN"/>
        </w:rPr>
        <w:t xml:space="preserve">2、</w:t>
      </w:r>
      <w:r>
        <w:rPr>
          <w:rFonts w:ascii="Times New Roman" w:hAnsi="Times New Roman" w:cs="Times New Roman"/>
          <w:color w:val="auto"/>
          <w:highlight w:val="none"/>
        </w:rPr>
        <w:t xml:space="preserve">未能按合同规定的日期提交检测成果时，应向甲方支付违约金，处罚每天1000元。</w:t>
      </w:r>
      <w:r/>
    </w:p>
    <w:p>
      <w:pPr>
        <w:ind w:firstLine="42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 由甲方委托乙方将受检产品送到乙方实施检测。</w:t>
      </w:r>
      <w:r/>
    </w:p>
    <w:p>
      <w:pPr>
        <w:ind w:firstLine="42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4、</w:t>
      </w:r>
      <w:r>
        <w:rPr>
          <w:rFonts w:ascii="Times New Roman" w:hAnsi="Times New Roman" w:cs="Times New Roman"/>
          <w:color w:val="auto"/>
          <w:highlight w:val="none"/>
        </w:rPr>
        <w:t xml:space="preserve">本项目大多属现场检测，须甲方配合的须提前三天（扣除节假日）通知甲方。</w:t>
      </w:r>
      <w:r/>
    </w:p>
    <w:p>
      <w:pPr>
        <w:ind w:firstLine="42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5、</w:t>
      </w:r>
      <w:r>
        <w:rPr>
          <w:rFonts w:ascii="Times New Roman" w:hAnsi="Times New Roman" w:cs="Times New Roman"/>
          <w:color w:val="auto"/>
          <w:highlight w:val="none"/>
        </w:rPr>
        <w:t xml:space="preserve">按招标文件及合同约定检测范围进行检测。</w:t>
      </w:r>
      <w:r/>
    </w:p>
    <w:p>
      <w:pPr>
        <w:ind w:firstLine="422"/>
        <w:spacing w:line="440" w:lineRule="exact"/>
        <w:tabs>
          <w:tab w:val="left" w:pos="1580" w:leader="none"/>
        </w:tabs>
        <w:rPr>
          <w:rFonts w:ascii="Times New Roman" w:hAnsi="Times New Roman" w:cs="Times New Roman"/>
          <w:b/>
          <w:bCs/>
          <w:color w:val="auto"/>
          <w:highlight w:val="none"/>
        </w:rPr>
      </w:pPr>
      <w:r>
        <w:rPr>
          <w:rFonts w:ascii="Times New Roman" w:hAnsi="Times New Roman" w:cs="Times New Roman"/>
          <w:b/>
          <w:bCs/>
          <w:color w:val="auto"/>
          <w:highlight w:val="none"/>
        </w:rPr>
        <w:t xml:space="preserve">五</w:t>
      </w:r>
      <w:r>
        <w:rPr>
          <w:rFonts w:ascii="Times New Roman" w:hAnsi="Times New Roman" w:cs="Times New Roman"/>
          <w:b/>
          <w:color w:val="auto"/>
          <w:highlight w:val="none"/>
        </w:rPr>
        <w:t xml:space="preserve">、</w:t>
      </w:r>
      <w:r>
        <w:rPr>
          <w:rFonts w:ascii="Times New Roman" w:hAnsi="Times New Roman" w:cs="Times New Roman"/>
          <w:b/>
          <w:bCs/>
          <w:color w:val="auto"/>
          <w:highlight w:val="none"/>
        </w:rPr>
        <w:t xml:space="preserve">分包</w:t>
      </w:r>
      <w:r/>
    </w:p>
    <w:p>
      <w:pPr>
        <w:ind w:firstLine="420"/>
        <w:spacing w:line="440" w:lineRule="exact"/>
        <w:tabs>
          <w:tab w:val="left" w:pos="1580" w:leader="none"/>
        </w:tabs>
        <w:rPr>
          <w:rFonts w:ascii="Times New Roman" w:hAnsi="Times New Roman" w:cs="Times New Roman"/>
          <w:color w:val="auto"/>
          <w:highlight w:val="none"/>
        </w:rPr>
      </w:pPr>
      <w:r>
        <w:rPr>
          <w:rFonts w:ascii="Times New Roman" w:hAnsi="Times New Roman" w:cs="Times New Roman"/>
          <w:color w:val="auto"/>
          <w:highlight w:val="none"/>
        </w:rPr>
        <w:t xml:space="preserve">该服务项目不得转包或违法分包。乙方必须以主体力量实施工程的检测任务，项目负责人在实施本工程的检测任务期间必须承担全面负责的责任。</w:t>
      </w:r>
      <w:r/>
    </w:p>
    <w:p>
      <w:pPr>
        <w:ind w:firstLine="480"/>
        <w:spacing w:line="440" w:lineRule="exact"/>
        <w:widowControl/>
        <w:rPr>
          <w:rFonts w:ascii="Times New Roman" w:hAnsi="Times New Roman" w:cs="Times New Roman"/>
          <w:b/>
          <w:bCs/>
          <w:color w:val="auto"/>
          <w:highlight w:val="none"/>
        </w:rPr>
      </w:pPr>
      <w:r>
        <w:rPr>
          <w:rFonts w:ascii="Times New Roman" w:hAnsi="Times New Roman" w:cs="Times New Roman"/>
          <w:b/>
          <w:bCs/>
          <w:color w:val="auto"/>
          <w:highlight w:val="none"/>
        </w:rPr>
        <w:t xml:space="preserve">六、合同价款和支付方式</w:t>
      </w:r>
      <w:r/>
    </w:p>
    <w:p>
      <w:pPr>
        <w:ind w:firstLine="480"/>
        <w:spacing w:line="440" w:lineRule="exact"/>
        <w:widowControl/>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1. 本合同金额为（大写）：_____________（_______元）人民币。</w:t>
      </w:r>
      <w:r/>
    </w:p>
    <w:p>
      <w:pPr>
        <w:ind w:firstLine="480"/>
        <w:spacing w:line="440" w:lineRule="exact"/>
        <w:widowControl/>
        <w:rPr>
          <w:rFonts w:ascii="Times New Roman" w:hAnsi="Times New Roman" w:cs="Times New Roman"/>
          <w:color w:val="auto"/>
          <w:highlight w:val="none"/>
        </w:rPr>
      </w:pPr>
      <w:r>
        <w:rPr>
          <w:rFonts w:ascii="Times New Roman" w:hAnsi="Times New Roman" w:cs="Times New Roman"/>
          <w:color w:val="auto"/>
          <w:highlight w:val="none"/>
        </w:rPr>
        <w:t xml:space="preserve">本项目为固定单价合同，结算单价为全费用综合单价，含完成全部检测内容及出具检测成果文件所需的全部费用，结算时除检测的</w:t>
      </w:r>
      <w:r>
        <w:rPr>
          <w:rFonts w:hint="eastAsia" w:ascii="Times New Roman" w:hAnsi="Times New Roman" w:cs="Times New Roman"/>
          <w:color w:val="auto"/>
          <w:highlight w:val="none"/>
          <w:lang w:eastAsia="zh-CN"/>
        </w:rPr>
        <w:t xml:space="preserve">桥涵</w:t>
      </w:r>
      <w:r>
        <w:rPr>
          <w:rFonts w:ascii="Times New Roman" w:hAnsi="Times New Roman" w:cs="Times New Roman"/>
          <w:color w:val="auto"/>
          <w:highlight w:val="none"/>
        </w:rPr>
        <w:t xml:space="preserve">的数量按实际调整外，结算单价不予调整，同时甲方不另外支付任何费用。</w:t>
      </w:r>
      <w:r/>
    </w:p>
    <w:p>
      <w:pPr>
        <w:ind w:firstLine="420"/>
        <w:spacing w:line="440" w:lineRule="exact"/>
        <w:widowControl/>
        <w:rPr>
          <w:rFonts w:hint="eastAsia" w:ascii="Times New Roman" w:hAnsi="Times New Roman" w:eastAsia="宋体" w:cs="Times New Roman"/>
          <w:color w:val="auto"/>
          <w:highlight w:val="none"/>
          <w:u w:val="single"/>
          <w:lang w:eastAsia="zh-CN"/>
        </w:rPr>
      </w:pPr>
      <w:r>
        <w:rPr>
          <w:rFonts w:hint="eastAsia" w:ascii="Times New Roman" w:hAnsi="Times New Roman" w:cs="Times New Roman"/>
          <w:color w:val="auto"/>
          <w:highlight w:val="none"/>
          <w:u w:val="single"/>
          <w:lang w:eastAsia="zh-CN"/>
        </w:rPr>
        <w:t xml:space="preserve">（</w:t>
      </w:r>
      <w:r>
        <w:rPr>
          <w:rFonts w:hint="eastAsia" w:ascii="Times New Roman" w:hAnsi="Times New Roman" w:cs="Times New Roman"/>
          <w:color w:val="auto"/>
          <w:highlight w:val="none"/>
          <w:u w:val="single"/>
          <w:lang w:val="en-US" w:eastAsia="zh-CN"/>
        </w:rPr>
        <w:t xml:space="preserve">1）</w:t>
      </w:r>
      <w:r>
        <w:rPr>
          <w:rFonts w:ascii="Times New Roman" w:hAnsi="Times New Roman" w:cs="Times New Roman"/>
          <w:color w:val="auto"/>
          <w:highlight w:val="none"/>
          <w:u w:val="single"/>
        </w:rPr>
        <w:t xml:space="preserve">合同签订后</w:t>
      </w:r>
      <w:r>
        <w:rPr>
          <w:rFonts w:hint="eastAsia" w:ascii="Times New Roman" w:hAnsi="Times New Roman" w:cs="Times New Roman"/>
          <w:color w:val="auto"/>
          <w:highlight w:val="none"/>
          <w:u w:val="single"/>
          <w:lang w:eastAsia="zh-CN"/>
        </w:rPr>
        <w:t xml:space="preserve">预</w:t>
      </w:r>
      <w:r>
        <w:rPr>
          <w:rFonts w:ascii="Times New Roman" w:hAnsi="Times New Roman" w:cs="Times New Roman"/>
          <w:color w:val="auto"/>
          <w:highlight w:val="none"/>
          <w:u w:val="single"/>
        </w:rPr>
        <w:t xml:space="preserve">支付合同价的</w:t>
      </w:r>
      <w:r>
        <w:rPr>
          <w:rFonts w:hint="eastAsia" w:ascii="Times New Roman" w:hAnsi="Times New Roman" w:cs="Times New Roman"/>
          <w:color w:val="auto"/>
          <w:highlight w:val="none"/>
          <w:u w:val="single"/>
          <w:lang w:val="en-US" w:eastAsia="zh-CN"/>
        </w:rPr>
        <w:t xml:space="preserve">3</w:t>
      </w:r>
      <w:r>
        <w:rPr>
          <w:rFonts w:ascii="Times New Roman" w:hAnsi="Times New Roman" w:cs="Times New Roman"/>
          <w:color w:val="auto"/>
          <w:highlight w:val="none"/>
          <w:u w:val="single"/>
        </w:rPr>
        <w:t xml:space="preserve">0%；</w:t>
      </w:r>
      <w:r>
        <w:rPr>
          <w:rFonts w:hint="eastAsia" w:ascii="Times New Roman" w:hAnsi="Times New Roman" w:cs="Times New Roman"/>
          <w:color w:val="auto"/>
          <w:highlight w:val="none"/>
          <w:u w:val="single"/>
          <w:lang w:eastAsia="zh-CN"/>
        </w:rPr>
        <w:t xml:space="preserve">（</w:t>
      </w:r>
      <w:bookmarkStart w:id="181" w:name="OLE_LINK18"/>
      <w:r>
        <w:rPr>
          <w:rFonts w:hint="eastAsia" w:ascii="Times New Roman" w:hAnsi="Times New Roman" w:cs="Times New Roman"/>
          <w:color w:val="auto"/>
          <w:highlight w:val="none"/>
          <w:u w:val="single"/>
          <w:lang w:val="en-US" w:eastAsia="zh-CN"/>
        </w:rPr>
        <w:t xml:space="preserve">在签订合同时，乙方明确书面表示无需预付款或者主动要求降低预付款比例的，甲方可就预付款比例作相应调整。</w:t>
      </w:r>
      <w:bookmarkEnd w:id="181"/>
      <w:r>
        <w:rPr>
          <w:rFonts w:hint="eastAsia" w:ascii="Times New Roman" w:hAnsi="Times New Roman" w:cs="Times New Roman"/>
          <w:color w:val="auto"/>
          <w:highlight w:val="none"/>
          <w:u w:val="single"/>
          <w:lang w:eastAsia="zh-CN"/>
        </w:rPr>
        <w:t xml:space="preserve">）</w:t>
      </w:r>
      <w:r/>
    </w:p>
    <w:p>
      <w:pPr>
        <w:ind w:firstLine="420"/>
        <w:spacing w:line="440" w:lineRule="exact"/>
        <w:rPr>
          <w:rFonts w:ascii="Times New Roman" w:hAnsi="Times New Roman" w:cs="Times New Roman"/>
          <w:color w:val="auto"/>
          <w:highlight w:val="none"/>
          <w:u w:val="single"/>
        </w:rPr>
      </w:pPr>
      <w:r>
        <w:rPr>
          <w:rFonts w:hint="eastAsia" w:ascii="Times New Roman" w:hAnsi="Times New Roman" w:cs="Times New Roman"/>
          <w:color w:val="auto"/>
          <w:highlight w:val="none"/>
          <w:u w:val="single"/>
          <w:lang w:eastAsia="zh-CN"/>
        </w:rPr>
        <w:t xml:space="preserve">（</w:t>
      </w:r>
      <w:r>
        <w:rPr>
          <w:rFonts w:hint="eastAsia" w:ascii="Times New Roman" w:hAnsi="Times New Roman" w:cs="Times New Roman"/>
          <w:color w:val="auto"/>
          <w:highlight w:val="none"/>
          <w:u w:val="single"/>
          <w:lang w:val="en-US" w:eastAsia="zh-CN"/>
        </w:rPr>
        <w:t xml:space="preserve">2）</w:t>
      </w:r>
      <w:r>
        <w:rPr>
          <w:rFonts w:ascii="Times New Roman" w:hAnsi="Times New Roman" w:cs="Times New Roman"/>
          <w:color w:val="auto"/>
          <w:highlight w:val="none"/>
          <w:u w:val="single"/>
        </w:rPr>
        <w:t xml:space="preserve">完成甲方实际委托范围内的全部检测内容付至实际完成检测费用的40%；</w:t>
      </w:r>
      <w:r/>
    </w:p>
    <w:p>
      <w:pPr>
        <w:ind w:firstLine="420"/>
        <w:spacing w:line="440" w:lineRule="exact"/>
        <w:widowControl/>
        <w:rPr>
          <w:rFonts w:ascii="Times New Roman" w:hAnsi="Times New Roman" w:cs="Times New Roman"/>
          <w:color w:val="auto"/>
          <w:highlight w:val="none"/>
          <w:u w:val="single"/>
        </w:rPr>
      </w:pPr>
      <w:r>
        <w:rPr>
          <w:rFonts w:hint="eastAsia" w:ascii="Times New Roman" w:hAnsi="Times New Roman" w:cs="Times New Roman"/>
          <w:color w:val="auto"/>
          <w:highlight w:val="none"/>
          <w:u w:val="single"/>
          <w:lang w:eastAsia="zh-CN"/>
        </w:rPr>
        <w:t xml:space="preserve">（</w:t>
      </w:r>
      <w:r>
        <w:rPr>
          <w:rFonts w:hint="eastAsia" w:ascii="Times New Roman" w:hAnsi="Times New Roman" w:cs="Times New Roman"/>
          <w:color w:val="auto"/>
          <w:highlight w:val="none"/>
          <w:u w:val="single"/>
          <w:lang w:val="en-US" w:eastAsia="zh-CN"/>
        </w:rPr>
        <w:t xml:space="preserve">3）</w:t>
      </w:r>
      <w:r>
        <w:rPr>
          <w:rFonts w:ascii="Times New Roman" w:hAnsi="Times New Roman" w:cs="Times New Roman"/>
          <w:color w:val="auto"/>
          <w:highlight w:val="none"/>
          <w:u w:val="single"/>
        </w:rPr>
        <w:t xml:space="preserve">出具有效的检测成果文件并经专业评审合格后</w:t>
      </w:r>
      <w:r>
        <w:rPr>
          <w:rFonts w:hint="eastAsia" w:ascii="Times New Roman" w:hAnsi="Times New Roman" w:cs="Times New Roman"/>
          <w:color w:val="auto"/>
          <w:highlight w:val="none"/>
          <w:u w:val="single"/>
          <w:lang w:eastAsia="zh-CN"/>
        </w:rPr>
        <w:t xml:space="preserve">付清。</w:t>
      </w:r>
      <w:r/>
    </w:p>
    <w:p>
      <w:pPr>
        <w:ind w:firstLine="480"/>
        <w:spacing w:line="440" w:lineRule="exact"/>
        <w:widowControl/>
        <w:rPr>
          <w:rFonts w:ascii="Times New Roman" w:hAnsi="Times New Roman" w:cs="Times New Roman"/>
          <w:b/>
          <w:bCs/>
          <w:color w:val="auto"/>
          <w:highlight w:val="none"/>
        </w:rPr>
      </w:pPr>
      <w:r>
        <w:rPr>
          <w:rFonts w:ascii="Times New Roman" w:hAnsi="Times New Roman" w:cs="Times New Roman"/>
          <w:b/>
          <w:bCs/>
          <w:color w:val="auto"/>
          <w:highlight w:val="none"/>
        </w:rPr>
        <w:t xml:space="preserve">七、 履约保证金 </w:t>
      </w:r>
      <w:r/>
    </w:p>
    <w:p>
      <w:pPr>
        <w:ind w:firstLine="420"/>
        <w:spacing w:line="46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1、</w:t>
      </w:r>
      <w:r>
        <w:rPr>
          <w:rFonts w:ascii="Times New Roman" w:hAnsi="Times New Roman" w:cs="Times New Roman"/>
          <w:color w:val="auto"/>
          <w:highlight w:val="none"/>
        </w:rPr>
        <w:t xml:space="preserve">乙方交纳人民币_________元作为本合同的履约保证金。</w:t>
      </w:r>
      <w:r/>
    </w:p>
    <w:p>
      <w:pPr>
        <w:ind w:firstLine="420"/>
        <w:spacing w:line="460" w:lineRule="exact"/>
        <w:rPr>
          <w:rFonts w:ascii="Times New Roman" w:hAnsi="Times New Roman" w:cs="Times New Roman"/>
          <w:color w:val="auto"/>
          <w:highlight w:val="none"/>
          <w:lang w:val="en-US" w:eastAsia="zh-CN"/>
        </w:rPr>
      </w:pPr>
      <w:r>
        <w:rPr>
          <w:rFonts w:ascii="Times New Roman" w:hAnsi="Times New Roman" w:cs="Times New Roman"/>
          <w:color w:val="auto"/>
          <w:highlight w:val="none"/>
          <w:lang w:val="en-US" w:eastAsia="zh-CN"/>
        </w:rPr>
        <w:t xml:space="preserve">（备注：合同金额的10%，采购人应当对AA评级及以上政府采购供应商（需提供信用管理部门备案的第三方信用报告）降低至合同金额的5%。）</w:t>
      </w:r>
      <w:r/>
    </w:p>
    <w:p>
      <w:pPr>
        <w:ind w:firstLine="420"/>
        <w:spacing w:line="460" w:lineRule="exact"/>
        <w:rPr>
          <w:rFonts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2、</w:t>
      </w:r>
      <w:r>
        <w:rPr>
          <w:rFonts w:ascii="Times New Roman" w:hAnsi="Times New Roman" w:cs="Times New Roman"/>
          <w:color w:val="auto"/>
          <w:highlight w:val="none"/>
          <w:lang w:val="en-US" w:eastAsia="zh-CN"/>
        </w:rPr>
        <w:t xml:space="preserve">确需收取履约保证金的，</w:t>
      </w:r>
      <w:r>
        <w:rPr>
          <w:rFonts w:ascii="Times New Roman" w:hAnsi="Times New Roman" w:cs="Times New Roman"/>
          <w:color w:val="auto"/>
          <w:highlight w:val="none"/>
          <w:lang w:eastAsia="zh-CN"/>
        </w:rPr>
        <w:t xml:space="preserve">履约保证金的缴纳形式：</w:t>
      </w:r>
      <w:r/>
    </w:p>
    <w:p>
      <w:pPr>
        <w:ind w:firstLine="420"/>
        <w:spacing w:line="460" w:lineRule="exact"/>
        <w:rPr>
          <w:rFonts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（1）</w:t>
      </w:r>
      <w:r>
        <w:rPr>
          <w:rFonts w:ascii="Times New Roman" w:hAnsi="Times New Roman" w:cs="Times New Roman"/>
          <w:color w:val="auto"/>
          <w:highlight w:val="none"/>
        </w:rPr>
        <w:t xml:space="preserve">供应商应当以支票、汇票、本票或者金融机构、担保机构出具的保函等非现金形式提交</w:t>
      </w:r>
      <w:r>
        <w:rPr>
          <w:rFonts w:ascii="Times New Roman" w:hAnsi="Times New Roman" w:cs="Times New Roman"/>
          <w:color w:val="auto"/>
          <w:highlight w:val="none"/>
          <w:lang w:eastAsia="zh-CN"/>
        </w:rPr>
        <w:t xml:space="preserve">履约保证金</w:t>
      </w:r>
      <w:r>
        <w:rPr>
          <w:rFonts w:ascii="Times New Roman" w:hAnsi="Times New Roman" w:cs="Times New Roman"/>
          <w:color w:val="auto"/>
          <w:highlight w:val="none"/>
        </w:rPr>
        <w:t xml:space="preserve">。依据《关于在全省政府采购领域推行电子履约保函（保险）的通知》，鼓励供应商自愿使用</w:t>
      </w:r>
      <w:r>
        <w:rPr>
          <w:rFonts w:ascii="Times New Roman" w:hAnsi="Times New Roman" w:cs="Times New Roman"/>
          <w:color w:val="auto"/>
          <w:highlight w:val="none"/>
          <w:lang w:eastAsia="zh-CN"/>
        </w:rPr>
        <w:t xml:space="preserve">电子</w:t>
      </w:r>
      <w:r>
        <w:rPr>
          <w:rFonts w:ascii="Times New Roman" w:hAnsi="Times New Roman" w:cs="Times New Roman"/>
          <w:color w:val="auto"/>
          <w:highlight w:val="none"/>
        </w:rPr>
        <w:t xml:space="preserve">履约保函（保险）代替缴纳履约保证金</w:t>
      </w:r>
      <w:r>
        <w:rPr>
          <w:rFonts w:ascii="Times New Roman" w:hAnsi="Times New Roman" w:cs="Times New Roman"/>
          <w:color w:val="auto"/>
          <w:highlight w:val="none"/>
          <w:lang w:eastAsia="zh-CN"/>
        </w:rPr>
        <w:t xml:space="preserve">。</w:t>
      </w:r>
      <w:r/>
    </w:p>
    <w:p>
      <w:pPr>
        <w:ind w:firstLine="420"/>
        <w:spacing w:line="460" w:lineRule="exact"/>
        <w:rPr>
          <w:rFonts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（2）</w:t>
      </w:r>
      <w:r>
        <w:rPr>
          <w:rFonts w:ascii="Times New Roman" w:hAnsi="Times New Roman" w:cs="Times New Roman"/>
          <w:color w:val="auto"/>
          <w:highlight w:val="none"/>
          <w:lang w:val="en-US" w:eastAsia="zh-CN"/>
        </w:rPr>
        <w:t xml:space="preserve"> 如以履约保函（保险）形式缴纳履约保证金，供应商可通过政府采购电子履约保函（保险）平台（www.jsdzbh.com）在线申请履约保函（保险）。</w:t>
      </w:r>
      <w:r/>
    </w:p>
    <w:p>
      <w:pPr>
        <w:ind w:firstLine="420"/>
        <w:spacing w:line="46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合同履行结束后，甲方应及时退还交纳的履约保证金。</w:t>
      </w:r>
      <w:r/>
    </w:p>
    <w:p>
      <w:pPr>
        <w:ind w:firstLine="420"/>
        <w:spacing w:line="46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履约保证金的退还：</w:t>
      </w:r>
      <w:r/>
    </w:p>
    <w:p>
      <w:pPr>
        <w:ind w:firstLine="420"/>
        <w:spacing w:line="46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（1）</w:t>
      </w:r>
      <w:r>
        <w:rPr>
          <w:rFonts w:ascii="Times New Roman" w:hAnsi="Times New Roman" w:cs="Times New Roman"/>
          <w:color w:val="auto"/>
          <w:highlight w:val="none"/>
        </w:rPr>
        <w:t xml:space="preserve">方式：退还至投标人缴纳履约保证金的账户。如为保函，在到期时自行失效。</w:t>
      </w:r>
      <w:r/>
    </w:p>
    <w:p>
      <w:pPr>
        <w:ind w:firstLine="420"/>
        <w:spacing w:line="46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（2）</w:t>
      </w:r>
      <w:r>
        <w:rPr>
          <w:rFonts w:ascii="Times New Roman" w:hAnsi="Times New Roman" w:cs="Times New Roman"/>
          <w:color w:val="auto"/>
          <w:highlight w:val="none"/>
        </w:rPr>
        <w:t xml:space="preserve">时间：验收合格且采购人收到发票后30日内。</w:t>
      </w:r>
      <w:r/>
    </w:p>
    <w:p>
      <w:pPr>
        <w:ind w:firstLine="420"/>
        <w:spacing w:line="46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条件：按合同要求全部履约完成并经采购人验收合格，且采购人收到中标人出具的发票。</w:t>
      </w:r>
      <w:r/>
    </w:p>
    <w:p>
      <w:pPr>
        <w:ind w:firstLine="420"/>
        <w:spacing w:line="46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4、</w:t>
      </w:r>
      <w:r>
        <w:rPr>
          <w:rFonts w:ascii="Times New Roman" w:hAnsi="Times New Roman" w:cs="Times New Roman"/>
          <w:color w:val="auto"/>
          <w:highlight w:val="none"/>
        </w:rPr>
        <w:t xml:space="preserve">不予退还情形：</w:t>
      </w:r>
      <w:r/>
    </w:p>
    <w:p>
      <w:pPr>
        <w:ind w:firstLine="420"/>
        <w:spacing w:line="460" w:lineRule="exact"/>
        <w:rPr>
          <w:rFonts w:ascii="Times New Roman" w:hAnsi="Times New Roman" w:cs="Times New Roman"/>
          <w:color w:val="auto"/>
          <w:highlight w:val="none"/>
        </w:rPr>
      </w:pPr>
      <w:r>
        <w:rPr>
          <w:rFonts w:ascii="Times New Roman" w:hAnsi="Times New Roman" w:cs="Times New Roman"/>
          <w:color w:val="auto"/>
          <w:highlight w:val="none"/>
        </w:rPr>
        <w:t xml:space="preserve">除不可抗力情况外，投标人出现下列情形之一的，其履约保证金，招标人将视情节决定不予退还或部分不予退还。</w:t>
      </w:r>
      <w:r/>
    </w:p>
    <w:p>
      <w:pPr>
        <w:ind w:firstLine="420"/>
        <w:spacing w:line="460" w:lineRule="exact"/>
        <w:rPr>
          <w:rFonts w:ascii="Times New Roman" w:hAnsi="Times New Roman" w:cs="Times New Roman"/>
          <w:color w:val="auto"/>
          <w:highlight w:val="none"/>
        </w:rPr>
      </w:pPr>
      <w:r>
        <w:rPr>
          <w:rFonts w:ascii="Times New Roman" w:hAnsi="Times New Roman" w:cs="Times New Roman"/>
          <w:color w:val="auto"/>
          <w:highlight w:val="none"/>
        </w:rPr>
        <w:t xml:space="preserve">（1）中标人无正当理由拒绝签订合同的，或者在签订合同时向采购人提出附加条件或者更改合同实质性内容要求的；</w:t>
      </w:r>
      <w:r/>
    </w:p>
    <w:p>
      <w:pPr>
        <w:ind w:firstLine="420"/>
        <w:spacing w:line="460" w:lineRule="exact"/>
        <w:rPr>
          <w:rFonts w:ascii="Times New Roman" w:hAnsi="Times New Roman" w:cs="Times New Roman"/>
          <w:color w:val="auto"/>
          <w:highlight w:val="none"/>
        </w:rPr>
      </w:pPr>
      <w:r>
        <w:rPr>
          <w:rFonts w:ascii="Times New Roman" w:hAnsi="Times New Roman" w:cs="Times New Roman"/>
          <w:color w:val="auto"/>
          <w:highlight w:val="none"/>
        </w:rPr>
        <w:t xml:space="preserve">（2）中标人不履行与采购人订立的合同的；</w:t>
      </w:r>
      <w:r/>
    </w:p>
    <w:p>
      <w:pPr>
        <w:ind w:firstLine="420"/>
        <w:spacing w:line="460" w:lineRule="exact"/>
        <w:rPr>
          <w:rFonts w:ascii="Times New Roman" w:hAnsi="Times New Roman" w:cs="Times New Roman"/>
          <w:color w:val="auto"/>
          <w:highlight w:val="none"/>
        </w:rPr>
      </w:pPr>
      <w:r>
        <w:rPr>
          <w:rFonts w:ascii="Times New Roman" w:hAnsi="Times New Roman" w:cs="Times New Roman"/>
          <w:color w:val="auto"/>
          <w:highlight w:val="none"/>
        </w:rPr>
        <w:t xml:space="preserve">（3）中标人所供货物或服务不符合招标文件规定要求的；</w:t>
      </w:r>
      <w:r/>
    </w:p>
    <w:p>
      <w:pPr>
        <w:ind w:firstLine="420"/>
        <w:spacing w:line="460" w:lineRule="exact"/>
        <w:rPr>
          <w:rFonts w:ascii="Times New Roman" w:hAnsi="Times New Roman" w:cs="Times New Roman"/>
          <w:color w:val="auto"/>
          <w:highlight w:val="none"/>
        </w:rPr>
      </w:pPr>
      <w:r>
        <w:rPr>
          <w:rFonts w:ascii="Times New Roman" w:hAnsi="Times New Roman" w:cs="Times New Roman"/>
          <w:color w:val="auto"/>
          <w:highlight w:val="none"/>
        </w:rPr>
        <w:t xml:space="preserve">（4）中标人采取欺骗、弄虚作假方式投标的或与其它投标人串通投标的；</w:t>
      </w:r>
      <w:r/>
    </w:p>
    <w:p>
      <w:pPr>
        <w:ind w:firstLine="420"/>
        <w:spacing w:line="460" w:lineRule="exact"/>
        <w:rPr>
          <w:rFonts w:ascii="Times New Roman" w:hAnsi="Times New Roman" w:cs="Times New Roman"/>
          <w:color w:val="auto"/>
          <w:highlight w:val="none"/>
        </w:rPr>
      </w:pPr>
      <w:r>
        <w:rPr>
          <w:rFonts w:ascii="Times New Roman" w:hAnsi="Times New Roman" w:cs="Times New Roman"/>
          <w:color w:val="auto"/>
          <w:highlight w:val="none"/>
        </w:rPr>
        <w:t xml:space="preserve">（5）中标人将合同内容转包、违法分包的；</w:t>
      </w:r>
      <w:r/>
    </w:p>
    <w:p>
      <w:pPr>
        <w:ind w:firstLine="420"/>
        <w:spacing w:line="460" w:lineRule="exact"/>
        <w:rPr>
          <w:rFonts w:ascii="Times New Roman" w:hAnsi="Times New Roman" w:cs="Times New Roman"/>
          <w:color w:val="auto"/>
          <w:highlight w:val="none"/>
        </w:rPr>
      </w:pPr>
      <w:r>
        <w:rPr>
          <w:rFonts w:ascii="Times New Roman" w:hAnsi="Times New Roman" w:cs="Times New Roman"/>
          <w:color w:val="auto"/>
          <w:highlight w:val="none"/>
        </w:rPr>
        <w:t xml:space="preserve">（6）中标人故意捏造事实或伪造证明材料，进行虚假恶意投诉或反映的。</w:t>
      </w:r>
      <w:r/>
    </w:p>
    <w:p>
      <w:pPr>
        <w:ind w:firstLine="420"/>
        <w:spacing w:line="46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5、</w:t>
      </w:r>
      <w:r>
        <w:rPr>
          <w:rFonts w:ascii="Times New Roman" w:hAnsi="Times New Roman" w:cs="Times New Roman"/>
          <w:color w:val="auto"/>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440" w:lineRule="exact"/>
        <w:widowControl/>
        <w:rPr>
          <w:rFonts w:ascii="Times New Roman" w:hAnsi="Times New Roman" w:cs="Times New Roman"/>
          <w:b/>
          <w:bCs/>
          <w:color w:val="auto"/>
          <w:highlight w:val="none"/>
        </w:rPr>
      </w:pPr>
      <w:r>
        <w:rPr>
          <w:rFonts w:ascii="Times New Roman" w:hAnsi="Times New Roman" w:cs="Times New Roman"/>
          <w:b/>
          <w:bCs/>
          <w:color w:val="auto"/>
          <w:highlight w:val="none"/>
        </w:rPr>
        <w:t xml:space="preserve">八、争议解决</w:t>
      </w:r>
      <w:r/>
    </w:p>
    <w:p>
      <w:pPr>
        <w:ind w:firstLine="480"/>
        <w:spacing w:line="440" w:lineRule="exact"/>
        <w:widowControl/>
        <w:rPr>
          <w:rFonts w:ascii="Times New Roman" w:hAnsi="Times New Roman" w:cs="Times New Roman"/>
          <w:color w:val="auto"/>
          <w:highlight w:val="none"/>
        </w:rPr>
      </w:pPr>
      <w:r>
        <w:rPr>
          <w:rFonts w:ascii="Times New Roman" w:hAnsi="Times New Roman" w:cs="Times New Roman"/>
          <w:color w:val="auto"/>
          <w:highlight w:val="none"/>
        </w:rPr>
        <w:t xml:space="preserve">本合同在履行过程中发生的争议，由双方当事人协商解决，协商不成的，按下列第 (7.1)种方式解决：</w:t>
      </w:r>
      <w:r/>
    </w:p>
    <w:p>
      <w:pPr>
        <w:ind w:firstLine="48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1）</w:t>
      </w:r>
      <w:r>
        <w:rPr>
          <w:rFonts w:ascii="Times New Roman" w:hAnsi="Times New Roman" w:cs="Times New Roman"/>
          <w:color w:val="auto"/>
          <w:highlight w:val="none"/>
        </w:rPr>
        <w:t xml:space="preserve">提请</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u w:val="single"/>
        </w:rPr>
        <w:t xml:space="preserve">盐城</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rPr>
        <w:t xml:space="preserve">仲裁委员会进行仲裁。</w:t>
      </w:r>
      <w:r/>
    </w:p>
    <w:p>
      <w:pPr>
        <w:ind w:firstLine="48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2）</w:t>
      </w:r>
      <w:r>
        <w:rPr>
          <w:rFonts w:ascii="Times New Roman" w:hAnsi="Times New Roman" w:cs="Times New Roman"/>
          <w:color w:val="auto"/>
          <w:highlight w:val="none"/>
        </w:rPr>
        <w:t xml:space="preserve">依法向项目所在地人民法院起诉。</w:t>
      </w:r>
      <w:r/>
    </w:p>
    <w:p>
      <w:pPr>
        <w:ind w:firstLine="480"/>
        <w:spacing w:line="440" w:lineRule="exact"/>
        <w:widowControl/>
        <w:rPr>
          <w:rFonts w:ascii="Times New Roman" w:hAnsi="Times New Roman" w:cs="Times New Roman"/>
          <w:b/>
          <w:bCs/>
          <w:color w:val="auto"/>
          <w:highlight w:val="none"/>
        </w:rPr>
      </w:pPr>
      <w:r>
        <w:rPr>
          <w:rFonts w:ascii="Times New Roman" w:hAnsi="Times New Roman" w:cs="Times New Roman"/>
          <w:b/>
          <w:bCs/>
          <w:color w:val="auto"/>
          <w:highlight w:val="none"/>
        </w:rPr>
        <w:t xml:space="preserve">九、违约责任</w:t>
      </w:r>
      <w:r/>
    </w:p>
    <w:p>
      <w:pPr>
        <w:spacing w:line="440" w:lineRule="exact"/>
        <w:tabs>
          <w:tab w:val="left" w:pos="1580" w:leader="none"/>
        </w:tabs>
        <w:rPr>
          <w:rFonts w:ascii="Times New Roman" w:hAnsi="Times New Roman" w:cs="Times New Roman"/>
          <w:color w:val="auto"/>
          <w:highlight w:val="none"/>
        </w:rPr>
      </w:pPr>
      <w:r>
        <w:rPr>
          <w:rFonts w:ascii="Times New Roman" w:hAnsi="Times New Roman" w:cs="Times New Roman"/>
          <w:color w:val="auto"/>
          <w:highlight w:val="none"/>
        </w:rPr>
        <w:t xml:space="preserve">  </w:t>
      </w:r>
      <w:r>
        <w:rPr>
          <w:rFonts w:hint="eastAsia" w:ascii="Times New Roman" w:hAnsi="Times New Roman" w:cs="Times New Roman"/>
          <w:color w:val="auto"/>
          <w:highlight w:val="none"/>
          <w:lang w:val="en-US" w:eastAsia="zh-CN"/>
        </w:rPr>
        <w:t xml:space="preserve">  1、</w:t>
      </w:r>
      <w:r>
        <w:rPr>
          <w:rFonts w:ascii="Times New Roman" w:hAnsi="Times New Roman" w:cs="Times New Roman"/>
          <w:color w:val="auto"/>
          <w:highlight w:val="none"/>
        </w:rPr>
        <w:t xml:space="preserve">按《民法典》执行。</w:t>
      </w:r>
      <w:r/>
    </w:p>
    <w:p>
      <w:pPr>
        <w:pStyle w:val="668"/>
        <w:ind w:left="0" w:right="23" w:firstLine="420"/>
        <w:spacing w:before="0" w:after="0" w:line="44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2、</w:t>
      </w:r>
      <w:r>
        <w:rPr>
          <w:rFonts w:ascii="Times New Roman" w:hAnsi="Times New Roman" w:cs="Times New Roman"/>
          <w:color w:val="auto"/>
          <w:sz w:val="21"/>
          <w:szCs w:val="21"/>
          <w:highlight w:val="none"/>
        </w:rPr>
        <w:t xml:space="preserve">由于</w:t>
      </w:r>
      <w:r>
        <w:rPr>
          <w:rFonts w:ascii="Times New Roman" w:hAnsi="Times New Roman" w:cs="Times New Roman"/>
          <w:color w:val="auto"/>
          <w:sz w:val="21"/>
          <w:szCs w:val="21"/>
          <w:highlight w:val="none"/>
          <w:lang w:bidi="th-TH"/>
        </w:rPr>
        <w:t xml:space="preserve">乙方</w:t>
      </w:r>
      <w:r>
        <w:rPr>
          <w:rFonts w:ascii="Times New Roman" w:hAnsi="Times New Roman" w:cs="Times New Roman"/>
          <w:color w:val="auto"/>
          <w:sz w:val="21"/>
          <w:szCs w:val="21"/>
          <w:highlight w:val="none"/>
        </w:rPr>
        <w:t xml:space="preserve">原因造成检测成果文件质量不合格，不能满足设计及施工要求时，其返工检测费用由乙方自行承担，由此给甲方造成损失的还须承担赔偿责任。</w:t>
      </w:r>
      <w:r/>
    </w:p>
    <w:p>
      <w:pPr>
        <w:pStyle w:val="668"/>
        <w:ind w:left="0" w:right="23" w:firstLine="420"/>
        <w:spacing w:before="0" w:after="0" w:line="44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3、</w:t>
      </w:r>
      <w:r>
        <w:rPr>
          <w:rFonts w:ascii="Times New Roman" w:hAnsi="Times New Roman" w:cs="Times New Roman"/>
          <w:color w:val="auto"/>
          <w:sz w:val="21"/>
          <w:szCs w:val="21"/>
          <w:highlight w:val="none"/>
        </w:rPr>
        <w:t xml:space="preserve">合同履行期间，由于工程停建而终止合同或甲方要求解除合同时，乙方已进行检测工作的，完成的工作量在50％以内时，甲方应向乙方适当支付检测费用；完成的工作量超过50％时，甲方则应向乙方支付实际已完成工作量对应的检测费的70％。</w:t>
      </w:r>
      <w:r>
        <w:rPr>
          <w:rFonts w:ascii="Times New Roman" w:hAnsi="Times New Roman" w:cs="Times New Roman"/>
          <w:b/>
          <w:bCs/>
          <w:color w:val="auto"/>
          <w:sz w:val="21"/>
          <w:szCs w:val="21"/>
          <w:highlight w:val="none"/>
        </w:rPr>
        <w:t xml:space="preserve">   </w:t>
      </w:r>
      <w:r/>
    </w:p>
    <w:p>
      <w:pPr>
        <w:ind w:firstLine="480"/>
        <w:spacing w:line="440" w:lineRule="exact"/>
        <w:widowControl/>
        <w:rPr>
          <w:rFonts w:ascii="Times New Roman" w:hAnsi="Times New Roman" w:cs="Times New Roman"/>
          <w:b/>
          <w:bCs/>
          <w:color w:val="auto"/>
          <w:highlight w:val="none"/>
        </w:rPr>
      </w:pPr>
      <w:r>
        <w:rPr>
          <w:rFonts w:ascii="Times New Roman" w:hAnsi="Times New Roman" w:cs="Times New Roman"/>
          <w:b/>
          <w:bCs/>
          <w:color w:val="auto"/>
          <w:highlight w:val="none"/>
        </w:rPr>
        <w:t xml:space="preserve">十、其他 </w:t>
      </w:r>
      <w:r/>
    </w:p>
    <w:p>
      <w:pPr>
        <w:pStyle w:val="668"/>
        <w:ind w:right="23"/>
        <w:spacing w:before="0" w:after="0" w:line="44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1、</w:t>
      </w:r>
      <w:r>
        <w:rPr>
          <w:rFonts w:ascii="Times New Roman" w:hAnsi="Times New Roman" w:cs="Times New Roman"/>
          <w:color w:val="auto"/>
          <w:sz w:val="21"/>
          <w:szCs w:val="21"/>
          <w:highlight w:val="none"/>
        </w:rPr>
        <w:t xml:space="preserve">甲方应及时协助乙方解决检测现场的工作条件和出现的问题。</w:t>
      </w:r>
      <w:r/>
    </w:p>
    <w:p>
      <w:pPr>
        <w:pStyle w:val="668"/>
        <w:ind w:right="23"/>
        <w:spacing w:before="0" w:after="0" w:line="44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2、</w:t>
      </w:r>
      <w:r>
        <w:rPr>
          <w:rFonts w:ascii="Times New Roman" w:hAnsi="Times New Roman" w:cs="Times New Roman"/>
          <w:color w:val="auto"/>
          <w:sz w:val="21"/>
          <w:szCs w:val="21"/>
          <w:highlight w:val="none"/>
        </w:rPr>
        <w:t xml:space="preserve">工程价款一律通过银行非现金结算，实行专款专用；</w:t>
      </w:r>
      <w:r/>
    </w:p>
    <w:p>
      <w:pPr>
        <w:pStyle w:val="668"/>
        <w:ind w:right="23"/>
        <w:spacing w:before="0" w:after="0" w:line="44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3、</w:t>
      </w:r>
      <w:r>
        <w:rPr>
          <w:rFonts w:ascii="Times New Roman" w:hAnsi="Times New Roman" w:cs="Times New Roman"/>
          <w:color w:val="auto"/>
          <w:sz w:val="21"/>
          <w:szCs w:val="21"/>
          <w:highlight w:val="none"/>
        </w:rPr>
        <w:t xml:space="preserve">乙方自行承担工程检测过程中安全责任；</w:t>
      </w:r>
      <w:r/>
    </w:p>
    <w:p>
      <w:pPr>
        <w:pStyle w:val="668"/>
        <w:ind w:right="23"/>
        <w:spacing w:before="0" w:after="0" w:line="44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4、</w:t>
      </w:r>
      <w:r>
        <w:rPr>
          <w:rFonts w:ascii="Times New Roman" w:hAnsi="Times New Roman" w:cs="Times New Roman"/>
          <w:color w:val="auto"/>
          <w:sz w:val="21"/>
          <w:szCs w:val="21"/>
          <w:highlight w:val="none"/>
        </w:rPr>
        <w:t xml:space="preserve">由本项目检测合同所引起的任何事情，均受甲方所在地法院的司法管辖权管辖</w:t>
      </w:r>
      <w:r/>
    </w:p>
    <w:p>
      <w:pPr>
        <w:pStyle w:val="668"/>
        <w:ind w:right="23"/>
        <w:spacing w:before="0" w:after="0" w:line="44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5、</w:t>
      </w:r>
      <w:r>
        <w:rPr>
          <w:rFonts w:ascii="Times New Roman" w:hAnsi="Times New Roman" w:cs="Times New Roman"/>
          <w:color w:val="auto"/>
          <w:sz w:val="21"/>
          <w:szCs w:val="21"/>
          <w:highlight w:val="none"/>
        </w:rPr>
        <w:t xml:space="preserve">乙方应授权项目负责人，负责按甲方认可的进度计划组织检测并定期向甲方报告检测工作进展的真实情况。项目负责人自合同生效起履行职责，至本项目竣工验收合格为止。非特殊情况，甲方不允许乙方更换项目负责人。乙方如需更换项目组中的专业检测人员，应提前7天以书面形式通知甲方，并征得甲方同意。乙方擅自更换项目负责人或专业检测人员，甲方可以向乙方索赔，每人次索赔额为3000元。甲方认为乙方不称职的人员，乙方应当在收到甲方的书面通知7天内更换。</w:t>
      </w:r>
      <w:r/>
    </w:p>
    <w:p>
      <w:pPr>
        <w:ind w:firstLine="42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6、</w:t>
      </w:r>
      <w:r>
        <w:rPr>
          <w:rFonts w:ascii="Times New Roman" w:hAnsi="Times New Roman" w:cs="Times New Roman"/>
          <w:color w:val="auto"/>
          <w:highlight w:val="none"/>
        </w:rPr>
        <w:t xml:space="preserve">本合同自双方代表签字盖章之日起生效，自双方的主要义务履行完毕之日起终止。</w:t>
      </w:r>
      <w:r/>
    </w:p>
    <w:p>
      <w:pPr>
        <w:ind w:firstLine="42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7、</w:t>
      </w:r>
      <w:r>
        <w:rPr>
          <w:rFonts w:ascii="Times New Roman" w:hAnsi="Times New Roman" w:cs="Times New Roman"/>
          <w:color w:val="auto"/>
          <w:highlight w:val="none"/>
        </w:rPr>
        <w:t xml:space="preserve">合同未尽事宜由双方协商解决。</w:t>
      </w:r>
      <w:r/>
    </w:p>
    <w:p>
      <w:pPr>
        <w:ind w:firstLine="420"/>
        <w:spacing w:line="440" w:lineRule="exact"/>
        <w:rPr>
          <w:rFonts w:ascii="Times New Roman" w:hAnsi="Times New Roman" w:cs="Times New Roman"/>
          <w:bCs/>
          <w:color w:val="auto"/>
          <w:highlight w:val="none"/>
        </w:rPr>
      </w:pPr>
      <w:r>
        <w:rPr>
          <w:rFonts w:hint="eastAsia" w:ascii="Times New Roman" w:hAnsi="Times New Roman" w:cs="Times New Roman"/>
          <w:color w:val="auto"/>
          <w:highlight w:val="none"/>
          <w:lang w:val="en-US" w:eastAsia="zh-CN"/>
        </w:rPr>
        <w:t xml:space="preserve">8、</w:t>
      </w:r>
      <w:r>
        <w:rPr>
          <w:rFonts w:ascii="Times New Roman" w:hAnsi="Times New Roman" w:cs="Times New Roman"/>
          <w:color w:val="auto"/>
          <w:highlight w:val="none"/>
        </w:rPr>
        <w:t xml:space="preserve">本合同一式</w:t>
      </w:r>
      <w:r>
        <w:rPr>
          <w:rFonts w:ascii="Times New Roman" w:hAnsi="Times New Roman" w:cs="Times New Roman"/>
          <w:color w:val="auto"/>
          <w:highlight w:val="none"/>
          <w:u w:val="single"/>
        </w:rPr>
        <w:t xml:space="preserve"> </w:t>
      </w:r>
      <w:r>
        <w:rPr>
          <w:rFonts w:hint="eastAsia" w:ascii="Times New Roman" w:hAnsi="Times New Roman" w:cs="Times New Roman"/>
          <w:color w:val="auto"/>
          <w:highlight w:val="none"/>
          <w:u w:val="single"/>
          <w:lang w:eastAsia="zh-CN"/>
        </w:rPr>
        <w:t xml:space="preserve">肆</w:t>
      </w:r>
      <w:r>
        <w:rPr>
          <w:rFonts w:ascii="Times New Roman" w:hAnsi="Times New Roman" w:cs="Times New Roman"/>
          <w:color w:val="auto"/>
          <w:highlight w:val="none"/>
        </w:rPr>
        <w:t xml:space="preserve">份，甲方执</w:t>
      </w:r>
      <w:r>
        <w:rPr>
          <w:rFonts w:hint="eastAsia" w:ascii="Times New Roman" w:hAnsi="Times New Roman" w:cs="Times New Roman"/>
          <w:color w:val="auto"/>
          <w:highlight w:val="none"/>
          <w:u w:val="single"/>
          <w:lang w:eastAsia="zh-CN"/>
        </w:rPr>
        <w:t xml:space="preserve">贰</w:t>
      </w:r>
      <w:r>
        <w:rPr>
          <w:rFonts w:ascii="Times New Roman" w:hAnsi="Times New Roman" w:cs="Times New Roman"/>
          <w:color w:val="auto"/>
          <w:highlight w:val="none"/>
        </w:rPr>
        <w:t xml:space="preserve">份，乙方执</w:t>
      </w:r>
      <w:r>
        <w:rPr>
          <w:rFonts w:hint="eastAsia" w:ascii="Times New Roman" w:hAnsi="Times New Roman" w:cs="Times New Roman"/>
          <w:color w:val="auto"/>
          <w:highlight w:val="none"/>
          <w:u w:val="single"/>
          <w:lang w:eastAsia="zh-CN"/>
        </w:rPr>
        <w:t xml:space="preserve">贰</w:t>
      </w:r>
      <w:r>
        <w:rPr>
          <w:rFonts w:ascii="Times New Roman" w:hAnsi="Times New Roman" w:cs="Times New Roman"/>
          <w:color w:val="auto"/>
          <w:highlight w:val="none"/>
        </w:rPr>
        <w:t xml:space="preserve">份，具有同等法律效力。</w:t>
      </w:r>
      <w:r/>
    </w:p>
    <w:p>
      <w:pPr>
        <w:ind w:firstLine="42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9、</w:t>
      </w:r>
      <w:r>
        <w:rPr>
          <w:rFonts w:ascii="Times New Roman" w:hAnsi="Times New Roman" w:cs="Times New Roman"/>
          <w:color w:val="auto"/>
          <w:highlight w:val="none"/>
        </w:rPr>
        <w:t xml:space="preserve">该工程不允许挂靠、转包或分包现象。若发现，发包方有权取消乙方资格；如在工程结束后发现此现象，发包方只支付工程审计款的70%。</w:t>
      </w:r>
      <w:r/>
    </w:p>
    <w:p>
      <w:pPr>
        <w:ind w:firstLine="420"/>
        <w:spacing w:line="440" w:lineRule="exact"/>
        <w:widowControl/>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10、</w:t>
      </w:r>
      <w:r>
        <w:rPr>
          <w:rFonts w:ascii="Times New Roman" w:hAnsi="Times New Roman" w:cs="Times New Roman"/>
          <w:color w:val="auto"/>
          <w:highlight w:val="none"/>
        </w:rPr>
        <w:t xml:space="preserve">乙方必须服从甲方统一管理，甲方可根据现场考核制度对乙进行全面考核，如未达到甲方要求或国家规范标准的，该工程的工程款甲方有权不付、缓付或少付，并同时对乙方进行处罚，包括通报和罚款，罚款金额由甲方根据现场情况处罚。</w:t>
      </w:r>
      <w:r/>
    </w:p>
    <w:p>
      <w:pPr>
        <w:pStyle w:val="653"/>
        <w:rPr>
          <w:color w:val="auto"/>
          <w:highlight w:val="none"/>
        </w:rPr>
      </w:pPr>
      <w:r>
        <w:rPr>
          <w:color w:val="auto"/>
          <w:highlight w:val="none"/>
        </w:rPr>
      </w:r>
      <w:r/>
    </w:p>
    <w:tbl>
      <w:tblPr>
        <w:tblStyle w:val="64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37"/>
        <w:gridCol w:w="4859"/>
      </w:tblGrid>
      <w:tr>
        <w:trPr>
          <w:trHeight w:val="591"/>
        </w:trPr>
        <w:tc>
          <w:tcPr>
            <w:tcW w:w="4437"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甲方单位（盖章）：</w:t>
            </w:r>
            <w:r/>
          </w:p>
        </w:tc>
        <w:tc>
          <w:tcPr>
            <w:tcW w:w="4859"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乙方单位（盖章）：</w:t>
            </w:r>
            <w:r/>
          </w:p>
        </w:tc>
      </w:tr>
      <w:tr>
        <w:trPr>
          <w:trHeight w:val="591"/>
        </w:trPr>
        <w:tc>
          <w:tcPr>
            <w:tcW w:w="4437"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负责人(签名)：</w:t>
            </w:r>
            <w:r/>
          </w:p>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经办处室负责人：</w:t>
            </w:r>
            <w:r/>
          </w:p>
        </w:tc>
        <w:tc>
          <w:tcPr>
            <w:tcW w:w="4859"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负责人(签名)：</w:t>
            </w:r>
            <w:r/>
          </w:p>
        </w:tc>
      </w:tr>
      <w:tr>
        <w:trPr>
          <w:trHeight w:val="591"/>
        </w:trPr>
        <w:tc>
          <w:tcPr>
            <w:tcW w:w="4437"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联系人：</w:t>
            </w:r>
            <w:r/>
          </w:p>
        </w:tc>
        <w:tc>
          <w:tcPr>
            <w:tcW w:w="4859"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联系人： </w:t>
            </w:r>
            <w:r/>
          </w:p>
        </w:tc>
      </w:tr>
      <w:tr>
        <w:trPr>
          <w:trHeight w:val="591"/>
        </w:trPr>
        <w:tc>
          <w:tcPr>
            <w:tcW w:w="4437"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地  址：</w:t>
            </w:r>
            <w:r/>
          </w:p>
        </w:tc>
        <w:tc>
          <w:tcPr>
            <w:tcW w:w="4859"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地  址： </w:t>
            </w:r>
            <w:r/>
          </w:p>
        </w:tc>
      </w:tr>
      <w:tr>
        <w:trPr>
          <w:trHeight w:val="591"/>
        </w:trPr>
        <w:tc>
          <w:tcPr>
            <w:tcW w:w="4437"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电  话：</w:t>
            </w:r>
            <w:r/>
          </w:p>
        </w:tc>
        <w:tc>
          <w:tcPr>
            <w:tcW w:w="4859"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电  话： </w:t>
            </w:r>
            <w:r/>
          </w:p>
        </w:tc>
      </w:tr>
      <w:tr>
        <w:trPr>
          <w:trHeight w:val="591"/>
        </w:trPr>
        <w:tc>
          <w:tcPr>
            <w:tcW w:w="4437"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r>
            <w:r/>
          </w:p>
        </w:tc>
        <w:tc>
          <w:tcPr>
            <w:tcW w:w="4859"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开户银行： </w:t>
            </w:r>
            <w:r/>
          </w:p>
        </w:tc>
      </w:tr>
      <w:tr>
        <w:trPr>
          <w:trHeight w:val="591"/>
        </w:trPr>
        <w:tc>
          <w:tcPr>
            <w:tcW w:w="4437"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r>
            <w:r/>
          </w:p>
        </w:tc>
        <w:tc>
          <w:tcPr>
            <w:tcW w:w="4859" w:type="dxa"/>
            <w:vAlign w:val="center"/>
            <w:textDirection w:val="lrTb"/>
            <w:noWrap w:val="false"/>
          </w:tcPr>
          <w:p>
            <w:pPr>
              <w:ind w:firstLine="480"/>
              <w:spacing w:line="420" w:lineRule="auto"/>
              <w:widowControl/>
              <w:rPr>
                <w:rFonts w:ascii="Times New Roman" w:hAnsi="Times New Roman" w:cs="Times New Roman"/>
                <w:color w:val="auto"/>
                <w:highlight w:val="none"/>
              </w:rPr>
            </w:pPr>
            <w:r>
              <w:rPr>
                <w:rFonts w:ascii="Times New Roman" w:hAnsi="Times New Roman" w:cs="Times New Roman"/>
                <w:color w:val="auto"/>
                <w:highlight w:val="none"/>
              </w:rPr>
              <w:t xml:space="preserve">帐  号： </w:t>
            </w:r>
            <w:bookmarkEnd w:id="173"/>
            <w:bookmarkEnd w:id="174"/>
            <w:bookmarkEnd w:id="175"/>
            <w:bookmarkEnd w:id="176"/>
            <w:bookmarkEnd w:id="177"/>
            <w:bookmarkEnd w:id="178"/>
            <w:bookmarkEnd w:id="179"/>
            <w:r/>
          </w:p>
        </w:tc>
      </w:tr>
    </w:tbl>
    <w:p>
      <w:pPr>
        <w:pStyle w:val="651"/>
        <w:jc w:val="both"/>
        <w:spacing w:before="0" w:beforeAutospacing="0" w:after="0" w:afterAutospacing="0" w:line="500" w:lineRule="exact"/>
        <w:rPr>
          <w:rFonts w:hint="eastAsia" w:ascii="Times New Roman" w:hAnsi="Times New Roman" w:eastAsia="宋体" w:cs="Times New Roman"/>
          <w:color w:val="auto"/>
          <w:sz w:val="21"/>
          <w:szCs w:val="21"/>
          <w:highlight w:val="none"/>
          <w:shd w:val="clear" w:color="auto" w:fill="ffffff"/>
          <w:lang w:val="en-US" w:eastAsia="zh-CN"/>
        </w:rPr>
      </w:pPr>
      <w:r>
        <w:rPr>
          <w:rFonts w:hint="eastAsia" w:ascii="Times New Roman" w:hAnsi="Times New Roman" w:eastAsia="宋体" w:cs="Times New Roman"/>
          <w:color w:val="auto"/>
          <w:sz w:val="21"/>
          <w:szCs w:val="21"/>
          <w:highlight w:val="none"/>
          <w:shd w:val="clear" w:color="auto" w:fill="ffffff"/>
          <w:lang w:val="en-US" w:eastAsia="zh-CN"/>
        </w:rPr>
      </w:r>
      <w:r/>
    </w:p>
    <w:p>
      <w:pPr>
        <w:pStyle w:val="651"/>
        <w:jc w:val="both"/>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p>
    <w:p>
      <w:pPr>
        <w:pStyle w:val="651"/>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p>
    <w:p>
      <w:pPr>
        <w:pStyle w:val="651"/>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p>
    <w:p>
      <w:pPr>
        <w:pStyle w:val="651"/>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t xml:space="preserve">第四章 项目需求</w:t>
      </w:r>
      <w:r/>
    </w:p>
    <w:p>
      <w:pPr>
        <w:pStyle w:val="651"/>
        <w:ind w:left="0" w:firstLine="420"/>
        <w:jc w:val="both"/>
        <w:spacing w:before="0" w:beforeAutospacing="0" w:after="0" w:afterAutospacing="0" w:line="500" w:lineRule="exact"/>
        <w:rPr>
          <w:rFonts w:ascii="Times New Roman" w:hAnsi="Times New Roman" w:cs="Times New Roman"/>
          <w:color w:val="auto"/>
          <w:sz w:val="21"/>
          <w:szCs w:val="21"/>
          <w:highlight w:val="none"/>
          <w:shd w:val="clear" w:color="auto" w:fill="ffffff"/>
        </w:rPr>
      </w:pPr>
      <w:r>
        <w:rPr>
          <w:rFonts w:ascii="Times New Roman" w:hAnsi="Times New Roman" w:cs="Times New Roman"/>
          <w:color w:val="auto"/>
          <w:sz w:val="21"/>
          <w:szCs w:val="21"/>
          <w:highlight w:val="none"/>
          <w:shd w:val="clear" w:color="auto" w:fill="ffffff"/>
        </w:rPr>
        <w:t xml:space="preserve">依据《城市桥梁养护技术标准》（CJJ99-2017）和《城市桥梁检测与评定技术规范》（CJJ/T 233-2015)文件要求，</w:t>
      </w:r>
      <w:r>
        <w:rPr>
          <w:rFonts w:ascii="Times New Roman" w:hAnsi="Times New Roman" w:cs="Times New Roman"/>
          <w:color w:val="auto"/>
          <w:sz w:val="21"/>
          <w:szCs w:val="21"/>
          <w:highlight w:val="none"/>
          <w:shd w:val="clear" w:color="auto" w:fill="ffffff"/>
          <w:lang w:eastAsia="zh-CN"/>
        </w:rPr>
        <w:t xml:space="preserve">对盐城经济技术开发区境内桥涵</w:t>
      </w:r>
      <w:r>
        <w:rPr>
          <w:rFonts w:ascii="Times New Roman" w:hAnsi="Times New Roman" w:cs="Times New Roman"/>
          <w:color w:val="auto"/>
          <w:sz w:val="21"/>
          <w:szCs w:val="21"/>
          <w:highlight w:val="none"/>
          <w:shd w:val="clear" w:color="auto" w:fill="ffffff"/>
        </w:rPr>
        <w:t xml:space="preserve">进行</w:t>
      </w:r>
      <w:r>
        <w:rPr>
          <w:rFonts w:ascii="Times New Roman" w:hAnsi="Times New Roman" w:cs="Times New Roman"/>
          <w:color w:val="auto"/>
          <w:sz w:val="21"/>
          <w:szCs w:val="21"/>
          <w:highlight w:val="none"/>
          <w:shd w:val="clear" w:color="auto" w:fill="ffffff"/>
          <w:lang w:val="en-US" w:eastAsia="zh-CN"/>
        </w:rPr>
        <w:t xml:space="preserve">定期检测</w:t>
      </w:r>
      <w:r>
        <w:rPr>
          <w:rFonts w:ascii="Times New Roman" w:hAnsi="Times New Roman" w:cs="Times New Roman"/>
          <w:color w:val="auto"/>
          <w:sz w:val="21"/>
          <w:szCs w:val="21"/>
          <w:highlight w:val="none"/>
          <w:shd w:val="clear" w:color="auto" w:fill="ffffff"/>
        </w:rPr>
        <w:t xml:space="preserve">。对桥</w:t>
      </w:r>
      <w:r>
        <w:rPr>
          <w:rFonts w:ascii="Times New Roman" w:hAnsi="Times New Roman" w:cs="Times New Roman"/>
          <w:color w:val="auto"/>
          <w:sz w:val="21"/>
          <w:szCs w:val="21"/>
          <w:highlight w:val="none"/>
          <w:shd w:val="clear" w:color="auto" w:fill="ffffff"/>
          <w:lang w:eastAsia="zh-CN"/>
        </w:rPr>
        <w:t xml:space="preserve">涵</w:t>
      </w:r>
      <w:r>
        <w:rPr>
          <w:rFonts w:ascii="Times New Roman" w:hAnsi="Times New Roman" w:cs="Times New Roman"/>
          <w:color w:val="auto"/>
          <w:sz w:val="21"/>
          <w:szCs w:val="21"/>
          <w:highlight w:val="none"/>
          <w:shd w:val="clear" w:color="auto" w:fill="ffffff"/>
        </w:rPr>
        <w:t xml:space="preserve">附属管道排查统计；根据检测成果提出养护意见（对需进行保养小修的桥</w:t>
      </w:r>
      <w:r>
        <w:rPr>
          <w:rFonts w:ascii="Times New Roman" w:hAnsi="Times New Roman" w:cs="Times New Roman"/>
          <w:color w:val="auto"/>
          <w:sz w:val="21"/>
          <w:szCs w:val="21"/>
          <w:highlight w:val="none"/>
          <w:shd w:val="clear" w:color="auto" w:fill="ffffff"/>
          <w:lang w:eastAsia="zh-CN"/>
        </w:rPr>
        <w:t xml:space="preserve">涵</w:t>
      </w:r>
      <w:r>
        <w:rPr>
          <w:rFonts w:ascii="Times New Roman" w:hAnsi="Times New Roman" w:cs="Times New Roman"/>
          <w:color w:val="auto"/>
          <w:sz w:val="21"/>
          <w:szCs w:val="21"/>
          <w:highlight w:val="none"/>
          <w:shd w:val="clear" w:color="auto" w:fill="ffffff"/>
        </w:rPr>
        <w:t xml:space="preserve">提出养护意见，对需进行大中修或加固的桥</w:t>
      </w:r>
      <w:r>
        <w:rPr>
          <w:rFonts w:ascii="Times New Roman" w:hAnsi="Times New Roman" w:cs="Times New Roman"/>
          <w:color w:val="auto"/>
          <w:sz w:val="21"/>
          <w:szCs w:val="21"/>
          <w:highlight w:val="none"/>
          <w:shd w:val="clear" w:color="auto" w:fill="ffffff"/>
          <w:lang w:eastAsia="zh-CN"/>
        </w:rPr>
        <w:t xml:space="preserve">涵</w:t>
      </w:r>
      <w:r>
        <w:rPr>
          <w:rFonts w:ascii="Times New Roman" w:hAnsi="Times New Roman" w:cs="Times New Roman"/>
          <w:color w:val="auto"/>
          <w:sz w:val="21"/>
          <w:szCs w:val="21"/>
          <w:highlight w:val="none"/>
          <w:shd w:val="clear" w:color="auto" w:fill="ffffff"/>
        </w:rPr>
        <w:t xml:space="preserve">提出养护意见和有设计资质单位出具的图纸，并通过专业机构图纸审查或专家评审）</w:t>
      </w:r>
      <w:r>
        <w:rPr>
          <w:rFonts w:ascii="Times New Roman" w:hAnsi="Times New Roman" w:cs="Times New Roman"/>
          <w:color w:val="auto"/>
          <w:sz w:val="21"/>
          <w:szCs w:val="21"/>
          <w:highlight w:val="none"/>
          <w:shd w:val="clear" w:color="auto" w:fill="ffffff"/>
          <w:lang w:eastAsia="zh-CN"/>
        </w:rPr>
        <w:t xml:space="preserve">；</w:t>
      </w:r>
      <w:r>
        <w:rPr>
          <w:rFonts w:ascii="Times New Roman" w:hAnsi="Times New Roman" w:cs="Times New Roman"/>
          <w:color w:val="auto"/>
          <w:sz w:val="21"/>
          <w:szCs w:val="21"/>
          <w:highlight w:val="none"/>
          <w:shd w:val="clear" w:color="auto" w:fill="ffffff"/>
        </w:rPr>
        <w:t xml:space="preserve">出具检测报告（报告内容满足以上规范要求）</w:t>
      </w:r>
      <w:r>
        <w:rPr>
          <w:rFonts w:ascii="Times New Roman" w:hAnsi="Times New Roman" w:cs="Times New Roman"/>
          <w:color w:val="auto"/>
          <w:sz w:val="21"/>
          <w:szCs w:val="21"/>
          <w:highlight w:val="none"/>
          <w:shd w:val="clear" w:color="auto" w:fill="ffffff"/>
          <w:lang w:eastAsia="zh-CN"/>
        </w:rPr>
        <w:t xml:space="preserve">；</w:t>
      </w:r>
      <w:r>
        <w:rPr>
          <w:rFonts w:ascii="Times New Roman" w:hAnsi="Times New Roman" w:cs="Times New Roman"/>
          <w:color w:val="auto"/>
          <w:sz w:val="21"/>
          <w:szCs w:val="21"/>
          <w:highlight w:val="none"/>
          <w:shd w:val="clear" w:color="auto" w:fill="ffffff"/>
        </w:rPr>
        <w:t xml:space="preserve">并将检测详细内容录入江苏省城市桥梁信息管理系统</w:t>
      </w:r>
      <w:r>
        <w:rPr>
          <w:rFonts w:ascii="Times New Roman" w:hAnsi="Times New Roman" w:cs="Times New Roman"/>
          <w:color w:val="auto"/>
          <w:sz w:val="21"/>
          <w:szCs w:val="21"/>
          <w:highlight w:val="none"/>
          <w:shd w:val="clear" w:color="auto" w:fill="ffffff"/>
          <w:lang w:eastAsia="zh-CN"/>
        </w:rPr>
        <w:t xml:space="preserve">；</w:t>
      </w:r>
      <w:r>
        <w:rPr>
          <w:rFonts w:ascii="Times New Roman" w:hAnsi="Times New Roman" w:cs="Times New Roman"/>
          <w:color w:val="auto"/>
          <w:sz w:val="21"/>
          <w:szCs w:val="21"/>
          <w:highlight w:val="none"/>
          <w:shd w:val="clear" w:color="auto" w:fill="ffffff"/>
        </w:rPr>
        <w:t xml:space="preserve">完善桥</w:t>
      </w:r>
      <w:r>
        <w:rPr>
          <w:rFonts w:ascii="Times New Roman" w:hAnsi="Times New Roman" w:cs="Times New Roman"/>
          <w:color w:val="auto"/>
          <w:sz w:val="21"/>
          <w:szCs w:val="21"/>
          <w:highlight w:val="none"/>
          <w:shd w:val="clear" w:color="auto" w:fill="ffffff"/>
          <w:lang w:eastAsia="zh-CN"/>
        </w:rPr>
        <w:t xml:space="preserve">涵</w:t>
      </w:r>
      <w:r>
        <w:rPr>
          <w:rFonts w:ascii="Times New Roman" w:hAnsi="Times New Roman" w:cs="Times New Roman"/>
          <w:color w:val="auto"/>
          <w:sz w:val="21"/>
          <w:szCs w:val="21"/>
          <w:highlight w:val="none"/>
          <w:shd w:val="clear" w:color="auto" w:fill="ffffff"/>
        </w:rPr>
        <w:t xml:space="preserve">资料卡及部分新增桥</w:t>
      </w:r>
      <w:r>
        <w:rPr>
          <w:rFonts w:ascii="Times New Roman" w:hAnsi="Times New Roman" w:cs="Times New Roman"/>
          <w:color w:val="auto"/>
          <w:sz w:val="21"/>
          <w:szCs w:val="21"/>
          <w:highlight w:val="none"/>
          <w:shd w:val="clear" w:color="auto" w:fill="ffffff"/>
          <w:lang w:eastAsia="zh-CN"/>
        </w:rPr>
        <w:t xml:space="preserve">涵</w:t>
      </w:r>
      <w:r>
        <w:rPr>
          <w:rFonts w:ascii="Times New Roman" w:hAnsi="Times New Roman" w:cs="Times New Roman"/>
          <w:color w:val="auto"/>
          <w:sz w:val="21"/>
          <w:szCs w:val="21"/>
          <w:highlight w:val="none"/>
          <w:shd w:val="clear" w:color="auto" w:fill="ffffff"/>
        </w:rPr>
        <w:t xml:space="preserve">基础数据。</w:t>
      </w:r>
      <w:r/>
    </w:p>
    <w:p>
      <w:pPr>
        <w:pStyle w:val="651"/>
        <w:ind w:firstLine="420"/>
        <w:jc w:val="both"/>
        <w:spacing w:before="0" w:beforeAutospacing="0" w:after="0" w:afterAutospacing="0" w:line="500" w:lineRule="exact"/>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shd w:val="clear" w:color="auto" w:fill="ffffff"/>
        </w:rPr>
        <w:t xml:space="preserve">根据苏建城【2018】928号文《省住房城乡建设厅关于印发城市桥梁安全防护设施隐患排查整治工作方案的通知》文件要求</w:t>
      </w:r>
      <w:r>
        <w:rPr>
          <w:rFonts w:ascii="Times New Roman" w:hAnsi="Times New Roman" w:cs="Times New Roman"/>
          <w:color w:val="auto"/>
          <w:sz w:val="21"/>
          <w:szCs w:val="21"/>
          <w:highlight w:val="none"/>
          <w:shd w:val="clear" w:color="auto" w:fill="ffffff"/>
          <w:lang w:eastAsia="zh-CN"/>
        </w:rPr>
        <w:t xml:space="preserve">，对</w:t>
      </w:r>
      <w:r>
        <w:rPr>
          <w:rFonts w:ascii="Times New Roman" w:hAnsi="Times New Roman" w:cs="Times New Roman"/>
          <w:color w:val="auto"/>
          <w:sz w:val="21"/>
          <w:szCs w:val="21"/>
          <w:highlight w:val="none"/>
          <w:shd w:val="clear" w:color="auto" w:fill="ffffff"/>
        </w:rPr>
        <w:t xml:space="preserve">城市桥</w:t>
      </w:r>
      <w:r>
        <w:rPr>
          <w:rFonts w:ascii="Times New Roman" w:hAnsi="Times New Roman" w:cs="Times New Roman"/>
          <w:color w:val="auto"/>
          <w:sz w:val="21"/>
          <w:szCs w:val="21"/>
          <w:highlight w:val="none"/>
          <w:shd w:val="clear" w:color="auto" w:fill="ffffff"/>
          <w:lang w:eastAsia="zh-CN"/>
        </w:rPr>
        <w:t xml:space="preserve">涵</w:t>
      </w:r>
      <w:r>
        <w:rPr>
          <w:rFonts w:ascii="Times New Roman" w:hAnsi="Times New Roman" w:cs="Times New Roman"/>
          <w:color w:val="auto"/>
          <w:sz w:val="21"/>
          <w:szCs w:val="21"/>
          <w:highlight w:val="none"/>
          <w:shd w:val="clear" w:color="auto" w:fill="ffffff"/>
        </w:rPr>
        <w:t xml:space="preserve">安全防护设施排查整治必须做到全覆盖、无遗漏；要严格对照《城市道路交通设施设计规划》（GB50688-2011）、《城市桥梁设计规范》（CJJ11-2011）等标准相关条款规定，重点对防撞护栏、防撞垫、限界结构防撞设施、人行护栏、分隔设施、隔离栅和防落物等城市桥</w:t>
      </w:r>
      <w:r>
        <w:rPr>
          <w:rFonts w:ascii="Times New Roman" w:hAnsi="Times New Roman" w:cs="Times New Roman"/>
          <w:color w:val="auto"/>
          <w:sz w:val="21"/>
          <w:szCs w:val="21"/>
          <w:highlight w:val="none"/>
          <w:shd w:val="clear" w:color="auto" w:fill="ffffff"/>
          <w:lang w:eastAsia="zh-CN"/>
        </w:rPr>
        <w:t xml:space="preserve">涵</w:t>
      </w:r>
      <w:r>
        <w:rPr>
          <w:rFonts w:ascii="Times New Roman" w:hAnsi="Times New Roman" w:cs="Times New Roman"/>
          <w:color w:val="auto"/>
          <w:sz w:val="21"/>
          <w:szCs w:val="21"/>
          <w:highlight w:val="none"/>
          <w:shd w:val="clear" w:color="auto" w:fill="ffffff"/>
        </w:rPr>
        <w:t xml:space="preserve">安全防护设施进行安全隐患排查，提出符合相关规范文件的整改意见。</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一、</w:t>
      </w:r>
      <w:r>
        <w:rPr>
          <w:rFonts w:ascii="Times New Roman" w:hAnsi="Times New Roman" w:cs="Times New Roman"/>
          <w:color w:val="auto"/>
          <w:sz w:val="21"/>
          <w:szCs w:val="21"/>
          <w:highlight w:val="none"/>
          <w:lang w:val="en-US" w:eastAsia="zh-CN"/>
        </w:rPr>
        <w:t xml:space="preserve">定期检测分为常规定期检测和结构定期检测，内容具体如下：</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1、常规定期检测</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1.1、常规定期检测应包含《城市桥梁养护技术标准》（CJJ99-2017）规定内容，主要包括以下内容：</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（1）校核城市桥梁的基本数据。</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（2）记录桥梁病害、实地判断损坏原因，估计维修范围和方案。</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（3）对难以判断其损坏程度和原因的构件，提出作特殊检测的建议。</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（4）对损坏严重、危及安全的城市桥梁，提出限载以至暂时限制交通的建议。</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（5）根据城市桥梁技术状况，确定下次检测的时间。</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1.2、常规定期检测应</w:t>
      </w:r>
      <w:r>
        <w:rPr>
          <w:rFonts w:hint="eastAsia" w:ascii="Times New Roman" w:hAnsi="Times New Roman" w:cs="Times New Roman"/>
          <w:color w:val="auto"/>
          <w:sz w:val="21"/>
          <w:szCs w:val="21"/>
          <w:highlight w:val="none"/>
          <w:lang w:val="en-US" w:eastAsia="zh-CN"/>
        </w:rPr>
        <w:t xml:space="preserve">对下列设施的完好状况及安全情况进行检测</w:t>
      </w:r>
      <w:r>
        <w:rPr>
          <w:rFonts w:ascii="Times New Roman" w:hAnsi="Times New Roman" w:cs="Times New Roman"/>
          <w:color w:val="auto"/>
          <w:sz w:val="21"/>
          <w:szCs w:val="21"/>
          <w:highlight w:val="none"/>
        </w:rPr>
        <w:t xml:space="preserve">：</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（1）桥面系：桥面铺装、桥头搭板、伸缩装置、排水系统、人行道、护栏等；</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（2）上部结构：主梁、主桁梁、主拱圈、横梁、横向联系、主节点、挂梁、联结件等；</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（3）下部结构：支座、盖梁、墩身、台帽、台身、翼墙、锥坡及河床冲刷情况等。</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（4）附属设施：外立面幕墙（对幕墙整体结构破损、变形、脱落进行检测，并对连接件等承载结构的稳定性进行评估），梯道、护坡、限高门架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限高标志</w:t>
      </w:r>
      <w:r>
        <w:rPr>
          <w:rFonts w:ascii="Times New Roman" w:hAnsi="Times New Roman" w:cs="Times New Roman"/>
          <w:color w:val="auto"/>
          <w:sz w:val="21"/>
          <w:szCs w:val="21"/>
          <w:highlight w:val="none"/>
        </w:rPr>
        <w:t xml:space="preserve">、</w:t>
      </w:r>
      <w:r>
        <w:rPr>
          <w:rFonts w:hint="eastAsia" w:ascii="Times New Roman" w:hAnsi="Times New Roman" w:cs="Times New Roman"/>
          <w:color w:val="auto"/>
          <w:sz w:val="21"/>
          <w:szCs w:val="21"/>
          <w:highlight w:val="none"/>
          <w:lang w:val="en-US" w:eastAsia="zh-CN"/>
        </w:rPr>
        <w:t xml:space="preserve">桥梁限载标志及交通标志</w:t>
      </w:r>
      <w:r>
        <w:rPr>
          <w:rFonts w:ascii="Times New Roman" w:hAnsi="Times New Roman" w:cs="Times New Roman"/>
          <w:color w:val="auto"/>
          <w:sz w:val="21"/>
          <w:szCs w:val="21"/>
          <w:highlight w:val="none"/>
        </w:rPr>
        <w:t xml:space="preserve">等附属设施。</w:t>
      </w:r>
      <w:r/>
    </w:p>
    <w:p>
      <w:pPr>
        <w:ind w:firstLine="420"/>
        <w:spacing w:line="360" w:lineRule="auto"/>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1.3、对I类养护桥梁进行桥梁结构变位进行测量，对拱桥及软弱地基桥梁沉降进行测量，对独柱墩桥梁的侧向倾角及梁体相对水平面位移进行测量；</w:t>
      </w:r>
      <w:r/>
    </w:p>
    <w:p>
      <w:pPr>
        <w:ind w:firstLine="420"/>
        <w:spacing w:line="360" w:lineRule="auto"/>
        <w:rPr>
          <w:rFonts w:hint="eastAsia" w:ascii="Times New Roman" w:hAnsi="Times New Roman" w:cs="Times New Roman"/>
          <w:color w:val="auto"/>
          <w:szCs w:val="21"/>
          <w:highlight w:val="none"/>
        </w:rPr>
      </w:pPr>
      <w:r>
        <w:rPr>
          <w:rFonts w:hint="eastAsia" w:cs="Times New Roman"/>
          <w:color w:val="auto"/>
          <w:sz w:val="21"/>
          <w:szCs w:val="21"/>
          <w:highlight w:val="none"/>
          <w:lang w:val="en-US" w:eastAsia="zh-CN"/>
        </w:rPr>
        <w:t xml:space="preserve">1.4、</w:t>
      </w:r>
      <w:r>
        <w:rPr>
          <w:rFonts w:ascii="Times New Roman" w:hAnsi="Times New Roman" w:cs="Times New Roman"/>
          <w:color w:val="auto"/>
          <w:szCs w:val="21"/>
          <w:highlight w:val="none"/>
          <w:lang w:val="en-US" w:eastAsia="zh-CN"/>
        </w:rPr>
        <w:t xml:space="preserve">特别说明</w:t>
      </w:r>
      <w:r>
        <w:rPr>
          <w:rFonts w:cs="Times New Roman"/>
          <w:color w:val="auto"/>
          <w:sz w:val="21"/>
          <w:szCs w:val="21"/>
          <w:highlight w:val="none"/>
          <w:lang w:val="en-US" w:eastAsia="zh-CN"/>
        </w:rPr>
        <w:t xml:space="preserve">：</w:t>
      </w:r>
      <w:r>
        <w:rPr>
          <w:rFonts w:hint="eastAsia" w:ascii="Times New Roman" w:hAnsi="Times New Roman" w:cs="Times New Roman"/>
          <w:color w:val="auto"/>
          <w:szCs w:val="21"/>
          <w:highlight w:val="none"/>
        </w:rPr>
        <w:t xml:space="preserve">除常规检测外，还需对东山路团结河系杆拱桥开展专项检测。对系杆拱拱肋线形、桥面线形等结构变位进</w:t>
      </w:r>
      <w:r>
        <w:rPr>
          <w:rFonts w:hint="eastAsia" w:ascii="Times New Roman" w:hAnsi="Times New Roman" w:cs="Times New Roman"/>
          <w:color w:val="auto"/>
          <w:szCs w:val="21"/>
          <w:highlight w:val="none"/>
        </w:rPr>
        <w:t xml:space="preserve">行精密测量；同时对吊杆开展专项检测，包含吊杆表观检查、锚固系统专项检查、吊杆索力检测及典型位置局部开窗检测。吊杆无法精确测算索力时，应测试其一阶振动频率，评估同跨同侧吊杆索力分布均匀性，并与历史检测数据进行对比，判定桥梁结构受力状态是否存在异常；逐根检查吊杆锚头及锚固区有无开裂、破损、积水、锈水渗出情况，核查锚头内部防锈油脂是否结块、乳化失效及锚头有无其他异常病害；对检测存疑的吊杆选取典型位置进行开窗检测，检查内部钢丝锈蚀、积水、断丝情况，开窗作业不得损伤吊杆钢丝，检测完成后须对开窗口进行原状及时修复封闭。</w:t>
      </w:r>
      <w:r/>
    </w:p>
    <w:p>
      <w:pPr>
        <w:ind w:firstLine="420"/>
        <w:spacing w:line="360" w:lineRule="auto"/>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w:t>
      </w:r>
      <w:r>
        <w:rPr>
          <w:rFonts w:hint="eastAsia" w:ascii="Times New Roman" w:hAnsi="Times New Roman" w:cs="Times New Roman"/>
          <w:color w:val="auto"/>
          <w:sz w:val="21"/>
          <w:szCs w:val="21"/>
          <w:highlight w:val="none"/>
          <w:lang w:val="en-US" w:eastAsia="zh-CN"/>
        </w:rPr>
        <w:t xml:space="preserve">5</w:t>
      </w:r>
      <w:r>
        <w:rPr>
          <w:rFonts w:ascii="Times New Roman" w:hAnsi="Times New Roman" w:cs="Times New Roman"/>
          <w:color w:val="auto"/>
          <w:sz w:val="21"/>
          <w:szCs w:val="21"/>
          <w:highlight w:val="none"/>
        </w:rPr>
        <w:t xml:space="preserve">、根据常规定期检测的结果，进行桥梁技术状况评估分级。Ⅰ类养护的城市桥梁应按影响安全状况进行评估；Ⅱ~Ⅴ类养护的城市桥梁应按附录D对桥面系、上部结构、下部结构评分扣分表进行评估，并应符合《城市桥梁养护技术标准》（CJJ99-2017）规定。</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2、结构定期检测</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2.1、应包含《城市桥梁养护技术标准》（CJJ99-2017）规定内容，主要包括桥梁外观检测（缺损状况检查）、桥梁细部几何尺寸测量、桥面线形测量、伸缩缝检测、伸缩缝高差检测等；并进行梁体线形、墩柱沉降及结构构件的检测；</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2.2、材料特性、退化程度、退化性质检测：</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对</w:t>
      </w:r>
      <w:bookmarkStart w:id="182" w:name="OLE_LINK4"/>
      <w:r>
        <w:rPr>
          <w:rFonts w:ascii="Times New Roman" w:hAnsi="Times New Roman" w:cs="Times New Roman"/>
          <w:color w:val="auto"/>
          <w:sz w:val="21"/>
          <w:szCs w:val="21"/>
          <w:highlight w:val="none"/>
        </w:rPr>
        <w:t xml:space="preserve">钢筋混凝土和预应力混凝土结构梁式桥：混凝土</w:t>
      </w:r>
      <w:bookmarkEnd w:id="182"/>
      <w:r>
        <w:rPr>
          <w:rFonts w:ascii="Times New Roman" w:hAnsi="Times New Roman" w:cs="Times New Roman"/>
          <w:color w:val="auto"/>
          <w:sz w:val="21"/>
          <w:szCs w:val="21"/>
          <w:highlight w:val="none"/>
        </w:rPr>
        <w:t xml:space="preserve">强度检测、碳化深度检测、保护层厚度检测、钢筋锈蚀状况、裂缝检测（位置、长度、深度、宽度）；</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2.3、支座检测：检测位移是否正常、组件是否完整，有无断裂、错位和脱空，固定端是否松动、剪断开裂、支座垫石开裂和破损，对于盆式橡胶支座固定螺栓是否剪断，螺母是否松动，橡胶支座变形、老化，施工时的临时约束是否解除。支座检测应有对病害的描述和照片；</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2.4、桥墩、台及基础</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（1）基础下冲刷、掏空检测，扩大基础的地基侵蚀检测；</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（2）桩基：在水位涨落、干湿交替冲刷磨损、颈缩、露筋检测；桩的混凝土强度检测；</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（3）钢筋混凝土墩台及盖梁：检测指标同混凝土梁式桥；</w:t>
      </w:r>
      <w:r/>
    </w:p>
    <w:p>
      <w:pPr>
        <w:ind w:firstLine="420"/>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（4）砌体墩台：砌块断裂、通缝脱开、变形、泄水孔检测。</w:t>
      </w:r>
      <w:r/>
    </w:p>
    <w:p>
      <w:pPr>
        <w:ind w:firstLine="420"/>
        <w:jc w:val="left"/>
        <w:spacing w:line="440" w:lineRule="exact"/>
        <w:widowControl/>
        <w:tabs>
          <w:tab w:val="left" w:pos="7455" w:leader="none"/>
        </w:tabs>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2.5、承载能力评定</w:t>
      </w:r>
      <w:r/>
    </w:p>
    <w:p>
      <w:pPr>
        <w:ind w:firstLine="420"/>
        <w:jc w:val="left"/>
        <w:spacing w:line="440" w:lineRule="exact"/>
        <w:widowControl/>
        <w:tabs>
          <w:tab w:val="left" w:pos="7455" w:leader="none"/>
        </w:tabs>
        <w:rPr>
          <w:rFonts w:ascii="Times New Roman" w:hAnsi="Times New Roman" w:cs="Times New Roman"/>
          <w:color w:val="auto"/>
          <w:sz w:val="21"/>
          <w:szCs w:val="21"/>
          <w:highlight w:val="none"/>
          <w:lang w:val="en-US" w:eastAsia="zh-CN"/>
        </w:rPr>
      </w:pPr>
      <w:r>
        <w:rPr>
          <w:rFonts w:ascii="Times New Roman" w:hAnsi="Times New Roman" w:cs="Times New Roman"/>
          <w:color w:val="auto"/>
          <w:sz w:val="21"/>
          <w:szCs w:val="21"/>
          <w:highlight w:val="none"/>
          <w:lang w:val="en-US" w:eastAsia="zh-CN"/>
        </w:rPr>
        <w:t xml:space="preserve">依据CJJ/T 233-2015的相关规定，根据承载能力极限状态和正常使用极限状态的要求对指定桥梁进行结构检算，包括承载力检算、刚度检算、稳定性验算；对结构检算承载能力不满足要求、或缺少《竣工图》等检算依据的桥涵进行荷载试验，以确定其实际承载能力；进行根据桥梁的结构检测结果，通过结构分析检算或静</w:t>
      </w:r>
      <w:r>
        <w:rPr>
          <w:rFonts w:ascii="Times New Roman" w:hAnsi="Times New Roman" w:cs="Times New Roman"/>
          <w:color w:val="auto"/>
          <w:sz w:val="21"/>
          <w:szCs w:val="21"/>
          <w:highlight w:val="none"/>
          <w:lang w:val="en-US" w:eastAsia="zh-CN"/>
        </w:rPr>
        <w:t xml:space="preserve">载试验对桥梁的承载能力进行评定，明确限载标准。刚度检算： 依据《公路桥梁荷载试验规程》及设计规范，对桥梁在短期荷载作用下的竖向挠度/跨径比（刚度指标）进行复核。 结合实测线形与理论线形的对比，评估结构整体刚度是否满足正常使用极限状态的要求。若实测挠度大于理论计算值或规范限值，应判定刚度不足，并据此提出限载或加固建议。稳定性检算： 针对结构体系（如高墩、独柱墩桥梁、弯桥或窄桥）及受压构件（如拱肋、墩柱），依据《公路桥梁抗震设计规范》及《公路钢筋混凝土及预应力混凝土桥涵设计规范》进行整体稳定性和局部稳定性分析。</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2.6 盐渎大桥结构检测</w:t>
      </w:r>
      <w:r/>
    </w:p>
    <w:p>
      <w:pPr>
        <w:ind w:firstLine="420"/>
        <w:rPr>
          <w:rFonts w:hint="eastAsia" w:cs="Times New Roman"/>
          <w:color w:val="auto"/>
          <w:sz w:val="21"/>
          <w:szCs w:val="21"/>
          <w:highlight w:val="none"/>
          <w:lang w:val="en-US" w:eastAsia="zh-CN"/>
        </w:rPr>
      </w:pPr>
      <w:r>
        <w:rPr>
          <w:rFonts w:cs="Times New Roman"/>
          <w:color w:val="auto"/>
          <w:sz w:val="21"/>
          <w:szCs w:val="21"/>
          <w:highlight w:val="none"/>
          <w:lang w:val="en-US" w:eastAsia="zh-CN"/>
        </w:rPr>
        <w:t xml:space="preserve">2.</w:t>
      </w:r>
      <w:r>
        <w:rPr>
          <w:rFonts w:hint="eastAsia" w:cs="Times New Roman"/>
          <w:color w:val="auto"/>
          <w:sz w:val="21"/>
          <w:szCs w:val="21"/>
          <w:highlight w:val="none"/>
          <w:lang w:val="en-US" w:eastAsia="zh-CN"/>
        </w:rPr>
        <w:t xml:space="preserve">6</w:t>
      </w:r>
      <w:r>
        <w:rPr>
          <w:rFonts w:cs="Times New Roman"/>
          <w:color w:val="auto"/>
          <w:sz w:val="21"/>
          <w:szCs w:val="21"/>
          <w:highlight w:val="none"/>
          <w:lang w:val="en-US" w:eastAsia="zh-CN"/>
        </w:rPr>
        <w:t xml:space="preserve">.1</w:t>
      </w:r>
      <w:r>
        <w:rPr>
          <w:rFonts w:hint="eastAsia" w:cs="Times New Roman"/>
          <w:color w:val="auto"/>
          <w:sz w:val="21"/>
          <w:szCs w:val="21"/>
          <w:highlight w:val="none"/>
          <w:lang w:val="en-US" w:eastAsia="zh-CN"/>
        </w:rPr>
        <w:t xml:space="preserve"> 预应力混凝土连续现浇箱梁检测</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（1）外观病害：全面检查顶板、底板、腹板裂缝（宽度、长度、走向）、混凝土剥落、露筋、施工缝错台及锚头区渗水等。</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 材料性能：采用回弹法检测混凝土强度；检测混凝土碳化深度；采用电磁感应法检测钢筋保护层厚度；采用半电池点位法检测钢筋锈蚀电位。</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（3）预应力系统：采用超声波法检测孔道灌浆密实度；检查锚具、夹片的锈蚀与完整性。</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（4） 线形与变形：复测桥面高程、轴线偏位，测量箱梁静载挠度。</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2.6.2 连续钢桁梁检测</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（1）构件检查：检查主桁弦杆、腹杆、节点板的变形、裂纹及锈蚀等级；检查漆膜老化情况。</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（2）连接系统：对关键焊缝进行超声波无损探伤；复检高强螺栓扭矩及滑移情况。</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（3）几何测量：复测桁梁轴线、节间尺寸，测量竖向及横向挠度。</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2.6.3下部结构及附属设施检测</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（1）下部结构：检查墩台、盖梁裂缝、剥落、露筋及冲刷情况；测量墩台垂直度及沉降。</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（2）支座与伸缩缝：检查支座脱空、老化、偏移情况；检查伸缩缝破损、止水带老化及止水效果。</w:t>
      </w:r>
      <w:r/>
    </w:p>
    <w:p>
      <w:pPr>
        <w:ind w:firstLine="420"/>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（3）桥面及附属：检查桥面铺装病害、护栏完整性及桥面排水系统畅通情况。</w:t>
      </w:r>
      <w:r/>
    </w:p>
    <w:p>
      <w:pPr>
        <w:ind w:firstLine="420"/>
        <w:jc w:val="left"/>
        <w:spacing w:line="440" w:lineRule="exact"/>
        <w:widowControl/>
        <w:tabs>
          <w:tab w:val="left" w:pos="7455" w:leader="none"/>
        </w:tabs>
        <w:rPr>
          <w:rFonts w:ascii="Times New Roman" w:hAnsi="Times New Roman" w:cs="Times New Roman"/>
          <w:color w:val="auto"/>
          <w:highlight w:val="none"/>
        </w:rPr>
      </w:pPr>
      <w:r>
        <w:rPr>
          <w:rFonts w:ascii="Times New Roman" w:hAnsi="Times New Roman" w:eastAsia="宋体" w:cs="Times New Roman"/>
          <w:b w:val="0"/>
          <w:bCs w:val="0"/>
          <w:color w:val="auto"/>
          <w:sz w:val="21"/>
          <w:szCs w:val="21"/>
          <w:highlight w:val="none"/>
        </w:rPr>
        <w:t xml:space="preserve">2.</w:t>
      </w:r>
      <w:r>
        <w:rPr>
          <w:rFonts w:hint="eastAsia" w:ascii="Times New Roman" w:hAnsi="Times New Roman" w:cs="Times New Roman"/>
          <w:b w:val="0"/>
          <w:bCs w:val="0"/>
          <w:color w:val="auto"/>
          <w:sz w:val="21"/>
          <w:szCs w:val="21"/>
          <w:highlight w:val="none"/>
          <w:lang w:val="en-US" w:eastAsia="zh-CN"/>
        </w:rPr>
        <w:t xml:space="preserve">7</w:t>
      </w:r>
      <w:r>
        <w:rPr>
          <w:rFonts w:ascii="Times New Roman" w:hAnsi="Times New Roman" w:eastAsia="宋体" w:cs="Times New Roman"/>
          <w:b w:val="0"/>
          <w:bCs w:val="0"/>
          <w:color w:val="auto"/>
          <w:sz w:val="21"/>
          <w:szCs w:val="21"/>
          <w:highlight w:val="none"/>
        </w:rPr>
        <w:t xml:space="preserve">根据桥梁结构检测结果对需保养小修的桥梁提出养护建议，对需进行大中修及加固的桥梁提出养护意见和有设计资质单位出具的图纸，并通过专业机构图纸审查或专家评审。</w:t>
      </w:r>
      <w:r/>
    </w:p>
    <w:p>
      <w:pPr>
        <w:ind w:firstLine="422"/>
        <w:rPr>
          <w:rFonts w:ascii="Times New Roman" w:hAnsi="Times New Roman" w:cs="Times New Roman"/>
          <w:b/>
          <w:bCs/>
          <w:color w:val="auto"/>
          <w:highlight w:val="none"/>
        </w:rPr>
      </w:pPr>
      <w:r>
        <w:rPr>
          <w:rFonts w:ascii="Times New Roman" w:hAnsi="Times New Roman" w:cs="Times New Roman"/>
          <w:b/>
          <w:bCs/>
          <w:color w:val="auto"/>
          <w:highlight w:val="none"/>
        </w:rPr>
      </w:r>
      <w:r/>
    </w:p>
    <w:p>
      <w:pPr>
        <w:ind w:firstLine="422"/>
        <w:spacing w:line="500" w:lineRule="exact"/>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lang w:eastAsia="zh-CN"/>
        </w:rPr>
        <w:t xml:space="preserve">二</w:t>
      </w:r>
      <w:r>
        <w:rPr>
          <w:rFonts w:ascii="Times New Roman" w:hAnsi="Times New Roman" w:cs="Times New Roman"/>
          <w:b/>
          <w:color w:val="auto"/>
          <w:sz w:val="21"/>
          <w:szCs w:val="21"/>
          <w:highlight w:val="none"/>
        </w:rPr>
        <w:t xml:space="preserve">、质量保证</w:t>
      </w:r>
      <w:r/>
    </w:p>
    <w:p>
      <w:pPr>
        <w:ind w:firstLine="420"/>
        <w:spacing w:line="50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1、</w:t>
      </w:r>
      <w:r>
        <w:rPr>
          <w:rFonts w:ascii="Times New Roman" w:hAnsi="Times New Roman" w:cs="Times New Roman"/>
          <w:color w:val="auto"/>
          <w:sz w:val="21"/>
          <w:szCs w:val="21"/>
          <w:highlight w:val="none"/>
        </w:rPr>
        <w:t xml:space="preserve">检测单位出具的服务成果报告书须符合国家规范标准,同时须通过业主单位组织的专家评审（相关费用由中标单位负责）,取得相关批准文件。</w:t>
      </w:r>
      <w:r/>
    </w:p>
    <w:p>
      <w:pPr>
        <w:ind w:firstLine="420"/>
        <w:spacing w:line="50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2、</w:t>
      </w:r>
      <w:r>
        <w:rPr>
          <w:rFonts w:ascii="Times New Roman" w:hAnsi="Times New Roman" w:cs="Times New Roman"/>
          <w:color w:val="auto"/>
          <w:sz w:val="21"/>
          <w:szCs w:val="21"/>
          <w:highlight w:val="none"/>
        </w:rPr>
        <w:t xml:space="preserve">检测单位提供的检测成果质量不合格，检测单位应负责无偿给予重测或采取补救措施，以达到质量要求。因检测成果质量不符合合同约定的要求（非甲方原因所致）造成后果时，检测单位应对因此造成的直接损失负赔偿责任，并承担相应的法律责任。</w:t>
      </w:r>
      <w:r/>
    </w:p>
    <w:p>
      <w:pPr>
        <w:pStyle w:val="645"/>
        <w:keepLines w:val="0"/>
        <w:keepNext w:val="0"/>
        <w:pageBreakBefore w:val="0"/>
        <w:spacing w:line="5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cs="Times New Roman"/>
          <w:color w:val="auto"/>
          <w:sz w:val="21"/>
          <w:szCs w:val="21"/>
          <w:highlight w:val="none"/>
          <w:lang w:val="en-US" w:eastAsia="zh-CN"/>
        </w:rPr>
        <w:t xml:space="preserve">   </w:t>
      </w:r>
      <w:r>
        <w:rPr>
          <w:rFonts w:hint="eastAsia" w:ascii="Times New Roman" w:hAnsi="Times New Roman" w:cs="Times New Roman"/>
          <w:color w:val="auto"/>
          <w:sz w:val="21"/>
          <w:szCs w:val="21"/>
          <w:highlight w:val="none"/>
          <w:lang w:val="en-US" w:eastAsia="zh-CN"/>
        </w:rPr>
        <w:t xml:space="preserve">3、</w:t>
      </w:r>
      <w:r>
        <w:rPr>
          <w:rFonts w:ascii="Times New Roman" w:hAnsi="Times New Roman" w:eastAsia="宋体" w:cs="Times New Roman"/>
          <w:color w:val="auto"/>
          <w:sz w:val="21"/>
          <w:szCs w:val="21"/>
          <w:highlight w:val="none"/>
          <w:lang w:val="en-US" w:eastAsia="zh-CN" w:bidi="ar-SA"/>
        </w:rPr>
        <w:t xml:space="preserve">检测完成后，核对完善桥梁、板涵基础数据，更新一桥一档，并分别将桥梁、板涵基本情况汇总成表格。出具检测报告时，桥梁和板涵分别独立装订成册。另外，检测报告、一桥一档等资料还须制作成PDF格式交业主单位存档。全力配合业主单位将桥梁检测结果上传到江苏省城市桥梁信息管理系统。</w:t>
      </w:r>
      <w:r/>
    </w:p>
    <w:p>
      <w:pPr>
        <w:ind w:firstLine="422"/>
        <w:spacing w:line="500" w:lineRule="exact"/>
        <w:rPr>
          <w:rFonts w:ascii="Times New Roman" w:hAnsi="Times New Roman" w:cs="Times New Roman"/>
          <w:b/>
          <w:color w:val="auto"/>
          <w:sz w:val="21"/>
          <w:szCs w:val="21"/>
          <w:highlight w:val="none"/>
          <w:lang w:eastAsia="zh-CN"/>
        </w:rPr>
      </w:pPr>
      <w:r/>
      <w:bookmarkStart w:id="183" w:name="OLE_LINK21"/>
      <w:r>
        <w:rPr>
          <w:rFonts w:hint="eastAsia" w:ascii="Times New Roman" w:hAnsi="Times New Roman" w:cs="Times New Roman"/>
          <w:b/>
          <w:color w:val="auto"/>
          <w:sz w:val="21"/>
          <w:szCs w:val="21"/>
          <w:highlight w:val="none"/>
          <w:lang w:eastAsia="zh-CN"/>
        </w:rPr>
        <w:t xml:space="preserve">三、</w:t>
      </w:r>
      <w:r>
        <w:rPr>
          <w:rFonts w:ascii="Times New Roman" w:hAnsi="Times New Roman" w:cs="Times New Roman"/>
          <w:b/>
          <w:color w:val="auto"/>
          <w:sz w:val="21"/>
          <w:szCs w:val="21"/>
          <w:highlight w:val="none"/>
          <w:lang w:eastAsia="zh-CN"/>
        </w:rPr>
        <w:t xml:space="preserve">仪器、设备配备情况</w:t>
      </w:r>
      <w:bookmarkEnd w:id="183"/>
      <w:r/>
    </w:p>
    <w:p>
      <w:pPr>
        <w:ind w:firstLine="420"/>
        <w:spacing w:line="500" w:lineRule="exact"/>
        <w:rPr>
          <w:rFonts w:ascii="Times New Roman" w:hAnsi="Times New Roman" w:cs="Times New Roman"/>
          <w:b/>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 xml:space="preserve">本项目鼓励配备水下摄像机、内窥镜、无人机仪器设备、桥梁检测车、高空作业车来进行相关检测。</w:t>
      </w:r>
      <w:r/>
    </w:p>
    <w:p>
      <w:pPr>
        <w:ind w:firstLine="422"/>
        <w:spacing w:line="500" w:lineRule="exact"/>
        <w:rPr>
          <w:rFonts w:ascii="Times New Roman" w:hAnsi="Times New Roman" w:eastAsia="宋体" w:cs="Times New Roman"/>
          <w:b/>
          <w:color w:val="auto"/>
          <w:sz w:val="21"/>
          <w:szCs w:val="21"/>
          <w:highlight w:val="none"/>
          <w:lang w:eastAsia="zh-CN"/>
        </w:rPr>
      </w:pPr>
      <w:r>
        <w:rPr>
          <w:rFonts w:hint="eastAsia" w:ascii="Times New Roman" w:hAnsi="Times New Roman" w:cs="Times New Roman"/>
          <w:b/>
          <w:color w:val="auto"/>
          <w:sz w:val="21"/>
          <w:szCs w:val="21"/>
          <w:highlight w:val="none"/>
          <w:lang w:eastAsia="zh-CN"/>
        </w:rPr>
        <w:t xml:space="preserve">四</w:t>
      </w:r>
      <w:r>
        <w:rPr>
          <w:rFonts w:ascii="Times New Roman" w:hAnsi="Times New Roman" w:cs="Times New Roman"/>
          <w:b/>
          <w:color w:val="auto"/>
          <w:sz w:val="21"/>
          <w:szCs w:val="21"/>
          <w:highlight w:val="none"/>
        </w:rPr>
        <w:t xml:space="preserve">、其他</w:t>
      </w:r>
      <w:r>
        <w:rPr>
          <w:rFonts w:ascii="Times New Roman" w:hAnsi="Times New Roman" w:cs="Times New Roman"/>
          <w:b/>
          <w:color w:val="auto"/>
          <w:sz w:val="21"/>
          <w:szCs w:val="21"/>
          <w:highlight w:val="none"/>
          <w:lang w:eastAsia="zh-CN"/>
        </w:rPr>
        <w:t xml:space="preserve">要求</w:t>
      </w:r>
      <w:r/>
    </w:p>
    <w:p>
      <w:pPr>
        <w:ind w:firstLine="420"/>
        <w:spacing w:line="50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1、</w:t>
      </w:r>
      <w:r>
        <w:rPr>
          <w:rFonts w:ascii="Times New Roman" w:hAnsi="Times New Roman" w:cs="Times New Roman"/>
          <w:color w:val="auto"/>
          <w:sz w:val="21"/>
          <w:szCs w:val="21"/>
          <w:highlight w:val="none"/>
        </w:rPr>
        <w:t xml:space="preserve">涉及航道及道路管制等相关审批事宜，费用全部由中标单位</w:t>
      </w:r>
      <w:r>
        <w:rPr>
          <w:rFonts w:ascii="Times New Roman" w:hAnsi="Times New Roman" w:cs="Times New Roman"/>
          <w:color w:val="auto"/>
          <w:sz w:val="21"/>
          <w:szCs w:val="21"/>
          <w:highlight w:val="none"/>
          <w:lang w:eastAsia="zh-CN"/>
        </w:rPr>
        <w:t xml:space="preserve">自行</w:t>
      </w:r>
      <w:r>
        <w:rPr>
          <w:rFonts w:ascii="Times New Roman" w:hAnsi="Times New Roman" w:cs="Times New Roman"/>
          <w:color w:val="auto"/>
          <w:sz w:val="21"/>
          <w:szCs w:val="21"/>
          <w:highlight w:val="none"/>
        </w:rPr>
        <w:t xml:space="preserve">负责。</w:t>
      </w:r>
      <w:r/>
    </w:p>
    <w:p>
      <w:pPr>
        <w:ind w:firstLine="420"/>
        <w:spacing w:line="500" w:lineRule="exact"/>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2、</w:t>
      </w:r>
      <w:r>
        <w:rPr>
          <w:rFonts w:ascii="Times New Roman" w:hAnsi="Times New Roman" w:cs="Times New Roman"/>
          <w:color w:val="auto"/>
          <w:sz w:val="21"/>
          <w:szCs w:val="21"/>
          <w:highlight w:val="none"/>
        </w:rPr>
        <w:t xml:space="preserve">对需进行大中修及加固的桥梁</w:t>
      </w:r>
      <w:r>
        <w:rPr>
          <w:rFonts w:ascii="Times New Roman" w:hAnsi="Times New Roman" w:cs="Times New Roman"/>
          <w:color w:val="auto"/>
          <w:sz w:val="21"/>
          <w:szCs w:val="21"/>
          <w:highlight w:val="none"/>
          <w:lang w:eastAsia="zh-CN"/>
        </w:rPr>
        <w:t xml:space="preserve">或板涵</w:t>
      </w:r>
      <w:r>
        <w:rPr>
          <w:rFonts w:ascii="Times New Roman" w:hAnsi="Times New Roman" w:cs="Times New Roman"/>
          <w:color w:val="auto"/>
          <w:sz w:val="21"/>
          <w:szCs w:val="21"/>
          <w:highlight w:val="none"/>
        </w:rPr>
        <w:t xml:space="preserve">提出养护意见和有设计资质单位出具的图纸，并通过专业机构图纸审查或专家评审。</w:t>
      </w:r>
      <w:r/>
    </w:p>
    <w:p>
      <w:pPr>
        <w:ind w:firstLine="422"/>
        <w:spacing w:line="500" w:lineRule="exact"/>
        <w:rPr>
          <w:rFonts w:ascii="Times New Roman" w:hAnsi="Times New Roman" w:cs="Times New Roman"/>
          <w:b/>
          <w:color w:val="auto"/>
          <w:sz w:val="21"/>
          <w:szCs w:val="21"/>
          <w:highlight w:val="none"/>
          <w:lang w:eastAsia="zh-CN"/>
        </w:rPr>
      </w:pPr>
      <w:r>
        <w:rPr>
          <w:rFonts w:hint="eastAsia" w:ascii="Times New Roman" w:hAnsi="Times New Roman" w:cs="Times New Roman"/>
          <w:b/>
          <w:color w:val="auto"/>
          <w:sz w:val="21"/>
          <w:szCs w:val="21"/>
          <w:highlight w:val="none"/>
          <w:lang w:eastAsia="zh-CN"/>
        </w:rPr>
        <w:t xml:space="preserve">五、</w:t>
      </w:r>
      <w:r>
        <w:rPr>
          <w:rFonts w:ascii="Times New Roman" w:hAnsi="Times New Roman" w:cs="Times New Roman"/>
          <w:b/>
          <w:color w:val="auto"/>
          <w:sz w:val="21"/>
          <w:szCs w:val="21"/>
          <w:highlight w:val="none"/>
          <w:lang w:eastAsia="zh-CN"/>
        </w:rPr>
        <w:t xml:space="preserve">招标清单</w:t>
      </w:r>
      <w:r/>
    </w:p>
    <w:p>
      <w:pPr>
        <w:jc w:val="center"/>
        <w:rPr>
          <w:b/>
          <w:bCs/>
          <w:color w:val="auto"/>
          <w:highlight w:val="none"/>
        </w:rPr>
      </w:pPr>
      <w:r>
        <w:rPr>
          <w:rFonts w:eastAsia="黑体"/>
          <w:color w:val="auto"/>
          <w:szCs w:val="24"/>
          <w:highlight w:val="none"/>
        </w:rPr>
        <w:t xml:space="preserve">表1 板涵桥汇总表</w:t>
      </w:r>
      <w:r/>
    </w:p>
    <w:tbl>
      <w:tblPr>
        <w:tblStyle w:val="643"/>
        <w:tblW w:w="499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73"/>
        <w:gridCol w:w="703"/>
        <w:gridCol w:w="2491"/>
        <w:gridCol w:w="1079"/>
        <w:gridCol w:w="1100"/>
        <w:gridCol w:w="1161"/>
        <w:gridCol w:w="1301"/>
      </w:tblGrid>
      <w:tr>
        <w:trPr>
          <w:jc w:val="center"/>
          <w:trHeight w:val="540"/>
          <w:tblHeader/>
        </w:trPr>
        <w:tc>
          <w:tcPr>
            <w:tcBorders>
              <w:top w:val="single" w:color="auto" w:sz="8" w:space="0"/>
              <w:left w:val="single" w:color="auto" w:sz="8" w:space="0"/>
              <w:bottom w:val="single" w:color="000000" w:sz="8" w:space="0"/>
              <w:right w:val="single" w:color="auto" w:sz="4" w:space="0"/>
            </w:tcBorders>
            <w:tcW w:w="395"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序号</w:t>
            </w:r>
            <w:r/>
          </w:p>
        </w:tc>
        <w:tc>
          <w:tcPr>
            <w:tcBorders>
              <w:top w:val="single" w:color="auto" w:sz="8" w:space="0"/>
              <w:left w:val="single" w:color="auto" w:sz="4" w:space="0"/>
              <w:bottom w:val="single" w:color="000000" w:sz="8" w:space="0"/>
              <w:right w:val="single" w:color="auto" w:sz="4" w:space="0"/>
            </w:tcBorders>
            <w:tcW w:w="413"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所属路段</w:t>
            </w:r>
            <w:r/>
          </w:p>
        </w:tc>
        <w:tc>
          <w:tcPr>
            <w:tcBorders>
              <w:top w:val="single" w:color="auto" w:sz="8" w:space="0"/>
              <w:left w:val="single" w:color="auto" w:sz="4" w:space="0"/>
              <w:bottom w:val="single" w:color="000000" w:sz="8" w:space="0"/>
              <w:right w:val="single" w:color="auto" w:sz="4" w:space="0"/>
            </w:tcBorders>
            <w:tcW w:w="1463"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桥梁名称</w:t>
            </w:r>
            <w:r/>
          </w:p>
        </w:tc>
        <w:tc>
          <w:tcPr>
            <w:tcBorders>
              <w:top w:val="single" w:color="auto" w:sz="8" w:space="0"/>
              <w:left w:val="single" w:color="auto" w:sz="4" w:space="0"/>
              <w:bottom w:val="single" w:color="000000" w:sz="8" w:space="0"/>
              <w:right w:val="single" w:color="auto" w:sz="4" w:space="0"/>
            </w:tcBorders>
            <w:tcW w:w="634"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桥梁全长（m）</w:t>
            </w:r>
            <w:r/>
          </w:p>
        </w:tc>
        <w:tc>
          <w:tcPr>
            <w:tcBorders>
              <w:top w:val="single" w:color="auto" w:sz="8" w:space="0"/>
              <w:left w:val="single" w:color="auto" w:sz="4" w:space="0"/>
              <w:bottom w:val="single" w:color="000000" w:sz="8" w:space="0"/>
              <w:right w:val="single" w:color="auto" w:sz="4" w:space="0"/>
            </w:tcBorders>
            <w:tcW w:w="646"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桥梁全宽（m）</w:t>
            </w:r>
            <w:r/>
          </w:p>
        </w:tc>
        <w:tc>
          <w:tcPr>
            <w:tcBorders>
              <w:top w:val="single" w:color="auto" w:sz="8" w:space="0"/>
              <w:left w:val="single" w:color="auto" w:sz="4" w:space="0"/>
              <w:bottom w:val="single" w:color="000000" w:sz="8" w:space="0"/>
              <w:right w:val="single" w:color="auto" w:sz="4" w:space="0"/>
            </w:tcBorders>
            <w:tcW w:w="682"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养护类别/养护等级</w:t>
            </w:r>
            <w:r/>
          </w:p>
        </w:tc>
        <w:tc>
          <w:tcPr>
            <w:tcBorders>
              <w:top w:val="single" w:color="auto" w:sz="4" w:space="0"/>
              <w:left w:val="single" w:color="auto" w:sz="4" w:space="0"/>
              <w:right w:val="single" w:color="auto" w:sz="4" w:space="0"/>
            </w:tcBorders>
            <w:tcW w:w="764"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备注</w:t>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b/>
                <w:bCs/>
                <w:color w:val="auto"/>
                <w:sz w:val="21"/>
                <w:szCs w:val="21"/>
                <w:highlight w:val="none"/>
              </w:rPr>
            </w:pPr>
            <w:r>
              <w:rPr>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天山路革新河板涵桥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eastAsia="宋体"/>
                <w:color w:val="auto"/>
                <w:sz w:val="21"/>
                <w:szCs w:val="21"/>
                <w:highlight w:val="none"/>
                <w:lang w:val="en-US" w:eastAsia="zh-CN"/>
              </w:rPr>
            </w:pPr>
            <w:r>
              <w:rPr>
                <w:rFonts w:eastAsia="宋体"/>
                <w:color w:val="auto"/>
                <w:sz w:val="21"/>
                <w:szCs w:val="21"/>
                <w:highlight w:val="none"/>
                <w:lang w:val="en-US" w:eastAsia="zh-CN"/>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天山路中圩河板涵桥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庐山路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庐山路革新河板涵桥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26.6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33.2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希望大道革新河板涵桥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54.1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希望大道团结河板涵桥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47.1</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51.2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希望大道建新河板涵桥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14.1</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希望大道合心河板涵桥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希望大道前进河板涵桥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希望大道中圩河板涵桥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17.3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希望大道潮中河板涵桥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16</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希望大道新村河板涵桥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17</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泰山路革新河板涵桥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泰山路团结河板涵桥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泰山路建新河板涵桥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泰山路合心河板涵桥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泰山路前进河板涵桥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17.8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26</w:t>
            </w:r>
            <w:r/>
          </w:p>
        </w:tc>
        <w:tc>
          <w:tcPr>
            <w:tcBorders>
              <w:top w:val="none" w:color="000000" w:sz="4" w:space="0"/>
              <w:left w:val="single" w:color="auto" w:sz="4" w:space="0"/>
              <w:bottom w:val="single" w:color="000000"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黄山路团结河板涵桥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27</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黄山路建新河板涵桥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黄山路合心河板涵桥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黄山路前进河板涵桥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32</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33</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黄山路潮中河板涵桥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东环路革新河板涵桥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东环路团结河板涵桥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71.8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36</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东环路建新河板涵桥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27.3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东环路合心河板涵桥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38</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27.9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69.4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68.5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东环路中圩河板涵桥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东环路潮中河板涵桥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东环路新村河板涵桥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69.5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东环路潮南河板涵桥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69.3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东环路步凤港板涵桥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54.9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71.4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822"/>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46</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华山路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华山路中舍河板板涵桥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47</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燕山路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燕山路兴西河板涵桥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48</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嵩山路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嵩山路中舍河板涵桥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嵩山路兴西河板涵桥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五台山路团结河板涵桥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54.85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五台山路建新河板涵桥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47.3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五台山路合心河板涵桥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52.3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五台山路前进河板涵桥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32.5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51.7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56</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五台山路中圩河板涵桥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58</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五台山路潮中河板涵桥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五台山路新村河板涵桥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五台山路潮南河板涵桥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25.1</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61</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武夷山路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武夷山路兴西河板涵桥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62</w:t>
            </w:r>
            <w:r/>
          </w:p>
        </w:tc>
        <w:tc>
          <w:tcPr>
            <w:tcBorders>
              <w:top w:val="none" w:color="000000" w:sz="4" w:space="0"/>
              <w:left w:val="single" w:color="auto" w:sz="4" w:space="0"/>
              <w:bottom w:val="single" w:color="000000"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峨眉山路新丰河板涵桥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16.5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45.2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63</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峨眉山路建新河板涵桥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43.7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64</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峨眉山路合心河板涵桥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48.2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65</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峨眉山路前进河板涵桥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42.6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66</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67</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43.2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68</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峨眉山路中圩河板涵桥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47.8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69</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峨眉山路潮中河板涵桥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w:t>
            </w:r>
            <w:r/>
          </w:p>
        </w:tc>
        <w:tc>
          <w:tcPr>
            <w:tcBorders>
              <w:top w:val="none" w:color="000000" w:sz="4" w:space="0"/>
              <w:left w:val="single" w:color="auto" w:sz="4" w:space="0"/>
              <w:bottom w:val="singl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峨眉山路新村河板涵桥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rFonts w:eastAsia="宋体"/>
                <w:color w:val="auto"/>
                <w:sz w:val="21"/>
                <w:szCs w:val="21"/>
                <w:highlight w:val="none"/>
                <w:lang w:val="en-US" w:eastAsia="zh-CN"/>
              </w:rPr>
            </w:pPr>
            <w:r>
              <w:rPr>
                <w:rFonts w:hint="eastAsia"/>
                <w:color w:val="auto"/>
                <w:sz w:val="21"/>
                <w:szCs w:val="21"/>
                <w:highlight w:val="none"/>
                <w:lang w:val="en-US" w:eastAsia="zh-CN"/>
              </w:rPr>
              <w:t xml:space="preserve">71</w:t>
            </w:r>
            <w:r/>
          </w:p>
        </w:tc>
        <w:tc>
          <w:tcPr>
            <w:tcBorders>
              <w:top w:val="non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w:t>
            </w:r>
            <w:r>
              <w:rPr>
                <w:rFonts w:hint="eastAsia"/>
                <w:color w:val="auto"/>
                <w:sz w:val="21"/>
                <w:szCs w:val="21"/>
                <w:highlight w:val="none"/>
                <w:lang w:val="en-US" w:eastAsia="zh-CN"/>
              </w:rPr>
              <w:t xml:space="preserve">潮南</w:t>
            </w:r>
            <w:r>
              <w:rPr>
                <w:color w:val="auto"/>
                <w:sz w:val="21"/>
                <w:szCs w:val="21"/>
                <w:highlight w:val="none"/>
              </w:rPr>
              <w:t xml:space="preserve">河板</w:t>
            </w:r>
            <w:r>
              <w:rPr>
                <w:color w:val="auto"/>
                <w:sz w:val="21"/>
                <w:szCs w:val="21"/>
                <w:highlight w:val="none"/>
              </w:rPr>
              <w:t xml:space="preserve">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72</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崂山路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崂山路前进河板涵桥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崂山路中舍河板涵桥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崂山路兴西河板涵桥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75</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九华山路新丰河板涵桥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76</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九华山路建新河板涵桥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九华山路合心河板涵桥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78</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九华山路前进河板涵桥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19.1</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九华山路中圩河板涵桥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47.9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九华山路潮中河板涵桥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39.8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九华山路新村河板涵桥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九华山路潮南河板涵桥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86</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普陀山路前进河板涵桥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普陀山路中舍河板涵桥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88</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普陀山路兴西河板涵桥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普陀山路中圩河板涵桥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27.8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普陀山路潮中河板涵桥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37.4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普陀山路新村河板涵桥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37.4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普陀山路潮南河板涵桥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39.8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94</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新安江路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新安江路丰收河板涵桥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95</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松江路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松江路光荣河板涵桥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96</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松江路新界河板涵桥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26.6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松江路丰收河板涵桥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98</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新都路光荣河板涵桥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81.4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23.1</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85.2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新都路丰收河板涵桥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77.9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新都路中西河板涵桥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23.1</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80.1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新都路中心河板涵桥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79.5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新都路中东河板涵桥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36.2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104</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嫩江路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嫩江路跃进河板涵桥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嫩江路丰收河板涵桥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106</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长江路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长江路新界河板涵桥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长江路跃进河板涵桥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108</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长江路丰收河板涵桥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109</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盐渎路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盐渎路新界河板涵桥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66.4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盐渎路跃进河板涵桥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盐渎路丰收河板涵桥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盐渎路中心河板涵桥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盐渎路中东河板涵桥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35.7</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盐渎路新生河板涵桥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69.6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115</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岷江路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岷江路新界河板涵桥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116</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岷江路跃进河板涵桥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27.8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岷江路丰收河板涵桥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118</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岷江路中东河板涵桥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岷江路新生河板涵桥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120</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乌江路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乌江路跃进河板涵桥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乌江路丰收河板涵桥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31.4</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122</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乌江路中东河板涵桥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123</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赣江路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赣江路新界河板涵桥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51.1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赣江路跃进河板涵桥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58.9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赣江路中心河板涵桥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53.6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126</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赣江路中东河板涵桥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赣江路新生河板涵桥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128</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珠江路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珠江路新界河板涵桥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129</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珠江路跃进河板涵桥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20.8</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36.7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珠江路中东河板涵桥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珠江路新生河板涵桥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132</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湘江路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湘江路新界河板涵桥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17.4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133</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湘江路跃进河板涵桥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134</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湘江路新生河板涵桥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135</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湘江路潮北河板涵桥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136</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漓江路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漓江路新界河板涵桥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137</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漓江路跃进河板涵桥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20.1</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138</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柳江路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柳江路光荣河板涵桥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17.2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139</w:t>
            </w:r>
            <w:r/>
          </w:p>
        </w:tc>
        <w:tc>
          <w:tcPr>
            <w:tcBorders>
              <w:top w:val="none" w:color="000000"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南环路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南环路迎春河板涵桥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54.6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140</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南环路光明河板涵桥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62</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141</w:t>
            </w:r>
            <w:r/>
          </w:p>
        </w:tc>
        <w:tc>
          <w:tcPr>
            <w:tcBorders>
              <w:top w:val="none" w:color="000000"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南环路农庄河板涵桥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72.9</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142</w:t>
            </w:r>
            <w:r/>
          </w:p>
        </w:tc>
        <w:tc>
          <w:tcPr>
            <w:tcBorders>
              <w:top w:val="none" w:color="000000" w:sz="4" w:space="0"/>
              <w:left w:val="single" w:color="auto"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嘉陵江路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嘉陵江路迎春河板涵桥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42.6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42"/>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143</w:t>
            </w:r>
            <w:r/>
          </w:p>
        </w:tc>
        <w:tc>
          <w:tcPr>
            <w:tcBorders>
              <w:left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嘉陵江路步凤中心河板涵桥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35.1</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292"/>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144</w:t>
            </w:r>
            <w:r/>
          </w:p>
        </w:tc>
        <w:tc>
          <w:tcPr>
            <w:tcBorders>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rFonts w:hint="eastAsia"/>
                <w:color w:val="auto"/>
                <w:sz w:val="21"/>
                <w:szCs w:val="21"/>
                <w:highlight w:val="none"/>
              </w:rPr>
              <w:t xml:space="preserve">嘉陵江路光明河桥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keepLines w:val="0"/>
              <w:keepNext w:val="0"/>
              <w:widowControl/>
              <w:rPr>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rPr>
              <w:t xml:space="preserve">45</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keepLines w:val="0"/>
              <w:keepNext w:val="0"/>
              <w:widowControl/>
              <w:rPr>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rPr>
              <w:t xml:space="preserve">41.7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keepLines w:val="0"/>
              <w:keepNext w:val="0"/>
              <w:widowControl/>
              <w:rPr>
                <w:color w:val="auto"/>
                <w:sz w:val="21"/>
                <w:szCs w:val="21"/>
                <w:highlight w:val="none"/>
              </w:rPr>
              <w:suppressLineNumbers w:val="0"/>
            </w:pPr>
            <w:r>
              <w:rPr>
                <w:rFonts w:ascii="Times New Roman" w:hAnsi="Times New Roman" w:eastAsia="宋体" w:cs="Times New Roman"/>
                <w:i w:val="0"/>
                <w:iCs w:val="0"/>
                <w:color w:val="auto"/>
                <w:sz w:val="21"/>
                <w:szCs w:val="21"/>
                <w:highlight w:val="none"/>
                <w:u w:val="none"/>
                <w:lang w:val="en-US" w:eastAsia="zh-CN"/>
              </w:rPr>
              <w:t xml:space="preserve">Ⅲ</w:t>
            </w:r>
            <w:r>
              <w:rPr>
                <w:rFonts w:hint="eastAsia" w:ascii="等线" w:hAnsi="等线" w:eastAsia="等线" w:cs="等线"/>
                <w:i w:val="0"/>
                <w:iCs w:val="0"/>
                <w:color w:val="auto"/>
                <w:sz w:val="21"/>
                <w:szCs w:val="21"/>
                <w:highlight w:val="none"/>
                <w:u w:val="none"/>
                <w:lang w:val="en-US" w:eastAsia="zh-CN"/>
              </w:rPr>
              <w:t xml:space="preserve">类</w:t>
            </w:r>
            <w:r>
              <w:rPr>
                <w:rFonts w:ascii="Times New Roman" w:hAnsi="Times New Roman" w:eastAsia="宋体" w:cs="Times New Roman"/>
                <w:i w:val="0"/>
                <w:iCs w:val="0"/>
                <w:color w:val="auto"/>
                <w:sz w:val="21"/>
                <w:szCs w:val="21"/>
                <w:highlight w:val="none"/>
                <w:u w:val="none"/>
                <w:lang w:val="en-US" w:eastAsia="zh-CN"/>
              </w:rPr>
              <w:t xml:space="preserve">/Ⅰ</w:t>
            </w:r>
            <w:r>
              <w:rPr>
                <w:rFonts w:hint="eastAsia" w:ascii="等线" w:hAnsi="等线" w:eastAsia="等线" w:cs="等线"/>
                <w:i w:val="0"/>
                <w:iCs w:val="0"/>
                <w:color w:val="auto"/>
                <w:sz w:val="21"/>
                <w:szCs w:val="21"/>
                <w:highlight w:val="none"/>
                <w:u w:val="none"/>
                <w:lang w:val="en-US" w:eastAsia="zh-CN"/>
              </w:rPr>
              <w:t xml:space="preserve">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145</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钱塘江路</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钱塘江路迎春河板涵桥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47.7</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0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1</w:t>
            </w:r>
            <w:r>
              <w:rPr>
                <w:rFonts w:ascii="Times New Roman" w:hAnsi="Times New Roman" w:eastAsia="宋体" w:cs="Times New Roman"/>
                <w:color w:val="auto"/>
                <w:sz w:val="21"/>
                <w:szCs w:val="21"/>
                <w:highlight w:val="none"/>
                <w:lang w:val="en-US" w:eastAsia="zh-CN"/>
              </w:rPr>
              <w:t xml:space="preserve">46</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rPr>
                <w:color w:val="auto"/>
                <w:sz w:val="21"/>
                <w:szCs w:val="21"/>
                <w:highlight w:val="none"/>
              </w:rPr>
            </w:pPr>
            <w:r>
              <w:rPr>
                <w:color w:val="auto"/>
                <w:sz w:val="21"/>
                <w:szCs w:val="21"/>
                <w:highlight w:val="none"/>
              </w:rPr>
              <w:t xml:space="preserve">世纪大道</w:t>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世纪大道中东河板涵</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75</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Ⅲ类/Ⅰ等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600"/>
        </w:trPr>
        <w:tc>
          <w:tcPr>
            <w:tcBorders>
              <w:top w:val="single" w:color="auto"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147</w:t>
            </w:r>
            <w:r/>
          </w:p>
        </w:tc>
        <w:tc>
          <w:tcPr>
            <w:tcBorders>
              <w:top w:val="single" w:color="auto" w:sz="4" w:space="0"/>
              <w:left w:val="none" w:color="000000" w:sz="4" w:space="0"/>
              <w:right w:val="single" w:color="auto" w:sz="4" w:space="0"/>
            </w:tcBorders>
            <w:tcW w:w="413"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w:t>
            </w:r>
            <w:r/>
          </w:p>
          <w:p>
            <w:pPr>
              <w:jc w:val="center"/>
              <w:spacing w:line="240" w:lineRule="auto"/>
              <w:rPr>
                <w:color w:val="auto"/>
                <w:sz w:val="21"/>
                <w:szCs w:val="21"/>
                <w:highlight w:val="none"/>
              </w:rPr>
            </w:pPr>
            <w:r>
              <w:rPr>
                <w:color w:val="auto"/>
                <w:sz w:val="21"/>
                <w:szCs w:val="21"/>
                <w:highlight w:val="none"/>
              </w:rPr>
            </w:r>
            <w:r/>
          </w:p>
          <w:p>
            <w:pPr>
              <w:jc w:val="center"/>
              <w:spacing w:line="240" w:lineRule="auto"/>
              <w:rPr>
                <w:color w:val="auto"/>
                <w:sz w:val="21"/>
                <w:szCs w:val="21"/>
                <w:highlight w:val="none"/>
              </w:rPr>
            </w:pPr>
            <w:r>
              <w:rPr>
                <w:color w:val="auto"/>
                <w:sz w:val="21"/>
                <w:szCs w:val="21"/>
                <w:highlight w:val="none"/>
              </w:rPr>
            </w:r>
            <w:r/>
          </w:p>
          <w:p>
            <w:pPr>
              <w:jc w:val="center"/>
              <w:spacing w:line="240" w:lineRule="auto"/>
              <w:rPr>
                <w:color w:val="auto"/>
                <w:sz w:val="21"/>
                <w:szCs w:val="21"/>
                <w:highlight w:val="none"/>
              </w:rPr>
            </w:pPr>
            <w:r>
              <w:rPr>
                <w:color w:val="auto"/>
                <w:sz w:val="21"/>
                <w:szCs w:val="21"/>
                <w:highlight w:val="none"/>
              </w:rPr>
            </w:r>
            <w:r/>
          </w:p>
          <w:p>
            <w:pPr>
              <w:jc w:val="center"/>
              <w:spacing w:line="240" w:lineRule="auto"/>
              <w:rPr>
                <w:color w:val="auto"/>
                <w:sz w:val="21"/>
                <w:szCs w:val="21"/>
                <w:highlight w:val="none"/>
              </w:rPr>
            </w:pPr>
            <w:r>
              <w:rPr>
                <w:color w:val="auto"/>
                <w:sz w:val="21"/>
                <w:szCs w:val="21"/>
                <w:highlight w:val="none"/>
              </w:rPr>
            </w:r>
            <w:r/>
          </w:p>
          <w:p>
            <w:pPr>
              <w:jc w:val="center"/>
              <w:spacing w:line="240" w:lineRule="auto"/>
              <w:rPr>
                <w:color w:val="auto"/>
                <w:sz w:val="21"/>
                <w:szCs w:val="21"/>
                <w:highlight w:val="none"/>
              </w:rPr>
            </w:pPr>
            <w:r>
              <w:rPr>
                <w:color w:val="auto"/>
                <w:sz w:val="21"/>
                <w:szCs w:val="21"/>
                <w:highlight w:val="none"/>
              </w:rPr>
            </w:r>
            <w:r/>
          </w:p>
          <w:p>
            <w:pPr>
              <w:jc w:val="center"/>
              <w:spacing w:line="240" w:lineRule="auto"/>
              <w:rPr>
                <w:color w:val="auto"/>
                <w:sz w:val="21"/>
                <w:szCs w:val="21"/>
                <w:highlight w:val="none"/>
              </w:rPr>
            </w:pPr>
            <w:r>
              <w:rPr>
                <w:color w:val="auto"/>
                <w:sz w:val="21"/>
                <w:szCs w:val="21"/>
                <w:highlight w:val="none"/>
              </w:rPr>
            </w:r>
            <w:r/>
          </w:p>
          <w:p>
            <w:pPr>
              <w:jc w:val="center"/>
              <w:spacing w:line="240" w:lineRule="auto"/>
              <w:rPr>
                <w:color w:val="auto"/>
                <w:sz w:val="21"/>
                <w:szCs w:val="21"/>
                <w:highlight w:val="none"/>
              </w:rPr>
            </w:pPr>
            <w:r>
              <w:rPr>
                <w:color w:val="auto"/>
                <w:sz w:val="21"/>
                <w:szCs w:val="21"/>
                <w:highlight w:val="none"/>
              </w:rPr>
            </w:r>
            <w:r/>
          </w:p>
          <w:p>
            <w:pPr>
              <w:jc w:val="center"/>
              <w:spacing w:line="240" w:lineRule="auto"/>
              <w:rPr>
                <w:color w:val="auto"/>
                <w:sz w:val="21"/>
                <w:szCs w:val="21"/>
                <w:highlight w:val="none"/>
              </w:rPr>
            </w:pPr>
            <w:r>
              <w:rPr>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河东变电站中舍河盖板涵桥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6.8</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48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148</w:t>
            </w:r>
            <w:r/>
          </w:p>
        </w:tc>
        <w:tc>
          <w:tcPr>
            <w:tcBorders>
              <w:left w:val="non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润阳三期北出入口板涵桥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16.6</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540"/>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149</w:t>
            </w:r>
            <w:r/>
          </w:p>
        </w:tc>
        <w:tc>
          <w:tcPr>
            <w:tcBorders>
              <w:left w:val="non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江苏求实塑业出入口新界河桥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619"/>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150</w:t>
            </w:r>
            <w:r/>
          </w:p>
        </w:tc>
        <w:tc>
          <w:tcPr>
            <w:tcBorders>
              <w:left w:val="none" w:color="000000"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万达利出入口新界河板涵桥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582"/>
        </w:trPr>
        <w:tc>
          <w:tcPr>
            <w:tcBorders>
              <w:top w:val="none" w:color="000000" w:sz="4" w:space="0"/>
              <w:left w:val="single" w:color="auto" w:sz="8" w:space="0"/>
              <w:bottom w:val="single" w:color="auto" w:sz="4" w:space="0"/>
              <w:right w:val="single" w:color="auto" w:sz="4" w:space="0"/>
            </w:tcBorders>
            <w:tcW w:w="395" w:type="pct"/>
            <w:vAlign w:val="center"/>
            <w:textDirection w:val="lrTb"/>
            <w:noWrap w:val="false"/>
          </w:tcPr>
          <w:p>
            <w:pPr>
              <w:jc w:val="center"/>
              <w:spacing w:line="240" w:lineRule="auto"/>
              <w:widowControl/>
              <w:rPr>
                <w:rFonts w:hint="eastAsia" w:eastAsia="宋体"/>
                <w:color w:val="auto"/>
                <w:sz w:val="21"/>
                <w:szCs w:val="21"/>
                <w:highlight w:val="none"/>
                <w:lang w:eastAsia="zh-CN"/>
              </w:rPr>
            </w:pPr>
            <w:r>
              <w:rPr>
                <w:color w:val="auto"/>
                <w:sz w:val="21"/>
                <w:szCs w:val="21"/>
                <w:highlight w:val="none"/>
              </w:rPr>
              <w:t xml:space="preserve">151</w:t>
            </w:r>
            <w:r/>
          </w:p>
        </w:tc>
        <w:tc>
          <w:tcPr>
            <w:tcBorders>
              <w:left w:val="none" w:color="000000"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江苏吉能达出入口新界河桥</w:t>
            </w:r>
            <w:r/>
          </w:p>
        </w:tc>
        <w:tc>
          <w:tcPr>
            <w:tcBorders>
              <w:top w:val="none" w:color="000000" w:sz="4" w:space="0"/>
              <w:left w:val="none" w:color="000000"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shd w:val="clear" w:color="auto" w:fill="auto"/>
            <w:tcBorders>
              <w:top w:val="none" w:color="000000" w:sz="4" w:space="0"/>
              <w:left w:val="single" w:color="auto" w:sz="4" w:space="0"/>
              <w:bottom w:val="single" w:color="auto" w:sz="4" w:space="0"/>
              <w:right w:val="single" w:color="auto" w:sz="8" w:space="0"/>
            </w:tcBorders>
            <w:tcW w:w="764" w:type="pct"/>
            <w:vAlign w:val="center"/>
            <w:textDirection w:val="lrTb"/>
            <w:noWrap w:val="false"/>
          </w:tcPr>
          <w:p>
            <w:pPr>
              <w:jc w:val="center"/>
              <w:spacing w:line="240" w:lineRule="auto"/>
              <w:widowControl/>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90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152</w:t>
            </w:r>
            <w:r/>
          </w:p>
        </w:tc>
        <w:tc>
          <w:tcPr>
            <w:tcBorders>
              <w:top w:val="single" w:color="auto"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苏亚出入口兴西河桥</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36</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76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hint="eastAsia" w:eastAsia="宋体"/>
                <w:color w:val="auto"/>
                <w:sz w:val="21"/>
                <w:szCs w:val="21"/>
                <w:highlight w:val="none"/>
                <w:lang w:eastAsia="zh-CN"/>
              </w:rPr>
            </w:pPr>
            <w:r>
              <w:rPr>
                <w:color w:val="auto"/>
                <w:sz w:val="21"/>
                <w:szCs w:val="21"/>
                <w:highlight w:val="none"/>
              </w:rPr>
              <w:t xml:space="preserve">153</w:t>
            </w:r>
            <w:r/>
          </w:p>
        </w:tc>
        <w:tc>
          <w:tcPr>
            <w:tcBorders>
              <w:top w:val="single" w:color="auto" w:sz="4" w:space="0"/>
              <w:left w:val="single" w:color="auto" w:sz="4" w:space="0"/>
              <w:bottom w:val="single" w:color="auto" w:sz="4" w:space="0"/>
              <w:right w:val="single" w:color="auto" w:sz="4" w:space="0"/>
            </w:tcBorders>
            <w:tcW w:w="413" w:type="pct"/>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63"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悦欣花园停车楼出入口板涵桥</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76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bl>
    <w:p>
      <w:pPr>
        <w:jc w:val="both"/>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zh-CN" w:bidi="ar-SA"/>
        </w:rPr>
        <w:t xml:space="preserve">板涵均为常规检测</w:t>
      </w:r>
      <w:r>
        <w:rPr>
          <w:rFonts w:hint="eastAsia" w:ascii="宋体" w:hAnsi="宋体" w:cs="宋体"/>
          <w:b/>
          <w:bCs/>
          <w:color w:val="auto"/>
          <w:sz w:val="24"/>
          <w:szCs w:val="24"/>
          <w:highlight w:val="none"/>
          <w:lang w:val="en-US" w:eastAsia="zh-CN" w:bidi="ar-SA"/>
        </w:rPr>
        <w:t xml:space="preserve">。</w:t>
      </w:r>
      <w:r/>
    </w:p>
    <w:p>
      <w:pPr>
        <w:jc w:val="center"/>
        <w:pageBreakBefore/>
        <w:widowControl w:val="off"/>
        <w:rPr>
          <w:b/>
          <w:bCs/>
          <w:color w:val="auto"/>
          <w:highlight w:val="none"/>
        </w:rPr>
      </w:pPr>
      <w:r>
        <w:rPr>
          <w:rFonts w:eastAsia="黑体"/>
          <w:color w:val="auto"/>
          <w:highlight w:val="none"/>
        </w:rPr>
        <w:t xml:space="preserve">表2 桥梁</w:t>
      </w:r>
      <w:r>
        <w:rPr>
          <w:rFonts w:hint="eastAsia" w:eastAsia="黑体"/>
          <w:color w:val="auto"/>
          <w:highlight w:val="none"/>
          <w:lang w:val="en-US" w:eastAsia="zh-CN"/>
        </w:rPr>
        <w:t xml:space="preserve">汇</w:t>
      </w:r>
      <w:r>
        <w:rPr>
          <w:rFonts w:eastAsia="黑体"/>
          <w:color w:val="auto"/>
          <w:highlight w:val="none"/>
        </w:rPr>
        <w:t xml:space="preserve">总表</w:t>
      </w:r>
      <w:r/>
    </w:p>
    <w:tbl>
      <w:tblPr>
        <w:tblStyle w:val="643"/>
        <w:tblW w:w="522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058"/>
        <w:gridCol w:w="2422"/>
        <w:gridCol w:w="1088"/>
        <w:gridCol w:w="1040"/>
        <w:gridCol w:w="1348"/>
        <w:gridCol w:w="1238"/>
      </w:tblGrid>
      <w:tr>
        <w:trPr>
          <w:jc w:val="center"/>
          <w:trHeight w:val="480"/>
          <w:tblHeader/>
        </w:trPr>
        <w:tc>
          <w:tcPr>
            <w:tcBorders>
              <w:top w:val="single" w:color="auto" w:sz="4" w:space="0"/>
              <w:left w:val="single" w:color="auto" w:sz="4" w:space="0"/>
              <w:bottom w:val="single" w:color="auto" w:sz="4" w:space="0"/>
              <w:right w:val="single" w:color="auto" w:sz="4" w:space="0"/>
            </w:tcBorders>
            <w:tcW w:w="396"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所属路段</w:t>
            </w:r>
            <w:r/>
          </w:p>
        </w:tc>
        <w:tc>
          <w:tcPr>
            <w:tcBorders>
              <w:top w:val="single" w:color="auto" w:sz="4" w:space="0"/>
              <w:left w:val="single" w:color="auto" w:sz="4" w:space="0"/>
              <w:bottom w:val="single" w:color="auto" w:sz="4" w:space="0"/>
              <w:right w:val="single" w:color="auto" w:sz="4" w:space="0"/>
            </w:tcBorders>
            <w:tcW w:w="1360"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桥梁名称</w:t>
            </w:r>
            <w:r/>
          </w:p>
        </w:tc>
        <w:tc>
          <w:tcPr>
            <w:tcBorders>
              <w:top w:val="single" w:color="auto" w:sz="4" w:space="0"/>
              <w:left w:val="single" w:color="auto" w:sz="4" w:space="0"/>
              <w:bottom w:val="single" w:color="auto" w:sz="4" w:space="0"/>
              <w:right w:val="single" w:color="auto" w:sz="4" w:space="0"/>
            </w:tcBorders>
            <w:tcW w:w="611"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桥梁</w:t>
            </w:r>
            <w:r>
              <w:rPr>
                <w:rFonts w:hint="eastAsia"/>
                <w:b/>
                <w:bCs/>
                <w:color w:val="auto"/>
                <w:sz w:val="21"/>
                <w:szCs w:val="21"/>
                <w:highlight w:val="none"/>
                <w:lang w:val="en-US" w:eastAsia="zh-CN"/>
              </w:rPr>
              <w:t xml:space="preserve">总</w:t>
            </w:r>
            <w:r>
              <w:rPr>
                <w:b/>
                <w:bCs/>
                <w:color w:val="auto"/>
                <w:sz w:val="21"/>
                <w:szCs w:val="21"/>
                <w:highlight w:val="none"/>
              </w:rPr>
              <w:t xml:space="preserve">长（m）</w:t>
            </w:r>
            <w:r/>
          </w:p>
        </w:tc>
        <w:tc>
          <w:tcPr>
            <w:tcBorders>
              <w:top w:val="single" w:color="auto" w:sz="4" w:space="0"/>
              <w:left w:val="single" w:color="auto" w:sz="4" w:space="0"/>
              <w:bottom w:val="single" w:color="auto" w:sz="4" w:space="0"/>
              <w:right w:val="single" w:color="auto" w:sz="4" w:space="0"/>
            </w:tcBorders>
            <w:tcW w:w="584"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桥梁全宽（m）</w:t>
            </w:r>
            <w:r/>
          </w:p>
        </w:tc>
        <w:tc>
          <w:tcPr>
            <w:tcBorders>
              <w:top w:val="single" w:color="auto" w:sz="4" w:space="0"/>
              <w:left w:val="single" w:color="auto" w:sz="4" w:space="0"/>
              <w:bottom w:val="single" w:color="auto" w:sz="4" w:space="0"/>
              <w:right w:val="single" w:color="auto" w:sz="4" w:space="0"/>
            </w:tcBorders>
            <w:tcW w:w="757"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养护类别/养护等级</w:t>
            </w:r>
            <w:r/>
          </w:p>
        </w:tc>
        <w:tc>
          <w:tcPr>
            <w:tcBorders>
              <w:top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备注</w:t>
            </w:r>
            <w:r/>
          </w:p>
        </w:tc>
      </w:tr>
      <w:tr>
        <w:trPr>
          <w:jc w:val="center"/>
          <w:trHeight w:val="60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33</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61.2</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eastAsia="宋体"/>
                <w:color w:val="auto"/>
                <w:sz w:val="21"/>
                <w:szCs w:val="21"/>
                <w:highlight w:val="none"/>
                <w:lang w:val="en-US" w:eastAsia="zh-CN"/>
              </w:rPr>
            </w:pPr>
            <w:r>
              <w:rPr>
                <w:rFonts w:eastAsia="宋体"/>
                <w:color w:val="auto"/>
                <w:sz w:val="21"/>
                <w:szCs w:val="21"/>
                <w:highlight w:val="none"/>
                <w:lang w:val="en-US" w:eastAsia="zh-CN"/>
              </w:rPr>
            </w:r>
            <w:r/>
          </w:p>
        </w:tc>
      </w:tr>
      <w:tr>
        <w:trPr>
          <w:jc w:val="center"/>
          <w:trHeight w:val="54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天山路团结河桥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40.8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60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天山路西潮河桥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48</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17.1</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60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50.9</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66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希望大道西潮河桥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50.2</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60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泰山路胜利河桥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82"/>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35.6</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40.4</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黄山路新村河桥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60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9</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33.9</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70.3</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59"/>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东环路西潮河桥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48</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70.2</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99"/>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11</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天柱山路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天柱山路胜利河桥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42</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32.9</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859"/>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华山路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华山路胜利河桥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89.5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25.3</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Ⅳ类/Ⅱ等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4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华山路团结河桥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56</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7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规划支路（嵩山路西）</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规划支路（嵩山路西）合心河桥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21</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15</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嵩山路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嵩山路胜利河桥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26</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24.5</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Ⅳ类/Ⅱ等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嵩山路团结河桥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52</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28.4</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Ⅳ类/Ⅱ等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嵩山路合心河桥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25.5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24.8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eastAsia="宋体"/>
                <w:b/>
                <w:bCs/>
                <w:color w:val="auto"/>
                <w:sz w:val="21"/>
                <w:szCs w:val="21"/>
                <w:highlight w:val="none"/>
                <w:lang w:val="en-US" w:eastAsia="zh-CN"/>
              </w:rPr>
            </w:pPr>
            <w:r>
              <w:rPr>
                <w:rFonts w:hint="eastAsia"/>
                <w:b/>
                <w:bCs/>
                <w:color w:val="auto"/>
                <w:sz w:val="21"/>
                <w:szCs w:val="21"/>
                <w:highlight w:val="none"/>
                <w:lang w:val="en-US" w:eastAsia="zh-CN"/>
              </w:rPr>
              <w:t xml:space="preserve">结构检测</w:t>
            </w:r>
            <w:r/>
          </w:p>
        </w:tc>
      </w:tr>
      <w:tr>
        <w:trPr>
          <w:jc w:val="center"/>
          <w:trHeight w:val="342"/>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嵩山路潮中河桥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22</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50.6</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五台山路西潮河桥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53</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51.1</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Ⅳ类/Ⅱ等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22"/>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五台山路步凤港桥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47.4</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五台山路伍龙河桥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51</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23</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武夷山路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武夷山路胜利河桥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51</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24.84</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46</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24.6</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4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东山路团结河桥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177</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21</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常规+专项检测</w:t>
            </w:r>
            <w:r/>
          </w:p>
        </w:tc>
      </w:tr>
      <w:tr>
        <w:trPr>
          <w:jc w:val="center"/>
          <w:trHeight w:val="60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东山路建新河桥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89</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27</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雁荡山路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雁荡山路胜利河桥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46</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24.7</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66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40.4</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峨眉山路团结河桥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57</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Ⅳ类/Ⅱ等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峨眉山路西潮河桥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52.3</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31</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37.2</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42.8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九华山路团结河桥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55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40.6</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九华山路西潮河桥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54.1</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Ⅳ类/Ⅱ等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4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34</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普陀山路西潮河桥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52</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16.9</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882"/>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新都路开发大桥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4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36</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嫩江路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嫩江路规划河桥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22"/>
        </w:trPr>
        <w:tc>
          <w:tcPr>
            <w:shd w:val="clear" w:color="auto" w:fill="auto"/>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长江路</w:t>
            </w:r>
            <w:r/>
          </w:p>
        </w:tc>
        <w:tc>
          <w:tcPr>
            <w:shd w:val="clear" w:color="auto" w:fill="auto"/>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长江路雷达河桥</w:t>
            </w:r>
            <w:r/>
          </w:p>
        </w:tc>
        <w:tc>
          <w:tcPr>
            <w:shd w:val="clear" w:color="auto" w:fill="auto"/>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1099"/>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38</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盐渎路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盐渎大桥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557</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50.5</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Ⅰ类/Ⅰ等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39</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岷江路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岷江路中心河桥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Ⅳ类/Ⅱ等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40</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乌江路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乌江路中心河桥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29.4</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30.3</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41</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珠江路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珠江路中心河桥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29.3</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30.6</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42</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湘江路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湘江路中心河桥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59"/>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43</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漓江路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漓江路中心河桥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32</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30.6</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漓江路新生河桥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19</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45</w:t>
            </w:r>
            <w:r/>
          </w:p>
        </w:tc>
        <w:tc>
          <w:tcPr>
            <w:shd w:val="clear" w:color="000000" w:fill="ffffff"/>
            <w:tcBorders>
              <w:top w:val="single" w:color="auto" w:sz="4" w:space="0"/>
              <w:left w:val="none" w:color="000000" w:sz="4" w:space="0"/>
              <w:bottom w:val="single" w:color="auto" w:sz="4" w:space="0"/>
              <w:right w:val="single" w:color="auto" w:sz="4" w:space="0"/>
            </w:tcBorders>
            <w:tcW w:w="59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柳江路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柳江路德喜河桥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28.6</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14.8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46</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南环路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南环路德喜河桥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28</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69.2</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Ⅳ类/Ⅱ等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南环路中心河桥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29.4</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71.4</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南环路步凤河桥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68.7</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49</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黄埔江路</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黄埔江路中心河桥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24</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68"/>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黄浦江路光明河桥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30</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568"/>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黄埔江路步凤河桥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30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24.2</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color w:val="auto"/>
                <w:sz w:val="21"/>
                <w:szCs w:val="21"/>
                <w:highlight w:val="none"/>
              </w:rPr>
            </w:pPr>
            <w:r>
              <w:rPr>
                <w:color w:val="auto"/>
                <w:sz w:val="21"/>
                <w:szCs w:val="21"/>
                <w:highlight w:val="none"/>
              </w:rPr>
              <w:t xml:space="preserve">Ⅳ类/Ⅲ等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color w:val="auto"/>
                <w:sz w:val="21"/>
                <w:szCs w:val="21"/>
                <w:highlight w:val="none"/>
              </w:rPr>
            </w:pPr>
            <w:r>
              <w:rPr>
                <w:color w:val="auto"/>
                <w:sz w:val="21"/>
                <w:szCs w:val="21"/>
                <w:highlight w:val="none"/>
              </w:rPr>
            </w:r>
            <w:r/>
          </w:p>
        </w:tc>
      </w:tr>
      <w:tr>
        <w:trPr>
          <w:jc w:val="center"/>
          <w:trHeight w:val="420"/>
        </w:trPr>
        <w:tc>
          <w:tcPr>
            <w:shd w:val="clear" w:color="000000" w:fill="ffffff"/>
            <w:tcBorders>
              <w:top w:val="single" w:color="auto" w:sz="4" w:space="0"/>
              <w:left w:val="single" w:color="auto" w:sz="4" w:space="0"/>
              <w:right w:val="single" w:color="auto" w:sz="4" w:space="0"/>
            </w:tcBorders>
            <w:tcW w:w="396" w:type="pct"/>
            <w:vAlign w:val="center"/>
            <w:vMerge w:val="restart"/>
            <w:textDirection w:val="lrTb"/>
            <w:noWrap w:val="false"/>
          </w:tcPr>
          <w:p>
            <w:pPr>
              <w:jc w:val="center"/>
              <w:spacing w:line="240" w:lineRule="auto"/>
              <w:widowControl/>
              <w:rPr>
                <w:rFonts w:hint="eastAsia" w:eastAsia="宋体"/>
                <w:color w:val="auto"/>
                <w:sz w:val="21"/>
                <w:szCs w:val="21"/>
                <w:highlight w:val="none"/>
                <w:lang w:eastAsia="zh-CN"/>
              </w:rPr>
            </w:pPr>
            <w:r>
              <w:rPr>
                <w:color w:val="auto"/>
                <w:sz w:val="21"/>
                <w:szCs w:val="21"/>
                <w:highlight w:val="none"/>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嘉陵江路</w:t>
            </w:r>
            <w:r/>
          </w:p>
        </w:tc>
        <w:tc>
          <w:tcPr>
            <w:shd w:val="clear" w:color="000000" w:fill="ffffff"/>
            <w:tcBorders>
              <w:top w:val="single" w:color="auto" w:sz="4" w:space="0"/>
              <w:left w:val="none" w:color="000000" w:sz="4" w:space="0"/>
              <w:right w:val="single" w:color="auto" w:sz="4" w:space="0"/>
            </w:tcBorders>
            <w:tcW w:w="1360"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嘉陵江路步凤河桥</w:t>
            </w:r>
            <w:r/>
          </w:p>
        </w:tc>
        <w:tc>
          <w:tcPr>
            <w:shd w:val="clear" w:color="000000" w:fill="ffffff"/>
            <w:tcBorders>
              <w:top w:val="single" w:color="auto" w:sz="4" w:space="0"/>
              <w:left w:val="none" w:color="000000" w:sz="4" w:space="0"/>
              <w:right w:val="single" w:color="auto" w:sz="4" w:space="0"/>
            </w:tcBorders>
            <w:tcW w:w="611" w:type="pct"/>
            <w:vAlign w:val="center"/>
            <w:vMerge w:val="restart"/>
            <w:textDirection w:val="lrTb"/>
            <w:noWrap w:val="false"/>
          </w:tcPr>
          <w:p>
            <w:pPr>
              <w:jc w:val="center"/>
              <w:spacing w:line="240" w:lineRule="auto"/>
              <w:widowControl/>
              <w:rPr>
                <w:color w:val="auto"/>
                <w:sz w:val="21"/>
                <w:szCs w:val="21"/>
                <w:highlight w:val="none"/>
              </w:rPr>
            </w:pPr>
            <w:r>
              <w:rPr>
                <w:color w:val="auto"/>
                <w:sz w:val="21"/>
                <w:szCs w:val="21"/>
                <w:highlight w:val="none"/>
              </w:rPr>
              <w:t xml:space="preserve">26</w:t>
            </w:r>
            <w:r/>
          </w:p>
        </w:tc>
        <w:tc>
          <w:tcPr>
            <w:shd w:val="clear" w:color="000000" w:fill="ffffff"/>
            <w:tcBorders>
              <w:top w:val="single" w:color="auto" w:sz="4" w:space="0"/>
              <w:left w:val="none" w:color="000000" w:sz="4" w:space="0"/>
              <w:right w:val="single" w:color="auto" w:sz="4" w:space="0"/>
            </w:tcBorders>
            <w:tcW w:w="584" w:type="pct"/>
            <w:vAlign w:val="center"/>
            <w:vMerge w:val="restart"/>
            <w:textDirection w:val="lrTb"/>
            <w:noWrap/>
          </w:tcPr>
          <w:p>
            <w:pPr>
              <w:jc w:val="center"/>
              <w:spacing w:line="240" w:lineRule="auto"/>
              <w:widowControl/>
              <w:rPr>
                <w:color w:val="auto"/>
                <w:sz w:val="21"/>
                <w:szCs w:val="21"/>
                <w:highlight w:val="none"/>
              </w:rPr>
            </w:pPr>
            <w:r>
              <w:rPr>
                <w:color w:val="auto"/>
                <w:sz w:val="21"/>
                <w:szCs w:val="21"/>
                <w:highlight w:val="none"/>
              </w:rPr>
              <w:t xml:space="preserve">14.8</w:t>
            </w:r>
            <w:r/>
          </w:p>
        </w:tc>
        <w:tc>
          <w:tcPr>
            <w:shd w:val="clear" w:color="000000" w:fill="ffffff"/>
            <w:tcBorders>
              <w:top w:val="single" w:color="auto" w:sz="4" w:space="0"/>
              <w:left w:val="none" w:color="000000" w:sz="4" w:space="0"/>
              <w:right w:val="single" w:color="auto" w:sz="4" w:space="0"/>
            </w:tcBorders>
            <w:tcW w:w="757" w:type="pct"/>
            <w:vAlign w:val="center"/>
            <w:vMerge w:val="restart"/>
            <w:textDirection w:val="lrTb"/>
            <w:noWrap/>
          </w:tcPr>
          <w:p>
            <w:pPr>
              <w:jc w:val="center"/>
              <w:spacing w:line="240" w:lineRule="auto"/>
              <w:widowControl/>
              <w:rPr>
                <w:color w:val="auto"/>
                <w:sz w:val="21"/>
                <w:szCs w:val="21"/>
                <w:highlight w:val="none"/>
              </w:rPr>
            </w:pPr>
            <w:r>
              <w:rPr>
                <w:color w:val="auto"/>
                <w:sz w:val="21"/>
                <w:szCs w:val="21"/>
                <w:highlight w:val="none"/>
              </w:rPr>
              <w:t xml:space="preserve">Ⅲ类/Ⅰ等</w:t>
            </w:r>
            <w:r/>
          </w:p>
        </w:tc>
        <w:tc>
          <w:tcPr>
            <w:tcBorders>
              <w:top w:val="single" w:color="auto" w:sz="4" w:space="0"/>
              <w:left w:val="single" w:color="auto" w:sz="4" w:space="0"/>
              <w:right w:val="single" w:color="auto" w:sz="4" w:space="0"/>
            </w:tcBorders>
            <w:tcW w:w="695" w:type="pct"/>
            <w:vAlign w:val="center"/>
            <w:vMerge w:val="restart"/>
            <w:textDirection w:val="lrTb"/>
            <w:noWrap w:val="false"/>
          </w:tcPr>
          <w:p>
            <w:pPr>
              <w:jc w:val="center"/>
              <w:spacing w:line="240" w:lineRule="auto"/>
              <w:widowControl/>
              <w:rPr>
                <w:rFonts w:eastAsia="宋体"/>
                <w:color w:val="auto"/>
                <w:sz w:val="21"/>
                <w:szCs w:val="21"/>
                <w:highlight w:val="none"/>
                <w:lang w:val="en-US" w:eastAsia="zh-CN"/>
              </w:rPr>
            </w:pPr>
            <w:r>
              <w:rPr>
                <w:rFonts w:eastAsia="宋体"/>
                <w:color w:val="auto"/>
                <w:sz w:val="21"/>
                <w:szCs w:val="21"/>
                <w:highlight w:val="none"/>
                <w:lang w:val="en-US" w:eastAsia="zh-CN"/>
              </w:rPr>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rFonts w:hint="eastAsia"/>
                <w:b/>
                <w:bCs/>
                <w:color w:val="auto"/>
                <w:sz w:val="21"/>
                <w:szCs w:val="21"/>
                <w:highlight w:val="none"/>
                <w:lang w:val="en-US" w:eastAsia="zh-CN"/>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通榆河景观带</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革新桥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15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10.2</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Ⅴ类/Ⅲ等</w:t>
            </w:r>
            <w:r/>
          </w:p>
        </w:tc>
        <w:tc>
          <w:tcPr>
            <w:shd w:val="clear" w:color="auto" w:fill="auto"/>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hint="eastAsia" w:ascii="Calibri" w:hAnsi="Calibri" w:eastAsia="宋体" w:cs="Arial"/>
                <w:b/>
                <w:bCs/>
                <w:color w:val="auto"/>
                <w:sz w:val="21"/>
                <w:szCs w:val="21"/>
                <w:highlight w:val="none"/>
                <w:lang w:val="en-US" w:eastAsia="zh-CN" w:bidi="ar-SA"/>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ascii="Times New Roman" w:hAnsi="Times New Roman" w:eastAsia="宋体" w:cs="Times New Roman"/>
                <w:b/>
                <w:bCs/>
                <w:color w:val="auto"/>
                <w:sz w:val="21"/>
                <w:szCs w:val="21"/>
                <w:highlight w:val="none"/>
                <w:lang w:val="en-US" w:eastAsia="zh-CN" w:bidi="ar-SA"/>
              </w:rPr>
            </w:pPr>
            <w:r>
              <w:rPr>
                <w:rFonts w:hint="eastAsia" w:ascii="Times New Roman" w:hAnsi="Times New Roman" w:cs="Times New Roman"/>
                <w:b/>
                <w:bCs/>
                <w:color w:val="auto"/>
                <w:sz w:val="21"/>
                <w:szCs w:val="21"/>
                <w:highlight w:val="none"/>
                <w:lang w:val="en-US" w:eastAsia="zh-CN"/>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spacing w:line="240" w:lineRule="auto"/>
              <w:widowControl/>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rPr>
              <w:t xml:space="preserve">世纪大道</w:t>
            </w:r>
            <w:r/>
          </w:p>
        </w:tc>
        <w:tc>
          <w:tcPr>
            <w:shd w:val="clear" w:color="auto" w:fill="auto"/>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rFonts w:hint="eastAsia"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 xml:space="preserve">世纪大道中心河桥</w:t>
            </w:r>
            <w:r/>
          </w:p>
        </w:tc>
        <w:tc>
          <w:tcPr>
            <w:shd w:val="clear" w:color="auto" w:fill="auto"/>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rFonts w:hint="eastAsia"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 xml:space="preserve">36.6</w:t>
            </w:r>
            <w:r/>
          </w:p>
        </w:tc>
        <w:tc>
          <w:tcPr>
            <w:shd w:val="clear" w:color="auto" w:fill="auto"/>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rFonts w:hint="eastAsia"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rFonts w:hint="eastAsia"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rPr>
              <w:t xml:space="preserve">Ⅲ类/Ⅰ等</w:t>
            </w:r>
            <w:r/>
          </w:p>
        </w:tc>
        <w:tc>
          <w:tcPr>
            <w:shd w:val="clear" w:color="auto" w:fill="auto"/>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hint="eastAsia" w:ascii="Times New Roman" w:hAnsi="Times New Roman" w:eastAsia="宋体" w:cs="Times New Roman"/>
                <w:b/>
                <w:bCs/>
                <w:color w:val="auto"/>
                <w:sz w:val="21"/>
                <w:szCs w:val="21"/>
                <w:highlight w:val="none"/>
                <w:lang w:val="en-US" w:eastAsia="zh-CN" w:bidi="ar-SA"/>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eastAsia="宋体"/>
                <w:b/>
                <w:bCs/>
                <w:color w:val="auto"/>
                <w:sz w:val="21"/>
                <w:szCs w:val="21"/>
                <w:highlight w:val="none"/>
                <w:lang w:val="en-US" w:eastAsia="zh-CN"/>
              </w:rPr>
            </w:pPr>
            <w:r>
              <w:rPr>
                <w:rFonts w:hint="eastAsia"/>
                <w:b/>
                <w:bCs/>
                <w:color w:val="auto"/>
                <w:sz w:val="21"/>
                <w:szCs w:val="21"/>
                <w:highlight w:val="none"/>
                <w:lang w:val="en-US" w:eastAsia="zh-CN"/>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restart"/>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起亚二工厂团结河桥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52.6</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22.8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5</w:t>
            </w:r>
            <w:r>
              <w:rPr>
                <w:rFonts w:hint="eastAsia"/>
                <w:b/>
                <w:bCs/>
                <w:color w:val="auto"/>
                <w:sz w:val="21"/>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DYK三厂北入口新潮中河桥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48</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19</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5</w:t>
            </w:r>
            <w:r>
              <w:rPr>
                <w:rFonts w:hint="eastAsia"/>
                <w:b/>
                <w:bCs/>
                <w:color w:val="auto"/>
                <w:sz w:val="21"/>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DYK研发中心北入口新潮中河桥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48</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19</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5</w:t>
            </w:r>
            <w:r>
              <w:rPr>
                <w:rFonts w:hint="eastAsia"/>
                <w:b/>
                <w:bCs/>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光电产业园西潮河桥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50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14.8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rFonts w:hint="eastAsia"/>
                <w:b/>
                <w:bCs/>
                <w:color w:val="auto"/>
                <w:sz w:val="21"/>
                <w:szCs w:val="21"/>
                <w:highlight w:val="none"/>
                <w:lang w:val="en-US" w:eastAsia="zh-CN"/>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新城小学胜利河桥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51</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32.6</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rFonts w:ascii="Calibri" w:hAnsi="Calibri" w:eastAsia="宋体" w:cs="Arial"/>
                <w:b/>
                <w:bCs/>
                <w:color w:val="auto"/>
                <w:sz w:val="21"/>
                <w:szCs w:val="21"/>
                <w:highlight w:val="none"/>
                <w:lang w:val="en-US" w:eastAsia="zh-CN" w:bidi="ar-SA"/>
              </w:rPr>
            </w:pPr>
            <w:r>
              <w:rPr>
                <w:b/>
                <w:bCs/>
                <w:color w:val="auto"/>
                <w:sz w:val="21"/>
                <w:szCs w:val="21"/>
                <w:highlight w:val="none"/>
              </w:rPr>
              <w:t xml:space="preserve">Ⅴ类/Ⅲ等</w:t>
            </w:r>
            <w:r/>
          </w:p>
        </w:tc>
        <w:tc>
          <w:tcPr>
            <w:shd w:val="clear" w:color="auto" w:fill="auto"/>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hint="eastAsia" w:ascii="Calibri" w:hAnsi="Calibri" w:eastAsia="宋体" w:cs="Arial"/>
                <w:b/>
                <w:bCs/>
                <w:color w:val="auto"/>
                <w:sz w:val="21"/>
                <w:szCs w:val="21"/>
                <w:highlight w:val="none"/>
                <w:lang w:val="en-US" w:eastAsia="zh-CN" w:bidi="ar-SA"/>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eastAsia="宋体"/>
                <w:b/>
                <w:bCs/>
                <w:color w:val="auto"/>
                <w:sz w:val="21"/>
                <w:szCs w:val="21"/>
                <w:highlight w:val="none"/>
                <w:lang w:val="en-US" w:eastAsia="zh-CN"/>
              </w:rPr>
            </w:pPr>
            <w:r>
              <w:rPr>
                <w:rFonts w:hint="eastAsia"/>
                <w:b/>
                <w:bCs/>
                <w:color w:val="auto"/>
                <w:sz w:val="21"/>
                <w:szCs w:val="21"/>
                <w:highlight w:val="none"/>
                <w:lang w:val="en-US" w:eastAsia="zh-CN"/>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盐城动力电池项目东侧出入口桥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32</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24.8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eastAsia="宋体"/>
                <w:b/>
                <w:bCs/>
                <w:color w:val="auto"/>
                <w:sz w:val="21"/>
                <w:szCs w:val="21"/>
                <w:highlight w:val="none"/>
                <w:lang w:val="en-US" w:eastAsia="zh-CN"/>
              </w:rPr>
            </w:pPr>
            <w:r>
              <w:rPr>
                <w:rFonts w:hint="eastAsia"/>
                <w:b/>
                <w:bCs/>
                <w:color w:val="auto"/>
                <w:sz w:val="21"/>
                <w:szCs w:val="21"/>
                <w:highlight w:val="none"/>
                <w:lang w:val="en-US" w:eastAsia="zh-CN"/>
              </w:rPr>
              <w:t xml:space="preserve">61</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SK二期东门出入口桥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32</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24.8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Ⅲ类/Ⅰ等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eastAsia="宋体"/>
                <w:b/>
                <w:bCs/>
                <w:color w:val="auto"/>
                <w:sz w:val="21"/>
                <w:szCs w:val="21"/>
                <w:highlight w:val="none"/>
                <w:lang w:val="en-US" w:eastAsia="zh-CN"/>
              </w:rPr>
            </w:pPr>
            <w:r>
              <w:rPr>
                <w:rFonts w:hint="eastAsia"/>
                <w:b/>
                <w:bCs/>
                <w:color w:val="auto"/>
                <w:sz w:val="21"/>
                <w:szCs w:val="21"/>
                <w:highlight w:val="none"/>
                <w:lang w:val="en-US" w:eastAsia="zh-CN"/>
              </w:rPr>
              <w:t xml:space="preserve">62</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天合项目光明河出入口桥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21.1</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eastAsia="宋体"/>
                <w:b/>
                <w:bCs/>
                <w:color w:val="auto"/>
                <w:sz w:val="21"/>
                <w:szCs w:val="21"/>
                <w:highlight w:val="none"/>
                <w:lang w:val="en-US" w:eastAsia="zh-CN"/>
              </w:rPr>
            </w:pPr>
            <w:r>
              <w:rPr>
                <w:rFonts w:hint="eastAsia"/>
                <w:b/>
                <w:bCs/>
                <w:color w:val="auto"/>
                <w:sz w:val="21"/>
                <w:szCs w:val="21"/>
                <w:highlight w:val="none"/>
                <w:lang w:val="en-US" w:eastAsia="zh-CN"/>
              </w:rPr>
              <w:t xml:space="preserve">63</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通威项目潮中河东出入口桥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9.6</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6</w:t>
            </w:r>
            <w:r>
              <w:rPr>
                <w:rFonts w:hint="eastAsia"/>
                <w:b/>
                <w:bCs/>
                <w:color w:val="auto"/>
                <w:sz w:val="21"/>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通威项目潮中河西出入口桥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9.8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6</w:t>
            </w:r>
            <w:r>
              <w:rPr>
                <w:rFonts w:hint="eastAsia"/>
                <w:b/>
                <w:bCs/>
                <w:color w:val="auto"/>
                <w:sz w:val="21"/>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通威项目新村河东出入口桥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9.8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b/>
                <w:bCs/>
                <w:color w:val="auto"/>
                <w:sz w:val="21"/>
                <w:szCs w:val="21"/>
                <w:highlight w:val="none"/>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6</w:t>
            </w:r>
            <w:r>
              <w:rPr>
                <w:rFonts w:hint="eastAsia"/>
                <w:b/>
                <w:bCs/>
                <w:color w:val="auto"/>
                <w:sz w:val="21"/>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通威项目新村河西出入口桥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9.8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shd w:val="clear" w:color="auto" w:fill="auto"/>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6</w:t>
            </w:r>
            <w:r>
              <w:rPr>
                <w:rFonts w:hint="eastAsia"/>
                <w:b/>
                <w:bCs/>
                <w:color w:val="auto"/>
                <w:sz w:val="21"/>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通威项目光明河北出入口桥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15.8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shd w:val="clear" w:color="auto" w:fill="auto"/>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6</w:t>
            </w:r>
            <w:r>
              <w:rPr>
                <w:rFonts w:hint="eastAsia"/>
                <w:b/>
                <w:bCs/>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通威项目光明河南出入口桥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20</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15.8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shd w:val="clear" w:color="auto" w:fill="auto"/>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rFonts w:hint="eastAsia"/>
                <w:b/>
                <w:bCs/>
                <w:color w:val="auto"/>
                <w:sz w:val="21"/>
                <w:szCs w:val="21"/>
                <w:highlight w:val="none"/>
                <w:lang w:val="en-US" w:eastAsia="zh-CN"/>
              </w:rPr>
              <w:t xml:space="preserve">结构检测</w:t>
            </w:r>
            <w:r/>
          </w:p>
        </w:tc>
      </w:tr>
      <w:tr>
        <w:trPr>
          <w:jc w:val="center"/>
          <w:trHeight w:val="420"/>
        </w:trPr>
        <w:tc>
          <w:tcPr>
            <w:shd w:val="clear" w:color="000000" w:fill="ffffff"/>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jc w:val="center"/>
              <w:spacing w:line="240" w:lineRule="auto"/>
              <w:widowControl/>
              <w:rPr>
                <w:rFonts w:hint="eastAsia" w:eastAsia="宋体"/>
                <w:b/>
                <w:bCs/>
                <w:color w:val="auto"/>
                <w:sz w:val="21"/>
                <w:szCs w:val="21"/>
                <w:highlight w:val="none"/>
                <w:lang w:eastAsia="zh-CN"/>
              </w:rPr>
            </w:pPr>
            <w:r>
              <w:rPr>
                <w:b/>
                <w:bCs/>
                <w:color w:val="auto"/>
                <w:sz w:val="21"/>
                <w:szCs w:val="21"/>
                <w:highlight w:val="none"/>
              </w:rPr>
              <w:t xml:space="preserve">6</w:t>
            </w:r>
            <w:r>
              <w:rPr>
                <w:rFonts w:hint="eastAsia"/>
                <w:b/>
                <w:bCs/>
                <w:color w:val="auto"/>
                <w:sz w:val="21"/>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594" w:type="pct"/>
            <w:vAlign w:val="center"/>
            <w:vMerge w:val="continue"/>
            <w:textDirection w:val="lrTb"/>
            <w:noWrap w:val="false"/>
          </w:tcPr>
          <w:p>
            <w:pPr>
              <w:rPr>
                <w:color w:val="auto"/>
                <w:highlight w:val="none"/>
              </w:rPr>
            </w:pPr>
            <w:r>
              <w:rPr>
                <w:color w:val="auto"/>
                <w:highlight w:val="none"/>
              </w:rPr>
            </w:r>
            <w:r/>
          </w:p>
        </w:tc>
        <w:tc>
          <w:tcPr>
            <w:shd w:val="clear" w:color="000000" w:fill="ffffff"/>
            <w:tcBorders>
              <w:top w:val="single" w:color="auto" w:sz="4" w:space="0"/>
              <w:left w:val="none" w:color="000000" w:sz="4" w:space="0"/>
              <w:bottom w:val="single" w:color="auto" w:sz="4" w:space="0"/>
              <w:right w:val="single" w:color="auto" w:sz="4" w:space="0"/>
            </w:tcBorders>
            <w:tcW w:w="1360"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通威项目新挖光明河出入口桥</w:t>
            </w:r>
            <w:r/>
          </w:p>
        </w:tc>
        <w:tc>
          <w:tcPr>
            <w:shd w:val="clear" w:color="000000" w:fill="ffffff"/>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584" w:type="pct"/>
            <w:vAlign w:val="center"/>
            <w:textDirection w:val="lrTb"/>
            <w:noWrap w:val="false"/>
          </w:tcPr>
          <w:p>
            <w:pPr>
              <w:jc w:val="center"/>
              <w:spacing w:line="240" w:lineRule="auto"/>
              <w:widowControl/>
              <w:rPr>
                <w:b/>
                <w:bCs/>
                <w:color w:val="auto"/>
                <w:sz w:val="21"/>
                <w:szCs w:val="21"/>
                <w:highlight w:val="none"/>
              </w:rPr>
            </w:pPr>
            <w:r>
              <w:rPr>
                <w:b/>
                <w:bCs/>
                <w:color w:val="auto"/>
                <w:sz w:val="21"/>
                <w:szCs w:val="21"/>
                <w:highlight w:val="none"/>
              </w:rPr>
              <w:t xml:space="preserve">15.8</w:t>
            </w:r>
            <w:r/>
          </w:p>
        </w:tc>
        <w:tc>
          <w:tcPr>
            <w:shd w:val="clear" w:color="000000" w:fill="ffffff"/>
            <w:tcBorders>
              <w:top w:val="single" w:color="auto" w:sz="4" w:space="0"/>
              <w:left w:val="none" w:color="000000" w:sz="4" w:space="0"/>
              <w:bottom w:val="single" w:color="auto" w:sz="4" w:space="0"/>
              <w:right w:val="single" w:color="auto" w:sz="4" w:space="0"/>
            </w:tcBorders>
            <w:tcW w:w="757" w:type="pct"/>
            <w:vAlign w:val="center"/>
            <w:textDirection w:val="lrTb"/>
            <w:noWrap/>
          </w:tcPr>
          <w:p>
            <w:pPr>
              <w:jc w:val="center"/>
              <w:spacing w:line="240" w:lineRule="auto"/>
              <w:widowControl/>
              <w:rPr>
                <w:b/>
                <w:bCs/>
                <w:color w:val="auto"/>
                <w:sz w:val="21"/>
                <w:szCs w:val="21"/>
                <w:highlight w:val="none"/>
              </w:rPr>
            </w:pPr>
            <w:r>
              <w:rPr>
                <w:b/>
                <w:bCs/>
                <w:color w:val="auto"/>
                <w:sz w:val="21"/>
                <w:szCs w:val="21"/>
                <w:highlight w:val="none"/>
              </w:rPr>
              <w:t xml:space="preserve">Ⅴ类/Ⅲ等</w:t>
            </w:r>
            <w:r/>
          </w:p>
        </w:tc>
        <w:tc>
          <w:tcPr>
            <w:shd w:val="clear" w:color="auto" w:fill="auto"/>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rPr>
                <w:rFonts w:ascii="Calibri" w:hAnsi="Calibri" w:eastAsia="宋体" w:cs="Arial"/>
                <w:b/>
                <w:bCs/>
                <w:color w:val="auto"/>
                <w:sz w:val="21"/>
                <w:szCs w:val="21"/>
                <w:highlight w:val="none"/>
                <w:lang w:val="en-US" w:eastAsia="zh-CN" w:bidi="ar-SA"/>
              </w:rPr>
            </w:pPr>
            <w:r>
              <w:rPr>
                <w:rFonts w:hint="eastAsia"/>
                <w:b/>
                <w:bCs/>
                <w:color w:val="auto"/>
                <w:sz w:val="21"/>
                <w:szCs w:val="21"/>
                <w:highlight w:val="none"/>
                <w:lang w:val="en-US" w:eastAsia="zh-CN"/>
              </w:rPr>
              <w:t xml:space="preserve">结构检测</w:t>
            </w:r>
            <w:r/>
          </w:p>
        </w:tc>
      </w:tr>
    </w:tbl>
    <w:p>
      <w:pPr>
        <w:rPr>
          <w:color w:val="auto"/>
          <w:highlight w:val="none"/>
        </w:rPr>
      </w:pPr>
      <w:r>
        <w:rPr>
          <w:color w:val="auto"/>
          <w:highlight w:val="none"/>
        </w:rPr>
      </w:r>
      <w:r/>
    </w:p>
    <w:p>
      <w:pPr>
        <w:pStyle w:val="645"/>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注：除备注结构检测桥梁外其他均为常规检测。东山路团结河桥为系杆拱桥梁</w:t>
      </w:r>
      <w:r>
        <w:rPr>
          <w:rFonts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除常规检测外还有专项检测。</w:t>
      </w:r>
      <w:r/>
    </w:p>
    <w:p>
      <w:pPr>
        <w:ind w:firstLine="482"/>
        <w:spacing w:line="360" w:lineRule="auto"/>
        <w:tabs>
          <w:tab w:val="left" w:pos="900" w:leader="none"/>
        </w:tabs>
        <w:rPr>
          <w:rFonts w:hint="eastAsia" w:ascii="宋体" w:hAnsi="宋体"/>
          <w:b/>
          <w:bCs/>
          <w:color w:val="auto"/>
          <w:sz w:val="24"/>
          <w:highlight w:val="none"/>
          <w:lang w:val="en-US" w:eastAsia="zh-CN"/>
        </w:rPr>
        <w:outlineLvl w:val="1"/>
      </w:pPr>
      <w:r>
        <w:rPr>
          <w:rFonts w:hint="eastAsia" w:ascii="宋体" w:hAnsi="宋体"/>
          <w:b/>
          <w:bCs/>
          <w:color w:val="auto"/>
          <w:sz w:val="24"/>
          <w:highlight w:val="none"/>
          <w:lang w:val="en-US" w:eastAsia="zh-CN"/>
        </w:rPr>
        <w:t xml:space="preserve">六、采购标的对应的中小企业划分标准所属行业一览表</w:t>
      </w:r>
      <w:r/>
    </w:p>
    <w:tbl>
      <w:tblPr>
        <w:tblStyle w:val="643"/>
        <w:tblW w:w="4998" w:type="pct"/>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3968"/>
        <w:gridCol w:w="335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651"/>
              <w:ind w:firstLine="24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23" w:type="pct"/>
            <w:vAlign w:val="center"/>
            <w:textDirection w:val="lrTb"/>
            <w:noWrap w:val="false"/>
          </w:tcPr>
          <w:p>
            <w:pPr>
              <w:pStyle w:val="651"/>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val="false"/>
          </w:tcPr>
          <w:p>
            <w:pPr>
              <w:pStyle w:val="651"/>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651"/>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3" w:type="pct"/>
            <w:vAlign w:val="center"/>
            <w:textDirection w:val="lrTb"/>
            <w:noWrap w:val="false"/>
          </w:tcPr>
          <w:p>
            <w:pPr>
              <w:pStyle w:val="651"/>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2026年度盐城经济技术开发区城市桥涵定期检测服务项目</w:t>
            </w:r>
            <w:r/>
          </w:p>
        </w:tc>
        <w:tc>
          <w:tcPr>
            <w:shd w:val="clear" w:color="auto" w:fill="auto"/>
            <w:tcBorders>
              <w:top w:val="single" w:color="000000" w:sz="4" w:space="0"/>
              <w:left w:val="single" w:color="000000" w:sz="4" w:space="0"/>
              <w:bottom w:val="single" w:color="000000" w:sz="4" w:space="0"/>
              <w:right w:val="single" w:color="000000" w:sz="4" w:space="0"/>
            </w:tcBorders>
            <w:tcW w:w="1963" w:type="pct"/>
            <w:vAlign w:val="center"/>
            <w:textDirection w:val="lrTb"/>
            <w:noWrap w:val="false"/>
          </w:tcPr>
          <w:p>
            <w:pPr>
              <w:pStyle w:val="651"/>
              <w:jc w:val="center"/>
              <w:spacing w:beforeAutospacing="0" w:afterAutospacing="0" w:line="0" w:lineRule="atLeast"/>
              <w:rPr>
                <w:rFonts w:hint="eastAsia" w:ascii="宋体" w:hAnsi="宋体" w:eastAsia="宋体" w:cs="宋体"/>
                <w:color w:val="auto"/>
                <w:sz w:val="24"/>
                <w:szCs w:val="24"/>
                <w:highlight w:val="none"/>
                <w:lang w:val="en-US" w:eastAsia="zh-CN"/>
              </w:rPr>
            </w:pPr>
            <w:r/>
            <w:bookmarkStart w:id="184" w:name="OLE_LINK20"/>
            <w:r>
              <w:rPr>
                <w:rFonts w:hint="eastAsia" w:ascii="宋体" w:hAnsi="宋体" w:eastAsia="宋体" w:cs="宋体"/>
                <w:color w:val="auto"/>
                <w:sz w:val="24"/>
                <w:szCs w:val="24"/>
                <w:highlight w:val="none"/>
                <w:lang w:val="en-US" w:eastAsia="zh-CN"/>
              </w:rPr>
              <w:t xml:space="preserve">其他未列明行业</w:t>
            </w:r>
            <w:bookmarkEnd w:id="184"/>
            <w:r/>
            <w:r/>
          </w:p>
        </w:tc>
      </w:tr>
    </w:tbl>
    <w:p>
      <w:pPr>
        <w:pStyle w:val="651"/>
        <w:jc w:val="center"/>
        <w:keepNext/>
        <w:spacing w:beforeAutospacing="0" w:afterAutospacing="0"/>
        <w:widowControl w:val="off"/>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51"/>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51"/>
        <w:ind w:firstLine="44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本项目</w:t>
      </w:r>
      <w:r>
        <w:rPr>
          <w:rFonts w:hint="eastAsia" w:ascii="宋体" w:hAnsi="宋体" w:eastAsia="宋体" w:cs="宋体"/>
          <w:bCs/>
          <w:color w:val="auto"/>
          <w:sz w:val="24"/>
          <w:szCs w:val="24"/>
          <w:highlight w:val="none"/>
        </w:rPr>
        <w:t xml:space="preserve">专门面向中小企业采购，不再对小型和微型企业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（2）供应商需按照采购文件的要求提供相应的《企业声明函》。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（4）本项目属于《关于印发中小企业划型标准规定的通知》（工信部联企业[2011]300号）文件规定的其他未列明行业。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rPr>
          <w:rFonts w:hint="eastAsia" w:ascii="宋体" w:hAnsi="宋体" w:eastAsia="宋体" w:cs="宋体"/>
          <w:bCs/>
          <w:color w:val="auto"/>
          <w:sz w:val="24"/>
          <w:szCs w:val="24"/>
          <w:highlight w:val="none"/>
        </w:rPr>
        <w:tab/>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（1）本项目对残疾人福利性单位视同小型、微型企业。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（1）本项目对监狱和戒毒企业（简称监狱企业）视同小型、微型企业。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、严格执行政府采购关于支持</w:t>
      </w:r>
      <w:r>
        <w:rPr>
          <w:rFonts w:hint="eastAsia" w:ascii="宋体" w:hAnsi="宋体" w:eastAsia="宋体" w:cs="宋体"/>
          <w:bCs/>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643"/>
        <w:tblW w:w="54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2"/>
        <w:gridCol w:w="1374"/>
        <w:gridCol w:w="843"/>
        <w:gridCol w:w="6170"/>
      </w:tblGrid>
      <w:tr>
        <w:trPr>
          <w:trHeight w:val="442"/>
        </w:trPr>
        <w:tc>
          <w:tcPr>
            <w:gridSpan w:val="2"/>
            <w:tcW w:w="1133" w:type="pct"/>
            <w:vAlign w:val="center"/>
            <w:textDirection w:val="lrTb"/>
            <w:noWrap w:val="false"/>
          </w:tcPr>
          <w:p>
            <w:pPr>
              <w:ind w:firstLine="420"/>
              <w:jc w:val="left"/>
              <w:rPr>
                <w:rFonts w:ascii="宋体" w:hAnsi="宋体" w:eastAsia="宋体"/>
                <w:color w:val="auto"/>
                <w:szCs w:val="24"/>
                <w:highlight w:val="none"/>
              </w:rPr>
            </w:pPr>
            <w:r>
              <w:rPr>
                <w:rFonts w:hint="eastAsia" w:ascii="宋体" w:hAnsi="宋体" w:eastAsia="宋体"/>
                <w:color w:val="auto"/>
                <w:szCs w:val="24"/>
                <w:highlight w:val="none"/>
              </w:rPr>
              <w:t xml:space="preserve">评标项目</w:t>
            </w:r>
            <w:r/>
          </w:p>
        </w:tc>
        <w:tc>
          <w:tcPr>
            <w:tcW w:w="465" w:type="pct"/>
            <w:vAlign w:val="center"/>
            <w:textDirection w:val="lrTb"/>
            <w:noWrap w:val="false"/>
          </w:tcPr>
          <w:p>
            <w:pPr>
              <w:jc w:val="center"/>
              <w:rPr>
                <w:rFonts w:ascii="宋体" w:hAnsi="宋体" w:eastAsia="宋体"/>
                <w:color w:val="auto"/>
                <w:szCs w:val="24"/>
                <w:highlight w:val="none"/>
              </w:rPr>
            </w:pPr>
            <w:r>
              <w:rPr>
                <w:rFonts w:hint="eastAsia" w:ascii="宋体" w:hAnsi="宋体" w:eastAsia="宋体"/>
                <w:color w:val="auto"/>
                <w:szCs w:val="24"/>
                <w:highlight w:val="none"/>
              </w:rPr>
              <w:t xml:space="preserve">分值</w:t>
            </w:r>
            <w:r/>
          </w:p>
        </w:tc>
        <w:tc>
          <w:tcPr>
            <w:tcW w:w="3400" w:type="pct"/>
            <w:vAlign w:val="center"/>
            <w:textDirection w:val="lrTb"/>
            <w:noWrap w:val="false"/>
          </w:tcPr>
          <w:p>
            <w:pPr>
              <w:ind w:firstLine="420"/>
              <w:jc w:val="center"/>
              <w:rPr>
                <w:rFonts w:ascii="宋体" w:hAnsi="宋体" w:eastAsia="宋体"/>
                <w:color w:val="auto"/>
                <w:szCs w:val="24"/>
                <w:highlight w:val="none"/>
              </w:rPr>
            </w:pPr>
            <w:r>
              <w:rPr>
                <w:rFonts w:hint="eastAsia" w:ascii="宋体" w:hAnsi="宋体" w:eastAsia="宋体"/>
                <w:color w:val="auto"/>
                <w:szCs w:val="24"/>
                <w:highlight w:val="none"/>
              </w:rPr>
              <w:t xml:space="preserve">评分标准</w:t>
            </w:r>
            <w:r/>
          </w:p>
        </w:tc>
      </w:tr>
      <w:tr>
        <w:trPr>
          <w:trHeight w:val="1020"/>
        </w:trPr>
        <w:tc>
          <w:tcPr>
            <w:gridSpan w:val="2"/>
            <w:tcW w:w="1133" w:type="pct"/>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highlight w:val="none"/>
              </w:rPr>
              <w:t xml:space="preserve">价格</w:t>
            </w:r>
            <w:r>
              <w:rPr>
                <w:rFonts w:hint="eastAsia" w:ascii="宋体" w:hAnsi="宋体" w:eastAsia="宋体"/>
                <w:color w:val="auto"/>
                <w:szCs w:val="21"/>
                <w:highlight w:val="none"/>
              </w:rPr>
              <w:t xml:space="preserve">部分（</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tc>
        <w:tc>
          <w:tcPr>
            <w:tcBorders>
              <w:top w:val="single" w:color="auto" w:sz="4" w:space="0"/>
              <w:left w:val="single" w:color="auto" w:sz="4" w:space="0"/>
              <w:right w:val="single" w:color="auto" w:sz="4" w:space="0"/>
            </w:tcBorders>
            <w:tcW w:w="465" w:type="pct"/>
            <w:vAlign w:val="center"/>
            <w:textDirection w:val="lrTb"/>
            <w:noWrap w:val="false"/>
          </w:tcPr>
          <w:p>
            <w:pPr>
              <w:ind w:left="210"/>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tc>
        <w:tc>
          <w:tcPr>
            <w:tcW w:w="3400" w:type="pct"/>
            <w:vAlign w:val="center"/>
            <w:textDirection w:val="lrTb"/>
            <w:noWrap w:val="false"/>
          </w:tcPr>
          <w:p>
            <w:pPr>
              <w:ind w:left="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w:t>
            </w:r>
            <w:r>
              <w:rPr>
                <w:rFonts w:hint="eastAsia" w:ascii="宋体" w:hAnsi="宋体" w:eastAsia="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文件实质性要求且最终报价最低的投标报价为评标基准价，其价格分为满分</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分。其他投标人的价格分统一按照下列公式计算:</w:t>
            </w:r>
            <w:r/>
          </w:p>
          <w:p>
            <w:pPr>
              <w:ind w:left="210"/>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投标报价得分=(评标基准价／投标报价)×</w:t>
            </w:r>
            <w:r>
              <w:rPr>
                <w:rFonts w:hint="eastAsia" w:ascii="宋体" w:hAnsi="宋体" w:eastAsia="宋体" w:cs="宋体"/>
                <w:color w:val="auto"/>
                <w:szCs w:val="21"/>
                <w:highlight w:val="none"/>
                <w:lang w:val="en-US" w:eastAsia="zh-CN"/>
              </w:rPr>
              <w:t xml:space="preserve">10</w:t>
            </w:r>
            <w:r/>
          </w:p>
          <w:p>
            <w:pPr>
              <w:ind w:left="210"/>
              <w:rPr>
                <w:rFonts w:ascii="宋体" w:hAnsi="宋体" w:eastAsia="宋体"/>
                <w:color w:val="auto"/>
                <w:szCs w:val="21"/>
                <w:highlight w:val="none"/>
              </w:rPr>
            </w:pPr>
            <w:r>
              <w:rPr>
                <w:rFonts w:hint="eastAsia" w:ascii="宋体" w:hAnsi="宋体" w:eastAsia="宋体" w:cs="宋体"/>
                <w:color w:val="auto"/>
                <w:szCs w:val="21"/>
                <w:highlight w:val="none"/>
              </w:rPr>
              <w:t xml:space="preserve">（计算结果保留2位小数，第三位四舍五入）</w:t>
            </w:r>
            <w:r/>
          </w:p>
        </w:tc>
      </w:tr>
      <w:tr>
        <w:trPr>
          <w:trHeight w:val="1308"/>
        </w:trPr>
        <w:tc>
          <w:tcPr>
            <w:gridSpan w:val="2"/>
            <w:tcW w:w="1133" w:type="pct"/>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服务方案（</w:t>
            </w:r>
            <w:r>
              <w:rPr>
                <w:rFonts w:hint="eastAsia" w:ascii="宋体" w:hAnsi="宋体" w:eastAsia="宋体"/>
                <w:color w:val="auto"/>
                <w:szCs w:val="21"/>
                <w:highlight w:val="none"/>
                <w:lang w:val="en-US" w:eastAsia="zh-CN"/>
              </w:rPr>
              <w:t xml:space="preserve">60分）</w:t>
            </w:r>
            <w:r/>
          </w:p>
        </w:tc>
        <w:tc>
          <w:tcPr>
            <w:tcBorders>
              <w:top w:val="single" w:color="auto" w:sz="4" w:space="0"/>
              <w:left w:val="single" w:color="auto" w:sz="4" w:space="0"/>
              <w:right w:val="single" w:color="auto" w:sz="4" w:space="0"/>
            </w:tcBorders>
            <w:tcW w:w="465" w:type="pct"/>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rPr>
              <w:t xml:space="preserve">分</w:t>
            </w:r>
            <w:r/>
          </w:p>
        </w:tc>
        <w:tc>
          <w:tcPr>
            <w:tcW w:w="3400" w:type="pct"/>
            <w:vAlign w:val="center"/>
            <w:textDirection w:val="lrTb"/>
            <w:noWrap w:val="false"/>
          </w:tcPr>
          <w:p>
            <w:pPr>
              <w:jc w:val="left"/>
              <w:rPr>
                <w:rFonts w:hint="eastAsia" w:ascii="宋体" w:hAnsi="宋体" w:eastAsia="宋体"/>
                <w:color w:val="auto"/>
                <w:szCs w:val="21"/>
                <w:highlight w:val="none"/>
                <w:lang w:eastAsia="zh-CN"/>
              </w:rPr>
            </w:pPr>
            <w:r/>
            <w:bookmarkStart w:id="186" w:name="OLE_LINK3"/>
            <w:r>
              <w:rPr>
                <w:rFonts w:hint="eastAsia" w:ascii="宋体" w:hAnsi="宋体" w:eastAsia="宋体"/>
                <w:color w:val="auto"/>
                <w:szCs w:val="21"/>
                <w:highlight w:val="none"/>
              </w:rPr>
              <w:t xml:space="preserve">对待检桥梁原始资料的调查、收集及整理情况</w:t>
            </w:r>
            <w:r>
              <w:rPr>
                <w:rFonts w:hint="eastAsia" w:ascii="宋体" w:hAnsi="宋体" w:eastAsia="宋体"/>
                <w:color w:val="auto"/>
                <w:szCs w:val="21"/>
                <w:highlight w:val="none"/>
                <w:lang w:eastAsia="zh-CN"/>
              </w:rPr>
              <w:t xml:space="preserve">。</w:t>
            </w:r>
            <w:r/>
          </w:p>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注：</w:t>
            </w:r>
            <w:bookmarkEnd w:id="186"/>
            <w:r>
              <w:rPr>
                <w:rFonts w:hint="eastAsia" w:ascii="宋体" w:hAnsi="宋体" w:eastAsia="宋体"/>
                <w:color w:val="auto"/>
                <w:szCs w:val="21"/>
                <w:highlight w:val="none"/>
                <w:lang w:eastAsia="zh-CN"/>
              </w:rPr>
              <w:t xml:space="preserve">优于项目需求得</w:t>
            </w: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lang w:eastAsia="zh-CN"/>
              </w:rPr>
              <w:t xml:space="preserve">分，满足项目需求得</w:t>
            </w:r>
            <w:r>
              <w:rPr>
                <w:rFonts w:hint="eastAsia" w:ascii="宋体" w:hAnsi="宋体" w:eastAsia="宋体"/>
                <w:color w:val="auto"/>
                <w:szCs w:val="21"/>
                <w:highlight w:val="none"/>
                <w:lang w:val="en-US" w:eastAsia="zh-CN"/>
              </w:rPr>
              <w:t xml:space="preserve">11</w:t>
            </w:r>
            <w:r>
              <w:rPr>
                <w:rFonts w:hint="eastAsia" w:ascii="宋体" w:hAnsi="宋体" w:eastAsia="宋体"/>
                <w:color w:val="auto"/>
                <w:szCs w:val="21"/>
                <w:highlight w:val="none"/>
                <w:lang w:eastAsia="zh-CN"/>
              </w:rPr>
              <w:t xml:space="preserve">分，不满足或不提供得0分。</w:t>
            </w:r>
            <w:r/>
          </w:p>
        </w:tc>
      </w:tr>
      <w:tr>
        <w:trPr>
          <w:trHeight w:val="1255"/>
        </w:trPr>
        <w:tc>
          <w:tcPr>
            <w:gridSpan w:val="2"/>
            <w:tcW w:w="1133" w:type="pct"/>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465" w:type="pct"/>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rPr>
              <w:t xml:space="preserve">分</w:t>
            </w:r>
            <w:r/>
          </w:p>
        </w:tc>
        <w:tc>
          <w:tcPr>
            <w:tcW w:w="3400" w:type="pct"/>
            <w:vAlign w:val="center"/>
            <w:textDirection w:val="lrTb"/>
            <w:noWrap w:val="false"/>
          </w:tcPr>
          <w:p>
            <w:pPr>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检测方法符合规范要求，检测及评估方案合理，检测项目齐全情况</w:t>
            </w:r>
            <w:r>
              <w:rPr>
                <w:rFonts w:hint="eastAsia" w:ascii="宋体" w:hAnsi="宋体" w:eastAsia="宋体"/>
                <w:color w:val="auto"/>
                <w:szCs w:val="21"/>
                <w:highlight w:val="none"/>
                <w:lang w:eastAsia="zh-CN"/>
              </w:rPr>
              <w:t xml:space="preserve">。</w:t>
            </w:r>
            <w:r/>
          </w:p>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注：</w:t>
            </w:r>
            <w:r>
              <w:rPr>
                <w:rFonts w:hint="eastAsia" w:ascii="宋体" w:hAnsi="宋体" w:eastAsia="宋体"/>
                <w:color w:val="auto"/>
                <w:szCs w:val="21"/>
                <w:highlight w:val="none"/>
                <w:lang w:eastAsia="zh-CN"/>
              </w:rPr>
              <w:t xml:space="preserve">优于项目需求得</w:t>
            </w: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lang w:eastAsia="zh-CN"/>
              </w:rPr>
              <w:t xml:space="preserve">分，满足项目需求得</w:t>
            </w:r>
            <w:r>
              <w:rPr>
                <w:rFonts w:hint="eastAsia" w:ascii="宋体" w:hAnsi="宋体" w:eastAsia="宋体"/>
                <w:color w:val="auto"/>
                <w:szCs w:val="21"/>
                <w:highlight w:val="none"/>
                <w:lang w:val="en-US" w:eastAsia="zh-CN"/>
              </w:rPr>
              <w:t xml:space="preserve">11</w:t>
            </w:r>
            <w:r>
              <w:rPr>
                <w:rFonts w:hint="eastAsia" w:ascii="宋体" w:hAnsi="宋体" w:eastAsia="宋体"/>
                <w:color w:val="auto"/>
                <w:szCs w:val="21"/>
                <w:highlight w:val="none"/>
                <w:lang w:eastAsia="zh-CN"/>
              </w:rPr>
              <w:t xml:space="preserve">分，不满足或不提供得0分。</w:t>
            </w:r>
            <w:r/>
          </w:p>
        </w:tc>
      </w:tr>
      <w:tr>
        <w:trPr>
          <w:trHeight w:val="1454"/>
        </w:trPr>
        <w:tc>
          <w:tcPr>
            <w:gridSpan w:val="2"/>
            <w:tcW w:w="1133" w:type="pct"/>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465" w:type="pct"/>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tc>
        <w:tc>
          <w:tcPr>
            <w:tcW w:w="3400" w:type="pct"/>
            <w:vAlign w:val="center"/>
            <w:textDirection w:val="lrTb"/>
            <w:noWrap w:val="false"/>
          </w:tcPr>
          <w:p>
            <w:pPr>
              <w:jc w:val="left"/>
              <w:rPr>
                <w:rFonts w:hint="eastAsia" w:ascii="宋体" w:hAnsi="宋体" w:eastAsia="宋体"/>
                <w:color w:val="auto"/>
                <w:szCs w:val="21"/>
                <w:highlight w:val="none"/>
                <w:lang w:eastAsia="zh-CN"/>
              </w:rPr>
            </w:pPr>
            <w:r/>
            <w:bookmarkStart w:id="187" w:name="OLE_LINK6"/>
            <w:r>
              <w:rPr>
                <w:rFonts w:hint="eastAsia" w:ascii="宋体" w:hAnsi="宋体" w:eastAsia="宋体"/>
                <w:color w:val="auto"/>
                <w:szCs w:val="21"/>
                <w:highlight w:val="none"/>
              </w:rPr>
              <w:t xml:space="preserve">总进度计划及进度保证措施合理情况</w:t>
            </w:r>
            <w:r>
              <w:rPr>
                <w:rFonts w:hint="eastAsia" w:ascii="宋体" w:hAnsi="宋体" w:eastAsia="宋体"/>
                <w:color w:val="auto"/>
                <w:szCs w:val="21"/>
                <w:highlight w:val="none"/>
                <w:lang w:eastAsia="zh-CN"/>
              </w:rPr>
              <w:t xml:space="preserve">。</w:t>
            </w:r>
            <w:r/>
          </w:p>
          <w:p>
            <w:pPr>
              <w:jc w:val="left"/>
              <w:rPr>
                <w:rFonts w:hint="eastAsia" w:ascii="宋体" w:hAnsi="宋体" w:eastAsia="宋体"/>
                <w:color w:val="auto"/>
                <w:szCs w:val="21"/>
                <w:highlight w:val="none"/>
              </w:rPr>
            </w:pPr>
            <w:r/>
            <w:bookmarkStart w:id="188" w:name="OLE_LINK13"/>
            <w:r>
              <w:rPr>
                <w:rFonts w:hint="eastAsia" w:ascii="宋体" w:hAnsi="宋体" w:eastAsia="宋体"/>
                <w:color w:val="auto"/>
                <w:szCs w:val="21"/>
                <w:highlight w:val="none"/>
              </w:rPr>
              <w:t xml:space="preserve">注：</w:t>
            </w:r>
            <w:bookmarkEnd w:id="187"/>
            <w:r/>
            <w:bookmarkEnd w:id="188"/>
            <w:r/>
            <w:bookmarkStart w:id="189" w:name="OLE_LINK24"/>
            <w:r>
              <w:rPr>
                <w:rFonts w:hint="eastAsia" w:ascii="宋体" w:hAnsi="宋体" w:eastAsia="宋体"/>
                <w:color w:val="auto"/>
                <w:szCs w:val="21"/>
                <w:highlight w:val="none"/>
                <w:lang w:eastAsia="zh-CN"/>
              </w:rPr>
              <w:t xml:space="preserve">优于项目需求得</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lang w:eastAsia="zh-CN"/>
              </w:rPr>
              <w:t xml:space="preserve">分，满足项目需求得</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lang w:eastAsia="zh-CN"/>
              </w:rPr>
              <w:t xml:space="preserve">分，不满足或不提供得0分。</w:t>
            </w:r>
            <w:bookmarkEnd w:id="189"/>
            <w:r/>
            <w:r/>
          </w:p>
        </w:tc>
      </w:tr>
      <w:tr>
        <w:trPr>
          <w:trHeight w:val="274"/>
        </w:trPr>
        <w:tc>
          <w:tcPr>
            <w:gridSpan w:val="2"/>
            <w:tcW w:w="1133" w:type="pct"/>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465" w:type="pct"/>
            <w:vAlign w:val="center"/>
            <w:textDirection w:val="lrTb"/>
            <w:noWrap w:val="false"/>
          </w:tcPr>
          <w:p>
            <w:pPr>
              <w:pStyle w:val="644"/>
              <w:jc w:val="center"/>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tc>
        <w:tc>
          <w:tcPr>
            <w:tcW w:w="3400" w:type="pct"/>
            <w:vAlign w:val="center"/>
            <w:textDirection w:val="lrTb"/>
            <w:noWrap w:val="false"/>
          </w:tcPr>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根据供应商安全文明施工、交通组织、保证措施及对业主提出的安全文明目标控制、过程控制及管理体系要求及经济处罚规定的响应、承诺与说明情况</w:t>
            </w:r>
            <w:r/>
          </w:p>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注：</w:t>
            </w:r>
            <w:bookmarkStart w:id="190" w:name="OLE_LINK25"/>
            <w:r>
              <w:rPr>
                <w:rFonts w:hint="eastAsia" w:ascii="宋体" w:hAnsi="宋体" w:eastAsia="宋体"/>
                <w:color w:val="auto"/>
                <w:szCs w:val="21"/>
                <w:highlight w:val="none"/>
                <w:lang w:eastAsia="zh-CN"/>
              </w:rPr>
              <w:t xml:space="preserve">优于项目需求得</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lang w:eastAsia="zh-CN"/>
              </w:rPr>
              <w:t xml:space="preserve">分，满足项目需求得</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lang w:eastAsia="zh-CN"/>
              </w:rPr>
              <w:t xml:space="preserve">分，不满足或不提供得0分。</w:t>
            </w:r>
            <w:bookmarkEnd w:id="190"/>
            <w:r/>
            <w:r/>
          </w:p>
        </w:tc>
      </w:tr>
      <w:tr>
        <w:trPr>
          <w:trHeight w:val="416"/>
        </w:trPr>
        <w:tc>
          <w:tcPr>
            <w:gridSpan w:val="2"/>
            <w:tcW w:w="1133" w:type="pct"/>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465" w:type="pct"/>
            <w:vAlign w:val="center"/>
            <w:textDirection w:val="lrTb"/>
            <w:noWrap w:val="false"/>
          </w:tcPr>
          <w:p>
            <w:pPr>
              <w:pStyle w:val="644"/>
              <w:jc w:val="center"/>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tc>
        <w:tc>
          <w:tcPr>
            <w:tcW w:w="3400" w:type="pct"/>
            <w:textDirection w:val="lrTb"/>
            <w:noWrap w:val="false"/>
          </w:tcPr>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增值服务和技术优势，根据供应商增值服务、技术优势和供应商对桥梁评估的理解情况</w:t>
            </w:r>
            <w:r/>
          </w:p>
          <w:p>
            <w:pPr>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注：</w:t>
            </w:r>
            <w:r>
              <w:rPr>
                <w:rFonts w:hint="eastAsia" w:ascii="宋体" w:hAnsi="宋体" w:eastAsia="宋体"/>
                <w:color w:val="auto"/>
                <w:szCs w:val="21"/>
                <w:highlight w:val="none"/>
                <w:lang w:eastAsia="zh-CN"/>
              </w:rPr>
              <w:t xml:space="preserve">优于项目需求得</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lang w:eastAsia="zh-CN"/>
              </w:rPr>
              <w:t xml:space="preserve">分，满足项目需求得</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lang w:eastAsia="zh-CN"/>
              </w:rPr>
              <w:t xml:space="preserve">分，不满足或不提供得0分。</w:t>
            </w:r>
            <w:r/>
          </w:p>
        </w:tc>
      </w:tr>
      <w:tr>
        <w:trPr>
          <w:trHeight w:val="1304"/>
        </w:trPr>
        <w:tc>
          <w:tcPr>
            <w:tcW w:w="376" w:type="pct"/>
            <w:vAlign w:val="center"/>
            <w:vMerge w:val="restart"/>
            <w:textDirection w:val="lrTb"/>
            <w:noWrap w:val="false"/>
          </w:tcPr>
          <w:p>
            <w:pPr>
              <w:jc w:val="center"/>
              <w:rPr>
                <w:rFonts w:ascii="宋体" w:hAnsi="宋体" w:eastAsia="宋体"/>
                <w:color w:val="auto"/>
                <w:szCs w:val="21"/>
                <w:highlight w:val="none"/>
                <w:lang w:val="en-US" w:eastAsia="zh-CN"/>
              </w:rPr>
            </w:pPr>
            <w:r>
              <w:rPr>
                <w:rFonts w:hint="eastAsia" w:ascii="宋体" w:hAnsi="宋体" w:eastAsia="宋体"/>
                <w:color w:val="auto"/>
                <w:szCs w:val="21"/>
                <w:highlight w:val="none"/>
                <w:lang w:eastAsia="zh-CN"/>
              </w:rPr>
              <w:t xml:space="preserve">综合实力（</w:t>
            </w:r>
            <w:r>
              <w:rPr>
                <w:rFonts w:hint="eastAsia" w:ascii="宋体" w:hAnsi="宋体" w:eastAsia="宋体"/>
                <w:color w:val="auto"/>
                <w:szCs w:val="21"/>
                <w:highlight w:val="none"/>
                <w:lang w:val="en-US" w:eastAsia="zh-CN"/>
              </w:rPr>
              <w:t xml:space="preserve">30分）</w:t>
            </w:r>
            <w:r/>
          </w:p>
        </w:tc>
        <w:tc>
          <w:tcPr>
            <w:tcBorders>
              <w:top w:val="single" w:color="auto" w:sz="4" w:space="0"/>
              <w:left w:val="single" w:color="auto" w:sz="4" w:space="0"/>
              <w:right w:val="single" w:color="auto" w:sz="4" w:space="0"/>
            </w:tcBorders>
            <w:tcW w:w="756" w:type="pct"/>
            <w:vAlign w:val="center"/>
            <w:textDirection w:val="lrTb"/>
            <w:noWrap w:val="false"/>
          </w:tcPr>
          <w:p>
            <w:pPr>
              <w:pStyle w:val="644"/>
              <w:jc w:val="center"/>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类似</w:t>
            </w:r>
            <w:r>
              <w:rPr>
                <w:rFonts w:hint="eastAsia" w:ascii="宋体" w:hAnsi="宋体" w:eastAsia="宋体"/>
                <w:color w:val="auto"/>
                <w:szCs w:val="21"/>
                <w:highlight w:val="none"/>
              </w:rPr>
              <w:t xml:space="preserve">业绩</w:t>
            </w:r>
            <w:r/>
          </w:p>
        </w:tc>
        <w:tc>
          <w:tcPr>
            <w:tcBorders>
              <w:top w:val="single" w:color="auto" w:sz="4" w:space="0"/>
              <w:left w:val="single" w:color="auto" w:sz="4" w:space="0"/>
              <w:right w:val="single" w:color="auto" w:sz="4" w:space="0"/>
            </w:tcBorders>
            <w:tcW w:w="465" w:type="pct"/>
            <w:vAlign w:val="center"/>
            <w:textDirection w:val="lrTb"/>
            <w:noWrap w:val="false"/>
          </w:tcPr>
          <w:p>
            <w:pPr>
              <w:pStyle w:val="644"/>
              <w:jc w:val="center"/>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tc>
        <w:tc>
          <w:tcPr>
            <w:tcW w:w="3400" w:type="pct"/>
            <w:textDirection w:val="lrTb"/>
            <w:noWrap w:val="false"/>
          </w:tcPr>
          <w:p>
            <w:pPr>
              <w:ind w:left="210"/>
              <w:rPr>
                <w:rFonts w:hint="eastAsia" w:ascii="宋体" w:hAnsi="宋体" w:eastAsia="宋体"/>
                <w:color w:val="auto"/>
                <w:szCs w:val="21"/>
                <w:highlight w:val="none"/>
              </w:rPr>
            </w:pPr>
            <w:r>
              <w:rPr>
                <w:rFonts w:hint="eastAsia" w:ascii="宋体" w:hAnsi="宋体" w:eastAsia="宋体"/>
                <w:color w:val="auto"/>
                <w:szCs w:val="21"/>
                <w:highlight w:val="none"/>
                <w:lang w:eastAsia="zh-CN"/>
              </w:rPr>
              <w:t xml:space="preserve">投标人自</w:t>
            </w:r>
            <w:r>
              <w:rPr>
                <w:rFonts w:hint="eastAsia" w:ascii="宋体" w:hAnsi="宋体"/>
                <w:color w:val="auto"/>
                <w:szCs w:val="21"/>
                <w:highlight w:val="none"/>
                <w:lang w:val="en-US" w:eastAsia="zh-CN"/>
              </w:rPr>
              <w:t xml:space="preserve">20</w:t>
            </w:r>
            <w:r>
              <w:rPr>
                <w:rFonts w:hint="eastAsia" w:ascii="宋体" w:hAnsi="宋体" w:eastAsia="宋体"/>
                <w:color w:val="auto"/>
                <w:szCs w:val="21"/>
                <w:highlight w:val="none"/>
                <w:lang w:val="en-US" w:eastAsia="zh-CN"/>
              </w:rPr>
              <w:t xml:space="preserve">22年以来（</w:t>
            </w:r>
            <w:r>
              <w:rPr>
                <w:rFonts w:hint="eastAsia" w:ascii="宋体" w:hAnsi="宋体" w:eastAsia="宋体"/>
                <w:color w:val="auto"/>
                <w:szCs w:val="21"/>
                <w:highlight w:val="none"/>
              </w:rPr>
              <w:t xml:space="preserve">以合同</w:t>
            </w:r>
            <w:r>
              <w:rPr>
                <w:rFonts w:hint="eastAsia" w:ascii="宋体" w:hAnsi="宋体" w:eastAsia="宋体"/>
                <w:color w:val="auto"/>
                <w:szCs w:val="21"/>
                <w:highlight w:val="none"/>
                <w:lang w:eastAsia="zh-CN"/>
              </w:rPr>
              <w:t xml:space="preserve">签订</w:t>
            </w:r>
            <w:r>
              <w:rPr>
                <w:rFonts w:hint="eastAsia" w:ascii="宋体" w:hAnsi="宋体" w:eastAsia="宋体"/>
                <w:color w:val="auto"/>
                <w:szCs w:val="21"/>
                <w:highlight w:val="none"/>
              </w:rPr>
              <w:t xml:space="preserve">时间为准）承担过</w:t>
            </w:r>
            <w:r>
              <w:rPr>
                <w:rFonts w:hint="eastAsia" w:ascii="宋体" w:hAnsi="宋体" w:eastAsia="宋体"/>
                <w:color w:val="auto"/>
                <w:szCs w:val="21"/>
                <w:highlight w:val="none"/>
                <w:lang w:eastAsia="zh-CN"/>
              </w:rPr>
              <w:t xml:space="preserve">类似</w:t>
            </w:r>
            <w:r>
              <w:rPr>
                <w:rFonts w:hint="eastAsia" w:ascii="宋体" w:hAnsi="宋体" w:eastAsia="宋体"/>
                <w:color w:val="auto"/>
                <w:szCs w:val="21"/>
                <w:highlight w:val="none"/>
              </w:rPr>
              <w:t xml:space="preserve">业绩</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每提供1个，得2分，</w:t>
            </w:r>
            <w:r>
              <w:rPr>
                <w:rFonts w:hint="eastAsia" w:ascii="宋体" w:hAnsi="宋体" w:eastAsia="宋体"/>
                <w:color w:val="auto"/>
                <w:szCs w:val="21"/>
                <w:highlight w:val="none"/>
                <w:lang w:eastAsia="zh-CN"/>
              </w:rPr>
              <w:t xml:space="preserve">最高得</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分。</w:t>
            </w:r>
            <w:r/>
          </w:p>
          <w:p>
            <w:pPr>
              <w:ind w:left="210"/>
              <w:rPr>
                <w:rFonts w:ascii="宋体" w:hAnsi="宋体" w:eastAsia="宋体"/>
                <w:color w:val="auto"/>
                <w:szCs w:val="21"/>
                <w:highlight w:val="none"/>
              </w:rPr>
            </w:pPr>
            <w:r/>
            <w:bookmarkStart w:id="191" w:name="OLE_LINK10"/>
            <w:r/>
            <w:bookmarkStart w:id="192" w:name="OLE_LINK14"/>
            <w:r>
              <w:rPr>
                <w:rFonts w:hint="eastAsia" w:ascii="宋体" w:hAnsi="宋体" w:eastAsia="宋体"/>
                <w:color w:val="auto"/>
                <w:szCs w:val="21"/>
                <w:highlight w:val="none"/>
              </w:rPr>
              <w:t xml:space="preserve">【</w:t>
            </w:r>
            <w:bookmarkEnd w:id="191"/>
            <w:r>
              <w:rPr>
                <w:rFonts w:hint="eastAsia" w:ascii="宋体" w:hAnsi="宋体" w:eastAsia="宋体"/>
                <w:color w:val="auto"/>
                <w:szCs w:val="21"/>
                <w:highlight w:val="none"/>
              </w:rPr>
              <w:t xml:space="preserve">提供中标通知书、合同</w:t>
            </w:r>
            <w:r>
              <w:rPr>
                <w:rFonts w:hint="eastAsia" w:ascii="宋体" w:hAnsi="宋体" w:eastAsia="宋体"/>
                <w:color w:val="auto"/>
                <w:szCs w:val="21"/>
                <w:highlight w:val="none"/>
                <w:lang w:eastAsia="zh-CN"/>
              </w:rPr>
              <w:t xml:space="preserve">原件彩色扫描件</w:t>
            </w:r>
            <w:r>
              <w:rPr>
                <w:rFonts w:hint="eastAsia" w:ascii="宋体" w:hAnsi="宋体" w:eastAsia="宋体"/>
                <w:color w:val="auto"/>
                <w:szCs w:val="21"/>
                <w:highlight w:val="none"/>
              </w:rPr>
              <w:t xml:space="preserve">，未提供或提供不符合要求者不得分。</w:t>
            </w:r>
            <w:bookmarkStart w:id="193" w:name="OLE_LINK11"/>
            <w:r>
              <w:rPr>
                <w:rFonts w:hint="eastAsia" w:ascii="宋体" w:hAnsi="宋体" w:eastAsia="宋体"/>
                <w:color w:val="auto"/>
                <w:szCs w:val="21"/>
                <w:highlight w:val="none"/>
              </w:rPr>
              <w:t xml:space="preserve">】</w:t>
            </w:r>
            <w:bookmarkEnd w:id="192"/>
            <w:r/>
            <w:bookmarkEnd w:id="193"/>
            <w:r/>
            <w:r/>
          </w:p>
        </w:tc>
      </w:tr>
      <w:tr>
        <w:trPr>
          <w:trHeight w:val="2902"/>
        </w:trPr>
        <w:tc>
          <w:tcPr>
            <w:tcW w:w="376" w:type="pct"/>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756" w:type="pct"/>
            <w:vAlign w:val="center"/>
            <w:textDirection w:val="lrTb"/>
            <w:noWrap w:val="false"/>
          </w:tcPr>
          <w:p>
            <w:pPr>
              <w:pStyle w:val="644"/>
              <w:jc w:val="center"/>
              <w:rPr>
                <w:rFonts w:hint="eastAsia" w:ascii="宋体" w:hAnsi="宋体" w:eastAsia="宋体" w:cs="宋体"/>
                <w:color w:val="auto"/>
                <w:sz w:val="21"/>
                <w:szCs w:val="21"/>
                <w:highlight w:val="none"/>
                <w:lang w:val="en-US" w:eastAsia="zh-CN" w:bidi="ar-SA"/>
              </w:rPr>
            </w:pPr>
            <w:r>
              <w:rPr>
                <w:rFonts w:hint="eastAsia" w:ascii="宋体" w:hAnsi="宋体" w:eastAsia="宋体"/>
                <w:color w:val="auto"/>
                <w:szCs w:val="21"/>
                <w:highlight w:val="none"/>
              </w:rPr>
              <w:t xml:space="preserve">根据供应商仪器设备配备情况</w:t>
            </w:r>
            <w:r/>
          </w:p>
        </w:tc>
        <w:tc>
          <w:tcPr>
            <w:tcBorders>
              <w:top w:val="single" w:color="auto" w:sz="4" w:space="0"/>
              <w:left w:val="single" w:color="auto" w:sz="4" w:space="0"/>
              <w:right w:val="single" w:color="auto" w:sz="4" w:space="0"/>
            </w:tcBorders>
            <w:tcW w:w="465" w:type="pct"/>
            <w:vAlign w:val="center"/>
            <w:textDirection w:val="lrTb"/>
            <w:noWrap w:val="false"/>
          </w:tcPr>
          <w:p>
            <w:pPr>
              <w:pStyle w:val="644"/>
              <w:jc w:val="center"/>
              <w:rPr>
                <w:rFonts w:hint="eastAsia" w:ascii="宋体" w:hAnsi="宋体" w:eastAsia="宋体" w:cs="宋体"/>
                <w:color w:val="auto"/>
                <w:sz w:val="21"/>
                <w:szCs w:val="21"/>
                <w:highlight w:val="none"/>
                <w:lang w:val="en-US" w:eastAsia="zh-CN" w:bidi="ar-SA"/>
              </w:rPr>
            </w:pPr>
            <w:r>
              <w:rPr>
                <w:rFonts w:hint="eastAsia" w:ascii="宋体" w:hAnsi="宋体" w:eastAsia="宋体"/>
                <w:color w:val="auto"/>
                <w:szCs w:val="21"/>
                <w:highlight w:val="none"/>
                <w:lang w:val="en-US" w:eastAsia="zh-CN"/>
              </w:rPr>
              <w:t xml:space="preserve">20</w:t>
            </w:r>
            <w:r>
              <w:rPr>
                <w:rFonts w:hint="eastAsia" w:ascii="宋体" w:hAnsi="宋体" w:eastAsia="宋体"/>
                <w:color w:val="auto"/>
                <w:szCs w:val="21"/>
                <w:highlight w:val="none"/>
              </w:rPr>
              <w:t xml:space="preserve">分</w:t>
            </w:r>
            <w:r/>
          </w:p>
        </w:tc>
        <w:tc>
          <w:tcPr>
            <w:tcW w:w="3400" w:type="pct"/>
            <w:vAlign w:val="center"/>
            <w:textDirection w:val="lrTb"/>
            <w:noWrap w:val="false"/>
          </w:tcPr>
          <w:p>
            <w:pPr>
              <w:ind w:left="210"/>
              <w:rPr>
                <w:rFonts w:ascii="宋体" w:hAnsi="宋体" w:eastAsia="宋体"/>
                <w:color w:val="auto"/>
                <w:szCs w:val="21"/>
                <w:highlight w:val="none"/>
              </w:rPr>
            </w:pPr>
            <w:r/>
            <w:bookmarkStart w:id="194" w:name="OLE_LINK19"/>
            <w:r>
              <w:rPr>
                <w:rFonts w:hint="eastAsia" w:ascii="宋体" w:hAnsi="宋体" w:eastAsia="宋体"/>
                <w:color w:val="auto"/>
                <w:szCs w:val="21"/>
                <w:highlight w:val="none"/>
                <w:lang w:val="en-US" w:eastAsia="zh-CN"/>
              </w:rPr>
              <w:t xml:space="preserve">1、</w:t>
            </w:r>
            <w:bookmarkStart w:id="195" w:name="OLE_LINK17"/>
            <w:r>
              <w:rPr>
                <w:rFonts w:hint="eastAsia" w:ascii="宋体" w:hAnsi="宋体" w:eastAsia="宋体"/>
                <w:color w:val="auto"/>
                <w:szCs w:val="21"/>
                <w:highlight w:val="none"/>
                <w:lang w:eastAsia="zh-CN"/>
              </w:rPr>
              <w:t xml:space="preserve">投标人</w:t>
            </w:r>
            <w:bookmarkEnd w:id="195"/>
            <w:r>
              <w:rPr>
                <w:rFonts w:hint="eastAsia" w:ascii="宋体" w:hAnsi="宋体" w:eastAsia="宋体"/>
                <w:color w:val="auto"/>
                <w:szCs w:val="21"/>
                <w:highlight w:val="none"/>
                <w:lang w:eastAsia="zh-CN"/>
              </w:rPr>
              <w:t xml:space="preserve">自有或租赁</w:t>
            </w:r>
            <w:r>
              <w:rPr>
                <w:rFonts w:hint="eastAsia" w:ascii="宋体" w:hAnsi="宋体" w:eastAsia="宋体"/>
                <w:color w:val="auto"/>
                <w:szCs w:val="21"/>
                <w:highlight w:val="none"/>
              </w:rPr>
              <w:t xml:space="preserve">水下摄像机、内窥镜、无人机仪器设备，每项得</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eastAsia="zh-CN"/>
              </w:rPr>
              <w:t xml:space="preserve">最高</w:t>
            </w:r>
            <w:r>
              <w:rPr>
                <w:rFonts w:hint="eastAsia" w:ascii="宋体" w:hAnsi="宋体" w:eastAsia="宋体"/>
                <w:color w:val="auto"/>
                <w:szCs w:val="21"/>
                <w:highlight w:val="none"/>
              </w:rPr>
              <w:t xml:space="preserve">得</w:t>
            </w:r>
            <w:r>
              <w:rPr>
                <w:rFonts w:hint="eastAsia" w:ascii="宋体" w:hAnsi="宋体" w:eastAsia="宋体"/>
                <w:color w:val="auto"/>
                <w:szCs w:val="21"/>
                <w:highlight w:val="none"/>
                <w:lang w:val="en-US" w:eastAsia="zh-CN"/>
              </w:rPr>
              <w:t xml:space="preserve">9</w:t>
            </w:r>
            <w:r>
              <w:rPr>
                <w:rFonts w:hint="eastAsia" w:ascii="宋体" w:hAnsi="宋体" w:eastAsia="宋体"/>
                <w:color w:val="auto"/>
                <w:szCs w:val="21"/>
                <w:highlight w:val="none"/>
              </w:rPr>
              <w:t xml:space="preserve">分；</w:t>
            </w:r>
            <w:r/>
          </w:p>
          <w:p>
            <w:pPr>
              <w:ind w:left="210"/>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2、</w:t>
            </w:r>
            <w:bookmarkStart w:id="196" w:name="OLE_LINK12"/>
            <w:r>
              <w:rPr>
                <w:rFonts w:hint="eastAsia" w:ascii="宋体" w:hAnsi="宋体" w:eastAsia="宋体"/>
                <w:color w:val="auto"/>
                <w:szCs w:val="21"/>
                <w:highlight w:val="none"/>
                <w:lang w:eastAsia="zh-CN"/>
              </w:rPr>
              <w:t xml:space="preserve">投标人自有</w:t>
            </w:r>
            <w:bookmarkStart w:id="197" w:name="OLE_LINK8"/>
            <w:r>
              <w:rPr>
                <w:rFonts w:hint="eastAsia" w:ascii="宋体" w:hAnsi="宋体" w:eastAsia="宋体"/>
                <w:color w:val="auto"/>
                <w:szCs w:val="21"/>
                <w:highlight w:val="none"/>
                <w:lang w:eastAsia="zh-CN"/>
              </w:rPr>
              <w:t xml:space="preserve">或租赁</w:t>
            </w:r>
            <w:bookmarkEnd w:id="196"/>
            <w:r/>
            <w:bookmarkEnd w:id="197"/>
            <w:r>
              <w:rPr>
                <w:rFonts w:hint="eastAsia" w:ascii="宋体" w:hAnsi="宋体" w:eastAsia="宋体"/>
                <w:color w:val="auto"/>
                <w:szCs w:val="21"/>
                <w:highlight w:val="none"/>
              </w:rPr>
              <w:t xml:space="preserve">一辆桥梁检测车</w:t>
            </w:r>
            <w:r>
              <w:rPr>
                <w:rFonts w:hint="eastAsia" w:ascii="宋体" w:hAnsi="宋体" w:eastAsia="宋体"/>
                <w:color w:val="auto"/>
                <w:szCs w:val="21"/>
                <w:highlight w:val="none"/>
                <w:lang w:eastAsia="zh-CN"/>
              </w:rPr>
              <w:t xml:space="preserve">得</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eastAsia="zh-CN"/>
              </w:rPr>
              <w:t xml:space="preserve">最高</w:t>
            </w:r>
            <w:r>
              <w:rPr>
                <w:rFonts w:hint="eastAsia" w:ascii="宋体" w:hAnsi="宋体" w:eastAsia="宋体"/>
                <w:color w:val="auto"/>
                <w:szCs w:val="21"/>
                <w:highlight w:val="none"/>
              </w:rPr>
              <w:t xml:space="preserve">得</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分；</w:t>
            </w:r>
            <w:r/>
          </w:p>
          <w:p>
            <w:pPr>
              <w:ind w:left="210"/>
              <w:rPr>
                <w:rFonts w:ascii="宋体" w:hAnsi="宋体" w:eastAsia="宋体"/>
                <w:color w:val="auto"/>
                <w:szCs w:val="21"/>
                <w:highlight w:val="none"/>
              </w:rPr>
            </w:pP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lang w:eastAsia="zh-CN"/>
              </w:rPr>
              <w:t xml:space="preserve">投标人</w:t>
            </w:r>
            <w:r>
              <w:rPr>
                <w:rFonts w:hint="eastAsia" w:ascii="宋体" w:hAnsi="宋体" w:eastAsia="宋体"/>
                <w:color w:val="auto"/>
                <w:szCs w:val="21"/>
                <w:highlight w:val="none"/>
              </w:rPr>
              <w:t xml:space="preserve">自有</w:t>
            </w:r>
            <w:r>
              <w:rPr>
                <w:rFonts w:hint="eastAsia" w:ascii="宋体" w:hAnsi="宋体" w:eastAsia="宋体"/>
                <w:color w:val="auto"/>
                <w:szCs w:val="21"/>
                <w:highlight w:val="none"/>
                <w:lang w:eastAsia="zh-CN"/>
              </w:rPr>
              <w:t xml:space="preserve">或租赁</w:t>
            </w:r>
            <w:r>
              <w:rPr>
                <w:rFonts w:hint="eastAsia" w:ascii="宋体" w:hAnsi="宋体" w:eastAsia="宋体"/>
                <w:color w:val="auto"/>
                <w:szCs w:val="21"/>
                <w:highlight w:val="none"/>
              </w:rPr>
              <w:t xml:space="preserve">一辆高空作业车</w:t>
            </w:r>
            <w:r>
              <w:rPr>
                <w:rFonts w:hint="eastAsia" w:ascii="宋体" w:hAnsi="宋体" w:eastAsia="宋体"/>
                <w:color w:val="auto"/>
                <w:szCs w:val="21"/>
                <w:highlight w:val="none"/>
                <w:lang w:eastAsia="zh-CN"/>
              </w:rPr>
              <w:t xml:space="preserve">得</w:t>
            </w:r>
            <w:r>
              <w:rPr>
                <w:rFonts w:hint="eastAsia" w:ascii="宋体" w:hAnsi="宋体" w:eastAsia="宋体"/>
                <w:color w:val="auto"/>
                <w:szCs w:val="21"/>
                <w:highlight w:val="none"/>
                <w:lang w:val="en-US" w:eastAsia="zh-CN"/>
              </w:rPr>
              <w:t xml:space="preserve">2.5</w:t>
            </w:r>
            <w:r>
              <w:rPr>
                <w:rFonts w:hint="eastAsia" w:ascii="宋体" w:hAnsi="宋体" w:eastAsia="宋体"/>
                <w:color w:val="auto"/>
                <w:szCs w:val="21"/>
                <w:highlight w:val="none"/>
              </w:rPr>
              <w:t xml:space="preserve">分</w:t>
            </w:r>
            <w:r>
              <w:rPr>
                <w:rFonts w:hint="eastAsia" w:ascii="宋体" w:hAnsi="宋体" w:eastAsia="宋体"/>
                <w:color w:val="auto"/>
                <w:szCs w:val="21"/>
                <w:highlight w:val="none"/>
                <w:lang w:eastAsia="zh-CN"/>
              </w:rPr>
              <w:t xml:space="preserve">，最高</w:t>
            </w:r>
            <w:r>
              <w:rPr>
                <w:rFonts w:hint="eastAsia" w:ascii="宋体" w:hAnsi="宋体" w:eastAsia="宋体"/>
                <w:color w:val="auto"/>
                <w:szCs w:val="21"/>
                <w:highlight w:val="none"/>
              </w:rPr>
              <w:t xml:space="preserve">得</w:t>
            </w:r>
            <w:r>
              <w:rPr>
                <w:rFonts w:hint="eastAsia" w:ascii="宋体" w:hAnsi="宋体" w:eastAsia="宋体"/>
                <w:color w:val="auto"/>
                <w:szCs w:val="21"/>
                <w:highlight w:val="none"/>
                <w:lang w:val="en-US" w:eastAsia="zh-CN"/>
              </w:rPr>
              <w:t xml:space="preserve">5</w:t>
            </w:r>
            <w:r>
              <w:rPr>
                <w:rFonts w:hint="eastAsia" w:ascii="宋体" w:hAnsi="宋体" w:eastAsia="宋体"/>
                <w:color w:val="auto"/>
                <w:szCs w:val="21"/>
                <w:highlight w:val="none"/>
              </w:rPr>
              <w:t xml:space="preserve">分。</w:t>
            </w:r>
            <w:bookmarkEnd w:id="194"/>
            <w:r/>
          </w:p>
          <w:p>
            <w:pPr>
              <w:ind w:left="210"/>
              <w:rPr>
                <w:rFonts w:hint="eastAsia" w:ascii="宋体" w:hAnsi="宋体" w:eastAsia="宋体" w:cs="Arial"/>
                <w:color w:val="auto"/>
                <w:sz w:val="21"/>
                <w:szCs w:val="21"/>
                <w:highlight w:val="none"/>
                <w:lang w:val="en-US" w:eastAsia="zh-CN" w:bidi="ar-SA"/>
              </w:rPr>
            </w:pPr>
            <w:r/>
            <w:bookmarkStart w:id="198" w:name="OLE_LINK9"/>
            <w:r/>
            <w:bookmarkStart w:id="199" w:name="OLE_LINK15"/>
            <w:r/>
            <w:bookmarkStart w:id="200" w:name="OLE_LINK16"/>
            <w:r>
              <w:rPr>
                <w:rFonts w:hint="eastAsia" w:ascii="宋体" w:hAnsi="宋体" w:eastAsia="宋体"/>
                <w:color w:val="auto"/>
                <w:szCs w:val="21"/>
                <w:highlight w:val="none"/>
              </w:rPr>
              <w:t xml:space="preserve">【</w:t>
            </w:r>
            <w:r>
              <w:rPr>
                <w:rFonts w:hint="eastAsia" w:ascii="宋体" w:hAnsi="宋体" w:eastAsia="宋体"/>
                <w:color w:val="auto"/>
                <w:szCs w:val="21"/>
                <w:highlight w:val="none"/>
              </w:rPr>
              <w:t xml:space="preserve">自有仪器设备提供发票</w:t>
            </w:r>
            <w:bookmarkEnd w:id="198"/>
            <w:r>
              <w:rPr>
                <w:rFonts w:hint="eastAsia" w:ascii="宋体" w:hAnsi="宋体" w:eastAsia="宋体"/>
                <w:color w:val="auto"/>
                <w:szCs w:val="21"/>
                <w:highlight w:val="none"/>
                <w:lang w:eastAsia="zh-CN"/>
              </w:rPr>
              <w:t xml:space="preserve">原件彩色扫描件</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eastAsia="zh-CN"/>
              </w:rPr>
              <w:t xml:space="preserve">租赁</w:t>
            </w:r>
            <w:r>
              <w:rPr>
                <w:rFonts w:hint="eastAsia" w:ascii="宋体" w:hAnsi="宋体" w:eastAsia="宋体"/>
                <w:color w:val="auto"/>
                <w:szCs w:val="21"/>
                <w:highlight w:val="none"/>
              </w:rPr>
              <w:t xml:space="preserve">仪器设备提供</w:t>
            </w:r>
            <w:r>
              <w:rPr>
                <w:rFonts w:hint="eastAsia" w:ascii="宋体" w:hAnsi="宋体" w:eastAsia="宋体"/>
                <w:color w:val="auto"/>
                <w:szCs w:val="21"/>
                <w:highlight w:val="none"/>
                <w:lang w:eastAsia="zh-CN"/>
              </w:rPr>
              <w:t xml:space="preserve">租赁合同原件彩色扫描件，</w:t>
            </w:r>
            <w:bookmarkEnd w:id="199"/>
            <w:r>
              <w:rPr>
                <w:rFonts w:hint="eastAsia" w:ascii="宋体" w:hAnsi="宋体" w:eastAsia="宋体"/>
                <w:color w:val="auto"/>
                <w:szCs w:val="21"/>
                <w:highlight w:val="none"/>
                <w:lang w:eastAsia="zh-CN"/>
              </w:rPr>
              <w:t xml:space="preserve">自有车辆</w:t>
            </w:r>
            <w:r>
              <w:rPr>
                <w:rFonts w:hint="eastAsia" w:ascii="宋体" w:hAnsi="宋体" w:eastAsia="宋体"/>
                <w:color w:val="auto"/>
                <w:szCs w:val="21"/>
                <w:highlight w:val="none"/>
              </w:rPr>
              <w:t xml:space="preserve">提供发票或车辆产权</w:t>
            </w:r>
            <w:r>
              <w:rPr>
                <w:rFonts w:hint="eastAsia" w:ascii="宋体" w:hAnsi="宋体" w:eastAsia="宋体"/>
                <w:color w:val="auto"/>
                <w:szCs w:val="21"/>
                <w:highlight w:val="none"/>
              </w:rPr>
              <w:t xml:space="preserve">证</w:t>
            </w:r>
            <w:r>
              <w:rPr>
                <w:rFonts w:hint="eastAsia" w:ascii="宋体" w:hAnsi="宋体" w:eastAsia="宋体"/>
                <w:color w:val="auto"/>
                <w:szCs w:val="21"/>
                <w:highlight w:val="none"/>
                <w:lang w:eastAsia="zh-CN"/>
              </w:rPr>
              <w:t xml:space="preserve">原件彩色扫描件</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eastAsia="zh-CN"/>
              </w:rPr>
              <w:t xml:space="preserve">租赁车辆提供租赁</w:t>
            </w:r>
            <w:r>
              <w:rPr>
                <w:rFonts w:hint="eastAsia" w:ascii="宋体" w:hAnsi="宋体"/>
                <w:color w:val="auto"/>
                <w:szCs w:val="21"/>
                <w:highlight w:val="none"/>
                <w:lang w:val="en-US" w:eastAsia="zh-CN"/>
              </w:rPr>
              <w:t xml:space="preserve">合同</w:t>
            </w:r>
            <w:r>
              <w:rPr>
                <w:rFonts w:hint="eastAsia" w:ascii="宋体" w:hAnsi="宋体" w:eastAsia="宋体"/>
                <w:color w:val="auto"/>
                <w:szCs w:val="21"/>
                <w:highlight w:val="none"/>
                <w:lang w:eastAsia="zh-CN"/>
              </w:rPr>
              <w:t xml:space="preserve">原件彩色扫描件，</w:t>
            </w:r>
            <w:r>
              <w:rPr>
                <w:rFonts w:hint="eastAsia" w:ascii="宋体" w:hAnsi="宋体" w:eastAsia="宋体"/>
                <w:color w:val="auto"/>
                <w:szCs w:val="21"/>
                <w:highlight w:val="none"/>
              </w:rPr>
              <w:t xml:space="preserve">未提供或提供不符合要求者不得分。</w:t>
            </w:r>
            <w:r>
              <w:rPr>
                <w:rFonts w:hint="eastAsia" w:ascii="宋体" w:hAnsi="宋体" w:eastAsia="宋体"/>
                <w:color w:val="auto"/>
                <w:szCs w:val="21"/>
                <w:highlight w:val="none"/>
              </w:rPr>
              <w:t xml:space="preserve">】</w:t>
            </w:r>
            <w:bookmarkEnd w:id="200"/>
            <w:r/>
            <w:r/>
          </w:p>
        </w:tc>
      </w:tr>
    </w:tbl>
    <w:p>
      <w:pPr>
        <w:pStyle w:val="656"/>
        <w:rPr>
          <w:rFonts w:hint="eastAsia"/>
          <w:color w:val="auto"/>
          <w:highlight w:val="none"/>
        </w:rPr>
      </w:pPr>
      <w:r>
        <w:rPr>
          <w:rFonts w:hint="eastAsia"/>
          <w:color w:val="auto"/>
          <w:highlight w:val="none"/>
        </w:rPr>
      </w:r>
      <w:r/>
    </w:p>
    <w:p>
      <w:pPr>
        <w:pStyle w:val="65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rFonts w:hint="eastAsia" w:ascii="黑体" w:hAnsi="宋体" w:eastAsia="黑体" w:cs="黑体"/>
          <w:color w:val="auto"/>
          <w:sz w:val="44"/>
          <w:szCs w:val="44"/>
          <w:highlight w:val="none"/>
        </w:rPr>
      </w:pPr>
      <w:r>
        <w:rPr>
          <w:color w:val="auto"/>
          <w:highlight w:val="none"/>
        </w:rPr>
        <w:t xml:space="preserve"> </w:t>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color w:val="auto"/>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w:t>
      </w:r>
      <w:r/>
    </w:p>
    <w:p>
      <w:pPr>
        <w:pStyle w:val="651"/>
        <w:jc w:val="center"/>
        <w:spacing w:beforeAutospacing="0" w:afterAutospacing="0"/>
        <w:rPr>
          <w:rFonts w:hint="eastAsia" w:ascii="宋体" w:hAnsi="宋体" w:eastAsia="宋体" w:cs="宋体"/>
          <w:b/>
          <w:color w:val="auto"/>
          <w:sz w:val="72"/>
          <w:szCs w:val="72"/>
          <w:highlight w:val="none"/>
        </w:rPr>
      </w:pPr>
      <w:r/>
      <w:bookmarkStart w:id="201" w:name="_Hlt26955039"/>
      <w:r/>
      <w:bookmarkEnd w:id="201"/>
      <w:r/>
      <w:bookmarkStart w:id="202" w:name="_Hlt26671244"/>
      <w:r/>
      <w:bookmarkEnd w:id="202"/>
      <w:r/>
      <w:bookmarkStart w:id="203" w:name="_Toc26554094"/>
      <w:r/>
      <w:bookmarkEnd w:id="203"/>
      <w:r/>
      <w:bookmarkStart w:id="204" w:name="_Toc120614282"/>
      <w:r/>
      <w:bookmarkStart w:id="205" w:name="_Toc49090576"/>
      <w:r/>
      <w:r/>
    </w:p>
    <w:p>
      <w:pPr>
        <w:pStyle w:val="65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1"/>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5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5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5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rPr>
          <w:rFonts w:ascii="宋体" w:hAnsi="宋体" w:eastAsia="宋体" w:cs="宋体"/>
          <w:b/>
          <w:color w:val="auto"/>
          <w:sz w:val="36"/>
          <w:szCs w:val="36"/>
          <w:highlight w:val="none"/>
          <w:u w:val="single"/>
        </w:rPr>
      </w:r>
    </w:p>
    <w:p>
      <w:pPr>
        <w:pStyle w:val="65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p>
    <w:p>
      <w:pPr>
        <w:pStyle w:val="65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p>
    <w:p>
      <w:pPr>
        <w:pStyle w:val="651"/>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51"/>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二、上一年度的财务状况报表（至少提供资产负债表、利润表、现金流量表，投标人成立不满一年无需提供）</w:t>
      </w:r>
      <w:r/>
    </w:p>
    <w:p>
      <w:pPr>
        <w:pStyle w:val="65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5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十一、联合体协议</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651"/>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651"/>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651"/>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十七、盐城经济技术开发区政府采购事前信用承诺书</w:t>
      </w:r>
      <w:r/>
    </w:p>
    <w:p>
      <w:pPr>
        <w:pStyle w:val="65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ind w:firstLine="480"/>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rPr>
          <w:rFonts w:hint="eastAsia" w:eastAsia="黑体"/>
          <w:color w:val="auto"/>
          <w:highlight w:val="none"/>
          <w:lang w:eastAsia="zh-CN"/>
        </w:rPr>
      </w:pPr>
      <w:r>
        <w:rPr>
          <w:rFonts w:hint="eastAsia" w:ascii="黑体" w:hAnsi="宋体" w:eastAsia="黑体" w:cs="黑体"/>
          <w:i/>
          <w:color w:val="auto"/>
          <w:sz w:val="32"/>
          <w:szCs w:val="32"/>
          <w:highlight w:val="none"/>
          <w:u w:val="single"/>
        </w:rPr>
        <w:t xml:space="preserve">二、上一年度的财务状况报表</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5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51"/>
        <w:ind w:firstLine="480"/>
        <w:jc w:val="both"/>
        <w:spacing w:beforeAutospacing="0" w:afterAutospacing="0"/>
        <w:rPr>
          <w:color w:val="auto"/>
          <w:highlight w:val="none"/>
        </w:rPr>
      </w:pPr>
      <w:r/>
      <w:bookmarkStart w:id="20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206"/>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51"/>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51"/>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5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1"/>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p>
    <w:p>
      <w:pPr>
        <w:pStyle w:val="651"/>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1"/>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1"/>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1"/>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1"/>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651"/>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5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5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5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51"/>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p>
    <w:p>
      <w:pPr>
        <w:pStyle w:val="651"/>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651"/>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p>
    <w:p>
      <w:pPr>
        <w:pStyle w:val="65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w:t>
      </w:r>
      <w:r>
        <w:rPr>
          <w:rFonts w:hint="eastAsia" w:ascii="Times New Roman" w:hAnsi="Times New Roman"/>
          <w:color w:val="auto"/>
          <w:highlight w:val="none"/>
          <w:lang w:val="en-US" w:eastAsia="zh-CN"/>
        </w:rPr>
        <w:t xml:space="preserve"> </w:t>
      </w: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51"/>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5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5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207" w:name="_Hlt26955070"/>
      <w:r/>
      <w:bookmarkStart w:id="208" w:name="_Hlt26671380"/>
      <w:r/>
      <w:bookmarkStart w:id="209" w:name="_格式3__银行出具的资信证明"/>
      <w:r>
        <w:rPr>
          <w:rFonts w:ascii="Times New Roman" w:hAnsi="Times New Roman"/>
          <w:color w:val="auto"/>
          <w:highlight w:val="none"/>
          <w:u w:val="single"/>
        </w:rPr>
        <w:t xml:space="preserve">                                         </w:t>
      </w:r>
      <w:r/>
    </w:p>
    <w:p>
      <w:pPr>
        <w:pStyle w:val="651"/>
        <w:ind w:firstLine="420"/>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rFonts w:hint="eastAsia" w:ascii="宋体" w:hAnsi="宋体" w:eastAsia="宋体" w:cs="宋体"/>
          <w:color w:val="auto"/>
          <w:highlight w:val="none"/>
          <w:lang w:val="en-US" w:eastAsia="zh-CN"/>
        </w:rPr>
        <w:t xml:space="preserve">       </w:t>
      </w:r>
      <w:r/>
    </w:p>
    <w:p>
      <w:pPr>
        <w:pStyle w:val="651"/>
        <w:ind w:firstLine="3390"/>
        <w:jc w:val="both"/>
        <w:keepLines/>
        <w:keepNext/>
        <w:spacing w:before="260" w:beforeAutospacing="0" w:after="260" w:afterAutospacing="0" w:line="415" w:lineRule="auto"/>
        <w:widowControl w:val="off"/>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65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盐城经济技术开发区住房保障和建设局</w:t>
      </w:r>
      <w:r/>
    </w:p>
    <w:p>
      <w:pPr>
        <w:pStyle w:val="651"/>
        <w:spacing w:beforeAutospacing="0" w:afterAutospacing="0" w:line="0" w:lineRule="atLeast"/>
        <w:rPr>
          <w:color w:val="auto"/>
          <w:highlight w:val="none"/>
        </w:rPr>
      </w:pPr>
      <w:r>
        <w:rPr>
          <w:color w:val="auto"/>
          <w:highlight w:val="none"/>
        </w:rPr>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5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5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t xml:space="preserve"> </w:t>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ind w:firstLine="240"/>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采购人</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left="0" w:firstLine="480"/>
        <w:jc w:val="both"/>
        <w:spacing w:line="500" w:lineRule="exact"/>
        <w:rPr>
          <w:rFonts w:hint="eastAsia"/>
          <w:color w:val="auto"/>
          <w:sz w:val="24"/>
          <w:highlight w:val="none"/>
        </w:rPr>
      </w:pPr>
      <w:r>
        <w:rPr>
          <w:rFonts w:hint="eastAsia"/>
          <w:color w:val="auto"/>
          <w:sz w:val="24"/>
          <w:highlight w:val="none"/>
        </w:rPr>
        <w:t xml:space="preserve">……</w:t>
      </w:r>
      <w:r/>
    </w:p>
    <w:p>
      <w:pPr>
        <w:ind w:left="0"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left="0"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1"/>
        <w:ind w:right="720"/>
        <w:jc w:val="both"/>
        <w:spacing w:beforeAutospacing="0" w:afterAutospacing="0" w:line="0" w:lineRule="atLeast"/>
        <w:rPr>
          <w:color w:val="auto"/>
          <w:highlight w:val="none"/>
        </w:rPr>
      </w:pPr>
      <w:r>
        <w:rPr>
          <w:color w:val="auto"/>
          <w:highlight w:val="none"/>
        </w:rPr>
        <w:t xml:space="preserve"> </w:t>
      </w:r>
      <w:r/>
    </w:p>
    <w:p>
      <w:pPr>
        <w:pStyle w:val="65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1"/>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1"/>
        <w:ind w:firstLine="24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1"/>
        <w:ind w:firstLine="480"/>
        <w:jc w:val="both"/>
        <w:spacing w:beforeAutospacing="0" w:afterAutospacing="0" w:line="0" w:lineRule="atLeast"/>
        <w:rPr>
          <w:color w:val="auto"/>
          <w:highlight w:val="none"/>
        </w:rPr>
      </w:pPr>
      <w:r>
        <w:rPr>
          <w:color w:val="auto"/>
          <w:highlight w:val="none"/>
        </w:rPr>
        <w:t xml:space="preserve"> </w:t>
      </w:r>
      <w:r/>
    </w:p>
    <w:p>
      <w:pPr>
        <w:pStyle w:val="651"/>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651"/>
        <w:ind w:firstLine="624"/>
        <w:jc w:val="both"/>
        <w:spacing w:beforeAutospacing="0" w:afterAutospacing="0" w:line="0" w:lineRule="atLeast"/>
        <w:rPr>
          <w:color w:val="auto"/>
          <w:highlight w:val="none"/>
        </w:rPr>
      </w:pPr>
      <w:r>
        <w:rPr>
          <w:color w:val="auto"/>
          <w:highlight w:val="none"/>
        </w:rPr>
        <w:t xml:space="preserve"> </w:t>
      </w:r>
      <w:r/>
    </w:p>
    <w:p>
      <w:pPr>
        <w:pStyle w:val="651"/>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51"/>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color w:val="auto"/>
          <w:highlight w:val="none"/>
        </w:rPr>
        <w:t xml:space="preserve"> </w:t>
      </w:r>
      <w:r/>
    </w:p>
    <w:p>
      <w:pPr>
        <w:pStyle w:val="65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w:t>
      </w:r>
      <w:r/>
    </w:p>
    <w:p>
      <w:pPr>
        <w:pStyle w:val="65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651"/>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51"/>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51"/>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1"/>
        <w:ind w:firstLine="645"/>
        <w:jc w:val="both"/>
        <w:spacing w:beforeAutospacing="0" w:afterAutospacing="0" w:line="0" w:lineRule="atLeast"/>
        <w:rPr>
          <w:color w:val="auto"/>
          <w:highlight w:val="none"/>
        </w:rPr>
      </w:pPr>
      <w:r>
        <w:rPr>
          <w:color w:val="auto"/>
          <w:highlight w:val="none"/>
        </w:rPr>
        <w:t xml:space="preserve"> </w:t>
      </w:r>
      <w:r/>
    </w:p>
    <w:p>
      <w:pPr>
        <w:pStyle w:val="651"/>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51"/>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651"/>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651"/>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651"/>
        <w:ind w:firstLine="645"/>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r>
      <w:r/>
    </w:p>
    <w:p>
      <w:pPr>
        <w:pStyle w:val="651"/>
        <w:jc w:val="both"/>
        <w:spacing w:beforeAutospacing="0" w:afterAutospacing="0" w:line="0" w:lineRule="atLeast"/>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51"/>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十二、投标分项报价表</w:t>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ind w:firstLine="12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 （加盖公章）</w:t>
      </w:r>
      <w:r/>
    </w:p>
    <w:tbl>
      <w:tblPr>
        <w:tblStyle w:val="643"/>
        <w:tblpPr w:horzAnchor="page" w:tblpX="1183" w:vertAnchor="text" w:tblpY="369" w:leftFromText="180" w:topFromText="0" w:rightFromText="180" w:bottomFromText="0"/>
        <w:tblW w:w="10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679"/>
        <w:gridCol w:w="2267"/>
        <w:gridCol w:w="709"/>
        <w:gridCol w:w="1276"/>
        <w:gridCol w:w="1843"/>
        <w:gridCol w:w="1559"/>
      </w:tblGrid>
      <w:tr>
        <w:trPr>
          <w:trHeight w:val="629"/>
        </w:trPr>
        <w:tc>
          <w:tcPr>
            <w:tcW w:w="697" w:type="dxa"/>
            <w:vAlign w:val="center"/>
            <w:textDirection w:val="lrTb"/>
            <w:noWrap w:val="false"/>
          </w:tcPr>
          <w:p>
            <w:pPr>
              <w:ind w:right="240"/>
              <w:jc w:val="center"/>
              <w:spacing w:before="120" w:after="120" w:line="360" w:lineRule="atLeas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79"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hint="eastAsia" w:ascii="宋体" w:hAnsi="宋体" w:cs="宋体"/>
                <w:color w:val="auto"/>
                <w:szCs w:val="21"/>
                <w:highlight w:val="none"/>
                <w:lang w:eastAsia="zh-CN"/>
              </w:rPr>
              <w:t xml:space="preserve">项目</w:t>
            </w:r>
            <w:r>
              <w:rPr>
                <w:rFonts w:hint="eastAsia" w:ascii="宋体" w:hAnsi="宋体" w:cs="宋体"/>
                <w:color w:val="auto"/>
                <w:szCs w:val="21"/>
                <w:highlight w:val="none"/>
              </w:rPr>
              <w:t xml:space="preserve">名称</w:t>
            </w:r>
            <w:r/>
          </w:p>
        </w:tc>
        <w:tc>
          <w:tcPr>
            <w:tcW w:w="2268" w:type="dxa"/>
            <w:vAlign w:val="center"/>
            <w:textDirection w:val="lrTb"/>
            <w:noWrap w:val="false"/>
          </w:tcPr>
          <w:p>
            <w:pPr>
              <w:jc w:val="center"/>
              <w:spacing w:before="120" w:after="120" w:line="360" w:lineRule="atLeas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检测内容</w:t>
            </w:r>
            <w:r/>
          </w:p>
        </w:tc>
        <w:tc>
          <w:tcPr>
            <w:tcW w:w="709"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1276"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1843"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hint="eastAsia" w:ascii="宋体" w:hAnsi="宋体" w:cs="宋体"/>
                <w:color w:val="auto"/>
                <w:szCs w:val="21"/>
                <w:highlight w:val="none"/>
              </w:rPr>
              <w:t xml:space="preserve">全费用综合单价（元/</w:t>
            </w:r>
            <w:r>
              <w:rPr>
                <w:rFonts w:hint="eastAsia" w:ascii="宋体" w:hAnsi="宋体" w:cs="宋体"/>
                <w:color w:val="auto"/>
                <w:szCs w:val="21"/>
                <w:highlight w:val="none"/>
                <w:lang w:eastAsia="zh-CN"/>
              </w:rPr>
              <w:t xml:space="preserve">座</w:t>
            </w:r>
            <w:r>
              <w:rPr>
                <w:rFonts w:hint="eastAsia" w:ascii="宋体" w:hAnsi="宋体" w:cs="宋体"/>
                <w:color w:val="auto"/>
                <w:szCs w:val="21"/>
                <w:highlight w:val="none"/>
              </w:rPr>
              <w:t xml:space="preserve">）</w:t>
            </w:r>
            <w:r/>
          </w:p>
        </w:tc>
        <w:tc>
          <w:tcPr>
            <w:tcW w:w="1559"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hint="eastAsia" w:ascii="宋体" w:hAnsi="宋体" w:cs="宋体"/>
                <w:color w:val="auto"/>
                <w:szCs w:val="21"/>
                <w:highlight w:val="none"/>
              </w:rPr>
              <w:t xml:space="preserve">合价（元）</w:t>
            </w:r>
            <w:r/>
          </w:p>
        </w:tc>
      </w:tr>
      <w:tr>
        <w:trPr>
          <w:trHeight w:val="915"/>
        </w:trPr>
        <w:tc>
          <w:tcPr>
            <w:tcW w:w="697"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right w:val="single" w:color="auto" w:sz="4" w:space="0"/>
            </w:tcBorders>
            <w:tcW w:w="1679" w:type="dxa"/>
            <w:vAlign w:val="center"/>
            <w:vMerge w:val="restart"/>
            <w:textDirection w:val="lrTb"/>
            <w:noWrap w:val="false"/>
          </w:tcPr>
          <w:p>
            <w:pPr>
              <w:jc w:val="center"/>
              <w:spacing w:before="120" w:after="120" w:line="360" w:lineRule="atLeast"/>
              <w:rPr>
                <w:rFonts w:ascii="宋体" w:hAnsi="宋体" w:cs="宋体"/>
                <w:color w:val="auto"/>
                <w:szCs w:val="21"/>
                <w:highlight w:val="none"/>
              </w:rPr>
            </w:pPr>
            <w:r>
              <w:rPr>
                <w:rFonts w:hint="eastAsia" w:ascii="宋体" w:hAnsi="宋体" w:cs="宋体"/>
                <w:color w:val="auto"/>
                <w:szCs w:val="21"/>
                <w:highlight w:val="none"/>
                <w:lang w:eastAsia="zh-CN"/>
              </w:rPr>
              <w:t xml:space="preserve">2026年度盐城经济技术开发区城市桥涵定期检测服务项目</w:t>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spacing w:before="120" w:after="120" w:line="360" w:lineRule="atLeas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常规定期检测</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before="120" w:after="120" w:line="360" w:lineRule="atLeas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座</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before="120" w:after="120" w:line="360" w:lineRule="atLeast"/>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w:t>
            </w:r>
            <w:r>
              <w:rPr>
                <w:rFonts w:ascii="宋体" w:hAnsi="宋体" w:eastAsia="宋体" w:cs="宋体"/>
                <w:color w:val="auto"/>
                <w:szCs w:val="21"/>
                <w:highlight w:val="none"/>
                <w:lang w:val="en-US" w:eastAsia="zh-CN"/>
              </w:rPr>
              <w:t xml:space="preserve">1</w:t>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ascii="宋体" w:hAnsi="宋体" w:cs="宋体"/>
                <w:color w:val="auto"/>
                <w:szCs w:val="21"/>
                <w:highlight w:val="none"/>
              </w:rPr>
            </w:r>
            <w:r/>
          </w:p>
        </w:tc>
        <w:tc>
          <w:tcPr>
            <w:tcW w:w="1559"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ascii="宋体" w:hAnsi="宋体" w:cs="宋体"/>
                <w:color w:val="auto"/>
                <w:szCs w:val="21"/>
                <w:highlight w:val="none"/>
              </w:rPr>
            </w:r>
            <w:r/>
          </w:p>
        </w:tc>
      </w:tr>
      <w:tr>
        <w:trPr>
          <w:trHeight w:val="1093"/>
        </w:trPr>
        <w:tc>
          <w:tcPr>
            <w:tcW w:w="697" w:type="dxa"/>
            <w:vAlign w:val="center"/>
            <w:textDirection w:val="lrTb"/>
            <w:noWrap w:val="false"/>
          </w:tcPr>
          <w:p>
            <w:pPr>
              <w:jc w:val="center"/>
              <w:spacing w:before="120" w:after="120" w:line="360" w:lineRule="atLeas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right w:val="single" w:color="auto" w:sz="4" w:space="0"/>
            </w:tcBorders>
            <w:tcW w:w="1679"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spacing w:before="120" w:after="120" w:line="360" w:lineRule="atLeas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结构定期检测</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before="120" w:after="120" w:line="360" w:lineRule="atLeas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座</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spacing w:before="120" w:after="120" w:line="360" w:lineRule="atLeast"/>
              <w:rPr>
                <w:rFonts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w:t>
            </w:r>
            <w:r/>
          </w:p>
        </w:tc>
        <w:tc>
          <w:tcPr>
            <w:tcBorders>
              <w:top w:val="single" w:color="auto" w:sz="4" w:space="0"/>
              <w:left w:val="single" w:color="auto" w:sz="4" w:space="0"/>
              <w:right w:val="single" w:color="auto" w:sz="4" w:space="0"/>
            </w:tcBorders>
            <w:tcW w:w="1843"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ascii="宋体" w:hAnsi="宋体" w:cs="宋体"/>
                <w:color w:val="auto"/>
                <w:szCs w:val="21"/>
                <w:highlight w:val="none"/>
              </w:rPr>
            </w:r>
            <w:r/>
          </w:p>
        </w:tc>
        <w:tc>
          <w:tcPr>
            <w:tcW w:w="1559" w:type="dxa"/>
            <w:vAlign w:val="center"/>
            <w:textDirection w:val="lrTb"/>
            <w:noWrap w:val="false"/>
          </w:tcPr>
          <w:p>
            <w:pPr>
              <w:jc w:val="center"/>
              <w:spacing w:before="120" w:after="120" w:line="360" w:lineRule="atLeast"/>
              <w:rPr>
                <w:rFonts w:ascii="宋体" w:hAnsi="宋体" w:cs="宋体"/>
                <w:color w:val="auto"/>
                <w:szCs w:val="21"/>
                <w:highlight w:val="none"/>
              </w:rPr>
            </w:pPr>
            <w:r>
              <w:rPr>
                <w:rFonts w:ascii="宋体" w:hAnsi="宋体" w:cs="宋体"/>
                <w:color w:val="auto"/>
                <w:szCs w:val="21"/>
                <w:highlight w:val="none"/>
              </w:rPr>
            </w:r>
            <w:r/>
          </w:p>
        </w:tc>
      </w:tr>
      <w:tr>
        <w:trPr>
          <w:trHeight w:val="909"/>
        </w:trPr>
        <w:tc>
          <w:tcPr>
            <w:tcW w:w="697" w:type="dxa"/>
            <w:vAlign w:val="center"/>
            <w:textDirection w:val="lrTb"/>
            <w:noWrap w:val="false"/>
          </w:tcPr>
          <w:p>
            <w:pPr>
              <w:ind w:firstLine="210"/>
              <w:spacing w:before="120" w:after="120" w:line="360" w:lineRule="atLeas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right w:val="single" w:color="auto" w:sz="4" w:space="0"/>
            </w:tcBorders>
            <w:tcW w:w="1679" w:type="dxa"/>
            <w:vAlign w:val="center"/>
            <w:vMerge w:val="continue"/>
            <w:textDirection w:val="lrTb"/>
            <w:noWrap w:val="false"/>
          </w:tcPr>
          <w:p>
            <w:pPr>
              <w:rPr>
                <w:color w:val="auto"/>
                <w:highlight w:val="none"/>
              </w:rPr>
            </w:pPr>
            <w:r>
              <w:rPr>
                <w:color w:val="auto"/>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ind w:firstLine="315"/>
              <w:spacing w:before="120" w:after="120" w:line="360" w:lineRule="atLeast"/>
              <w:rPr>
                <w:rFonts w:ascii="宋体" w:hAnsi="宋体" w:cs="宋体"/>
                <w:color w:val="auto"/>
                <w:szCs w:val="21"/>
                <w:highlight w:val="none"/>
                <w:vertAlign w:val="superscript"/>
              </w:rPr>
            </w:pPr>
            <w:r>
              <w:rPr>
                <w:rFonts w:ascii="宋体" w:hAnsi="宋体" w:cs="宋体"/>
                <w:color w:val="auto"/>
                <w:szCs w:val="21"/>
                <w:highlight w:val="none"/>
              </w:rPr>
              <w:t xml:space="preserve">常规＋专项检测</w:t>
            </w:r>
            <w:r/>
          </w:p>
        </w:tc>
        <w:tc>
          <w:tcPr>
            <w:tcBorders>
              <w:top w:val="single" w:color="auto" w:sz="4" w:space="0"/>
              <w:left w:val="single" w:color="auto" w:sz="4" w:space="0"/>
              <w:right w:val="single" w:color="auto" w:sz="4" w:space="0"/>
            </w:tcBorders>
            <w:tcW w:w="709" w:type="dxa"/>
            <w:vAlign w:val="center"/>
            <w:textDirection w:val="lrTb"/>
            <w:noWrap w:val="false"/>
          </w:tcPr>
          <w:p>
            <w:pPr>
              <w:ind w:left="0" w:firstLine="105"/>
              <w:spacing w:before="120" w:after="120" w:line="360" w:lineRule="atLeast"/>
              <w:rPr>
                <w:rFonts w:ascii="宋体" w:hAnsi="宋体" w:cs="宋体"/>
                <w:color w:val="auto"/>
                <w:szCs w:val="21"/>
                <w:highlight w:val="none"/>
              </w:rPr>
            </w:pPr>
            <w:r>
              <w:rPr>
                <w:rFonts w:ascii="宋体" w:hAnsi="宋体" w:cs="宋体"/>
                <w:color w:val="auto"/>
                <w:szCs w:val="21"/>
                <w:highlight w:val="none"/>
              </w:rPr>
              <w:t xml:space="preserve">座</w:t>
            </w:r>
            <w:r/>
          </w:p>
        </w:tc>
        <w:tc>
          <w:tcPr>
            <w:tcBorders>
              <w:top w:val="single" w:color="auto" w:sz="4" w:space="0"/>
              <w:left w:val="single" w:color="auto" w:sz="4" w:space="0"/>
              <w:right w:val="single" w:color="auto" w:sz="4" w:space="0"/>
            </w:tcBorders>
            <w:tcW w:w="1276" w:type="dxa"/>
            <w:vAlign w:val="center"/>
            <w:textDirection w:val="lrTb"/>
            <w:noWrap w:val="false"/>
          </w:tcPr>
          <w:p>
            <w:pPr>
              <w:ind w:firstLine="525"/>
              <w:spacing w:before="120" w:after="120" w:line="360" w:lineRule="atLeast"/>
              <w:rPr>
                <w:rFonts w:ascii="宋体" w:hAnsi="宋体" w:cs="宋体"/>
                <w:color w:val="auto"/>
                <w:szCs w:val="21"/>
                <w:highlight w:val="none"/>
              </w:rPr>
            </w:pPr>
            <w:r>
              <w:rPr>
                <w:rFonts w:ascii="宋体" w:hAnsi="宋体" w:cs="宋体"/>
                <w:color w:val="auto"/>
                <w:szCs w:val="21"/>
                <w:highlight w:val="none"/>
              </w:rPr>
              <w:t xml:space="preserve">1</w:t>
            </w:r>
            <w:r/>
          </w:p>
        </w:tc>
        <w:tc>
          <w:tcPr>
            <w:tcBorders>
              <w:top w:val="single" w:color="auto" w:sz="4" w:space="0"/>
              <w:left w:val="single" w:color="auto" w:sz="4" w:space="0"/>
              <w:right w:val="single" w:color="auto" w:sz="4" w:space="0"/>
            </w:tcBorders>
            <w:tcW w:w="1843" w:type="dxa"/>
            <w:vAlign w:val="center"/>
            <w:textDirection w:val="lrTb"/>
            <w:noWrap w:val="false"/>
          </w:tcPr>
          <w:p>
            <w:pPr>
              <w:ind w:firstLine="315"/>
              <w:spacing w:before="120" w:after="120" w:line="360" w:lineRule="atLeast"/>
              <w:rPr>
                <w:rFonts w:ascii="宋体" w:hAnsi="宋体" w:cs="宋体"/>
                <w:color w:val="auto"/>
                <w:szCs w:val="21"/>
                <w:highlight w:val="none"/>
              </w:rPr>
            </w:pPr>
            <w:r>
              <w:rPr>
                <w:rFonts w:ascii="宋体" w:hAnsi="宋体" w:cs="宋体"/>
                <w:color w:val="auto"/>
                <w:szCs w:val="21"/>
                <w:highlight w:val="none"/>
              </w:rPr>
            </w:r>
            <w:r/>
          </w:p>
        </w:tc>
        <w:tc>
          <w:tcPr>
            <w:tcW w:w="1559" w:type="dxa"/>
            <w:vAlign w:val="center"/>
            <w:textDirection w:val="lrTb"/>
            <w:noWrap w:val="false"/>
          </w:tcPr>
          <w:p>
            <w:pPr>
              <w:ind w:firstLine="315"/>
              <w:spacing w:before="120" w:after="120" w:line="360" w:lineRule="atLeast"/>
              <w:rPr>
                <w:rFonts w:ascii="宋体" w:hAnsi="宋体" w:cs="宋体"/>
                <w:color w:val="auto"/>
                <w:szCs w:val="21"/>
                <w:highlight w:val="none"/>
              </w:rPr>
            </w:pPr>
            <w:r>
              <w:rPr>
                <w:rFonts w:ascii="宋体" w:hAnsi="宋体" w:cs="宋体"/>
                <w:color w:val="auto"/>
                <w:szCs w:val="21"/>
                <w:highlight w:val="none"/>
              </w:rPr>
            </w:r>
            <w:r/>
          </w:p>
        </w:tc>
      </w:tr>
      <w:tr>
        <w:trPr>
          <w:trHeight w:val="920"/>
        </w:trPr>
        <w:tc>
          <w:tcPr>
            <w:gridSpan w:val="7"/>
            <w:tcW w:w="10029" w:type="dxa"/>
            <w:vAlign w:val="center"/>
            <w:textDirection w:val="lrTb"/>
            <w:noWrap w:val="false"/>
          </w:tcPr>
          <w:p>
            <w:pPr>
              <w:ind w:firstLine="315"/>
              <w:spacing w:before="120" w:after="120" w:line="360" w:lineRule="atLeast"/>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合计</w:t>
            </w:r>
            <w:r>
              <w:rPr>
                <w:rFonts w:hint="eastAsia" w:ascii="宋体" w:hAnsi="宋体" w:cs="宋体"/>
                <w:color w:val="auto"/>
                <w:szCs w:val="21"/>
                <w:highlight w:val="none"/>
                <w:lang w:eastAsia="zh-CN"/>
              </w:rPr>
              <w:t xml:space="preserve">：大写</w:t>
            </w:r>
            <w:r>
              <w:rPr>
                <w:rFonts w:hint="eastAsia" w:ascii="宋体" w:hAnsi="宋体" w:cs="宋体"/>
                <w:color w:val="auto"/>
                <w:szCs w:val="21"/>
                <w:highlight w:val="none"/>
                <w:lang w:val="en-US" w:eastAsia="zh-CN"/>
              </w:rPr>
              <w:t xml:space="preserve">                         小写</w:t>
            </w:r>
            <w:r/>
          </w:p>
        </w:tc>
      </w:tr>
    </w:tbl>
    <w:p>
      <w:pPr>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120"/>
        <w:spacing w:line="800" w:lineRule="exact"/>
        <w:rPr>
          <w:rFonts w:hint="eastAsia" w:ascii="宋体" w:hAnsi="宋体"/>
          <w:b/>
          <w:color w:val="auto"/>
          <w:sz w:val="24"/>
          <w:szCs w:val="24"/>
          <w:highlight w:val="none"/>
          <w:u w:val="single"/>
          <w:lang w:val="en-US" w:eastAsia="zh-CN"/>
        </w:rPr>
      </w:pPr>
      <w:r>
        <w:rPr>
          <w:rFonts w:hint="eastAsia" w:ascii="宋体" w:hAnsi="宋体"/>
          <w:b/>
          <w:color w:val="auto"/>
          <w:sz w:val="24"/>
          <w:szCs w:val="24"/>
          <w:highlight w:val="none"/>
        </w:rPr>
        <w:t xml:space="preserve">法定代表人或授权代表签字：</w:t>
      </w:r>
      <w:r>
        <w:rPr>
          <w:rFonts w:hint="eastAsia" w:ascii="宋体" w:hAnsi="宋体"/>
          <w:b/>
          <w:color w:val="auto"/>
          <w:sz w:val="24"/>
          <w:szCs w:val="24"/>
          <w:highlight w:val="none"/>
          <w:u w:val="single"/>
          <w:lang w:val="en-US" w:eastAsia="zh-CN"/>
        </w:rPr>
        <w:t xml:space="preserve">              </w:t>
      </w:r>
      <w:r/>
    </w:p>
    <w:p>
      <w:pPr>
        <w:ind w:firstLine="120"/>
        <w:jc w:val="right"/>
        <w:spacing w:line="800" w:lineRule="exact"/>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firstLine="120"/>
        <w:jc w:val="right"/>
        <w:spacing w:line="800" w:lineRule="exact"/>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firstLine="120"/>
        <w:jc w:val="right"/>
        <w:spacing w:line="800" w:lineRule="exact"/>
        <w:rPr>
          <w:rFonts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年   月    日</w:t>
      </w:r>
      <w:r/>
    </w:p>
    <w:p>
      <w:pPr>
        <w:jc w:val="center"/>
        <w:spacing w:line="360" w:lineRule="auto"/>
        <w:rPr>
          <w:rFonts w:ascii="Times New Roman" w:hAnsi="Times New Roman" w:cs="Times New Roman"/>
          <w:b/>
          <w:color w:val="auto"/>
          <w:sz w:val="32"/>
          <w:szCs w:val="32"/>
          <w:highlight w:val="none"/>
        </w:rPr>
        <w:outlineLvl w:val="0"/>
      </w:pPr>
      <w:r>
        <w:rPr>
          <w:rFonts w:ascii="Times New Roman" w:hAnsi="Times New Roman" w:cs="Times New Roman"/>
          <w:b/>
          <w:color w:val="auto"/>
          <w:sz w:val="32"/>
          <w:szCs w:val="32"/>
          <w:highlight w:val="none"/>
        </w:rPr>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w:t>
      </w:r>
      <w:r/>
    </w:p>
    <w:tbl>
      <w:tblPr>
        <w:tblStyle w:val="643"/>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bl>
    <w:p>
      <w:pPr>
        <w:pStyle w:val="65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bookmarkStart w:id="224" w:name="_GoBack"/>
      <w:r/>
      <w:bookmarkEnd w:id="224"/>
      <w:r/>
      <w:r/>
    </w:p>
    <w:p>
      <w:pPr>
        <w:pStyle w:val="651"/>
        <w:jc w:val="both"/>
        <w:spacing w:beforeAutospacing="0" w:afterAutospacing="0"/>
        <w:rPr>
          <w:color w:val="auto"/>
          <w:highlight w:val="none"/>
        </w:rPr>
      </w:pPr>
      <w:r>
        <w:rPr>
          <w:color w:val="auto"/>
          <w:highlight w:val="none"/>
        </w:rPr>
        <w:t xml:space="preserve"> </w:t>
      </w:r>
      <w:r/>
    </w:p>
    <w:p>
      <w:pPr>
        <w:pStyle w:val="651"/>
        <w:jc w:val="center"/>
        <w:spacing w:beforeAutospacing="0" w:afterAutospacing="0"/>
        <w:rPr>
          <w:color w:val="auto"/>
          <w:highlight w:val="none"/>
        </w:rPr>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p>
    <w:p>
      <w:pPr>
        <w:pStyle w:val="651"/>
        <w:jc w:val="center"/>
        <w:spacing w:beforeAutospacing="0" w:afterAutospacing="0"/>
        <w:rPr>
          <w:rFonts w:hint="eastAsia" w:ascii="黑体" w:hAnsi="宋体" w:eastAsia="黑体" w:cs="黑体"/>
          <w:b/>
          <w:bCs/>
          <w:color w:val="auto"/>
          <w:sz w:val="32"/>
          <w:szCs w:val="32"/>
          <w:highlight w:val="none"/>
        </w:rPr>
      </w:pPr>
      <w:r/>
      <w:bookmarkStart w:id="210" w:name="_Hlt26955054"/>
      <w:r>
        <w:rPr>
          <w:rFonts w:hint="eastAsia" w:ascii="黑体" w:hAnsi="宋体" w:eastAsia="黑体" w:cs="黑体"/>
          <w:b/>
          <w:color w:val="auto"/>
          <w:sz w:val="32"/>
          <w:szCs w:val="32"/>
          <w:highlight w:val="none"/>
        </w:rPr>
        <w:t xml:space="preserve">十四、商务要求响应及偏离表</w:t>
      </w:r>
      <w:r/>
    </w:p>
    <w:tbl>
      <w:tblPr>
        <w:tblStyle w:val="643"/>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bookmarkStart w:id="211" w:name="_Hlt26671372"/>
            <w:r/>
            <w:bookmarkStart w:id="212" w:name="_Hlt26782999"/>
            <w:r/>
            <w:bookmarkStart w:id="213" w:name="_Hlt26955056"/>
            <w:r/>
            <w:bookmarkStart w:id="214" w:name="_Hlt24879081"/>
            <w:r/>
            <w:bookmarkStart w:id="215" w:name="_Hlt26671343"/>
            <w:r/>
            <w:bookmarkStart w:id="216" w:name="_Hlt26609391"/>
            <w:r/>
            <w:bookmarkStart w:id="217" w:name="_Hlt26955064"/>
            <w:r/>
            <w:bookmarkStart w:id="218" w:name="_Hlt26580838"/>
            <w:r>
              <w:rPr>
                <w:rFonts w:hint="eastAsia" w:ascii="宋体" w:hAnsi="宋体" w:eastAsia="宋体" w:cs="宋体"/>
                <w:color w:val="auto"/>
                <w:highlight w:val="none"/>
              </w:rPr>
              <w:t xml:space="preserve">序号</w:t>
            </w:r>
            <w:bookmarkEnd w:id="211"/>
            <w:bookmarkEnd w:id="212"/>
            <w:bookmarkEnd w:id="213"/>
            <w:bookmarkEnd w:id="214"/>
            <w:bookmarkEnd w:id="215"/>
            <w:bookmarkEnd w:id="216"/>
            <w:bookmarkEnd w:id="217"/>
            <w:bookmarkEnd w:id="218"/>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1"/>
              <w:jc w:val="center"/>
              <w:spacing w:beforeAutospacing="0" w:afterAutospacing="0"/>
              <w:rPr>
                <w:color w:val="auto"/>
                <w:highlight w:val="none"/>
              </w:rPr>
            </w:pPr>
            <w:r>
              <w:rPr>
                <w:color w:val="auto"/>
                <w:highlight w:val="none"/>
              </w:rPr>
              <w:t xml:space="preserve"> </w:t>
            </w:r>
            <w:r/>
          </w:p>
        </w:tc>
      </w:tr>
    </w:tbl>
    <w:p>
      <w:pPr>
        <w:pStyle w:val="65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51"/>
        <w:jc w:val="both"/>
        <w:spacing w:beforeAutospacing="0" w:afterAutospacing="0" w:line="480" w:lineRule="auto"/>
        <w:rPr>
          <w:color w:val="auto"/>
          <w:highlight w:val="none"/>
        </w:rPr>
      </w:pPr>
      <w:r>
        <w:rPr>
          <w:color w:val="auto"/>
          <w:highlight w:val="none"/>
        </w:rPr>
        <w:t xml:space="preserve"> </w:t>
      </w:r>
      <w:r/>
    </w:p>
    <w:p>
      <w:pPr>
        <w:pStyle w:val="651"/>
        <w:jc w:val="both"/>
        <w:spacing w:beforeAutospacing="0" w:afterAutospacing="0" w:line="480" w:lineRule="auto"/>
        <w:rPr>
          <w:color w:val="auto"/>
          <w:highlight w:val="none"/>
        </w:rPr>
      </w:pPr>
      <w:r>
        <w:rPr>
          <w:color w:val="auto"/>
          <w:highlight w:val="none"/>
        </w:rPr>
        <w:t xml:space="preserve"> </w:t>
      </w:r>
      <w:r/>
    </w:p>
    <w:p>
      <w:pPr>
        <w:pStyle w:val="651"/>
        <w:jc w:val="center"/>
        <w:spacing w:beforeAutospacing="0" w:afterAutospacing="0"/>
        <w:rPr>
          <w:color w:val="auto"/>
          <w:highlight w:val="none"/>
        </w:rPr>
      </w:pPr>
      <w:r/>
      <w:bookmarkStart w:id="219" w:name="_Hlt26609389"/>
      <w:r/>
      <w:bookmarkStart w:id="220" w:name="_Hlt26955066"/>
      <w:r/>
      <w:bookmarkStart w:id="221" w:name="_Hlt26671374"/>
      <w:r/>
      <w:bookmarkStart w:id="222" w:name="_Toc462564146"/>
      <w:r/>
      <w:bookmarkStart w:id="223" w:name="_格式2__法定代表人授权书"/>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t xml:space="preserve"> </w:t>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both"/>
        <w:spacing w:beforeAutospacing="0" w:afterAutospacing="0"/>
        <w:rPr>
          <w:color w:val="auto"/>
          <w:highlight w:val="none"/>
        </w:rPr>
      </w:pPr>
      <w:r>
        <w:rPr>
          <w:color w:val="auto"/>
          <w:highlight w:val="none"/>
        </w:rPr>
      </w:r>
      <w:r/>
    </w:p>
    <w:p>
      <w:pPr>
        <w:pStyle w:val="651"/>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r>
      <w:r>
        <w:rPr>
          <w:rFonts w:hint="eastAsia" w:ascii="黑体" w:hAnsi="宋体" w:eastAsia="黑体" w:cs="黑体"/>
          <w:b/>
          <w:i/>
          <w:color w:val="auto"/>
          <w:sz w:val="32"/>
          <w:szCs w:val="32"/>
          <w:highlight w:val="none"/>
          <w:u w:val="single"/>
        </w:rPr>
      </w:r>
    </w:p>
    <w:p>
      <w:pPr>
        <w:pStyle w:val="651"/>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r>
      <w:r>
        <w:rPr>
          <w:rFonts w:hint="eastAsia" w:ascii="黑体" w:hAnsi="宋体" w:eastAsia="黑体" w:cs="黑体"/>
          <w:b/>
          <w:i/>
          <w:color w:val="auto"/>
          <w:sz w:val="32"/>
          <w:szCs w:val="32"/>
          <w:highlight w:val="none"/>
          <w:u w:val="single"/>
        </w:rPr>
      </w:r>
    </w:p>
    <w:p>
      <w:pPr>
        <w:pStyle w:val="651"/>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t xml:space="preserve">十五、开标一览表</w:t>
      </w:r>
      <w:r/>
    </w:p>
    <w:p>
      <w:pPr>
        <w:pStyle w:val="65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5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43"/>
        <w:tblW w:w="8206" w:type="dxa"/>
        <w:tblCellSpacing w:w="0" w:type="dxa"/>
        <w:tblInd w:w="1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1"/>
        <w:jc w:val="both"/>
        <w:spacing w:beforeAutospacing="0" w:afterAutospacing="0"/>
        <w:rPr>
          <w:color w:val="auto"/>
          <w:highlight w:val="none"/>
        </w:rPr>
      </w:pPr>
      <w:r>
        <w:rPr>
          <w:color w:val="auto"/>
          <w:highlight w:val="none"/>
        </w:rPr>
        <w:t xml:space="preserve"> </w:t>
      </w:r>
      <w:r/>
    </w:p>
    <w:p>
      <w:pPr>
        <w:pStyle w:val="65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1"/>
        <w:ind w:firstLine="480"/>
        <w:jc w:val="both"/>
        <w:spacing w:beforeAutospacing="0" w:afterAutospacing="0"/>
        <w:rPr>
          <w:color w:val="auto"/>
          <w:highlight w:val="none"/>
        </w:rPr>
      </w:pPr>
      <w:r>
        <w:rPr>
          <w:color w:val="auto"/>
          <w:highlight w:val="none"/>
        </w:rPr>
        <w:t xml:space="preserve"> </w:t>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1"/>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56"/>
        <w:rPr>
          <w:color w:val="auto"/>
          <w:highlight w:val="none"/>
        </w:rPr>
      </w:pPr>
      <w:r>
        <w:rPr>
          <w:color w:val="auto"/>
          <w:highlight w:val="none"/>
        </w:rPr>
      </w:r>
      <w:r/>
    </w:p>
    <w:p>
      <w:pPr>
        <w:pStyle w:val="656"/>
        <w:rPr>
          <w:color w:val="auto"/>
          <w:highlight w:val="none"/>
        </w:rPr>
      </w:pPr>
      <w:r>
        <w:rPr>
          <w:color w:val="auto"/>
          <w:highlight w:val="none"/>
        </w:rPr>
      </w:r>
      <w:r/>
    </w:p>
    <w:p>
      <w:pPr>
        <w:pStyle w:val="656"/>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50" w:after="50"/>
        <w:widowControl/>
        <w:rPr>
          <w:rFonts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jc w:val="left"/>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十六、技术方案、服务承诺、培训承诺等</w:t>
      </w:r>
      <w:r/>
    </w:p>
    <w:p>
      <w:pPr>
        <w:pStyle w:val="651"/>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51"/>
        <w:jc w:val="center"/>
        <w:spacing w:before="100" w:beforeAutospacing="0" w:after="100" w:afterAutospacing="0"/>
        <w:widowControl/>
        <w:rPr>
          <w:color w:val="auto"/>
          <w:highlight w:val="none"/>
        </w:rPr>
      </w:pPr>
      <w:r>
        <w:rPr>
          <w:rFonts w:hint="eastAsia" w:ascii="宋体" w:hAnsi="宋体" w:eastAsia="宋体" w:cs="宋体"/>
          <w:b/>
          <w:color w:val="auto"/>
          <w:sz w:val="32"/>
          <w:szCs w:val="32"/>
          <w:highlight w:val="none"/>
          <w:lang w:eastAsia="zh-CN"/>
        </w:rPr>
        <w:t xml:space="preserve">十七</w:t>
      </w:r>
      <w:r>
        <w:rPr>
          <w:rFonts w:hint="eastAsia" w:ascii="宋体" w:hAnsi="宋体" w:eastAsia="宋体" w:cs="宋体"/>
          <w:b/>
          <w:color w:val="auto"/>
          <w:sz w:val="32"/>
          <w:szCs w:val="32"/>
          <w:highlight w:val="none"/>
        </w:rPr>
        <w:t xml:space="preserve">、盐城经济技术开发区政府采购事前信用承诺书 </w:t>
      </w:r>
      <w:r/>
    </w:p>
    <w:p>
      <w:pPr>
        <w:pStyle w:val="651"/>
        <w:ind w:firstLine="480"/>
        <w:spacing w:beforeAutospacing="0" w:afterAutospacing="0" w:line="499"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为营造盐城经济技术开发区公开、公平、公正、诚实守信的政府采购交易环境，树立诚信守法的供应商形象，本人代表本单位作出以下承诺：</w:t>
      </w:r>
      <w:r/>
    </w:p>
    <w:p>
      <w:pPr>
        <w:pStyle w:val="651"/>
        <w:ind w:firstLine="480"/>
        <w:spacing w:beforeAutospacing="0" w:afterAutospacing="0" w:line="499"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651"/>
        <w:ind w:firstLine="480"/>
        <w:spacing w:beforeAutospacing="0" w:afterAutospacing="0" w:line="499"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51"/>
        <w:ind w:firstLine="480"/>
        <w:spacing w:beforeAutospacing="0" w:afterAutospacing="0" w:line="499"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（三）严格依照国家和省、市关于政府采购的法律、法规、规章、规范性文件，参加政府采购投标活动；积极履行社会责任，促进廉政建设； </w:t>
      </w:r>
      <w:r/>
    </w:p>
    <w:p>
      <w:pPr>
        <w:pStyle w:val="651"/>
        <w:ind w:firstLine="480"/>
        <w:spacing w:beforeAutospacing="0" w:afterAutospacing="0" w:line="499"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四）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651"/>
        <w:ind w:firstLine="480"/>
        <w:spacing w:beforeAutospacing="0" w:afterAutospacing="0" w:line="499"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（五）自觉接受政府、行业组织、社会公众、新闻舆论的监督；</w:t>
      </w:r>
      <w:r/>
    </w:p>
    <w:p>
      <w:pPr>
        <w:pStyle w:val="651"/>
        <w:ind w:firstLine="480"/>
        <w:spacing w:beforeAutospacing="0" w:afterAutospacing="0" w:line="499"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51"/>
        <w:ind w:firstLine="480"/>
        <w:spacing w:beforeAutospacing="0" w:afterAutospacing="0" w:line="499"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（七）本人已认真阅读了上述承诺，并向本单位员工作了宣传教育。</w:t>
      </w:r>
      <w:r/>
    </w:p>
    <w:p>
      <w:pPr>
        <w:pStyle w:val="651"/>
        <w:spacing w:beforeAutospacing="0" w:afterAutospacing="0" w:line="499" w:lineRule="atLeast"/>
        <w:widowControl/>
        <w:rPr>
          <w:color w:val="auto"/>
          <w:highlight w:val="none"/>
        </w:rPr>
      </w:pPr>
      <w:r>
        <w:rPr>
          <w:color w:val="auto"/>
          <w:highlight w:val="none"/>
        </w:rPr>
      </w:r>
      <w:r/>
    </w:p>
    <w:p>
      <w:pPr>
        <w:pStyle w:val="651"/>
        <w:ind w:firstLine="240"/>
        <w:spacing w:beforeAutospacing="0" w:afterAutospacing="0" w:line="360" w:lineRule="auto"/>
        <w:widowControl/>
        <w:rPr>
          <w:color w:val="auto"/>
          <w:highlight w:val="none"/>
        </w:rPr>
      </w:pPr>
      <w:r>
        <w:rPr>
          <w:color w:val="auto"/>
          <w:highlight w:val="none"/>
        </w:rPr>
        <w:t xml:space="preserve"> </w:t>
      </w:r>
      <w:r/>
    </w:p>
    <w:p>
      <w:pPr>
        <w:pStyle w:val="651"/>
        <w:ind w:firstLine="200"/>
        <w:jc w:val="both"/>
        <w:spacing w:beforeAutospacing="0" w:afterAutospacing="0"/>
        <w:rPr>
          <w:color w:val="auto"/>
          <w:highlight w:val="none"/>
        </w:rPr>
      </w:pPr>
      <w:r>
        <w:rPr>
          <w:color w:val="auto"/>
          <w:highlight w:val="none"/>
        </w:rPr>
        <w:t xml:space="preserve"> </w:t>
      </w:r>
      <w:r/>
    </w:p>
    <w:p>
      <w:pPr>
        <w:pStyle w:val="651"/>
        <w:spacing w:beforeAutospacing="0" w:afterAutospacing="0" w:line="360" w:lineRule="auto"/>
        <w:widowControl/>
        <w:rPr>
          <w:color w:val="auto"/>
          <w:highlight w:val="none"/>
        </w:rPr>
      </w:pPr>
      <w:r>
        <w:rPr>
          <w:rFonts w:hint="eastAsia" w:ascii="宋体" w:hAnsi="宋体" w:eastAsia="宋体" w:cs="宋体"/>
          <w:color w:val="auto"/>
          <w:highlight w:val="none"/>
        </w:rPr>
        <w:t xml:space="preserve">                       法定代表人签名：</w:t>
      </w:r>
      <w:r/>
    </w:p>
    <w:p>
      <w:pPr>
        <w:pStyle w:val="651"/>
        <w:jc w:val="center"/>
        <w:spacing w:beforeAutospacing="0" w:afterAutospacing="0" w:line="360" w:lineRule="auto"/>
        <w:widowControl/>
        <w:rPr>
          <w:color w:val="auto"/>
          <w:highlight w:val="none"/>
        </w:rPr>
      </w:pPr>
      <w:r>
        <w:rPr>
          <w:rFonts w:hint="eastAsia" w:ascii="宋体" w:hAnsi="宋体" w:eastAsia="宋体" w:cs="宋体"/>
          <w:color w:val="auto"/>
          <w:highlight w:val="none"/>
        </w:rPr>
        <w:t xml:space="preserve">                   单位名称（盖章）：</w:t>
      </w:r>
      <w:r/>
    </w:p>
    <w:p>
      <w:pPr>
        <w:pStyle w:val="651"/>
        <w:jc w:val="center"/>
        <w:spacing w:beforeAutospacing="0" w:afterAutospacing="0" w:line="360" w:lineRule="auto"/>
        <w:widowControl/>
        <w:rPr>
          <w:color w:val="auto"/>
          <w:highlight w:val="none"/>
        </w:rPr>
      </w:pPr>
      <w:r>
        <w:rPr>
          <w:rFonts w:hint="eastAsia" w:ascii="宋体" w:hAnsi="宋体" w:eastAsia="宋体" w:cs="宋体"/>
          <w:color w:val="auto"/>
          <w:highlight w:val="none"/>
        </w:rPr>
        <w:t xml:space="preserve">                      年 月 日</w:t>
      </w:r>
      <w:r/>
    </w:p>
    <w:p>
      <w:pPr>
        <w:pStyle w:val="651"/>
        <w:jc w:val="center"/>
        <w:spacing w:beforeAutospacing="0" w:afterAutospacing="0"/>
        <w:rPr>
          <w:color w:val="auto"/>
          <w:highlight w:val="none"/>
        </w:rPr>
      </w:pPr>
      <w:r>
        <w:rPr>
          <w:color w:val="auto"/>
          <w:highlight w:val="none"/>
        </w:rPr>
      </w:r>
      <w:bookmarkEnd w:id="33"/>
      <w:bookmarkEnd w:id="50"/>
      <w:bookmarkEnd w:id="95"/>
      <w:bookmarkEnd w:id="96"/>
      <w:bookmarkEnd w:id="97"/>
      <w:bookmarkEnd w:id="100"/>
      <w:bookmarkEnd w:id="101"/>
      <w:bookmarkEnd w:id="102"/>
      <w:bookmarkEnd w:id="103"/>
      <w:bookmarkEnd w:id="104"/>
      <w:bookmarkEnd w:id="105"/>
      <w:bookmarkEnd w:id="106"/>
      <w:bookmarkEnd w:id="107"/>
      <w:bookmarkEnd w:id="108"/>
      <w:bookmarkEnd w:id="109"/>
      <w:bookmarkEnd w:id="110"/>
      <w:bookmarkEnd w:id="111"/>
      <w:bookmarkEnd w:id="112"/>
      <w:bookmarkEnd w:id="117"/>
      <w:bookmarkEnd w:id="118"/>
      <w:bookmarkEnd w:id="119"/>
      <w:bookmarkEnd w:id="124"/>
      <w:bookmarkEnd w:id="125"/>
      <w:bookmarkEnd w:id="132"/>
      <w:bookmarkEnd w:id="180"/>
      <w:bookmarkEnd w:id="185"/>
      <w:bookmarkEnd w:id="204"/>
      <w:bookmarkEnd w:id="205"/>
      <w:bookmarkEnd w:id="207"/>
      <w:bookmarkEnd w:id="208"/>
      <w:bookmarkEnd w:id="209"/>
      <w:bookmarkEnd w:id="210"/>
      <w:bookmarkEnd w:id="219"/>
      <w:bookmarkEnd w:id="220"/>
      <w:bookmarkEnd w:id="221"/>
      <w:bookmarkEnd w:id="222"/>
      <w:bookmarkEnd w:id="223"/>
      <w:r/>
    </w:p>
    <w:p>
      <w:pPr>
        <w:rPr>
          <w:color w:val="auto"/>
          <w:highlight w:val="none"/>
        </w:rPr>
      </w:pPr>
      <w:r>
        <w:rPr>
          <w:color w:val="auto"/>
          <w:highlight w:val="none"/>
        </w:rPr>
      </w:r>
      <w:r/>
    </w:p>
    <w:p>
      <w:pPr>
        <w:pStyle w:val="651"/>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1"/>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1"/>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等线">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15900" cy="139560"/>
                      </a:xfrm>
                      <a:prstGeom prst="rect">
                        <a:avLst/>
                      </a:prstGeom>
                      <a:noFill/>
                      <a:ln w="6350" cap="flat" cmpd="sng">
                        <a:noFill/>
                        <a:prstDash val="solid"/>
                        <a:round/>
                      </a:ln>
                    </wps:spPr>
                    <wps:txbx>
                      <w:txbxContent>
                        <w:p>
                          <w:pPr>
                            <w:pStyle w:val="647"/>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9.2pt;height:11.0pt;mso-wrap-distance-left:8.9pt;mso-wrap-distance-top:0.0pt;mso-wrap-distance-right:8.9pt;mso-wrap-distance-bottom:0.0pt;v-text-anchor:top;visibility:visible;" filled="f" stroked="f" strokeweight="0.50pt">
              <v:stroke dashstyle="solid"/>
              <v:textbox inset="0,0,0,0">
                <w:txbxContent>
                  <w:p>
                    <w:pPr>
                      <w:pStyle w:val="64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6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9"/>
    <w:uiPriority w:val="9"/>
    <w:rPr>
      <w:rFonts w:ascii="Arial" w:hAnsi="Arial" w:eastAsia="Arial" w:cs="Arial"/>
      <w:sz w:val="40"/>
      <w:szCs w:val="40"/>
    </w:rPr>
  </w:style>
  <w:style w:type="character" w:styleId="15">
    <w:name w:val="Heading 2 Char"/>
    <w:basedOn w:val="642"/>
    <w:link w:val="640"/>
    <w:uiPriority w:val="9"/>
    <w:rPr>
      <w:rFonts w:ascii="Arial" w:hAnsi="Arial" w:eastAsia="Arial" w:cs="Arial"/>
      <w:sz w:val="34"/>
    </w:rPr>
  </w:style>
  <w:style w:type="character" w:styleId="17">
    <w:name w:val="Heading 3 Char"/>
    <w:basedOn w:val="642"/>
    <w:link w:val="641"/>
    <w:uiPriority w:val="9"/>
    <w:rPr>
      <w:rFonts w:ascii="Arial" w:hAnsi="Arial" w:eastAsia="Arial" w:cs="Arial"/>
      <w:sz w:val="30"/>
      <w:szCs w:val="30"/>
    </w:rPr>
  </w:style>
  <w:style w:type="paragraph" w:styleId="18">
    <w:name w:val="Heading 4"/>
    <w:basedOn w:val="638"/>
    <w:next w:val="6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2"/>
    <w:link w:val="18"/>
    <w:uiPriority w:val="9"/>
    <w:rPr>
      <w:rFonts w:ascii="Arial" w:hAnsi="Arial" w:eastAsia="Arial" w:cs="Arial"/>
      <w:b/>
      <w:bCs/>
      <w:sz w:val="26"/>
      <w:szCs w:val="26"/>
    </w:rPr>
  </w:style>
  <w:style w:type="paragraph" w:styleId="20">
    <w:name w:val="Heading 5"/>
    <w:basedOn w:val="638"/>
    <w:next w:val="6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2"/>
    <w:link w:val="20"/>
    <w:uiPriority w:val="9"/>
    <w:rPr>
      <w:rFonts w:ascii="Arial" w:hAnsi="Arial" w:eastAsia="Arial" w:cs="Arial"/>
      <w:b/>
      <w:bCs/>
      <w:sz w:val="24"/>
      <w:szCs w:val="24"/>
    </w:rPr>
  </w:style>
  <w:style w:type="paragraph" w:styleId="22">
    <w:name w:val="Heading 6"/>
    <w:basedOn w:val="638"/>
    <w:next w:val="6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2"/>
    <w:link w:val="22"/>
    <w:uiPriority w:val="9"/>
    <w:rPr>
      <w:rFonts w:ascii="Arial" w:hAnsi="Arial" w:eastAsia="Arial" w:cs="Arial"/>
      <w:b/>
      <w:bCs/>
      <w:sz w:val="22"/>
      <w:szCs w:val="22"/>
    </w:rPr>
  </w:style>
  <w:style w:type="paragraph" w:styleId="24">
    <w:name w:val="Heading 7"/>
    <w:basedOn w:val="638"/>
    <w:next w:val="6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2"/>
    <w:link w:val="24"/>
    <w:uiPriority w:val="9"/>
    <w:rPr>
      <w:rFonts w:ascii="Arial" w:hAnsi="Arial" w:eastAsia="Arial" w:cs="Arial"/>
      <w:b/>
      <w:bCs/>
      <w:i/>
      <w:iCs/>
      <w:sz w:val="22"/>
      <w:szCs w:val="22"/>
    </w:rPr>
  </w:style>
  <w:style w:type="paragraph" w:styleId="26">
    <w:name w:val="Heading 8"/>
    <w:basedOn w:val="638"/>
    <w:next w:val="6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2"/>
    <w:link w:val="26"/>
    <w:uiPriority w:val="9"/>
    <w:rPr>
      <w:rFonts w:ascii="Arial" w:hAnsi="Arial" w:eastAsia="Arial" w:cs="Arial"/>
      <w:i/>
      <w:iCs/>
      <w:sz w:val="22"/>
      <w:szCs w:val="22"/>
    </w:rPr>
  </w:style>
  <w:style w:type="paragraph" w:styleId="28">
    <w:name w:val="Heading 9"/>
    <w:basedOn w:val="638"/>
    <w:next w:val="6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2"/>
    <w:link w:val="28"/>
    <w:uiPriority w:val="9"/>
    <w:rPr>
      <w:rFonts w:ascii="Arial" w:hAnsi="Arial" w:eastAsia="Arial" w:cs="Arial"/>
      <w:i/>
      <w:iCs/>
      <w:sz w:val="21"/>
      <w:szCs w:val="21"/>
    </w:rPr>
  </w:style>
  <w:style w:type="paragraph" w:styleId="30">
    <w:name w:val="List Paragraph"/>
    <w:basedOn w:val="6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8"/>
    <w:next w:val="638"/>
    <w:link w:val="34"/>
    <w:uiPriority w:val="10"/>
    <w:qFormat/>
    <w:pPr>
      <w:contextualSpacing/>
      <w:spacing w:before="300" w:after="200"/>
    </w:pPr>
    <w:rPr>
      <w:sz w:val="48"/>
      <w:szCs w:val="48"/>
    </w:rPr>
  </w:style>
  <w:style w:type="character" w:styleId="34">
    <w:name w:val="Title Char"/>
    <w:basedOn w:val="642"/>
    <w:link w:val="33"/>
    <w:uiPriority w:val="10"/>
    <w:rPr>
      <w:sz w:val="48"/>
      <w:szCs w:val="48"/>
    </w:rPr>
  </w:style>
  <w:style w:type="paragraph" w:styleId="35">
    <w:name w:val="Subtitle"/>
    <w:basedOn w:val="638"/>
    <w:next w:val="638"/>
    <w:link w:val="36"/>
    <w:uiPriority w:val="11"/>
    <w:qFormat/>
    <w:pPr>
      <w:spacing w:before="200" w:after="200"/>
    </w:pPr>
    <w:rPr>
      <w:sz w:val="24"/>
      <w:szCs w:val="24"/>
    </w:rPr>
  </w:style>
  <w:style w:type="character" w:styleId="36">
    <w:name w:val="Subtitle Char"/>
    <w:basedOn w:val="642"/>
    <w:link w:val="35"/>
    <w:uiPriority w:val="11"/>
    <w:rPr>
      <w:sz w:val="24"/>
      <w:szCs w:val="24"/>
    </w:rPr>
  </w:style>
  <w:style w:type="paragraph" w:styleId="37">
    <w:name w:val="Quote"/>
    <w:basedOn w:val="638"/>
    <w:next w:val="638"/>
    <w:link w:val="38"/>
    <w:uiPriority w:val="29"/>
    <w:qFormat/>
    <w:pPr>
      <w:ind w:left="720" w:right="720"/>
    </w:pPr>
    <w:rPr>
      <w:i/>
    </w:rPr>
  </w:style>
  <w:style w:type="character" w:styleId="38">
    <w:name w:val="Quote Char"/>
    <w:link w:val="37"/>
    <w:uiPriority w:val="29"/>
    <w:rPr>
      <w:i/>
    </w:rPr>
  </w:style>
  <w:style w:type="paragraph" w:styleId="39">
    <w:name w:val="Intense Quote"/>
    <w:basedOn w:val="638"/>
    <w:next w:val="6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2"/>
    <w:link w:val="648"/>
    <w:uiPriority w:val="99"/>
  </w:style>
  <w:style w:type="character" w:styleId="44">
    <w:name w:val="Footer Char"/>
    <w:basedOn w:val="642"/>
    <w:link w:val="647"/>
    <w:uiPriority w:val="99"/>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character" w:styleId="46">
    <w:name w:val="Caption Char"/>
    <w:basedOn w:val="45"/>
    <w:link w:val="647"/>
    <w:uiPriority w:val="99"/>
  </w:style>
  <w:style w:type="table" w:styleId="47">
    <w:name w:val="Table Grid"/>
    <w:basedOn w:val="6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2"/>
    <w:uiPriority w:val="99"/>
    <w:unhideWhenUsed/>
    <w:rPr>
      <w:vertAlign w:val="superscript"/>
    </w:rPr>
  </w:style>
  <w:style w:type="paragraph" w:styleId="177">
    <w:name w:val="endnote text"/>
    <w:basedOn w:val="6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2"/>
    <w:uiPriority w:val="99"/>
    <w:semiHidden/>
    <w:unhideWhenUsed/>
    <w:rPr>
      <w:vertAlign w:val="superscript"/>
    </w:rPr>
  </w:style>
  <w:style w:type="paragraph" w:styleId="180">
    <w:name w:val="toc 1"/>
    <w:basedOn w:val="638"/>
    <w:next w:val="638"/>
    <w:uiPriority w:val="39"/>
    <w:unhideWhenUsed/>
    <w:pPr>
      <w:ind w:left="0"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uiPriority w:val="0"/>
    <w:qFormat/>
    <w:pPr>
      <w:jc w:val="both"/>
      <w:widowControl w:val="off"/>
    </w:pPr>
    <w:rPr>
      <w:rFonts w:ascii="Calibri" w:hAnsi="Calibri" w:eastAsia="宋体" w:cs="Arial"/>
      <w:sz w:val="21"/>
      <w:szCs w:val="24"/>
      <w:lang w:val="en-US" w:eastAsia="zh-CN" w:bidi="ar-SA"/>
    </w:rPr>
  </w:style>
  <w:style w:type="paragraph" w:styleId="639">
    <w:name w:val="Heading 1"/>
    <w:basedOn w:val="638"/>
    <w:next w:val="638"/>
    <w:uiPriority w:val="0"/>
    <w:pPr>
      <w:keepLines/>
      <w:keepNext/>
      <w:spacing w:before="340" w:after="330" w:line="578" w:lineRule="auto"/>
      <w:widowControl w:val="off"/>
      <w:outlineLvl w:val="0"/>
    </w:pPr>
    <w:rPr>
      <w:b/>
      <w:bCs/>
      <w:sz w:val="44"/>
      <w:szCs w:val="44"/>
    </w:rPr>
  </w:style>
  <w:style w:type="paragraph" w:styleId="640">
    <w:name w:val="Heading 2"/>
    <w:basedOn w:val="638"/>
    <w:next w:val="638"/>
    <w:uiPriority w:val="0"/>
    <w:qFormat/>
    <w:pPr>
      <w:jc w:val="left"/>
      <w:spacing w:before="0" w:beforeAutospacing="1" w:after="0" w:afterAutospacing="1"/>
      <w:outlineLvl w:val="1"/>
    </w:pPr>
    <w:rPr>
      <w:rFonts w:ascii="宋体" w:hAnsi="宋体" w:eastAsia="宋体" w:cs="宋体"/>
      <w:b/>
      <w:bCs/>
      <w:sz w:val="36"/>
      <w:szCs w:val="36"/>
      <w:lang w:val="en-US" w:eastAsia="zh-CN"/>
    </w:rPr>
  </w:style>
  <w:style w:type="paragraph" w:styleId="641">
    <w:name w:val="Heading 3"/>
    <w:basedOn w:val="638"/>
    <w:next w:val="638"/>
    <w:uiPriority w:val="0"/>
    <w:qFormat/>
    <w:pPr>
      <w:keepLines/>
      <w:keepNext/>
      <w:spacing w:before="260" w:after="260" w:line="415" w:lineRule="auto"/>
      <w:widowControl w:val="off"/>
      <w:outlineLvl w:val="2"/>
    </w:pPr>
    <w:rPr>
      <w:b/>
      <w:bCs/>
      <w:sz w:val="32"/>
      <w:szCs w:val="32"/>
    </w:rPr>
  </w:style>
  <w:style w:type="character" w:styleId="642" w:default="1">
    <w:name w:val="Default Paragraph Font"/>
    <w:uiPriority w:val="0"/>
    <w:qFormat/>
  </w:style>
  <w:style w:type="table" w:styleId="643" w:default="1">
    <w:name w:val="Normal Table"/>
    <w:uiPriority w:val="0"/>
    <w:semiHidden/>
    <w:qFormat/>
    <w:tblPr>
      <w:tblCellMar>
        <w:left w:w="108" w:type="dxa"/>
        <w:top w:w="0" w:type="dxa"/>
        <w:right w:w="108" w:type="dxa"/>
        <w:bottom w:w="0" w:type="dxa"/>
      </w:tblCellMar>
    </w:tblPr>
  </w:style>
  <w:style w:type="paragraph" w:styleId="644">
    <w:name w:val="annotation text"/>
    <w:basedOn w:val="638"/>
    <w:uiPriority w:val="0"/>
    <w:qFormat/>
    <w:pPr>
      <w:jc w:val="left"/>
      <w:widowControl w:val="off"/>
    </w:pPr>
    <w:rPr>
      <w:rFonts w:ascii="Calibri" w:hAnsi="Calibri" w:eastAsia="宋体" w:cs="Arial"/>
      <w:sz w:val="21"/>
      <w:szCs w:val="24"/>
      <w:lang w:val="en-US" w:eastAsia="zh-CN" w:bidi="ar-SA"/>
    </w:rPr>
  </w:style>
  <w:style w:type="paragraph" w:styleId="645">
    <w:name w:val="Body Text"/>
    <w:basedOn w:val="638"/>
    <w:next w:val="638"/>
    <w:uiPriority w:val="0"/>
    <w:qFormat/>
    <w:rPr>
      <w:rFonts w:eastAsia="仿宋_GB2312"/>
      <w:sz w:val="28"/>
      <w:szCs w:val="30"/>
    </w:rPr>
  </w:style>
  <w:style w:type="paragraph" w:styleId="646">
    <w:name w:val="Plain Text"/>
    <w:basedOn w:val="638"/>
    <w:next w:val="647"/>
    <w:uiPriority w:val="0"/>
    <w:qFormat/>
    <w:rPr>
      <w:rFonts w:ascii="宋体" w:hAnsi="Courier New" w:cs="Courier New"/>
    </w:rPr>
  </w:style>
  <w:style w:type="paragraph" w:styleId="647">
    <w:name w:val="Footer"/>
    <w:basedOn w:val="638"/>
    <w:next w:val="648"/>
    <w:uiPriority w:val="0"/>
    <w:qFormat/>
    <w:pPr>
      <w:jc w:val="left"/>
      <w:tabs>
        <w:tab w:val="center" w:pos="4153" w:leader="none"/>
        <w:tab w:val="right" w:pos="8306" w:leader="none"/>
      </w:tabs>
    </w:pPr>
    <w:rPr>
      <w:sz w:val="18"/>
      <w:szCs w:val="18"/>
    </w:rPr>
  </w:style>
  <w:style w:type="paragraph" w:styleId="648">
    <w:name w:val="Header"/>
    <w:basedOn w:val="638"/>
    <w:next w:val="649"/>
    <w:uiPriority w:val="0"/>
    <w:qFormat/>
    <w:pPr>
      <w:jc w:val="center"/>
      <w:tabs>
        <w:tab w:val="center" w:pos="4153" w:leader="none"/>
        <w:tab w:val="right" w:pos="8306" w:leader="none"/>
      </w:tabs>
      <w:pBdr>
        <w:bottom w:val="single" w:color="auto" w:sz="6" w:space="1"/>
      </w:pBdr>
    </w:pPr>
    <w:rPr>
      <w:sz w:val="18"/>
      <w:szCs w:val="18"/>
    </w:rPr>
  </w:style>
  <w:style w:type="paragraph" w:styleId="649">
    <w:name w:val="toc 2"/>
    <w:basedOn w:val="638"/>
    <w:next w:val="638"/>
    <w:uiPriority w:val="0"/>
    <w:qFormat/>
    <w:pPr>
      <w:ind w:left="198"/>
      <w:jc w:val="left"/>
    </w:pPr>
    <w:rPr>
      <w:rFonts w:ascii="Calibri" w:hAnsi="Calibri" w:eastAsia="微软雅黑" w:cs="Calibri"/>
      <w:smallCaps/>
      <w:sz w:val="21"/>
    </w:rPr>
  </w:style>
  <w:style w:type="paragraph" w:styleId="650">
    <w:name w:val="Body Text 2"/>
    <w:basedOn w:val="638"/>
    <w:next w:val="646"/>
    <w:uiPriority w:val="0"/>
    <w:qFormat/>
    <w:pPr>
      <w:jc w:val="center"/>
      <w:outlineLvl w:val="0"/>
    </w:pPr>
    <w:rPr>
      <w:rFonts w:ascii="楷体_GB2312" w:hAnsi="楷体_GB2312" w:eastAsia="仿宋_GB2312"/>
      <w:sz w:val="30"/>
    </w:rPr>
  </w:style>
  <w:style w:type="paragraph" w:styleId="651">
    <w:name w:val="Normal (Web)"/>
    <w:basedOn w:val="638"/>
    <w:uiPriority w:val="0"/>
    <w:qFormat/>
    <w:pPr>
      <w:jc w:val="left"/>
      <w:spacing w:beforeAutospacing="1" w:afterAutospacing="1"/>
    </w:pPr>
    <w:rPr>
      <w:rFonts w:cs="Times New Roman"/>
      <w:sz w:val="24"/>
    </w:rPr>
  </w:style>
  <w:style w:type="paragraph" w:styleId="652">
    <w:name w:val="annotation subject"/>
    <w:basedOn w:val="644"/>
    <w:next w:val="644"/>
    <w:uiPriority w:val="0"/>
    <w:qFormat/>
    <w:rPr>
      <w:b/>
      <w:bCs/>
    </w:rPr>
  </w:style>
  <w:style w:type="paragraph" w:styleId="653">
    <w:name w:val="Body Text First Indent"/>
    <w:basedOn w:val="645"/>
    <w:uiPriority w:val="0"/>
    <w:qFormat/>
    <w:pPr>
      <w:ind w:firstLine="420"/>
    </w:pPr>
    <w:rPr>
      <w:rFonts w:ascii="Times New Roman" w:hAnsi="Times New Roman"/>
    </w:rPr>
  </w:style>
  <w:style w:type="character" w:styleId="654">
    <w:name w:val="Strong"/>
    <w:basedOn w:val="642"/>
    <w:uiPriority w:val="0"/>
    <w:qFormat/>
    <w:rPr>
      <w:b/>
    </w:rPr>
  </w:style>
  <w:style w:type="character" w:styleId="655">
    <w:name w:val="Hyperlink"/>
    <w:basedOn w:val="642"/>
    <w:uiPriority w:val="0"/>
    <w:qFormat/>
    <w:rPr>
      <w:color w:val="0000ff"/>
      <w:u w:val="single"/>
    </w:rPr>
  </w:style>
  <w:style w:type="paragraph" w:styleId="656" w:customStyle="1">
    <w:name w:val="Default"/>
    <w:basedOn w:val="638"/>
    <w:uiPriority w:val="0"/>
    <w:qFormat/>
    <w:pPr>
      <w:jc w:val="left"/>
    </w:pPr>
    <w:rPr>
      <w:rFonts w:ascii="宋体" w:hAnsi="Calibri" w:cs="宋体"/>
      <w:color w:val="000000"/>
      <w:sz w:val="24"/>
    </w:rPr>
  </w:style>
  <w:style w:type="paragraph" w:styleId="657" w:customStyle="1">
    <w:name w:val="正文文本缩进1"/>
    <w:basedOn w:val="638"/>
    <w:next w:val="658"/>
    <w:uiPriority w:val="0"/>
    <w:qFormat/>
    <w:pPr>
      <w:ind w:left="420"/>
      <w:spacing w:after="120"/>
    </w:pPr>
  </w:style>
  <w:style w:type="paragraph" w:styleId="658" w:customStyle="1">
    <w:name w:val="寄信人地址1"/>
    <w:basedOn w:val="638"/>
    <w:uiPriority w:val="0"/>
    <w:qFormat/>
    <w:rPr>
      <w:rFonts w:ascii="Arial" w:hAnsi="Arial" w:eastAsia="宋体" w:cs="Times New Roman"/>
    </w:rPr>
  </w:style>
  <w:style w:type="paragraph" w:styleId="659" w:customStyle="1">
    <w:name w:val="正文首行缩进 21"/>
    <w:basedOn w:val="657"/>
    <w:next w:val="638"/>
    <w:uiPriority w:val="0"/>
    <w:qFormat/>
    <w:pPr>
      <w:ind w:firstLine="420"/>
    </w:pPr>
  </w:style>
  <w:style w:type="paragraph" w:styleId="660" w:customStyle="1">
    <w:name w:val="普通正文"/>
    <w:basedOn w:val="638"/>
    <w:uiPriority w:val="0"/>
    <w:qFormat/>
    <w:pPr>
      <w:ind w:firstLine="480"/>
      <w:jc w:val="left"/>
      <w:spacing w:before="120" w:after="120" w:line="360" w:lineRule="auto"/>
    </w:pPr>
    <w:rPr>
      <w:rFonts w:ascii="Arial" w:hAnsi="Arial" w:eastAsia="等线" w:cs="Arial"/>
      <w:sz w:val="24"/>
      <w:szCs w:val="24"/>
    </w:rPr>
  </w:style>
  <w:style w:type="paragraph" w:styleId="661" w:customStyle="1">
    <w:name w:val="列表项目符号 21"/>
    <w:basedOn w:val="638"/>
    <w:uiPriority w:val="0"/>
    <w:qFormat/>
    <w:pPr>
      <w:numPr>
        <w:ilvl w:val="0"/>
        <w:numId w:val="1"/>
      </w:numPr>
    </w:pPr>
  </w:style>
  <w:style w:type="paragraph" w:styleId="662" w:customStyle="1">
    <w:name w:val="paragraphindent"/>
    <w:basedOn w:val="638"/>
    <w:uiPriority w:val="0"/>
    <w:qFormat/>
    <w:pPr>
      <w:jc w:val="left"/>
      <w:spacing w:before="100" w:beforeAutospacing="1" w:after="100" w:afterAutospacing="1"/>
      <w:widowControl/>
    </w:pPr>
    <w:rPr>
      <w:rFonts w:ascii="宋体" w:hAnsi="宋体" w:cs="宋体"/>
      <w:sz w:val="24"/>
      <w:szCs w:val="24"/>
    </w:rPr>
  </w:style>
  <w:style w:type="character" w:styleId="663" w:customStyle="1">
    <w:name w:val="font91"/>
    <w:basedOn w:val="642"/>
    <w:uiPriority w:val="0"/>
    <w:qFormat/>
    <w:rPr>
      <w:rFonts w:ascii="宋体" w:hAnsi="宋体" w:eastAsia="宋体" w:cs="宋体"/>
      <w:b/>
      <w:bCs/>
      <w:color w:val="000000"/>
      <w:sz w:val="22"/>
      <w:szCs w:val="22"/>
      <w:u w:val="none"/>
    </w:rPr>
  </w:style>
  <w:style w:type="character" w:styleId="664" w:customStyle="1">
    <w:name w:val="font101"/>
    <w:basedOn w:val="642"/>
    <w:uiPriority w:val="0"/>
    <w:qFormat/>
    <w:rPr>
      <w:rFonts w:ascii="宋体" w:hAnsi="宋体" w:eastAsia="宋体" w:cs="宋体"/>
      <w:color w:val="000000"/>
      <w:sz w:val="18"/>
      <w:szCs w:val="18"/>
      <w:u w:val="none"/>
    </w:rPr>
  </w:style>
  <w:style w:type="paragraph" w:styleId="665" w:customStyle="1">
    <w:name w:val="章标题"/>
    <w:next w:val="63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666" w:customStyle="1">
    <w:name w:val="一级条标题"/>
    <w:basedOn w:val="665"/>
    <w:next w:val="667"/>
    <w:uiPriority w:val="0"/>
    <w:qFormat/>
    <w:pPr>
      <w:ind w:left="907" w:hanging="907"/>
      <w:spacing w:before="0" w:after="0"/>
      <w:tabs>
        <w:tab w:val="left" w:pos="907" w:leader="none"/>
      </w:tabs>
      <w:outlineLvl w:val="2"/>
    </w:pPr>
    <w:rPr>
      <w:rFonts w:hAnsi="宋体"/>
      <w:sz w:val="20"/>
      <w:szCs w:val="20"/>
    </w:rPr>
  </w:style>
  <w:style w:type="paragraph" w:styleId="667" w:customStyle="1">
    <w:name w:val="段"/>
    <w:next w:val="63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68" w:customStyle="1">
    <w:name w:val="Blockquote"/>
    <w:basedOn w:val="638"/>
    <w:uiPriority w:val="0"/>
    <w:qFormat/>
    <w:pPr>
      <w:ind w:left="360" w:right="360"/>
      <w:jc w:val="left"/>
      <w:spacing w:before="100" w:after="100"/>
    </w:pPr>
    <w:rPr>
      <w:sz w:val="24"/>
      <w:szCs w:val="24"/>
    </w:rPr>
  </w:style>
  <w:style w:type="character" w:styleId="669" w:customStyle="1">
    <w:name w:val="font71"/>
    <w:basedOn w:val="642"/>
    <w:uiPriority w:val="0"/>
    <w:qFormat/>
    <w:rPr>
      <w:rFonts w:ascii="方正仿宋_GBK" w:hAnsi="方正仿宋_GBK" w:eastAsia="方正仿宋_GBK" w:cs="方正仿宋_GBK"/>
      <w:color w:val="000000"/>
      <w:sz w:val="22"/>
      <w:szCs w:val="22"/>
      <w:u w:val="none"/>
    </w:rPr>
  </w:style>
  <w:style w:type="character" w:styleId="670" w:customStyle="1">
    <w:name w:val="font31"/>
    <w:basedOn w:val="642"/>
    <w:uiPriority w:val="0"/>
    <w:qFormat/>
    <w:rPr>
      <w:rFonts w:ascii="Times New Roman" w:hAnsi="Times New Roman" w:cs="Times New Roman"/>
      <w:color w:val="000000"/>
      <w:sz w:val="22"/>
      <w:szCs w:val="22"/>
      <w:u w:val="none"/>
    </w:rPr>
  </w:style>
  <w:style w:type="character" w:styleId="671" w:customStyle="1">
    <w:name w:val="font51"/>
    <w:basedOn w:val="642"/>
    <w:uiPriority w:val="0"/>
    <w:qFormat/>
    <w:rPr>
      <w:rFonts w:ascii="Times New Roman" w:hAnsi="Times New Roman" w:cs="Times New Roman"/>
      <w:color w:val="000000"/>
      <w:sz w:val="22"/>
      <w:szCs w:val="22"/>
      <w:u w:val="none"/>
    </w:rPr>
  </w:style>
  <w:style w:type="numbering" w:styleId="24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customProps>
</customDat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7C02B8E-75B7-43D1-9AFF-17131886F4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吴竹慧</cp:lastModifiedBy>
  <cp:revision>273</cp:revision>
  <dcterms:created xsi:type="dcterms:W3CDTF">2014-10-30T04:08:00Z</dcterms:created>
  <dcterms:modified xsi:type="dcterms:W3CDTF">2026-05-27T14:57:56Z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A4D6F8C9914E4A7EA0B3A76A92059DBF_13</vt:lpwstr>
  </property>
  <property fmtid="{D5CDD505-2E9C-101B-9397-08002B2CF9AE}" pid="4" name="KSOTemplateDocerSaveRecord">
    <vt:lpwstr>eyJoZGlkIjoiZjdjYTFmODE0YWM0YTIyNDRmMzA5NjQ0ZmVlZjRkODIiLCJ1c2VySWQiOiI0Mjc0NjMxOTIifQ==</vt:lpwstr>
  </property>
</Properties>
</file>