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723"/>
        <w:jc w:val="right"/>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编号：JSZC-320000-NJJD-G2026-0007 </w:t>
      </w:r>
      <w:r/>
    </w:p>
    <w:p>
      <w:pPr>
        <w:ind w:left="0" w:right="0" w:firstLine="72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江苏旅游职业学院2026、2027年度师生健康体检服务采购</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公开招标文件</w:t>
      </w:r>
      <w:r/>
    </w:p>
    <w:p>
      <w:pPr>
        <w:ind w:left="0" w:right="0" w:firstLine="72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pStyle w:val="642"/>
        <w:ind w:left="0" w:right="0" w:firstLine="602"/>
        <w:spacing w:before="320" w:after="200" w:line="34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rPr>
          <w:rFonts w:ascii="SimSun" w:hAnsi="SimSun" w:eastAsia="SimSun" w:cs="SimSun"/>
          <w:b/>
          <w:color w:val="000000"/>
          <w:sz w:val="36"/>
        </w:rPr>
        <w:t xml:space="preserve"> </w:t>
      </w:r>
      <w:r/>
    </w:p>
    <w:p>
      <w:pPr>
        <w:ind w:left="0" w:right="0" w:firstLine="723"/>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1"/>
        <w:jc w:val="both"/>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 购 人：江苏旅游职业学院</w:t>
      </w:r>
      <w:r/>
    </w:p>
    <w:p>
      <w:pPr>
        <w:ind w:left="0" w:right="0" w:firstLine="2811"/>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发放时间：2026年6月5日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640"/>
        <w:jc w:val="center"/>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 招标公告 2</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第二章 投标供应商须知 6</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第三章 合同条款及格式 18</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第四章 项目需求 21</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第五章 评标方法及评标标准 25</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第六章 投标文件格式 29</w:t>
      </w:r>
      <w:r/>
    </w:p>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42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项目概况</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江苏旅游职业学院2026、2027年度师生健康体检服务采购</w:t>
            </w:r>
            <w:r>
              <w:rPr>
                <w:rFonts w:ascii="SimSun" w:hAnsi="SimSun" w:eastAsia="SimSun" w:cs="SimSun"/>
                <w:color w:val="000000"/>
                <w:sz w:val="22"/>
              </w:rPr>
              <w:t xml:space="preserve">的潜在投标供应商可在</w:t>
            </w:r>
            <w:r>
              <w:rPr>
                <w:rFonts w:ascii="SimSun" w:hAnsi="SimSun" w:eastAsia="SimSun" w:cs="SimSun"/>
                <w:color w:val="000000"/>
                <w:sz w:val="22"/>
                <w:u w:val="single"/>
              </w:rPr>
              <w:t xml:space="preserve">“中国政府采购网”、“江苏省政府采购网”、“江苏旅游职业学院网”</w:t>
            </w:r>
            <w:r>
              <w:rPr>
                <w:rFonts w:ascii="SimSun" w:hAnsi="SimSun" w:eastAsia="SimSun" w:cs="SimSun"/>
                <w:color w:val="000000"/>
                <w:sz w:val="22"/>
              </w:rPr>
              <w:t xml:space="preserve">自行免费下载招标文件，并于</w:t>
            </w:r>
            <w:r>
              <w:rPr>
                <w:rFonts w:ascii="SimSun" w:hAnsi="SimSun" w:eastAsia="SimSun" w:cs="SimSun"/>
                <w:color w:val="000000"/>
                <w:sz w:val="22"/>
                <w:u w:val="single"/>
              </w:rPr>
              <w:t xml:space="preserve">2026年6月26日上午9点30分</w:t>
            </w:r>
            <w:r>
              <w:rPr>
                <w:rFonts w:ascii="SimSun" w:hAnsi="SimSun" w:eastAsia="SimSun" w:cs="SimSun"/>
                <w:color w:val="000000"/>
                <w:sz w:val="22"/>
              </w:rPr>
              <w:t xml:space="preserve">（北京时间）前递交投标文件。</w:t>
            </w:r>
            <w:r/>
          </w:p>
        </w:tc>
      </w:tr>
    </w:tbl>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项目编号：JSZC-320000-NJJD-G2026-0007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项目名称：江苏旅游职业学院2026、2027年度师生健康体检服务采购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预算金额：两年共计人民币297.8万元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最高限价（如有）：教职工体检套餐最高限价1500元/人/次；学生体检最高限价86元/人/次（含往返学校与体检单位之间的交通费），超过最高限价的报价为无效报价。</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采购方式：公开招标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需求：本项目拟选取两名供应商入围，教职工体检由各教职工自行选择一家供应商进行体检，学生体检统一由两名入围供应商中学生体检报价低的一家进行体检。单价以供应商各自投标报价执行，最终按实际人数进行结算。具体详见招标文件第四章项目需求。</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合同履行期限：贰年。</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本项目（是/否）接受联合体投标：不接受联合体 </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（一）满足《中华人民共和国政府采购法》第二十二条规定；</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1.法人或者其他组织的营业执照等证明文件，自然人的身份证明；</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2.上一年度的财务状况报告（成立不满一年无需提供）；</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4.具备履行合同所必需的设备和专业技术能力的书面声明；</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5.参加政府采购活动前3年内在经营活动中没有重大违法记录的书面声明；</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6.供应商信用承诺函。</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（二）落实政府采购政策需满足的资格要求：</w:t>
      </w:r>
      <w:r>
        <w:rPr>
          <w:rFonts w:ascii="SimSun" w:hAnsi="SimSun" w:eastAsia="SimSun" w:cs="SimSun"/>
          <w:b/>
          <w:i/>
          <w:color w:val="000000"/>
          <w:sz w:val="22"/>
          <w:u w:val="single"/>
        </w:rPr>
        <w:t xml:space="preserve">无。</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（三）本项目的特定资格要求：</w:t>
      </w:r>
      <w:r>
        <w:rPr>
          <w:rFonts w:ascii="SimSun" w:hAnsi="SimSun" w:eastAsia="SimSun" w:cs="SimSun"/>
          <w:b/>
          <w:i/>
          <w:color w:val="000000"/>
          <w:sz w:val="22"/>
          <w:u w:val="single"/>
        </w:rPr>
        <w:t xml:space="preserve">供应商具有有效的《医疗机构执业许可证》（执业范围包含本项目体检范围，原件扫描上传）。</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三、获取招标文件</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时间：自招标公告发布起5个工作日</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地点：“中国政府采购网”、“江苏省政府采购网”、“江苏旅游职业学院网”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方式：本项目采用网上注册登记方式。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售价：0元</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四、提交投标文件截止时间、开标时间和地点</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投标文件接收截止时间及开标时间：2026年6月26日上午9点30分（北京时间）</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rPr>
          <w:rFonts w:ascii="SimSun" w:hAnsi="SimSun" w:eastAsia="SimSun" w:cs="SimSun"/>
          <w:b/>
          <w:color w:val="000000"/>
          <w:sz w:val="22"/>
        </w:rPr>
        <w:t xml:space="preserve">“苏采云”系统（网址：</w:t>
      </w:r>
      <w:hyperlink r:id="rId9" w:tooltip="http://jszfcg.jsczt.cn/%EF%BC%89/%E2%80%9C%E5%BC%80%E6%A0%87%E5%A4%A7%E5%8E%85/%E2%80%9D" w:history="1">
        <w:r>
          <w:rPr>
            <w:rStyle w:val="798"/>
            <w:rFonts w:ascii="SimSun" w:hAnsi="SimSun" w:eastAsia="SimSun" w:cs="SimSun"/>
            <w:b/>
            <w:color w:val="0000ee"/>
            <w:sz w:val="22"/>
            <w:u w:val="single"/>
          </w:rPr>
          <w:t xml:space="preserve">http://jszfcg.jsczt.cn/）</w:t>
        </w:r>
      </w:hyperlink>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五、公告期限</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六、其他补充事宜</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1、本采购文件中斜体下划线部分为实质性响应条件，为必须遵守的条件，如不满足将作无效投标文件处理。</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i/>
          <w:color w:val="000000"/>
          <w:sz w:val="22"/>
          <w:u w:val="single"/>
        </w:rPr>
        <w:t xml:space="preserve">供应商须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ascii="SimSun" w:hAnsi="SimSun" w:eastAsia="SimSun" w:cs="SimSun"/>
          <w:color w:val="000000"/>
          <w:sz w:val="22"/>
        </w:rPr>
        <w:t xml:space="preserve">（投标文件中无需提供证明材料）</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3、本次招标不收取投标保证金；不收取履约保证金。</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5、供应商如确定参加投标，可自行下载采购文件及有关资料，按照《操作手册》进行注册，领取CA和办理电子签章，并按《操作手册》要求制作、上传电子投标文件，技术支持联系方式：13813140731。</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6、请供应商在开标前登录谷歌浏览器进入不见面大厅，并准备好耳麦和摄像设备。因供应商网络与电源不稳定、未按要求配置上述设备、上述设备发生故障等自身原因，导致投标失败，供应商自行承担其后果。</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7、潜在供应商对采购文件项目需求部分的询问、质疑请向采购人提出，由采购人负责答复。</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8、有关本次采购的事项若存在变动或修改，敬请及时关注“江苏省政府采购网”、“中国政府采购网”、“江苏旅游职业学院网”发布的信息。</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9、供应商对于投标产品的包装应按照“财办库〔2020〕123号《关于印发《商品包装政府采购需求标准（试行）》、《快递包装政府采购需求标准（试行）》的通知》”执行；</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10、落实好政府采购履约资金扶持政策。中标/成交供应商可凭政府采购合同办理融资贷款，详见江苏政府采购网“政采贷”专栏；</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w:t>
      </w:r>
      <w:r>
        <w:rPr>
          <w:rFonts w:ascii="SimSun" w:hAnsi="SimSun" w:eastAsia="SimSun" w:cs="SimSun"/>
          <w:color w:val="000000"/>
          <w:sz w:val="22"/>
        </w:rPr>
        <w:t xml:space="preserve">先采购节能产品、环境标志产品。</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12、潜在供应商访问政府采购管理交易系统（苏采云）的网络地址和方法：</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（2）“CA数字证书”的获取：供应商需办理CA锁，“苏采云”系统目前仅支持“苏采云”系统下的政务CA，省内各地区办理的“苏采云”系统下的政务CA全省通用。</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（3）“CA数字证书”的办理材料以及供应商操作手册详见：</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http://zfcg.yangzhou.gov.cn/zfcg/xzzx/202309/4d7de1f7865f4a2894fc22bc452f94d8.shtml。</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（4）潜在供应商访问“苏采云”系统的网络地址和方法：“苏采云”系统的网址：http://jszfcg.jsczt.cn/。</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（5）采购文件（后缀名为“.kedt”）、供应商操作手册及政府采购客户端工具也可通过“苏采云”系统--已报名项目--报名详情页面内相应链接进行下载。</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（6）招标代理机构（采购代理机构）将数据电文形式的采购文件加载至“苏采云”系统，供潜在供应商下载或者查阅。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（7）苏采云系统使用谷歌浏览器参与不见面开标。</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七、对本次招标提出询问，请按以下方式联系</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名称：江苏旅游职业学院</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地址：邗江区毓秀路88号</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联系方式：祝老师 0514-87431393</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名称：南京金鼎工程造价评估有限责任公司扬州分公司 </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地址：扬州市国展路29号（星耀天地商务中心）2幢9层903室</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投标供应商须知</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1、招标方式</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本次招标采取公开招标方式，本招标文件仅适用于本项目。</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2、投标供应商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本招标文件中“供应商”，即“投标供应商”，是指参加投标竞争，并符合招标文件规定资格条件的法人、其他组织或者自然人。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2.2合格的投标供应商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满足招标公告中供应商的资格条件要求的规定。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满足本文件实质性条款的规定。</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3、适用法律</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本次招标及由此产生的合同受中华人民共和国有关的法律法规制约和保护。</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4、投标费用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投标供应商应自行承担所有与参加投标有关的费用，无论投标过程中的做法和结果如 何，代理机构在任何情况下均无义务和责任承担这些费用。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因本次采购预算中已包含代理服务费，故由中标供应商支付代理服务费。供应商的报价应当包含本项目代理服务费，采购人不再另行支付。本次采购由中标供应商在领取中标通知书前按计价格（2002）1980号文规定标准的47.18%支付代理服务费（本项目由两家中标供应商均摊）；</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4.3专家评审费按照（扬财购〔2020〕40号）文《扬州市财政局关于进一步规范扬州市政府采购专家评审费标准的通知》标准执行。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5、招标文件的约束力</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投标供应商一旦参加本项目采购活动，即被认为接受了本招标文件的规定和约束。</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6、招标文件构成</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招标文件有以下部分组成：</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（1）招标公告</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（2）投标供应商须知</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（3）合同条款及格式</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（4）项目需求</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（5）评标方法与评标标准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（6）投标文件格式</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请仔细检查招标文件是否齐全，如有缺漏请立即与代理机构联系解决。</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招标的最小单位是包。招标服务数量及技术要求中未分包的，供应商对要求提供的服务不得部分投标；招标服务数量及技术要求中已经分包的，应当以包为单位投标。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招标文件如果要求供应商提交备选投标方案的，供应商可以提交备选方案；否则，备选方案将被拒绝。</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 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7、招标文件的澄清</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任何要求对招标文件进行澄清的投标供应商，应在投标截止日期的十日前按招标公告中的通讯地址，以书面形式通知代理机构。</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8、招标文件的修改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在投标截止时间前，代理机构可以对招标文件进行修改。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8.2代理机构在招标文件要求提交投标文件截止时间前，有权按照法定要求推迟投标截止时间和开标时间。</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8.3招标文件的修改将在“中国政府采购网”、“江苏省政府采购网”、“江苏旅游职业学院网”公布，补充文件将作为招标文件的组成部分，并对投标供应商具有约束力。</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9、投标文件的语言、度量衡单位、货币</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9.1投标供应商提交的投标文件以及投标供应商与代理机构就有关投标的所有来往通知、函件和文件均应使用简体中文。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除技术性能另有规定外，投标文件所使用的度量衡单位，均须采用国家法定计量单位。</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9.3投标供应商应使用人民币报价。</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10、投标文件构成</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10.1投标供应商应当根据招标文件要求编制投标文件，投标文件应对招标文件提出的要求和条件作出响应，并在相应的投标文件中逐条标明满足与否。</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11、证明投标供应商资格及符合招标文件规定的文件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11.1投标供应商应按要求提交资格证明文件及符合招标文件规定的文件。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11.2投标供应商应提交证明其有资格参加投标和中标后有能力独立履行合同的文件。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11.3投标供应商除必须具有履行合同所需提供的产品或服务的能力外，还必须具备相应的财务、技术方面的能力。</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11.4投标供应商应提交根据合同要求提供的证明服务质量合格以及符合招标文件规定的证明文件。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11.5证明投标供应商所提供服务与招标文件的要求相一致的文件可以是手册、图纸、文字资料和数据。</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12、分项报价表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投标供应商应按照招标文件规定格式填报分项报价表，每项服务只允许有一个报价，任何有选择的报价将不予接受。</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标的物</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采购人需求的服务等。</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12.3有关费用处理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招标报价采用总承包方式，投标供应商的报价应包含为完成本项目所有服务内容所涉及的一切费用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12.4其它费用处理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招标文件未列明，而投标供应商认为必需的费用也需列入报价。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12.5投标货币</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投标文件中的服务单价和总价无特殊规定的采用人民币报价，以元为单位标注。招标文件中另有规定的按规定执行。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13、技术参数响应及偏离表、商务条款响应及偏离表说明</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对招标文件中的技术与商务条款要求逐项作出响应或偏离，并说明原因；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投标供应商认为需要的其他技术文件或说明。</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14、服务承诺及服务机构、人员的情况介绍</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14.1投标供应商的服务承诺应按不低于招标文件中商务要求的标准。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14.2提供投标供应商有关服务的管理制度、服务机构的分布情况、服务人员的数量、素质、技术水平及售后服务的反应能力。</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15、投标函和开标一览表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投标供应商应按照招标文件中提供的格式完整、正确填写投标函、开标一览表。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开标一览表中的价格应与投标文件中分项报价表中的价格一致，如不一致，不作为无效投标处理，但评标时按开标一览表中价格为准。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16、投标有效期</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投标有效期为开标之日起六十（</w:t>
      </w:r>
      <w:r>
        <w:rPr>
          <w:rFonts w:ascii="SimSun" w:hAnsi="SimSun" w:eastAsia="SimSun" w:cs="SimSun"/>
          <w:b/>
          <w:color w:val="000000"/>
          <w:sz w:val="22"/>
        </w:rPr>
        <w:t xml:space="preserve">60</w:t>
      </w:r>
      <w:r>
        <w:rPr>
          <w:rFonts w:ascii="SimSun" w:hAnsi="SimSun" w:eastAsia="SimSun" w:cs="SimSun"/>
          <w:color w:val="000000"/>
          <w:sz w:val="22"/>
        </w:rPr>
        <w:t xml:space="preserve">）天。投标有效期比规定短的将被视为非响应性投标而予以拒绝。</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在特殊情况下，代理机构于原投标有效期满之前，可向投标供应商提出延长投标有效期的要求。这种要求与答复均应采用书面形式。投标供应商可以拒绝代理机构的这一要求而放弃投标；同意延长投标有效期的投标供应商既不能要求也不允许修改其投标文件。本招标文件受投标有效期约束的所有权利与义务均延长至新的有效期。</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17、投标文件的递交</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电子投标文件的递交投标供应商应当按照《操作手册》规定，在投标截止时间前制作并上传电子投标文件。</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17.2政府采购管理交易系统（苏采云）相关要求是本招标文件的组成部分。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17.3投标供应商应对CA 证书妥善保管，如被他人盗用投标，因此带来的结果均由投标供应商自行承担。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17.4投标供应商应当对招标文件提出的要求和条件作出实质性响应，并在电子投标系统逐条应答。</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17.5投标供应商应对要求提供的资格证明文件（如资质证书、资格证书）、技术资料（如白皮书、彩页、手册、检测报告等）扫描上传至投标系统。</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17.6投标供应商应当在招标文件要求提交投标文件的截止时间前，将投标文件提交至“苏采云”系统，逾期提交的投标文件，“苏采云”系统将自动拒收。</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17.7各投标供应商应在规定时间内凭CA证书进行网上解密。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18、投标截止日期</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18.1 投标供应商上传电子投标文件的时间不得迟于招标公告中规定的投标截止时间。</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投标供应商应充分考虑到网络环境、网络带宽等风险因素，如因投标供应商自身原因造成的电子投标文件上传不成功由投标供应商自行承担全部责任。</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代理机构可以按照规定，通过修改招标文件延长投标截止日期，在此情况下，投标供应商的所有权利和义务以及投标供应商受制的截止日期均应以延长后新的截止日期为准。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19、投标文件的拒收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19.1代理机构拒绝接收在其规定的投标截止时间后上传的任何投标文件。</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20、投标文件的撤回和修改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投标文件的撤回</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电子投标文件的撤回</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投标供应商可在投标截止时间前，撤回其电子投标文件，具体操作方法见《操作手册》。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 投标供应商撤回电子投标文件，则认为其不再参与本项目投标活动。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投标文件的修改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投标供应商可在投标截止时间前，对其电子投标文件进行修改，具体操作方法见《操作手册》。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在投标截止时间之后，投标供应商不得对其电子投标文件作任何修改。</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 在投标截止时间至招标文件中规定的投标有效期满之间的这段时间内，投标供应商不得撤回其投标。</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21、开标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代理机构将在招标公告中规定的时间和地点组织公开开标。投标供应商应当按照《操作手册》规定，参加开标活动。投标供应商未参加开标的，视同认可开标结果。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2"/>
        </w:rPr>
        <w:t xml:space="preserve">21.2开标仪式由代理机构组织。“政府采购管理交易系统（苏采云）”将自动对项目进行开标，并宣读各投标供应商的《开标一览表》。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21.3投标供应商在开标过程中涉及到的投标文件解密、开标结果确认等工作，应按照《操作手册》规定执行。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22、评标委员会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开标后，代理机构将立即组织评标委员会（以下简称评委会）进行评标。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评委会由采购人代表和有关技术、经济等方面的专家组成，且人员构成符合政府采购有关规定。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22.3评委会独立工作，负责评审所有投标文件并确定中标候选人。</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23、评标过程的保密与公正</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23.1公开开标后，直至签订合同之日止，凡是与审查、澄清、评价和比较投标的有关资料以及授标建议等，采购人、评委、代理机构工作人员均不得向投标供应商或与评标无关的其他人员透露。</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23.2在评标过程中，投标供应商不得以任何行为影响评标过程，否则其投标文件将被作为无效投标文件。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在评标期间，代理机构将设专门工作人员与投标供应商联系。</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 代理机构和评委会不向未中标的投标供应商解释未中标原因，也不公布评标过程中的相关细节。</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 采用综合评分法的项目，未中标的投标供应商可于中标结果公告期限届满之日起通过“政府采购管理交易系统（苏采云）”查看自己的评审得分及排序情况。</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24、投标的澄清</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24.1评标期间，为有助于对投标文件的审查、评价和比较，评委会有权以电子函件形式要求投标供应商对其投标文件进行澄清，但并非对每个投标供应商都作澄清要求。</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接到评委会澄清要求的投标供应商应派人按评委会规定的时间和格式在“政府采购管理交易系统（苏采云）”中做出澄清，澄清的内容作为投标文件的补充部分，但投标的价格和实质性的内容不得做任何更改。具体操作方式见《操作手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24.3 接到评委会澄清要求的投标供应商如未按规定做出澄清，其风险由投标供应商自行承担。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25、对投标文件的初审</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25.1投标文件初审分为资格审查和符合性审查。</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25.1.1资格审查：依据法律法规和招标文件的规定，由采购人对投标文件中的资格证明文件进行审查。并将审查结论以书面形式向评委会反馈。</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在进行资格性审查的同时，将在“信用中国”网站（www.creditchina.gov.cn）、“中国政府采购网"(www.ccgp.gov.cn)对投标供应商是否被列入失信被执行人、重大税收违法案件当事人名单、政府采购严重失信行为记录名单情况进行查询，以确定投标供应商是否具备投标资格。查询结果将以网页打印的形式留存并归档。</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25.1.2符合性检查：依据招标文件的规定，由评委会从投标文件的有效性、完整性和对招标文件的响应程度进行审查，以确定是否对招标文件的实质性要求作出响应。</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25.1.3 未通过资格审查或符合性审查的投标供应商，代理机构将在“政府采购管理交易系统（苏采云）”中告知未通过资格审查或符合性审查的原因，评审结束后，代理机构将不再告知未通过资格审查或符合性审查的原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买方（采购人）和见证方（代理机构）的权利或投标供应商的义务，纠正这些偏离或保留将会对其他实质性响应要求的投标供应商的竞争地位产生不公正的影响。是否属于重大偏离由评委会按照少数服从多数的原则作出结论。评委决定投标文件的响应性只根据投标文件本身的内容，而不寻求外部的证据。</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25.3如果投标文件实质上没有响应招标文件的要求，评委会将予以拒绝，投标供应商不得通过修改或撤销不合要求的偏离或保留而使其投标成为实质性响应的投标。</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25.4评委会将对确定为实质性响应的投标进行进一步审核，看其是否有计算上或累加上的算术错误，修正错误的原则如下：</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（2）大写金额与小写金额不一致的，以大写金额为准。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同时出现两种以上错误的，按照前款规定的顺序修正。</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评委会将按上述修正错误的方法调整投标文件中的投标报价，并通过“政府采购管理交易系统（苏采云）”告知投标供应商，调整后的价格应对投标供应商具有约束力。如果投标供应商不接受修正后的价格，则其投标将被拒绝。</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25.6评委会将允许修正投标文件中不构成重大偏离的、微小的、非正规的、不一致的或不规则的地方，但这些修改不能影响任何投标供应商相应的名次排列。</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25.7采用最低评标价法的采购项目，提供相同品牌产品的不同投标供应商参加同一合同项下投标的，以其中通过资格审查、符合性审查且报价最低的参加评标；报价相同的，由评委会按照招标文件规定的方式确定，招标文件未规定的通过随机抽取的方式确定一个参加评标的投标供应商，其他投标无效。</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综合评分法的采购项目，提供相同品牌产品且通过资格审查、符合性审查的不同投标供应商参加同一合同项下投标的，按一家投标供应商计算，评审后得分最高的同品牌投标供应商获得中标供应商推荐资格；评审得分相同的，由评委会根据招标文件规定的方式确定，招标文件未规定的采取随机抽取的方式确定一个中标候选人，其他同品牌投标供应商不作为中标候选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非单一产品采购项目，招标文件中将载明其中的核心产品。多家投标供应商提供的核心产品品牌相同的，按前两款规定处理。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25.8 投标供应商在开、评标全过程中应保持通讯畅通，并安排专人与代理机构及评委会联系。</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26、无效投标、废标及投标供应商不足三家的处理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26.1无效投标条款</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 投标供应商未成功解密电子投标文件的。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26.1.2 投标供应商未按照招标文件要求上传电子投标文件的。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26.1.3投标供应商在报价时采用选择性报价的。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26.1.4投标供应商不具备招标文件中规定资格要求的。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26.1.5投标供应商的报价超过了采购预算或最高限价的。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26.1.6未通过符合性审查的。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26.1.7不符合招标文件中规定的其他实质性要求和条件的（</w:t>
      </w:r>
      <w:r>
        <w:rPr>
          <w:rFonts w:ascii="SimSun" w:hAnsi="SimSun" w:eastAsia="SimSun" w:cs="SimSun"/>
          <w:i/>
          <w:color w:val="000000"/>
          <w:sz w:val="22"/>
          <w:u w:val="single"/>
        </w:rPr>
        <w:t xml:space="preserve">本招标文件中斜体且有下划线部分为实质性要求和条件</w:t>
      </w:r>
      <w:r>
        <w:rPr>
          <w:rFonts w:ascii="SimSun" w:hAnsi="SimSun" w:eastAsia="SimSun" w:cs="SimSun"/>
          <w:color w:val="000000"/>
          <w:sz w:val="22"/>
        </w:rPr>
        <w:t xml:space="preserve">）。</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26.1.8 投标供应商被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26.1.9  投标文件含有采购人不能接受的附加条件的。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26.1.10 评委会认为投标供应商的报价明显低于其他通过符合性审查投标供应商的报价，有可能影响产品质量或者不能诚信履约的，将通过“政府采购管理交易系统（苏采云）”要求其在合理的时间内提供说明，必要时提交相关证明材料；投标供应商不能证明其报价合理性的，评委会应当将其作为无效投标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26.1.11 本项目采购产品被财政部、国家发改委、生态环境部等列入“节能产品品目清单”、“环境标志产品品目清单”强制采购范围，而投标供应商所投标产品不在强制采购范围内的。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26.1.12 投标文件未按照招标文件要求加盖电子签章。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26.1.13其他法律、法规及本招标文件规定的属无效投标的情形。</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26.2废标条款：</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26.2.1符合专业条件的供应商或者对招标文件作实质响应的供应商不足三家的。26.2.2出现影响采购公正的违法、违规行为的。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26.2.3因重大变故，采购任务取消的。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26.2.4评委会认定招标文件存在歧义、重大缺陷导致评审工作无法进行。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 投标截止时间结束后参加投标的供应商不足三家的处理：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26.3.1如出现投标截止时间结束后参加投标的供应商或者在评标期间对招标文件做出实质性响应的供应商不足三家情况，按政府采购相关规定执行。</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27、确定中标单位</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27.1评委会根据本招标文件规定评标方法与评标标准向采购人推荐出中标候选人。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 采购人应根据评委会推荐的中标候选人确定中标供应商。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27.3代理机构将在“中国政府采购网”、“江苏省政府采购网”、“江苏旅游职业学院网”发布中标公告，公告期限为1个工作日。</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27.4若有充分证据证明，中标供应商出现下列情况之一的，一经查实，将被取消中标资格：</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27.4.1提供虚假材料谋取中标的；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27.4.2向采购人、代理机构行贿或者提供其他不正当利益的；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27.4.3恶意竞争，投标总报价明显低于其自身合理成本且又无法提供证明的；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27.4.4属于本文件规定的无效条件，但在评标过程中又未被评委会发现的；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27.4.5与采购人或者其他投标供应商恶意串通的；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27.4.6采取不正当手段诋毁、排挤其他供应商的；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27.4.7不符合法律、法规的规定的。</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有下列情形之一的，视为投标供应商串通投标，投标无效：</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27.5.1不同投标供应商的投标文件由同一单位或者个人编制。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27.5.2不同投标供应商委托同一单位或者个人办理投标事宜。</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27.5.3 不同投标供应商的投标文件载明的项目管理成员或者联系人员为同一人。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27.5.4不同投标供应商的投标文件异常一致或者投标报价呈规律性差异。</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27.5.5不同投标供应商的投标文件相互混装。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28、质疑处理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28.1提出质疑的供应商应当是参与所质疑项目采购活动的供应商。潜在供应商依法获取其可质疑的采购文件的，可以对采购文件提出质疑。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对项目需求部分的质疑，潜在供应商应向采购人提出，由采购人负责答复。</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28.2投标供应商认为采购文件、采购过程和中标或成交结果使自己的权益受到损害的，可以在知道或应知其权益受到损害之日起7个工作日内，以书面形式向采购人或代理机构提出质疑。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28.2.1对采购文件提出质疑的，应当在获取采购文件之日或者采购文件公告期限届满之日起7个工作日内提出。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28.2.2对采购过程提出质疑的，为各采购程序环节结束之日起7个工作日内提出。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28.2.3对中标结果提出质疑的，为中标结果公告期限届满之日起7个工作日内提出。</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 代理机构及采购人只接收以纸质原件形式送达的质疑。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采购人质疑接收人及联系方式见招标文件第一章。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28.6代理机构收到质疑申请后，将对质疑的形式和内容进行审查，如质疑内容、格式不符合规定，代理机构将告知质疑人进行补正。</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28.7质疑人应当在法定质疑期限内进行补正并重新提交质疑函。</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 以下情形的质疑不予受理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28.8.1 内容不符合《政府采购质疑和投诉办法》第十二条规定的质疑。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28.8.2 超出政府采购法定期限的质疑。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28.8.3 以传真、电子邮件等方式递交的非原件形式的质疑。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28.8.4 未参加投标活动的供应商或在投标活动中自身权益未受到损害的供应商所提出的质疑。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28.8.5供应商组成联合体参加投标，联合体中任何一方或多方未按要求签字、盖章、加盖公章的质疑。</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28.10代理机构应当在收到供应商的书面质疑后7个工作日内作出答复，并以书面形式通知质疑供应商和其他有关供应商，但答复的内容不得涉及商业秘密。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29、中标通知书</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29.l 中标结果确定后，代理机构将向中标供应商发出中标通知书。</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 中标供应商可在“政府采购管理交易系统（苏采云）”中标通知书下载模块中自行下载中标通知书。</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29.3中标通知书将是合同的一个组成部分。对采购人和中标供应商均具有法律效力。中标通知书发出后，采购人改变中标结果的，或者中标供应商放弃中标项目的，应当依法承担法律责任。</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 签订合同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30.l中标供应商应在中标通知书发出之日起三十日内，按照招标文件确定的事项与采购人签订政府采购合同。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 招标文件、中标供应商的投标文件及招标过程中有关澄清、承诺文件均应作为合同附件。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 合同在“政府采购管理交易系统（苏采云）”中签订，签订合同后，</w:t>
      </w:r>
      <w:r>
        <w:rPr>
          <w:rFonts w:ascii="SimSun" w:hAnsi="SimSun" w:eastAsia="SimSun" w:cs="SimSun"/>
          <w:i/>
          <w:color w:val="000000"/>
          <w:sz w:val="22"/>
          <w:u w:val="single"/>
        </w:rPr>
        <w:t xml:space="preserve">中标供应商不得将货物或服务及其他服务进行转包</w:t>
      </w:r>
      <w:r>
        <w:rPr>
          <w:rFonts w:ascii="SimSun" w:hAnsi="SimSun" w:eastAsia="SimSun" w:cs="SimSun"/>
          <w:color w:val="000000"/>
          <w:sz w:val="22"/>
        </w:rPr>
        <w:t xml:space="preserve">。未经采购人同意，中标供应商也不得采用分包的形式履行合同，否则采购人有权终止合同。转包或分包造成采购人损失的，中标供应商应承担赔偿责任。</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30.4采购人不得向中标供应商提出任何不合理的要求作为签订合同的条件，不得与中标供应商私下订立背离合同实质性内容的协议。所签订的合同不得对招标文件确定事项和中标供应商投标文件作实质性修改。</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31、电子投标文件要求</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31.1政府采购管理交易系统（苏采云）相关要求是本招标文件的组成部分。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31.2投标供应商应对CA 证书妥善保管，如被他人盗用投标，因此带来的结果均由投标供应商自行承担。</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31.3投标供应商应当对招标文件提出的要求和条件作出实质性响应，并在电子投标系统逐条应答。</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31.4投标供应商应对要求提供的资格证明文件（如资质证书、资格证书）、技术资料（如白皮书、彩页、手册、检测报告等）扫描上传至投标系统。</w:t>
      </w:r>
      <w:r/>
    </w:p>
    <w:p>
      <w:pPr>
        <w:numPr>
          <w:ilvl w:val="0"/>
          <w:numId w:val="2"/>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提交投标文件的截止时间（投标截止时间）</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32.1投标供应商应当在招标文件要求提交投标文件的截止时间前，将投标文件提交至“苏采云”系统，逾期提交的投标文件，“苏采云”系统将自动拒收。</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32.2各投标供应商应在规定时间内凭CA证书进行网上解密。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33、其他</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 依据《政府采购促进中小企业发展管理办法》享受享受扶持政策获得政府采购合同的，小微企业不得将合同分包给大中型企业，中型企业不得将合同分包给大型企业。</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合同条款及格式</w:t>
      </w:r>
      <w:r/>
    </w:p>
    <w:p>
      <w:pPr>
        <w:ind w:left="0" w:right="0" w:firstLine="440"/>
        <w:jc w:val="both"/>
        <w:spacing w:before="220" w:after="156"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以下为成交后签订本项目合同的通用条款，中标供应商不得提出实质性的修改，关于专用条款将由采购人与中标供应商结合本项目具体情况协商后签订。</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政府采购合同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项目名称：江苏旅游职业学院2026、2027年度师生健康体检服务采购               </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项目编号：JSZC-320000-NJJD-G2026-0007</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甲方：（买方）江苏旅游职业学院</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乙方：（卖方）_________</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甲、乙双方根据</w:t>
      </w:r>
      <w:r>
        <w:rPr>
          <w:rFonts w:ascii="SimSun" w:hAnsi="SimSun" w:eastAsia="SimSun" w:cs="SimSun"/>
          <w:color w:val="000000"/>
          <w:sz w:val="22"/>
          <w:u w:val="single"/>
        </w:rPr>
        <w:t xml:space="preserve">江苏旅游职业学院2026、2027年度师生健康体检服务采购</w:t>
      </w:r>
      <w:r>
        <w:rPr>
          <w:rFonts w:ascii="SimSun" w:hAnsi="SimSun" w:eastAsia="SimSun" w:cs="SimSun"/>
          <w:color w:val="000000"/>
          <w:sz w:val="22"/>
        </w:rPr>
        <w:t xml:space="preserve">公开招标的结果，签署本合同。</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1、双方商议确定教职工体检时间，由学校安排前往体检；学生体检时间，根据学生入学时间协商决定，乙方应服从甲方的安排。</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体检前后的对接和协调工作。师生体检的名单提前交于乙方，以便做好准备工作，与学工处商议合理安排各班体检的时间和顺序，交代体检注意事项，教师由学校组织集中前往体检；学生则由乙方安排好接送的交通车辆(车辆费用由乙方承担，不在中标单价中单列)，保证体检的安全。</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pacing w:val="-1"/>
          <w:sz w:val="22"/>
        </w:rPr>
        <w:t xml:space="preserve">合同金额</w:t>
      </w:r>
      <w:r>
        <w:rPr>
          <w:rFonts w:ascii="SimSun" w:hAnsi="SimSun" w:eastAsia="SimSun" w:cs="SimSun"/>
          <w:color w:val="000000"/>
          <w:spacing w:val="-25"/>
          <w:sz w:val="22"/>
        </w:rPr>
        <w:t xml:space="preserve">：</w:t>
      </w:r>
      <w:r>
        <w:rPr>
          <w:rFonts w:ascii="SimSun" w:hAnsi="SimSun" w:eastAsia="SimSun" w:cs="SimSun"/>
          <w:color w:val="000000"/>
          <w:sz w:val="22"/>
        </w:rPr>
        <w:t xml:space="preserve">教职工体检套餐最高限价</w:t>
      </w:r>
      <w:r>
        <w:rPr>
          <w:rFonts w:ascii="SimSun" w:hAnsi="SimSun" w:eastAsia="SimSun" w:cs="SimSun"/>
          <w:color w:val="000000"/>
          <w:sz w:val="22"/>
          <w:u w:val="single"/>
        </w:rPr>
        <w:t xml:space="preserve">    </w:t>
      </w:r>
      <w:r>
        <w:rPr>
          <w:rFonts w:ascii="SimSun" w:hAnsi="SimSun" w:eastAsia="SimSun" w:cs="SimSun"/>
          <w:color w:val="000000"/>
          <w:sz w:val="22"/>
        </w:rPr>
        <w:t xml:space="preserve">元/人/次；学生体检最高限价</w:t>
      </w:r>
      <w:r>
        <w:rPr>
          <w:rFonts w:ascii="SimSun" w:hAnsi="SimSun" w:eastAsia="SimSun" w:cs="SimSun"/>
          <w:color w:val="000000"/>
          <w:sz w:val="22"/>
          <w:u w:val="single"/>
        </w:rPr>
        <w:t xml:space="preserve">    </w:t>
      </w:r>
      <w:r>
        <w:rPr>
          <w:rFonts w:ascii="SimSun" w:hAnsi="SimSun" w:eastAsia="SimSun" w:cs="SimSun"/>
          <w:color w:val="000000"/>
          <w:sz w:val="22"/>
        </w:rPr>
        <w:t xml:space="preserve">元/人/次，最终结算金额根据中标单价和实际参检人数按实结算，体检项目详见招标文件。</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在体检结束7个工作日内提供除每人一份的纸质报告外，还需提供电子报告，并送至学校2次（有大批量报告时）。在所有甲方人员体检结束完成全校整体健康分析及评估报告。乙方应确保体检成果的科学、准确、无误。对体检发现的阳性结果，乙方提供进一步检査和治疗的绿色通道。对甲方个人健康资料，乙方予以保密，不得外泄，并建立电子健康档案。</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5、体检结束后乙方要安排各科室主任于半日内在学校进行现场咨询；另外针对甲方教职工中多发性、常见性疾病开展一次讲座。</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体检费用按当年实际体检人数当年结算，在甲方全部领取完毕体检报告前结清，最终结算金额以甲方审核认定为准，乙方无任何异议。付款前，乙方应向甲方开具相应金额的正式发票，否则甲方将不予付款且不承担任何违约责任。</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名称：_______________</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账号：_______________</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开户行：_______________</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乙方在为甲方提供体检时，应热情周到，及时做好咨询接待工作，保证体检质量，确保体检顺利进行，实现甲方订立合同的目的。若乙方在履行合同过程中发生安全事故，造成甲方师生人身、财产损害的，由乙方承担全部赔偿等法律责任；给造成甲方损失的，乙方应当承担全部责任。</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8、违约责任</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8.1乙方未按约定的要求或期限交付体检报告等服务成果的，按逾期天数，每日应向甲方支付1000元违约金。</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8.2乙方擅自将本合同部分或全部转让给第三方的，甲方有权解除本合同，乙方还应向甲方支付合同结算总金额的百分之二十违约金并賠偿甲方所遭受的一切损失，且乙方无权要求甲方支付任何款项。</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除本合同另有约定外，乙方违反本合同任一约定且经甲方催告后15日仍未履行或纠正的，甲方有权解除本合同，乙方还应向甲方支付合同结算总金额的百分之二十违约金赔偿甲方所遭受的一切损失，同时甲方有权暂停支付任何款项。</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8.4乙方应承担的违约金、损害賠偿等款项，甲方有权在应付款中直接扣除。</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9、其他约定</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甲、乙双方协商确定的所有检查项目，严格按中标价格执行。未包含在体检清单中、中标单价中没有对应项目的，参照省市财政、物价、卫生部门的收费标准友好协商收取费用，如价格发生争议，以甲方审核确定金额为准。费用不得高于省市财政、物价、卫生部门的收费标准，否则乙方按合同项下价款总额的30%向甲方支付违约金。</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9.2甲乙双方在合同履行中发生争议的，应通过友好协商解决;如协商不成，任何一方应向甲方所在地人民法院提起诉讼。</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10、履约保证金：无。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11、服务期</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 2026年和2027年（2年，具体起止时间由甲方指定）。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12、款项支付</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本合同项下所有款项均以人民币支付。 </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本合同项下的采购资金由甲方支付，付款前乙方向甲方开具发票。</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 甲方付款方式：</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合同签订后，甲方统计好第一年具体体检人数，第一年款项金额为人数*乙方中标单价；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第一次付款：乙方向甲方开具发票，甲方自收到发票之日起10个工作日内预付第一年款项金额的30%；</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第二次付款：第一年体检工作完成并提交甲方体检工作报告和分析评价报告后，乙方向甲方开具发票，甲方自收到发票之日起10个工作日内按实付清第一年期结算价余款（扣除预付款）；</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第三次付款：第二年体检工作完成并提交甲方体检工作报告和分析评价报告后，乙方向甲方开具发票，甲方自收到发票之日起10个工作日内按实付清第二年期结算价。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 本次体检具体以实际体检人数为准，最终结合对应中标单价按实结算。</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rPr>
          <w:rFonts w:ascii="SimSun" w:hAnsi="SimSun" w:eastAsia="SimSun" w:cs="SimSun"/>
          <w:b/>
          <w:color w:val="000000"/>
          <w:sz w:val="22"/>
        </w:rPr>
        <w:t xml:space="preserve">、</w:t>
      </w:r>
      <w:r>
        <w:rPr>
          <w:rFonts w:ascii="SimSun" w:hAnsi="SimSun" w:eastAsia="SimSun" w:cs="SimSun"/>
          <w:color w:val="000000"/>
          <w:sz w:val="22"/>
        </w:rPr>
        <w:t xml:space="preserve">为落实好政府采购履约资金扶持政策，乙方可凭政府采购合同办理融资贷款，详见江苏政府采购网“政采贷”专栏。</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14、合同生效及其它</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合同经双方法定代表人签章并加盖单位公章，并经南京金鼎工程造价评估有限责任公司见证盖章后生效。</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14.2本合同未尽事宜，遵照《民法典》有关条文执行。</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 本合同正本一式陆份，具有同等法律效力，甲乙双方各执贰份、见证方及财政监管部门各执一份。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69"/>
        <w:gridCol w:w="4570"/>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0"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0"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0"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0"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0"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tc>
      </w:tr>
      <w:tr>
        <w:trPr>
          <w:trHeight w:val="51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6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3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见证方：</w:t>
            </w: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3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项目经办人：</w:t>
            </w: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39"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tc>
      </w:tr>
    </w:tbl>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一、总体需求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1、体检对象：全体教职员工（目前706人，含在职教职工615人、离退休91人）；2026级、2027级新生；其他年级学生自愿参检。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2、体检费用标准：</w:t>
      </w:r>
      <w:r>
        <w:rPr>
          <w:rFonts w:ascii="SimSun" w:hAnsi="SimSun" w:eastAsia="SimSun" w:cs="SimSun"/>
          <w:i/>
          <w:color w:val="000000"/>
          <w:sz w:val="22"/>
          <w:u w:val="single"/>
        </w:rPr>
        <w:t xml:space="preserve">教职工体检套餐最高限价1500元/人/次；学生体检最高限价86元/人/次（含往返学校与体检单位之间的交通费）</w:t>
      </w:r>
      <w:r>
        <w:rPr>
          <w:rFonts w:ascii="SimSun" w:hAnsi="SimSun" w:eastAsia="SimSun" w:cs="SimSun"/>
          <w:color w:val="000000"/>
          <w:sz w:val="22"/>
        </w:rPr>
        <w:t xml:space="preserve">。教职工体检每年一次，参检人员为全体教职员工，学生体检每年一次，参检人员为当年入学新生，最终按实际人数进行结算。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拟选取两名供应商入围，教职工体检由各教职工自行选择一家供应商进行体检，学生体检统一由两名入围供应商中学生体检报价低的一家进行体检。单价以供应商各自投标报价执行，最终按实际人数进行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4、体检单位要求：具备体检、诊断和治疗资质。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5、本项目服务期限为2年。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6、供应商应完成包括教职工体检和新生体检在内的本项目所有内容。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7、具体体检项目见体检项目清单。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二、教职工体检项目清单</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7"/>
        <w:gridCol w:w="3457"/>
        <w:gridCol w:w="5221"/>
      </w:tblGrid>
      <w:tr>
        <w:trPr>
          <w:trHeight w:val="558"/>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＜45岁周岁人员套餐</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意义</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肝功能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筛查肝脏疾病</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肾功能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筛查肾脏疾病</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血脂分析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高血脂、动脉硬化的检查</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血糖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筛查糖尿病</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肿瘤标记物:CEA、AFP、PSA/CA125、CA199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筛查消化道、肝脏、前列腺/子宫附件、胰腺肿瘤</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血常规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检测病毒感染、白血病、急性感染、贫血、炎症等</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尿常规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尿路感染、尿糖、尿蛋白、尿液酸、急慢性肾病等检查</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彩超：肝胆脾胰双肾、前列腺/子宫附件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检查肝胆脾胰肾、前列腺、膀胱/子宫附件等器官的病变</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彩超：甲状腺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检查甲状腺疾病</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心电图(12导联)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检查心脏功能及心脏疾病</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胸部CT</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检查心脏肥大、肺呼吸道等疾病</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心脏彩超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检查心脏舒缩功能及瓣膜工作情况</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一般检查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测血压等，了解身体的基本状况</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心、肝、脾、肺、神经系统等检查</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皮肤、四肢、淋巴结、甲状腺、乳腺、肛门等检查</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眼科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青光眼、白内障、眼底动脉血管检查</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耳鼻喉科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耳鼻咽喉各部形态、功能，发音及听力等检查</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采血器3只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采血1次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≥45岁周岁人员套餐</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意义</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肝功能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筛查肝脏疾病</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肾功能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筛查肾脏疾病</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血脂分析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高血脂、动脉硬化的检查</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血糖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筛查糖尿病</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肿瘤标记物:CEA、AFP、PSA/CA125、CA199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筛查消化道、肝脏、前列腺/子宫附件、胰腺肿瘤</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血常规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检测病毒感染、白血病、急性感染、贫血、炎症等</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尿常规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尿路感染、尿糖、尿蛋白、尿液酸、急慢性肾病等检查</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彩超：肝胆脾胰双肾、前列腺/子宫附件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检查肝胆脾胰肾、前列腺、膀胱/子宫附件等器官的病变</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彩超：甲状腺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检查甲状腺疾病</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彩超：颈部血管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检查颈部血管有无斑块、狭窄等形成</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心电图(12导联)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检查心脏功能及心脏疾病</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胸部CT</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检查心脏肥大、肺呼吸道等疾病</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心脏彩超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检查心脏舒缩功能及瓣膜工作情况</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一般检查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测血压等，了解身体的基本状况</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心、肝、脾、肺、神经系统等检查</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皮肤、四肢、淋巴结、甲状腺、乳腺、肛门等检查</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眼科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青光眼、白内障、眼底动脉血管检查</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耳鼻喉科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耳鼻咽喉各部形态、功能，发音及听力等检查</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采血器3只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采血1次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1"/>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未婚女增项</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意义</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彩超：乳腺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检查乳腺疾病</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已婚女增项</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意义</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妇科检查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检查女性生殖道疾病</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白带常规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对白带进行细胞学检查</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宫颈TCT</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对宫颈脱落细胞进行最高级别筛查</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彩超：乳腺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检查乳腺疾病</w:t>
            </w:r>
            <w:r/>
          </w:p>
        </w:tc>
      </w:tr>
      <w:tr>
        <w:trPr>
          <w:trHeight w:val="42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自选项目组合套餐：</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意义</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上腹部CT平扫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检查全腹部脏器的病变</w:t>
            </w:r>
            <w:r/>
          </w:p>
        </w:tc>
      </w:tr>
      <w:tr>
        <w:trPr>
          <w:trHeight w:val="2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肿瘤两项（CA50、FPSA/CA153）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筛查泌尿/乳腺等系统肿瘤</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胃粘膜血清学试验3项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筛查胃部疾病</w:t>
            </w:r>
            <w:r/>
          </w:p>
        </w:tc>
      </w:tr>
      <w:tr>
        <w:trPr>
          <w:trHeight w:val="2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幽门螺杆菌抗体检测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筛查幽门螺杆菌感染</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头颅CT</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检查颅内病变</w:t>
            </w:r>
            <w:r/>
          </w:p>
        </w:tc>
      </w:tr>
      <w:tr>
        <w:trPr>
          <w:trHeight w:val="2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糖化血红蛋白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检测近三个月的血糖水平</w:t>
            </w:r>
            <w:r/>
          </w:p>
        </w:tc>
      </w:tr>
      <w:tr>
        <w:trPr>
          <w:trHeight w:val="2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同型半胱氨酸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筛查心血管疾病风险</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肿瘤4项：NSE、CY21-1、CA50、FPSA/CA153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筛查肺、泌尿/乳腺等系统肿瘤</w:t>
            </w:r>
            <w:r/>
          </w:p>
        </w:tc>
      </w:tr>
      <w:tr>
        <w:trPr>
          <w:trHeight w:val="2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甲状腺功能三项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检查是否有甲亢、甲减</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E(</w:t>
            </w:r>
            <w:r>
              <w:rPr>
                <w:rFonts w:ascii="Arial" w:hAnsi="Arial" w:eastAsia="Arial" w:cs="Arial"/>
                <w:color w:val="000000"/>
                <w:sz w:val="22"/>
              </w:rPr>
              <w:t xml:space="preserve">限</w:t>
            </w:r>
            <w:r>
              <w:rPr>
                <w:rFonts w:ascii="SimSun" w:hAnsi="SimSun" w:eastAsia="SimSun" w:cs="SimSun"/>
                <w:color w:val="000000"/>
                <w:sz w:val="22"/>
              </w:rPr>
              <w:t xml:space="preserve">已婚</w:t>
            </w:r>
            <w:r>
              <w:rPr>
                <w:rFonts w:ascii="Arial" w:hAnsi="Arial" w:eastAsia="Arial" w:cs="Arial"/>
                <w:color w:val="000000"/>
                <w:sz w:val="22"/>
              </w:rPr>
              <w:t xml:space="preserve">女性</w:t>
            </w: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乳腺钼靶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检查乳腺病变</w:t>
            </w:r>
            <w:r/>
          </w:p>
        </w:tc>
      </w:tr>
      <w:tr>
        <w:trPr>
          <w:trHeight w:val="2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肿瘤两项（</w:t>
            </w:r>
            <w:r>
              <w:rPr>
                <w:rFonts w:ascii="SimSun" w:hAnsi="SimSun" w:eastAsia="SimSun" w:cs="SimSun"/>
                <w:color w:val="000000"/>
                <w:sz w:val="22"/>
              </w:rPr>
              <w:t xml:space="preserve">CA50</w:t>
            </w:r>
            <w:r>
              <w:rPr>
                <w:rFonts w:ascii="Arial" w:hAnsi="Arial" w:eastAsia="Arial" w:cs="Arial"/>
                <w:color w:val="000000"/>
                <w:sz w:val="22"/>
              </w:rPr>
              <w:t xml:space="preserve">、</w:t>
            </w:r>
            <w:r>
              <w:rPr>
                <w:rFonts w:ascii="SimSun" w:hAnsi="SimSun" w:eastAsia="SimSun" w:cs="SimSun"/>
                <w:color w:val="000000"/>
                <w:sz w:val="22"/>
              </w:rPr>
              <w:t xml:space="preserve">CA153</w:t>
            </w:r>
            <w:r>
              <w:rPr>
                <w:rFonts w:ascii="Arial" w:hAnsi="Arial" w:eastAsia="Arial" w:cs="Arial"/>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筛查泌尿</w:t>
            </w:r>
            <w:r>
              <w:rPr>
                <w:rFonts w:ascii="SimSun" w:hAnsi="SimSun" w:eastAsia="SimSun" w:cs="SimSun"/>
                <w:color w:val="000000"/>
                <w:sz w:val="22"/>
              </w:rPr>
              <w:t xml:space="preserve">/</w:t>
            </w:r>
            <w:r>
              <w:rPr>
                <w:rFonts w:ascii="Arial" w:hAnsi="Arial" w:eastAsia="Arial" w:cs="Arial"/>
                <w:color w:val="000000"/>
                <w:sz w:val="22"/>
              </w:rPr>
              <w:t xml:space="preserve">乳腺等系统肿瘤</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w:t>
            </w:r>
            <w:r>
              <w:rPr>
                <w:rFonts w:ascii="Arial" w:hAnsi="Arial" w:eastAsia="Arial" w:cs="Arial"/>
                <w:color w:val="000000"/>
                <w:sz w:val="22"/>
              </w:rPr>
              <w:t xml:space="preserve">限已婚女性</w:t>
            </w: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HPV</w:t>
            </w:r>
            <w:r>
              <w:rPr>
                <w:rFonts w:ascii="Arial" w:hAnsi="Arial" w:eastAsia="Arial" w:cs="Arial"/>
                <w:color w:val="000000"/>
                <w:sz w:val="22"/>
              </w:rPr>
              <w:t xml:space="preserve">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检测宫颈是否有</w:t>
            </w:r>
            <w:r>
              <w:rPr>
                <w:rFonts w:ascii="SimSun" w:hAnsi="SimSun" w:eastAsia="SimSun" w:cs="SimSun"/>
                <w:color w:val="000000"/>
                <w:sz w:val="22"/>
              </w:rPr>
              <w:t xml:space="preserve">HPV</w:t>
            </w:r>
            <w:r>
              <w:rPr>
                <w:rFonts w:ascii="Arial" w:hAnsi="Arial" w:eastAsia="Arial" w:cs="Arial"/>
                <w:color w:val="000000"/>
                <w:sz w:val="22"/>
              </w:rPr>
              <w:t xml:space="preserve">感染</w:t>
            </w:r>
            <w:r/>
          </w:p>
        </w:tc>
      </w:tr>
      <w:tr>
        <w:trPr>
          <w:trHeight w:val="2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肿瘤两项（</w:t>
            </w:r>
            <w:r>
              <w:rPr>
                <w:rFonts w:ascii="SimSun" w:hAnsi="SimSun" w:eastAsia="SimSun" w:cs="SimSun"/>
                <w:color w:val="000000"/>
                <w:sz w:val="22"/>
              </w:rPr>
              <w:t xml:space="preserve">CA50</w:t>
            </w:r>
            <w:r>
              <w:rPr>
                <w:rFonts w:ascii="Arial" w:hAnsi="Arial" w:eastAsia="Arial" w:cs="Arial"/>
                <w:color w:val="000000"/>
                <w:sz w:val="22"/>
              </w:rPr>
              <w:t xml:space="preserve">、</w:t>
            </w:r>
            <w:r>
              <w:rPr>
                <w:rFonts w:ascii="SimSun" w:hAnsi="SimSun" w:eastAsia="SimSun" w:cs="SimSun"/>
                <w:color w:val="000000"/>
                <w:sz w:val="22"/>
              </w:rPr>
              <w:t xml:space="preserve">CA153</w:t>
            </w:r>
            <w:r>
              <w:rPr>
                <w:rFonts w:ascii="Arial" w:hAnsi="Arial" w:eastAsia="Arial" w:cs="Arial"/>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筛查泌尿</w:t>
            </w:r>
            <w:r>
              <w:rPr>
                <w:rFonts w:ascii="SimSun" w:hAnsi="SimSun" w:eastAsia="SimSun" w:cs="SimSun"/>
                <w:color w:val="000000"/>
                <w:sz w:val="22"/>
              </w:rPr>
              <w:t xml:space="preserve">/</w:t>
            </w:r>
            <w:r>
              <w:rPr>
                <w:rFonts w:ascii="Arial" w:hAnsi="Arial" w:eastAsia="Arial" w:cs="Arial"/>
                <w:color w:val="000000"/>
                <w:sz w:val="22"/>
              </w:rPr>
              <w:t xml:space="preserve">乳腺等系统肿瘤</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肿瘤两项（</w:t>
            </w:r>
            <w:r>
              <w:rPr>
                <w:rFonts w:ascii="SimSun" w:hAnsi="SimSun" w:eastAsia="SimSun" w:cs="SimSun"/>
                <w:color w:val="000000"/>
                <w:sz w:val="22"/>
              </w:rPr>
              <w:t xml:space="preserve">CA50</w:t>
            </w:r>
            <w:r>
              <w:rPr>
                <w:rFonts w:ascii="Arial" w:hAnsi="Arial" w:eastAsia="Arial" w:cs="Arial"/>
                <w:color w:val="000000"/>
                <w:sz w:val="22"/>
              </w:rPr>
              <w:t xml:space="preserve">、</w:t>
            </w:r>
            <w:r>
              <w:rPr>
                <w:rFonts w:ascii="SimSun" w:hAnsi="SimSun" w:eastAsia="SimSun" w:cs="SimSun"/>
                <w:color w:val="000000"/>
                <w:sz w:val="22"/>
              </w:rPr>
              <w:t xml:space="preserve">FPSA/CA153</w:t>
            </w:r>
            <w:r>
              <w:rPr>
                <w:rFonts w:ascii="Arial" w:hAnsi="Arial" w:eastAsia="Arial" w:cs="Arial"/>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筛查消化、泌尿系统肿瘤</w:t>
            </w:r>
            <w:r/>
          </w:p>
        </w:tc>
      </w:tr>
      <w:tr>
        <w:trPr>
          <w:trHeight w:val="2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rPr>
                <w:rFonts w:ascii="Arial" w:hAnsi="Arial" w:eastAsia="Arial" w:cs="Arial"/>
                <w:color w:val="000000"/>
                <w:sz w:val="22"/>
              </w:rPr>
              <w:t xml:space="preserve">碳尿素呼气试验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筛查幽门螺杆菌感染</w:t>
            </w:r>
            <w:r/>
          </w:p>
        </w:tc>
      </w:tr>
      <w:tr>
        <w:trPr>
          <w:trHeight w:val="88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注：全体教职员工（约706人），其中45岁以上人员201人、未婚女约80人、已婚女约354人，自选项目六项中每人仅按一项计，A/B/C/D/E/F/G项的套餐价应一致。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三、教职工体检其他需求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标人在体检结束7个工作日内完成参检人员的书面报告（提供个人电子档报告）并送至学校2次（有大批量报告时）。在所有教职工人员体检结束完成全校整体健康分析及评估报告；中标人应确保体检成果的科学、准确、无误。对体检发现的阳性结果，中标人提供进一步检査和治疗的绿色通道。对校方个人健康资料，中标人予以保密，不得外泄，并建立电子健康档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2、体检结束后中标人要安排各科室主任于半日内在学校进行现场咨询；另外针对教职工中多发性、常见性疾病开展一次讲座。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3、中标人为每位体检者提供体检当天早餐一份，为私驾车者提供当天免费停车券一张；中标人以实际发生体检总人数计算收取费用；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4、本项目以实际人数和对应套餐为准；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5、今年体检时间约为今年七月，由学校组织集中前往体检。下一年体检时间由采购人确定后提前两周告知中标人。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四、新生体检清单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根据《关于加强全省普通高等学校学生健康体检工作的通知》（苏教体艺[2018]8号）要求，必查项目如下：</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23"/>
        <w:gridCol w:w="2059"/>
        <w:gridCol w:w="4830"/>
      </w:tblGrid>
      <w:tr>
        <w:trPr>
          <w:trHeight w:val="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参考编码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110500001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体检费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不另收诊察费，含建立健康档案、总检报告</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250101015-b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血细胞分析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五分类仪器检测法</w:t>
            </w:r>
            <w:r/>
          </w:p>
        </w:tc>
      </w:tr>
      <w:tr>
        <w:trPr>
          <w:trHeight w:val="4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250305007-b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血清丙氨酸氨基转移酶测定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速率法</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250307001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尿素测定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化学法、酶促动力学法</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250307002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肌酐测定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酶促动力学法</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250307005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血清尿酸测定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120400002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静脉采血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含一次性采血器、注射器、一次性止血带等特殊性消耗材料</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210102015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数字化摄影(DR)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不得加收滤线器费（210102-b)，曝光不得超过2次。含数据采集、存贮、图像显示</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五、新生体检其他需求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1、根据《关于加强全省普通高等学校学生健康体检工作的通知》（苏教体艺[2018]8号）中提供的新生入学体检必须检查项目指导价格，最高限价86元每人（含往返学校与体检单位之间的交通费）；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2、体检包含学生外科检查项目，体检时间暂定为每年九月初，根据学生入学时间协商决定，中标人应服从校方的安排，中标人以实际发生体检总人数计算收取费用。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3、供应商在规定时间内完成体检工作，并在体检结束7个工作日内完成体检工作报告和分析评价报告后提交学校。（并提供个人电子档报告）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4、本次一切与体检相关的费用均包含在报价内（包含学生体检车辆安全接送），请各供应商认真考虑其各种风险。除合同另有规定之外，伴随服务的费用均已含在合同价款中，采购人不再另行支付。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六、其他补充要求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体检前后的对接和协调工作：师生体检的名单提前交于中标人，以便做好准备工作，中标人与学工处商议合理安排各班体检的时间和顺序，交代体检注意事项，教师由学校安排前往体检；学生则由中标人安排好接送的交通车辆(车辆费用包含在单价内)，保证体检的安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人在为校方提供体检时，应热情周到，及时做好咨询接待工作，保证体检质量，确保体检顺利进行，实现校方订立合同的目的。若中标人在履行合同过程中发生安全事故，造成校方师生人身、财产损害的，由中标人承担全部赔偿等法律责任；给造成校方损失的，中标人应当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双方协商确定的所有检查项目，严格按中标价格执行。未包含在体检清单中、中标单价中没有对应项目的，参照省市财政、物价、卫生部门的收费标准友好协商收取费用，如价格发生争议，以校方审核确定金额为准。费用不得高于省市财政、物价、卫生部门的收费标准，否则中标人按合同项下价款总额的30%向校方支付违约金。</w:t>
      </w:r>
      <w:r/>
    </w:p>
    <w:p>
      <w:pPr>
        <w:pStyle w:val="638"/>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评标方法及评标标准</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一、评标方法</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二、政府采购政策功能落实</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1、小微型企业价格扣除</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（1）本项目对小型和微型企业产品给予20%的扣除价格，用扣除后的价格参与评审。</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（2）供应商需按照采购文件的要求提供相应的《中小企业声明函》。</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2、残疾人福利单位价格扣除</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（1）本项目对残疾人福利性单位视同小型、微型企业，给予20%的价格扣除，用扣除后的价格参与评审。</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（2）残疾人福利单位需按照采购文件的要求提供《残疾人福利性单位声明函》。</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（3）残疾人福利单位标准请参照《关于促进残疾人就业政府采购政策的通知》（财库2017〕141号）。</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3、监狱和戒毒企业价格扣除</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（1）本项目对监狱和戒毒企业（简称监狱企业）视同小型、微型企业，给予20%的价格扣除，用扣除后的价格参与评审。</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（3）监狱企业标准请参照《关于政府采购支持监狱企业发展有关问题的通知》（财库[2014]68号）。</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4、残疾人福利单位、监狱企业属于小型、微型企业的，不重复享受政策。</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6、联合体各方均为小型、微型企业（残疾人福利单位、监狱企业）的，联合体享受20%价格扣除，用扣除后的价格参与评审。</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7、大中型企业向小型、微型企业分包的，分包意向协议约定小型、微型企业合同份额占到合同总金额30%以上的，给予6%的价格扣除，用扣除后的价格参与评审。</w:t>
      </w:r>
      <w:r/>
    </w:p>
    <w:p>
      <w:pPr>
        <w:ind w:left="0" w:right="0" w:firstLine="44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三、评标标准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91"/>
        <w:gridCol w:w="7231"/>
      </w:tblGrid>
      <w:tr>
        <w:trPr>
          <w:trHeight w:val="5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以满足招标文件要求的最低投标报价（单价合计）为基准价，得满分10分，其他报价得分=（基准价∕其他报价）×10，保留两位有效小数。</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体检方案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总体体检实施方案：方案详细，具有可操作性，完全保证体检结果的准确性，得6分；方案详细，可操作性不强，基本保证体检结果的准确性，得4分；方案简单，且无可操作性，勉强体现体检结果的准确性得2分。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体检过程中的关键环节、体检的重难点环节：针对体检过程中的关键环节、体检的重难点环节有充分的分析，同时提出可行的解决方案，以保证体检的准确性及及时性。对每名体检人员出具体检结果，对发现异常检查结果的人员，要提出针对性对策建议，发现传染性或其它重大疾病应按有关规定及时向本人和学校反馈。完全响应且优于上述要求的得6分，基本满足的得4分，存在欠缺的得2分，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体检过程中确保医疗卫生安全方案：方案能够杜绝医疗卫生安全事件的发生。对于具有辐射性或对人体有一定副作用的体检项目，具有有效的防护措施。对体检过程中可能出现的安全问题或突发情况有充足的处理预案方案。完全响应且优于上述要求的得6分，基本满足的得4分，存在欠缺的得2分，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保证准确且满足校方要求的体检报告：杜绝出现体检结果和人员无法对应的情况，同时体检机构应按照国家法律法规要求，制定和落实人员健康体检信息保密管理措施，未经允许不得发布和泄露。保证体检报告的私密性，不得提供给校方、体检者本人、医疗行政主管部门外的任何人员或机构的合理性保障措施方案。完全优于上述要求的得6分，基本满足的得4分，存在欠缺的得2分，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建立体检人员健康档案：要根据学校健康促进工作要求，为学校提供客观、准确、详细的评价分析报告，使学校全面了解参检人员的健康状况及常见病、慢性病、传染性疾病发病情况，配合学校建立健全参检人员健康档案。方案详细、可操作强的得6分，方案详细但操作性不强得4分，方案简单，缺乏操作性的得2分，不提供不得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管理方案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1、服务管理方案（6分）：服务管理完善，程序规范得6分；服务管理较完善，程序较规范得4分；服务管理、程序一般2分；未提供不得分。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2、流感、疫情防控方案（6分）：流感、疫情防控方案制定明确、可操作性强得6分；流感、疫情防控方案制定一般、有一定操作性得4分；流感、疫情防控方案差得2分；未提供不得分。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3、体检时间进度计划方案（6分）：进度计划合理、操作性强得6分，进度计划较为合理、操作性较好的得4分，进度计划一般、操作一般的得2分；未提供不得分。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4、体检后续服务（4分）：提供异常人员的复检或指导就诊得2分；提供体检后的健康咨询得2分。</w:t>
            </w:r>
            <w:r>
              <w:rPr>
                <w:rFonts w:ascii="SimSun" w:hAnsi="SimSun" w:eastAsia="SimSun" w:cs="SimSun"/>
                <w:b/>
                <w:color w:val="000000"/>
                <w:sz w:val="22"/>
              </w:rPr>
              <w:t xml:space="preserve">（提供承诺书，格式自拟，原件扫描上传）</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供应商2022年1月1日以来（以合同签订时间为准），承接过与本项目类似项目业绩的，每提供一项得2分，满分10分。</w:t>
            </w:r>
            <w:r>
              <w:rPr>
                <w:rFonts w:ascii="SimSun" w:hAnsi="SimSun" w:eastAsia="SimSun" w:cs="SimSun"/>
                <w:b/>
                <w:color w:val="000000"/>
                <w:sz w:val="22"/>
              </w:rPr>
              <w:t xml:space="preserve">（同一业主单位不重复计分，提供合同，原件扫描上传）</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综合实力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1、供应商具备体检后期诊疗服务能力（全科医院资质）的得4分。</w:t>
            </w:r>
            <w:r>
              <w:rPr>
                <w:rFonts w:ascii="SimSun" w:hAnsi="SimSun" w:eastAsia="SimSun" w:cs="SimSun"/>
                <w:b/>
                <w:color w:val="000000"/>
                <w:sz w:val="22"/>
              </w:rPr>
              <w:t xml:space="preserve">（提供证明材料，原件扫描上传）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2、学校自驾到达体检地点在0.5小时（含）以内得3分，学校自驾到达体检地点在1小时（含）以内得1.5分，学校自驾到达体检地点超过1小时不得分。本项满分3分。</w:t>
            </w:r>
            <w:r>
              <w:rPr>
                <w:rFonts w:ascii="SimSun" w:hAnsi="SimSun" w:eastAsia="SimSun" w:cs="SimSun"/>
                <w:b/>
                <w:color w:val="000000"/>
                <w:sz w:val="22"/>
              </w:rPr>
              <w:t xml:space="preserve">（提供学校【扬州市邗江区毓秀路88号】至体检场所位置的导航路线图上传）</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专家设施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1、供应商拟派项目负责人具有正高职称得5分，具有副高职称得3分，具有中级职称得1分，满分5分。</w:t>
            </w:r>
            <w:r>
              <w:rPr>
                <w:rFonts w:ascii="SimSun" w:hAnsi="SimSun" w:eastAsia="SimSun" w:cs="SimSun"/>
                <w:b/>
                <w:color w:val="000000"/>
                <w:sz w:val="22"/>
              </w:rPr>
              <w:t xml:space="preserve">（提供项目负责人职称证书，原件扫描上传）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2、供应商每具有一名注册护士得1分，满分10分。</w:t>
            </w:r>
            <w:r>
              <w:rPr>
                <w:rFonts w:ascii="SimSun" w:hAnsi="SimSun" w:eastAsia="SimSun" w:cs="SimSun"/>
                <w:b/>
                <w:color w:val="000000"/>
                <w:sz w:val="22"/>
              </w:rPr>
              <w:t xml:space="preserve">（提供证书，原件扫描上传）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3、供应商具有独立的健康体检场所及候检场所得3分。</w:t>
            </w:r>
            <w:r>
              <w:rPr>
                <w:rFonts w:ascii="SimSun" w:hAnsi="SimSun" w:eastAsia="SimSun" w:cs="SimSun"/>
                <w:b/>
                <w:color w:val="000000"/>
                <w:sz w:val="22"/>
              </w:rPr>
              <w:t xml:space="preserve">（提供照片证明或者房产证、租赁合同等场地证明，原件扫描上传）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4、供应商的体检场所具备独立四台及以上的B超机得3分，具备独立三台B超机得2分，具备独立两台B超机得1分，两台以下不得分，满分3分。</w:t>
            </w:r>
            <w:r>
              <w:rPr>
                <w:rFonts w:ascii="SimSun" w:hAnsi="SimSun" w:eastAsia="SimSun" w:cs="SimSun"/>
                <w:b/>
                <w:color w:val="000000"/>
                <w:sz w:val="22"/>
              </w:rPr>
              <w:t xml:space="preserve">（提供照片证明或机器发票，原件扫描上传）</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100分</w:t>
            </w:r>
            <w:r/>
          </w:p>
        </w:tc>
      </w:tr>
    </w:tbl>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1、评标时，未能按以上要求提供相应证明的，不作为评标依据，不得分。</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2、若发现有提供虚假的证明材料，视为无效投标，并追究相关责任。</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3、评审委员会启动异常低价投标(响应)审查的情形和具体要求，包括：</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(一)评审过程中出现下列情形之一的，评审委员会应当启动异常低价投标(响应)审查程序：</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（1）投标(响应)报价低于采购项目预算 50%的，即投标(响应)报价&lt;采购项目预算*50%；</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（2）投标(响应)报价低于采购项目最高限价45%的，即投标(响应)报价&lt;采购项目最高限价*45%；</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（3）评审委员会认定的供应商报价过低、有可能影响产品质量或者不能诚信履约的其他情形。</w:t>
      </w:r>
      <w:r/>
    </w:p>
    <w:p>
      <w:pPr>
        <w:ind w:left="0" w:right="0" w:firstLine="44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w:t>
      </w:r>
      <w:r/>
    </w:p>
    <w:p>
      <w:pPr>
        <w:ind w:left="0" w:right="0" w:firstLine="880"/>
        <w:jc w:val="both"/>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w:t>
      </w:r>
      <w:r>
        <w:rPr>
          <w:rFonts w:ascii="SimSun" w:hAnsi="SimSun" w:eastAsia="SimSun" w:cs="SimSun"/>
          <w:b/>
          <w:color w:val="000000"/>
          <w:sz w:val="36"/>
          <w:u w:val="single"/>
        </w:rPr>
        <w:t xml:space="preserve">               </w:t>
      </w:r>
      <w:r/>
      <w:r>
        <w:rPr>
          <w:rFonts w:ascii="SimSun" w:hAnsi="SimSun" w:eastAsia="SimSun" w:cs="SimSun"/>
          <w:b/>
          <w:color w:val="000000"/>
          <w:sz w:val="36"/>
        </w:rPr>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投标主要文件目录</w:t>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二、上一年度的财务状况报告（成立不满一年无需提供）</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五、参加政府采购活动前3年内在经营活动中没有重大违法记录的书面声明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六、供应商信用承诺函</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八、投标函</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九、中小企业声明函（如有）</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十、开标一览表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二、上一年度的财务状况报告（成立不满一年无需提供）</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投标人成立不满一年不需提供</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五、参加政府采购活动前3年内在经营活动中没有重大违法记录的书面声明</w:t>
      </w:r>
      <w:r/>
    </w:p>
    <w:p>
      <w:pPr>
        <w:ind w:left="0" w:right="0" w:firstLine="0"/>
        <w:jc w:val="center"/>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声明</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29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六、供应商信用承诺函</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供应商信用承诺函</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承诺主体名称：</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为维护公平竞争、规范有序的市场秩序，营造诚实守信的信用环境，共同推进社会信用体系建设完善，树立企业诚信守法形象，本企业对项目政府采购活动郑重承诺如下：</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一、对提供给注册登记部门、行业管理部门、司法部门、行业组织以及在政府采购活动中提交的所有资料的合法性、真实性、准确性和有效性负责；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四、自觉接受行政管理部门、行业组织、社会公众、新闻舆论的监督；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六、提出政府采购质疑和投诉坚持依法依规、诚实信用原则，在全国范围12个月内没有三次以上查无实据的政府采购投诉；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七、严格遵守信用信息公示相关规定，向社会公示信用信息；</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八、在“信用中国”和“中国政府采购网”网站中无违法违规、较重或严重失信记录；</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十、本承诺书自签订之日起生效。</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（注：法定代表人或负责人、主体名称发生变更的应当重新做出承诺。）</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承诺单位（公章）：           </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spacing w:before="240" w:after="24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0"/>
        <w:spacing w:before="240" w:after="24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0"/>
        <w:spacing w:before="240" w:after="24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0"/>
        <w:spacing w:before="240" w:after="24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0"/>
        <w:spacing w:before="240" w:after="24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1"/>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0"/>
        <w:ind w:left="0" w:right="0" w:firstLine="3390"/>
        <w:jc w:val="both"/>
        <w:spacing w:before="260" w:after="260" w:line="761" w:lineRule="atLeast"/>
        <w:pBdr>
          <w:top w:val="none" w:color="000000" w:sz="4" w:space="0"/>
          <w:left w:val="none" w:color="000000" w:sz="4" w:space="0"/>
          <w:bottom w:val="none" w:color="000000" w:sz="4" w:space="0"/>
          <w:right w:val="none" w:color="000000" w:sz="4" w:space="0"/>
        </w:pBdr>
      </w:pPr>
      <w:r>
        <w:br w:type="page" w:clear="all"/>
      </w:r>
      <w:r/>
    </w:p>
    <w:p>
      <w:pPr>
        <w:pStyle w:val="640"/>
        <w:ind w:left="0" w:right="0" w:firstLine="339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八、投标函</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致：江苏旅游职业学院</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项目招标文件，正式授权下述签字人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(姓名)代表我方______________（投标人的名称），全权处理本次项目投标的有关事宜。</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240" w:line="249" w:lineRule="atLeast"/>
        <w:tabs>
          <w:tab w:val="left" w:pos="3646" w:leader="none"/>
          <w:tab w:val="left" w:pos="4898"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九、中小企业声明函（如有）</w:t>
      </w:r>
      <w:r/>
    </w:p>
    <w:p>
      <w:pPr>
        <w:ind w:left="0" w:right="0" w:firstLine="480"/>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号）的规定，本公司参加南京金鼎工程造价评估有限责任公司扬州分公司的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采购活动，为符合相关政策要求的中小企业。企业的具体情况如下：</w:t>
      </w:r>
      <w:r/>
    </w:p>
    <w:p>
      <w:pPr>
        <w:ind w:left="0" w:right="0" w:firstLine="420"/>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b/>
          <w:color w:val="000000"/>
          <w:sz w:val="24"/>
          <w:u w:val="single"/>
        </w:rPr>
        <w:t xml:space="preserve">（其他未列明行业）</w:t>
      </w:r>
      <w:r>
        <w:rPr>
          <w:rFonts w:ascii="SimSun" w:hAnsi="SimSun" w:eastAsia="SimSun" w:cs="SimSun"/>
          <w:color w:val="000000"/>
          <w:sz w:val="24"/>
          <w:u w:val="single"/>
        </w:rPr>
        <w:t xml:space="preserve">（不得对行业类别修改）</w:t>
      </w:r>
      <w:r>
        <w:rPr>
          <w:rFonts w:ascii="SimSun" w:hAnsi="SimSun" w:eastAsia="SimSun" w:cs="SimSun"/>
          <w:color w:val="000000"/>
          <w:sz w:val="24"/>
        </w:rPr>
        <w:t xml:space="preserve">；供应商企业为</w:t>
      </w:r>
      <w:r>
        <w:rPr>
          <w:rFonts w:ascii="SimSun" w:hAnsi="SimSun" w:eastAsia="SimSun" w:cs="SimSun"/>
          <w:color w:val="000000"/>
          <w:sz w:val="24"/>
          <w:u w:val="single"/>
        </w:rPr>
        <w:t xml:space="preserve"> （企业名称）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20"/>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20"/>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以上企业，不属于大企业的分支机构，不存在控股股东为大企业的情形，也不存在与大企业的负责人为同一人的情形。 </w:t>
      </w:r>
      <w:r/>
    </w:p>
    <w:p>
      <w:pPr>
        <w:ind w:left="0" w:right="0" w:firstLine="420"/>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2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2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2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注：从业人员、营业收入、资产总额填报上一年度数据，无上一年度数据的新成立企业可不填报相应数据。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00" w:after="30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中小微企业划型标准</w:t>
      </w:r>
      <w:r>
        <w:rPr>
          <w:rFonts w:ascii="Arial" w:hAnsi="Arial" w:eastAsia="Arial" w:cs="Arial"/>
          <w:b/>
          <w:color w:val="000000"/>
          <w:sz w:val="21"/>
        </w:rPr>
        <w:t xml:space="preserve"> </w:t>
      </w:r>
      <w:r/>
    </w:p>
    <w:p>
      <w:pPr>
        <w:ind w:left="0" w:right="0" w:firstLine="0"/>
        <w:spacing w:before="300" w:after="452"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中小微企业划型标准如下：</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42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说明：上述标准参照《关于印发中小企业划型标准规定的通知》（工信部联企业</w:t>
      </w:r>
      <w:r>
        <w:rPr>
          <w:rFonts w:ascii="SimSun" w:hAnsi="SimSun" w:eastAsia="SimSun" w:cs="SimSun"/>
          <w:b/>
          <w:color w:val="000000"/>
          <w:sz w:val="21"/>
        </w:rPr>
        <w:t xml:space="preserve">[2011]300</w:t>
      </w:r>
      <w:r>
        <w:rPr>
          <w:rFonts w:ascii="DengXian" w:hAnsi="DengXian" w:eastAsia="DengXian" w:cs="DengXian"/>
          <w:b/>
          <w:color w:val="000000"/>
          <w:sz w:val="21"/>
        </w:rPr>
        <w:t xml:space="preserve">号），大型、中型和小型企业须同时满足所列指标的下限，否则下划一档；微型企业只须满足所列指标中的一项即可。</w:t>
        <w:br w:type="page" w:clear="all"/>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残疾人福利性单位声明函（如有）</w:t>
      </w:r>
      <w:r/>
    </w:p>
    <w:p>
      <w:pPr>
        <w:ind w:left="0" w:right="0" w:firstLine="624"/>
        <w:jc w:val="both"/>
        <w:spacing w:before="220" w:after="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本单位在本次政府采购活动中提供的残疾人福利单位产品报价合计为人民币（大写）圆整（￥：     ）。</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444"/>
        <w:jc w:val="both"/>
        <w:spacing w:before="220" w:after="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 </w:t>
      </w:r>
      <w:r/>
    </w:p>
    <w:p>
      <w:pPr>
        <w:ind w:left="0" w:right="0" w:firstLine="420"/>
        <w:jc w:val="center"/>
        <w:spacing w:before="220" w:after="0" w:line="253"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供应商全称（盖章）：</w:t>
      </w:r>
      <w:r/>
    </w:p>
    <w:p>
      <w:pPr>
        <w:ind w:left="0" w:right="0" w:firstLine="0"/>
        <w:jc w:val="center"/>
        <w:spacing w:before="220" w:after="312"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rPr>
          <w:rFonts w:ascii="SimSun" w:hAnsi="SimSun" w:eastAsia="SimSun" w:cs="SimSun"/>
          <w:b/>
          <w:color w:val="000000"/>
          <w:sz w:val="28"/>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十、开标一览表</w:t>
      </w:r>
      <w:r/>
    </w:p>
    <w:p>
      <w:pPr>
        <w:ind w:left="0" w:right="0" w:firstLine="48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投标人全称（盖章）：</w:t>
      </w:r>
      <w:r/>
    </w:p>
    <w:p>
      <w:pPr>
        <w:ind w:left="0" w:right="0" w:firstLine="48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42"/>
        <w:gridCol w:w="6212"/>
      </w:tblGrid>
      <w:tr>
        <w:trPr>
          <w:trHeight w:val="10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2" w:type="dxa"/>
            <w:vAlign w:val="center"/>
            <w:textDirection w:val="lrTb"/>
            <w:noWrap/>
          </w:tcPr>
          <w:p>
            <w:pPr>
              <w:ind w:left="0" w:right="0" w:firstLine="0"/>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12" w:type="dxa"/>
            <w:vAlign w:val="center"/>
            <w:textDirection w:val="lrTb"/>
            <w:noWrap/>
          </w:tcPr>
          <w:p>
            <w:pPr>
              <w:ind w:left="0" w:right="0" w:firstLine="0"/>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r>
      <w:tr>
        <w:trPr>
          <w:trHeight w:val="1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教职工体检单价+学生体检单价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2" w:type="dxa"/>
            <w:vAlign w:val="center"/>
            <w:textDirection w:val="lrTb"/>
            <w:noWrap/>
          </w:tcPr>
          <w:p>
            <w:pPr>
              <w:ind w:left="0" w:right="0" w:firstLine="0"/>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p>
            <w:pPr>
              <w:ind w:left="0" w:right="0" w:firstLine="0"/>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p>
            <w:pPr>
              <w:ind w:left="0" w:right="0" w:firstLine="0"/>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right"/>
        <w:spacing w:before="220" w:after="29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right"/>
        <w:spacing w:before="220" w:after="29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29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备注：系统内开标一览表填写单价合计金额。</w:t>
        <w:br w:type="page" w:clear="all"/>
      </w:r>
      <w:r/>
    </w:p>
    <w:p>
      <w:pPr>
        <w:ind w:left="0" w:right="0" w:firstLine="0"/>
        <w:jc w:val="center"/>
        <w:spacing w:before="220" w:after="29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十一、分项报价表</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供应商全称（盖章）：</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5"/>
        <w:gridCol w:w="3739"/>
        <w:gridCol w:w="4174"/>
      </w:tblGrid>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单价（元/人/次）</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教职工体检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学生体检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单价合计：</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十二、技术要求响应及偏离表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十三、商务要求响应及偏离表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十四、其他</w:t>
      </w:r>
      <w:r/>
    </w:p>
    <w:p>
      <w:pPr>
        <w:ind w:left="0" w:right="0" w:firstLine="48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（投标供应商认为有必要提供的声明和文件，如有自拟并自行添加）</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主要标的信息（中标后将公示）</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投标供应商全称：</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01"/>
        <w:gridCol w:w="37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品牌（如有）：</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服务范围：</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服务时间：</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服务标准：</w:t>
            </w:r>
            <w:r/>
          </w:p>
        </w:tc>
      </w:tr>
    </w:tbl>
    <w:p>
      <w:pPr>
        <w:ind w:left="0" w:right="0" w:firstLine="48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right"/>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560"/>
        <w:spacing w:before="220" w:after="20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20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YouYuan">
    <w:panose1 w:val="02010509060101010101"/>
  </w:font>
  <w:font w:name="Times New Roman">
    <w:panose1 w:val="02020603050405020304"/>
  </w:font>
  <w:font w:name="FangSong">
    <w:panose1 w:val="02010609060101010101"/>
  </w:font>
  <w:font w:name="SimHei">
    <w:panose1 w:val="02010609060101010101"/>
  </w:font>
  <w:font w:name="Calibri">
    <w:panose1 w:val="020F0502020204030204"/>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decimal"/>
      <w:isLgl w:val="false"/>
      <w:suff w:val="tab"/>
      <w:lvlText w:val="%3."/>
      <w:lvlJc w:val="right"/>
      <w:pPr>
        <w:ind w:left="2160" w:hanging="36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decimal"/>
      <w:isLgl w:val="false"/>
      <w:suff w:val="tab"/>
      <w:lvlText w:val="%6."/>
      <w:lvlJc w:val="right"/>
      <w:pPr>
        <w:ind w:left="4320" w:hanging="36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decimal"/>
      <w:isLgl w:val="false"/>
      <w:suff w:val="tab"/>
      <w:lvlText w:val="%9."/>
      <w:lvlJc w:val="right"/>
      <w:pPr>
        <w:ind w:left="6480" w:hanging="360"/>
      </w:pPr>
    </w:lvl>
  </w:abstractNum>
  <w:abstractNum w:abstractNumId="1">
    <w:multiLevelType w:val="hybridMultilevel"/>
    <w:lvl w:ilvl="0">
      <w:start w:val="32"/>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decimal"/>
      <w:isLgl w:val="false"/>
      <w:suff w:val="tab"/>
      <w:lvlText w:val="%3."/>
      <w:lvlJc w:val="right"/>
      <w:pPr>
        <w:ind w:left="2160" w:hanging="36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decimal"/>
      <w:isLgl w:val="false"/>
      <w:suff w:val="tab"/>
      <w:lvlText w:val="%6."/>
      <w:lvlJc w:val="right"/>
      <w:pPr>
        <w:ind w:left="4320" w:hanging="36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decimal"/>
      <w:isLgl w:val="false"/>
      <w:suff w:val="tab"/>
      <w:lvlText w:val="%9."/>
      <w:lvlJc w:val="right"/>
      <w:pPr>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EF%BC%89/%E2%80%9C%E5%BC%80%E6%A0%87%E5%A4%A7%E5%8E%85/%E2%80%9D"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王石磊</cp:lastModifiedBy>
  <cp:revision>3</cp:revision>
  <dcterms:created xsi:type="dcterms:W3CDTF">2026-06-03T07:01:47Z</dcterms:created>
  <dcterms:modified xsi:type="dcterms:W3CDTF">2026-06-05T06:51:10Z</dcterms:modified>
</cp:coreProperties>
</file>