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72"/>
          <w:highlight w:val="none"/>
        </w:rPr>
      </w:pPr>
      <w:r>
        <w:rPr>
          <w:rFonts w:hint="eastAsia" w:ascii="宋体" w:hAnsi="宋体" w:eastAsia="宋体" w:cs="宋体"/>
          <w:color w:val="auto"/>
          <w:sz w:val="72"/>
          <w:highlight w:val="none"/>
        </w:rPr>
        <w:t xml:space="preserve">招标文件</w:t>
      </w:r>
      <w:r/>
    </w:p>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46"/>
        <w:rPr>
          <w:rFonts w:ascii="宋体" w:hAnsi="宋体" w:eastAsia="宋体" w:cs="宋体"/>
          <w:color w:val="auto"/>
          <w:highlight w:val="none"/>
        </w:rPr>
      </w:pPr>
      <w:r>
        <w:rPr>
          <w:rFonts w:ascii="宋体" w:hAnsi="宋体" w:eastAsia="宋体" w:cs="宋体"/>
          <w:color w:val="auto"/>
          <w:highlight w:val="none"/>
        </w:rPr>
      </w:r>
      <w:r/>
    </w:p>
    <w:p>
      <w:pPr>
        <w:pStyle w:val="946"/>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6"/>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36"/>
          <w:highlight w:val="none"/>
        </w:rPr>
      </w:pPr>
      <w:r>
        <w:rPr>
          <w:rFonts w:ascii="宋体" w:hAnsi="宋体" w:eastAsia="宋体" w:cs="宋体"/>
          <w:color w:val="auto"/>
          <w:sz w:val="36"/>
          <w:highlight w:val="none"/>
        </w:rPr>
      </w:r>
      <w:r/>
    </w:p>
    <w:p>
      <w:pPr>
        <w:pStyle w:val="946"/>
        <w:rPr>
          <w:rFonts w:ascii="宋体" w:hAnsi="宋体" w:eastAsia="宋体" w:cs="宋体"/>
          <w:color w:val="auto"/>
          <w:sz w:val="36"/>
          <w:highlight w:val="none"/>
        </w:rPr>
      </w:pPr>
      <w:r>
        <w:rPr>
          <w:rFonts w:ascii="宋体" w:hAnsi="宋体" w:eastAsia="宋体" w:cs="宋体"/>
          <w:color w:val="auto"/>
          <w:sz w:val="36"/>
          <w:highlight w:val="none"/>
        </w:rPr>
      </w:r>
      <w:r/>
    </w:p>
    <w:p>
      <w:pPr>
        <w:pStyle w:val="946"/>
        <w:rPr>
          <w:rFonts w:ascii="宋体" w:hAnsi="宋体" w:eastAsia="宋体" w:cs="宋体"/>
          <w:color w:val="auto"/>
          <w:sz w:val="36"/>
          <w:highlight w:val="none"/>
        </w:rPr>
      </w:pPr>
      <w:r>
        <w:rPr>
          <w:rFonts w:ascii="宋体" w:hAnsi="宋体" w:eastAsia="宋体" w:cs="宋体"/>
          <w:color w:val="auto"/>
          <w:sz w:val="36"/>
          <w:highlight w:val="none"/>
        </w:rPr>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标    号：</w:t>
      </w:r>
      <w:r>
        <w:rPr>
          <w:rFonts w:hint="eastAsia" w:ascii="宋体" w:hAnsi="宋体" w:eastAsia="宋体" w:cs="宋体"/>
          <w:bCs/>
          <w:color w:val="auto"/>
          <w:sz w:val="32"/>
          <w:highlight w:val="none"/>
          <w:lang w:eastAsia="zh-CN"/>
        </w:rPr>
        <w:t xml:space="preserve">JSZC-320591-SZZJ-G2026-0013</w:t>
      </w:r>
      <w:r/>
    </w:p>
    <w:p>
      <w:pPr>
        <w:ind w:firstLine="1600"/>
        <w:jc w:val="left"/>
        <w:spacing w:line="360" w:lineRule="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西安交通大学苏州附属中学</w:t>
      </w:r>
      <w:r/>
    </w:p>
    <w:p>
      <w:pPr>
        <w:ind w:left="3199" w:hanging="1600"/>
        <w:spacing w:line="360" w:lineRule="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采购内容：</w:t>
      </w:r>
      <w:r>
        <w:rPr>
          <w:rFonts w:hint="eastAsia" w:ascii="宋体" w:hAnsi="宋体" w:eastAsia="宋体" w:cs="宋体"/>
          <w:bCs/>
          <w:color w:val="auto"/>
          <w:sz w:val="32"/>
          <w:highlight w:val="none"/>
          <w:lang w:eastAsia="zh-CN"/>
        </w:rPr>
        <w:t xml:space="preserve">高品质科技特色高中项目资产购置</w:t>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采购项目类别：</w:t>
      </w:r>
      <w:r>
        <w:rPr>
          <w:rFonts w:hint="eastAsia" w:ascii="宋体" w:hAnsi="宋体" w:eastAsia="宋体" w:cs="宋体"/>
          <w:bCs/>
          <w:color w:val="auto"/>
          <w:sz w:val="32"/>
          <w:highlight w:val="none"/>
          <w:lang w:val="en-US" w:eastAsia="zh-CN"/>
        </w:rPr>
        <w:t xml:space="preserve">货物</w:t>
      </w:r>
      <w:r>
        <w:rPr>
          <w:rFonts w:hint="eastAsia" w:ascii="宋体" w:hAnsi="宋体" w:eastAsia="宋体" w:cs="宋体"/>
          <w:bCs/>
          <w:color w:val="auto"/>
          <w:sz w:val="32"/>
          <w:highlight w:val="none"/>
        </w:rPr>
        <w:t xml:space="preserve">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46"/>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五</w:t>
      </w:r>
      <w:r>
        <w:rPr>
          <w:rFonts w:hint="eastAsia" w:ascii="宋体" w:hAnsi="宋体" w:eastAsia="宋体" w:cs="宋体"/>
          <w:color w:val="auto"/>
          <w:sz w:val="32"/>
          <w:highlight w:val="none"/>
        </w:rPr>
        <w:t xml:space="preserve">月</w:t>
      </w:r>
      <w:r/>
    </w:p>
    <w:p>
      <w:pPr>
        <w:pStyle w:val="938"/>
        <w:ind w:firstLine="0"/>
        <w:jc w:val="center"/>
        <w:spacing w:line="360" w:lineRule="auto"/>
        <w:rPr>
          <w:rFonts w:ascii="宋体" w:hAnsi="宋体" w:eastAsia="宋体" w:cs="宋体"/>
          <w:color w:val="auto"/>
          <w:sz w:val="52"/>
          <w:highlight w:val="none"/>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52"/>
          <w:highlight w:val="none"/>
        </w:rPr>
      </w:r>
      <w:r/>
    </w:p>
    <w:p>
      <w:pPr>
        <w:pStyle w:val="938"/>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38"/>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38"/>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60"/>
        <w:spacing w:line="360" w:lineRule="auto"/>
        <w:rPr>
          <w:rFonts w:cs="宋体"/>
          <w:color w:val="auto"/>
          <w:sz w:val="21"/>
          <w:szCs w:val="24"/>
          <w:highlight w:val="none"/>
        </w:rPr>
      </w:pPr>
      <w:r>
        <w:rPr>
          <w:rFonts w:hint="eastAsia" w:cs="宋体"/>
          <w:bCs/>
          <w:color w:val="auto"/>
          <w:sz w:val="30"/>
          <w:highlight w:val="none"/>
        </w:rPr>
        <w:fldChar w:fldCharType="begin"/>
      </w:r>
      <w:r>
        <w:rPr>
          <w:rFonts w:hint="eastAsia" w:cs="宋体"/>
          <w:bCs/>
          <w:color w:val="auto"/>
          <w:sz w:val="30"/>
          <w:highlight w:val="none"/>
        </w:rPr>
        <w:instrText xml:space="preserve"> TOC \o "1-1"</w:instrText>
      </w:r>
      <w:r>
        <w:rPr>
          <w:rFonts w:hint="eastAsia" w:cs="宋体"/>
          <w:bCs/>
          <w:color w:val="auto"/>
          <w:sz w:val="30"/>
          <w:highlight w:val="none"/>
        </w:rPr>
        <w:fldChar w:fldCharType="separate"/>
      </w:r>
      <w:r>
        <w:rPr>
          <w:rFonts w:hint="eastAsia" w:cs="宋体"/>
          <w:color w:val="auto"/>
          <w:highlight w:val="none"/>
        </w:rPr>
        <w:t xml:space="preserve">第一章</w:t>
      </w:r>
      <w:r>
        <w:rPr>
          <w:rFonts w:hint="eastAsia" w:cs="宋体"/>
          <w:color w:val="auto"/>
          <w:szCs w:val="24"/>
          <w:highlight w:val="none"/>
        </w:rPr>
        <w:t xml:space="preserve">招标公告</w:t>
      </w:r>
      <w:r>
        <w:rPr>
          <w:rFonts w:hint="eastAsia" w:cs="宋体"/>
          <w:color w:val="auto"/>
          <w:highlight w:val="none"/>
        </w:rPr>
        <w:tab/>
      </w:r>
      <w:r/>
    </w:p>
    <w:p>
      <w:pPr>
        <w:pStyle w:val="960"/>
        <w:spacing w:line="360" w:lineRule="auto"/>
        <w:rPr>
          <w:rFonts w:cs="宋体"/>
          <w:color w:val="auto"/>
          <w:sz w:val="21"/>
          <w:szCs w:val="24"/>
          <w:highlight w:val="none"/>
        </w:rPr>
      </w:pPr>
      <w:r>
        <w:rPr>
          <w:rFonts w:hint="eastAsia" w:cs="宋体"/>
          <w:color w:val="auto"/>
          <w:highlight w:val="none"/>
        </w:rPr>
        <w:t xml:space="preserve">第二章投标人须知</w:t>
      </w:r>
      <w:r>
        <w:rPr>
          <w:rFonts w:hint="eastAsia" w:cs="宋体"/>
          <w:color w:val="auto"/>
          <w:highlight w:val="none"/>
        </w:rPr>
        <w:tab/>
      </w:r>
      <w:r/>
    </w:p>
    <w:p>
      <w:pPr>
        <w:pStyle w:val="960"/>
        <w:spacing w:line="360" w:lineRule="auto"/>
        <w:rPr>
          <w:rFonts w:cs="宋体"/>
          <w:color w:val="auto"/>
          <w:sz w:val="21"/>
          <w:szCs w:val="24"/>
          <w:highlight w:val="none"/>
        </w:rPr>
      </w:pPr>
      <w:r>
        <w:rPr>
          <w:rFonts w:hint="eastAsia" w:cs="宋体"/>
          <w:color w:val="auto"/>
          <w:highlight w:val="none"/>
        </w:rPr>
        <w:t xml:space="preserve">第三章投标文件格式</w:t>
      </w:r>
      <w:r>
        <w:rPr>
          <w:rFonts w:hint="eastAsia" w:cs="宋体"/>
          <w:color w:val="auto"/>
          <w:highlight w:val="none"/>
        </w:rPr>
        <w:tab/>
      </w:r>
      <w:r/>
    </w:p>
    <w:p>
      <w:pPr>
        <w:pStyle w:val="960"/>
        <w:spacing w:line="360" w:lineRule="auto"/>
        <w:rPr>
          <w:rFonts w:cs="宋体"/>
          <w:color w:val="auto"/>
          <w:sz w:val="21"/>
          <w:szCs w:val="24"/>
          <w:highlight w:val="none"/>
        </w:rPr>
      </w:pPr>
      <w:r>
        <w:rPr>
          <w:rFonts w:hint="eastAsia" w:cs="宋体"/>
          <w:color w:val="auto"/>
          <w:highlight w:val="none"/>
        </w:rPr>
        <w:t xml:space="preserve">第四章招标书</w:t>
      </w:r>
      <w:r>
        <w:rPr>
          <w:rFonts w:hint="eastAsia" w:cs="宋体"/>
          <w:color w:val="auto"/>
          <w:highlight w:val="none"/>
        </w:rPr>
        <w:tab/>
      </w:r>
      <w:r/>
    </w:p>
    <w:p>
      <w:pPr>
        <w:pStyle w:val="960"/>
        <w:spacing w:line="360" w:lineRule="auto"/>
        <w:rPr>
          <w:rFonts w:cs="宋体"/>
          <w:color w:val="auto"/>
          <w:sz w:val="21"/>
          <w:szCs w:val="24"/>
          <w:highlight w:val="none"/>
        </w:rPr>
      </w:pPr>
      <w:r>
        <w:rPr>
          <w:rFonts w:hint="eastAsia" w:cs="宋体"/>
          <w:color w:val="auto"/>
          <w:highlight w:val="none"/>
        </w:rPr>
        <w:t xml:space="preserve">第五章</w:t>
      </w:r>
      <w:r>
        <w:rPr>
          <w:rFonts w:hint="eastAsia" w:cs="宋体"/>
          <w:bCs/>
          <w:color w:val="auto"/>
          <w:szCs w:val="24"/>
          <w:highlight w:val="none"/>
        </w:rPr>
        <w:t xml:space="preserve">合同主要条款</w:t>
      </w:r>
      <w:r>
        <w:rPr>
          <w:rFonts w:hint="eastAsia" w:cs="宋体"/>
          <w:color w:val="auto"/>
          <w:highlight w:val="none"/>
        </w:rPr>
        <w:tab/>
      </w:r>
      <w:r/>
    </w:p>
    <w:p>
      <w:pPr>
        <w:pStyle w:val="960"/>
        <w:spacing w:line="360" w:lineRule="auto"/>
        <w:rPr>
          <w:rFonts w:cs="宋体"/>
          <w:color w:val="auto"/>
          <w:sz w:val="21"/>
          <w:szCs w:val="24"/>
          <w:highlight w:val="none"/>
        </w:rPr>
      </w:pPr>
      <w:r>
        <w:rPr>
          <w:rFonts w:hint="eastAsia" w:cs="宋体"/>
          <w:color w:val="auto"/>
          <w:highlight w:val="none"/>
        </w:rPr>
        <w:t xml:space="preserve">第六章评分标准</w:t>
      </w:r>
      <w:r>
        <w:rPr>
          <w:rFonts w:hint="eastAsia" w:cs="宋体"/>
          <w:color w:val="auto"/>
          <w:highlight w:val="none"/>
        </w:rPr>
        <w:tab/>
      </w:r>
      <w:r/>
    </w:p>
    <w:p>
      <w:pPr>
        <w:pStyle w:val="938"/>
        <w:ind w:firstLine="0"/>
        <w:jc w:val="center"/>
        <w:spacing w:line="360" w:lineRule="auto"/>
        <w:rPr>
          <w:rFonts w:ascii="宋体" w:hAnsi="宋体" w:eastAsia="宋体" w:cs="宋体"/>
          <w:color w:val="auto"/>
          <w:sz w:val="30"/>
          <w:highlight w:val="none"/>
        </w:rPr>
      </w:pPr>
      <w:r>
        <w:rPr>
          <w:rFonts w:hint="eastAsia" w:ascii="宋体" w:hAnsi="宋体" w:eastAsia="宋体" w:cs="宋体"/>
          <w:bCs/>
          <w:color w:val="auto"/>
          <w:sz w:val="30"/>
          <w:highlight w:val="none"/>
        </w:rPr>
        <w:fldChar w:fldCharType="end"/>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32"/>
          <w:highlight w:val="none"/>
        </w:rPr>
        <w:br w:type="page" w:clear="all"/>
      </w:r>
      <w:r>
        <w:rPr>
          <w:rFonts w:hint="eastAsia" w:ascii="宋体" w:hAnsi="宋体" w:eastAsia="宋体" w:cs="宋体"/>
          <w:color w:val="auto"/>
          <w:sz w:val="24"/>
          <w:szCs w:val="24"/>
          <w:highlight w:val="none"/>
        </w:rPr>
        <w:t xml:space="preserve">第一章 招标公告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的委托，苏州正杰招投标咨询服务有限公司就其所需的</w:t>
      </w:r>
      <w:r>
        <w:rPr>
          <w:rFonts w:hint="eastAsia" w:ascii="宋体" w:hAnsi="宋体" w:eastAsia="宋体" w:cs="宋体"/>
          <w:color w:val="auto"/>
          <w:sz w:val="24"/>
          <w:szCs w:val="24"/>
          <w:highlight w:val="none"/>
          <w:lang w:eastAsia="zh-CN"/>
        </w:rPr>
        <w:t xml:space="preserve">高品质科技特色高中项目资产购置</w:t>
      </w:r>
      <w:r>
        <w:rPr>
          <w:rFonts w:hint="eastAsia" w:ascii="宋体" w:hAnsi="宋体" w:eastAsia="宋体" w:cs="宋体"/>
          <w:color w:val="auto"/>
          <w:sz w:val="24"/>
          <w:szCs w:val="24"/>
          <w:highlight w:val="none"/>
        </w:rPr>
        <w:t xml:space="preserve">项目的采购</w:t>
      </w:r>
      <w:r>
        <w:rPr>
          <w:rFonts w:hint="eastAsia" w:ascii="宋体" w:hAnsi="宋体" w:eastAsia="宋体" w:cs="宋体"/>
          <w:color w:val="auto"/>
          <w:sz w:val="24"/>
          <w:szCs w:val="24"/>
          <w:highlight w:val="none"/>
        </w:rPr>
        <w:t xml:space="preserve">进行公开招标，欢迎有资格的供应商前来参加投标。</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JSZC-320591-SZZJ-G2026-0013</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高品质科技特色高中项目资产购置</w:t>
      </w:r>
      <w:r/>
    </w:p>
    <w:p>
      <w:pPr>
        <w:ind w:firstLine="48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预算金额：人民币570.50万元，其中第一标段：67.00万元；第二标段：95.50万元；第三标段：90.00万元；第四标段：50.00万元；第五标段：79.80万元；第六标段：100.00万元；第七标段：88.20万元。</w:t>
      </w:r>
      <w:r/>
    </w:p>
    <w:p>
      <w:pPr>
        <w:ind w:firstLine="48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最高限价：人民币570.50万元，其中第一标段：67.00万元；第二标段：95.50万元；第三标段：90.00万元；第四标段：50.00万元；第五标段：79.80万元；第六标段：100.00万元；第七标段：88.20万元。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高品质科技特色高中项目资产购置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采购一批高品质科技特色高中项目设备：第一标段生物数字化实验室</w:t>
      </w:r>
      <w:r>
        <w:rPr>
          <w:rFonts w:hint="eastAsia" w:ascii="宋体" w:hAnsi="宋体" w:eastAsia="宋体" w:cs="宋体"/>
          <w:color w:val="auto"/>
          <w:sz w:val="24"/>
          <w:szCs w:val="32"/>
          <w:highlight w:val="none"/>
          <w:lang w:val="en-US" w:eastAsia="zh-CN"/>
        </w:rPr>
        <w:t xml:space="preserve">设备（包括但不限于生物数码显微镜、无线彩屏溶解氧传感器等）、第二标段STEM工坊实验室A坊（包括但不限于机器学习套件、物联网教学套装等）、第三标段STEM工坊实验室B坊（包括但不限于教学型扫描隧道显微镜、多功能数码液晶显微镜）、第四标段AI课堂教学观测系统（包括但不限于高清摄像机、拾音麦克风等）、第五标段无人机实验室（包括但不限于无人机足球、航拍无人机等）、第六标段人工智能实验室（包括但不限于人工智能活动课程学习套装、人工智能模拟实验箱等）、第七标段虚拟现实实验室（包括但不限于虚拟现实教学设备、无线AP等）</w:t>
      </w:r>
      <w:r>
        <w:rPr>
          <w:rFonts w:hint="eastAsia" w:ascii="宋体" w:hAnsi="宋体" w:eastAsia="宋体" w:cs="宋体"/>
          <w:color w:val="auto"/>
          <w:sz w:val="24"/>
          <w:szCs w:val="32"/>
          <w:highlight w:val="none"/>
        </w:rPr>
        <w:t xml:space="preserve">，具体详见招标文件第四章。</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注：</w:t>
      </w:r>
      <w:r/>
    </w:p>
    <w:p>
      <w:pPr>
        <w:ind w:firstLine="48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本项目分7个标段采购，允许一个投标单位报名多个标段，也可以多个标段中标。进入每个标段评审的实质性响应且具有得标权的供应商不得少于三家，如不足三家，认定该标段招标失败。标段开标顺序按标段号顺序确定，评审时将按标段自然顺序进行评审，按先开先中的原则，确定各标段的中标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日内供货并安装调试完毕。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w:t>
      </w:r>
      <w:r>
        <w:rPr>
          <w:rFonts w:hint="eastAsia" w:ascii="宋体" w:hAnsi="宋体" w:eastAsia="宋体" w:cs="宋体"/>
          <w:color w:val="auto"/>
          <w:sz w:val="24"/>
          <w:szCs w:val="24"/>
          <w:highlight w:val="none"/>
          <w:lang w:val="en-US" w:eastAsia="zh-CN"/>
        </w:rPr>
        <w:t xml:space="preserve">目</w:t>
      </w:r>
      <w:r>
        <w:rPr>
          <w:rFonts w:hint="eastAsia" w:ascii="宋体" w:hAnsi="宋体" w:eastAsia="宋体" w:cs="宋体"/>
          <w:color w:val="auto"/>
          <w:sz w:val="24"/>
          <w:szCs w:val="24"/>
          <w:highlight w:val="none"/>
        </w:rPr>
        <w:t xml:space="preserve">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落实政府采购政策需满足的资格要求：根据《政府采购促进中小企业发展管理办法》的相关规定，本项目专门面向中小企业，所属行业为</w:t>
      </w:r>
      <w:r>
        <w:rPr>
          <w:rFonts w:hint="eastAsia" w:ascii="宋体" w:hAnsi="宋体" w:eastAsia="宋体" w:cs="宋体"/>
          <w:b/>
          <w:bCs/>
          <w:color w:val="auto"/>
          <w:sz w:val="24"/>
          <w:szCs w:val="24"/>
          <w:highlight w:val="none"/>
          <w:lang w:val="en-US" w:eastAsia="zh-CN"/>
        </w:rPr>
        <w:t xml:space="preserve">工</w:t>
      </w:r>
      <w:r>
        <w:rPr>
          <w:rFonts w:hint="eastAsia" w:ascii="宋体" w:hAnsi="宋体" w:eastAsia="宋体" w:cs="宋体"/>
          <w:b/>
          <w:bCs/>
          <w:color w:val="auto"/>
          <w:sz w:val="24"/>
          <w:szCs w:val="24"/>
          <w:highlight w:val="none"/>
        </w:rPr>
        <w:t xml:space="preserve">业，供应商所提供货物的制造商应为中小微企业、监狱企业、残疾人福利性单位。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2、地点：“苏采云”系统自行下载采购文件。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（1）CA证书办理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（2）参与采购活动</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8"/>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pStyle w:val="938"/>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8"/>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ascii="宋体" w:hAnsi="宋体" w:eastAsia="宋体" w:cs="宋体"/>
          <w:b/>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5月29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分（北京时间）</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、地点：</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系统（网址：</w:t>
      </w:r>
      <w:r>
        <w:rPr>
          <w:rFonts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、方式：投标文件网上递交</w:t>
      </w:r>
      <w:bookmarkStart w:id="0" w:name="_Hlk90650305"/>
      <w:r/>
      <w:bookmarkEnd w:id="0"/>
      <w:r/>
      <w:bookmarkStart w:id="1" w:name="_Hlk90650417"/>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 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rPr>
          <w:rFonts w:ascii="宋体" w:hAnsi="宋体" w:eastAsia="宋体" w:cs="宋体"/>
          <w:b/>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auto"/>
          <w:sz w:val="24"/>
          <w:szCs w:val="24"/>
          <w:highlight w:val="none"/>
        </w:rPr>
        <w:t xml:space="preserve">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2"/>
        </w:num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5、苏州工业园区财政审计局政府采购监督电话：0512-66681110。</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Times New Roman"/>
          <w:color w:val="auto"/>
          <w:sz w:val="24"/>
          <w:szCs w:val="24"/>
          <w:lang w:eastAsia="zh-CN"/>
        </w:rPr>
        <w:t xml:space="preserve">苏州工业园区方洲路598号、普惠路570号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w:t>
      </w:r>
      <w:r>
        <w:rPr>
          <w:rFonts w:hint="eastAsia" w:ascii="宋体" w:hAnsi="宋体" w:eastAsia="宋体" w:cs="Times New Roman"/>
          <w:color w:val="auto"/>
          <w:sz w:val="24"/>
          <w:szCs w:val="24"/>
          <w:highlight w:val="none"/>
          <w:lang w:val="en-US" w:eastAsia="zh-CN"/>
        </w:rPr>
        <w:t xml:space="preserve">0512-65936299。</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项目联系人：郭松柏。</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电话：0512-65936299。</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项目联系人：沈鹰、陈晓梦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周昀烨、徐杰</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电话：0512-62826523。</w:t>
      </w:r>
      <w:r/>
    </w:p>
    <w:p>
      <w:pPr>
        <w:jc w:val="center"/>
        <w:spacing w:before="120" w:line="200" w:lineRule="exact"/>
        <w:rPr>
          <w:rFonts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numPr>
          <w:ilvl w:val="0"/>
          <w:numId w:val="3"/>
        </w:numPr>
        <w:ind w:left="0" w:firstLine="567"/>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总则</w:t>
      </w:r>
      <w:r/>
    </w:p>
    <w:p>
      <w:pPr>
        <w:numPr>
          <w:ilvl w:val="1"/>
          <w:numId w:val="4"/>
        </w:numPr>
        <w:ind w:left="0" w:firstLine="487"/>
        <w:spacing w:line="360" w:lineRule="auto"/>
        <w:tabs>
          <w:tab w:val="left" w:pos="851"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投标人资格要求</w:t>
      </w:r>
      <w:r/>
    </w:p>
    <w:p>
      <w:pPr>
        <w:numPr>
          <w:ilvl w:val="2"/>
          <w:numId w:val="4"/>
        </w:numPr>
        <w:ind w:left="0"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详见第一章招标公告中“二、申请人的资格要求”。</w:t>
      </w:r>
      <w:r/>
    </w:p>
    <w:p>
      <w:pPr>
        <w:numPr>
          <w:ilvl w:val="2"/>
          <w:numId w:val="4"/>
        </w:numPr>
        <w:ind w:left="0" w:firstLine="484"/>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4"/>
        </w:numPr>
        <w:ind w:left="0"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联合体投标：第一章</w:t>
      </w:r>
      <w:r>
        <w:rPr>
          <w:rFonts w:hint="eastAsia" w:ascii="宋体" w:hAnsi="宋体" w:eastAsia="宋体" w:cs="宋体"/>
          <w:color w:val="auto"/>
          <w:sz w:val="24"/>
          <w:szCs w:val="24"/>
          <w:highlight w:val="none"/>
        </w:rPr>
        <w:t xml:space="preserve">招标公告</w:t>
      </w:r>
      <w:r>
        <w:rPr>
          <w:rFonts w:hint="eastAsia" w:ascii="宋体" w:hAnsi="宋体" w:eastAsia="宋体" w:cs="宋体"/>
          <w:bCs/>
          <w:color w:val="auto"/>
          <w:sz w:val="24"/>
          <w:szCs w:val="24"/>
          <w:highlight w:val="none"/>
        </w:rPr>
        <w:t xml:space="preserve">规定接受联合体投标的，联合体除应符合上述资格要求外，还应遵守以下规定：</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联合体各方应当向采购人提交联合体协议书，载明联合体各方承担的工作和义务，否则投标无效。</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本项目接受联合体投标，但一个联合体最多接受两个单位进行联合投标。</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联合体中有同类资质的供应商按照联合体分工承担相同工作的，应当按照资质等级较低的供应商确定资质等级。</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联合体各方不得再单独参加或者与其他供应商另外组成联合体参加同一合同项下的政府采购活动，否则各相关投标均无效。</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联合体各方应当共同与采购人签订采购合同，就采购合同约定的事项对采购人承担连带责任。</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本项目不允许分包</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投标费用</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保密</w:t>
      </w:r>
      <w:r/>
    </w:p>
    <w:p>
      <w:pPr>
        <w:ind w:firstLine="484"/>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语言文字</w:t>
      </w:r>
      <w:r/>
    </w:p>
    <w:p>
      <w:pPr>
        <w:ind w:firstLine="484"/>
        <w:spacing w:line="360" w:lineRule="auto"/>
        <w:tabs>
          <w:tab w:val="left" w:pos="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计量单位</w:t>
      </w:r>
      <w:r/>
    </w:p>
    <w:p>
      <w:pPr>
        <w:ind w:firstLine="484"/>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numPr>
          <w:ilvl w:val="0"/>
          <w:numId w:val="0"/>
        </w:numPr>
        <w:spacing w:line="360" w:lineRule="auto"/>
        <w:tabs>
          <w:tab w:val="left" w:pos="851" w:leader="none"/>
        </w:tabs>
        <w:rPr>
          <w:rFonts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知识产权</w:t>
      </w:r>
      <w:r/>
    </w:p>
    <w:p>
      <w:pPr>
        <w:ind w:firstLine="484"/>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本项目涉及采购货物，则应满足以下要求</w:t>
      </w:r>
      <w:r>
        <w:rPr>
          <w:rFonts w:ascii="宋体" w:hAnsi="宋体" w:eastAsia="宋体" w:cs="宋体"/>
          <w:b/>
          <w:bCs/>
          <w:color w:val="auto"/>
          <w:sz w:val="24"/>
          <w:szCs w:val="24"/>
          <w:highlight w:val="none"/>
        </w:rPr>
        <w:t xml:space="preserve">，否则投标无效</w:t>
      </w:r>
      <w:r>
        <w:rPr>
          <w:rFonts w:hint="eastAsia" w:ascii="宋体" w:hAnsi="宋体" w:eastAsia="宋体" w:cs="宋体"/>
          <w:b/>
          <w:bCs/>
          <w:color w:val="auto"/>
          <w:sz w:val="24"/>
          <w:szCs w:val="24"/>
          <w:highlight w:val="none"/>
        </w:rPr>
        <w:t xml:space="preserve">：</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（1）必须是全新、未使用过的原装合格正品（包括零部件），如安装或配置了软件的，须为正版软件。</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tabs>
          <w:tab w:val="left" w:pos="540" w:leader="none"/>
          <w:tab w:val="left" w:pos="85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（5）投标人、制造商及其所提供的货物未能满足前述要求而导致采购人遭受任何损失的，投标人应承担全部责任。</w:t>
      </w:r>
      <w:r/>
    </w:p>
    <w:p>
      <w:pPr>
        <w:numPr>
          <w:ilvl w:val="0"/>
          <w:numId w:val="3"/>
        </w:numPr>
        <w:ind w:left="0" w:firstLine="567"/>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招标文件的说明</w:t>
      </w:r>
      <w:r/>
    </w:p>
    <w:p>
      <w:pPr>
        <w:numPr>
          <w:ilvl w:val="1"/>
          <w:numId w:val="3"/>
        </w:numPr>
        <w:ind w:left="209" w:firstLine="484"/>
        <w:spacing w:line="360" w:lineRule="auto"/>
        <w:tabs>
          <w:tab w:val="left" w:pos="0" w:leader="none"/>
          <w:tab w:val="left" w:pos="6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招标文件的获取见第一章招标公告</w:t>
      </w:r>
      <w:r/>
    </w:p>
    <w:p>
      <w:pPr>
        <w:numPr>
          <w:ilvl w:val="1"/>
          <w:numId w:val="3"/>
        </w:numPr>
        <w:ind w:left="209" w:firstLine="484"/>
        <w:spacing w:line="360" w:lineRule="auto"/>
        <w:tabs>
          <w:tab w:val="left" w:pos="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，可通过招标公告中的联系方式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numPr>
          <w:ilvl w:val="1"/>
          <w:numId w:val="3"/>
        </w:numPr>
        <w:ind w:left="209" w:firstLine="484"/>
        <w:spacing w:line="360" w:lineRule="auto"/>
        <w:tabs>
          <w:tab w:val="left" w:pos="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招标文件的澄清或修改</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firstLine="484"/>
        <w:spacing w:line="360" w:lineRule="auto"/>
        <w:tabs>
          <w:tab w:val="left" w:pos="0" w:leader="none"/>
        </w:tabs>
        <w:rPr>
          <w:color w:val="auto"/>
          <w:highlight w:val="none"/>
        </w:rPr>
      </w:pPr>
      <w:r>
        <w:rPr>
          <w:rFonts w:ascii="宋体" w:hAnsi="宋体" w:eastAsia="宋体" w:cs="宋体"/>
          <w:color w:val="auto"/>
          <w:sz w:val="24"/>
          <w:szCs w:val="24"/>
          <w:highlight w:val="none"/>
        </w:rPr>
        <w:t xml:space="preserve">2.4 </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3.1保证金：无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hAnsi="宋体" w:eastAsia="宋体" w:cs="宋体"/>
          <w:color w:val="auto"/>
          <w:sz w:val="24"/>
          <w:szCs w:val="24"/>
          <w:highlight w:val="none"/>
        </w:rPr>
        <w:t xml:space="preserve">公开分项报价表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3.2.5.5</w:t>
      </w:r>
      <w:r>
        <w:rPr>
          <w:rFonts w:hint="eastAsia" w:ascii="宋体" w:hAnsi="宋体" w:eastAsia="宋体" w:cs="宋体"/>
          <w:color w:val="auto"/>
          <w:sz w:val="24"/>
          <w:szCs w:val="24"/>
          <w:highlight w:val="none"/>
        </w:rPr>
        <w:t xml:space="preserve">投标货物和服务数量、品牌、规格、制造商明细表（不得出现价格，格式见第三章）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3.2.5.6</w:t>
      </w:r>
      <w:r>
        <w:rPr>
          <w:rFonts w:hint="eastAsia" w:ascii="宋体" w:hAnsi="宋体" w:eastAsia="宋体" w:cs="宋体"/>
          <w:color w:val="auto"/>
          <w:sz w:val="24"/>
          <w:szCs w:val="24"/>
          <w:highlight w:val="none"/>
        </w:rPr>
        <w:t xml:space="preserve">技术参数响应及偏离表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商务条款响应及偏离表（格式见第三章</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3.2.6综合评审响应文件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3.2.6.2</w:t>
      </w:r>
      <w:r>
        <w:rPr>
          <w:rFonts w:hint="eastAsia" w:ascii="宋体" w:hAnsi="宋体" w:eastAsia="宋体" w:cs="宋体"/>
          <w:color w:val="auto"/>
          <w:sz w:val="24"/>
          <w:szCs w:val="24"/>
          <w:highlight w:val="none"/>
        </w:rPr>
        <w:t xml:space="preserve">《关于符合本国产品标准的声明函》</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3.3.5一项投标内容只允许一个报价，任何有选择性投标报价的，其投标无效。</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rPr>
          <w:rFonts w:hint="eastAsia" w:ascii="宋体" w:hAnsi="宋体" w:eastAsia="宋体" w:cs="宋体"/>
          <w:b/>
          <w:bCs/>
          <w:color w:val="auto"/>
          <w:sz w:val="24"/>
          <w:szCs w:val="24"/>
          <w:highlight w:val="none"/>
        </w:rPr>
        <w:t xml:space="preserve">。</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3.4电子投标（响应）文件的编制与提交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3.4.1投标（响应）文件编制要求：本项目为网上招投标项目，请供应商插入CA 证书登</w:t>
      </w:r>
      <w:r>
        <w:rPr>
          <w:rFonts w:hint="eastAsia" w:ascii="宋体" w:hAnsi="宋体" w:eastAsia="宋体" w:cs="宋体"/>
          <w:color w:val="auto"/>
          <w:sz w:val="24"/>
          <w:szCs w:val="24"/>
          <w:highlight w:val="none"/>
          <w:lang w:eastAsia="zh-CN"/>
        </w:rPr>
        <w:t xml:space="preserve">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3.4.3投标（响应）文件未按照招标文件要求加盖CA电子公章的，响应无效。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bookmarkEnd w:id="2"/>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color w:val="auto"/>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20"/>
        <w:ind w:firstLine="480"/>
        <w:spacing w:line="360" w:lineRule="auto"/>
        <w:rPr>
          <w:rFonts w:hint="eastAsia"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pStyle w:val="102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4.1开标</w:t>
      </w:r>
      <w:r/>
    </w:p>
    <w:p>
      <w:pPr>
        <w:pStyle w:val="1009"/>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 w:val="left" w:pos="74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4"/>
        <w:spacing w:line="360" w:lineRule="auto"/>
        <w:tabs>
          <w:tab w:val="left" w:pos="5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w:t>
      </w:r>
      <w:r>
        <w:rPr>
          <w:rFonts w:hint="eastAsia" w:ascii="宋体" w:hAnsi="宋体" w:eastAsia="宋体" w:cs="宋体"/>
          <w:bCs/>
          <w:color w:val="auto"/>
          <w:sz w:val="24"/>
          <w:szCs w:val="24"/>
          <w:highlight w:val="none"/>
        </w:rPr>
        <w:t xml:space="preserve">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4.4.2.2本项目采用综合评分法，即指投标文件满足招标文件全部实质性要求，且按照评审因素的量化指标评审得分最高的投标人为中标候选人的评标方法。评标办法和标准见第六章。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4"/>
        <w:spacing w:line="360" w:lineRule="auto"/>
        <w:tabs>
          <w:tab w:val="left" w:pos="5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4"/>
        <w:spacing w:line="360" w:lineRule="auto"/>
        <w:tabs>
          <w:tab w:val="left" w:pos="54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投标(响应)报价低于采购项目最高限价45%的，即投标(响应)报价＜采购项目最高限价×45%</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4.4.2.5启动异常低价投标审查后，</w:t>
      </w:r>
      <w:bookmarkStart w:id="3" w:name="OLE_LINK1"/>
      <w:r/>
      <w:bookmarkStart w:id="4" w:name="OLE_LINK2"/>
      <w:r>
        <w:rPr>
          <w:rFonts w:hint="eastAsia" w:ascii="宋体" w:hAnsi="宋体" w:eastAsia="宋体" w:cs="宋体"/>
          <w:b w:val="0"/>
          <w:bCs w:val="0"/>
          <w:color w:val="auto"/>
          <w:sz w:val="24"/>
          <w:szCs w:val="24"/>
          <w:highlight w:val="none"/>
          <w:lang w:val="en-US" w:eastAsia="zh-CN"/>
        </w:rPr>
        <w:t xml:space="preserve">评标委员会</w:t>
      </w:r>
      <w:bookmarkEnd w:id="3"/>
      <w:r/>
      <w:bookmarkEnd w:id="4"/>
      <w:r>
        <w:rPr>
          <w:rFonts w:hint="eastAsia" w:ascii="宋体" w:hAnsi="宋体" w:eastAsia="宋体" w:cs="宋体"/>
          <w:b w:val="0"/>
          <w:bCs w:val="0"/>
          <w:color w:val="auto"/>
          <w:sz w:val="24"/>
          <w:szCs w:val="24"/>
          <w:highlight w:val="none"/>
          <w:lang w:val="en-US" w:eastAsia="zh-CN"/>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b w:val="0"/>
          <w:bCs w:val="0"/>
          <w:color w:val="auto"/>
          <w:sz w:val="24"/>
          <w:szCs w:val="24"/>
          <w:highlight w:val="none"/>
          <w:lang w:val="en-US" w:eastAsia="zh-CN"/>
        </w:rPr>
        <w:t xml:space="preserve">，</w:t>
      </w:r>
      <w:bookmarkEnd w:id="5"/>
      <w:r/>
      <w:bookmarkEnd w:id="6"/>
      <w:r>
        <w:rPr>
          <w:rFonts w:hint="eastAsia" w:ascii="宋体" w:hAnsi="宋体" w:eastAsia="宋体" w:cs="宋体"/>
          <w:b w:val="0"/>
          <w:bCs w:val="0"/>
          <w:color w:val="auto"/>
          <w:sz w:val="24"/>
          <w:szCs w:val="24"/>
          <w:highlight w:val="none"/>
          <w:lang w:val="en-US" w:eastAsia="zh-CN"/>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5.2废标后，采购人应当将废标理由通知所有投标人。</w:t>
      </w:r>
      <w:r/>
    </w:p>
    <w:p>
      <w:pPr>
        <w:ind w:left="567"/>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w:t>
      </w:r>
      <w:r/>
    </w:p>
    <w:p>
      <w:pPr>
        <w:pStyle w:val="1020"/>
        <w:ind w:firstLine="480"/>
        <w:spacing w:line="360" w:lineRule="auto"/>
        <w:rPr>
          <w:rFonts w:cs="宋体"/>
          <w:color w:val="auto"/>
          <w:highlight w:val="none"/>
        </w:rPr>
      </w:pPr>
      <w:r>
        <w:rPr>
          <w:rFonts w:hint="eastAsia" w:cs="宋体"/>
          <w:color w:val="auto"/>
          <w:highlight w:val="none"/>
        </w:rPr>
        <w:t xml:space="preserve">6.1本项目评标方法采用综合评分法，</w:t>
      </w:r>
      <w:r>
        <w:rPr>
          <w:rFonts w:hint="eastAsia"/>
          <w:color w:val="auto"/>
          <w:highlight w:val="none"/>
        </w:rPr>
        <w:t xml:space="preserve">即指投标文件满足招标文件全部实质性要求，且按照评审因素的量化指标评审得分最高的投标人为中标候选人的评标方法</w:t>
      </w:r>
      <w:r>
        <w:rPr>
          <w:rFonts w:hint="eastAsia" w:cs="宋体"/>
          <w:color w:val="auto"/>
          <w:highlight w:val="none"/>
        </w:rPr>
        <w:t xml:space="preserve">。</w:t>
      </w:r>
      <w:r/>
    </w:p>
    <w:p>
      <w:pPr>
        <w:pStyle w:val="1020"/>
        <w:ind w:firstLine="480"/>
        <w:spacing w:line="360" w:lineRule="auto"/>
        <w:rPr>
          <w:rFonts w:cs="宋体"/>
          <w:color w:val="auto"/>
          <w:highlight w:val="none"/>
        </w:rPr>
      </w:pPr>
      <w:r>
        <w:rPr>
          <w:rFonts w:hint="eastAsia" w:cs="宋体"/>
          <w:color w:val="auto"/>
          <w:highlight w:val="none"/>
        </w:rPr>
        <w:t xml:space="preserve">6.2评标结果按评审后得分由高到低顺序排列。得分相同的，按投标报价由低到高顺序排列。得分且投标报价相同的，则由评标委员会组织抽签确定中标候选人顺序。</w:t>
      </w:r>
      <w:r/>
    </w:p>
    <w:p>
      <w:pPr>
        <w:pStyle w:val="1020"/>
        <w:ind w:firstLine="480"/>
        <w:spacing w:line="360" w:lineRule="auto"/>
        <w:rPr>
          <w:rFonts w:cs="宋体"/>
          <w:b/>
          <w:bCs/>
          <w:color w:val="auto"/>
          <w:highlight w:val="none"/>
        </w:rPr>
      </w:pPr>
      <w:r>
        <w:rPr>
          <w:rFonts w:hint="eastAsia" w:cs="宋体"/>
          <w:color w:val="auto"/>
          <w:highlight w:val="none"/>
        </w:rPr>
        <w:t xml:space="preserve">6.3评标委员会在确定的中标候选人名单中按顺序确定中标单位，中标候选人并列的，按照招标文件规定的方式确定中标单位</w:t>
      </w:r>
      <w:r>
        <w:rPr>
          <w:rFonts w:hint="eastAsia" w:cs="宋体"/>
          <w:b/>
          <w:bCs/>
          <w:color w:val="auto"/>
          <w:highlight w:val="none"/>
        </w:rPr>
        <w:t xml:space="preserve">。</w:t>
      </w:r>
      <w:r/>
    </w:p>
    <w:p>
      <w:pPr>
        <w:pStyle w:val="1020"/>
        <w:ind w:firstLine="480"/>
        <w:spacing w:line="360" w:lineRule="auto"/>
        <w:rPr>
          <w:rFonts w:cs="宋体"/>
          <w:color w:val="auto"/>
          <w:highlight w:val="none"/>
        </w:rPr>
      </w:pPr>
      <w:r>
        <w:rPr>
          <w:rFonts w:hint="eastAsia" w:cs="宋体"/>
          <w:color w:val="auto"/>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9804"/>
      <w:r/>
      <w:bookmarkStart w:id="8" w:name="_Hlk132385577"/>
      <w:r/>
      <w:bookmarkStart w:id="9" w:name="_Hlk132385599"/>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pStyle w:val="1020"/>
        <w:ind w:firstLine="480"/>
        <w:spacing w:line="360" w:lineRule="auto"/>
        <w:rPr>
          <w:rFonts w:cs="宋体"/>
          <w:color w:val="auto"/>
          <w:highlight w:val="none"/>
        </w:rPr>
      </w:pPr>
      <w:r>
        <w:rPr>
          <w:rFonts w:hint="eastAsia" w:cs="宋体"/>
          <w:color w:val="auto"/>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20"/>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11、代理服务费：由中标人承担。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11.2本项目代理服务费（人民币）：</w:t>
      </w:r>
      <w:r>
        <w:rPr>
          <w:rFonts w:hint="eastAsia" w:ascii="宋体" w:hAnsi="宋体" w:eastAsia="宋体" w:cs="宋体"/>
          <w:bCs/>
          <w:color w:val="auto"/>
          <w:sz w:val="24"/>
          <w:szCs w:val="24"/>
          <w:highlight w:val="none"/>
          <w:lang w:val="en-US" w:eastAsia="zh-CN"/>
        </w:rPr>
        <w:t xml:space="preserve">第一标段：10050.00</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第二标段：14325.00元；第三标段：13500.00元；第四标段：7500.00元；第五标段：11970.00元；第六标段：15000.00元；第七标段：13230.00元。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11.3代理服务费由中标人在领取中标通知书时一次性付清并含在其投标报价中。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11.4中标人如果未按上述规定缴纳中标服务费，采购代理机构将保留诉讼的权利。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未尽事宜按《中华人民共和国政府采购法》及其他有关法律法规文件的规定执行。</w:t>
      </w:r>
      <w:r/>
    </w:p>
    <w:p>
      <w:pPr>
        <w:pStyle w:val="938"/>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38"/>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1、投标响应函</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招标文件的一切要求，提供完成该项目的全部内容，我们的投标报价合同金额包括完成所有采购内容以及本项目所需的劳务支出、保险、配套费用、税费及服务相关等所发生的全部费用以及供应商投标响应单位利润、税金、意外险和政策性文件规定及合同包含的所有风险、责任等各项应有费用。除非因特殊原因并经买卖双方协商同意，乙方不得再要求追加任何费用。</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7、我们承诺本项投标文件在开标后的全过程中保持有效。我们同意中标后若不履行投标文件的内容要求和各项承诺及义务的即被视为违约，我们愿承担由此造成的一切后果。</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8、与本次招标有关的通讯地址：</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3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3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3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spacing w:line="360" w:lineRule="auto"/>
        <w:rPr>
          <w:rFonts w:ascii="宋体" w:hAnsi="宋体" w:eastAsia="宋体" w:cs="宋体"/>
          <w:bCs/>
          <w:color w:val="auto"/>
          <w:szCs w:val="21"/>
          <w:highlight w:val="none"/>
        </w:rPr>
      </w:pPr>
      <w:r>
        <w:rPr>
          <w:rFonts w:ascii="宋体" w:hAnsi="宋体" w:eastAsia="宋体" w:cs="宋体"/>
          <w:bCs/>
          <w:color w:val="auto"/>
          <w:szCs w:val="21"/>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38"/>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（单位名称）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号（采购编号）采购项目的开标、评标和合同签订过程中所签署的一切文件和处理与这有关的一切事务，我公司均予以承认。</w:t>
      </w:r>
      <w:r/>
    </w:p>
    <w:p>
      <w:pPr>
        <w:pStyle w:val="93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3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3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3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38"/>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38"/>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73"/>
        <w:ind w:firstLine="480"/>
        <w:jc w:val="both"/>
        <w:spacing w:line="360" w:lineRule="atLeast"/>
        <w:rPr>
          <w:rFonts w:hint="default" w:cs="宋体"/>
          <w:color w:val="auto"/>
          <w:highlight w:val="none"/>
        </w:rPr>
      </w:pPr>
      <w:r>
        <w:rPr>
          <w:rFonts w:hint="default" w:cs="宋体"/>
          <w:color w:val="auto"/>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1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10"/>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1010"/>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1010"/>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1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10"/>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24"/>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24"/>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24"/>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24"/>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rPr>
          <w:color w:val="auto"/>
          <w:highlight w:val="none"/>
        </w:rPr>
      </w:pPr>
      <w:r>
        <w:rPr>
          <w:color w:val="auto"/>
          <w:highlight w:val="none"/>
        </w:rPr>
      </w:r>
      <w:r/>
    </w:p>
    <w:p>
      <w:pPr>
        <w:pStyle w:val="938"/>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各标段均适用</w:t>
      </w:r>
      <w:r>
        <w:rPr>
          <w:rFonts w:hint="eastAsia" w:ascii="宋体" w:hAnsi="宋体" w:eastAsia="宋体" w:cs="宋体"/>
          <w:color w:val="auto"/>
          <w:szCs w:val="24"/>
          <w:highlight w:val="none"/>
          <w:lang w:eastAsia="zh-CN"/>
        </w:rPr>
        <w:t xml:space="preserve">）</w:t>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1"/>
        <w:jc w:val="center"/>
        <w:spacing w:line="360" w:lineRule="auto"/>
        <w:rPr>
          <w:rFonts w:hAnsi="宋体" w:eastAsia="宋体" w:cs="宋体"/>
          <w:b/>
          <w:color w:val="auto"/>
          <w:sz w:val="24"/>
          <w:highlight w:val="none"/>
        </w:rPr>
      </w:pPr>
      <w:r>
        <w:rPr>
          <w:rFonts w:hint="eastAsia" w:hAnsi="宋体" w:eastAsia="宋体" w:cs="宋体"/>
          <w:b/>
          <w:color w:val="auto"/>
          <w:sz w:val="24"/>
          <w:highlight w:val="none"/>
        </w:rPr>
        <w:t xml:space="preserve">开标一览表</w:t>
      </w:r>
      <w:r/>
    </w:p>
    <w:tbl>
      <w:tblPr>
        <w:tblStyle w:val="937"/>
        <w:tblW w:w="9447"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582"/>
        <w:gridCol w:w="2684"/>
        <w:gridCol w:w="1833"/>
      </w:tblGrid>
      <w:tr>
        <w:trPr>
          <w:trHeight w:val="427"/>
        </w:trPr>
        <w:tc>
          <w:tcPr>
            <w:tcW w:w="1348" w:type="dxa"/>
            <w:vAlign w:val="center"/>
            <w:textDirection w:val="lrTb"/>
            <w:noWrap w:val="false"/>
          </w:tcPr>
          <w:p>
            <w:pPr>
              <w:pStyle w:val="95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582" w:type="dxa"/>
            <w:vAlign w:val="center"/>
            <w:textDirection w:val="lrTb"/>
            <w:noWrap w:val="false"/>
          </w:tcPr>
          <w:p>
            <w:pPr>
              <w:pStyle w:val="95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684" w:type="dxa"/>
            <w:vAlign w:val="center"/>
            <w:textDirection w:val="lrTb"/>
            <w:noWrap w:val="false"/>
          </w:tcPr>
          <w:p>
            <w:pPr>
              <w:pStyle w:val="95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33" w:type="dxa"/>
            <w:vAlign w:val="center"/>
            <w:textDirection w:val="lrTb"/>
            <w:noWrap w:val="false"/>
          </w:tcPr>
          <w:p>
            <w:pPr>
              <w:pStyle w:val="95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tc>
          <w:tcPr>
            <w:tcW w:w="13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3582"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684" w:type="dxa"/>
            <w:vAlign w:val="center"/>
            <w:textDirection w:val="lrTb"/>
            <w:noWrap w:val="false"/>
          </w:tcPr>
          <w:p>
            <w:pPr>
              <w:pStyle w:val="95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33" w:type="dxa"/>
            <w:vAlign w:val="center"/>
            <w:textDirection w:val="lrTb"/>
            <w:noWrap w:val="false"/>
          </w:tcPr>
          <w:p>
            <w:pPr>
              <w:pStyle w:val="95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51"/>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1010"/>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1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10"/>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w:t>
      </w:r>
      <w:r>
        <w:rPr>
          <w:rFonts w:hint="eastAsia" w:hAnsi="宋体" w:eastAsia="宋体" w:cs="宋体"/>
          <w:color w:val="auto"/>
          <w:szCs w:val="24"/>
          <w:highlight w:val="none"/>
        </w:rPr>
        <w:t xml:space="preserve">公开分项报价表</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各标段均适用</w:t>
      </w:r>
      <w:r>
        <w:rPr>
          <w:rFonts w:hint="eastAsia" w:ascii="宋体" w:hAnsi="宋体" w:eastAsia="宋体" w:cs="宋体"/>
          <w:color w:val="auto"/>
          <w:szCs w:val="24"/>
          <w:highlight w:val="none"/>
          <w:lang w:eastAsia="zh-CN"/>
        </w:rPr>
        <w:t xml:space="preserve">）</w:t>
      </w:r>
      <w:bookmarkEnd w:id="10"/>
      <w:r/>
      <w:r/>
    </w:p>
    <w:tbl>
      <w:tblPr>
        <w:tblStyle w:val="93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0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0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9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6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2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1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23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c>
          <w:tcPr>
            <w:tcW w:w="96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086"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086"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086"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086"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086"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1"/>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gridSpan w:val="9"/>
            <w:tcW w:w="9638" w:type="dxa"/>
            <w:vAlign w:val="center"/>
            <w:textDirection w:val="lrTb"/>
            <w:noWrap w:val="false"/>
          </w:tcPr>
          <w:p>
            <w:pPr>
              <w:pStyle w:val="951"/>
              <w:jc w:val="both"/>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pacing w:val="20"/>
                <w:sz w:val="24"/>
                <w:szCs w:val="24"/>
                <w:highlight w:val="none"/>
              </w:rPr>
              <w:t xml:space="preserve">合计金额（人民币）</w:t>
            </w:r>
            <w:r>
              <w:rPr>
                <w:rFonts w:hint="eastAsia" w:hAnsi="宋体" w:eastAsia="宋体" w:cs="宋体"/>
                <w:color w:val="auto"/>
                <w:spacing w:val="20"/>
                <w:sz w:val="24"/>
                <w:szCs w:val="24"/>
                <w:highlight w:val="none"/>
                <w:lang w:eastAsia="zh-CN"/>
              </w:rPr>
              <w:t xml:space="preserve">：</w:t>
            </w:r>
            <w:r/>
          </w:p>
        </w:tc>
      </w:tr>
      <w:tr>
        <w:trPr>
          <w:jc w:val="center"/>
          <w:trHeight w:val="567"/>
        </w:trPr>
        <w:tc>
          <w:tcPr>
            <w:gridSpan w:val="9"/>
            <w:tcW w:w="9638" w:type="dxa"/>
            <w:vAlign w:val="center"/>
            <w:textDirection w:val="lrTb"/>
            <w:noWrap w:val="false"/>
          </w:tcPr>
          <w:p>
            <w:pPr>
              <w:pStyle w:val="951"/>
              <w:jc w:val="both"/>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 xml:space="preserve">%</w:t>
            </w:r>
            <w:r/>
          </w:p>
        </w:tc>
      </w:tr>
    </w:tbl>
    <w:p>
      <w:pPr>
        <w:pStyle w:val="938"/>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38"/>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38"/>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38"/>
        <w:ind w:left="0" w:right="420" w:firstLine="482"/>
        <w:spacing w:line="360" w:lineRule="auto"/>
        <w:shd w:val="clear" w:color="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1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1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101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101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技术参数响应及偏离表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各标段均适用</w:t>
      </w:r>
      <w:r>
        <w:rPr>
          <w:rFonts w:hint="eastAsia" w:ascii="宋体" w:hAnsi="宋体" w:eastAsia="宋体" w:cs="宋体"/>
          <w:b w:val="0"/>
          <w:bCs w:val="0"/>
          <w:color w:val="auto"/>
          <w:sz w:val="24"/>
          <w:szCs w:val="24"/>
          <w:highlight w:val="none"/>
          <w:lang w:eastAsia="zh-CN"/>
        </w:rPr>
        <w:t xml:space="preserve">）</w:t>
      </w:r>
      <w:r/>
    </w:p>
    <w:tbl>
      <w:tblPr>
        <w:tblStyle w:val="93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投标产品技术参数</w:t>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c>
          <w:tcPr>
            <w:tcW w:w="1559"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5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w:t>
      </w:r>
      <w:r>
        <w:rPr>
          <w:rFonts w:hint="eastAsia" w:ascii="宋体" w:hAnsi="宋体" w:eastAsia="宋体" w:cs="宋体"/>
          <w:b/>
          <w:bCs w:val="0"/>
          <w:color w:val="auto"/>
          <w:sz w:val="24"/>
          <w:szCs w:val="24"/>
          <w:highlight w:val="none"/>
          <w:lang w:eastAsia="zh-CN"/>
        </w:rPr>
        <w:t xml:space="preserve">投标产品</w:t>
      </w:r>
      <w:r>
        <w:rPr>
          <w:rFonts w:hint="eastAsia" w:ascii="宋体" w:hAnsi="宋体" w:eastAsia="宋体" w:cs="宋体"/>
          <w:b/>
          <w:bCs w:val="0"/>
          <w:color w:val="auto"/>
          <w:sz w:val="24"/>
          <w:szCs w:val="24"/>
          <w:highlight w:val="none"/>
        </w:rPr>
        <w:t xml:space="preserve">对招标文件技术要求应作出的详细描述和说明。</w:t>
      </w:r>
      <w:r/>
    </w:p>
    <w:p>
      <w:pPr>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以上表格内容不够的请自行添加。</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ind w:left="0"/>
        <w:jc w:val="left"/>
        <w:rPr>
          <w:rFonts w:hint="eastAsia" w:ascii="宋体" w:hAnsi="宋体" w:eastAsia="宋体" w:cs="宋体"/>
          <w:b/>
          <w:color w:val="auto"/>
          <w:sz w:val="24"/>
          <w:szCs w:val="24"/>
        </w:rPr>
        <w:outlineLvl w:val="0"/>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color w:val="auto"/>
          <w:sz w:val="24"/>
          <w:szCs w:val="24"/>
        </w:rPr>
        <w:t xml:space="preserve">商务条款响应及偏离表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各标段均适用</w:t>
      </w:r>
      <w:r>
        <w:rPr>
          <w:rFonts w:hint="eastAsia" w:ascii="宋体" w:hAnsi="宋体" w:eastAsia="宋体" w:cs="宋体"/>
          <w:b w:val="0"/>
          <w:bCs w:val="0"/>
          <w:color w:val="auto"/>
          <w:sz w:val="24"/>
          <w:szCs w:val="24"/>
          <w:highlight w:val="none"/>
          <w:lang w:eastAsia="zh-CN"/>
        </w:rPr>
        <w:t xml:space="preserve">）</w:t>
      </w:r>
      <w:r/>
    </w:p>
    <w:p>
      <w:pPr>
        <w:ind w:left="0"/>
        <w:jc w:val="center"/>
        <w:spacing w:before="100" w:beforeAutospacing="1" w:after="100" w:afterAutospacing="1" w:line="48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商务条款响应及偏离表</w:t>
      </w:r>
      <w:r/>
    </w:p>
    <w:tbl>
      <w:tblPr>
        <w:tblStyle w:val="93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招标要求</w:t>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投标内容</w:t>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偏离说明</w:t>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rPr>
        <w:t xml:space="preserve">投标人应在本表中对照招标文件商务条款要求逐项对应列出响应内容，并在“偏离说明”项下填写以下内容：优于的，填写“正偏离”；符合的，填写“无偏离”；低于的，填写“负偏离”。</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以上表格内容不够的请自行添加。</w:t>
      </w:r>
      <w:r/>
    </w:p>
    <w:p>
      <w:pPr>
        <w:spacing w:line="360" w:lineRule="auto"/>
        <w:rPr>
          <w:rFonts w:hint="eastAsia" w:ascii="宋体" w:hAnsi="宋体" w:eastAsia="宋体" w:cs="宋体"/>
          <w:b w:val="0"/>
          <w:bCs/>
          <w:color w:val="auto"/>
          <w:sz w:val="24"/>
          <w:szCs w:val="24"/>
          <w:lang w:val="zh-CN"/>
        </w:rPr>
      </w:pPr>
      <w:r>
        <w:rPr>
          <w:rFonts w:hint="eastAsia" w:ascii="宋体" w:hAnsi="宋体" w:eastAsia="宋体" w:cs="宋体"/>
          <w:bCs/>
          <w:color w:val="auto"/>
          <w:sz w:val="24"/>
          <w:szCs w:val="24"/>
          <w:highlight w:val="none"/>
          <w:lang w:val="en-US" w:eastAsia="zh-CN"/>
        </w:rPr>
        <w:br w:type="page" w:clear="all"/>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lang w:val="zh-CN"/>
        </w:rPr>
        <w:t xml:space="preserve">投标货物和服务数量、品牌、规格、制造商明细表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各标段均适用</w:t>
      </w:r>
      <w:r>
        <w:rPr>
          <w:rFonts w:hint="eastAsia" w:ascii="宋体" w:hAnsi="宋体" w:eastAsia="宋体" w:cs="宋体"/>
          <w:b w:val="0"/>
          <w:bCs w:val="0"/>
          <w:color w:val="auto"/>
          <w:sz w:val="24"/>
          <w:szCs w:val="24"/>
          <w:highlight w:val="none"/>
          <w:lang w:eastAsia="zh-CN"/>
        </w:rPr>
        <w:t xml:space="preserve">）</w:t>
      </w:r>
      <w:r/>
    </w:p>
    <w:tbl>
      <w:tblPr>
        <w:tblStyle w:val="937"/>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bl>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ind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1.本表不得出现价格。</w:t>
      </w:r>
      <w:r/>
    </w:p>
    <w:p>
      <w:pPr>
        <w:ind w:firstLine="422"/>
        <w:spacing w:line="360" w:lineRule="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2.供应商应在“投标货物和服务数量、品牌、规格、制造商明细表”中必须列明所有投标产品的品牌、规格/型号、制造商和数量，且数量需满足采购需求，</w:t>
      </w:r>
      <w:r>
        <w:rPr>
          <w:rFonts w:hint="eastAsia" w:ascii="宋体" w:hAnsi="宋体" w:eastAsia="宋体" w:cs="宋体"/>
          <w:b/>
          <w:color w:val="auto"/>
          <w:sz w:val="24"/>
          <w:szCs w:val="24"/>
        </w:rPr>
        <w:t xml:space="preserve">否则投标无效。</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、中小企业声明函</w:t>
      </w:r>
      <w:r/>
    </w:p>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tabs>
          <w:tab w:val="center" w:pos="5258" w:leader="none"/>
        </w:tabs>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shd w:val="clear" w:color="auto"/>
        <w:rPr>
          <w:rFonts w:hint="eastAsia" w:ascii="方正魏碑_GBK" w:hAnsi="方正魏碑_GBK"/>
          <w:color w:val="auto"/>
          <w:szCs w:val="24"/>
          <w:highlight w:val="none"/>
        </w:rPr>
        <w:outlineLvl w:val="0"/>
      </w:pPr>
      <w:r>
        <w:rPr>
          <w:rFonts w:hint="eastAsia" w:ascii="宋体" w:hAnsi="宋体" w:eastAsia="宋体" w:cs="宋体"/>
          <w:b w:val="0"/>
          <w:bCs w:val="0"/>
          <w:color w:val="auto"/>
          <w:sz w:val="24"/>
          <w:szCs w:val="24"/>
          <w:highlight w:val="none"/>
          <w:lang w:val="en-US" w:eastAsia="zh-CN"/>
        </w:rPr>
        <w:t xml:space="preserve">10、关于符合本国产品标准的声明函（采购包号：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ascii="方正魏碑_GBK" w:hAnsi="方正魏碑_GBK"/>
          <w:color w:val="auto"/>
          <w:highlight w:val="none"/>
        </w:rPr>
        <w:t xml:space="preserve"> </w:t>
      </w:r>
      <w:r/>
    </w:p>
    <w:p>
      <w:pPr>
        <w:pStyle w:val="973"/>
        <w:ind w:firstLine="42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3"/>
        <w:ind w:firstLine="420"/>
        <w:spacing w:before="0" w:after="3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shd w:val="clear" w:color="auto" w:fill="ffffff"/>
        </w:rPr>
        <w:t xml:space="preserve">1.</w:t>
      </w:r>
      <w:r>
        <w:rPr>
          <w:rStyle w:val="1070"/>
          <w:rFonts w:hint="eastAsia" w:ascii="宋体" w:hAnsi="宋体" w:eastAsia="宋体" w:cs="宋体"/>
          <w:b w:val="0"/>
          <w:bCs w:val="0"/>
          <w:i w:val="0"/>
          <w:color w:val="auto"/>
          <w:highlight w:val="none"/>
          <w:u w:val="single"/>
          <w:shd w:val="clear" w:color="auto" w:fill="ffffff"/>
        </w:rPr>
        <w:t xml:space="preserve">（产品名称1）</w:t>
      </w:r>
      <w:r>
        <w:rPr>
          <w:rStyle w:val="1070"/>
          <w:rFonts w:hint="eastAsia" w:ascii="宋体" w:hAnsi="宋体" w:eastAsia="宋体" w:cs="宋体"/>
          <w:b w:val="0"/>
          <w:bCs w:val="0"/>
          <w:i w:val="0"/>
          <w:color w:val="auto"/>
          <w:highlight w:val="none"/>
          <w:shd w:val="clear" w:color="auto" w:fill="ffffff"/>
          <w:vertAlign w:val="superscript"/>
        </w:rPr>
        <w:t xml:space="preserve">1</w:t>
      </w:r>
      <w:r>
        <w:rPr>
          <w:rFonts w:hint="eastAsia" w:ascii="宋体" w:hAnsi="宋体" w:eastAsia="宋体" w:cs="宋体"/>
          <w:b w:val="0"/>
          <w:bCs w:val="0"/>
          <w:color w:val="auto"/>
          <w:highlight w:val="none"/>
          <w:shd w:val="clear" w:color="auto" w:fill="ffffff"/>
        </w:rPr>
        <w:t xml:space="preserve">，生产厂为</w:t>
      </w:r>
      <w:r>
        <w:rPr>
          <w:rStyle w:val="1070"/>
          <w:rFonts w:hint="eastAsia" w:ascii="宋体" w:hAnsi="宋体" w:eastAsia="宋体" w:cs="宋体"/>
          <w:b w:val="0"/>
          <w:bCs w:val="0"/>
          <w:i w:val="0"/>
          <w:color w:val="auto"/>
          <w:highlight w:val="none"/>
          <w:u w:val="single"/>
          <w:shd w:val="clear" w:color="auto" w:fill="ffffff"/>
        </w:rPr>
        <w:t xml:space="preserve">（厂名）</w:t>
      </w:r>
      <w:r>
        <w:rPr>
          <w:rStyle w:val="1070"/>
          <w:rFonts w:hint="eastAsia" w:ascii="宋体" w:hAnsi="宋体" w:eastAsia="宋体" w:cs="宋体"/>
          <w:b w:val="0"/>
          <w:bCs w:val="0"/>
          <w:i w:val="0"/>
          <w:color w:val="auto"/>
          <w:highlight w:val="none"/>
          <w:shd w:val="clear" w:color="auto" w:fill="ffffff"/>
          <w:vertAlign w:val="superscript"/>
        </w:rPr>
        <w:t xml:space="preserve">2</w:t>
      </w:r>
      <w:r>
        <w:rPr>
          <w:rFonts w:hint="eastAsia" w:ascii="宋体" w:hAnsi="宋体" w:eastAsia="宋体" w:cs="宋体"/>
          <w:b w:val="0"/>
          <w:bCs w:val="0"/>
          <w:color w:val="auto"/>
          <w:highlight w:val="none"/>
          <w:shd w:val="clear" w:color="auto" w:fill="ffffff"/>
        </w:rPr>
        <w:t xml:space="preserve">，厂址为</w:t>
      </w:r>
      <w:r>
        <w:rPr>
          <w:rStyle w:val="1070"/>
          <w:rFonts w:hint="eastAsia" w:ascii="宋体" w:hAnsi="宋体" w:eastAsia="宋体" w:cs="宋体"/>
          <w:b w:val="0"/>
          <w:bCs w:val="0"/>
          <w:i w:val="0"/>
          <w:color w:val="auto"/>
          <w:highlight w:val="none"/>
          <w:u w:val="single"/>
          <w:shd w:val="clear" w:color="auto" w:fill="ffffff"/>
        </w:rPr>
        <w:t xml:space="preserve">（生产厂址）</w:t>
      </w:r>
      <w:r>
        <w:rPr>
          <w:rFonts w:hint="eastAsia" w:ascii="宋体" w:hAnsi="宋体" w:eastAsia="宋体" w:cs="宋体"/>
          <w:b w:val="0"/>
          <w:bCs w:val="0"/>
          <w:color w:val="auto"/>
          <w:highlight w:val="none"/>
          <w:shd w:val="clear" w:color="auto" w:fill="ffffff"/>
        </w:rPr>
        <w:t xml:space="preserve">。</w:t>
      </w:r>
      <w:r>
        <w:rPr>
          <w:rFonts w:hint="eastAsia" w:ascii="宋体" w:hAnsi="宋体" w:eastAsia="宋体" w:cs="宋体"/>
          <w:b w:val="0"/>
          <w:bCs w:val="0"/>
          <w:color w:val="auto"/>
          <w:highlight w:val="none"/>
          <w:u w:val="single"/>
          <w:shd w:val="clear" w:color="auto" w:fill="ffffff"/>
        </w:rPr>
        <w:t xml:space="preserve"> </w:t>
      </w:r>
      <w:r>
        <w:rPr>
          <w:rStyle w:val="1070"/>
          <w:rFonts w:hint="eastAsia" w:ascii="宋体" w:hAnsi="宋体" w:eastAsia="宋体" w:cs="宋体"/>
          <w:b w:val="0"/>
          <w:bCs w:val="0"/>
          <w:i w:val="0"/>
          <w:color w:val="auto"/>
          <w:highlight w:val="none"/>
          <w:u w:val="single"/>
          <w:shd w:val="clear" w:color="auto" w:fill="ffffff"/>
        </w:rPr>
        <w:t xml:space="preserve">（产品名称1） </w:t>
      </w:r>
      <w:r>
        <w:rPr>
          <w:rFonts w:hint="eastAsia" w:ascii="宋体" w:hAnsi="宋体" w:eastAsia="宋体" w:cs="宋体"/>
          <w:b w:val="0"/>
          <w:bCs w:val="0"/>
          <w:color w:val="auto"/>
          <w:highlight w:val="none"/>
          <w:shd w:val="clear" w:color="auto" w:fill="ffffff"/>
        </w:rPr>
        <w:t xml:space="preserve">的中国境内生产的组件成本占比≥</w:t>
      </w:r>
      <w:r>
        <w:rPr>
          <w:rStyle w:val="1070"/>
          <w:rFonts w:hint="eastAsia" w:ascii="宋体" w:hAnsi="宋体" w:eastAsia="宋体" w:cs="宋体"/>
          <w:b w:val="0"/>
          <w:bCs w:val="0"/>
          <w:i w:val="0"/>
          <w:color w:val="auto"/>
          <w:highlight w:val="none"/>
          <w:u w:val="single"/>
          <w:shd w:val="clear" w:color="auto" w:fill="ffffff"/>
        </w:rPr>
        <w:t xml:space="preserve">（规定比例）</w:t>
      </w:r>
      <w:r>
        <w:rPr>
          <w:rStyle w:val="1070"/>
          <w:rFonts w:hint="eastAsia" w:ascii="宋体" w:hAnsi="宋体" w:eastAsia="宋体" w:cs="宋体"/>
          <w:b w:val="0"/>
          <w:bCs w:val="0"/>
          <w:i w:val="0"/>
          <w:color w:val="auto"/>
          <w:highlight w:val="none"/>
          <w:shd w:val="clear" w:color="auto" w:fill="ffffff"/>
          <w:vertAlign w:val="superscript"/>
        </w:rPr>
        <w:t xml:space="preserve">3</w:t>
      </w:r>
      <w:r>
        <w:rPr>
          <w:rFonts w:hint="eastAsia" w:ascii="宋体" w:hAnsi="宋体" w:eastAsia="宋体" w:cs="宋体"/>
          <w:b w:val="0"/>
          <w:bCs w:val="0"/>
          <w:color w:val="auto"/>
          <w:highlight w:val="none"/>
          <w:shd w:val="clear" w:color="auto" w:fill="ffffff"/>
        </w:rPr>
        <w:t xml:space="preserve">。</w:t>
      </w:r>
      <w:r>
        <w:rPr>
          <w:rStyle w:val="1070"/>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0"/>
          <w:rFonts w:hint="eastAsia" w:ascii="宋体" w:hAnsi="宋体" w:eastAsia="宋体" w:cs="宋体"/>
          <w:b w:val="0"/>
          <w:bCs w:val="0"/>
          <w:i w:val="0"/>
          <w:color w:val="auto"/>
          <w:highlight w:val="none"/>
          <w:u w:val="single"/>
          <w:shd w:val="clear" w:color="auto" w:fill="ffffff"/>
        </w:rPr>
        <w:t xml:space="preserve">（关键组件）</w:t>
      </w:r>
      <w:r>
        <w:rPr>
          <w:rStyle w:val="1070"/>
          <w:rFonts w:hint="eastAsia" w:ascii="宋体" w:hAnsi="宋体" w:eastAsia="宋体" w:cs="宋体"/>
          <w:b w:val="0"/>
          <w:bCs w:val="0"/>
          <w:i w:val="0"/>
          <w:color w:val="auto"/>
          <w:highlight w:val="none"/>
          <w:shd w:val="clear" w:color="auto" w:fill="ffffff"/>
          <w:vertAlign w:val="superscript"/>
        </w:rPr>
        <w:t xml:space="preserve">4</w:t>
      </w:r>
      <w:r>
        <w:rPr>
          <w:rFonts w:hint="eastAsia" w:ascii="宋体" w:hAnsi="宋体" w:eastAsia="宋体" w:cs="宋体"/>
          <w:b w:val="0"/>
          <w:bCs w:val="0"/>
          <w:color w:val="auto"/>
          <w:highlight w:val="none"/>
          <w:shd w:val="clear" w:color="auto" w:fill="ffffff"/>
        </w:rPr>
        <w:t xml:space="preserve">在中国境内生产。</w:t>
      </w:r>
      <w:r>
        <w:rPr>
          <w:rStyle w:val="1070"/>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0"/>
          <w:rFonts w:hint="eastAsia" w:ascii="宋体" w:hAnsi="宋体" w:eastAsia="宋体" w:cs="宋体"/>
          <w:b w:val="0"/>
          <w:bCs w:val="0"/>
          <w:i w:val="0"/>
          <w:color w:val="auto"/>
          <w:highlight w:val="none"/>
          <w:u w:val="single"/>
          <w:shd w:val="clear" w:color="auto" w:fill="ffffff"/>
        </w:rPr>
        <w:t xml:space="preserve">（关键工序）</w:t>
      </w:r>
      <w:r>
        <w:rPr>
          <w:rStyle w:val="1070"/>
          <w:rFonts w:hint="eastAsia" w:ascii="宋体" w:hAnsi="宋体" w:eastAsia="宋体" w:cs="宋体"/>
          <w:b w:val="0"/>
          <w:bCs w:val="0"/>
          <w:i w:val="0"/>
          <w:color w:val="auto"/>
          <w:highlight w:val="none"/>
          <w:shd w:val="clear" w:color="auto" w:fill="ffffff"/>
          <w:vertAlign w:val="superscript"/>
        </w:rPr>
        <w:t xml:space="preserve">5</w:t>
      </w:r>
      <w:r>
        <w:rPr>
          <w:rFonts w:hint="eastAsia" w:ascii="宋体" w:hAnsi="宋体" w:eastAsia="宋体" w:cs="宋体"/>
          <w:b w:val="0"/>
          <w:bCs w:val="0"/>
          <w:color w:val="auto"/>
          <w:highlight w:val="none"/>
          <w:shd w:val="clear" w:color="auto" w:fill="ffffff"/>
        </w:rPr>
        <w:t xml:space="preserve">在中国境内完成。</w:t>
      </w:r>
      <w:r/>
    </w:p>
    <w:p>
      <w:pPr>
        <w:pStyle w:val="973"/>
        <w:ind w:firstLine="420"/>
        <w:spacing w:before="0" w:after="3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shd w:val="clear" w:color="auto" w:fill="ffffff"/>
        </w:rPr>
        <w:t xml:space="preserve">2.</w:t>
      </w:r>
      <w:r>
        <w:rPr>
          <w:rStyle w:val="1070"/>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，生产厂为</w:t>
      </w:r>
      <w:r>
        <w:rPr>
          <w:rStyle w:val="1070"/>
          <w:rFonts w:hint="eastAsia" w:ascii="宋体" w:hAnsi="宋体" w:eastAsia="宋体" w:cs="宋体"/>
          <w:b w:val="0"/>
          <w:bCs w:val="0"/>
          <w:i w:val="0"/>
          <w:color w:val="auto"/>
          <w:highlight w:val="none"/>
          <w:u w:val="single"/>
          <w:shd w:val="clear" w:color="auto" w:fill="ffffff"/>
        </w:rPr>
        <w:t xml:space="preserve">（厂名）</w:t>
      </w:r>
      <w:r>
        <w:rPr>
          <w:rFonts w:hint="eastAsia" w:ascii="宋体" w:hAnsi="宋体" w:eastAsia="宋体" w:cs="宋体"/>
          <w:b w:val="0"/>
          <w:bCs w:val="0"/>
          <w:color w:val="auto"/>
          <w:highlight w:val="none"/>
          <w:shd w:val="clear" w:color="auto" w:fill="ffffff"/>
        </w:rPr>
        <w:t xml:space="preserve">，厂址为</w:t>
      </w:r>
      <w:r>
        <w:rPr>
          <w:rStyle w:val="1070"/>
          <w:rFonts w:hint="eastAsia" w:ascii="宋体" w:hAnsi="宋体" w:eastAsia="宋体" w:cs="宋体"/>
          <w:b w:val="0"/>
          <w:bCs w:val="0"/>
          <w:i w:val="0"/>
          <w:color w:val="auto"/>
          <w:highlight w:val="none"/>
          <w:u w:val="single"/>
          <w:shd w:val="clear" w:color="auto" w:fill="ffffff"/>
        </w:rPr>
        <w:t xml:space="preserve">（生产厂址）</w:t>
      </w:r>
      <w:r>
        <w:rPr>
          <w:rFonts w:hint="eastAsia" w:ascii="宋体" w:hAnsi="宋体" w:eastAsia="宋体" w:cs="宋体"/>
          <w:b w:val="0"/>
          <w:bCs w:val="0"/>
          <w:color w:val="auto"/>
          <w:highlight w:val="none"/>
          <w:shd w:val="clear" w:color="auto" w:fill="ffffff"/>
        </w:rPr>
        <w:t xml:space="preserve">。</w:t>
      </w:r>
      <w:r>
        <w:rPr>
          <w:rStyle w:val="1070"/>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的中国境内生产的组件成本占比≥</w:t>
      </w:r>
      <w:r>
        <w:rPr>
          <w:rStyle w:val="1070"/>
          <w:rFonts w:hint="eastAsia" w:ascii="宋体" w:hAnsi="宋体" w:eastAsia="宋体" w:cs="宋体"/>
          <w:b w:val="0"/>
          <w:bCs w:val="0"/>
          <w:i w:val="0"/>
          <w:color w:val="auto"/>
          <w:highlight w:val="none"/>
          <w:u w:val="single"/>
          <w:shd w:val="clear" w:color="auto" w:fill="ffffff"/>
        </w:rPr>
        <w:t xml:space="preserve">（规定比例）</w:t>
      </w:r>
      <w:r>
        <w:rPr>
          <w:rFonts w:hint="eastAsia" w:ascii="宋体" w:hAnsi="宋体" w:eastAsia="宋体" w:cs="宋体"/>
          <w:b w:val="0"/>
          <w:bCs w:val="0"/>
          <w:color w:val="auto"/>
          <w:highlight w:val="none"/>
          <w:shd w:val="clear" w:color="auto" w:fill="ffffff"/>
        </w:rPr>
        <w:t xml:space="preserve">。</w:t>
      </w:r>
      <w:r>
        <w:rPr>
          <w:rStyle w:val="1070"/>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的</w:t>
      </w:r>
      <w:r>
        <w:rPr>
          <w:rStyle w:val="1070"/>
          <w:rFonts w:hint="eastAsia" w:ascii="宋体" w:hAnsi="宋体" w:eastAsia="宋体" w:cs="宋体"/>
          <w:b w:val="0"/>
          <w:bCs w:val="0"/>
          <w:i w:val="0"/>
          <w:color w:val="auto"/>
          <w:highlight w:val="none"/>
          <w:u w:val="single"/>
          <w:shd w:val="clear" w:color="auto" w:fill="ffffff"/>
        </w:rPr>
        <w:t xml:space="preserve">（关键组件）</w:t>
      </w:r>
      <w:r>
        <w:rPr>
          <w:rFonts w:hint="eastAsia" w:ascii="宋体" w:hAnsi="宋体" w:eastAsia="宋体" w:cs="宋体"/>
          <w:b w:val="0"/>
          <w:bCs w:val="0"/>
          <w:color w:val="auto"/>
          <w:highlight w:val="none"/>
          <w:shd w:val="clear" w:color="auto" w:fill="ffffff"/>
        </w:rPr>
        <w:t xml:space="preserve">在中国境内生产。</w:t>
      </w:r>
      <w:r>
        <w:rPr>
          <w:rStyle w:val="1070"/>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0"/>
          <w:rFonts w:hint="eastAsia" w:ascii="宋体" w:hAnsi="宋体" w:eastAsia="宋体" w:cs="宋体"/>
          <w:b w:val="0"/>
          <w:bCs w:val="0"/>
          <w:i w:val="0"/>
          <w:color w:val="auto"/>
          <w:highlight w:val="none"/>
          <w:u w:val="single"/>
          <w:shd w:val="clear" w:color="auto" w:fill="ffffff"/>
        </w:rPr>
        <w:t xml:space="preserve">（关键工序）</w:t>
      </w:r>
      <w:r>
        <w:rPr>
          <w:rFonts w:hint="eastAsia" w:ascii="宋体" w:hAnsi="宋体" w:eastAsia="宋体" w:cs="宋体"/>
          <w:b w:val="0"/>
          <w:bCs w:val="0"/>
          <w:color w:val="auto"/>
          <w:highlight w:val="none"/>
          <w:shd w:val="clear" w:color="auto" w:fill="ffffff"/>
        </w:rPr>
        <w:t xml:space="preserve">在中国境内完成。</w:t>
      </w:r>
      <w:r/>
    </w:p>
    <w:p>
      <w:pPr>
        <w:pStyle w:val="973"/>
        <w:ind w:firstLine="420"/>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73"/>
        <w:ind w:firstLine="420"/>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73"/>
        <w:spacing w:before="30" w:after="3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3"/>
        <w:ind w:right="480" w:firstLine="5160"/>
        <w:spacing w:before="30" w:after="30" w:line="360" w:lineRule="auto"/>
        <w:rPr>
          <w:rFonts w:hint="eastAsia" w:ascii="宋体" w:hAnsi="宋体" w:eastAsia="宋体" w:cs="宋体"/>
          <w:color w:val="auto"/>
          <w:szCs w:val="24"/>
          <w:highlight w:val="none"/>
        </w:rPr>
      </w:pPr>
      <w:r>
        <w:rPr>
          <w:rFonts w:hint="eastAsia" w:ascii="宋体" w:hAnsi="宋体" w:eastAsia="宋体" w:cs="宋体"/>
          <w:color w:val="auto"/>
          <w:highlight w:val="none"/>
          <w:shd w:val="clear" w:color="auto" w:fill="ffffff"/>
        </w:rPr>
        <w:t xml:space="preserve">公司（单位）名称（盖章）：         </w:t>
      </w:r>
      <w:r/>
    </w:p>
    <w:p>
      <w:pPr>
        <w:pStyle w:val="973"/>
        <w:jc w:val="center"/>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 xml:space="preserve"> 日期：    年   月   日         </w:t>
      </w:r>
      <w:r/>
    </w:p>
    <w:p>
      <w:pPr>
        <w:pStyle w:val="973"/>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73"/>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1.产品如有型号，请在“产品名称”栏一并填写。</w:t>
      </w:r>
      <w:r/>
    </w:p>
    <w:p>
      <w:pPr>
        <w:pStyle w:val="973"/>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2.生产厂名与厂址应与生产厂营业执照载明的相关信息保持一致。</w:t>
      </w:r>
      <w:r/>
    </w:p>
    <w:p>
      <w:pPr>
        <w:pStyle w:val="973"/>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3.该产品的中国境内生产的组件成本占比相关要求实施前，“规定比例”栏可不填，下同。</w:t>
      </w:r>
      <w:r/>
    </w:p>
    <w:p>
      <w:pPr>
        <w:pStyle w:val="973"/>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4.该产品的关键组件要求实施前，“关键组件”栏可不填，下同。</w:t>
      </w:r>
      <w:r/>
    </w:p>
    <w:p>
      <w:pPr>
        <w:pStyle w:val="973"/>
        <w:spacing w:before="30" w:after="30" w:line="240" w:lineRule="auto"/>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 xml:space="preserve">5.该产品的关键工序要求实施前，“关键工序”栏可不填，下同。</w:t>
      </w:r>
      <w:r/>
    </w:p>
    <w:p>
      <w:pPr>
        <w:jc w:val="left"/>
        <w:spacing w:line="24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第四章 招标书</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的委托，苏州正杰招投标咨询服务有限公司就其所需的</w:t>
      </w:r>
      <w:r>
        <w:rPr>
          <w:rFonts w:hint="eastAsia" w:ascii="宋体" w:hAnsi="宋体" w:eastAsia="宋体" w:cs="宋体"/>
          <w:color w:val="auto"/>
          <w:sz w:val="24"/>
          <w:szCs w:val="24"/>
          <w:highlight w:val="none"/>
          <w:lang w:eastAsia="zh-CN"/>
        </w:rPr>
        <w:t xml:space="preserve">高品质科技特色高中项目资产购置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一、招标编号：</w:t>
      </w:r>
      <w:r>
        <w:rPr>
          <w:rFonts w:hint="eastAsia" w:ascii="宋体" w:hAnsi="宋体" w:eastAsia="宋体" w:cs="宋体"/>
          <w:color w:val="auto"/>
          <w:sz w:val="24"/>
          <w:szCs w:val="24"/>
          <w:highlight w:val="none"/>
          <w:lang w:eastAsia="zh-CN"/>
        </w:rPr>
        <w:t xml:space="preserve">JSZC-320591-SZZJ-G2026-0013</w:t>
      </w:r>
      <w:r>
        <w:rPr>
          <w:rFonts w:hint="eastAsia" w:ascii="宋体" w:hAnsi="宋体" w:eastAsia="宋体" w:cs="宋体"/>
          <w:color w:val="auto"/>
          <w:sz w:val="24"/>
          <w:szCs w:val="24"/>
          <w:highlight w:val="none"/>
        </w:rPr>
        <w:t xml:space="preserve">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firstLine="472"/>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第一标段：生物数字化实验室</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8pt;height:66.0pt;mso-wrap-distance-left:0.0pt;mso-wrap-distance-top:0.0pt;mso-wrap-distance-right:0.0pt;mso-wrap-distance-bottom:0.0pt;" filled="f" stroked="f">
            <v:path textboxrect="0,0,0,0"/>
            <v:imagedata r:id="rId18" o:title=""/>
          </v:shape>
          <o:OLEObject DrawAspect="Icon" r:id="rId19" ObjectID="_15250415" ProgID="Word.Document.12" ShapeID="_x0000_i15"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1、本标段确定核心产品为：序号23号梯度PCR仪、序号25生物数码显微镜。</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第二标段：STEM工坊实验室A坊(机器人方向)</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2.8pt;height:66.0pt;mso-wrap-distance-left:0.0pt;mso-wrap-distance-top:0.0pt;mso-wrap-distance-right:0.0pt;mso-wrap-distance-bottom:0.0pt;" filled="f" stroked="f">
            <v:path textboxrect="0,0,0,0"/>
            <v:imagedata r:id="rId20" o:title=""/>
          </v:shape>
          <o:OLEObject DrawAspect="Icon" r:id="rId21" ObjectID="_15250416" ProgID="Word.Document.12" ShapeID="_x0000_i16"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1、本标段确定核心产品为：序号20电子测试套装、序号24机器人对抗赛器材高级套装。</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第三标段：STEM工坊实验室B坊(纳米方向)</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2.8pt;height:66.0pt;mso-wrap-distance-left:0.0pt;mso-wrap-distance-top:0.0pt;mso-wrap-distance-right:0.0pt;mso-wrap-distance-bottom:0.0pt;" filled="f" stroked="f">
            <v:path textboxrect="0,0,0,0"/>
            <v:imagedata r:id="rId22" o:title=""/>
          </v:shape>
          <o:OLEObject DrawAspect="Icon" r:id="rId23" ObjectID="_15250417" ProgID="Word.Document.12" ShapeID="_x0000_i17"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1、本标段确定核心产品为：序号1教学型扫描隧道显微镜、序号2教学型原子力显微镜。</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第四标段：AI课堂教学观测系统</w:t>
      </w:r>
      <w:r/>
    </w:p>
    <w:p>
      <w:pPr>
        <w:ind w:firstLine="472"/>
        <w:spacing w:line="360" w:lineRule="auto"/>
        <w:tabs>
          <w:tab w:val="center" w:pos="4819"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rPr>
          <w:rFonts w:hint="eastAsia" w:ascii="宋体" w:hAnsi="宋体" w:eastAsia="宋体" w:cs="宋体"/>
          <w:b/>
          <w:color w:val="auto"/>
          <w:sz w:val="24"/>
          <w:szCs w:val="24"/>
          <w:highlight w:val="none"/>
          <w:lang w:val="en-US" w:eastAsia="zh-CN"/>
        </w:rPr>
        <w:tab/>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8pt;height:66.0pt;mso-wrap-distance-left:0.0pt;mso-wrap-distance-top:0.0pt;mso-wrap-distance-right:0.0pt;mso-wrap-distance-bottom:0.0pt;" filled="f" stroked="f">
            <v:path textboxrect="0,0,0,0"/>
            <v:imagedata r:id="rId24" o:title=""/>
          </v:shape>
          <o:OLEObject DrawAspect="Icon" r:id="rId25" ObjectID="_15250418" ProgID="Word.Document.12" ShapeID="_x0000_i18"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1、本标段确定核心产品为：序号2高清摄像机。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第五标段：无人机实验室</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2.8pt;height:66.0pt;mso-wrap-distance-left:0.0pt;mso-wrap-distance-top:0.0pt;mso-wrap-distance-right:0.0pt;mso-wrap-distance-bottom:0.0pt;" filled="f" stroked="f">
            <v:path textboxrect="0,0,0,0"/>
            <v:imagedata r:id="rId26" o:title=""/>
          </v:shape>
          <o:OLEObject DrawAspect="Icon" r:id="rId27" ObjectID="_15250419" ProgID="Word.Document.12" ShapeID="_x0000_i19"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1、本标段确定核心产品为：序号8第三视角无人机-无人机。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第六标段：人工智能实验室</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66.0pt;mso-wrap-distance-left:0.0pt;mso-wrap-distance-top:0.0pt;mso-wrap-distance-right:0.0pt;mso-wrap-distance-bottom:0.0pt;" filled="f" stroked="f">
            <v:path textboxrect="0,0,0,0"/>
            <v:imagedata r:id="rId28" o:title=""/>
          </v:shape>
          <o:OLEObject DrawAspect="Icon" r:id="rId29" ObjectID="_15250420" ProgID="Word.Document.12" ShapeID="_x0000_i20"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1、本标段确定核心产品为：序号8人工智能应用高阶课程学习套装。</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第七标段：虚拟现实实验室</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p>
      <w:pPr>
        <w:ind w:firstLine="47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8pt;height:66.0pt;mso-wrap-distance-left:0.0pt;mso-wrap-distance-top:0.0pt;mso-wrap-distance-right:0.0pt;mso-wrap-distance-bottom:0.0pt;" filled="f" stroked="f">
            <v:path textboxrect="0,0,0,0"/>
            <v:imagedata r:id="rId30" o:title=""/>
          </v:shape>
          <o:OLEObject DrawAspect="Icon" r:id="rId31" ObjectID="_15250421" ProgID="Word.Document.12" ShapeID="_x0000_i21" Type="Embed"/>
        </w:objec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1、本标段确定核心产品为：序号6智能高清云展台、序号14高清录播主机。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二、绿色采购</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numPr>
          <w:ilvl w:val="0"/>
          <w:numId w:val="7"/>
        </w:num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采购人本次第一标段至第七标段采购产品均不属于《节能产品政府采购品目清单》范围内的强制采购节能产品。</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采购人本次第一标段至第七标段采购产品均不属于《节能产品政府采购品目清单》范围内实施优先采购的产品。</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本次第一标段采购产品中“序号1教师演示台、序号5铸铝学生操作台、序号8定制学生凳”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采购人本次第二标段采购产品中“序号1多媒体教师讲台、序号2学生拼接实验桌、序号3 PP靠背椅、序号4收纳柜”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三标段采购产品中“序号8定制边台、序号9定制讲台”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采购人本次第四标段采购产品不属于《环境标志产品政府采购品目清单》范围内的产品。</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五标段采购产品中“序号1多媒体教师讲台、序号2学生拼接实验桌、序号3学生实验椅、序号4定制储物边柜、”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六标段采购产品中“序号19学生桌、序号20凳子（学生用）、序号21讲台”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第七标段采购产品中“序号20梯形组合桌、序号21人体工学椅”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标段优先成交。</w:t>
      </w:r>
      <w:r/>
    </w:p>
    <w:p>
      <w:pPr>
        <w:ind w:firstLine="47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三、项目整体要求（各标段均适用）</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1、项目实施要求</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1.1需要安装的货物，中标单位必须派技术人员到现场安装，并检查安装质量，并制定供货计划。</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1.2中标单位应负责现场安装人员的安全管理并提供安装中全部所需的工具。</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1.3本次安装调试售后服务需要专业技术团队支撑协助进行，投标单位需要有充分的技术储备。</w:t>
      </w:r>
      <w:r/>
    </w:p>
    <w:p>
      <w:pPr>
        <w:numPr>
          <w:ilvl w:val="0"/>
          <w:numId w:val="0"/>
        </w:numPr>
        <w:ind w:firstLine="48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2、每标段投标单位应成立专门的项目实施团队，团队成员至少2人，其中包含一名项目负责人，人员相关费用均包含在投标报价内。</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3、售后服务要求</w:t>
      </w:r>
      <w:r/>
    </w:p>
    <w:p>
      <w:pPr>
        <w:ind w:firstLine="47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3.1所有设备从验收合格之日起质保期为3年。</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3.2提供免费上门服务，在接到用户报修电话后，1小时内响应，2小时内到达现场，4小时内完成采购方提出的维修要求，如需更换设备或送修,在2个工作日内解决，设备送修期间，提供相同备用设备供采购人使用。</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4、培训要求</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ind w:firstLine="47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三、其他要求</w:t>
      </w:r>
      <w:r>
        <w:rPr>
          <w:rFonts w:hint="eastAsia" w:ascii="宋体" w:hAnsi="宋体" w:eastAsia="宋体" w:cs="宋体"/>
          <w:b/>
          <w:bCs w:val="0"/>
          <w:color w:val="auto"/>
          <w:sz w:val="24"/>
          <w:szCs w:val="24"/>
          <w:highlight w:val="none"/>
          <w:lang w:val="en-US" w:eastAsia="zh-CN"/>
        </w:rPr>
        <w:t xml:space="preserve">（各标段均适用）</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必须对所提供货物和服务等知识产权方面的一切产权关系负全部责任，由此而引起的法律纠纷以及费用由中标人全部承担。</w:t>
      </w:r>
      <w:r/>
    </w:p>
    <w:p>
      <w:pPr>
        <w:ind w:firstLine="47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、验收要求：</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采购人将组织专业人员对供方提供的产品进行检验或抽检，对由此造成采购人的误工等损失，均由供方承担。</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（2）货物到达采购方指定地点，应提前通知采购方，由采购方会同专业人员根据有关清单进行验收。</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需提供质保书、保修证明等书面资料，项目整体按国家有关标准、规范要求进行验收，并需通过国家有关部门的验收，费用由中标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支付。</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（4）验收标准：按本招标文件、供应商的投标文件、承诺及国家相关标准为准。如双方对验收结果有分歧，则以权威质检机构的检验结果为准，检验费用由有过失的一方支付。</w:t>
      </w:r>
      <w:r/>
    </w:p>
    <w:p>
      <w:pPr>
        <w:pStyle w:val="994"/>
        <w:ind w:firstLine="480"/>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r>
      <w:r/>
    </w:p>
    <w:p>
      <w:pPr>
        <w:pStyle w:val="994"/>
        <w:ind w:firstLine="480"/>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r>
      <w:r/>
    </w:p>
    <w:p>
      <w:pPr>
        <w:rPr>
          <w:rFonts w:hAnsi="宋体" w:cs="宋体"/>
          <w:color w:val="auto"/>
          <w:szCs w:val="24"/>
          <w:highlight w:val="none"/>
        </w:rPr>
      </w:pPr>
      <w:r>
        <w:rPr>
          <w:rFonts w:hAnsi="宋体" w:cs="宋体"/>
          <w:color w:val="auto"/>
          <w:szCs w:val="24"/>
          <w:highlight w:val="none"/>
        </w:rPr>
        <w:br w:type="page" w:clear="all"/>
      </w:r>
      <w:r/>
    </w:p>
    <w:p>
      <w:pPr>
        <w:numPr>
          <w:ilvl w:val="0"/>
          <w:numId w:val="8"/>
        </w:num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合同主要条款</w:t>
      </w:r>
      <w:r/>
    </w:p>
    <w:p>
      <w:pPr>
        <w:pStyle w:val="995"/>
        <w:numPr>
          <w:ilvl w:val="0"/>
          <w:numId w:val="0"/>
        </w:numPr>
        <w:jc w:val="center"/>
        <w:rPr>
          <w:color w:val="auto"/>
        </w:rPr>
      </w:pPr>
      <w:r>
        <w:rPr>
          <w:rFonts w:hint="eastAsia" w:ascii="宋体" w:hAnsi="宋体" w:eastAsia="宋体" w:cs="宋体"/>
          <w:b/>
          <w:bCs w:val="0"/>
          <w:color w:val="auto"/>
          <w:sz w:val="24"/>
          <w:szCs w:val="24"/>
          <w:highlight w:val="none"/>
          <w:lang w:val="en-US" w:eastAsia="zh-CN"/>
        </w:rPr>
        <w:t xml:space="preserve">（各标段均适用）</w:t>
      </w:r>
      <w:bookmarkEnd w:id="12"/>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项目名称：                       项目编号：</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乙方（中标供应商）：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spacing w:before="120" w:after="120"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left="0" w:firstLine="482"/>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一、定义：以下术语有特定的含义：</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合同价是指根据中标的投标文件和合同规定，乙方在正确地履行合同义务后甲方应支付给乙方的价款。</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甲方是指合同中明确规定的实际购买货物和接受服务的单位。</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乙方是指合同中规定的提供货物和提供服务的单位。</w:t>
      </w:r>
      <w:r/>
    </w:p>
    <w:p>
      <w:pPr>
        <w:ind w:lef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left="0" w:firstLine="482"/>
        <w:spacing w:line="360" w:lineRule="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 xml:space="preserve">二、合同标的：</w:t>
      </w:r>
      <w:r/>
    </w:p>
    <w:tbl>
      <w:tblPr>
        <w:tblStyle w:val="9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693"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货物名称</w:t>
            </w:r>
            <w:r/>
          </w:p>
        </w:tc>
        <w:tc>
          <w:tcPr>
            <w:tcW w:w="1529"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W w:w="1642"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交货期限</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numPr>
          <w:ilvl w:val="0"/>
          <w:numId w:val="9"/>
        </w:num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合同总价款：</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对于甲方在招标文件中所要求的及乙方在投标文件和合同中所承诺提供的功能，乙方应无条件提供，由于设计及其他原因所造成的额外费用由乙方自行承担。</w:t>
      </w:r>
      <w:r/>
    </w:p>
    <w:p>
      <w:pPr>
        <w:ind w:left="0"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四、交货地点、时间、方式：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1.交货地点：乙方交货至甲方指定地点，所发生的运输等费用及货物的损坏造成的损失由乙方承担。</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2.交货时间：</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日内供货并安装调试结束。</w:t>
      </w:r>
      <w:r>
        <w:rPr>
          <w:rFonts w:hint="eastAsia" w:ascii="宋体" w:hAnsi="宋体" w:eastAsia="宋体" w:cs="宋体"/>
          <w:color w:val="auto"/>
          <w:sz w:val="24"/>
          <w:szCs w:val="24"/>
        </w:rPr>
        <w:t xml:space="preserve">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3.交货方式：乙方负责将货物安全完好运抵交货地点、安装调试并保证验收合格。</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五、付款方式：</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1.付款步骤：</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（1）在采购合同签订生效后，待全部货物到达甲方指定地点完成安装调试，经甲方最终验收合格，由甲方向乙方按合同总价支付95%的款，余款5％在验收合格满</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年，无质量问题且乙方不存在其他违约情形，由甲方向乙方一次性付清。</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（2）乙方提请甲方付款前，应提供以下资料：</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A、甲方签收的送货回单。</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B、合格销售发票。</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C、由甲乙双方签章的《苏州市政府采购合同履行验收报告》</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支付方式：</w:t>
      </w:r>
      <w:r>
        <w:rPr>
          <w:rFonts w:hint="eastAsia" w:ascii="宋体" w:hAnsi="宋体" w:eastAsia="宋体" w:cs="宋体"/>
          <w:color w:val="auto"/>
          <w:sz w:val="24"/>
          <w:szCs w:val="24"/>
          <w:highlight w:val="none"/>
        </w:rPr>
        <w:t xml:space="preserve">银行转账。</w:t>
      </w:r>
      <w:r>
        <w:rPr>
          <w:rFonts w:hint="eastAsia" w:ascii="宋体" w:hAnsi="宋体" w:eastAsia="宋体" w:cs="宋体"/>
          <w:color w:val="auto"/>
          <w:sz w:val="24"/>
          <w:szCs w:val="24"/>
        </w:rPr>
        <w:t xml:space="preserve">乙方账户信息如下：</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开户名称：</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p>
      <w:pPr>
        <w:ind w:firstLine="44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color w:val="auto"/>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color w:val="auto"/>
        </w:rPr>
      </w:pPr>
      <w:r>
        <w:rPr>
          <w:rFonts w:hint="eastAsia" w:ascii="宋体" w:hAnsi="宋体" w:eastAsia="宋体" w:cs="宋体"/>
          <w:bCs/>
          <w:color w:val="auto"/>
          <w:sz w:val="24"/>
          <w:szCs w:val="24"/>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六、验收 </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（1）根据《政府采购货物和服务招标投标管理办法》要求,投标设备由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及有关部门进行验收。验收包括：数量、外观、质量、性能；符合规定的性能，无瑕疵和缺陷，质量为合格产品。可以正常使用。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自行负责。</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将组织专业人员对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提供的产品进行检验或抽检，对由此造成</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的误工等损失，均由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承担。</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（2）货物到达</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指定地点，应提前通知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会同专业人员根据有关清单进行验收。</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需提供质保书、保修证明等书面资料，项目整体按国家有关标准、规范要求进行验收，并需通过国家有关部门的验收，费用由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支付。</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（4）验收标准：按本招标文件、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的投标文件、承诺及国家相关标准为准。如双方对验收结果有分歧，则以权威质检机构的检验结果为准，检验费用由有过失的一方支付。</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w:t>
      </w:r>
      <w:r>
        <w:rPr>
          <w:rFonts w:hint="eastAsia" w:ascii="宋体" w:hAnsi="宋体" w:eastAsia="宋体" w:cs="宋体"/>
          <w:b w:val="0"/>
          <w:bCs/>
          <w:color w:val="auto"/>
          <w:sz w:val="24"/>
          <w:szCs w:val="24"/>
          <w:highlight w:val="none"/>
          <w:lang w:val="en-US" w:eastAsia="zh-CN"/>
        </w:rPr>
        <w:t xml:space="preserve">售后服务</w:t>
      </w:r>
      <w:r>
        <w:rPr>
          <w:rFonts w:hint="eastAsia" w:ascii="宋体" w:hAnsi="宋体" w:eastAsia="宋体" w:cs="宋体"/>
          <w:b/>
          <w:color w:val="auto"/>
          <w:sz w:val="24"/>
          <w:szCs w:val="24"/>
        </w:rPr>
        <w:t xml:space="preserve">：</w:t>
      </w:r>
      <w:r/>
    </w:p>
    <w:p>
      <w:pPr>
        <w:ind w:firstLine="47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（1）所有设备从验收合格之日起质保期为3年。</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（2）提供免费上门服务，在接到用户报修电话后，1小时内响应，2小时内到达现场，4小时内完成甲方提出的维修要求，如需更换设备或送修,在2个工作日内解决，设备送修期间，提供相同备用设备供甲方使用。</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八、伴随服务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1.乙方应提供所交付货物的全套技术文件资料，包括产品目录、软件备份、图纸、操作手册、使用说明、维护手册和服务指南等。</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2.乙方还应提供下列服务：货物的现场安装、启动和试运行；提供货物组装和维修所需的工具；在质量保证期内对所交付货物提供运行监督、维修、保养等。</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3.上述伴随服务的费用应包含在合同价中，不单独进行支付。</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4.货物的包装、储运、安装按国家有关规定执行。</w:t>
      </w:r>
      <w:r/>
    </w:p>
    <w:p>
      <w:pPr>
        <w:pStyle w:val="1039"/>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九、</w:t>
      </w:r>
      <w:r>
        <w:rPr>
          <w:rFonts w:hint="eastAsia" w:ascii="宋体" w:hAnsi="宋体" w:eastAsia="宋体" w:cs="Times New Roman"/>
          <w:b/>
          <w:bCs/>
          <w:color w:val="auto"/>
          <w:sz w:val="24"/>
          <w:szCs w:val="24"/>
          <w:highlight w:val="none"/>
        </w:rPr>
        <w:t xml:space="preserve">履约保证金</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w:t>
      </w:r>
      <w:r>
        <w:rPr>
          <w:rFonts w:ascii="Wingdings 2" w:hAnsi="Wingdings 2" w:eastAsia="Wingdings 2" w:cs="Wingdings 2"/>
          <w:color w:val="auto"/>
          <w:sz w:val="24"/>
          <w:szCs w:val="24"/>
          <w:highlight w:val="none"/>
        </w:rPr>
        <w:t xml:space="preserve">R</w:t>
      </w:r>
      <w:r>
        <w:rPr>
          <w:rFonts w:hint="eastAsia" w:ascii="宋体" w:hAnsi="宋体" w:eastAsia="宋体" w:cs="Times New Roman"/>
          <w:color w:val="auto"/>
          <w:sz w:val="24"/>
          <w:szCs w:val="24"/>
          <w:highlight w:val="none"/>
        </w:rPr>
        <w:t xml:space="preserve">不要求提交履约保证金</w:t>
      </w:r>
      <w:r/>
    </w:p>
    <w:p>
      <w:pPr>
        <w:pStyle w:val="1039"/>
        <w:ind w:firstLine="480"/>
        <w:spacing w:line="360" w:lineRule="auto"/>
        <w:rPr>
          <w:rFonts w:hint="eastAsia" w:ascii="宋体" w:hAnsi="宋体" w:eastAsia="宋体" w:cs="Times New Roman"/>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Times New Roman"/>
          <w:color w:val="auto"/>
          <w:sz w:val="24"/>
          <w:szCs w:val="24"/>
          <w:highlight w:val="none"/>
        </w:rPr>
        <w:t xml:space="preserve">要求提交履约保证金，金额：合同金额的10%，要求如下：</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2、中标单位无故拖延或拒不提交履约保证金的，视为拒绝与采购人签订合同。</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3、履约保证金将在成交供应商合同履行完毕且验收合格后，采购人在五个工作日内退返成交供应商。</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pStyle w:val="1039"/>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firstLine="522"/>
        <w:spacing w:line="360" w:lineRule="auto"/>
        <w:rPr>
          <w:rFonts w:hint="eastAsia" w:ascii="宋体" w:hAnsi="宋体" w:eastAsia="宋体" w:cs="宋体"/>
          <w:b/>
          <w:bCs/>
          <w:color w:val="auto"/>
          <w:sz w:val="24"/>
          <w:szCs w:val="24"/>
        </w:rPr>
      </w:pPr>
      <w:r>
        <w:rPr>
          <w:rFonts w:hint="eastAsia" w:eastAsia="宋体"/>
          <w:b/>
          <w:bCs/>
          <w:color w:val="auto"/>
          <w:lang w:val="en-US" w:eastAsia="zh-CN"/>
        </w:rPr>
        <w:t xml:space="preserve">十</w:t>
      </w:r>
      <w:r>
        <w:rPr>
          <w:rFonts w:hint="eastAsia" w:ascii="宋体" w:hAnsi="宋体" w:eastAsia="宋体" w:cs="宋体"/>
          <w:b/>
          <w:bCs/>
          <w:color w:val="auto"/>
          <w:sz w:val="24"/>
          <w:szCs w:val="24"/>
        </w:rPr>
        <w:t xml:space="preserve">、质量保证</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1.乙方应保证所提供的货物是原制造厂商制造的、经过合法销售渠道取得的、全新的、未使用过的，并完全符合合同规定的品牌、规格型号、技术性能、配置、质量、数量等要求。</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、索赔</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1.甲方有权根据当地国家技术监督局、进出口商品检验局或其他具有法定资格的质检机构出具的检验证书向乙方提出索赔。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2.如果乙方对缺陷负有责任而甲方提出索赔，乙方应按照甲方同意的下列一种或多种方式解决索赔事宜：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（2）根据货物低劣、损坏程度以及甲方所遭受损失的金额，经双方商定降低货物的价格。</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、履约延误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1.乙方应按照合同规定的时间、地点交货和提供服务；甲方应按照合同规定的时间、地点接收货物和接受服务。</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2.如果乙方无正当理由拖延交货，将受到以下制裁：加收误期赔偿费、终止合同；如果甲方无正当理由拖延接收货物和接受服务，应承担相应责任。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rPr>
        <w:t xml:space="preserve">、误期赔偿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2.误期赔偿费可从应付货款中扣除。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3.收取误期赔偿费不影响甲方采取合同规定的其他补救措施的权利。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、不可抗力</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、争端的解决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2.如果调解不成，双方中的任何一方可向人民法院提起诉讼。诉讼由合同签订地人民法院管辖。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3.诉讼费由败诉方负担。</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4.因合同部分履行引发诉讼的，在诉讼期间，除正在进行诉讼的部分外，本合同的其它部分应继续执行。 </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、违约终止合同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（2）如果乙方未能履行合同规定的其它任何义务。 </w:t>
      </w:r>
      <w:r/>
    </w:p>
    <w:p>
      <w:pPr>
        <w:ind w:left="0"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3.如果甲方违约，应承担相应的违约责任。 </w:t>
      </w:r>
      <w:r/>
    </w:p>
    <w:p>
      <w:pPr>
        <w:ind w:left="0"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rPr>
        <w:t xml:space="preserve">、破产终止合同：</w:t>
      </w:r>
      <w:r>
        <w:rPr>
          <w:rFonts w:hint="eastAsia" w:ascii="宋体" w:hAnsi="宋体" w:eastAsia="宋体" w:cs="宋体"/>
          <w:color w:val="auto"/>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九</w:t>
      </w:r>
      <w:r>
        <w:rPr>
          <w:rFonts w:hint="eastAsia" w:ascii="宋体" w:hAnsi="宋体" w:eastAsia="宋体" w:cs="宋体"/>
          <w:b/>
          <w:color w:val="auto"/>
          <w:sz w:val="24"/>
          <w:szCs w:val="24"/>
        </w:rPr>
        <w:t xml:space="preserve">、合同转让和分包：</w:t>
      </w:r>
      <w:r>
        <w:rPr>
          <w:rFonts w:hint="eastAsia" w:ascii="宋体" w:hAnsi="宋体" w:eastAsia="宋体" w:cs="宋体"/>
          <w:color w:val="auto"/>
          <w:sz w:val="24"/>
          <w:szCs w:val="24"/>
        </w:rPr>
        <w:t xml:space="preserve">本项目不得转包、分包。</w:t>
      </w:r>
      <w:r/>
    </w:p>
    <w:p>
      <w:pPr>
        <w:ind w:left="0"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二十</w:t>
      </w:r>
      <w:r>
        <w:rPr>
          <w:rFonts w:hint="eastAsia" w:ascii="宋体" w:hAnsi="宋体" w:eastAsia="宋体" w:cs="宋体"/>
          <w:b/>
          <w:color w:val="auto"/>
          <w:sz w:val="24"/>
          <w:szCs w:val="24"/>
        </w:rPr>
        <w:t xml:space="preserve">、需要补充的合同条款：</w:t>
      </w:r>
      <w:r>
        <w:rPr>
          <w:rFonts w:hint="eastAsia" w:ascii="宋体" w:hAnsi="宋体" w:eastAsia="宋体" w:cs="宋体"/>
          <w:color w:val="auto"/>
          <w:sz w:val="24"/>
          <w:szCs w:val="24"/>
        </w:rPr>
        <w:t xml:space="preserve">（根据评标过程中或者商务谈判时商定的条款和条件在订立合同时标明）。</w:t>
      </w:r>
      <w:r/>
    </w:p>
    <w:p>
      <w:pPr>
        <w:ind w:left="0"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二十</w:t>
      </w: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、合同生效 </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1.双方签约人为各自法定代表人或被授权代表。</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2.本合同系指本文件及其附件中的所有部分，招标文件、中标的投标文件、中标通知书、中标人在招标过程中的澄清和承诺等为本合同不可缺少的组成部分。</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3.本合同自甲乙双方签字盖章之日起生效。</w:t>
      </w:r>
      <w:r/>
    </w:p>
    <w:p>
      <w:pPr>
        <w:ind w:left="0"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Times New Roman"/>
          <w:color w:val="auto"/>
          <w:sz w:val="24"/>
          <w:szCs w:val="24"/>
          <w:highlight w:val="none"/>
        </w:rPr>
        <w:t xml:space="preserve">本合同壹式肆份，甲乙双方各执壹份，招标代理机构贰份，具有同等法律效力</w:t>
      </w:r>
      <w:r>
        <w:rPr>
          <w:rFonts w:hint="eastAsia" w:ascii="宋体" w:hAnsi="宋体" w:eastAsia="宋体" w:cs="宋体"/>
          <w:color w:val="auto"/>
          <w:sz w:val="24"/>
          <w:szCs w:val="24"/>
        </w:rPr>
        <w:t xml:space="preserve">。</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p>
    <w:p>
      <w:pPr>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6.合同修改：除甲乙双方签署书面修改、补充协议，并成为本合同不可分割的一部分之外，本合同条件不得有任何变化或修改。</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本合同未尽事宜应按照《中华人民共和国民法典》、《中华人民共和国政府采购法》之规定解释。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名称(公章)：                          名称(公章)：</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bCs/>
          <w:color w:val="auto"/>
          <w:sz w:val="24"/>
          <w:szCs w:val="24"/>
          <w:highlight w:val="none"/>
        </w:rPr>
        <w:br w:type="page" w:clear="all"/>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第六章 评分标准</w:t>
      </w:r>
      <w:r/>
    </w:p>
    <w:p>
      <w:pPr>
        <w:ind w:firstLine="4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提供的环境标志产品认证证书也相同，</w:t>
      </w:r>
      <w:r>
        <w:rPr>
          <w:rFonts w:hint="eastAsia" w:ascii="宋体" w:hAnsi="宋体" w:eastAsia="宋体" w:cs="宋体"/>
          <w:color w:val="auto"/>
          <w:sz w:val="24"/>
          <w:szCs w:val="24"/>
          <w:highlight w:val="none"/>
        </w:rPr>
        <w:t xml:space="preserve">则</w:t>
      </w:r>
      <w:r>
        <w:rPr>
          <w:rFonts w:hint="eastAsia" w:ascii="宋体" w:hAnsi="宋体" w:eastAsia="宋体" w:cs="宋体"/>
          <w:color w:val="auto"/>
          <w:sz w:val="24"/>
          <w:szCs w:val="24"/>
          <w:highlight w:val="none"/>
          <w:lang w:val="en-US" w:eastAsia="zh-CN"/>
        </w:rPr>
        <w:t xml:space="preserve">由评审小组</w:t>
      </w:r>
      <w:r>
        <w:rPr>
          <w:rFonts w:hint="eastAsia" w:ascii="宋体" w:hAnsi="宋体" w:eastAsia="宋体" w:cs="宋体"/>
          <w:color w:val="auto"/>
          <w:sz w:val="24"/>
          <w:szCs w:val="24"/>
          <w:highlight w:val="none"/>
        </w:rPr>
        <w:t xml:space="preserve">组织以抽签方式确定。</w:t>
      </w:r>
      <w:r/>
    </w:p>
    <w:p>
      <w:pPr>
        <w:ind w:firstLine="480"/>
        <w:spacing w:line="360" w:lineRule="auto"/>
        <w:rPr>
          <w:rFonts w:hint="eastAsia" w:eastAsia="宋体"/>
          <w:color w:val="auto"/>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二、评分标准：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各标段均适用</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％（权重）。</w:t>
      </w:r>
      <w:r/>
    </w:p>
    <w:p>
      <w:pPr>
        <w:numPr>
          <w:ilvl w:val="0"/>
          <w:numId w:val="10"/>
        </w:num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rPr>
        <w:t xml:space="preserve">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％×100</w:t>
      </w:r>
      <w:r/>
    </w:p>
    <w:p>
      <w:pPr>
        <w:pStyle w:val="994"/>
        <w:numPr>
          <w:ilvl w:val="0"/>
          <w:numId w:val="10"/>
        </w:numPr>
        <w:ind w:left="-20" w:firstLine="482"/>
        <w:spacing w:line="360" w:lineRule="auto"/>
        <w:tabs>
          <w:tab w:val="left" w:pos="66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、项目实施方案（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根据响应单位提供的项目实施方案（包括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项目进度</w:t>
      </w:r>
      <w:r>
        <w:rPr>
          <w:rFonts w:hint="eastAsia" w:ascii="宋体" w:hAnsi="宋体" w:eastAsia="宋体" w:cs="宋体"/>
          <w:bCs/>
          <w:color w:val="auto"/>
          <w:sz w:val="24"/>
          <w:szCs w:val="24"/>
          <w:highlight w:val="none"/>
          <w:lang w:val="en-US" w:eastAsia="zh-CN"/>
        </w:rPr>
        <w:t xml:space="preserve">计划</w:t>
      </w:r>
      <w:r>
        <w:rPr>
          <w:rFonts w:hint="eastAsia" w:ascii="宋体" w:hAnsi="宋体" w:eastAsia="宋体" w:cs="宋体"/>
          <w:bCs/>
          <w:color w:val="auto"/>
          <w:sz w:val="24"/>
          <w:szCs w:val="24"/>
          <w:highlight w:val="none"/>
        </w:rPr>
        <w:t xml:space="preserve">、设备供货计划，调试安装方案</w:t>
      </w:r>
      <w:r>
        <w:rPr>
          <w:rFonts w:hint="eastAsia" w:ascii="宋体" w:hAnsi="宋体" w:eastAsia="宋体" w:cs="宋体"/>
          <w:bCs/>
          <w:color w:val="auto"/>
          <w:sz w:val="24"/>
          <w:szCs w:val="24"/>
          <w:highlight w:val="none"/>
          <w:lang w:val="en-US" w:eastAsia="zh-CN"/>
        </w:rPr>
        <w:t xml:space="preserve">、成品保护措施、项目验收</w:t>
      </w:r>
      <w:r>
        <w:rPr>
          <w:rFonts w:hint="eastAsia" w:ascii="宋体" w:hAnsi="宋体" w:eastAsia="宋体" w:cs="宋体"/>
          <w:bCs/>
          <w:color w:val="auto"/>
          <w:sz w:val="24"/>
          <w:szCs w:val="24"/>
          <w:highlight w:val="none"/>
        </w:rPr>
        <w:t xml:space="preserve">管理</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、项目售后服务方案（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根据响应单位提供的项目售后服务方案（包括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免费售后服务期内服务、免费售后服务期外服务、维护方案</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 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、培训方案（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响应单位需根据本项目内容提供详细的培训方案，（包括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培训目标、培训计划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培训内容</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numPr>
          <w:ilvl w:val="0"/>
          <w:numId w:val="0"/>
        </w:numPr>
        <w:ind w:firstLine="482"/>
        <w:jc w:val="left"/>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4、应急方案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响应单位需根据本项目内容提供详细的</w:t>
      </w:r>
      <w:r>
        <w:rPr>
          <w:rFonts w:hint="eastAsia" w:ascii="宋体" w:hAnsi="宋体" w:eastAsia="宋体" w:cs="宋体"/>
          <w:bCs/>
          <w:color w:val="auto"/>
          <w:sz w:val="24"/>
          <w:szCs w:val="24"/>
          <w:highlight w:val="none"/>
          <w:lang w:val="en-US" w:eastAsia="zh-CN"/>
        </w:rPr>
        <w:t xml:space="preserve">应急</w:t>
      </w:r>
      <w:r>
        <w:rPr>
          <w:rFonts w:hint="eastAsia" w:ascii="宋体" w:hAnsi="宋体" w:eastAsia="宋体" w:cs="宋体"/>
          <w:bCs/>
          <w:color w:val="auto"/>
          <w:sz w:val="24"/>
          <w:szCs w:val="24"/>
          <w:highlight w:val="none"/>
        </w:rPr>
        <w:t xml:space="preserve">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安全文明措施、应急保障方案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风险管理</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highlight w:val="none"/>
        </w:rPr>
        <w:t xml:space="preserve">未提供方案的不得分。</w:t>
      </w:r>
      <w:r/>
    </w:p>
    <w:p>
      <w:pPr>
        <w:ind w:firstLine="480"/>
        <w:jc w:val="left"/>
        <w:spacing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针对</w:t>
      </w:r>
      <w:r>
        <w:rPr>
          <w:rFonts w:hint="eastAsia" w:ascii="宋体" w:hAnsi="宋体" w:eastAsia="宋体" w:cs="宋体"/>
          <w:bCs/>
          <w:color w:val="auto"/>
          <w:sz w:val="24"/>
          <w:szCs w:val="24"/>
          <w:lang w:val="en-US" w:eastAsia="zh-CN"/>
        </w:rPr>
        <w:t xml:space="preserve">招标</w:t>
      </w:r>
      <w:r>
        <w:rPr>
          <w:rFonts w:hint="eastAsia" w:ascii="宋体" w:hAnsi="宋体" w:eastAsia="宋体" w:cs="宋体"/>
          <w:bCs/>
          <w:color w:val="auto"/>
          <w:sz w:val="24"/>
          <w:szCs w:val="24"/>
        </w:rPr>
        <w:t xml:space="preserve">文件中列出的设备要求，提供投标产品性能指标对照表（格式自拟，供应商须并对照采购要求逐条列出，在投标文件中对应列出全部投标产品的性能项。投标产品全部满足或高于采购要求的得</w:t>
      </w:r>
      <w:r>
        <w:rPr>
          <w:rFonts w:hint="eastAsia" w:ascii="宋体" w:hAnsi="宋体" w:eastAsia="宋体" w:cs="宋体"/>
          <w:bCs/>
          <w:color w:val="auto"/>
          <w:sz w:val="24"/>
          <w:szCs w:val="24"/>
          <w:lang w:val="en-US" w:eastAsia="zh-CN"/>
        </w:rPr>
        <w:t xml:space="preserve">25</w:t>
      </w:r>
      <w:r>
        <w:rPr>
          <w:rFonts w:hint="eastAsia" w:ascii="宋体" w:hAnsi="宋体" w:eastAsia="宋体" w:cs="宋体"/>
          <w:bCs/>
          <w:color w:val="auto"/>
          <w:sz w:val="24"/>
          <w:szCs w:val="24"/>
        </w:rPr>
        <w:t xml:space="preserve">分。其中：标注</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功能若不满足招标文件要求，每项扣2分；</w:t>
      </w:r>
      <w:r>
        <w:rPr>
          <w:rFonts w:hint="eastAsia" w:ascii="宋体" w:hAnsi="宋体" w:eastAsia="宋体" w:cs="宋体"/>
          <w:bCs/>
          <w:color w:val="auto"/>
          <w:sz w:val="24"/>
          <w:szCs w:val="24"/>
        </w:rPr>
        <w:t xml:space="preserve">标注“</w:t>
      </w:r>
      <w:r>
        <w:rPr>
          <w:rFonts w:hint="eastAsia" w:ascii="宋体" w:hAnsi="宋体" w:eastAsia="宋体" w:cs="宋体"/>
          <w:color w:val="auto"/>
          <w:sz w:val="24"/>
          <w:szCs w:val="24"/>
          <w:lang w:bidi="ar"/>
        </w:rPr>
        <w:t xml:space="preserve">▲</w:t>
      </w:r>
      <w:r>
        <w:rPr>
          <w:rFonts w:hint="eastAsia" w:ascii="宋体" w:hAnsi="宋体" w:eastAsia="宋体" w:cs="宋体"/>
          <w:bCs/>
          <w:color w:val="auto"/>
          <w:sz w:val="24"/>
          <w:szCs w:val="24"/>
        </w:rPr>
        <w:t xml:space="preserve">”性能指标</w:t>
      </w:r>
      <w:r>
        <w:rPr>
          <w:rFonts w:hint="eastAsia" w:ascii="宋体" w:hAnsi="宋体" w:eastAsia="宋体" w:cs="宋体"/>
          <w:color w:val="auto"/>
          <w:sz w:val="24"/>
          <w:szCs w:val="24"/>
          <w:lang w:val="en-US" w:eastAsia="zh-CN" w:bidi="ar"/>
        </w:rPr>
        <w:t xml:space="preserve">若不满足招标文件要求，</w:t>
      </w:r>
      <w:r>
        <w:rPr>
          <w:rFonts w:hint="eastAsia" w:ascii="宋体" w:hAnsi="宋体" w:eastAsia="宋体" w:cs="宋体"/>
          <w:bCs/>
          <w:color w:val="auto"/>
          <w:sz w:val="24"/>
          <w:szCs w:val="24"/>
        </w:rPr>
        <w:t xml:space="preserve">每项扣1分；其他一般性能指标</w:t>
      </w:r>
      <w:r>
        <w:rPr>
          <w:rFonts w:hint="eastAsia" w:ascii="宋体" w:hAnsi="宋体" w:eastAsia="宋体" w:cs="宋体"/>
          <w:color w:val="auto"/>
          <w:sz w:val="24"/>
          <w:szCs w:val="24"/>
          <w:lang w:val="en-US" w:eastAsia="zh-CN" w:bidi="ar"/>
        </w:rPr>
        <w:t xml:space="preserve">若不满足招标文件要求，</w:t>
      </w:r>
      <w:r>
        <w:rPr>
          <w:rFonts w:hint="eastAsia" w:ascii="宋体" w:hAnsi="宋体" w:eastAsia="宋体" w:cs="宋体"/>
          <w:bCs/>
          <w:color w:val="auto"/>
          <w:sz w:val="24"/>
          <w:szCs w:val="24"/>
        </w:rPr>
        <w:t xml:space="preserve">每项扣0.5分。</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产品要求中的“▲”项技术情况，投标单位必须提供具有检测检验资质的机构出具的检测（检验）报告复印件或投标产品生产制造商官网截图或投标产品生产制造商盖章确认的技术参数对照表作为证明材料，否则对应项不得分</w:t>
      </w:r>
      <w:r>
        <w:rPr>
          <w:rFonts w:hint="eastAsia" w:ascii="宋体" w:hAnsi="宋体" w:eastAsia="宋体" w:cs="宋体"/>
          <w:color w:val="auto"/>
          <w:sz w:val="24"/>
          <w:szCs w:val="24"/>
        </w:rPr>
        <w:t xml:space="preserve">。</w:t>
      </w:r>
      <w:r/>
    </w:p>
    <w:p>
      <w:pPr>
        <w:numPr>
          <w:ilvl w:val="0"/>
          <w:numId w:val="0"/>
        </w:numPr>
        <w:ind w:firstLine="480"/>
        <w:spacing w:line="360" w:lineRule="auto"/>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rPr>
          <w:rFonts w:hint="eastAsia" w:ascii="宋体" w:hAnsi="宋体" w:eastAsia="宋体" w:cs="宋体"/>
          <w:bCs/>
          <w:color w:val="auto"/>
          <w:sz w:val="24"/>
          <w:szCs w:val="24"/>
        </w:rPr>
        <w:t xml:space="preserve">产品要求中的“</w:t>
      </w:r>
      <w:r>
        <w:rPr>
          <w:rFonts w:hint="eastAsia" w:ascii="宋体" w:hAnsi="宋体" w:eastAsia="宋体" w:cs="宋体"/>
          <w:color w:val="auto"/>
          <w:sz w:val="24"/>
          <w:szCs w:val="24"/>
          <w:lang w:bidi="ar"/>
        </w:rPr>
        <w:t xml:space="preserve">★</w:t>
      </w:r>
      <w:r>
        <w:rPr>
          <w:rFonts w:hint="eastAsia" w:ascii="宋体" w:hAnsi="宋体" w:eastAsia="宋体" w:cs="宋体"/>
          <w:bCs/>
          <w:color w:val="auto"/>
          <w:sz w:val="24"/>
          <w:szCs w:val="24"/>
        </w:rPr>
        <w:t xml:space="preserve">”项技术情况</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投标单位必须提供演示视频作为技术参数的证明材料，否则对应项不得分。</w:t>
      </w:r>
      <w:r/>
    </w:p>
    <w:p>
      <w:pPr>
        <w:numPr>
          <w:ilvl w:val="0"/>
          <w:numId w:val="0"/>
        </w:numPr>
        <w:ind w:firstLine="480"/>
        <w:spacing w:line="360" w:lineRule="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bidi="ar"/>
        </w:rPr>
        <w:t xml:space="preserve">演示时间不超过10分钟，需在“苏采云”系统演示文件入口按系统要求上传演示文件。单个视频附件压缩包大小不得超过50M，整体附件压缩包不得超过300M，视频文件格式建议采用MP4、MKV、MOV、AVI格式。演示内容确保真实且作为项目履约验收的重要参考依据。因供应商上传文件本身损坏等自身原因导致演示资料无法正常读取的视为无效演示，本项不得分，由供应商自行承担责任。</w:t>
      </w:r>
      <w:r/>
    </w:p>
    <w:p>
      <w:pPr>
        <w:numPr>
          <w:ilvl w:val="0"/>
          <w:numId w:val="0"/>
        </w:numPr>
        <w:ind w:firstLine="480"/>
        <w:spacing w:line="360" w:lineRule="auto"/>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bidi="ar"/>
        </w:rPr>
        <w:t xml:space="preserve">投标人具有2023 年</w:t>
      </w:r>
      <w:r>
        <w:rPr>
          <w:rFonts w:hint="eastAsia" w:ascii="宋体" w:hAnsi="宋体" w:eastAsia="宋体" w:cs="宋体"/>
          <w:color w:val="auto"/>
          <w:sz w:val="24"/>
          <w:szCs w:val="24"/>
          <w:lang w:val="en-US" w:eastAsia="zh-CN" w:bidi="ar"/>
        </w:rPr>
        <w:t xml:space="preserve">1月1日</w:t>
      </w:r>
      <w:r>
        <w:rPr>
          <w:rFonts w:hint="eastAsia" w:ascii="宋体" w:hAnsi="宋体" w:eastAsia="宋体" w:cs="宋体"/>
          <w:color w:val="auto"/>
          <w:sz w:val="24"/>
          <w:szCs w:val="24"/>
          <w:lang w:bidi="ar"/>
        </w:rPr>
        <w:t xml:space="preserve">以来（以合同签订时间为准）的</w:t>
      </w:r>
      <w:bookmarkStart w:id="13" w:name="_GoBack"/>
      <w:r>
        <w:rPr>
          <w:rFonts w:hint="eastAsia" w:ascii="宋体" w:hAnsi="宋体" w:eastAsia="宋体" w:cs="宋体"/>
          <w:color w:val="auto"/>
          <w:sz w:val="24"/>
          <w:szCs w:val="24"/>
          <w:lang w:bidi="ar"/>
        </w:rPr>
        <w:t xml:space="preserve">类似业绩</w:t>
      </w:r>
      <w:bookmarkEnd w:id="13"/>
      <w:r>
        <w:rPr>
          <w:rFonts w:hint="eastAsia" w:ascii="宋体" w:hAnsi="宋体" w:eastAsia="宋体" w:cs="宋体"/>
          <w:color w:val="auto"/>
          <w:sz w:val="24"/>
          <w:szCs w:val="24"/>
          <w:lang w:bidi="ar"/>
        </w:rPr>
        <w:t xml:space="preserve">，每提供1份得2分，最高得6分</w:t>
      </w:r>
      <w:r>
        <w:rPr>
          <w:rFonts w:hint="eastAsia" w:ascii="宋体" w:hAnsi="宋体" w:eastAsia="宋体" w:cs="宋体"/>
          <w:color w:val="auto"/>
          <w:sz w:val="24"/>
          <w:szCs w:val="24"/>
          <w:lang w:eastAsia="zh-CN" w:bidi="ar"/>
        </w:rPr>
        <w:t xml:space="preserve">。</w:t>
      </w:r>
      <w:r/>
    </w:p>
    <w:p>
      <w:pPr>
        <w:pStyle w:val="994"/>
        <w:ind w:firstLine="480"/>
        <w:rPr>
          <w:rFonts w:hint="eastAsia" w:ascii="宋体" w:hAnsi="宋体" w:eastAsia="宋体" w:cs="宋体"/>
          <w:color w:val="auto"/>
          <w:sz w:val="24"/>
          <w:szCs w:val="24"/>
        </w:rPr>
      </w:pPr>
      <w:r>
        <w:rPr>
          <w:rFonts w:hint="eastAsia" w:ascii="宋体" w:hAnsi="宋体" w:eastAsia="宋体" w:cs="宋体"/>
          <w:bCs/>
          <w:color w:val="auto"/>
          <w:sz w:val="24"/>
          <w:szCs w:val="24"/>
          <w:lang w:val="zh-CN"/>
        </w:rPr>
        <w:t xml:space="preserve">注：投标文件中须提供合同的扫描件。</w:t>
      </w:r>
      <w:r>
        <w:rPr>
          <w:rFonts w:hint="eastAsia" w:ascii="宋体" w:hAnsi="宋体" w:eastAsia="宋体" w:cs="宋体"/>
          <w:bCs/>
          <w:color w:val="auto"/>
          <w:sz w:val="24"/>
          <w:szCs w:val="24"/>
        </w:rPr>
        <w:t xml:space="preserve">否则对应项不得分</w:t>
      </w:r>
      <w:r>
        <w:rPr>
          <w:rFonts w:hint="eastAsia" w:ascii="宋体" w:hAnsi="宋体" w:eastAsia="宋体" w:cs="宋体"/>
          <w:color w:val="auto"/>
          <w:sz w:val="24"/>
          <w:szCs w:val="24"/>
        </w:rPr>
        <w:t xml:space="preserve">。</w:t>
      </w:r>
      <w:r/>
    </w:p>
    <w:p>
      <w:pPr>
        <w:pStyle w:val="994"/>
        <w:ind w:firstLine="480"/>
        <w:rPr>
          <w:color w:val="auto"/>
          <w:highlight w:val="none"/>
        </w:rPr>
      </w:pPr>
      <w:r>
        <w:rPr>
          <w:rFonts w:hint="eastAsia"/>
          <w:color w:val="auto"/>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u w:val="none"/>
        </w:rPr>
        <w:t xml:space="preserve">工业。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6、实施本国产品标准及相关政策：</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firstLine="480"/>
        <w:spacing w:line="360" w:lineRule="auto"/>
        <w:rPr>
          <w:rStyle w:val="1049"/>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魏碑_GBK">
    <w:panose1 w:val="020B0503020202020204"/>
  </w:font>
  <w:font w:name="Wingdings">
    <w:panose1 w:val="05000000000000000000"/>
  </w:font>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0"/>
      </w:rPr>
      <w:framePr w:wrap="around" w:vAnchor="text" w:hAnchor="margin" w:xAlign="right" w:y="1"/>
    </w:pPr>
    <w:r>
      <w:fldChar w:fldCharType="begin"/>
    </w:r>
    <w:r>
      <w:rPr>
        <w:rStyle w:val="980"/>
      </w:rPr>
      <w:instrText xml:space="preserve">PAGE  </w:instrText>
    </w:r>
    <w:r>
      <w:fldChar w:fldCharType="end"/>
    </w:r>
    <w:r/>
  </w:p>
  <w:p>
    <w:pPr>
      <w:pStyle w:val="95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5</w:t>
                    </w:r>
                    <w:r>
                      <w:fldChar w:fldCharType="end"/>
                    </w:r>
                    <w:r/>
                  </w:p>
                </w:txbxContent>
              </v:textbox>
            </v:shape>
          </w:pict>
        </mc:Fallback>
      </mc:AlternateContent>
    </w: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57"/>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tabs>
        <w:tab w:val="clear" w:pos="8306" w:leader="none"/>
        <w:tab w:val="left" w:pos="8787" w:leader="none"/>
      </w:tabs>
      <w:rPr>
        <w:rFonts w:hint="default" w:eastAsia="楷体_GB2312"/>
        <w:lang w:val="en-US" w:eastAsia="zh-CN"/>
      </w:rPr>
    </w:pPr>
    <w:r>
      <w:rPr>
        <w:rFonts w:hint="eastAsia"/>
      </w:rPr>
      <w:t xml:space="preserve">招标文件                                                                标号：</w:t>
    </w:r>
    <w:r>
      <w:rPr>
        <w:rFonts w:hint="eastAsia"/>
        <w:lang w:eastAsia="zh-CN"/>
      </w:rPr>
      <w:t xml:space="preserve">JSZC-320591-SZZJ-G2026-0013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486" w:hanging="567"/>
      </w:pPr>
    </w:lvl>
    <w:lvl w:ilvl="2">
      <w:start w:val="1"/>
      <w:numFmt w:val="decimal"/>
      <w:isLgl w:val="false"/>
      <w:suff w:val="tab"/>
      <w:lvlText w:val="%1.%2.%3"/>
      <w:lvlJc w:val="left"/>
      <w:pPr>
        <w:ind w:left="154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pStyle w:val="100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31"/>
      <w:isLgl w:val="false"/>
      <w:suff w:val="tab"/>
      <w:lvlText w:val="%1.%2.%3.%4.%5"/>
      <w:lvlJc w:val="left"/>
      <w:pPr>
        <w:ind w:left="1008" w:hanging="1008"/>
        <w:tabs>
          <w:tab w:val="left" w:pos="1008" w:leader="none"/>
        </w:tabs>
      </w:pPr>
    </w:lvl>
    <w:lvl w:ilvl="5">
      <w:start w:val="1"/>
      <w:numFmt w:val="decimal"/>
      <w:pStyle w:val="932"/>
      <w:isLgl w:val="false"/>
      <w:suff w:val="tab"/>
      <w:lvlText w:val="%1.%2.%3.%4.%5.%6"/>
      <w:lvlJc w:val="left"/>
      <w:pPr>
        <w:ind w:left="1152" w:hanging="1152"/>
        <w:tabs>
          <w:tab w:val="left" w:pos="1152" w:leader="none"/>
        </w:tabs>
      </w:pPr>
    </w:lvl>
    <w:lvl w:ilvl="6">
      <w:start w:val="1"/>
      <w:numFmt w:val="decimal"/>
      <w:pStyle w:val="933"/>
      <w:isLgl w:val="false"/>
      <w:suff w:val="tab"/>
      <w:lvlText w:val="%1.%2.%3.%4.%5.%6.%7"/>
      <w:lvlJc w:val="left"/>
      <w:pPr>
        <w:ind w:left="1296" w:hanging="1296"/>
        <w:tabs>
          <w:tab w:val="left" w:pos="1296" w:leader="none"/>
        </w:tabs>
      </w:pPr>
    </w:lvl>
    <w:lvl w:ilvl="7">
      <w:start w:val="1"/>
      <w:numFmt w:val="decimal"/>
      <w:pStyle w:val="934"/>
      <w:isLgl w:val="false"/>
      <w:suff w:val="tab"/>
      <w:lvlText w:val="%1.%2.%3.%4.%5.%6.%7.%8"/>
      <w:lvlJc w:val="left"/>
      <w:pPr>
        <w:ind w:left="1440" w:hanging="1440"/>
        <w:tabs>
          <w:tab w:val="left" w:pos="1440" w:leader="none"/>
        </w:tabs>
      </w:pPr>
    </w:lvl>
    <w:lvl w:ilvl="8">
      <w:start w:val="1"/>
      <w:numFmt w:val="decimal"/>
      <w:pStyle w:val="935"/>
      <w:isLgl w:val="false"/>
      <w:suff w:val="tab"/>
      <w:lvlText w:val="%1.%2.%3.%4.%5.%6.%7.%8.%9"/>
      <w:lvlJc w:val="left"/>
      <w:pPr>
        <w:ind w:left="1584" w:hanging="1584"/>
        <w:tabs>
          <w:tab w:val="left" w:pos="1584" w:leader="none"/>
        </w:tabs>
      </w:pPr>
    </w:lvl>
  </w:abstractNum>
  <w:num w:numId="1">
    <w:abstractNumId w:val="9"/>
  </w:num>
  <w:num w:numId="2">
    <w:abstractNumId w:val="3"/>
  </w:num>
  <w:num w:numId="3">
    <w:abstractNumId w:val="5"/>
  </w:num>
  <w:num w:numId="4">
    <w:abstractNumId w:val="6"/>
  </w:num>
  <w:num w:numId="5">
    <w:abstractNumId w:val="1"/>
  </w:num>
  <w:num w:numId="6">
    <w:abstractNumId w:val="8"/>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936"/>
    <w:link w:val="927"/>
    <w:uiPriority w:val="9"/>
    <w:rPr>
      <w:rFonts w:ascii="Arial" w:hAnsi="Arial" w:eastAsia="Arial" w:cs="Arial"/>
      <w:sz w:val="40"/>
      <w:szCs w:val="40"/>
    </w:rPr>
  </w:style>
  <w:style w:type="character" w:styleId="776">
    <w:name w:val="Heading 2 Char"/>
    <w:basedOn w:val="936"/>
    <w:link w:val="928"/>
    <w:uiPriority w:val="9"/>
    <w:rPr>
      <w:rFonts w:ascii="Arial" w:hAnsi="Arial" w:eastAsia="Arial" w:cs="Arial"/>
      <w:sz w:val="34"/>
    </w:rPr>
  </w:style>
  <w:style w:type="character" w:styleId="777">
    <w:name w:val="Heading 3 Char"/>
    <w:basedOn w:val="936"/>
    <w:link w:val="929"/>
    <w:uiPriority w:val="9"/>
    <w:rPr>
      <w:rFonts w:ascii="Arial" w:hAnsi="Arial" w:eastAsia="Arial" w:cs="Arial"/>
      <w:sz w:val="30"/>
      <w:szCs w:val="30"/>
    </w:rPr>
  </w:style>
  <w:style w:type="character" w:styleId="778">
    <w:name w:val="Heading 4 Char"/>
    <w:basedOn w:val="936"/>
    <w:link w:val="930"/>
    <w:uiPriority w:val="9"/>
    <w:rPr>
      <w:rFonts w:ascii="Arial" w:hAnsi="Arial" w:eastAsia="Arial" w:cs="Arial"/>
      <w:b/>
      <w:bCs/>
      <w:sz w:val="26"/>
      <w:szCs w:val="26"/>
    </w:rPr>
  </w:style>
  <w:style w:type="character" w:styleId="779">
    <w:name w:val="Heading 5 Char"/>
    <w:basedOn w:val="936"/>
    <w:link w:val="931"/>
    <w:uiPriority w:val="9"/>
    <w:rPr>
      <w:rFonts w:ascii="Arial" w:hAnsi="Arial" w:eastAsia="Arial" w:cs="Arial"/>
      <w:b/>
      <w:bCs/>
      <w:sz w:val="24"/>
      <w:szCs w:val="24"/>
    </w:rPr>
  </w:style>
  <w:style w:type="character" w:styleId="780">
    <w:name w:val="Heading 6 Char"/>
    <w:basedOn w:val="936"/>
    <w:link w:val="932"/>
    <w:uiPriority w:val="9"/>
    <w:rPr>
      <w:rFonts w:ascii="Arial" w:hAnsi="Arial" w:eastAsia="Arial" w:cs="Arial"/>
      <w:b/>
      <w:bCs/>
      <w:sz w:val="22"/>
      <w:szCs w:val="22"/>
    </w:rPr>
  </w:style>
  <w:style w:type="character" w:styleId="781">
    <w:name w:val="Heading 7 Char"/>
    <w:basedOn w:val="936"/>
    <w:link w:val="933"/>
    <w:uiPriority w:val="9"/>
    <w:rPr>
      <w:rFonts w:ascii="Arial" w:hAnsi="Arial" w:eastAsia="Arial" w:cs="Arial"/>
      <w:b/>
      <w:bCs/>
      <w:i/>
      <w:iCs/>
      <w:sz w:val="22"/>
      <w:szCs w:val="22"/>
    </w:rPr>
  </w:style>
  <w:style w:type="character" w:styleId="782">
    <w:name w:val="Heading 8 Char"/>
    <w:basedOn w:val="936"/>
    <w:link w:val="934"/>
    <w:uiPriority w:val="9"/>
    <w:rPr>
      <w:rFonts w:ascii="Arial" w:hAnsi="Arial" w:eastAsia="Arial" w:cs="Arial"/>
      <w:i/>
      <w:iCs/>
      <w:sz w:val="22"/>
      <w:szCs w:val="22"/>
    </w:rPr>
  </w:style>
  <w:style w:type="character" w:styleId="783">
    <w:name w:val="Heading 9 Char"/>
    <w:basedOn w:val="936"/>
    <w:link w:val="935"/>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character" w:styleId="785">
    <w:name w:val="Title Char"/>
    <w:basedOn w:val="936"/>
    <w:link w:val="975"/>
    <w:uiPriority w:val="10"/>
    <w:rPr>
      <w:sz w:val="48"/>
      <w:szCs w:val="48"/>
    </w:rPr>
  </w:style>
  <w:style w:type="paragraph" w:styleId="786">
    <w:name w:val="Subtitle"/>
    <w:basedOn w:val="926"/>
    <w:next w:val="926"/>
    <w:link w:val="787"/>
    <w:uiPriority w:val="11"/>
    <w:qFormat/>
    <w:pPr>
      <w:spacing w:before="200" w:after="200"/>
    </w:pPr>
    <w:rPr>
      <w:sz w:val="24"/>
      <w:szCs w:val="24"/>
    </w:rPr>
  </w:style>
  <w:style w:type="character" w:styleId="787">
    <w:name w:val="Subtitle Char"/>
    <w:basedOn w:val="936"/>
    <w:link w:val="786"/>
    <w:uiPriority w:val="11"/>
    <w:rPr>
      <w:sz w:val="24"/>
      <w:szCs w:val="24"/>
    </w:rPr>
  </w:style>
  <w:style w:type="paragraph" w:styleId="788">
    <w:name w:val="Quote"/>
    <w:basedOn w:val="926"/>
    <w:next w:val="926"/>
    <w:link w:val="789"/>
    <w:uiPriority w:val="29"/>
    <w:qFormat/>
    <w:pPr>
      <w:ind w:left="720" w:right="720"/>
    </w:pPr>
    <w:rPr>
      <w:i/>
    </w:rPr>
  </w:style>
  <w:style w:type="character" w:styleId="789">
    <w:name w:val="Quote Char"/>
    <w:link w:val="788"/>
    <w:uiPriority w:val="29"/>
    <w:rPr>
      <w:i/>
    </w:rPr>
  </w:style>
  <w:style w:type="paragraph" w:styleId="790">
    <w:name w:val="Intense Quote"/>
    <w:basedOn w:val="926"/>
    <w:next w:val="92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36"/>
    <w:link w:val="959"/>
    <w:uiPriority w:val="99"/>
  </w:style>
  <w:style w:type="character" w:styleId="793">
    <w:name w:val="Footer Char"/>
    <w:basedOn w:val="936"/>
    <w:link w:val="957"/>
    <w:uiPriority w:val="99"/>
  </w:style>
  <w:style w:type="paragraph" w:styleId="794">
    <w:name w:val="Caption"/>
    <w:basedOn w:val="926"/>
    <w:next w:val="926"/>
    <w:uiPriority w:val="35"/>
    <w:semiHidden/>
    <w:unhideWhenUsed/>
    <w:qFormat/>
    <w:pPr>
      <w:spacing w:line="276" w:lineRule="auto"/>
    </w:pPr>
    <w:rPr>
      <w:b/>
      <w:bCs/>
      <w:color w:val="4f81bd" w:themeColor="accent1"/>
      <w:sz w:val="18"/>
      <w:szCs w:val="18"/>
    </w:rPr>
  </w:style>
  <w:style w:type="character" w:styleId="795">
    <w:name w:val="Caption Char"/>
    <w:basedOn w:val="794"/>
    <w:link w:val="957"/>
    <w:uiPriority w:val="99"/>
  </w:style>
  <w:style w:type="table" w:styleId="796">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2">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3">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4">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5">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6">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7">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4">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7">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8">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9">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0">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1">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2">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4">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5">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6">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7">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8">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9">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8">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9">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0">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1">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2">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3">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5">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6">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7">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8">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9">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0">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2">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6">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9">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3">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64"/>
    <w:uiPriority w:val="99"/>
    <w:rPr>
      <w:sz w:val="18"/>
    </w:rPr>
  </w:style>
  <w:style w:type="paragraph" w:styleId="922">
    <w:name w:val="endnote text"/>
    <w:basedOn w:val="92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6"/>
    <w:uiPriority w:val="99"/>
    <w:semiHidden/>
    <w:unhideWhenUsed/>
    <w:rPr>
      <w:vertAlign w:val="superscript"/>
    </w:rPr>
  </w:style>
  <w:style w:type="paragraph" w:styleId="925">
    <w:name w:val="TOC Heading"/>
    <w:uiPriority w:val="39"/>
    <w:unhideWhenUsed/>
  </w:style>
  <w:style w:type="paragraph" w:styleId="92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27">
    <w:name w:val="Heading 1"/>
    <w:basedOn w:val="926"/>
    <w:next w:val="926"/>
    <w:link w:val="1058"/>
    <w:uiPriority w:val="0"/>
    <w:qFormat/>
    <w:pPr>
      <w:keepLines/>
      <w:keepNext/>
      <w:spacing w:before="340" w:after="330" w:line="578" w:lineRule="auto"/>
      <w:outlineLvl w:val="0"/>
    </w:pPr>
    <w:rPr>
      <w:b/>
      <w:sz w:val="44"/>
    </w:rPr>
  </w:style>
  <w:style w:type="paragraph" w:styleId="928">
    <w:name w:val="Heading 2"/>
    <w:basedOn w:val="926"/>
    <w:next w:val="926"/>
    <w:uiPriority w:val="0"/>
    <w:qFormat/>
    <w:pPr>
      <w:jc w:val="left"/>
      <w:keepLines/>
      <w:keepNext/>
      <w:outlineLvl w:val="1"/>
    </w:pPr>
    <w:rPr>
      <w:rFonts w:ascii="宋体" w:hAnsi="宋体"/>
      <w:b/>
    </w:rPr>
  </w:style>
  <w:style w:type="paragraph" w:styleId="929">
    <w:name w:val="Heading 3"/>
    <w:basedOn w:val="926"/>
    <w:next w:val="926"/>
    <w:uiPriority w:val="0"/>
    <w:qFormat/>
    <w:pPr>
      <w:jc w:val="left"/>
      <w:keepLines/>
      <w:keepNext/>
      <w:outlineLvl w:val="2"/>
    </w:pPr>
    <w:rPr>
      <w:b/>
    </w:rPr>
  </w:style>
  <w:style w:type="paragraph" w:styleId="930">
    <w:name w:val="Heading 4"/>
    <w:basedOn w:val="926"/>
    <w:next w:val="926"/>
    <w:uiPriority w:val="9"/>
    <w:qFormat/>
    <w:pPr>
      <w:keepLines/>
      <w:keepNext/>
      <w:spacing w:before="280" w:after="290" w:line="376" w:lineRule="auto"/>
      <w:outlineLvl w:val="3"/>
    </w:pPr>
    <w:rPr>
      <w:rFonts w:ascii="Cambria" w:hAnsi="Cambria"/>
      <w:bCs/>
      <w:szCs w:val="28"/>
    </w:rPr>
  </w:style>
  <w:style w:type="paragraph" w:styleId="931">
    <w:name w:val="Heading 5"/>
    <w:basedOn w:val="926"/>
    <w:next w:val="938"/>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32">
    <w:name w:val="Heading 6"/>
    <w:basedOn w:val="926"/>
    <w:next w:val="92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33">
    <w:name w:val="Heading 7"/>
    <w:basedOn w:val="926"/>
    <w:next w:val="938"/>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34">
    <w:name w:val="Heading 8"/>
    <w:basedOn w:val="926"/>
    <w:next w:val="938"/>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35">
    <w:name w:val="Heading 9"/>
    <w:basedOn w:val="926"/>
    <w:next w:val="938"/>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Normal Indent"/>
    <w:basedOn w:val="926"/>
    <w:next w:val="926"/>
    <w:link w:val="996"/>
    <w:uiPriority w:val="0"/>
    <w:qFormat/>
    <w:pPr>
      <w:ind w:firstLine="420"/>
      <w:jc w:val="left"/>
    </w:pPr>
    <w:rPr>
      <w:sz w:val="24"/>
    </w:rPr>
  </w:style>
  <w:style w:type="paragraph" w:styleId="939">
    <w:name w:val="toc 7"/>
    <w:basedOn w:val="926"/>
    <w:next w:val="926"/>
    <w:uiPriority w:val="0"/>
    <w:qFormat/>
    <w:pPr>
      <w:ind w:left="2520"/>
    </w:pPr>
  </w:style>
  <w:style w:type="paragraph" w:styleId="940">
    <w:name w:val="index 8"/>
    <w:basedOn w:val="926"/>
    <w:next w:val="926"/>
    <w:uiPriority w:val="0"/>
    <w:qFormat/>
    <w:pPr>
      <w:ind w:left="2940"/>
    </w:pPr>
  </w:style>
  <w:style w:type="paragraph" w:styleId="941">
    <w:name w:val="index 5"/>
    <w:basedOn w:val="926"/>
    <w:next w:val="926"/>
    <w:uiPriority w:val="0"/>
    <w:qFormat/>
    <w:pPr>
      <w:ind w:left="1680"/>
    </w:pPr>
  </w:style>
  <w:style w:type="paragraph" w:styleId="942">
    <w:name w:val="Document Map"/>
    <w:basedOn w:val="926"/>
    <w:uiPriority w:val="0"/>
    <w:qFormat/>
    <w:pPr>
      <w:shd w:val="clear" w:color="auto" w:fill="000080"/>
    </w:pPr>
  </w:style>
  <w:style w:type="paragraph" w:styleId="943">
    <w:name w:val="annotation text"/>
    <w:basedOn w:val="926"/>
    <w:link w:val="1048"/>
    <w:uiPriority w:val="0"/>
    <w:qFormat/>
    <w:pPr>
      <w:jc w:val="left"/>
    </w:pPr>
  </w:style>
  <w:style w:type="paragraph" w:styleId="944">
    <w:name w:val="index 6"/>
    <w:basedOn w:val="926"/>
    <w:next w:val="926"/>
    <w:uiPriority w:val="0"/>
    <w:qFormat/>
    <w:pPr>
      <w:ind w:left="2100"/>
    </w:pPr>
  </w:style>
  <w:style w:type="paragraph" w:styleId="945">
    <w:name w:val="Body Text"/>
    <w:basedOn w:val="926"/>
    <w:next w:val="926"/>
    <w:uiPriority w:val="0"/>
    <w:qFormat/>
    <w:pPr>
      <w:spacing w:line="400" w:lineRule="exact"/>
    </w:pPr>
    <w:rPr>
      <w:rFonts w:ascii="楷体_GB2312"/>
      <w:sz w:val="28"/>
    </w:rPr>
  </w:style>
  <w:style w:type="paragraph" w:styleId="946">
    <w:name w:val="Body Text Indent"/>
    <w:basedOn w:val="926"/>
    <w:next w:val="926"/>
    <w:uiPriority w:val="0"/>
    <w:qFormat/>
    <w:pPr>
      <w:ind w:left="570"/>
      <w:spacing w:line="520" w:lineRule="exact"/>
    </w:pPr>
    <w:rPr>
      <w:rFonts w:ascii="方正仿宋简体" w:hAnsi="创艺简仿宋" w:eastAsia="方正仿宋简体"/>
      <w:sz w:val="24"/>
    </w:rPr>
  </w:style>
  <w:style w:type="paragraph" w:styleId="947">
    <w:name w:val="List Continue"/>
    <w:basedOn w:val="926"/>
    <w:uiPriority w:val="99"/>
    <w:unhideWhenUsed/>
    <w:qFormat/>
    <w:pPr>
      <w:ind w:left="200"/>
      <w:spacing w:after="120"/>
    </w:pPr>
    <w:rPr>
      <w:rFonts w:ascii="宋体" w:hAnsi="宋体" w:cs="Symbol"/>
      <w:sz w:val="28"/>
    </w:rPr>
  </w:style>
  <w:style w:type="paragraph" w:styleId="948">
    <w:name w:val="index 4"/>
    <w:basedOn w:val="926"/>
    <w:next w:val="926"/>
    <w:uiPriority w:val="0"/>
    <w:qFormat/>
    <w:pPr>
      <w:ind w:left="1260"/>
    </w:pPr>
  </w:style>
  <w:style w:type="paragraph" w:styleId="949">
    <w:name w:val="toc 5"/>
    <w:basedOn w:val="926"/>
    <w:next w:val="926"/>
    <w:uiPriority w:val="0"/>
    <w:qFormat/>
    <w:pPr>
      <w:ind w:left="1680"/>
    </w:pPr>
  </w:style>
  <w:style w:type="paragraph" w:styleId="950">
    <w:name w:val="toc 3"/>
    <w:basedOn w:val="926"/>
    <w:next w:val="926"/>
    <w:uiPriority w:val="0"/>
    <w:qFormat/>
    <w:pPr>
      <w:ind w:left="840"/>
    </w:pPr>
  </w:style>
  <w:style w:type="paragraph" w:styleId="951">
    <w:name w:val="Plain Text"/>
    <w:basedOn w:val="926"/>
    <w:link w:val="1000"/>
    <w:uiPriority w:val="0"/>
    <w:qFormat/>
    <w:rPr>
      <w:rFonts w:ascii="宋体" w:hAnsi="Courier New"/>
    </w:rPr>
  </w:style>
  <w:style w:type="paragraph" w:styleId="952">
    <w:name w:val="toc 8"/>
    <w:basedOn w:val="926"/>
    <w:next w:val="926"/>
    <w:uiPriority w:val="0"/>
    <w:qFormat/>
    <w:pPr>
      <w:ind w:left="2940"/>
    </w:pPr>
  </w:style>
  <w:style w:type="paragraph" w:styleId="953">
    <w:name w:val="index 3"/>
    <w:basedOn w:val="926"/>
    <w:next w:val="926"/>
    <w:uiPriority w:val="0"/>
    <w:qFormat/>
    <w:pPr>
      <w:ind w:left="840"/>
    </w:pPr>
  </w:style>
  <w:style w:type="paragraph" w:styleId="954">
    <w:name w:val="Date"/>
    <w:basedOn w:val="926"/>
    <w:next w:val="926"/>
    <w:link w:val="1001"/>
    <w:uiPriority w:val="0"/>
    <w:qFormat/>
    <w:rPr>
      <w:rFonts w:ascii="宋体" w:hAnsi="宋体"/>
      <w:sz w:val="24"/>
    </w:rPr>
  </w:style>
  <w:style w:type="paragraph" w:styleId="955">
    <w:name w:val="Body Text Indent 2"/>
    <w:basedOn w:val="926"/>
    <w:uiPriority w:val="0"/>
    <w:qFormat/>
    <w:pPr>
      <w:ind w:firstLine="502"/>
      <w:spacing w:line="360" w:lineRule="auto"/>
      <w:tabs>
        <w:tab w:val="left" w:pos="0" w:leader="none"/>
      </w:tabs>
    </w:pPr>
    <w:rPr>
      <w:rFonts w:ascii="宋体" w:eastAsia="宋体"/>
      <w:b/>
      <w:bCs/>
      <w:sz w:val="24"/>
    </w:rPr>
  </w:style>
  <w:style w:type="paragraph" w:styleId="956">
    <w:name w:val="Balloon Text"/>
    <w:basedOn w:val="926"/>
    <w:uiPriority w:val="0"/>
    <w:qFormat/>
    <w:rPr>
      <w:sz w:val="18"/>
      <w:szCs w:val="18"/>
    </w:rPr>
  </w:style>
  <w:style w:type="paragraph" w:styleId="957">
    <w:name w:val="Footer"/>
    <w:basedOn w:val="926"/>
    <w:link w:val="1056"/>
    <w:uiPriority w:val="99"/>
    <w:qFormat/>
    <w:pPr>
      <w:jc w:val="left"/>
      <w:tabs>
        <w:tab w:val="center" w:pos="4153" w:leader="none"/>
        <w:tab w:val="right" w:pos="8306" w:leader="none"/>
      </w:tabs>
    </w:pPr>
    <w:rPr>
      <w:sz w:val="18"/>
    </w:rPr>
  </w:style>
  <w:style w:type="paragraph" w:styleId="958">
    <w:name w:val="envelope return"/>
    <w:basedOn w:val="926"/>
    <w:uiPriority w:val="0"/>
    <w:qFormat/>
    <w:rPr>
      <w:rFonts w:ascii="Arial" w:hAnsi="Arial"/>
    </w:rPr>
  </w:style>
  <w:style w:type="paragraph" w:styleId="959">
    <w:name w:val="Header"/>
    <w:basedOn w:val="926"/>
    <w:link w:val="1057"/>
    <w:uiPriority w:val="99"/>
    <w:qFormat/>
    <w:pPr>
      <w:jc w:val="center"/>
      <w:tabs>
        <w:tab w:val="center" w:pos="4153" w:leader="none"/>
        <w:tab w:val="right" w:pos="8306" w:leader="none"/>
      </w:tabs>
      <w:pBdr>
        <w:bottom w:val="single" w:color="auto" w:sz="6" w:space="1"/>
      </w:pBdr>
    </w:pPr>
    <w:rPr>
      <w:sz w:val="18"/>
    </w:rPr>
  </w:style>
  <w:style w:type="paragraph" w:styleId="960">
    <w:name w:val="toc 1"/>
    <w:basedOn w:val="926"/>
    <w:next w:val="926"/>
    <w:uiPriority w:val="0"/>
    <w:qFormat/>
    <w:pPr>
      <w:tabs>
        <w:tab w:val="right" w:pos="9026" w:leader="dot"/>
      </w:tabs>
    </w:pPr>
    <w:rPr>
      <w:rFonts w:ascii="宋体" w:hAnsi="宋体" w:eastAsia="宋体"/>
      <w:sz w:val="24"/>
    </w:rPr>
  </w:style>
  <w:style w:type="paragraph" w:styleId="961">
    <w:name w:val="toc 4"/>
    <w:basedOn w:val="926"/>
    <w:next w:val="926"/>
    <w:uiPriority w:val="0"/>
    <w:qFormat/>
    <w:pPr>
      <w:ind w:left="1260"/>
    </w:pPr>
  </w:style>
  <w:style w:type="paragraph" w:styleId="962">
    <w:name w:val="index heading"/>
    <w:basedOn w:val="926"/>
    <w:next w:val="963"/>
    <w:uiPriority w:val="0"/>
    <w:qFormat/>
  </w:style>
  <w:style w:type="paragraph" w:styleId="963">
    <w:name w:val="index 1"/>
    <w:basedOn w:val="926"/>
    <w:next w:val="926"/>
    <w:uiPriority w:val="0"/>
    <w:qFormat/>
  </w:style>
  <w:style w:type="paragraph" w:styleId="964">
    <w:name w:val="footnote text"/>
    <w:basedOn w:val="926"/>
    <w:uiPriority w:val="0"/>
    <w:qFormat/>
    <w:pPr>
      <w:jc w:val="left"/>
    </w:pPr>
    <w:rPr>
      <w:sz w:val="18"/>
    </w:rPr>
  </w:style>
  <w:style w:type="paragraph" w:styleId="965">
    <w:name w:val="toc 6"/>
    <w:basedOn w:val="926"/>
    <w:next w:val="926"/>
    <w:uiPriority w:val="0"/>
    <w:qFormat/>
    <w:pPr>
      <w:ind w:left="2100"/>
    </w:pPr>
  </w:style>
  <w:style w:type="paragraph" w:styleId="966">
    <w:name w:val="Body Text Indent 3"/>
    <w:basedOn w:val="926"/>
    <w:uiPriority w:val="0"/>
    <w:qFormat/>
    <w:pPr>
      <w:ind w:firstLine="617"/>
      <w:spacing w:line="360" w:lineRule="auto"/>
    </w:pPr>
    <w:rPr>
      <w:rFonts w:eastAsia="宋体"/>
      <w:sz w:val="24"/>
      <w:szCs w:val="24"/>
    </w:rPr>
  </w:style>
  <w:style w:type="paragraph" w:styleId="967">
    <w:name w:val="index 7"/>
    <w:basedOn w:val="926"/>
    <w:next w:val="926"/>
    <w:uiPriority w:val="0"/>
    <w:qFormat/>
    <w:pPr>
      <w:ind w:left="2520"/>
    </w:pPr>
  </w:style>
  <w:style w:type="paragraph" w:styleId="968">
    <w:name w:val="index 9"/>
    <w:basedOn w:val="926"/>
    <w:next w:val="926"/>
    <w:uiPriority w:val="0"/>
    <w:qFormat/>
    <w:pPr>
      <w:ind w:left="3360"/>
    </w:pPr>
  </w:style>
  <w:style w:type="paragraph" w:styleId="969">
    <w:name w:val="table of figures"/>
    <w:basedOn w:val="926"/>
    <w:next w:val="926"/>
    <w:uiPriority w:val="0"/>
    <w:qFormat/>
    <w:pPr>
      <w:ind w:left="420" w:hanging="420"/>
      <w:jc w:val="left"/>
    </w:pPr>
    <w:rPr>
      <w:smallCaps/>
      <w:sz w:val="24"/>
    </w:rPr>
  </w:style>
  <w:style w:type="paragraph" w:styleId="970">
    <w:name w:val="toc 2"/>
    <w:basedOn w:val="926"/>
    <w:next w:val="926"/>
    <w:uiPriority w:val="0"/>
    <w:qFormat/>
    <w:pPr>
      <w:ind w:left="420"/>
    </w:pPr>
  </w:style>
  <w:style w:type="paragraph" w:styleId="971">
    <w:name w:val="toc 9"/>
    <w:basedOn w:val="926"/>
    <w:next w:val="926"/>
    <w:uiPriority w:val="0"/>
    <w:qFormat/>
    <w:pPr>
      <w:ind w:left="3360"/>
    </w:pPr>
  </w:style>
  <w:style w:type="paragraph" w:styleId="972">
    <w:name w:val="HTML Preformatted"/>
    <w:basedOn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73">
    <w:name w:val="Normal (Web)"/>
    <w:basedOn w:val="926"/>
    <w:uiPriority w:val="99"/>
    <w:qFormat/>
    <w:pPr>
      <w:jc w:val="left"/>
      <w:spacing w:before="100" w:beforeAutospacing="1" w:after="100" w:afterAutospacing="1"/>
      <w:widowControl/>
    </w:pPr>
    <w:rPr>
      <w:rFonts w:hint="eastAsia" w:ascii="宋体" w:hAnsi="宋体" w:eastAsia="宋体"/>
      <w:sz w:val="24"/>
      <w:szCs w:val="24"/>
    </w:rPr>
  </w:style>
  <w:style w:type="paragraph" w:styleId="974">
    <w:name w:val="index 2"/>
    <w:basedOn w:val="926"/>
    <w:next w:val="926"/>
    <w:uiPriority w:val="0"/>
    <w:qFormat/>
    <w:pPr>
      <w:ind w:left="420"/>
    </w:pPr>
  </w:style>
  <w:style w:type="paragraph" w:styleId="975">
    <w:name w:val="Title"/>
    <w:basedOn w:val="926"/>
    <w:next w:val="926"/>
    <w:link w:val="1059"/>
    <w:uiPriority w:val="10"/>
    <w:qFormat/>
    <w:pPr>
      <w:jc w:val="center"/>
    </w:pPr>
    <w:rPr>
      <w:rFonts w:ascii="黑体" w:hAnsi="黑体" w:eastAsia="黑体"/>
      <w:sz w:val="28"/>
      <w:szCs w:val="24"/>
    </w:rPr>
  </w:style>
  <w:style w:type="paragraph" w:styleId="976">
    <w:name w:val="annotation subject"/>
    <w:basedOn w:val="943"/>
    <w:next w:val="943"/>
    <w:uiPriority w:val="0"/>
    <w:qFormat/>
    <w:rPr>
      <w:bCs/>
    </w:rPr>
  </w:style>
  <w:style w:type="paragraph" w:styleId="977">
    <w:name w:val="Body Text First Indent 2"/>
    <w:basedOn w:val="946"/>
    <w:uiPriority w:val="99"/>
    <w:semiHidden/>
    <w:unhideWhenUsed/>
    <w:qFormat/>
    <w:pPr>
      <w:ind w:firstLine="420"/>
    </w:pPr>
  </w:style>
  <w:style w:type="table" w:styleId="978">
    <w:name w:val="Table Grid"/>
    <w:basedOn w:val="93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Strong"/>
    <w:basedOn w:val="936"/>
    <w:uiPriority w:val="22"/>
    <w:qFormat/>
    <w:rPr>
      <w:b/>
      <w:bCs/>
    </w:rPr>
  </w:style>
  <w:style w:type="character" w:styleId="980">
    <w:name w:val="page number"/>
    <w:basedOn w:val="936"/>
    <w:uiPriority w:val="0"/>
    <w:qFormat/>
  </w:style>
  <w:style w:type="character" w:styleId="981">
    <w:name w:val="FollowedHyperlink"/>
    <w:basedOn w:val="936"/>
    <w:uiPriority w:val="99"/>
    <w:semiHidden/>
    <w:unhideWhenUsed/>
    <w:qFormat/>
    <w:rPr>
      <w:color w:val="333333"/>
      <w:u w:val="none"/>
    </w:rPr>
  </w:style>
  <w:style w:type="character" w:styleId="982">
    <w:name w:val="Emphasis"/>
    <w:basedOn w:val="936"/>
    <w:uiPriority w:val="20"/>
    <w:qFormat/>
  </w:style>
  <w:style w:type="character" w:styleId="983">
    <w:name w:val="HTML Definition"/>
    <w:basedOn w:val="936"/>
    <w:uiPriority w:val="99"/>
    <w:semiHidden/>
    <w:unhideWhenUsed/>
    <w:qFormat/>
  </w:style>
  <w:style w:type="character" w:styleId="984">
    <w:name w:val="HTML Typewriter"/>
    <w:basedOn w:val="936"/>
    <w:uiPriority w:val="99"/>
    <w:semiHidden/>
    <w:unhideWhenUsed/>
    <w:qFormat/>
    <w:rPr>
      <w:rFonts w:hint="default" w:ascii="monospace" w:hAnsi="monospace" w:eastAsia="monospace" w:cs="monospace"/>
      <w:sz w:val="20"/>
    </w:rPr>
  </w:style>
  <w:style w:type="character" w:styleId="985">
    <w:name w:val="HTML Acronym"/>
    <w:basedOn w:val="936"/>
    <w:uiPriority w:val="99"/>
    <w:semiHidden/>
    <w:unhideWhenUsed/>
    <w:qFormat/>
  </w:style>
  <w:style w:type="character" w:styleId="986">
    <w:name w:val="HTML Variable"/>
    <w:basedOn w:val="936"/>
    <w:uiPriority w:val="99"/>
    <w:semiHidden/>
    <w:unhideWhenUsed/>
    <w:qFormat/>
  </w:style>
  <w:style w:type="character" w:styleId="987">
    <w:name w:val="Hyperlink"/>
    <w:basedOn w:val="936"/>
    <w:uiPriority w:val="99"/>
    <w:unhideWhenUsed/>
    <w:qFormat/>
    <w:rPr>
      <w:color w:val="0000ff"/>
      <w:u w:val="none"/>
    </w:rPr>
  </w:style>
  <w:style w:type="character" w:styleId="988">
    <w:name w:val="HTML Code"/>
    <w:basedOn w:val="936"/>
    <w:uiPriority w:val="99"/>
    <w:semiHidden/>
    <w:unhideWhenUsed/>
    <w:qFormat/>
    <w:rPr>
      <w:rFonts w:hint="default" w:ascii="monospace" w:hAnsi="monospace" w:eastAsia="monospace" w:cs="monospace"/>
      <w:sz w:val="20"/>
    </w:rPr>
  </w:style>
  <w:style w:type="character" w:styleId="989">
    <w:name w:val="annotation reference"/>
    <w:uiPriority w:val="0"/>
    <w:qFormat/>
    <w:rPr>
      <w:sz w:val="21"/>
      <w:szCs w:val="21"/>
    </w:rPr>
  </w:style>
  <w:style w:type="character" w:styleId="990">
    <w:name w:val="HTML Cite"/>
    <w:basedOn w:val="936"/>
    <w:uiPriority w:val="99"/>
    <w:semiHidden/>
    <w:unhideWhenUsed/>
    <w:qFormat/>
  </w:style>
  <w:style w:type="character" w:styleId="991">
    <w:name w:val="footnote reference"/>
    <w:uiPriority w:val="0"/>
    <w:qFormat/>
    <w:rPr>
      <w:vertAlign w:val="superscript"/>
    </w:rPr>
  </w:style>
  <w:style w:type="character" w:styleId="992">
    <w:name w:val="HTML Keyboard"/>
    <w:basedOn w:val="936"/>
    <w:uiPriority w:val="99"/>
    <w:semiHidden/>
    <w:unhideWhenUsed/>
    <w:qFormat/>
    <w:rPr>
      <w:rFonts w:ascii="monospace" w:hAnsi="monospace" w:eastAsia="monospace" w:cs="monospace"/>
      <w:sz w:val="20"/>
    </w:rPr>
  </w:style>
  <w:style w:type="character" w:styleId="993">
    <w:name w:val="HTML Sample"/>
    <w:basedOn w:val="936"/>
    <w:uiPriority w:val="99"/>
    <w:semiHidden/>
    <w:unhideWhenUsed/>
    <w:qFormat/>
    <w:rPr>
      <w:rFonts w:hint="default" w:ascii="monospace" w:hAnsi="monospace" w:eastAsia="monospace" w:cs="monospace"/>
    </w:rPr>
  </w:style>
  <w:style w:type="paragraph" w:styleId="994" w:customStyle="1">
    <w:name w:val="段"/>
    <w:next w:val="926"/>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95" w:customStyle="1">
    <w:name w:val="正文1"/>
    <w:next w:val="926"/>
    <w:uiPriority w:val="0"/>
    <w:qFormat/>
    <w:pPr>
      <w:jc w:val="both"/>
      <w:spacing w:line="360" w:lineRule="atLeast"/>
      <w:widowControl w:val="off"/>
    </w:pPr>
    <w:rPr>
      <w:rFonts w:ascii="Times New Roman" w:hAnsi="Times New Roman" w:eastAsia="宋体" w:cs="Times New Roman"/>
      <w:lang w:val="en-US" w:eastAsia="zh-CN" w:bidi="ar-SA"/>
    </w:rPr>
  </w:style>
  <w:style w:type="character" w:styleId="996" w:customStyle="1">
    <w:name w:val="正文缩进 Char"/>
    <w:link w:val="938"/>
    <w:uiPriority w:val="0"/>
    <w:qFormat/>
    <w:rPr>
      <w:rFonts w:eastAsia="楷体_GB2312"/>
      <w:sz w:val="24"/>
      <w:lang w:val="en-US" w:eastAsia="zh-CN" w:bidi="ar-SA"/>
    </w:rPr>
  </w:style>
  <w:style w:type="character" w:styleId="997" w:customStyle="1">
    <w:name w:val="列出段落 Char"/>
    <w:link w:val="998"/>
    <w:uiPriority w:val="0"/>
    <w:qFormat/>
    <w:rPr>
      <w:rFonts w:eastAsia="楷体_GB2312"/>
      <w:sz w:val="26"/>
      <w:lang w:val="zh-CN" w:eastAsia="zh-CN" w:bidi="ar-SA"/>
    </w:rPr>
  </w:style>
  <w:style w:type="paragraph" w:styleId="998" w:customStyle="1">
    <w:name w:val="序号"/>
    <w:basedOn w:val="926"/>
    <w:next w:val="999"/>
    <w:link w:val="997"/>
    <w:uiPriority w:val="0"/>
    <w:qFormat/>
    <w:pPr>
      <w:ind w:firstLine="420"/>
    </w:pPr>
    <w:rPr>
      <w:lang w:val="zh-CN"/>
    </w:rPr>
  </w:style>
  <w:style w:type="paragraph" w:styleId="999" w:customStyle="1">
    <w:name w:val="列表段落1"/>
    <w:basedOn w:val="926"/>
    <w:uiPriority w:val="34"/>
    <w:qFormat/>
    <w:pPr>
      <w:ind w:firstLine="420"/>
    </w:pPr>
  </w:style>
  <w:style w:type="character" w:styleId="1000" w:customStyle="1">
    <w:name w:val="纯文本 Char"/>
    <w:link w:val="951"/>
    <w:uiPriority w:val="0"/>
    <w:qFormat/>
    <w:rPr>
      <w:rFonts w:ascii="宋体" w:hAnsi="Courier New" w:eastAsia="楷体_GB2312"/>
      <w:sz w:val="26"/>
      <w:lang w:val="en-US" w:eastAsia="zh-CN" w:bidi="ar-SA"/>
    </w:rPr>
  </w:style>
  <w:style w:type="character" w:styleId="1001" w:customStyle="1">
    <w:name w:val="日期 Char"/>
    <w:link w:val="954"/>
    <w:uiPriority w:val="0"/>
    <w:qFormat/>
    <w:rPr>
      <w:rFonts w:ascii="宋体" w:hAnsi="宋体" w:eastAsia="楷体_GB2312"/>
      <w:sz w:val="24"/>
      <w:lang w:val="en-US" w:eastAsia="zh-CN" w:bidi="ar-SA"/>
    </w:rPr>
  </w:style>
  <w:style w:type="character" w:styleId="1002" w:customStyle="1">
    <w:name w:val="表格正文 字符"/>
    <w:link w:val="1003"/>
    <w:uiPriority w:val="0"/>
    <w:qFormat/>
    <w:rPr>
      <w:rFonts w:ascii="宋体" w:hAnsi="宋体" w:eastAsia="楷体_GB2312"/>
      <w:sz w:val="26"/>
      <w:szCs w:val="24"/>
      <w:lang w:val="en-US" w:eastAsia="zh-CN" w:bidi="ar-SA"/>
    </w:rPr>
  </w:style>
  <w:style w:type="paragraph" w:styleId="1003" w:customStyle="1">
    <w:name w:val="表格正文"/>
    <w:basedOn w:val="926"/>
    <w:next w:val="926"/>
    <w:link w:val="1002"/>
    <w:uiPriority w:val="0"/>
    <w:qFormat/>
    <w:rPr>
      <w:rFonts w:ascii="宋体" w:hAnsi="宋体"/>
      <w:szCs w:val="24"/>
    </w:rPr>
  </w:style>
  <w:style w:type="character" w:styleId="1004" w:customStyle="1">
    <w:name w:val="缩进正文 字符"/>
    <w:link w:val="1005"/>
    <w:uiPriority w:val="0"/>
    <w:qFormat/>
    <w:rPr>
      <w:rFonts w:ascii="Calibri" w:hAnsi="Calibri" w:eastAsia="楷体_GB2312"/>
      <w:sz w:val="26"/>
      <w:szCs w:val="24"/>
      <w:lang w:val="en-US" w:eastAsia="zh-CN" w:bidi="ar-SA"/>
    </w:rPr>
  </w:style>
  <w:style w:type="paragraph" w:styleId="1005" w:customStyle="1">
    <w:name w:val="缩进正文"/>
    <w:basedOn w:val="926"/>
    <w:link w:val="1004"/>
    <w:uiPriority w:val="0"/>
    <w:qFormat/>
    <w:pPr>
      <w:ind w:firstLine="200"/>
    </w:pPr>
    <w:rPr>
      <w:rFonts w:ascii="Calibri" w:hAnsi="Calibri"/>
      <w:szCs w:val="24"/>
    </w:rPr>
  </w:style>
  <w:style w:type="paragraph" w:styleId="1006" w:customStyle="1">
    <w:name w:val="Char Char Char"/>
    <w:basedOn w:val="926"/>
    <w:uiPriority w:val="0"/>
    <w:qFormat/>
    <w:pPr>
      <w:numPr>
        <w:ilvl w:val="0"/>
        <w:numId w:val="1"/>
      </w:numPr>
      <w:tabs>
        <w:tab w:val="clear" w:pos="432" w:leader="none"/>
        <w:tab w:val="left" w:pos="840" w:leader="none"/>
      </w:tabs>
    </w:pPr>
    <w:rPr>
      <w:rFonts w:eastAsia="宋体"/>
      <w:sz w:val="21"/>
      <w:szCs w:val="24"/>
    </w:rPr>
  </w:style>
  <w:style w:type="paragraph" w:styleId="1007" w:customStyle="1">
    <w:name w:val="Char Char Char1 Char Char Char Char"/>
    <w:basedOn w:val="926"/>
    <w:uiPriority w:val="0"/>
    <w:qFormat/>
    <w:pPr>
      <w:jc w:val="left"/>
      <w:spacing w:after="160" w:line="240" w:lineRule="exact"/>
      <w:widowControl/>
    </w:pPr>
    <w:rPr>
      <w:rFonts w:eastAsia="宋体"/>
      <w:sz w:val="24"/>
      <w:szCs w:val="24"/>
    </w:rPr>
  </w:style>
  <w:style w:type="paragraph" w:styleId="1008"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09" w:customStyle="1">
    <w:name w:val="首行缩进"/>
    <w:basedOn w:val="926"/>
    <w:uiPriority w:val="0"/>
    <w:qFormat/>
    <w:pPr>
      <w:ind w:firstLine="480"/>
    </w:pPr>
    <w:rPr>
      <w:lang w:val="zh-CN"/>
    </w:rPr>
  </w:style>
  <w:style w:type="paragraph" w:styleId="1010" w:customStyle="1">
    <w:name w:val="纯文本1"/>
    <w:basedOn w:val="926"/>
    <w:uiPriority w:val="0"/>
    <w:qFormat/>
    <w:rPr>
      <w:rFonts w:ascii="宋体" w:hAnsi="Courier New"/>
    </w:rPr>
  </w:style>
  <w:style w:type="paragraph" w:styleId="1011" w:customStyle="1">
    <w:name w:val="_Style 1"/>
    <w:basedOn w:val="926"/>
    <w:uiPriority w:val="34"/>
    <w:qFormat/>
    <w:pPr>
      <w:ind w:firstLine="420"/>
      <w:spacing w:line="312" w:lineRule="auto"/>
    </w:pPr>
  </w:style>
  <w:style w:type="paragraph" w:styleId="1012" w:customStyle="1">
    <w:name w:val="_Style 12"/>
    <w:basedOn w:val="942"/>
    <w:uiPriority w:val="0"/>
    <w:qFormat/>
    <w:pPr>
      <w:spacing w:line="360" w:lineRule="auto"/>
    </w:pPr>
  </w:style>
  <w:style w:type="paragraph" w:styleId="1013" w:customStyle="1">
    <w:name w:val="列出段落1"/>
    <w:basedOn w:val="926"/>
    <w:uiPriority w:val="0"/>
    <w:qFormat/>
    <w:pPr>
      <w:ind w:firstLine="420"/>
    </w:pPr>
    <w:rPr>
      <w:rFonts w:ascii="Calibri" w:hAnsi="Calibri"/>
      <w:szCs w:val="21"/>
    </w:rPr>
  </w:style>
  <w:style w:type="paragraph" w:styleId="1014" w:customStyle="1">
    <w:name w:val="缩进正文-"/>
    <w:basedOn w:val="926"/>
    <w:uiPriority w:val="0"/>
    <w:qFormat/>
    <w:pPr>
      <w:ind w:firstLine="200"/>
      <w:spacing w:before="100" w:beforeAutospacing="1" w:line="360" w:lineRule="auto"/>
    </w:pPr>
    <w:rPr>
      <w:rFonts w:ascii="宋体" w:hAnsi="宋体" w:eastAsia="宋体"/>
      <w:color w:val="000000"/>
      <w:sz w:val="24"/>
      <w:szCs w:val="21"/>
    </w:rPr>
  </w:style>
  <w:style w:type="paragraph" w:styleId="1015" w:customStyle="1">
    <w:name w:val="*正文"/>
    <w:basedOn w:val="926"/>
    <w:uiPriority w:val="0"/>
    <w:qFormat/>
    <w:pPr>
      <w:ind w:firstLine="200"/>
      <w:spacing w:line="360" w:lineRule="auto"/>
      <w:widowControl/>
    </w:pPr>
    <w:rPr>
      <w:rFonts w:ascii="仿宋_GB2312" w:hAnsi="Calibri" w:eastAsia="仿宋_GB2312"/>
      <w:sz w:val="24"/>
      <w:szCs w:val="28"/>
    </w:rPr>
  </w:style>
  <w:style w:type="paragraph" w:styleId="1016" w:customStyle="1">
    <w:name w:val="纯文本11"/>
    <w:basedOn w:val="926"/>
    <w:uiPriority w:val="99"/>
    <w:qFormat/>
    <w:rPr>
      <w:rFonts w:ascii="宋体" w:hAnsi="Courier New"/>
    </w:rPr>
  </w:style>
  <w:style w:type="paragraph" w:styleId="1017" w:customStyle="1">
    <w:name w:val="Char Char Char1 Char"/>
    <w:basedOn w:val="926"/>
    <w:uiPriority w:val="0"/>
    <w:semiHidden/>
    <w:qFormat/>
    <w:pPr>
      <w:ind w:firstLine="200"/>
      <w:spacing w:line="360" w:lineRule="auto"/>
    </w:pPr>
    <w:rPr>
      <w:rFonts w:ascii="宋体" w:hAnsi="宋体" w:cs="宋体"/>
      <w:sz w:val="24"/>
    </w:rPr>
  </w:style>
  <w:style w:type="paragraph" w:styleId="1018" w:customStyle="1">
    <w:name w:val="Char Char1 Char Char Char Char"/>
    <w:basedOn w:val="942"/>
    <w:uiPriority w:val="0"/>
    <w:qFormat/>
    <w:pPr>
      <w:spacing w:line="360" w:lineRule="auto"/>
    </w:pPr>
    <w:rPr>
      <w:rFonts w:ascii="Tahoma" w:hAnsi="Tahoma" w:eastAsia="宋体"/>
      <w:sz w:val="24"/>
      <w:szCs w:val="24"/>
    </w:rPr>
  </w:style>
  <w:style w:type="paragraph" w:styleId="1019" w:customStyle="1">
    <w:name w:val="p0"/>
    <w:basedOn w:val="926"/>
    <w:uiPriority w:val="0"/>
    <w:qFormat/>
    <w:rPr>
      <w:rFonts w:hint="eastAsia"/>
    </w:rPr>
  </w:style>
  <w:style w:type="paragraph" w:styleId="1020">
    <w:name w:val="List Paragraph"/>
    <w:basedOn w:val="926"/>
    <w:uiPriority w:val="34"/>
    <w:qFormat/>
    <w:pPr>
      <w:ind w:firstLine="420"/>
    </w:pPr>
    <w:rPr>
      <w:rFonts w:ascii="宋体" w:hAnsi="宋体" w:eastAsia="宋体"/>
      <w:sz w:val="24"/>
      <w:szCs w:val="24"/>
    </w:rPr>
  </w:style>
  <w:style w:type="paragraph" w:styleId="1021" w:customStyle="1">
    <w:name w:val="Char"/>
    <w:basedOn w:val="926"/>
    <w:uiPriority w:val="0"/>
    <w:qFormat/>
    <w:rPr>
      <w:rFonts w:ascii="Tahoma" w:hAnsi="Tahoma" w:eastAsia="宋体"/>
      <w:sz w:val="24"/>
    </w:rPr>
  </w:style>
  <w:style w:type="paragraph" w:styleId="1022" w:customStyle="1">
    <w:name w:val="列出段落2"/>
    <w:basedOn w:val="926"/>
    <w:uiPriority w:val="34"/>
    <w:qFormat/>
    <w:pPr>
      <w:ind w:firstLine="420"/>
    </w:pPr>
  </w:style>
  <w:style w:type="paragraph" w:styleId="1023" w:customStyle="1">
    <w:name w:val="纯文本12"/>
    <w:basedOn w:val="926"/>
    <w:uiPriority w:val="0"/>
    <w:qFormat/>
    <w:rPr>
      <w:rFonts w:ascii="宋体" w:hAnsi="Courier New"/>
    </w:rPr>
  </w:style>
  <w:style w:type="paragraph" w:styleId="1024" w:customStyle="1">
    <w:name w:val="纯文本2"/>
    <w:basedOn w:val="926"/>
    <w:uiPriority w:val="0"/>
    <w:qFormat/>
    <w:rPr>
      <w:rFonts w:ascii="宋体" w:hAnsi="Courier New"/>
    </w:rPr>
  </w:style>
  <w:style w:type="paragraph" w:styleId="1025" w:customStyle="1">
    <w:name w:val="Char1"/>
    <w:basedOn w:val="926"/>
    <w:uiPriority w:val="0"/>
    <w:qFormat/>
    <w:rPr>
      <w:rFonts w:ascii="Tahoma" w:hAnsi="Tahoma" w:eastAsia="宋体"/>
      <w:sz w:val="24"/>
    </w:rPr>
  </w:style>
  <w:style w:type="paragraph" w:styleId="1026" w:customStyle="1">
    <w:name w:val="表格内容"/>
    <w:basedOn w:val="926"/>
    <w:uiPriority w:val="0"/>
    <w:qFormat/>
    <w:pPr>
      <w:jc w:val="left"/>
      <w:spacing w:before="100" w:beforeAutospacing="1" w:after="100" w:afterAutospacing="1" w:line="360" w:lineRule="auto"/>
    </w:pPr>
    <w:rPr>
      <w:rFonts w:ascii="宋体" w:hAnsi="宋体" w:eastAsia="宋体"/>
      <w:bCs/>
      <w:sz w:val="21"/>
      <w:szCs w:val="21"/>
    </w:rPr>
  </w:style>
  <w:style w:type="paragraph" w:styleId="1027" w:customStyle="1">
    <w:name w:val="纯文本3"/>
    <w:basedOn w:val="926"/>
    <w:uiPriority w:val="0"/>
    <w:qFormat/>
    <w:rPr>
      <w:rFonts w:ascii="宋体" w:hAnsi="Courier New"/>
      <w:sz w:val="28"/>
    </w:rPr>
  </w:style>
  <w:style w:type="paragraph" w:styleId="1028" w:customStyle="1">
    <w:name w:val="font7"/>
    <w:basedOn w:val="926"/>
    <w:uiPriority w:val="0"/>
    <w:qFormat/>
    <w:pPr>
      <w:jc w:val="left"/>
      <w:spacing w:before="100" w:beforeAutospacing="1" w:after="100" w:afterAutospacing="1"/>
      <w:widowControl/>
    </w:pPr>
    <w:rPr>
      <w:rFonts w:eastAsia="宋体"/>
      <w:sz w:val="20"/>
    </w:rPr>
  </w:style>
  <w:style w:type="paragraph" w:styleId="1029" w:customStyle="1">
    <w:name w:val="纯文本4"/>
    <w:basedOn w:val="926"/>
    <w:uiPriority w:val="0"/>
    <w:qFormat/>
    <w:rPr>
      <w:rFonts w:ascii="宋体" w:hAnsi="Courier New"/>
    </w:rPr>
  </w:style>
  <w:style w:type="paragraph" w:styleId="1030" w:customStyle="1">
    <w:name w:val="纯文本5"/>
    <w:basedOn w:val="926"/>
    <w:uiPriority w:val="0"/>
    <w:qFormat/>
    <w:rPr>
      <w:rFonts w:ascii="宋体" w:hAnsi="Courier New"/>
      <w:sz w:val="28"/>
    </w:rPr>
  </w:style>
  <w:style w:type="paragraph" w:styleId="1031"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2" w:customStyle="1">
    <w:name w:val="font171"/>
    <w:basedOn w:val="936"/>
    <w:uiPriority w:val="0"/>
    <w:qFormat/>
    <w:rPr>
      <w:rFonts w:hint="eastAsia" w:ascii="宋体" w:hAnsi="宋体" w:eastAsia="宋体" w:cs="宋体"/>
      <w:b/>
      <w:bCs/>
      <w:color w:val="000000"/>
      <w:sz w:val="36"/>
      <w:szCs w:val="36"/>
      <w:u w:val="none"/>
    </w:rPr>
  </w:style>
  <w:style w:type="character" w:styleId="1033" w:customStyle="1">
    <w:name w:val="font41"/>
    <w:basedOn w:val="936"/>
    <w:uiPriority w:val="0"/>
    <w:qFormat/>
    <w:rPr>
      <w:rFonts w:hint="default" w:ascii="Times New Roman" w:hAnsi="Times New Roman" w:cs="Times New Roman"/>
      <w:b/>
      <w:bCs/>
      <w:color w:val="000000"/>
      <w:sz w:val="36"/>
      <w:szCs w:val="36"/>
      <w:u w:val="none"/>
    </w:rPr>
  </w:style>
  <w:style w:type="character" w:styleId="1034" w:customStyle="1">
    <w:name w:val="font101"/>
    <w:basedOn w:val="936"/>
    <w:uiPriority w:val="0"/>
    <w:qFormat/>
    <w:rPr>
      <w:rFonts w:hint="eastAsia" w:ascii="宋体" w:hAnsi="宋体" w:eastAsia="宋体" w:cs="宋体"/>
      <w:b/>
      <w:bCs/>
      <w:color w:val="000000"/>
      <w:sz w:val="24"/>
      <w:szCs w:val="24"/>
      <w:u w:val="none"/>
    </w:rPr>
  </w:style>
  <w:style w:type="character" w:styleId="1035" w:customStyle="1">
    <w:name w:val="font91"/>
    <w:basedOn w:val="936"/>
    <w:uiPriority w:val="0"/>
    <w:qFormat/>
    <w:rPr>
      <w:rFonts w:hint="default" w:ascii="Times New Roman" w:hAnsi="Times New Roman" w:cs="Times New Roman"/>
      <w:b/>
      <w:bCs/>
      <w:color w:val="000000"/>
      <w:sz w:val="24"/>
      <w:szCs w:val="24"/>
      <w:u w:val="none"/>
    </w:rPr>
  </w:style>
  <w:style w:type="character" w:styleId="1036" w:customStyle="1">
    <w:name w:val="font121"/>
    <w:basedOn w:val="936"/>
    <w:uiPriority w:val="0"/>
    <w:qFormat/>
    <w:rPr>
      <w:rFonts w:hint="eastAsia" w:ascii="宋体" w:hAnsi="宋体" w:eastAsia="宋体" w:cs="宋体"/>
      <w:color w:val="000000"/>
      <w:sz w:val="24"/>
      <w:szCs w:val="24"/>
      <w:u w:val="none"/>
    </w:rPr>
  </w:style>
  <w:style w:type="character" w:styleId="1037" w:customStyle="1">
    <w:name w:val="font61"/>
    <w:basedOn w:val="936"/>
    <w:uiPriority w:val="0"/>
    <w:qFormat/>
    <w:rPr>
      <w:rFonts w:hint="default" w:ascii="Times New Roman" w:hAnsi="Times New Roman" w:cs="Times New Roman"/>
      <w:color w:val="000000"/>
      <w:sz w:val="24"/>
      <w:szCs w:val="24"/>
      <w:u w:val="none"/>
    </w:rPr>
  </w:style>
  <w:style w:type="character" w:styleId="1038" w:customStyle="1">
    <w:name w:val="font151"/>
    <w:basedOn w:val="936"/>
    <w:uiPriority w:val="0"/>
    <w:qFormat/>
    <w:rPr>
      <w:rFonts w:ascii="宋体" w:hAnsi="宋体" w:eastAsia="宋体" w:cs="宋体"/>
      <w:color w:val="000000"/>
      <w:sz w:val="24"/>
      <w:szCs w:val="24"/>
      <w:u w:val="none"/>
    </w:rPr>
  </w:style>
  <w:style w:type="paragraph" w:styleId="1039"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40" w:customStyle="1">
    <w:name w:val="msolistparagraph"/>
    <w:basedOn w:val="926"/>
    <w:uiPriority w:val="0"/>
    <w:qFormat/>
    <w:pPr>
      <w:ind w:firstLine="420"/>
    </w:pPr>
    <w:rPr>
      <w:szCs w:val="21"/>
    </w:rPr>
  </w:style>
  <w:style w:type="paragraph" w:styleId="1041" w:customStyle="1">
    <w:name w:val="Table Paragraph"/>
    <w:basedOn w:val="926"/>
    <w:uiPriority w:val="1"/>
    <w:qFormat/>
    <w:rPr>
      <w:rFonts w:ascii="宋体" w:hAnsi="宋体" w:cs="宋体"/>
      <w:lang w:val="zh-CN" w:bidi="zh-CN"/>
    </w:rPr>
  </w:style>
  <w:style w:type="character" w:styleId="1042" w:customStyle="1">
    <w:name w:val="font21"/>
    <w:basedOn w:val="936"/>
    <w:uiPriority w:val="0"/>
    <w:qFormat/>
    <w:rPr>
      <w:rFonts w:hint="eastAsia" w:ascii="仿宋" w:hAnsi="仿宋" w:eastAsia="仿宋" w:cs="仿宋"/>
      <w:color w:val="000000"/>
      <w:sz w:val="22"/>
      <w:szCs w:val="22"/>
      <w:u w:val="none"/>
    </w:rPr>
  </w:style>
  <w:style w:type="character" w:styleId="1043" w:customStyle="1">
    <w:name w:val="font71"/>
    <w:basedOn w:val="936"/>
    <w:uiPriority w:val="0"/>
    <w:qFormat/>
    <w:rPr>
      <w:rFonts w:hint="eastAsia" w:ascii="宋体" w:hAnsi="宋体" w:eastAsia="宋体" w:cs="宋体"/>
      <w:color w:val="000000"/>
      <w:sz w:val="22"/>
      <w:szCs w:val="22"/>
      <w:u w:val="none"/>
    </w:rPr>
  </w:style>
  <w:style w:type="character" w:styleId="1044" w:customStyle="1">
    <w:name w:val="font01"/>
    <w:basedOn w:val="936"/>
    <w:uiPriority w:val="0"/>
    <w:qFormat/>
    <w:rPr>
      <w:rFonts w:hint="eastAsia" w:ascii="宋体" w:hAnsi="宋体" w:eastAsia="宋体" w:cs="宋体"/>
      <w:color w:val="000000"/>
      <w:sz w:val="22"/>
      <w:szCs w:val="22"/>
      <w:u w:val="none"/>
    </w:rPr>
  </w:style>
  <w:style w:type="character" w:styleId="1045" w:customStyle="1">
    <w:name w:val="font11"/>
    <w:basedOn w:val="936"/>
    <w:uiPriority w:val="0"/>
    <w:qFormat/>
    <w:rPr>
      <w:rFonts w:hint="eastAsia" w:ascii="宋体" w:hAnsi="宋体" w:eastAsia="宋体" w:cs="宋体"/>
      <w:color w:val="ff0000"/>
      <w:sz w:val="22"/>
      <w:szCs w:val="22"/>
      <w:u w:val="none"/>
    </w:rPr>
  </w:style>
  <w:style w:type="character" w:styleId="1046" w:customStyle="1">
    <w:name w:val="font31"/>
    <w:basedOn w:val="936"/>
    <w:uiPriority w:val="0"/>
    <w:qFormat/>
    <w:rPr>
      <w:rFonts w:hint="eastAsia" w:ascii="宋体" w:hAnsi="宋体" w:eastAsia="宋体" w:cs="宋体"/>
      <w:color w:val="ff0000"/>
      <w:sz w:val="22"/>
      <w:szCs w:val="22"/>
      <w:u w:val="none"/>
    </w:rPr>
  </w:style>
  <w:style w:type="paragraph" w:styleId="1047" w:customStyle="1">
    <w:name w:val="p2"/>
    <w:basedOn w:val="926"/>
    <w:uiPriority w:val="0"/>
    <w:qFormat/>
    <w:pPr>
      <w:spacing w:before="100" w:beforeAutospacing="1" w:after="100" w:afterAutospacing="1"/>
    </w:pPr>
    <w:rPr>
      <w:rFonts w:ascii="宋体" w:hAnsi="宋体"/>
      <w:sz w:val="24"/>
      <w:szCs w:val="24"/>
    </w:rPr>
  </w:style>
  <w:style w:type="character" w:styleId="1048" w:customStyle="1">
    <w:name w:val="批注文字 Char"/>
    <w:link w:val="943"/>
    <w:uiPriority w:val="0"/>
    <w:qFormat/>
    <w:rPr>
      <w:rFonts w:eastAsia="楷体_GB2312"/>
      <w:sz w:val="26"/>
    </w:rPr>
  </w:style>
  <w:style w:type="character" w:styleId="1049" w:customStyle="1">
    <w:name w:val="NormalCharacter"/>
    <w:link w:val="1050"/>
    <w:uiPriority w:val="0"/>
    <w:qFormat/>
    <w:rPr>
      <w:sz w:val="20"/>
      <w:szCs w:val="20"/>
    </w:rPr>
  </w:style>
  <w:style w:type="paragraph" w:styleId="1050" w:customStyle="1">
    <w:name w:val="UserStyle_4"/>
    <w:basedOn w:val="926"/>
    <w:link w:val="1049"/>
    <w:uiPriority w:val="99"/>
    <w:qFormat/>
    <w:rPr>
      <w:sz w:val="20"/>
    </w:rPr>
  </w:style>
  <w:style w:type="character" w:styleId="1051" w:customStyle="1">
    <w:name w:val="hover"/>
    <w:basedOn w:val="936"/>
    <w:uiPriority w:val="0"/>
    <w:qFormat/>
    <w:rPr>
      <w:color w:val="2590eb"/>
    </w:rPr>
  </w:style>
  <w:style w:type="character" w:styleId="1052" w:customStyle="1">
    <w:name w:val="hover1"/>
    <w:basedOn w:val="936"/>
    <w:uiPriority w:val="0"/>
    <w:qFormat/>
  </w:style>
  <w:style w:type="character" w:styleId="1053" w:customStyle="1">
    <w:name w:val="hover2"/>
    <w:basedOn w:val="936"/>
    <w:uiPriority w:val="0"/>
    <w:qFormat/>
    <w:rPr>
      <w:color w:val="2590eb"/>
    </w:rPr>
  </w:style>
  <w:style w:type="character" w:styleId="1054" w:customStyle="1">
    <w:name w:val="15"/>
    <w:basedOn w:val="936"/>
    <w:uiPriority w:val="0"/>
    <w:qFormat/>
  </w:style>
  <w:style w:type="paragraph" w:styleId="1055" w:customStyle="1">
    <w:name w:val="p"/>
    <w:basedOn w:val="926"/>
    <w:uiPriority w:val="0"/>
    <w:qFormat/>
    <w:pPr>
      <w:jc w:val="left"/>
      <w:spacing w:before="100" w:beforeAutospacing="1" w:after="100" w:afterAutospacing="1"/>
      <w:widowControl/>
    </w:pPr>
    <w:rPr>
      <w:rFonts w:ascii="宋体" w:hAnsi="宋体" w:eastAsia="宋体" w:cs="宋体"/>
      <w:sz w:val="24"/>
      <w:szCs w:val="24"/>
    </w:rPr>
  </w:style>
  <w:style w:type="character" w:styleId="1056" w:customStyle="1">
    <w:name w:val="页脚 Char"/>
    <w:basedOn w:val="936"/>
    <w:link w:val="957"/>
    <w:uiPriority w:val="99"/>
    <w:qFormat/>
    <w:rPr>
      <w:rFonts w:eastAsia="楷体_GB2312"/>
      <w:sz w:val="18"/>
    </w:rPr>
  </w:style>
  <w:style w:type="character" w:styleId="1057" w:customStyle="1">
    <w:name w:val="页眉 Char"/>
    <w:basedOn w:val="936"/>
    <w:link w:val="959"/>
    <w:uiPriority w:val="99"/>
    <w:qFormat/>
    <w:rPr>
      <w:rFonts w:eastAsia="楷体_GB2312"/>
      <w:sz w:val="18"/>
    </w:rPr>
  </w:style>
  <w:style w:type="character" w:styleId="1058" w:customStyle="1">
    <w:name w:val="标题 1 Char"/>
    <w:link w:val="927"/>
    <w:uiPriority w:val="0"/>
    <w:qFormat/>
    <w:rPr>
      <w:rFonts w:eastAsia="楷体_GB2312"/>
      <w:b/>
      <w:sz w:val="44"/>
    </w:rPr>
  </w:style>
  <w:style w:type="character" w:styleId="1059" w:customStyle="1">
    <w:name w:val="标题 Char"/>
    <w:basedOn w:val="936"/>
    <w:link w:val="975"/>
    <w:uiPriority w:val="10"/>
    <w:qFormat/>
    <w:rPr>
      <w:rFonts w:ascii="黑体" w:hAnsi="黑体" w:eastAsia="黑体"/>
      <w:sz w:val="28"/>
      <w:szCs w:val="24"/>
    </w:rPr>
  </w:style>
  <w:style w:type="paragraph" w:styleId="1060" w:customStyle="1">
    <w:name w:val="UserStyle_780"/>
    <w:basedOn w:val="926"/>
    <w:uiPriority w:val="0"/>
    <w:qFormat/>
    <w:rPr>
      <w:rFonts w:ascii="宋体" w:hAnsi="Courier New"/>
      <w:sz w:val="28"/>
      <w:szCs w:val="24"/>
    </w:rPr>
  </w:style>
  <w:style w:type="paragraph" w:styleId="1061" w:customStyle="1">
    <w:name w:val="修订1"/>
    <w:hidden/>
    <w:uiPriority w:val="99"/>
    <w:semiHidden/>
    <w:qFormat/>
    <w:rPr>
      <w:rFonts w:ascii="Times New Roman" w:hAnsi="Times New Roman" w:eastAsia="楷体_GB2312" w:cs="Times New Roman"/>
      <w:sz w:val="26"/>
      <w:lang w:val="en-US" w:eastAsia="zh-CN" w:bidi="ar-SA"/>
    </w:rPr>
  </w:style>
  <w:style w:type="paragraph" w:styleId="1062" w:customStyle="1">
    <w:name w:val="修订2"/>
    <w:hidden/>
    <w:uiPriority w:val="99"/>
    <w:unhideWhenUsed/>
    <w:qFormat/>
    <w:rPr>
      <w:rFonts w:ascii="Times New Roman" w:hAnsi="Times New Roman" w:eastAsia="楷体_GB2312" w:cs="Times New Roman"/>
      <w:sz w:val="26"/>
      <w:lang w:val="en-US" w:eastAsia="zh-CN" w:bidi="ar-SA"/>
    </w:rPr>
  </w:style>
  <w:style w:type="paragraph" w:styleId="1063" w:customStyle="1">
    <w:name w:val="修订3"/>
    <w:hidden/>
    <w:uiPriority w:val="99"/>
    <w:unhideWhenUsed/>
    <w:qFormat/>
    <w:rPr>
      <w:rFonts w:ascii="Times New Roman" w:hAnsi="Times New Roman" w:eastAsia="楷体_GB2312" w:cs="Times New Roman"/>
      <w:sz w:val="26"/>
      <w:lang w:val="en-US" w:eastAsia="zh-CN" w:bidi="ar-SA"/>
    </w:rPr>
  </w:style>
  <w:style w:type="paragraph" w:styleId="1064" w:customStyle="1">
    <w:name w:val="CL 正文1.25"/>
    <w:basedOn w:val="926"/>
    <w:uiPriority w:val="0"/>
    <w:qFormat/>
    <w:pPr>
      <w:ind w:firstLine="200"/>
      <w:spacing w:line="300" w:lineRule="auto"/>
    </w:pPr>
    <w:rPr>
      <w:rFonts w:ascii="Cambria" w:hAnsi="Cambria" w:cstheme="minorBidi"/>
      <w:sz w:val="24"/>
      <w:szCs w:val="21"/>
    </w:rPr>
  </w:style>
  <w:style w:type="character" w:styleId="1065" w:customStyle="1">
    <w:name w:val="first-child"/>
    <w:basedOn w:val="936"/>
    <w:uiPriority w:val="0"/>
    <w:qFormat/>
  </w:style>
  <w:style w:type="character" w:styleId="1066" w:customStyle="1">
    <w:name w:val="first-child1"/>
    <w:basedOn w:val="936"/>
    <w:uiPriority w:val="0"/>
    <w:qFormat/>
  </w:style>
  <w:style w:type="character" w:styleId="1067" w:customStyle="1">
    <w:name w:val="desc_jugsx"/>
    <w:basedOn w:val="936"/>
    <w:uiPriority w:val="0"/>
    <w:qFormat/>
    <w:rPr>
      <w:color w:val="333333"/>
    </w:rPr>
  </w:style>
  <w:style w:type="character" w:styleId="1068" w:customStyle="1">
    <w:name w:val="type_xj8di"/>
    <w:basedOn w:val="936"/>
    <w:uiPriority w:val="0"/>
    <w:qFormat/>
    <w:rPr>
      <w:color w:val="999999"/>
    </w:rPr>
  </w:style>
  <w:style w:type="paragraph" w:styleId="1069" w:customStyle="1">
    <w:name w:val="修订4"/>
    <w:hidden/>
    <w:uiPriority w:val="99"/>
    <w:unhideWhenUsed/>
    <w:qFormat/>
    <w:rPr>
      <w:rFonts w:ascii="Times New Roman" w:hAnsi="Times New Roman" w:eastAsia="楷体_GB2312" w:cs="Times New Roman"/>
      <w:sz w:val="26"/>
      <w:lang w:val="en-US" w:eastAsia="zh-CN" w:bidi="ar-SA"/>
    </w:rPr>
  </w:style>
  <w:style w:type="character" w:styleId="1070" w:customStyle="1">
    <w:name w:val="16"/>
    <w:basedOn w:val="936"/>
    <w:uiPriority w:val="0"/>
    <w:qFormat/>
    <w:rPr>
      <w:rFonts w:hint="default" w:ascii="Times New Roman" w:hAnsi="Times New Roman" w:cs="Times New Roman"/>
      <w:i/>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emf"/><Relationship Id="rId19" Type="http://schemas.openxmlformats.org/officeDocument/2006/relationships/oleObject" Target="embeddings/oleObject1.bin"/><Relationship Id="rId20" Type="http://schemas.openxmlformats.org/officeDocument/2006/relationships/image" Target="media/image4.emf"/><Relationship Id="rId21" Type="http://schemas.openxmlformats.org/officeDocument/2006/relationships/oleObject" Target="embeddings/oleObject2.bin"/><Relationship Id="rId22" Type="http://schemas.openxmlformats.org/officeDocument/2006/relationships/image" Target="media/image5.emf"/><Relationship Id="rId23" Type="http://schemas.openxmlformats.org/officeDocument/2006/relationships/oleObject" Target="embeddings/oleObject3.bin"/><Relationship Id="rId24" Type="http://schemas.openxmlformats.org/officeDocument/2006/relationships/image" Target="media/image6.emf"/><Relationship Id="rId25" Type="http://schemas.openxmlformats.org/officeDocument/2006/relationships/oleObject" Target="embeddings/oleObject4.bin"/><Relationship Id="rId26" Type="http://schemas.openxmlformats.org/officeDocument/2006/relationships/image" Target="media/image7.emf"/><Relationship Id="rId27" Type="http://schemas.openxmlformats.org/officeDocument/2006/relationships/oleObject" Target="embeddings/oleObject5.bin"/><Relationship Id="rId28" Type="http://schemas.openxmlformats.org/officeDocument/2006/relationships/image" Target="media/image8.emf"/><Relationship Id="rId29" Type="http://schemas.openxmlformats.org/officeDocument/2006/relationships/oleObject" Target="embeddings/oleObject6.bin"/><Relationship Id="rId30" Type="http://schemas.openxmlformats.org/officeDocument/2006/relationships/image" Target="media/image9.emf"/><Relationship Id="rId31" Type="http://schemas.openxmlformats.org/officeDocument/2006/relationships/oleObject" Target="embeddings/oleObject7.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11</cp:revision>
  <dcterms:created xsi:type="dcterms:W3CDTF">2024-02-19T07:50:00Z</dcterms:created>
  <dcterms:modified xsi:type="dcterms:W3CDTF">2026-05-08T01:25:28Z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DAD73E7A1D42475181C26EC1FE9F0988_13</vt:lpwstr>
  </property>
  <property fmtid="{D5CDD505-2E9C-101B-9397-08002B2CF9AE}" pid="4" name="KSOTemplateDocerSaveRecord">
    <vt:lpwstr>eyJoZGlkIjoiZTg1ZjBiYjczODk3ZDAxZTcxNzhmZTc1ZjVmOWU3NDAiLCJ1c2VySWQiOiI0MTgxMDg2MzUifQ==</vt:lpwstr>
  </property>
</Properties>
</file>