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r>
      <w:r/>
    </w:p>
    <w:p>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r>
      <w:r/>
    </w:p>
    <w:p>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r>
      <w:r/>
    </w:p>
    <w:p>
      <w:pPr>
        <w:jc w:val="center"/>
        <w:rPr>
          <w:rFonts w:hint="eastAsia"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hint="eastAsia"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4pt" to="-8.9pt,15.4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hint="eastAsia" w:ascii="宋体" w:hAnsi="宋体" w:eastAsia="宋体" w:cs="Times New Roman"/>
          <w:b/>
          <w:bCs/>
          <w:sz w:val="72"/>
          <w:szCs w:val="72"/>
        </w:rPr>
      </w:pPr>
      <w:r>
        <w:rPr>
          <w:rFonts w:hint="eastAsia" w:ascii="宋体" w:hAnsi="宋体" w:eastAsia="宋体" w:cs="Times New Roman"/>
          <w:b/>
          <w:bCs/>
          <w:sz w:val="72"/>
          <w:szCs w:val="72"/>
        </w:rPr>
      </w:r>
      <w:r/>
    </w:p>
    <w:p>
      <w:pPr>
        <w:jc w:val="center"/>
        <w:rPr>
          <w:rFonts w:hint="eastAsia" w:ascii="宋体" w:hAnsi="宋体" w:eastAsia="宋体" w:cs="Times New Roman"/>
          <w:b/>
          <w:bCs/>
          <w:sz w:val="72"/>
          <w:szCs w:val="72"/>
        </w:rPr>
      </w:pPr>
      <w:r>
        <w:rPr>
          <w:rFonts w:hint="eastAsia" w:ascii="宋体" w:hAnsi="宋体" w:eastAsia="宋体" w:cs="Times New Roman"/>
          <w:b/>
          <w:bCs/>
          <w:sz w:val="72"/>
          <w:szCs w:val="72"/>
        </w:rPr>
      </w:r>
      <w:r/>
    </w:p>
    <w:p>
      <w:pPr>
        <w:ind w:left="3207" w:hanging="2249"/>
        <w:spacing w:line="360" w:lineRule="auto"/>
        <w:rPr>
          <w:rFonts w:hint="eastAsia"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0" w:name="_Toc311189700"/>
      <w:r/>
      <w:bookmarkStart w:id="1" w:name="_Toc311189771"/>
      <w:r>
        <w:rPr>
          <w:rFonts w:hint="eastAsia" w:ascii="宋体" w:hAnsi="宋体" w:eastAsia="宋体" w:cs="Times New Roman"/>
          <w:b/>
          <w:sz w:val="32"/>
          <w:szCs w:val="32"/>
        </w:rPr>
        <w:t xml:space="preserve">：</w:t>
      </w:r>
      <w:r>
        <w:rPr>
          <w:rFonts w:hint="eastAsia" w:ascii="宋体" w:hAnsi="宋体" w:eastAsia="宋体" w:cs="宋体"/>
          <w:bCs/>
          <w:sz w:val="32"/>
          <w:szCs w:val="32"/>
        </w:rPr>
        <w:t xml:space="preserve">智慧中医院医共体建设项目</w:t>
      </w:r>
      <w:r/>
    </w:p>
    <w:p>
      <w:pPr>
        <w:ind w:left="1279" w:hanging="321"/>
        <w:spacing w:line="360" w:lineRule="auto"/>
        <w:rPr>
          <w:rFonts w:hint="eastAsia"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hint="eastAsia" w:ascii="宋体" w:hAnsi="宋体" w:eastAsia="宋体" w:cs="宋体"/>
          <w:bCs/>
          <w:sz w:val="32"/>
          <w:szCs w:val="32"/>
        </w:rPr>
        <w:t xml:space="preserve">JSZC-320281-JZCG-G2026-0028</w:t>
      </w:r>
      <w:r/>
    </w:p>
    <w:p>
      <w:pPr>
        <w:ind w:firstLine="964"/>
        <w:keepLines/>
        <w:keepNext/>
        <w:spacing w:line="360" w:lineRule="auto"/>
        <w:rPr>
          <w:rFonts w:hint="eastAsia" w:ascii="宋体" w:hAnsi="宋体" w:eastAsia="宋体" w:cs="Times New Roman"/>
          <w:bCs/>
          <w:sz w:val="32"/>
          <w:szCs w:val="32"/>
        </w:rPr>
        <w:outlineLvl w:val="1"/>
      </w:pPr>
      <w:r/>
      <w:bookmarkStart w:id="2" w:name="_Toc311189772"/>
      <w:r/>
      <w:bookmarkStart w:id="3"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hint="eastAsia" w:ascii="宋体" w:hAnsi="宋体" w:eastAsia="宋体" w:cs="Times New Roman"/>
          <w:bCs/>
          <w:sz w:val="48"/>
          <w:szCs w:val="24"/>
        </w:rPr>
      </w:pPr>
      <w:r>
        <w:rPr>
          <w:rFonts w:hint="eastAsia" w:ascii="宋体" w:hAnsi="宋体" w:eastAsia="宋体" w:cs="Times New Roman"/>
          <w:bCs/>
          <w:sz w:val="48"/>
          <w:szCs w:val="24"/>
        </w:rPr>
      </w:r>
      <w:r/>
    </w:p>
    <w:p>
      <w:pPr>
        <w:jc w:val="center"/>
        <w:rPr>
          <w:rFonts w:hint="eastAsia" w:ascii="宋体" w:hAnsi="宋体" w:eastAsia="宋体" w:cs="Times New Roman"/>
          <w:bCs/>
          <w:sz w:val="48"/>
          <w:szCs w:val="24"/>
        </w:rPr>
      </w:pPr>
      <w:r>
        <w:rPr>
          <w:rFonts w:hint="eastAsia" w:ascii="宋体" w:hAnsi="宋体" w:eastAsia="宋体" w:cs="Times New Roman"/>
          <w:bCs/>
          <w:sz w:val="48"/>
          <w:szCs w:val="24"/>
        </w:rPr>
      </w:r>
      <w:r/>
    </w:p>
    <w:p>
      <w:pPr>
        <w:jc w:val="center"/>
        <w:rPr>
          <w:rFonts w:hint="eastAsia" w:ascii="宋体" w:hAnsi="宋体" w:eastAsia="宋体" w:cs="Times New Roman"/>
          <w:bCs/>
          <w:sz w:val="48"/>
          <w:szCs w:val="24"/>
        </w:rPr>
      </w:pPr>
      <w:r>
        <w:rPr>
          <w:rFonts w:hint="eastAsia" w:ascii="宋体" w:hAnsi="宋体" w:eastAsia="宋体" w:cs="Times New Roman"/>
          <w:bCs/>
          <w:sz w:val="48"/>
          <w:szCs w:val="24"/>
        </w:rPr>
      </w:r>
      <w:r/>
    </w:p>
    <w:p>
      <w:pPr>
        <w:jc w:val="center"/>
        <w:rPr>
          <w:rFonts w:hint="eastAsia" w:ascii="宋体" w:hAnsi="宋体" w:eastAsia="宋体" w:cs="Times New Roman"/>
          <w:bCs/>
          <w:sz w:val="48"/>
          <w:szCs w:val="24"/>
        </w:rPr>
      </w:pPr>
      <w:r>
        <w:rPr>
          <w:rFonts w:hint="eastAsia" w:ascii="宋体" w:hAnsi="宋体" w:eastAsia="宋体" w:cs="Times New Roman"/>
          <w:bCs/>
          <w:sz w:val="48"/>
          <w:szCs w:val="24"/>
        </w:rPr>
      </w:r>
      <w:r/>
    </w:p>
    <w:p>
      <w:pPr>
        <w:jc w:val="center"/>
        <w:rPr>
          <w:rFonts w:hint="eastAsia"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二○二六年五月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870"/>
        <w:spacing w:line="600" w:lineRule="exact"/>
        <w:tabs>
          <w:tab w:val="right" w:pos="9402" w:leader="dot"/>
        </w:tabs>
        <w:rPr>
          <w:rFonts w:hint="eastAsia" w:ascii="宋体" w:hAnsi="宋体" w:eastAsia="宋体"/>
          <w:bCs w:val="0"/>
          <w:caps w:val="0"/>
          <w:sz w:val="30"/>
          <w:szCs w:val="30"/>
        </w:rPr>
      </w:pPr>
      <w:r>
        <w:rPr>
          <w:rFonts w:ascii="宋体" w:hAnsi="宋体" w:eastAsia="宋体" w:cs="Times New Roman"/>
          <w:b w:val="0"/>
          <w:bCs w:val="0"/>
          <w:sz w:val="30"/>
          <w:szCs w:val="30"/>
        </w:rPr>
        <w:fldChar w:fldCharType="begin"/>
      </w:r>
      <w:r>
        <w:rPr>
          <w:rFonts w:ascii="宋体" w:hAnsi="宋体" w:eastAsia="宋体" w:cs="Times New Roman"/>
          <w:b w:val="0"/>
          <w:bCs w:val="0"/>
          <w:sz w:val="30"/>
          <w:szCs w:val="30"/>
        </w:rPr>
        <w:instrText xml:space="preserve"> </w:instrText>
      </w:r>
      <w:r>
        <w:rPr>
          <w:rFonts w:hint="eastAsia" w:ascii="宋体" w:hAnsi="宋体" w:eastAsia="宋体" w:cs="Times New Roman"/>
          <w:b w:val="0"/>
          <w:bCs w:val="0"/>
          <w:sz w:val="30"/>
          <w:szCs w:val="30"/>
        </w:rPr>
        <w:instrText xml:space="preserve">TOC \o "1-1" \h \z \u</w:instrText>
      </w:r>
      <w:r>
        <w:rPr>
          <w:rFonts w:ascii="宋体" w:hAnsi="宋体" w:eastAsia="宋体" w:cs="Times New Roman"/>
          <w:b w:val="0"/>
          <w:bCs w:val="0"/>
          <w:sz w:val="30"/>
          <w:szCs w:val="30"/>
        </w:rPr>
        <w:instrText xml:space="preserve"> </w:instrText>
      </w:r>
      <w:r>
        <w:rPr>
          <w:rFonts w:ascii="宋体" w:hAnsi="宋体" w:eastAsia="宋体" w:cs="Times New Roman"/>
          <w:b w:val="0"/>
          <w:bCs w:val="0"/>
          <w:sz w:val="30"/>
          <w:szCs w:val="30"/>
        </w:rPr>
        <w:fldChar w:fldCharType="separate"/>
      </w:r>
      <w:r>
        <w:fldChar w:fldCharType="begin"/>
      </w:r>
      <w:r>
        <w:instrText xml:space="preserve"> HYPERLINK \l "_Toc213847313" </w:instrText>
      </w:r>
      <w:r>
        <w:fldChar w:fldCharType="separate"/>
      </w:r>
      <w:r>
        <w:rPr>
          <w:rStyle w:val="883"/>
          <w:rFonts w:hint="eastAsia" w:ascii="宋体" w:hAnsi="宋体" w:eastAsia="宋体"/>
          <w:color w:val="auto"/>
          <w:sz w:val="30"/>
          <w:szCs w:val="30"/>
        </w:rPr>
        <w:t xml:space="preserve">第一章　投标邀请</w:t>
      </w:r>
      <w:r>
        <w:rPr>
          <w:rFonts w:eastAsia="宋体"/>
          <w:sz w:val="30"/>
          <w:szCs w:val="30"/>
        </w:rPr>
        <w:tab/>
      </w:r>
      <w:r>
        <w:rPr>
          <w:rFonts w:eastAsia="宋体"/>
          <w:sz w:val="30"/>
          <w:szCs w:val="30"/>
        </w:rPr>
        <w:fldChar w:fldCharType="begin"/>
      </w:r>
      <w:r>
        <w:rPr>
          <w:rFonts w:eastAsia="宋体"/>
          <w:sz w:val="30"/>
          <w:szCs w:val="30"/>
        </w:rPr>
        <w:instrText xml:space="preserve"> PAGEREF _Toc213847313 \h </w:instrText>
      </w:r>
      <w:r>
        <w:rPr>
          <w:rFonts w:eastAsia="宋体"/>
          <w:sz w:val="30"/>
          <w:szCs w:val="30"/>
        </w:rPr>
        <w:fldChar w:fldCharType="separate"/>
      </w:r>
      <w:r>
        <w:rPr>
          <w:rFonts w:eastAsia="宋体"/>
          <w:sz w:val="30"/>
          <w:szCs w:val="30"/>
        </w:rPr>
        <w:t xml:space="preserve">2</w:t>
      </w:r>
      <w:r>
        <w:rPr>
          <w:rFonts w:eastAsia="宋体"/>
          <w:sz w:val="30"/>
          <w:szCs w:val="30"/>
        </w:rPr>
        <w:fldChar w:fldCharType="end"/>
      </w:r>
      <w:r>
        <w:rPr>
          <w:rFonts w:eastAsia="宋体"/>
          <w:sz w:val="30"/>
          <w:szCs w:val="30"/>
        </w:rPr>
        <w:fldChar w:fldCharType="end"/>
      </w:r>
      <w:r/>
    </w:p>
    <w:p>
      <w:pPr>
        <w:pStyle w:val="870"/>
        <w:spacing w:line="600" w:lineRule="exact"/>
        <w:tabs>
          <w:tab w:val="right" w:pos="9402" w:leader="dot"/>
        </w:tabs>
        <w:rPr>
          <w:rFonts w:hint="eastAsia" w:ascii="宋体" w:hAnsi="宋体" w:eastAsia="宋体"/>
          <w:bCs w:val="0"/>
          <w:caps w:val="0"/>
          <w:sz w:val="30"/>
          <w:szCs w:val="30"/>
        </w:rPr>
      </w:pPr>
      <w:r>
        <w:fldChar w:fldCharType="begin"/>
      </w:r>
      <w:r>
        <w:instrText xml:space="preserve"> HYPERLINK \l "_Toc213847314" </w:instrText>
      </w:r>
      <w:r>
        <w:fldChar w:fldCharType="separate"/>
      </w:r>
      <w:r>
        <w:rPr>
          <w:rStyle w:val="883"/>
          <w:rFonts w:hint="eastAsia" w:ascii="宋体" w:hAnsi="宋体" w:eastAsia="宋体"/>
          <w:color w:val="auto"/>
          <w:sz w:val="30"/>
          <w:szCs w:val="30"/>
        </w:rPr>
        <w:t xml:space="preserve">第二章　投标人须知</w:t>
      </w:r>
      <w:r>
        <w:rPr>
          <w:rFonts w:eastAsia="宋体"/>
          <w:sz w:val="30"/>
          <w:szCs w:val="30"/>
        </w:rPr>
        <w:tab/>
      </w:r>
      <w:r>
        <w:rPr>
          <w:rFonts w:eastAsia="宋体"/>
          <w:sz w:val="30"/>
          <w:szCs w:val="30"/>
        </w:rPr>
        <w:fldChar w:fldCharType="begin"/>
      </w:r>
      <w:r>
        <w:rPr>
          <w:rFonts w:eastAsia="宋体"/>
          <w:sz w:val="30"/>
          <w:szCs w:val="30"/>
        </w:rPr>
        <w:instrText xml:space="preserve"> PAGEREF _Toc213847314 \h </w:instrText>
      </w:r>
      <w:r>
        <w:rPr>
          <w:rFonts w:eastAsia="宋体"/>
          <w:sz w:val="30"/>
          <w:szCs w:val="30"/>
        </w:rPr>
        <w:fldChar w:fldCharType="separate"/>
      </w:r>
      <w:r>
        <w:rPr>
          <w:rFonts w:eastAsia="宋体"/>
          <w:sz w:val="30"/>
          <w:szCs w:val="30"/>
        </w:rPr>
        <w:t xml:space="preserve">5</w:t>
      </w:r>
      <w:r>
        <w:rPr>
          <w:rFonts w:eastAsia="宋体"/>
          <w:sz w:val="30"/>
          <w:szCs w:val="30"/>
        </w:rPr>
        <w:fldChar w:fldCharType="end"/>
      </w:r>
      <w:r>
        <w:rPr>
          <w:rFonts w:eastAsia="宋体"/>
          <w:sz w:val="30"/>
          <w:szCs w:val="30"/>
        </w:rPr>
        <w:fldChar w:fldCharType="end"/>
      </w:r>
      <w:r/>
    </w:p>
    <w:p>
      <w:pPr>
        <w:pStyle w:val="870"/>
        <w:spacing w:line="600" w:lineRule="exact"/>
        <w:tabs>
          <w:tab w:val="right" w:pos="9402" w:leader="dot"/>
        </w:tabs>
        <w:rPr>
          <w:rFonts w:hint="eastAsia" w:ascii="宋体" w:hAnsi="宋体" w:eastAsia="宋体"/>
          <w:bCs w:val="0"/>
          <w:caps w:val="0"/>
          <w:sz w:val="30"/>
          <w:szCs w:val="30"/>
        </w:rPr>
      </w:pPr>
      <w:r>
        <w:fldChar w:fldCharType="begin"/>
      </w:r>
      <w:r>
        <w:instrText xml:space="preserve"> HYPERLINK \l "_Toc213847315" </w:instrText>
      </w:r>
      <w:r>
        <w:fldChar w:fldCharType="separate"/>
      </w:r>
      <w:r>
        <w:rPr>
          <w:rStyle w:val="883"/>
          <w:rFonts w:hint="eastAsia" w:ascii="宋体" w:hAnsi="宋体" w:eastAsia="宋体"/>
          <w:color w:val="auto"/>
          <w:sz w:val="30"/>
          <w:szCs w:val="30"/>
        </w:rPr>
        <w:t xml:space="preserve">第三章　项目要求和有关说明</w:t>
      </w:r>
      <w:r>
        <w:rPr>
          <w:rFonts w:eastAsia="宋体"/>
          <w:sz w:val="30"/>
          <w:szCs w:val="30"/>
        </w:rPr>
        <w:tab/>
      </w:r>
      <w:r>
        <w:rPr>
          <w:rFonts w:eastAsia="宋体"/>
          <w:sz w:val="30"/>
          <w:szCs w:val="30"/>
        </w:rPr>
        <w:fldChar w:fldCharType="begin"/>
      </w:r>
      <w:r>
        <w:rPr>
          <w:rFonts w:eastAsia="宋体"/>
          <w:sz w:val="30"/>
          <w:szCs w:val="30"/>
        </w:rPr>
        <w:instrText xml:space="preserve"> PAGEREF _Toc213847315 \h </w:instrText>
      </w:r>
      <w:r>
        <w:rPr>
          <w:rFonts w:eastAsia="宋体"/>
          <w:sz w:val="30"/>
          <w:szCs w:val="30"/>
        </w:rPr>
        <w:fldChar w:fldCharType="separate"/>
      </w:r>
      <w:r>
        <w:rPr>
          <w:rFonts w:eastAsia="宋体"/>
          <w:sz w:val="30"/>
          <w:szCs w:val="30"/>
        </w:rPr>
        <w:t xml:space="preserve">18</w:t>
      </w:r>
      <w:r>
        <w:rPr>
          <w:rFonts w:eastAsia="宋体"/>
          <w:sz w:val="30"/>
          <w:szCs w:val="30"/>
        </w:rPr>
        <w:fldChar w:fldCharType="end"/>
      </w:r>
      <w:r>
        <w:rPr>
          <w:rFonts w:eastAsia="宋体"/>
          <w:sz w:val="30"/>
          <w:szCs w:val="30"/>
        </w:rPr>
        <w:fldChar w:fldCharType="end"/>
      </w:r>
      <w:r/>
    </w:p>
    <w:p>
      <w:pPr>
        <w:pStyle w:val="870"/>
        <w:spacing w:line="600" w:lineRule="exact"/>
        <w:tabs>
          <w:tab w:val="right" w:pos="9402" w:leader="dot"/>
        </w:tabs>
        <w:rPr>
          <w:rFonts w:hint="eastAsia" w:ascii="宋体" w:hAnsi="宋体" w:eastAsia="宋体"/>
          <w:bCs w:val="0"/>
          <w:caps w:val="0"/>
          <w:sz w:val="30"/>
          <w:szCs w:val="30"/>
        </w:rPr>
      </w:pPr>
      <w:r>
        <w:fldChar w:fldCharType="begin"/>
      </w:r>
      <w:r>
        <w:instrText xml:space="preserve"> HYPERLINK \l "_Toc213847316" </w:instrText>
      </w:r>
      <w:r>
        <w:fldChar w:fldCharType="separate"/>
      </w:r>
      <w:r>
        <w:rPr>
          <w:rStyle w:val="883"/>
          <w:rFonts w:hint="eastAsia" w:ascii="宋体" w:hAnsi="宋体" w:eastAsia="宋体"/>
          <w:color w:val="auto"/>
          <w:sz w:val="30"/>
          <w:szCs w:val="30"/>
        </w:rPr>
        <w:t xml:space="preserve">第四章</w:t>
      </w:r>
      <w:r>
        <w:rPr>
          <w:rStyle w:val="883"/>
          <w:rFonts w:ascii="宋体" w:hAnsi="宋体" w:eastAsia="宋体"/>
          <w:color w:val="auto"/>
          <w:sz w:val="30"/>
          <w:szCs w:val="30"/>
        </w:rPr>
        <w:t xml:space="preserve">  </w:t>
      </w:r>
      <w:r>
        <w:rPr>
          <w:rStyle w:val="883"/>
          <w:rFonts w:hint="eastAsia" w:ascii="宋体" w:hAnsi="宋体" w:eastAsia="宋体"/>
          <w:color w:val="auto"/>
          <w:sz w:val="30"/>
          <w:szCs w:val="30"/>
        </w:rPr>
        <w:t xml:space="preserve">评标方法和评标标准</w:t>
      </w:r>
      <w:r>
        <w:rPr>
          <w:rFonts w:eastAsia="宋体"/>
          <w:sz w:val="30"/>
          <w:szCs w:val="30"/>
        </w:rPr>
        <w:tab/>
      </w:r>
      <w:r>
        <w:rPr>
          <w:rFonts w:eastAsia="宋体"/>
          <w:sz w:val="30"/>
          <w:szCs w:val="30"/>
        </w:rPr>
        <w:fldChar w:fldCharType="begin"/>
      </w:r>
      <w:r>
        <w:rPr>
          <w:rFonts w:eastAsia="宋体"/>
          <w:sz w:val="30"/>
          <w:szCs w:val="30"/>
        </w:rPr>
        <w:instrText xml:space="preserve"> PAGEREF _Toc213847316 \h </w:instrText>
      </w:r>
      <w:r>
        <w:rPr>
          <w:rFonts w:eastAsia="宋体"/>
          <w:sz w:val="30"/>
          <w:szCs w:val="30"/>
        </w:rPr>
        <w:fldChar w:fldCharType="separate"/>
      </w:r>
      <w:r>
        <w:rPr>
          <w:rFonts w:eastAsia="宋体"/>
          <w:sz w:val="30"/>
          <w:szCs w:val="30"/>
        </w:rPr>
        <w:t xml:space="preserve">43</w:t>
      </w:r>
      <w:r>
        <w:rPr>
          <w:rFonts w:eastAsia="宋体"/>
          <w:sz w:val="30"/>
          <w:szCs w:val="30"/>
        </w:rPr>
        <w:fldChar w:fldCharType="end"/>
      </w:r>
      <w:r>
        <w:rPr>
          <w:rFonts w:eastAsia="宋体"/>
          <w:sz w:val="30"/>
          <w:szCs w:val="30"/>
        </w:rPr>
        <w:fldChar w:fldCharType="end"/>
      </w:r>
      <w:r/>
    </w:p>
    <w:p>
      <w:pPr>
        <w:pStyle w:val="870"/>
        <w:spacing w:line="600" w:lineRule="exact"/>
        <w:tabs>
          <w:tab w:val="right" w:pos="9402" w:leader="dot"/>
        </w:tabs>
        <w:rPr>
          <w:rFonts w:hint="eastAsia" w:ascii="宋体" w:hAnsi="宋体" w:eastAsia="宋体"/>
          <w:bCs w:val="0"/>
          <w:caps w:val="0"/>
          <w:sz w:val="30"/>
          <w:szCs w:val="30"/>
        </w:rPr>
      </w:pPr>
      <w:r>
        <w:fldChar w:fldCharType="begin"/>
      </w:r>
      <w:r>
        <w:instrText xml:space="preserve"> HYPERLINK \l "_Toc213847317" </w:instrText>
      </w:r>
      <w:r>
        <w:fldChar w:fldCharType="separate"/>
      </w:r>
      <w:r>
        <w:rPr>
          <w:rStyle w:val="883"/>
          <w:rFonts w:hint="eastAsia" w:ascii="宋体" w:hAnsi="宋体" w:eastAsia="宋体"/>
          <w:color w:val="auto"/>
          <w:sz w:val="30"/>
          <w:szCs w:val="30"/>
        </w:rPr>
        <w:t xml:space="preserve">第五章　合同书（格式）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_Toc213847317 \h </w:instrText>
      </w:r>
      <w:r>
        <w:rPr>
          <w:rFonts w:eastAsia="宋体"/>
          <w:sz w:val="30"/>
          <w:szCs w:val="30"/>
        </w:rPr>
        <w:fldChar w:fldCharType="separate"/>
      </w:r>
      <w:r>
        <w:rPr>
          <w:rFonts w:eastAsia="宋体"/>
          <w:sz w:val="30"/>
          <w:szCs w:val="30"/>
        </w:rPr>
        <w:t xml:space="preserve">47</w:t>
      </w:r>
      <w:r>
        <w:rPr>
          <w:rFonts w:eastAsia="宋体"/>
          <w:sz w:val="30"/>
          <w:szCs w:val="30"/>
        </w:rPr>
        <w:fldChar w:fldCharType="end"/>
      </w:r>
      <w:r>
        <w:rPr>
          <w:rFonts w:eastAsia="宋体"/>
          <w:sz w:val="30"/>
          <w:szCs w:val="30"/>
        </w:rPr>
        <w:fldChar w:fldCharType="end"/>
      </w:r>
      <w:r/>
    </w:p>
    <w:p>
      <w:pPr>
        <w:pStyle w:val="870"/>
        <w:spacing w:line="600" w:lineRule="exact"/>
        <w:tabs>
          <w:tab w:val="right" w:pos="9402" w:leader="dot"/>
        </w:tabs>
        <w:rPr>
          <w:rFonts w:hint="eastAsia" w:ascii="宋体" w:hAnsi="宋体" w:eastAsia="宋体"/>
          <w:b w:val="0"/>
          <w:bCs w:val="0"/>
          <w:caps w:val="0"/>
          <w:sz w:val="30"/>
          <w:szCs w:val="30"/>
        </w:rPr>
      </w:pPr>
      <w:r>
        <w:fldChar w:fldCharType="begin"/>
      </w:r>
      <w:r>
        <w:instrText xml:space="preserve"> HYPERLINK \l "_Toc213847318" </w:instrText>
      </w:r>
      <w:r>
        <w:fldChar w:fldCharType="separate"/>
      </w:r>
      <w:r>
        <w:rPr>
          <w:rStyle w:val="883"/>
          <w:rFonts w:hint="eastAsia" w:ascii="宋体" w:hAnsi="宋体" w:eastAsia="宋体"/>
          <w:color w:val="auto"/>
          <w:sz w:val="30"/>
          <w:szCs w:val="30"/>
        </w:rPr>
        <w:t xml:space="preserve">第六章　投标文件的组成和格式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_Toc213847318 \h </w:instrText>
      </w:r>
      <w:r>
        <w:rPr>
          <w:rFonts w:eastAsia="宋体"/>
          <w:sz w:val="30"/>
          <w:szCs w:val="30"/>
        </w:rPr>
        <w:fldChar w:fldCharType="separate"/>
      </w:r>
      <w:r>
        <w:rPr>
          <w:rFonts w:eastAsia="宋体"/>
          <w:sz w:val="30"/>
          <w:szCs w:val="30"/>
        </w:rPr>
        <w:t xml:space="preserve">51</w:t>
      </w:r>
      <w:r>
        <w:rPr>
          <w:rFonts w:eastAsia="宋体"/>
          <w:sz w:val="30"/>
          <w:szCs w:val="30"/>
        </w:rPr>
        <w:fldChar w:fldCharType="end"/>
      </w:r>
      <w:r>
        <w:rPr>
          <w:rFonts w:eastAsia="宋体"/>
          <w:sz w:val="30"/>
          <w:szCs w:val="30"/>
        </w:rPr>
        <w:fldChar w:fldCharType="end"/>
      </w:r>
      <w:r/>
    </w:p>
    <w:p>
      <w:pPr>
        <w:pStyle w:val="876"/>
        <w:spacing w:before="120" w:after="120" w:line="600" w:lineRule="exact"/>
        <w:sectPr>
          <w:footerReference w:type="even" r:id="rId11"/>
          <w:footnotePr/>
          <w:endnotePr/>
          <w:type w:val="nextPage"/>
          <w:pgSz w:w="11906" w:h="16838" w:orient="portrait"/>
          <w:pgMar w:top="1247" w:right="1247" w:bottom="1247" w:left="1247" w:header="680" w:footer="992" w:gutter="0"/>
          <w:pgNumType w:start="1"/>
          <w:cols w:num="1" w:sep="0" w:space="720" w:equalWidth="1"/>
          <w:docGrid w:linePitch="360"/>
        </w:sectPr>
      </w:pPr>
      <w:r>
        <w:rPr>
          <w:rFonts w:ascii="宋体" w:hAnsi="宋体" w:eastAsia="宋体" w:cs="Times New Roman"/>
          <w:szCs w:val="30"/>
        </w:rPr>
        <w:fldChar w:fldCharType="end"/>
      </w:r>
      <w:bookmarkStart w:id="4" w:name="_Toc166593357"/>
      <w:r/>
      <w:bookmarkStart w:id="5" w:name="_Toc166593155"/>
      <w:r/>
      <w:r/>
    </w:p>
    <w:p>
      <w:pPr>
        <w:pStyle w:val="876"/>
      </w:pPr>
      <w:r/>
      <w:r/>
    </w:p>
    <w:p>
      <w:pPr>
        <w:pStyle w:val="876"/>
      </w:pPr>
      <w:r/>
      <w:bookmarkStart w:id="6" w:name="_Toc213847313"/>
      <w:r>
        <w:rPr>
          <w:rFonts w:hint="eastAsia"/>
        </w:rPr>
        <w:t xml:space="preserve">第一章　投标邀请</w:t>
      </w:r>
      <w:bookmarkEnd w:id="4"/>
      <w:r/>
      <w:bookmarkEnd w:id="5"/>
      <w:r/>
      <w:bookmarkEnd w:id="6"/>
      <w:r/>
      <w:r/>
    </w:p>
    <w:p>
      <w:pPr>
        <w:jc w:val="center"/>
        <w:spacing w:line="400" w:lineRule="exact"/>
        <w:rPr>
          <w:rFonts w:hint="eastAsia" w:ascii="宋体" w:hAnsi="宋体" w:eastAsia="宋体" w:cs="Times New Roman"/>
          <w:b/>
          <w:bCs/>
          <w:sz w:val="24"/>
          <w:szCs w:val="24"/>
        </w:rPr>
        <w:outlineLvl w:val="0"/>
      </w:pPr>
      <w:r>
        <w:rPr>
          <w:rFonts w:hint="eastAsia" w:ascii="宋体" w:hAnsi="宋体" w:eastAsia="宋体" w:cs="Times New Roman"/>
          <w:b/>
          <w:bCs/>
          <w:sz w:val="24"/>
          <w:szCs w:val="24"/>
        </w:rPr>
      </w:r>
      <w:r/>
    </w:p>
    <w:p>
      <w:pPr>
        <w:spacing w:line="400" w:lineRule="exact"/>
        <w:rPr>
          <w:rFonts w:hint="eastAsia"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hint="eastAsia"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rPr>
        <w:t xml:space="preserve">智慧中医院医共体建设项目</w:t>
      </w:r>
      <w:r>
        <w:rPr>
          <w:rFonts w:hint="eastAsia" w:ascii="宋体" w:hAnsi="宋体" w:eastAsia="宋体" w:cs="Times New Roman"/>
          <w:bCs/>
          <w:sz w:val="24"/>
          <w:szCs w:val="24"/>
        </w:rPr>
        <w:t xml:space="preserve">JSZC-320281-JZCG-G2026-0028</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江苏省政府采购（苏采云）平台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ascii="宋体" w:hAnsi="宋体" w:eastAsia="宋体" w:cs="Times New Roman"/>
          <w:sz w:val="24"/>
          <w:szCs w:val="24"/>
        </w:rPr>
        <w:t xml:space="preserve">06-16</w:t>
      </w:r>
      <w:r>
        <w:rPr>
          <w:rFonts w:hint="eastAsia" w:ascii="宋体" w:hAnsi="宋体" w:eastAsia="宋体" w:cs="Times New Roman"/>
          <w:sz w:val="24"/>
          <w:szCs w:val="24"/>
        </w:rPr>
        <w:t xml:space="preserve">  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hint="eastAsia" w:ascii="宋体" w:hAnsi="宋体" w:eastAsia="宋体" w:cs="Times New Roman"/>
          <w:b/>
          <w:sz w:val="24"/>
          <w:szCs w:val="24"/>
        </w:rPr>
      </w:pPr>
      <w:r/>
      <w:bookmarkStart w:id="7" w:name="_Toc166593156"/>
      <w:r/>
      <w:bookmarkStart w:id="8" w:name="_Toc166593358"/>
      <w:r/>
      <w:r/>
    </w:p>
    <w:p>
      <w:pPr>
        <w:spacing w:line="400" w:lineRule="exact"/>
        <w:rPr>
          <w:rFonts w:hint="eastAsia"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项目编号：</w:t>
      </w:r>
      <w:r>
        <w:rPr>
          <w:rFonts w:hint="eastAsia" w:ascii="宋体" w:hAnsi="宋体" w:eastAsia="宋体" w:cs="Times New Roman"/>
          <w:bCs/>
          <w:sz w:val="24"/>
          <w:szCs w:val="24"/>
        </w:rPr>
        <w:t xml:space="preserve">JSZC-320281-JZCG-G2026-0028</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项目名称：</w:t>
      </w:r>
      <w:r>
        <w:rPr>
          <w:rFonts w:hint="eastAsia" w:ascii="宋体" w:hAnsi="宋体" w:eastAsia="宋体" w:cs="Times New Roman"/>
          <w:sz w:val="24"/>
          <w:szCs w:val="24"/>
        </w:rPr>
        <w:t xml:space="preserve">智慧中医院医共体建设项目</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600万元</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最高限价：</w:t>
      </w:r>
      <w:r>
        <w:rPr>
          <w:rFonts w:hint="eastAsia" w:ascii="宋体" w:hAnsi="宋体" w:eastAsia="宋体" w:cs="Times New Roman"/>
          <w:sz w:val="24"/>
          <w:szCs w:val="24"/>
        </w:rPr>
        <w:t xml:space="preserve">600万元</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hint="eastAsia"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本项目为江阴市中医院的智慧中医院医共体建设项目</w:t>
      </w:r>
      <w:r>
        <w:rPr>
          <w:rFonts w:hint="eastAsia" w:ascii="宋体" w:hAnsi="宋体" w:eastAsia="宋体" w:cs="Times New Roman"/>
          <w:sz w:val="24"/>
          <w:szCs w:val="28"/>
        </w:rPr>
        <w:t xml:space="preserve">。</w:t>
      </w:r>
      <w:r>
        <w:rPr>
          <w:rFonts w:hint="eastAsia" w:ascii="宋体" w:hAnsi="宋体" w:eastAsia="宋体" w:cs="Times New Roman"/>
          <w:bCs/>
          <w:sz w:val="24"/>
          <w:szCs w:val="24"/>
        </w:rPr>
        <w:t xml:space="preserve">（详见招标文件）</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详见招标文件</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：否</w:t>
      </w:r>
      <w:r/>
    </w:p>
    <w:p>
      <w:pPr>
        <w:spacing w:line="400" w:lineRule="exact"/>
        <w:rPr>
          <w:rFonts w:hint="eastAsia"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2.法定代表人授权委托书（法定代表人签署投标/响应文件且亲自参与的必须提供《法定代表人亲自投标/磋商/谈判/询价声明》）</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3.未被“信用中国”网站列入失信被执行人、重大税收违法失信主体、政府采购严重违法失信行为信息记录名单（无需提供证明材料）</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项目不专门面向中小微企业采购，执行价格扣除优惠政策，对小微企业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sz w:val="24"/>
        </w:rPr>
        <w:t xml:space="preserve">无</w:t>
      </w:r>
      <w:r>
        <w:rPr>
          <w:rFonts w:hint="eastAsia" w:ascii="宋体" w:hAnsi="宋体" w:eastAsia="宋体" w:cs="Times New Roman"/>
          <w:sz w:val="24"/>
          <w:szCs w:val="24"/>
        </w:rPr>
        <w:t xml:space="preserve">。</w:t>
      </w:r>
      <w:r/>
    </w:p>
    <w:p>
      <w:pPr>
        <w:spacing w:line="400" w:lineRule="exact"/>
        <w:rPr>
          <w:rFonts w:hint="eastAsia"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请有参加意向的供应商在采购文件有效获取期内及时登录江苏省政府采购（苏采云）平台下载获取。在采购文件有效获取期限内，从江苏省政府采购（苏采云）平台获取的采购文件，视为依法获取的采购文件。</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hint="eastAsia"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ascii="宋体" w:hAnsi="宋体" w:eastAsia="宋体" w:cs="Times New Roman"/>
          <w:sz w:val="24"/>
          <w:szCs w:val="24"/>
        </w:rPr>
        <w:t xml:space="preserve">06-16</w:t>
      </w:r>
      <w:r>
        <w:rPr>
          <w:rFonts w:hint="eastAsia" w:ascii="宋体" w:hAnsi="宋体" w:eastAsia="宋体" w:cs="Times New Roman"/>
          <w:sz w:val="24"/>
          <w:szCs w:val="24"/>
        </w:rPr>
        <w:t xml:space="preserve">   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0（北京时间） </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spacing w:line="400" w:lineRule="exact"/>
        <w:rPr>
          <w:rFonts w:hint="eastAsia"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hint="eastAsia"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（2）办理“意源”CA数字证书和“方正”电子签章（办理地址：无锡市滨湖区观山路199号12号楼二楼9号、10号窗口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2.完成苏采云注册的供应商方可在苏采云中进行CA绑定。登录“江苏省政府采购（苏采云）平台”，插入CA后，点击【账号设置】——【绑定CA】。</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技术服务电话：0510-88027623（服务时间：工作日 8:30-11:00,13:00-17:00）</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hint="eastAsia"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江阴市中医院</w:t>
      </w:r>
      <w:r/>
    </w:p>
    <w:p>
      <w:pPr>
        <w:ind w:firstLine="480"/>
        <w:jc w:val="left"/>
        <w:spacing w:line="400" w:lineRule="exact"/>
        <w:rPr>
          <w:rFonts w:hint="eastAsia" w:ascii="宋体" w:hAnsi="宋体" w:eastAsia="宋体" w:cs="Times New Roman"/>
          <w:sz w:val="24"/>
          <w:szCs w:val="28"/>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地址：江阴市工农路100号</w:t>
      </w:r>
      <w:r/>
    </w:p>
    <w:p>
      <w:pPr>
        <w:ind w:firstLine="480"/>
        <w:jc w:val="left"/>
        <w:spacing w:line="400" w:lineRule="exact"/>
        <w:rPr>
          <w:rFonts w:hint="eastAsia" w:ascii="宋体" w:hAnsi="宋体" w:eastAsia="宋体" w:cs="Times New Roman"/>
          <w:sz w:val="24"/>
          <w:szCs w:val="28"/>
        </w:rPr>
      </w:pPr>
      <w:r>
        <w:rPr>
          <w:rFonts w:hint="eastAsia" w:ascii="宋体" w:hAnsi="宋体" w:eastAsia="宋体" w:cs="Times New Roman"/>
          <w:sz w:val="24"/>
          <w:szCs w:val="28"/>
        </w:rPr>
        <w:t xml:space="preserve">项目联系人：王先生</w:t>
      </w:r>
      <w:r/>
    </w:p>
    <w:p>
      <w:pPr>
        <w:ind w:firstLine="480"/>
        <w:jc w:val="left"/>
        <w:spacing w:line="400" w:lineRule="exact"/>
        <w:rPr>
          <w:rFonts w:hint="eastAsia" w:ascii="宋体" w:hAnsi="宋体" w:eastAsia="宋体" w:cs="Times New Roman"/>
          <w:sz w:val="24"/>
          <w:szCs w:val="28"/>
        </w:rPr>
      </w:pPr>
      <w:r>
        <w:rPr>
          <w:rFonts w:hint="eastAsia" w:ascii="宋体" w:hAnsi="宋体" w:eastAsia="宋体" w:cs="Times New Roman"/>
          <w:sz w:val="24"/>
          <w:szCs w:val="28"/>
        </w:rPr>
        <w:t xml:space="preserve">联系电话：0510-86703018</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周先生 </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rPr>
        <w:t xml:space="preserve">20</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项目联系人：</w:t>
      </w:r>
      <w:r>
        <w:rPr>
          <w:rFonts w:hint="eastAsia" w:ascii="宋体" w:hAnsi="宋体" w:eastAsia="宋体" w:cs="Times New Roman"/>
          <w:sz w:val="24"/>
          <w:szCs w:val="24"/>
        </w:rPr>
        <w:t xml:space="preserve">周先生</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20</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00" w:lineRule="exact"/>
        <w:rPr>
          <w:rFonts w:hint="eastAsia"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sz w:val="24"/>
          <w:szCs w:val="24"/>
        </w:rPr>
      </w:r>
      <w:r/>
    </w:p>
    <w:p>
      <w:pPr>
        <w:pStyle w:val="876"/>
      </w:pPr>
      <w:r/>
      <w:r/>
    </w:p>
    <w:p>
      <w:pPr>
        <w:pStyle w:val="876"/>
      </w:pPr>
      <w:r/>
      <w:bookmarkStart w:id="9" w:name="_Toc213847314"/>
      <w:r>
        <w:rPr>
          <w:rFonts w:hint="eastAsia"/>
        </w:rPr>
        <w:t xml:space="preserve">第二章　</w:t>
      </w:r>
      <w:r>
        <w:rPr>
          <w:rFonts w:hint="eastAsia" w:hAnsi="宋体"/>
        </w:rPr>
        <w:t xml:space="preserve">投标人</w:t>
      </w:r>
      <w:r>
        <w:rPr>
          <w:rFonts w:hint="eastAsia"/>
        </w:rPr>
        <w:t xml:space="preserve">须知</w:t>
      </w:r>
      <w:bookmarkEnd w:id="7"/>
      <w:r/>
      <w:bookmarkEnd w:id="8"/>
      <w:r/>
      <w:bookmarkEnd w:id="9"/>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江苏省政府采购（苏采云）平台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分项报价表；</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bCs/>
          <w:sz w:val="24"/>
          <w:szCs w:val="24"/>
        </w:rPr>
        <w:t xml:space="preserve">（5）</w:t>
      </w:r>
      <w:r>
        <w:rPr>
          <w:rFonts w:hint="eastAsia" w:ascii="宋体" w:hAnsi="宋体" w:eastAsia="宋体" w:cs="Times New Roman"/>
          <w:b/>
          <w:sz w:val="24"/>
          <w:szCs w:val="24"/>
        </w:rPr>
        <w:t xml:space="preserve">*</w:t>
      </w:r>
      <w:r>
        <w:rPr>
          <w:rFonts w:hint="eastAsia" w:ascii="宋体" w:hAnsi="宋体" w:eastAsia="宋体" w:cs="Times New Roman"/>
          <w:bCs/>
          <w:sz w:val="24"/>
          <w:szCs w:val="24"/>
        </w:rPr>
        <w:t xml:space="preserve">第三章实质性要求中须提供的证书/承诺函等证明材料；</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sz w:val="24"/>
          <w:szCs w:val="24"/>
        </w:rPr>
        <w:t xml:space="preserve">（6）</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hint="eastAsia"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（法定代表人签署投标文件且亲自参与的必须提供《法定代表人亲自投标声明》）</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sz w:val="24"/>
          <w:szCs w:val="28"/>
        </w:rPr>
        <w:t xml:space="preserve">（7）投标人</w:t>
      </w:r>
      <w:r>
        <w:rPr>
          <w:rFonts w:ascii="宋体" w:hAnsi="宋体" w:eastAsia="宋体" w:cs="Times New Roman"/>
          <w:sz w:val="24"/>
          <w:szCs w:val="28"/>
        </w:rPr>
        <w:t xml:space="preserve">认为需要提供的其他证明文件</w:t>
      </w:r>
      <w:r/>
    </w:p>
    <w:p>
      <w:pPr>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hint="eastAsia"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③提供以人事代理、控股子公司等代收代缴形式缴纳社保的证明的，属于无效证明文件。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④投标文件构成资料为非中文时应提供中文译版。</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⑥联合体投标的，由联合体牵头单位编制、提交投标文件。</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⑦本项目不接受纸质投标文件。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苏采云平台中免费下载文件（“项目参与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将苏采云平台中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（后缀名为“.kedt”）</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采用远程不见面交易模式。通过不见面交易系统及相应的配套硬件设备（摄像头、话筒、麦克风等）完成远程解密、开标现场异议及回复、开标唱标、等交互环节。相关要求和说明如下：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hint="eastAsia"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6、投标文件内容未实质性响应或不符合法律法规和招标文件中规定的其它实质性要求的；</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8、不响应招标文件中的付款方式的；</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9、苏采云平台中不同投标单位的MAC地址一致或标书制作工具客户端标识码一致的；</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10、其他法律、法规及本招标文件规定的属无效投标的情形。</w:t>
      </w:r>
      <w:r/>
    </w:p>
    <w:p>
      <w:pPr>
        <w:ind w:firstLine="482"/>
        <w:spacing w:line="400" w:lineRule="exact"/>
        <w:tabs>
          <w:tab w:val="left" w:pos="1050" w:leader="none"/>
        </w:tabs>
        <w:rPr>
          <w:rFonts w:hint="eastAsia"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（1）依据法律法规和招标文件的规定，资格审查小组对投标文件组成中的资格证明文件（文件1-文件2）等进行审查，以确定投标单位是否具备投标资格。</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接受联合体的项目，两个以上的自然人、法人或者其他组织组成一个联合体，以一个投标单位的身份共同参加政府采购活动的，联合体成员存在不良信用记录的，视同联合体存在不良信用记录。</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（a）投标文件载明的采购项目的完成期限超过招标文件规定的期限</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（b）投标文件严重背离招标文件中确定的技术功能要求</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（c）投标文件附有采购人不能接受的商务条件</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（d）不符合招标文件中规定的其他实质性要求</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确定投标文件的响应性只根据投标文件本身的内容，而不寻求外部证据。</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3、评标方法：具体办法和标准详见招标文件第四章《评标方法和评标标准》。</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对于投标文件中含义不明确、同类问题表述不一致或者有明显文字和计算错误的内容，评标委员会应当以书面形式要求投标人作出必要的澄清、说明或者补正。</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投标人的澄清、说明或者补正应当采用书面形式，并加盖公章，或者由法定代表人或其授权</w:t>
      </w:r>
      <w:r>
        <w:rPr>
          <w:rFonts w:hint="eastAsia" w:ascii="宋体" w:hAnsi="宋体" w:eastAsia="宋体" w:cs="Times New Roman"/>
          <w:sz w:val="24"/>
          <w:szCs w:val="24"/>
        </w:rPr>
        <w:t xml:space="preserve">委托人</w:t>
      </w:r>
      <w:r>
        <w:rPr>
          <w:rFonts w:ascii="宋体" w:hAnsi="宋体" w:eastAsia="宋体" w:cs="Times New Roman"/>
          <w:sz w:val="24"/>
          <w:szCs w:val="24"/>
        </w:rPr>
        <w:t xml:space="preserve">签字。投标人的澄清、说明或者补正不得超出投标文件的范围或者改变投标文件的实质性内容。</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（c）投标（响应）报价低于采购项目最高限价45%的，即投标（响应）报价&lt;采购项目最高限价×45%；</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（d）评审委员会基于专业判断，认为供应商报价过低，有可能影响产品质量或者不能诚信履约的其他情形。</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评审委员会借助互联网等渠道查询相关信息的，应当严格遵守评审工作纪律，不得实施影响评审公正的行为。</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第一中标候选单位，采购人确定为中标单位。</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投标单位质疑按《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3、投标单位提出质疑应当提交质疑函和必要的证明材料。质疑函应当包括下列内容： </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（7）质疑人以联合体形式参加采购活动的，其质疑应由组成联合体的所有供应商共同提出。</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r/>
    </w:p>
    <w:p>
      <w:pPr>
        <w:ind w:firstLine="480"/>
        <w:spacing w:line="400" w:lineRule="exact"/>
        <w:rPr>
          <w:rFonts w:hint="eastAsia"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u w:val="single"/>
        </w:rPr>
        <w:t xml:space="preserve">采购人收件人：王先生  收件地址：江阴市工农路100号  收件电话：0510-86703018 </w:t>
      </w:r>
      <w:r>
        <w:rPr>
          <w:rFonts w:hint="eastAsia" w:ascii="宋体" w:hAnsi="宋体" w:eastAsia="宋体" w:cs="Times New Roman"/>
          <w:sz w:val="24"/>
          <w:szCs w:val="24"/>
        </w:rPr>
        <w:t xml:space="preserve"> </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u w:val="single"/>
        </w:rPr>
        <w:t xml:space="preserve">采购中心收件人：张先生  收件地址：江阴市长江路188号江阴市政务服务中心619、621室  收件电话：18961621156</w:t>
      </w:r>
      <w:r/>
    </w:p>
    <w:p>
      <w:pPr>
        <w:ind w:firstLine="482"/>
        <w:spacing w:line="400" w:lineRule="exact"/>
        <w:rPr>
          <w:rFonts w:hint="eastAsia"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hint="eastAsia"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9、采购人、采购中心将在收到投标单位的有效书面质疑函后七个工作日内作出答复，并以书面形式通知质疑投标单位和其他有关投标单位，但答复的内容不得涉及商业秘密。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1、符合专业条件的投标人或者对招标文件作出实质性响应的投标人不足三家的；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采购单位按照采购合同约定及时退还履约保证金，不计利息。</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十六、政策功能（包括但不限于下列具体政策要求）：</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lang w:val="zh-CN"/>
        </w:rPr>
        <w:t xml:space="preserve">1、根据《财政部、工业和信息化部关于印发《政府采购促进中小企业发展管理办法》的通知》（财库</w:t>
      </w:r>
      <w:r>
        <w:rPr>
          <w:rFonts w:hint="eastAsia" w:ascii="宋体" w:hAnsi="宋体" w:eastAsia="宋体" w:cs="Times New Roman"/>
          <w:sz w:val="24"/>
          <w:szCs w:val="24"/>
        </w:rPr>
        <w:t xml:space="preserve">[2020]</w:t>
      </w:r>
      <w:r>
        <w:rPr>
          <w:rFonts w:hint="eastAsia" w:ascii="宋体" w:hAnsi="宋体" w:eastAsia="宋体" w:cs="Times New Roman"/>
          <w:sz w:val="24"/>
          <w:szCs w:val="24"/>
          <w:lang w:val="zh-CN"/>
        </w:rPr>
        <w:t xml:space="preserve">46号）的规定，符合《政府采购促进中小企业发展管理办法》第四条所述情形的小型、微型企业参加本项目</w:t>
      </w:r>
      <w:r>
        <w:rPr>
          <w:rFonts w:hint="eastAsia" w:ascii="宋体" w:hAnsi="宋体" w:eastAsia="宋体" w:cs="Times New Roman"/>
          <w:sz w:val="24"/>
          <w:szCs w:val="24"/>
        </w:rPr>
        <w:t xml:space="preserve">，给予20%的价格扣除，用扣除后的价格参与评审。参加投标的</w:t>
      </w:r>
      <w:r>
        <w:rPr>
          <w:rFonts w:hint="eastAsia" w:ascii="宋体" w:hAnsi="宋体" w:eastAsia="宋体" w:cs="Times New Roman"/>
          <w:sz w:val="24"/>
          <w:szCs w:val="24"/>
          <w:lang w:val="zh-CN"/>
        </w:rPr>
        <w:t xml:space="preserve">小型、微型企业</w:t>
      </w:r>
      <w:r>
        <w:rPr>
          <w:rFonts w:hint="eastAsia" w:ascii="宋体" w:hAnsi="宋体" w:eastAsia="宋体" w:cs="Times New Roman"/>
          <w:sz w:val="24"/>
          <w:szCs w:val="24"/>
        </w:rPr>
        <w:t xml:space="preserve">，应当出具</w:t>
      </w:r>
      <w:r>
        <w:rPr>
          <w:rFonts w:hint="eastAsia" w:ascii="宋体" w:hAnsi="宋体" w:eastAsia="宋体" w:cs="Times New Roman"/>
          <w:sz w:val="24"/>
          <w:szCs w:val="24"/>
          <w:lang w:val="zh-CN"/>
        </w:rPr>
        <w:t xml:space="preserve">《政府采购促进中小企业发展管理办法》规定的</w:t>
      </w:r>
      <w:r>
        <w:rPr>
          <w:rFonts w:hint="eastAsia" w:ascii="宋体" w:hAnsi="宋体" w:eastAsia="宋体" w:cs="Times New Roman"/>
          <w:sz w:val="24"/>
          <w:szCs w:val="24"/>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sz w:val="24"/>
          <w:szCs w:val="24"/>
        </w:rPr>
        <w:t xml:space="preserve">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4、同一投标人，上述三项价格扣除优惠不得重复享受。</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6、中标供应商享受中小企业扶持政策的，江阴市政府采购中心将随中标结果公开中标供应商的《中小企业声明函》。</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7、供应商提供声明函内容不实的，属于提供虚假材料谋取中标，依照《中华人民共和国政府采购法》等国家有关规定追究相应责任。</w:t>
      </w:r>
      <w:r/>
    </w:p>
    <w:p>
      <w:pPr>
        <w:ind w:firstLine="482"/>
        <w:jc w:val="left"/>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8、根据《国务院办公厅关于在政府采购中实施本国产品标准及相关政策的通知》（国办发〔2025〕34号）要求，本项目对采购本国产品给与政策支持。（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（1）政府采购活动中既有本国产品又有非本国产品参与竞争的，依法对本国产品给予价格评审优惠，对本国产品的报价给予20%的价格扣除，用扣除后的价格参与评审。</w:t>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的组成和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（3）提供本国产品进行</w:t>
      </w:r>
      <w:r>
        <w:rPr>
          <w:rFonts w:hint="eastAsia" w:ascii="宋体" w:hAnsi="宋体" w:eastAsia="宋体" w:cs="Times New Roman"/>
          <w:sz w:val="24"/>
          <w:szCs w:val="24"/>
        </w:rPr>
        <w:t xml:space="preserve">投标（报价）的供应商需在其投标（响应）文件中提供《关于符合本国产品标准的声明函》（格式见附件）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不得享受本国产品价格扣除政策。</w:t>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w:t>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对于非专门面向中小企业的采购项目或采购包，既有本国产品也有非本国产品参与竞争，且提供本国产品的供应商同时为小微企业的，对该供应商的产品同时给予支持本国产品和小微企业产品的价格评审优惠。</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9、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11、本项目中如有涉及数据库、操作系统、通用服务器、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12、本项目中如有涉及采购数据中心相关设备、运维服务的，应当按《关于印发〈绿色数据中心政府采购需求标准（试行）〉的通知》（财库〔2023〕7号）文件执行。</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14、机关、事业单位从中小企业采购货物、工程、服务，应当遵守《保障中小企业款项支付条例》（中华人民共和国国务院令第802号）。</w:t>
      </w:r>
      <w:r/>
    </w:p>
    <w:p>
      <w:pPr>
        <w:spacing w:line="400" w:lineRule="exact"/>
        <w:rPr>
          <w:rFonts w:hint="eastAsia"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hint="eastAsia"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根据国家扶持中小企业的有关政策，在我中心组织的采购项目中标、成交的供应商可根据自身情况，自行决定是否选择采用合同融资形式，如需要政府采购合同融资，请按锡财购【2020】17号文件执行。</w:t>
      </w:r>
      <w:r/>
    </w:p>
    <w:p>
      <w:pPr>
        <w:ind w:firstLine="480"/>
        <w:jc w:val="left"/>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w:t>
      </w:r>
      <w:r>
        <w:rPr>
          <w:rFonts w:ascii="宋体" w:hAnsi="宋体" w:eastAsia="宋体" w:cs="Times New Roman"/>
          <w:sz w:val="24"/>
          <w:szCs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为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876"/>
        <w:sectPr>
          <w:footnotePr/>
          <w:endnotePr/>
          <w:type w:val="nextPage"/>
          <w:pgSz w:w="11906" w:h="16838" w:orient="portrait"/>
          <w:pgMar w:top="1247" w:right="1247" w:bottom="1247" w:left="1247" w:header="680" w:footer="992" w:gutter="0"/>
          <w:cols w:num="1" w:sep="0" w:space="720" w:equalWidth="1"/>
          <w:docGrid w:linePitch="360"/>
        </w:sectPr>
      </w:pPr>
      <w:r/>
      <w:r/>
    </w:p>
    <w:p>
      <w:pPr>
        <w:pStyle w:val="876"/>
      </w:pPr>
      <w:r/>
      <w:r/>
    </w:p>
    <w:p>
      <w:pPr>
        <w:pStyle w:val="876"/>
        <w:numPr>
          <w:ilvl w:val="0"/>
          <w:numId w:val="1"/>
        </w:numPr>
      </w:pPr>
      <w:r/>
      <w:bookmarkStart w:id="10" w:name="_Toc213847315"/>
      <w:r/>
      <w:bookmarkStart w:id="11" w:name="_Toc251268361"/>
      <w:r>
        <w:rPr>
          <w:rFonts w:hint="eastAsia"/>
        </w:rPr>
        <w:t xml:space="preserve">项目要求和有关说明</w:t>
      </w:r>
      <w:bookmarkEnd w:id="10"/>
      <w:r/>
      <w:r/>
    </w:p>
    <w:p>
      <w:pPr>
        <w:ind w:firstLine="482"/>
        <w:jc w:val="center"/>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（以下除“系统功能模块要求”外，其余均为实质性要求）</w:t>
      </w:r>
      <w:r/>
    </w:p>
    <w:p>
      <w:pPr>
        <w:ind w:firstLine="482"/>
        <w:jc w:val="center"/>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r>
      <w:r/>
    </w:p>
    <w:p>
      <w:pPr>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一、项目概述：</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本项目旨在更好地推进江阴市中医院智慧中医建设，彰显江阴市中医院中医药特色优势，构建以江阴市中医院为龙头，覆盖集团二级医院、基层医疗卫生机构、社区卫生服务中心的中医药服务体系，提升牵头医院、医疗集团成员单位的中医药服务能力和服务水平，有效提高医共体内医疗资源的服务效率。</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1、助力医院数字化管理</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通过智能化工具对医共体内的中医药全业务流程进行监管，提高医疗质量，降低医疗风险，提升质控管理能力，实现中医管理数据化，如临床诊疗规范、中医病历规范、处置规范（包含中药的合理用药审查、安全用药审查、适宜技术规范审查）等。</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2、促进基层中医药诊疗的规范化</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智能化系统在医共体内医疗机构覆盖，在临床诊疗过程中提供不少于700多种常见病症的智能辨证，辅助医生完成辨证施治过程；强化基层医疗机构对常见病的诊治能力。快速提高临床医生的中医辨证、开方、临床合理用药等中医诊疗服务能力，临床医生中医诊疗一体化、规范化。</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3、提升患者获得感和满意度</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在中医诊疗服务能力和药事服务能力提升的同时，老百姓家门口就能享受“名医好药”的中医医疗服务，老百姓家门口享受到国医名师资源。提升了治疗效果，缩减了就诊来回奔波所花费的时间。</w:t>
      </w:r>
      <w:r/>
    </w:p>
    <w:p>
      <w:pPr>
        <w:ind w:firstLine="482"/>
        <w:spacing w:line="400" w:lineRule="exact"/>
        <w:rPr>
          <w:rFonts w:hint="eastAsia" w:ascii="宋体" w:hAnsi="宋体" w:eastAsia="宋体" w:cs="宋体"/>
          <w:bCs/>
          <w:sz w:val="24"/>
          <w:szCs w:val="24"/>
        </w:rPr>
      </w:pPr>
      <w:r>
        <w:rPr>
          <w:rFonts w:hint="eastAsia" w:ascii="宋体" w:hAnsi="宋体" w:eastAsia="宋体" w:cs="宋体"/>
          <w:b/>
          <w:sz w:val="24"/>
          <w:szCs w:val="24"/>
        </w:rPr>
        <w:t xml:space="preserve">本项目最高限价</w:t>
      </w:r>
      <w:r>
        <w:rPr>
          <w:rFonts w:hint="eastAsia" w:ascii="宋体" w:hAnsi="宋体" w:eastAsia="宋体" w:cs="宋体"/>
          <w:bCs/>
          <w:sz w:val="24"/>
          <w:szCs w:val="24"/>
        </w:rPr>
        <w:t xml:space="preserve">：600万元</w:t>
      </w:r>
      <w:r/>
    </w:p>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本项目标的所属行业：详见招标文件</w:t>
      </w:r>
      <w:r/>
    </w:p>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spacing w:line="400" w:lineRule="exact"/>
        <w:rPr>
          <w:rFonts w:hint="eastAsia" w:ascii="宋体" w:hAnsi="宋体" w:eastAsia="宋体" w:cs="宋体"/>
          <w:bCs/>
          <w:sz w:val="24"/>
        </w:rPr>
        <w:outlineLvl w:val="1"/>
      </w:pPr>
      <w:r>
        <w:rPr>
          <w:rFonts w:hint="eastAsia" w:ascii="宋体" w:hAnsi="宋体" w:eastAsia="宋体" w:cs="宋体"/>
          <w:bCs/>
          <w:sz w:val="24"/>
        </w:rPr>
        <w:t xml:space="preserve">二、采购清单： </w:t>
      </w:r>
      <w:r/>
    </w:p>
    <w:tbl>
      <w:tblPr>
        <w:tblStyle w:val="854"/>
        <w:tblW w:w="96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5359"/>
        <w:gridCol w:w="1988"/>
        <w:gridCol w:w="766"/>
        <w:gridCol w:w="727"/>
      </w:tblGrid>
      <w:tr>
        <w:trPr>
          <w:jc w:val="center"/>
          <w:trHeight w:val="20"/>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spacing w:line="400" w:lineRule="exact"/>
              <w:rPr>
                <w:rFonts w:hint="eastAsia" w:ascii="宋体" w:hAnsi="宋体" w:eastAsia="宋体" w:cs="宋体"/>
                <w:b/>
                <w:bCs/>
                <w:sz w:val="24"/>
              </w:rPr>
            </w:pPr>
            <w:r>
              <w:rPr>
                <w:rFonts w:hint="eastAsia" w:ascii="宋体" w:hAnsi="宋体" w:eastAsia="宋体" w:cs="宋体"/>
                <w:b/>
                <w:bCs/>
                <w:sz w:val="24"/>
              </w:rPr>
              <w:t xml:space="preserve">序号</w:t>
            </w:r>
            <w:r/>
          </w:p>
        </w:tc>
        <w:tc>
          <w:tcPr>
            <w:tcBorders>
              <w:top w:val="single" w:color="auto" w:sz="4" w:space="0"/>
              <w:left w:val="single" w:color="auto" w:sz="4" w:space="0"/>
              <w:bottom w:val="single" w:color="auto" w:sz="4" w:space="0"/>
              <w:right w:val="single" w:color="auto" w:sz="4" w:space="0"/>
            </w:tcBorders>
            <w:tcW w:w="5359" w:type="dxa"/>
            <w:vAlign w:val="center"/>
            <w:textDirection w:val="lrTb"/>
            <w:noWrap w:val="false"/>
          </w:tcPr>
          <w:p>
            <w:pPr>
              <w:jc w:val="center"/>
              <w:spacing w:line="400" w:lineRule="exact"/>
              <w:rPr>
                <w:rFonts w:hint="eastAsia" w:ascii="宋体" w:hAnsi="宋体" w:eastAsia="宋体" w:cs="宋体"/>
                <w:b/>
                <w:bCs/>
                <w:sz w:val="24"/>
              </w:rPr>
            </w:pPr>
            <w:r>
              <w:rPr>
                <w:rFonts w:hint="eastAsia" w:ascii="宋体" w:hAnsi="宋体" w:eastAsia="宋体" w:cs="宋体"/>
                <w:b/>
                <w:bCs/>
                <w:sz w:val="24"/>
              </w:rPr>
              <w:t xml:space="preserve">模块名称</w:t>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jc w:val="center"/>
              <w:spacing w:line="400" w:lineRule="exact"/>
              <w:rPr>
                <w:rFonts w:hint="eastAsia" w:ascii="宋体" w:hAnsi="宋体" w:eastAsia="宋体" w:cs="宋体"/>
                <w:b/>
                <w:bCs/>
                <w:sz w:val="24"/>
              </w:rPr>
            </w:pPr>
            <w:r>
              <w:rPr>
                <w:rFonts w:hint="eastAsia" w:ascii="宋体" w:hAnsi="宋体" w:eastAsia="宋体" w:cs="宋体"/>
                <w:b/>
                <w:sz w:val="24"/>
                <w:szCs w:val="24"/>
              </w:rPr>
              <w:t xml:space="preserve">本项目标的所属行业</w:t>
            </w:r>
            <w:r/>
          </w:p>
        </w:tc>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spacing w:line="400" w:lineRule="exact"/>
              <w:rPr>
                <w:rFonts w:hint="eastAsia" w:ascii="宋体" w:hAnsi="宋体" w:eastAsia="宋体" w:cs="宋体"/>
                <w:b/>
                <w:bCs/>
                <w:sz w:val="24"/>
              </w:rPr>
            </w:pPr>
            <w:r>
              <w:rPr>
                <w:rFonts w:hint="eastAsia" w:ascii="宋体" w:hAnsi="宋体" w:eastAsia="宋体" w:cs="宋体"/>
                <w:b/>
                <w:bCs/>
                <w:sz w:val="24"/>
              </w:rPr>
              <w:t xml:space="preserve">数量</w:t>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spacing w:line="400" w:lineRule="exact"/>
              <w:rPr>
                <w:rFonts w:hint="eastAsia" w:ascii="宋体" w:hAnsi="宋体" w:eastAsia="宋体" w:cs="宋体"/>
                <w:b/>
                <w:bCs/>
                <w:sz w:val="24"/>
              </w:rPr>
            </w:pPr>
            <w:r>
              <w:rPr>
                <w:rFonts w:hint="eastAsia" w:ascii="宋体" w:hAnsi="宋体" w:eastAsia="宋体" w:cs="宋体"/>
                <w:b/>
                <w:bCs/>
                <w:sz w:val="24"/>
              </w:rPr>
              <w:t xml:space="preserve">单位</w:t>
            </w:r>
            <w:r/>
          </w:p>
        </w:tc>
      </w:tr>
      <w:tr>
        <w:trPr>
          <w:jc w:val="center"/>
          <w:trHeight w:val="20"/>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spacing w:line="400" w:lineRule="exact"/>
              <w:rPr>
                <w:rFonts w:hint="eastAsia" w:ascii="宋体" w:hAnsi="宋体" w:eastAsia="宋体" w:cs="宋体"/>
                <w:b/>
                <w:bCs/>
                <w:sz w:val="24"/>
              </w:rPr>
            </w:pPr>
            <w:r>
              <w:rPr>
                <w:rFonts w:hint="eastAsia" w:ascii="宋体" w:hAnsi="宋体" w:eastAsia="宋体" w:cs="宋体"/>
                <w:bCs/>
                <w:sz w:val="24"/>
              </w:rPr>
              <w:t xml:space="preserve">1</w:t>
            </w:r>
            <w:r/>
          </w:p>
        </w:tc>
        <w:tc>
          <w:tcPr>
            <w:tcBorders>
              <w:top w:val="single" w:color="auto" w:sz="4" w:space="0"/>
              <w:left w:val="single" w:color="auto" w:sz="4" w:space="0"/>
              <w:bottom w:val="single" w:color="auto" w:sz="4" w:space="0"/>
              <w:right w:val="single" w:color="auto" w:sz="4" w:space="0"/>
            </w:tcBorders>
            <w:tcW w:w="5359" w:type="dxa"/>
            <w:vAlign w:val="center"/>
            <w:textDirection w:val="lrTb"/>
            <w:noWrap w:val="false"/>
          </w:tcPr>
          <w:p>
            <w:pPr>
              <w:spacing w:line="400" w:lineRule="exact"/>
              <w:rPr>
                <w:rFonts w:hint="eastAsia" w:ascii="宋体" w:hAnsi="宋体" w:eastAsia="宋体" w:cs="宋体"/>
                <w:b/>
                <w:bCs/>
                <w:sz w:val="24"/>
              </w:rPr>
            </w:pPr>
            <w:r>
              <w:rPr>
                <w:rFonts w:hint="eastAsia" w:ascii="宋体" w:hAnsi="宋体" w:eastAsia="宋体" w:cs="宋体"/>
                <w:bCs/>
                <w:sz w:val="24"/>
              </w:rPr>
              <w:t xml:space="preserve">智慧中医院医共体系统</w:t>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spacing w:line="400" w:lineRule="exact"/>
              <w:rPr>
                <w:rFonts w:hint="eastAsia" w:ascii="宋体" w:hAnsi="宋体" w:eastAsia="宋体" w:cs="宋体"/>
                <w:bCs/>
                <w:sz w:val="24"/>
              </w:rPr>
            </w:pPr>
            <w:r>
              <w:rPr>
                <w:rFonts w:hint="eastAsia" w:ascii="宋体" w:hAnsi="宋体" w:eastAsia="宋体" w:cs="宋体"/>
                <w:bCs/>
                <w:sz w:val="24"/>
                <w:szCs w:val="24"/>
              </w:rPr>
              <w:t xml:space="preserve">软件和信息技术服务业</w:t>
            </w:r>
            <w:r/>
          </w:p>
        </w:tc>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spacing w:line="400" w:lineRule="exact"/>
              <w:rPr>
                <w:rFonts w:hint="eastAsia" w:ascii="宋体" w:hAnsi="宋体" w:eastAsia="宋体" w:cs="宋体"/>
                <w:b/>
                <w:bCs/>
                <w:sz w:val="24"/>
              </w:rPr>
            </w:pPr>
            <w:r>
              <w:rPr>
                <w:rFonts w:hint="eastAsia" w:ascii="宋体" w:hAnsi="宋体" w:eastAsia="宋体" w:cs="宋体"/>
                <w:bCs/>
                <w:sz w:val="24"/>
              </w:rPr>
              <w:t xml:space="preserve">1</w:t>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spacing w:line="400" w:lineRule="exact"/>
              <w:rPr>
                <w:rFonts w:hint="eastAsia" w:ascii="宋体" w:hAnsi="宋体" w:eastAsia="宋体" w:cs="宋体"/>
                <w:b/>
                <w:bCs/>
                <w:sz w:val="24"/>
              </w:rPr>
            </w:pPr>
            <w:r>
              <w:rPr>
                <w:rFonts w:hint="eastAsia" w:ascii="宋体" w:hAnsi="宋体" w:eastAsia="宋体" w:cs="宋体"/>
                <w:bCs/>
                <w:sz w:val="24"/>
              </w:rPr>
              <w:t xml:space="preserve">套</w:t>
            </w:r>
            <w:r/>
          </w:p>
        </w:tc>
      </w:tr>
      <w:tr>
        <w:trPr>
          <w:jc w:val="center"/>
          <w:trHeight w:val="20"/>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spacing w:line="400" w:lineRule="exact"/>
              <w:rPr>
                <w:rFonts w:hint="eastAsia" w:ascii="宋体" w:hAnsi="宋体" w:eastAsia="宋体" w:cs="宋体"/>
                <w:bCs/>
                <w:sz w:val="24"/>
              </w:rPr>
            </w:pPr>
            <w:r>
              <w:rPr>
                <w:rFonts w:hint="eastAsia" w:ascii="宋体" w:hAnsi="宋体" w:eastAsia="宋体" w:cs="宋体"/>
                <w:bCs/>
                <w:sz w:val="24"/>
              </w:rPr>
              <w:t xml:space="preserve">2</w:t>
            </w:r>
            <w:r/>
          </w:p>
        </w:tc>
        <w:tc>
          <w:tcPr>
            <w:tcBorders>
              <w:top w:val="single" w:color="auto" w:sz="4" w:space="0"/>
              <w:left w:val="single" w:color="auto" w:sz="4" w:space="0"/>
              <w:bottom w:val="single" w:color="auto" w:sz="4" w:space="0"/>
              <w:right w:val="single" w:color="auto" w:sz="4" w:space="0"/>
            </w:tcBorders>
            <w:tcW w:w="5359" w:type="dxa"/>
            <w:vAlign w:val="center"/>
            <w:textDirection w:val="lrTb"/>
            <w:noWrap w:val="false"/>
          </w:tcPr>
          <w:p>
            <w:pPr>
              <w:spacing w:line="400" w:lineRule="exact"/>
              <w:rPr>
                <w:rFonts w:hint="eastAsia" w:ascii="宋体" w:hAnsi="宋体" w:eastAsia="宋体" w:cs="宋体"/>
                <w:bCs/>
                <w:sz w:val="24"/>
              </w:rPr>
            </w:pPr>
            <w:r>
              <w:rPr>
                <w:rFonts w:hint="eastAsia" w:ascii="宋体" w:hAnsi="宋体" w:eastAsia="宋体" w:cs="宋体"/>
                <w:bCs/>
                <w:sz w:val="24"/>
              </w:rPr>
              <w:t xml:space="preserve">（中医四诊仪）舌面脉信息采集体质辨识系统</w:t>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spacing w:line="400" w:lineRule="exact"/>
              <w:rPr>
                <w:rFonts w:hint="eastAsia" w:ascii="宋体" w:hAnsi="宋体" w:eastAsia="宋体" w:cs="宋体"/>
                <w:bCs/>
                <w:sz w:val="24"/>
              </w:rPr>
            </w:pPr>
            <w:r>
              <w:rPr>
                <w:rFonts w:hint="eastAsia" w:ascii="宋体" w:hAnsi="宋体" w:eastAsia="宋体" w:cs="宋体"/>
                <w:bCs/>
                <w:sz w:val="24"/>
              </w:rPr>
              <w:t xml:space="preserve">工业</w:t>
            </w:r>
            <w:r/>
          </w:p>
        </w:tc>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spacing w:line="400" w:lineRule="exact"/>
              <w:rPr>
                <w:rFonts w:hint="eastAsia" w:ascii="宋体" w:hAnsi="宋体" w:eastAsia="宋体" w:cs="宋体"/>
                <w:bCs/>
                <w:sz w:val="24"/>
              </w:rPr>
            </w:pPr>
            <w:r>
              <w:rPr>
                <w:rFonts w:hint="eastAsia" w:ascii="宋体" w:hAnsi="宋体" w:eastAsia="宋体" w:cs="宋体"/>
                <w:bCs/>
                <w:sz w:val="24"/>
              </w:rPr>
              <w:t xml:space="preserve">17</w:t>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spacing w:line="400" w:lineRule="exact"/>
              <w:rPr>
                <w:rFonts w:hint="eastAsia" w:ascii="宋体" w:hAnsi="宋体" w:eastAsia="宋体" w:cs="宋体"/>
                <w:bCs/>
                <w:sz w:val="24"/>
              </w:rPr>
            </w:pPr>
            <w:r>
              <w:rPr>
                <w:rFonts w:hint="eastAsia" w:ascii="宋体" w:hAnsi="宋体" w:eastAsia="宋体" w:cs="宋体"/>
                <w:bCs/>
                <w:sz w:val="24"/>
              </w:rPr>
              <w:t xml:space="preserve">台</w:t>
            </w:r>
            <w:r/>
          </w:p>
        </w:tc>
      </w:tr>
    </w:tbl>
    <w:p>
      <w:pPr>
        <w:spacing w:line="400" w:lineRule="exact"/>
        <w:rPr>
          <w:rFonts w:hint="eastAsia" w:ascii="宋体" w:hAnsi="宋体" w:eastAsia="宋体" w:cs="宋体"/>
          <w:bCs/>
          <w:sz w:val="24"/>
        </w:rPr>
      </w:pPr>
      <w:r>
        <w:rPr>
          <w:rFonts w:hint="eastAsia" w:ascii="宋体" w:hAnsi="宋体" w:eastAsia="宋体" w:cs="宋体"/>
          <w:bCs/>
          <w:sz w:val="24"/>
        </w:rPr>
      </w:r>
      <w:r/>
    </w:p>
    <w:p>
      <w:pPr>
        <w:spacing w:line="400" w:lineRule="exact"/>
        <w:rPr>
          <w:rFonts w:hint="eastAsia" w:ascii="宋体" w:hAnsi="宋体" w:eastAsia="宋体" w:cs="宋体"/>
          <w:bCs/>
          <w:sz w:val="24"/>
        </w:rPr>
      </w:pPr>
      <w:r>
        <w:rPr>
          <w:rFonts w:hint="eastAsia" w:ascii="宋体" w:hAnsi="宋体" w:eastAsia="宋体" w:cs="宋体"/>
          <w:bCs/>
          <w:sz w:val="24"/>
        </w:rPr>
      </w:r>
      <w:r/>
    </w:p>
    <w:p>
      <w:pPr>
        <w:spacing w:line="400" w:lineRule="exact"/>
        <w:rPr>
          <w:rFonts w:hint="eastAsia" w:ascii="宋体" w:hAnsi="宋体" w:eastAsia="宋体" w:cs="宋体"/>
          <w:bCs/>
          <w:sz w:val="24"/>
        </w:rPr>
      </w:pPr>
      <w:r>
        <w:rPr>
          <w:rFonts w:hint="eastAsia" w:ascii="宋体" w:hAnsi="宋体" w:eastAsia="宋体" w:cs="宋体"/>
          <w:bCs/>
          <w:sz w:val="24"/>
        </w:rPr>
      </w:r>
      <w:r/>
    </w:p>
    <w:p>
      <w:pPr>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三、系统功能模块要求：（其中打“★”项为重要指标项）</w:t>
      </w:r>
      <w:r/>
    </w:p>
    <w:tbl>
      <w:tblPr>
        <w:tblStyle w:val="854"/>
        <w:tblW w:w="99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130"/>
        <w:gridCol w:w="1408"/>
        <w:gridCol w:w="1708"/>
        <w:gridCol w:w="5099"/>
      </w:tblGrid>
      <w:tr>
        <w:trPr>
          <w:jc w:val="center"/>
          <w:tblHeader/>
        </w:trPr>
        <w:tc>
          <w:tcPr>
            <w:tcW w:w="653" w:type="dxa"/>
            <w:vAlign w:val="center"/>
            <w:textDirection w:val="lrTb"/>
            <w:noWrap w:val="false"/>
          </w:tcPr>
          <w:p>
            <w:pPr>
              <w:jc w:val="center"/>
              <w:spacing w:line="4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bidi="ar"/>
              </w:rPr>
              <w:t xml:space="preserve">序号</w:t>
            </w:r>
            <w:r/>
          </w:p>
        </w:tc>
        <w:tc>
          <w:tcPr>
            <w:tcW w:w="1130" w:type="dxa"/>
            <w:vAlign w:val="center"/>
            <w:textDirection w:val="lrTb"/>
            <w:noWrap w:val="false"/>
          </w:tcPr>
          <w:p>
            <w:pPr>
              <w:jc w:val="center"/>
              <w:spacing w:line="4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bidi="ar"/>
              </w:rPr>
              <w:t xml:space="preserve">产品名称</w:t>
            </w:r>
            <w:r/>
          </w:p>
        </w:tc>
        <w:tc>
          <w:tcPr>
            <w:tcW w:w="1408" w:type="dxa"/>
            <w:vAlign w:val="center"/>
            <w:textDirection w:val="lrTb"/>
            <w:noWrap w:val="false"/>
          </w:tcPr>
          <w:p>
            <w:pPr>
              <w:jc w:val="center"/>
              <w:spacing w:line="4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bidi="ar"/>
              </w:rPr>
              <w:t xml:space="preserve">建设内容</w:t>
            </w:r>
            <w:r/>
          </w:p>
        </w:tc>
        <w:tc>
          <w:tcPr>
            <w:tcW w:w="1708" w:type="dxa"/>
            <w:vAlign w:val="center"/>
            <w:textDirection w:val="lrTb"/>
            <w:noWrap w:val="false"/>
          </w:tcPr>
          <w:p>
            <w:pPr>
              <w:jc w:val="center"/>
              <w:spacing w:line="4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bidi="ar"/>
              </w:rPr>
              <w:t xml:space="preserve">功能模块</w:t>
            </w:r>
            <w:r/>
          </w:p>
        </w:tc>
        <w:tc>
          <w:tcPr>
            <w:tcW w:w="5099" w:type="dxa"/>
            <w:vAlign w:val="center"/>
            <w:textDirection w:val="lrTb"/>
            <w:noWrap w:val="false"/>
          </w:tcPr>
          <w:p>
            <w:pPr>
              <w:jc w:val="center"/>
              <w:spacing w:line="4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bidi="ar"/>
              </w:rPr>
              <w:t xml:space="preserve">功能描述</w:t>
            </w:r>
            <w:r/>
          </w:p>
        </w:tc>
      </w:tr>
      <w:tr>
        <w:trPr>
          <w:jc w:val="center"/>
        </w:trPr>
        <w:tc>
          <w:tcPr>
            <w:tcW w:w="653" w:type="dxa"/>
            <w:vAlign w:val="center"/>
            <w:vMerge w:val="restart"/>
            <w:textDirection w:val="lrTb"/>
            <w:noWrap w:val="false"/>
          </w:tcPr>
          <w:p>
            <w:pPr>
              <w:jc w:val="center"/>
              <w:spacing w:line="4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bidi="ar"/>
              </w:rPr>
              <w:t xml:space="preserve">1</w:t>
            </w:r>
            <w:r/>
          </w:p>
        </w:tc>
        <w:tc>
          <w:tcPr>
            <w:tcW w:w="1130" w:type="dxa"/>
            <w:vAlign w:val="center"/>
            <w:vMerge w:val="restart"/>
            <w:textDirection w:val="lrTb"/>
            <w:noWrap w:val="false"/>
          </w:tcPr>
          <w:p>
            <w:pPr>
              <w:jc w:val="center"/>
              <w:spacing w:line="4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bidi="ar"/>
              </w:rPr>
              <w:t xml:space="preserve">中医智能云系统</w:t>
            </w:r>
            <w:r/>
          </w:p>
        </w:tc>
        <w:tc>
          <w:tcPr>
            <w:tcW w:w="1408" w:type="dxa"/>
            <w:vAlign w:val="center"/>
            <w:vMerge w:val="restart"/>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中医辨证论治智能辅助诊疗系统</w:t>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中医智能开方辅助</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采用“病-证-法-方”的模型进行智能推荐处方开方，医生在系统录入疾病、证型后，系统就可自动推荐中医治法、方、药；支持中医临床路径，医生仅通过选择中医疾病，系统运用中医知识图谱、智能算法等多项AI技术，自动推荐证候、治法、方、药；支持医生在系统录入西医诊断后，自动推荐相应的中医疾病、证候、治法、方、药；支持医生诊疗过程中，录入中医疾病、证型、治法时，悬停鼠标展示中医疾病、证型、治法的概述，辅助医生精确诊断；</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中医智能辨证辅助</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提供不少于700种常见病症的智能辨证，辅助医生在采集患者症状后，系统智能辨证出相应疾病、证候、治法、方、药，完成辨证施治过程；提供不少于700种常见病症的智能问诊策略，辅助医生完成临床问诊过程，支持以勾选方式采集患者症状；</w:t>
            </w:r>
            <w:r>
              <w:rPr>
                <w:rFonts w:hint="eastAsia" w:ascii="宋体" w:hAnsi="宋体" w:eastAsia="宋体" w:cs="宋体"/>
                <w:color w:val="000000"/>
                <w:sz w:val="24"/>
                <w:lang w:bidi="ar"/>
              </w:rPr>
              <w:br/>
            </w:r>
            <w:r>
              <w:rPr>
                <w:rFonts w:hint="eastAsia" w:ascii="宋体" w:hAnsi="宋体" w:eastAsia="宋体" w:cs="宋体"/>
                <w:sz w:val="28"/>
                <w:szCs w:val="28"/>
              </w:rPr>
              <w:t xml:space="preserve">★</w:t>
            </w:r>
            <w:r>
              <w:rPr>
                <w:rFonts w:hint="eastAsia" w:ascii="宋体" w:hAnsi="宋体" w:eastAsia="宋体" w:cs="宋体"/>
                <w:color w:val="000000"/>
                <w:sz w:val="24"/>
                <w:lang w:bidi="ar"/>
              </w:rPr>
              <w:t xml:space="preserve">支持在辨证过程中，展示舌象的概述说明，辅助医生舌诊，支持舌诊信息的分类展示，内容包括舌神、舌色、舌形、舌态、舌下脉络、舌苔等信息；支持在辨证过程中，展示脉象的概述说明，辅助医生脉诊；</w:t>
            </w:r>
            <w:r>
              <w:rPr>
                <w:rFonts w:hint="eastAsia" w:ascii="宋体" w:hAnsi="宋体" w:eastAsia="宋体" w:cs="宋体"/>
                <w:color w:val="000000"/>
                <w:sz w:val="24"/>
              </w:rPr>
              <w:t xml:space="preserve"> </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相似病例处方推荐辅助开方</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相似病例推荐功能，实现医生诊疗过程中录入中医疾病，系统自动推荐与当前患者相似名家医案给与医生参考；相似的名家医案需覆盖患者基本信息、病历、辨证、治法、处方、按语内容；支持自动推荐当前医生已接诊过的患者医案与医生参考；支持医生查阅参考医案时，一键复制当前医案处方；</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检索知识库处方辅助开方</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调用系统方剂知识库，可通过方剂名称、拼音首字母等多种方式检索方剂，支持方剂一键转方至开方界面使用，且转方内容支持当前药房已映射的药品名称，古今剂量自动换算完成的现代药品剂量、规格、单位，药品特殊用法等；知识库检索的处方需覆盖内服中药方、外用中药方；支持医生对不同知识库处方的换方，支持多张处方的合方；</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调用协定方开方</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支持医生自行收录的处方、系统推荐的处方、知识库方剂等处方，医生可另存为个人、科室、全院协定方；支持医生开方时直接调用已收录的个人、科室、全院协定方；</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兼证加减辅助开方</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支持临床兼证加减，对患者有兼证的，系统支持提供多种兼证供医生选择，系统自动推荐兼证治法及对应药物；</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推荐多种处置方案辅助开方</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支持以中医人工智能推导的处置办法，包含至少4种以上中医内服、中医外治、中医适宜技术、中医健康处方的处置方式，支持同一界面多种处置方案同时展现，且支持便捷切换；</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本地化专家经验共享辅助开方</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本地名老专家临床路径自主建设，实现本地名老专家经验数字化、智能化，并融入中医智能辅助临床诊疗决策中供青年医生使用，支持智能推导出本地名老专家方药优先级的配置；支持自动收录本地名老专家经验并自动形成本地专家经验知识库，支持按照疾病、本地医家查询，支持将本地医家经验方一键转方至开方系统，本地经验包括五运六气、澄江医派传承、-龙砂医派传承、院内制剂、澄江针灸适宜技术等本地化知识库；</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四大高质量数据集</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中医专病数据集（龙砂医派五运六气）、优势专科数据集（澄江针灸）、名老中医学术经验数据集（澄江医派）、中药数据集（院内制剂）；</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中医智能经络辅助诊疗开方</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支持中医智能经络辅助诊疗，实现智能推导适宜技术处方，系统需提供对应操作手法；</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智能开方操作提升功能</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sz w:val="28"/>
                <w:szCs w:val="28"/>
              </w:rPr>
              <w:t xml:space="preserve">★</w:t>
            </w:r>
            <w:r>
              <w:rPr>
                <w:rFonts w:hint="eastAsia" w:ascii="宋体" w:hAnsi="宋体" w:eastAsia="宋体" w:cs="宋体"/>
                <w:color w:val="000000"/>
                <w:sz w:val="24"/>
                <w:lang w:bidi="ar"/>
              </w:rPr>
              <w:t xml:space="preserve">支持处方药品可根据切换不同药房类型，自动更换药房所属药品名称，无需因切换药房类型，而需要医生重新录入处方，至少支持4种以上药房类型切换；支持药品单行数切换，根据医生开方习惯，可个性化调整开方界面药品单双列调整，方便医生使用；支持处方内服转外用，当医生需要外用该处方时，可直接将内服处方一键转外用，无需重复输入； </w:t>
            </w:r>
            <w:r/>
          </w:p>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支持与HIS对接诊断数据，支持历史处方的查询与复制功能，减少医生重复录入的麻烦，保证诊断数据的一致性；</w:t>
            </w:r>
            <w:r/>
          </w:p>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支持兼容对接多业务类型的中药房，支持包含：自煎、代煎、自提、配送、制膏等业务类型参数数据传输，让系统更符合医疗机构的现有业务；支持药品配送管理中的配送地址，当前默认最近一次使用地址；</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restart"/>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中医四诊编辑器</w:t>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中医电子病历模板管理</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中医电子病历模板个性化配制：根据临床专科、病种或管理要求实现定制、维护电子病历格式，在病历模板制作期间，提供多种层次的结构化功能，体现出辨证施治，望、闻、问、切四诊等中医特色的内容；支持中医电子病历结构化内容配置：有主诉、现病史、既往史、辅助检查、体格检查、中医“望闻问切”四诊、西医诊断、中医诊断的病历数据模板；</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中医电子病历编辑器</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中医电子病历多种形式的书写：实现医生可以自主选择已构建的中医电子病历模板，支持以勾选、文本等多种输入方式书写病历；支持中医电子病历智能化生成病历：可以实现勾选方式采集患者症状，系统智能化完成中医电子病历书写，结构化电子病历数据存储，符合《中医电子病历书写规范》标准格式调阅；</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中医电子病历集成视图</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历史中医电子病历集成：包含辨证施治、中医四诊、中医处置办法等信息；支持时间轴形式的中医病历展示：患者多次在院内治疗不同疾病的诊疗活动，以时间轴方式记录，便于医生了解疾病发展情况；支持历史中医电子病历一键复制：复诊患者方便医生更便捷填写病历；</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智能病历生成</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支持医生以点选方式采集患者病症，支持智能一键化生成电子病历；支持结构化的电子病历数据存储，系统生成的中医电子病历符合《中医电子病历书写规范》；</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中医门诊电子病历质控</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实现中医术语间的逻辑校验，包括症状互斥（如“荣舌”与“枯舌”）、病症关联矛盾（如“不寐”与“睡眠安”）的实时拦截与提醒，确保病历的内在逻辑一致；实时追踪“望、闻、问、切”四诊信息的填写进度，对必填或最低项数要求进行引导性提示，从源头提升病历的完整性和规范性：提供无需代码的可视化界面，供管理员自定义、组合质控规则（条件、逻辑关系），实现规则的动态扩展与维护；内置不少于30条典型的中医质控规则，支持规则的启用/停用。</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restart"/>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中医药知识服务平台</w:t>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名家医案知识库</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国医大师、名老中医的诊疗医案查询，支持医案处方一键转方至开方界面使用，且转方内容包含：当前药房已映射的药品名称，古今剂量自动换算完成的现代药品剂量、规格、单位，药品特殊用法；支持按疾病名称、医家姓名、来源等搜索方式查询名家医案；医案知识库数据覆盖主诉、现病史、辨证、治法、按语及来源；</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方剂知识库</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内服中药方、外用中药方、适宜技术方多维度中药方剂查询，支持方剂一键转方至开方界面使用，且转方内容支持当前药房已映射的药品名称，古今剂量自动换算完成的现代药品剂量、规格、单位，药品特殊用法；支持按方名、功效、用法、适用疾病等搜索方式查询方剂；</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经方知识库</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经典医药著作中记载的方剂查询，支持持经方一键转方至开方界面使用，且转方内容必须包含：当前药房已映射的药品名称，古今剂量自动换算完成的现代药品剂量、规格、单位，药品特殊用法；支持按方名、功效等搜索方式查询经方；</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中药知识库</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支持中药名称、功效搜索查询中药；支持以性味、归经、功效等条件展示中药；支持中药饮片的图片展示、禁忌、性味、归经、功效、相似中药鉴别等信息展示；</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中成药知识库</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支持中成药名称、功效搜索查询中成药；支持以性味、归经、功效等条件展示中成药；支持中成药药物组成、功能主治、临床应用、注意事项、用量用法等信息展示；</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中医疾病知识库</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支持以科室分类、病名等多种维度方式查询中医疾病知识库； 支持展示中医疾病详细的病因病机、诊断依据等信息，以及通过中医疾病可关联名家医案知识； 支持中医疾病知识可视化查询，支持通过树状图查询中医疾病信息，支持中医疾病的分类折叠及展开，支持快速展示疾病概述信息；</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中医证型知识库</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sz w:val="28"/>
                <w:szCs w:val="28"/>
              </w:rPr>
              <w:t xml:space="preserve">★</w:t>
            </w:r>
            <w:r>
              <w:rPr>
                <w:rFonts w:hint="eastAsia" w:ascii="宋体" w:hAnsi="宋体" w:eastAsia="宋体" w:cs="宋体"/>
                <w:color w:val="000000"/>
                <w:sz w:val="24"/>
                <w:lang w:bidi="ar"/>
              </w:rPr>
              <w:t xml:space="preserve">支持中医证型知识可视化查询，支持通过树状图查询中医证型信息，支持中医证型的分类折叠及展开，支持快速展示证型概述信息；支持通过辅助诊疗模块直接调阅及应用；</w:t>
            </w:r>
            <w:r>
              <w:rPr>
                <w:rFonts w:hint="eastAsia" w:ascii="宋体" w:hAnsi="宋体" w:eastAsia="宋体" w:cs="宋体"/>
                <w:color w:val="000000"/>
                <w:sz w:val="24"/>
              </w:rPr>
              <w:t xml:space="preserve"> </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中医治法知识库</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支持中医治法知识可视化查询，支持通过树状图查询中医治法信息，支持中医治法的分类折叠及展开，支持快速展示治法概述信息； 支持通过辅助诊疗模块直接调阅及应用；</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临床诊疗指南知识库</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支持通过中医疾病、西医疾病名称来查询临床诊疗指南；提供临床指南覆盖皮肤科、肛肠科、内科、妇科、儿科、耳鼻喉科、眼科、外科、精神科、整脊科、肿瘤科等；</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经络穴位知识库</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支持以经络、穴位分类展示经络穴位知识，支持以穴位名称、经络名称等多种维度查询；支持穴位图片导引，支持穴位图像放大；</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舌象知识库</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支持提供舌质、舌苔分类展示舌象知识库；支持舌质按照神、色、形、态、脉分类，舌苔按照质、颜分类查询；舌象知识库数据覆盖图片、舌象特征、临床意义、机理分析；</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脉学知识库</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sz w:val="28"/>
                <w:szCs w:val="28"/>
              </w:rPr>
              <w:t xml:space="preserve">★</w:t>
            </w:r>
            <w:r>
              <w:rPr>
                <w:rFonts w:hint="eastAsia" w:ascii="宋体" w:hAnsi="宋体" w:eastAsia="宋体" w:cs="宋体"/>
                <w:color w:val="000000"/>
                <w:sz w:val="24"/>
                <w:lang w:bidi="ar"/>
              </w:rPr>
              <w:t xml:space="preserve">支持按脉类、脉象名称展示常见脉；支持脉象概述、动态图示，临床意义、脉象特征等信息；</w:t>
            </w:r>
            <w:r>
              <w:rPr>
                <w:rFonts w:hint="eastAsia" w:ascii="宋体" w:hAnsi="宋体" w:eastAsia="宋体" w:cs="宋体"/>
                <w:color w:val="000000"/>
                <w:sz w:val="24"/>
              </w:rPr>
              <w:t xml:space="preserve"> </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中医古籍</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支持临床医务人员阅读已上传的中医古籍，支持中医古籍内容的检索；</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共享文献</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支持临床医务人员阅读已上传的共享文献，不限于期刊文献、外部科技文献、循证文献等内容，列表页面支持展示文献概述，支持文献内容的检索；</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知识管理</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提供中医知识共享管理，支持院内医务人员上传中医古籍知识、期刊文献等中医相关知识，支持知识共享的启用及停用，支持知识展示排序；</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知识库收藏及阅读笔记</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支持知识库的收藏及笔记功能，须有统一知识库收藏查询入口，支持按照分类查询已收藏的知识库；</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restart"/>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中医智能治未病管理系统</w:t>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中医健康档案管理</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支持建立患者治未病健康档案，能够完成患者基本信息的采集及分类；</w:t>
            </w:r>
            <w:r>
              <w:rPr>
                <w:rFonts w:hint="eastAsia" w:ascii="宋体" w:hAnsi="宋体" w:eastAsia="宋体" w:cs="宋体"/>
                <w:color w:val="000000"/>
                <w:sz w:val="24"/>
                <w:lang w:bidi="ar"/>
              </w:rPr>
              <w:br/>
            </w:r>
            <w:r>
              <w:rPr>
                <w:rFonts w:hint="eastAsia" w:ascii="宋体" w:hAnsi="宋体" w:eastAsia="宋体" w:cs="宋体"/>
                <w:color w:val="000000"/>
                <w:sz w:val="24"/>
                <w:lang w:bidi="ar"/>
              </w:rPr>
              <w:t xml:space="preserve">支持医生管理治未病健康档案，可查询所有患者历次的问卷结果及体质辨识报告；</w:t>
            </w:r>
            <w:r>
              <w:rPr>
                <w:rFonts w:hint="eastAsia" w:ascii="宋体" w:hAnsi="宋体" w:eastAsia="宋体" w:cs="宋体"/>
                <w:color w:val="000000"/>
                <w:sz w:val="24"/>
                <w:lang w:bidi="ar"/>
              </w:rPr>
              <w:br/>
            </w:r>
            <w:r>
              <w:rPr>
                <w:rFonts w:hint="eastAsia" w:ascii="宋体" w:hAnsi="宋体" w:eastAsia="宋体" w:cs="宋体"/>
                <w:color w:val="000000"/>
                <w:sz w:val="24"/>
                <w:lang w:bidi="ar"/>
              </w:rPr>
              <w:t xml:space="preserve">支持Word、PDF格式体质辨识报告的下载，支持系统直接打印患者体质辨识报告；</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患者体质信息采集</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支持多种形式采集体质辨识问卷，包括医生系统填写问诊结果；</w:t>
            </w:r>
            <w:r>
              <w:rPr>
                <w:rFonts w:hint="eastAsia" w:ascii="宋体" w:hAnsi="宋体" w:eastAsia="宋体" w:cs="宋体"/>
                <w:color w:val="000000"/>
                <w:sz w:val="24"/>
                <w:lang w:bidi="ar"/>
              </w:rPr>
              <w:br/>
            </w:r>
            <w:r>
              <w:rPr>
                <w:rFonts w:hint="eastAsia" w:ascii="宋体" w:hAnsi="宋体" w:eastAsia="宋体" w:cs="宋体"/>
                <w:color w:val="000000"/>
                <w:sz w:val="24"/>
                <w:lang w:bidi="ar"/>
              </w:rPr>
              <w:t xml:space="preserve">支持根据辨识问卷内容，自动辨识出患者的体质类型，同时以柱状图示和具体数据来呈现辨识结果；</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智能体质辨识</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根据采集的问卷内容，通过体质辨识智能化算法，根据不同的辨识问卷、标准的评分依据、辨识权重进行智能化计算，达到客观的辨识分析效果，提高体质学体质辨识分析的准确性，能够智能推荐体质辨识结果，智能生成体质辨识报告；</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个性化治疗方案推荐</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体质辨识报告应包含调体法则、调体要点、运动保健、穴位保健、情志调摄、饮食调养、起居调摄、推荐药膳等内容；</w:t>
            </w:r>
            <w:r>
              <w:rPr>
                <w:rFonts w:hint="eastAsia" w:ascii="宋体" w:hAnsi="宋体" w:eastAsia="宋体" w:cs="宋体"/>
                <w:color w:val="000000"/>
                <w:sz w:val="24"/>
                <w:lang w:bidi="ar"/>
              </w:rPr>
              <w:br/>
            </w:r>
            <w:r>
              <w:rPr>
                <w:rFonts w:hint="eastAsia" w:ascii="宋体" w:hAnsi="宋体" w:eastAsia="宋体" w:cs="宋体"/>
                <w:color w:val="000000"/>
                <w:sz w:val="24"/>
                <w:lang w:bidi="ar"/>
              </w:rPr>
              <w:t xml:space="preserve">支持收录海量的经典处方，针对每名患者的情况，系统自动推荐对支持临床医生对推荐的处方，依据个体差异进行个体化的诊断及修改；</w:t>
            </w:r>
            <w:r>
              <w:rPr>
                <w:rFonts w:hint="eastAsia" w:ascii="宋体" w:hAnsi="宋体" w:eastAsia="宋体" w:cs="宋体"/>
                <w:color w:val="000000"/>
                <w:sz w:val="24"/>
                <w:lang w:bidi="ar"/>
              </w:rPr>
              <w:br/>
            </w:r>
            <w:r>
              <w:rPr>
                <w:rFonts w:hint="eastAsia" w:ascii="宋体" w:hAnsi="宋体" w:eastAsia="宋体" w:cs="宋体"/>
                <w:color w:val="000000"/>
                <w:sz w:val="24"/>
                <w:lang w:bidi="ar"/>
              </w:rPr>
              <w:t xml:space="preserve">支持养生方案智能推荐，针对每名患者的情况，系统自动从海量数据库健康方案中智能推荐养生方案；</w:t>
            </w:r>
            <w:r>
              <w:rPr>
                <w:rFonts w:hint="eastAsia" w:ascii="宋体" w:hAnsi="宋体" w:eastAsia="宋体" w:cs="宋体"/>
                <w:color w:val="000000"/>
                <w:sz w:val="24"/>
                <w:lang w:bidi="ar"/>
              </w:rPr>
              <w:br/>
            </w:r>
            <w:r>
              <w:rPr>
                <w:rFonts w:hint="eastAsia" w:ascii="宋体" w:hAnsi="宋体" w:eastAsia="宋体" w:cs="宋体"/>
                <w:color w:val="000000"/>
                <w:sz w:val="24"/>
                <w:lang w:bidi="ar"/>
              </w:rPr>
              <w:t xml:space="preserve">支持医生对系统推荐的调养方案，根据患者的情况进行微调，从而改善健康状况；</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restart"/>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中医临床业务监管平台</w:t>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疾病谱分析</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提供疾病谱分析，支持高发病病种分析，支持近期内高增长率疾病发病情况分析，支持疾病与年龄层关系分析，支持疾病与性别关系分析，支持季节与疾病关系分析；</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患者分析</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支持患者年龄段人数统计分析，统计相关年龄段区间就诊患者的数量。患者性别比例统计分析，统计所有就诊患者中，男女数量比例；各区域患者人数统计分析，统计各个区域就诊患者的人数情况等等功能；</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医师工作量分析</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支持统计本院所有医生工作量，实现以时间、科室、个人等方式查询；</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中药用量分析</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支持中药用量统计分析，可以统计出各种中草药的使用频率情况，可统计处方覆盖率排位靠前的几种中药数据，也可以从其他角度获取中药的使用覆盖率数据，这些数据可用于相关信息的分析研究等功能；</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处方金额综合分析</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支持处方金额综合统计分析，实现单次就诊金额统计，单种诊疗项目金额统计；</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数据呈现及导出</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所有的监管统计数据支持图表形式呈现及下载，支持统计数据导出Excel有规范化的表格名称；</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restart"/>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医生中医工作站系统</w:t>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患者信息管理</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支持新患者创建档案，系统生成患者唯一识别号，做到一人一档；</w:t>
            </w:r>
            <w:r>
              <w:rPr>
                <w:rFonts w:hint="eastAsia" w:ascii="宋体" w:hAnsi="宋体" w:eastAsia="宋体" w:cs="宋体"/>
                <w:color w:val="000000"/>
                <w:sz w:val="24"/>
                <w:lang w:bidi="ar"/>
              </w:rPr>
              <w:br/>
            </w:r>
            <w:r>
              <w:rPr>
                <w:rFonts w:hint="eastAsia" w:ascii="宋体" w:hAnsi="宋体" w:eastAsia="宋体" w:cs="宋体"/>
                <w:color w:val="000000"/>
                <w:sz w:val="24"/>
                <w:lang w:bidi="ar"/>
              </w:rPr>
              <w:t xml:space="preserve">支持通过用户体系接口同步HIS系统患者档案信息；</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中医诊疗数据管理</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医生可从今日病人列表中选取就诊病人，进行病历填写，临床诊断，医嘱录入等操作；</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处方收费管理</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支持对接HIS回传处方收费状态，支持医生诊间模拟收费；</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协定方管理</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支持医生收藏、创建协定方，支持医嘱录入时调取使用；支持全院、科室、医生不同类型的协定方管理，支持协定方的分类管理；</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处方订单管理</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支持医生查看本人已接诊患者的处方结算信息、处方配送信息，支持补打印处方和病历；</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处方打印模板管理</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支持中药处方、中医病历等打印模板个性化配置，支持打印预览，支持系统打印模板个性化的配置；</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系统帮助</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支持系统信息管理员上传操作手册，维护常见问题，查看版本维护说明；</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系统迭代管理</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支持管理员查看用户提交的问题和意见反馈，查看常见问题解答；</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医生工作站智能体</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支持对接HIS将人员信息、诊断、病历等信息进行传输，智能体能根据系统的规则自动给出中药处方、中医适宜技术、经方等信息，不用医生主动去点选后才会有结果；</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restart"/>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医共体业务配置管理系统</w:t>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系统基础字典管理</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支持区域内多医共体的维护，支持医共体不同等级机构的分级管理及维护；</w:t>
            </w:r>
            <w:r>
              <w:rPr>
                <w:rFonts w:hint="eastAsia" w:ascii="宋体" w:hAnsi="宋体" w:eastAsia="宋体" w:cs="宋体"/>
                <w:color w:val="000000"/>
                <w:sz w:val="24"/>
                <w:lang w:bidi="ar"/>
              </w:rPr>
              <w:br/>
            </w:r>
            <w:r>
              <w:rPr>
                <w:rFonts w:hint="eastAsia" w:ascii="宋体" w:hAnsi="宋体" w:eastAsia="宋体" w:cs="宋体"/>
                <w:color w:val="000000"/>
                <w:sz w:val="24"/>
                <w:lang w:bidi="ar"/>
              </w:rPr>
              <w:t xml:space="preserve">支持不同等级机构下的科室、职工维护及HIS接口同步科室、职工信息，职工支持多执业机构的配置；</w:t>
            </w:r>
            <w:r>
              <w:rPr>
                <w:rFonts w:hint="eastAsia" w:ascii="宋体" w:hAnsi="宋体" w:eastAsia="宋体" w:cs="宋体"/>
                <w:color w:val="000000"/>
                <w:sz w:val="24"/>
                <w:lang w:bidi="ar"/>
              </w:rPr>
              <w:br/>
            </w:r>
            <w:r>
              <w:rPr>
                <w:rFonts w:hint="eastAsia" w:ascii="宋体" w:hAnsi="宋体" w:eastAsia="宋体" w:cs="宋体"/>
                <w:color w:val="000000"/>
                <w:sz w:val="24"/>
                <w:lang w:bidi="ar"/>
              </w:rPr>
              <w:t xml:space="preserve">支持医共体内不同职工角色的配置，每种角色可配置不同的菜单权限；</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中医业务规则库</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提供不少于150种的个性化参数配置，可通过参数分类，参数编号快速查找参数，满足不同业务个性化配置；</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中医业务管理</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支持按照医共体、医疗机构、科室配置不同的中医业务，满足不同场景的业务应用需求；</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中药房服务管理</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区域内多医共体共享药房、医共体内共享药房、机构内不同场景下药房的管理及维护，支持不同药房下不同药剂类型的维护，如散装饮片药房、散装颗粒药房、小包装饮片药房、小包装颗粒药房等，支持可对药房进行不同使用范围的配置；</w:t>
            </w:r>
            <w:r>
              <w:rPr>
                <w:rFonts w:hint="eastAsia" w:ascii="宋体" w:hAnsi="宋体" w:eastAsia="宋体" w:cs="宋体"/>
                <w:color w:val="000000"/>
                <w:sz w:val="24"/>
                <w:lang w:bidi="ar"/>
              </w:rPr>
              <w:br/>
            </w:r>
            <w:r>
              <w:rPr>
                <w:rFonts w:hint="eastAsia" w:ascii="宋体" w:hAnsi="宋体" w:eastAsia="宋体" w:cs="宋体"/>
                <w:color w:val="000000"/>
                <w:sz w:val="24"/>
                <w:lang w:bidi="ar"/>
              </w:rPr>
              <w:t xml:space="preserve">支持不同场景药房的中药目录的维护，支持与第三方对接实时同步药品目录及库存，且支持药品目录、药品库存明细的查询；</w:t>
            </w:r>
            <w:r>
              <w:rPr>
                <w:rFonts w:hint="eastAsia" w:ascii="宋体" w:hAnsi="宋体" w:eastAsia="宋体" w:cs="宋体"/>
                <w:color w:val="000000"/>
                <w:sz w:val="24"/>
                <w:lang w:bidi="ar"/>
              </w:rPr>
              <w:br/>
            </w:r>
            <w:r>
              <w:rPr>
                <w:rFonts w:hint="eastAsia" w:ascii="宋体" w:hAnsi="宋体" w:eastAsia="宋体" w:cs="宋体"/>
                <w:color w:val="000000"/>
                <w:sz w:val="24"/>
                <w:lang w:bidi="ar"/>
              </w:rPr>
              <w:t xml:space="preserve">支持药品目录对指定医疗机构的授权；支持中医智能生态系统统一药品目录管理；</w:t>
            </w:r>
            <w:r>
              <w:rPr>
                <w:rFonts w:hint="eastAsia" w:ascii="宋体" w:hAnsi="宋体" w:eastAsia="宋体" w:cs="宋体"/>
                <w:color w:val="000000"/>
                <w:sz w:val="24"/>
                <w:lang w:bidi="ar"/>
              </w:rPr>
              <w:br/>
            </w:r>
            <w:r>
              <w:rPr>
                <w:rFonts w:hint="eastAsia" w:ascii="宋体" w:hAnsi="宋体" w:eastAsia="宋体" w:cs="宋体"/>
                <w:color w:val="000000"/>
                <w:sz w:val="24"/>
                <w:lang w:bidi="ar"/>
              </w:rPr>
              <w:t xml:space="preserve">支持中药药品医保配置最大剂量限制、医保外药品限制配置、医保基金不支付限制配置等医保智能化提醒配置；</w:t>
            </w:r>
            <w:r>
              <w:rPr>
                <w:rFonts w:hint="eastAsia" w:ascii="宋体" w:hAnsi="宋体" w:eastAsia="宋体" w:cs="宋体"/>
                <w:color w:val="000000"/>
                <w:sz w:val="24"/>
                <w:lang w:bidi="ar"/>
              </w:rPr>
              <w:br/>
            </w:r>
            <w:r>
              <w:rPr>
                <w:rFonts w:hint="eastAsia" w:ascii="宋体" w:hAnsi="宋体" w:eastAsia="宋体" w:cs="宋体"/>
                <w:color w:val="000000"/>
                <w:sz w:val="24"/>
                <w:lang w:bidi="ar"/>
              </w:rPr>
              <w:t xml:space="preserve">支持药品目录与系统中药知识库的自动映射，支持映射维护，系统预设的中药知识库数据不少于2200味；</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字典管理</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支持中药内服、外用、中药制剂处方的用法、服法、频率、浓煎等代码配置；</w:t>
            </w:r>
            <w:r>
              <w:rPr>
                <w:rFonts w:hint="eastAsia" w:ascii="宋体" w:hAnsi="宋体" w:eastAsia="宋体" w:cs="宋体"/>
                <w:color w:val="000000"/>
                <w:sz w:val="24"/>
                <w:lang w:bidi="ar"/>
              </w:rPr>
              <w:br/>
            </w:r>
            <w:r>
              <w:rPr>
                <w:rFonts w:hint="eastAsia" w:ascii="宋体" w:hAnsi="宋体" w:eastAsia="宋体" w:cs="宋体"/>
                <w:color w:val="000000"/>
                <w:sz w:val="24"/>
                <w:lang w:bidi="ar"/>
              </w:rPr>
              <w:t xml:space="preserve">支持多版本中医国标药品目录导入，支持医共体内中药药品目录数据自动映射国标药品目录，支持国标药品目录映射维护；</w:t>
            </w:r>
            <w:r>
              <w:rPr>
                <w:rFonts w:hint="eastAsia" w:ascii="宋体" w:hAnsi="宋体" w:eastAsia="宋体" w:cs="宋体"/>
                <w:color w:val="000000"/>
                <w:sz w:val="24"/>
                <w:lang w:bidi="ar"/>
              </w:rPr>
              <w:br/>
            </w:r>
            <w:r>
              <w:rPr>
                <w:rFonts w:hint="eastAsia" w:ascii="宋体" w:hAnsi="宋体" w:eastAsia="宋体" w:cs="宋体"/>
                <w:color w:val="000000"/>
                <w:sz w:val="24"/>
                <w:lang w:bidi="ar"/>
              </w:rPr>
              <w:t xml:space="preserve">支持国标字典数据导入，支持区域内不同医共体、不同医疗机构的本地字典数据与国家标准字典的映射；</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第三方接口管理</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支持第三方HIS的对接管理，支持第三方对接数据的记录查询，支持筛选异常日志快速定位对接问题；</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接口任务管理</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对数据采集、数据对接的任务进行统一配置，支持区域内多医共体、多机构、不同HIS的对接管理；</w:t>
            </w:r>
            <w:r>
              <w:rPr>
                <w:rFonts w:hint="eastAsia" w:ascii="宋体" w:hAnsi="宋体" w:eastAsia="宋体" w:cs="宋体"/>
                <w:color w:val="000000"/>
                <w:sz w:val="24"/>
                <w:lang w:bidi="ar"/>
              </w:rPr>
              <w:br/>
            </w:r>
            <w:r>
              <w:rPr>
                <w:rFonts w:hint="eastAsia" w:ascii="宋体" w:hAnsi="宋体" w:eastAsia="宋体" w:cs="宋体"/>
                <w:color w:val="000000"/>
                <w:sz w:val="24"/>
                <w:lang w:bidi="ar"/>
              </w:rPr>
              <w:t xml:space="preserve">支持系统字典数据、药品等数据的自动同步数据管理，可配置自动同步开关、自动同步频率及人工同步等操作；</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系统接口改造</w:t>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HIS对接</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与中医院HIS接口、乡镇卫生院HIS接口改造对接；</w:t>
            </w:r>
            <w:r/>
          </w:p>
        </w:tc>
      </w:tr>
      <w:tr>
        <w:trPr>
          <w:jc w:val="center"/>
        </w:trPr>
        <w:tc>
          <w:tcPr>
            <w:tcW w:w="653" w:type="dxa"/>
            <w:vAlign w:val="center"/>
            <w:vMerge w:val="restart"/>
            <w:textDirection w:val="lrTb"/>
            <w:noWrap w:val="false"/>
          </w:tcPr>
          <w:p>
            <w:pPr>
              <w:jc w:val="center"/>
              <w:spacing w:line="4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bidi="ar"/>
              </w:rPr>
              <w:t xml:space="preserve">2</w:t>
            </w:r>
            <w:r/>
          </w:p>
        </w:tc>
        <w:tc>
          <w:tcPr>
            <w:tcW w:w="1130" w:type="dxa"/>
            <w:vAlign w:val="center"/>
            <w:vMerge w:val="restart"/>
            <w:textDirection w:val="lrTb"/>
            <w:noWrap w:val="false"/>
          </w:tcPr>
          <w:p>
            <w:pPr>
              <w:jc w:val="center"/>
              <w:spacing w:line="4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bidi="ar"/>
              </w:rPr>
              <w:t xml:space="preserve">智慧共享中药房管理系统</w:t>
            </w:r>
            <w:r/>
          </w:p>
        </w:tc>
        <w:tc>
          <w:tcPr>
            <w:tcW w:w="1408" w:type="dxa"/>
            <w:vAlign w:val="center"/>
            <w:vMerge w:val="restart"/>
            <w:textDirection w:val="lrTb"/>
            <w:noWrap/>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中药处方煎配全流程追溯系统</w:t>
            </w:r>
            <w:r/>
          </w:p>
        </w:tc>
        <w:tc>
          <w:tcPr>
            <w:tcW w:w="1708" w:type="dxa"/>
            <w:vAlign w:val="center"/>
            <w:textDirection w:val="lrTb"/>
            <w:noWrap/>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采集煎配信息</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支持对接本院及院外的煎煮系统，采集浸泡、煎煮、包装信息，包括信息包括操作人、操作时间、节点照片。</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中药饮片追溯</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支持全流程追溯饮片从种植、生产、发药等环节查询，需院方提供中药材种植的相关接口。</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tcPr>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物流对接</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支持对接第三方物流信息，能实时展示物流当前的相关数据，并要求与煎配信息进行关联展示，实现从药房接方、配药、浸泡、煎煮、包装、快递等所有节点都能实时想看。</w:t>
            </w:r>
            <w:r/>
          </w:p>
        </w:tc>
      </w:tr>
      <w:tr>
        <w:trPr>
          <w:jc w:val="center"/>
        </w:trPr>
        <w:tc>
          <w:tcPr>
            <w:tcW w:w="653" w:type="dxa"/>
            <w:vAlign w:val="center"/>
            <w:vMerge w:val="restart"/>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3</w:t>
            </w:r>
            <w:r/>
          </w:p>
        </w:tc>
        <w:tc>
          <w:tcPr>
            <w:tcW w:w="1130" w:type="dxa"/>
            <w:vAlign w:val="center"/>
            <w:vMerge w:val="restart"/>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b/>
                <w:bCs/>
                <w:sz w:val="24"/>
              </w:rPr>
              <w:t xml:space="preserve">中医治未病数字化平台</w:t>
            </w:r>
            <w:r/>
          </w:p>
        </w:tc>
        <w:tc>
          <w:tcPr>
            <w:tcW w:w="1408" w:type="dxa"/>
            <w:vAlign w:val="center"/>
            <w:vMerge w:val="restart"/>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智能舌象检测</w:t>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舌象数据采集</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支持舌象上传，通过舌诊模型分析清晰度，认定图像是否可达到体质辨识需求。</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舌象数据分析</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支持基于计算机视觉技术技术能够识别舌色、苔色、舌形、舌质、津液、舌下脉络等信息。</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restart"/>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智能面象检测</w:t>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面象数据采集</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支持面象上传，通过面诊模型分析清晰度，认定图像是否可达到体质辨识需求。</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面象数据分析</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支持基于计算机视觉技术技术能够识别面色、眼睑、唇色等信息。</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restart"/>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体质分析</w:t>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多种辨识方案</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系统根据图像识别的舌象检测结果或问卷检测的结果，对用户的体质进行分析，提供多维度的分析指标。</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多维度分析</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支持结合健康状态信息的体质结果得分可视化图表说明。支持辨别阳虚体质、阴虚体质、气虚体质、痰湿体质、湿热体质、血瘀体质、特禀体质、气郁体质、平和体质共九种体质的具体倾向。</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体质智能分析</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支持中医理论中辨证论治法则指导下的调体法则。支持用药法度、情志调节方面的调体要点说明。</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体质说明</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系统根据体质辨识结果，同时与自然气候、地理环境等因素，智能推荐24节气个性化的中医自我健康管理方案。用户可以在不同节气获取是与其相适应的中医自我管理方案，根据自然变化做自身的生活方式的调整，遵循中医理论中的“天人合一”的健康调理原则。</w:t>
            </w:r>
            <w:r>
              <w:rPr>
                <w:rFonts w:hint="eastAsia" w:ascii="宋体" w:hAnsi="宋体" w:eastAsia="宋体" w:cs="宋体"/>
                <w:color w:val="000000"/>
                <w:sz w:val="24"/>
                <w:lang w:bidi="ar"/>
              </w:rPr>
              <w:br/>
            </w:r>
            <w:r>
              <w:rPr>
                <w:rFonts w:hint="eastAsia" w:ascii="宋体" w:hAnsi="宋体" w:eastAsia="宋体" w:cs="宋体"/>
                <w:color w:val="000000"/>
                <w:sz w:val="24"/>
                <w:lang w:bidi="ar"/>
              </w:rPr>
              <w:t xml:space="preserve">支持结合自然因素，如气候、时令、季节等信息。支持推荐三种以上的自我健康管理方案，调养体质，调理身体阴阳气血平衡，增强人体抗病能力，让人体少生病、不生病，即使得病也能尽快痊愈，痊愈后少复发。</w:t>
            </w:r>
            <w:r>
              <w:rPr>
                <w:rFonts w:hint="eastAsia" w:ascii="宋体" w:hAnsi="宋体" w:eastAsia="宋体" w:cs="宋体"/>
                <w:color w:val="000000"/>
                <w:sz w:val="24"/>
                <w:lang w:bidi="ar"/>
              </w:rPr>
              <w:br/>
            </w:r>
            <w:r>
              <w:rPr>
                <w:rFonts w:hint="eastAsia" w:ascii="宋体" w:hAnsi="宋体" w:eastAsia="宋体" w:cs="宋体"/>
                <w:color w:val="000000"/>
                <w:sz w:val="24"/>
                <w:lang w:bidi="ar"/>
              </w:rPr>
              <w:t xml:space="preserve">方案分类包括自我穴位保健方案、自我饮食调养方案、自我运动调理方案、自我情志调养方案。方案支持提供视频讲解，及可互动的自我健康管理视频教学，增强患者查阅报告的体验感。</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restart"/>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中医自我健康管理方案</w:t>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自我穴位保健方案</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支持根据节气、气候为用户进行适宜当下体质辨识结果的艾灸、推拿、拔罐、按摩、热敷等的穴位保健方案推荐，同时通过视频进行穴位的位置和保健方式指导与体验。</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自我饮食调养方案</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支持根据节气、气候为用户提供当下体质辨识结果的科学合理的健康饮食类型、饮食来源、饮食营养指南的一周食谱以及视频指导体验，同时提醒用户不可同时食用或不可此段时间食用的饮食禁忌。</w:t>
            </w:r>
            <w:r>
              <w:rPr>
                <w:rFonts w:hint="eastAsia" w:ascii="宋体" w:hAnsi="宋体" w:eastAsia="宋体" w:cs="宋体"/>
                <w:color w:val="000000"/>
                <w:sz w:val="24"/>
                <w:lang w:bidi="ar"/>
              </w:rPr>
              <w:br/>
            </w:r>
            <w:r>
              <w:rPr>
                <w:rFonts w:hint="eastAsia" w:ascii="宋体" w:hAnsi="宋体" w:eastAsia="宋体" w:cs="宋体"/>
                <w:color w:val="000000"/>
                <w:sz w:val="24"/>
                <w:lang w:bidi="ar"/>
              </w:rPr>
              <w:t xml:space="preserve">提供体制辨识后结合节气、气候为用户提供适宜的药膳方子，如药膳具体备料指南、烹饪步骤、烹饪时间等。</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自我运动调理方案</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支持推荐科学合理的运动处方，并辅以个性化运动项目、明确目前不适合的运动方式，提供运动监测注意事项视频指导。</w:t>
            </w:r>
            <w:r>
              <w:rPr>
                <w:rFonts w:hint="eastAsia" w:ascii="宋体" w:hAnsi="宋体" w:eastAsia="宋体" w:cs="宋体"/>
                <w:color w:val="000000"/>
                <w:sz w:val="24"/>
                <w:lang w:bidi="ar"/>
              </w:rPr>
              <w:br/>
            </w:r>
            <w:r>
              <w:rPr>
                <w:rFonts w:hint="eastAsia" w:ascii="宋体" w:hAnsi="宋体" w:eastAsia="宋体" w:cs="宋体"/>
                <w:color w:val="000000"/>
                <w:sz w:val="24"/>
                <w:lang w:bidi="ar"/>
              </w:rPr>
              <w:t xml:space="preserve">支持对适合调理的用户根据节气、气候为用户进行适宜当下体质辨识结果的中医特色的健康运动方式，提供通过视频代教体验气功、八段锦、太极等的锻炼方式、方法、时间的指导方案。</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情志自我调养方案</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支持推荐适宜当下体质辨识结果的情志调养方案，为需要情志调养的用户推荐音乐疗法的类型、适宜时间和适宜环境等的推送，如五脏相音、轻音乐、古典音乐、戏曲等。</w:t>
            </w:r>
            <w:r>
              <w:rPr>
                <w:rFonts w:hint="eastAsia" w:ascii="宋体" w:hAnsi="宋体" w:eastAsia="宋体" w:cs="宋体"/>
                <w:color w:val="000000"/>
                <w:sz w:val="24"/>
                <w:lang w:bidi="ar"/>
              </w:rPr>
              <w:br/>
            </w:r>
            <w:r>
              <w:rPr>
                <w:rFonts w:hint="eastAsia" w:ascii="宋体" w:hAnsi="宋体" w:eastAsia="宋体" w:cs="宋体"/>
                <w:color w:val="000000"/>
                <w:sz w:val="24"/>
                <w:lang w:bidi="ar"/>
              </w:rPr>
              <w:t xml:space="preserve">支持通过视频进行正念、冥想等认知行为典型方法的指导，为身体和心理健康减压、降低心率、提高免疫力等提供体验方案。</w:t>
            </w:r>
            <w:r/>
          </w:p>
        </w:tc>
      </w:tr>
      <w:tr>
        <w:trPr>
          <w:jc w:val="center"/>
        </w:trPr>
        <w:tc>
          <w:tcPr>
            <w:tcW w:w="653" w:type="dxa"/>
            <w:vAlign w:val="center"/>
            <w:vMerge w:val="restart"/>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4</w:t>
            </w:r>
            <w:r/>
          </w:p>
        </w:tc>
        <w:tc>
          <w:tcPr>
            <w:tcW w:w="1130" w:type="dxa"/>
            <w:vAlign w:val="center"/>
            <w:vMerge w:val="restart"/>
            <w:textDirection w:val="lrTb"/>
            <w:noWrap w:val="false"/>
          </w:tcPr>
          <w:p>
            <w:pPr>
              <w:jc w:val="center"/>
              <w:spacing w:line="400" w:lineRule="exact"/>
              <w:rPr>
                <w:rFonts w:hint="eastAsia" w:ascii="宋体" w:hAnsi="宋体" w:eastAsia="宋体" w:cs="宋体"/>
                <w:b/>
                <w:bCs/>
                <w:sz w:val="24"/>
              </w:rPr>
            </w:pPr>
            <w:r>
              <w:rPr>
                <w:rFonts w:hint="eastAsia" w:ascii="宋体" w:hAnsi="宋体" w:eastAsia="宋体" w:cs="宋体"/>
                <w:b/>
                <w:bCs/>
                <w:color w:val="000000"/>
                <w:sz w:val="24"/>
              </w:rPr>
              <w:t xml:space="preserve">远程会诊系统对接</w:t>
            </w:r>
            <w:r/>
          </w:p>
        </w:tc>
        <w:tc>
          <w:tcPr>
            <w:tcW w:w="1408" w:type="dxa"/>
            <w:vAlign w:val="center"/>
            <w:vMerge w:val="restart"/>
            <w:textDirection w:val="lrTb"/>
            <w:noWrap/>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中医健康档案</w:t>
            </w:r>
            <w:r/>
          </w:p>
        </w:tc>
        <w:tc>
          <w:tcPr>
            <w:tcW w:w="1708" w:type="dxa"/>
            <w:vAlign w:val="center"/>
            <w:textDirection w:val="lrTb"/>
            <w:noWrap/>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舌象报告</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支持中医可视化舌象报告，内容覆盖舌象原始图片，分析内容覆盖舌色、舌尖、舌形、苔色、厚薄、腐腻；支持舌色指数、苔色指数、胖瘦指数、厚薄指数、腐腻指数、老嫩指数分析，提供指数参考范围。</w:t>
            </w:r>
            <w:r/>
          </w:p>
        </w:tc>
      </w:tr>
      <w:tr>
        <w:trPr>
          <w:jc w:val="center"/>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脉象报告</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sz w:val="28"/>
                <w:szCs w:val="28"/>
              </w:rPr>
              <w:t xml:space="preserve">★</w:t>
            </w:r>
            <w:r>
              <w:rPr>
                <w:rFonts w:hint="eastAsia" w:ascii="宋体" w:hAnsi="宋体" w:eastAsia="宋体" w:cs="宋体"/>
                <w:color w:val="000000"/>
                <w:sz w:val="24"/>
              </w:rPr>
              <w:t xml:space="preserve">支持中医可视化脉象报告，部位覆盖左手、右手寸关尺，支持脉象要素分析图，支持脉象参数波动图，支持脉象参数量化图多维度展示，支持历次不同脉象结果对比，自动识别差异化内容。</w:t>
            </w:r>
            <w:r/>
          </w:p>
        </w:tc>
      </w:tr>
      <w:tr>
        <w:trPr>
          <w:jc w:val="center"/>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面象报告</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支持可视化、结构化的客观面象数据报告展示，支持历史对比。</w:t>
            </w:r>
            <w:r/>
          </w:p>
        </w:tc>
      </w:tr>
      <w:tr>
        <w:trPr>
          <w:jc w:val="center"/>
          <w:trHeight w:val="90"/>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数据标记</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支持对中医客观化舌象、脉象、面象数据，标记专家医生意见。</w:t>
            </w:r>
            <w:r/>
          </w:p>
        </w:tc>
      </w:tr>
      <w:tr>
        <w:trPr>
          <w:jc w:val="center"/>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脉象复现</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支持对接脉象复现仪进行一键复现。</w:t>
            </w:r>
            <w:r/>
          </w:p>
        </w:tc>
      </w:tr>
      <w:tr>
        <w:trPr>
          <w:jc w:val="center"/>
        </w:trPr>
        <w:tc>
          <w:tcPr>
            <w:tcW w:w="653" w:type="dxa"/>
            <w:vAlign w:val="center"/>
            <w:vMerge w:val="restart"/>
            <w:textDirection w:val="lrTb"/>
            <w:noWrap w:val="false"/>
          </w:tcPr>
          <w:p>
            <w:pPr>
              <w:jc w:val="center"/>
              <w:spacing w:line="4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bidi="ar"/>
              </w:rPr>
              <w:t xml:space="preserve">5</w:t>
            </w:r>
            <w:r/>
          </w:p>
        </w:tc>
        <w:tc>
          <w:tcPr>
            <w:tcW w:w="1130" w:type="dxa"/>
            <w:vAlign w:val="center"/>
            <w:vMerge w:val="restart"/>
            <w:textDirection w:val="lrTb"/>
            <w:noWrap w:val="false"/>
          </w:tcPr>
          <w:p>
            <w:pPr>
              <w:jc w:val="center"/>
              <w:spacing w:line="4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bidi="ar"/>
              </w:rPr>
              <w:t xml:space="preserve">中医预诊系统</w:t>
            </w:r>
            <w:r/>
          </w:p>
        </w:tc>
        <w:tc>
          <w:tcPr>
            <w:tcW w:w="1408" w:type="dxa"/>
            <w:vAlign w:val="center"/>
            <w:vMerge w:val="restart"/>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预问诊逻辑问答配置</w:t>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病种模板设计</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根据病种特色，设计并配置对应的预问诊问答，预问诊问答覆盖患者主诉、现病史、既往史、体格检查、中医四诊等信息，预问诊问答需要易于患者理解，方便采集预问诊信息。</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逻辑问答配置</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在预问诊问答过程中能够设置逻辑问答条件，根据患者的回答动态调整后续问题，提高问诊效率。逻辑问答配置不限于逻辑子题、逻辑跳题等基础的逻辑问答。</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问答交互方式</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提供多种预问诊问答采集方式，需满足以下采集方式：文本样式、单选样式、多选样式、日期样式、时间样式、血压样式；单选样式及多选样式需要支持选项说明，如文字说明，图示说明，便于患者在移动端采集时，对于不易理解的症状进行提示说明。</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问题库组件管理</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sz w:val="28"/>
                <w:szCs w:val="28"/>
              </w:rPr>
              <w:t xml:space="preserve">★</w:t>
            </w:r>
            <w:r>
              <w:rPr>
                <w:rFonts w:hint="eastAsia" w:ascii="宋体" w:hAnsi="宋体" w:eastAsia="宋体" w:cs="宋体"/>
                <w:color w:val="000000"/>
                <w:sz w:val="24"/>
                <w:lang w:bidi="ar"/>
              </w:rPr>
              <w:t xml:space="preserve">系统需预设常见的问题题库组件，如患者身高、体重、血压、既往史、遗传病史等临床常见问题，能够支持维护常见题库，支持医生在配置特色病种预问诊的过程中，能够快速引用题库，提高维护便捷性。</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restart"/>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结构化电子病历生成</w:t>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信息采集与整理</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通过患者回答，系统自动采集并整理成指定的中医电子病历信息。</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病历生成</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根据采集的信息自动生成具有中医特色的结构化电子病历。</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中医专科电子病历</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需支持预问诊问答结构化内容通过接口方式直接填充至医生工作站中医专科电子病历中。已提高临床医生工作效率，减少医生手写病历的时间。</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restart"/>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预问诊知识题库</w:t>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题库构建</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构建与中医预诊相关的知识题库，用于支持智能问答和患者教育。</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题目分类与标签</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对题目进行分类和打标签，便于检索和推荐。</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题库更新与维护</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承建厂商需定期更新问题库，确保问题的准确性和专业性，确保内容的时效性和准确性。</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restart"/>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调阅患者预问诊记录</w:t>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患者信息查询</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根据患者信息检索并展示其历史预问诊记录。</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记录导出与分享</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支持将记录导出为电子文档或分享给其他医生。</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隐私保护</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确保患者信息的安全性和隐私性。</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中医专科预问诊推送（患者端）</w:t>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推送逻辑设计</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根据患者就诊阶段，推送合适的中医专科预问诊问卷，如对接互联网医院在预约挂号后，提供预问诊跳转按钮或通过医院微信公众号推送问诊问答消息。</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restart"/>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对话式智能交互问答（患者端）</w:t>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多轮对话支持</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支持基于患者主诉疾病的预问诊问答，支持连续追问，支持多轮逻辑对话。</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问答知识库更新</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根据最新研究成果和患者反馈更新随访问答知识库。</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restart"/>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互联网医院对接（患者端）</w:t>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服务接入</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将中医智能预诊系统接入互联网医院平台，实现线上服务。</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数据安全</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确保在数据传输和存储过程中的数据安全性。</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restart"/>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中医预诊记录查询（医生端）</w:t>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记录查询功能</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提供患者端查询历史中医预诊记录的功能。</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查询结果展示</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以清晰易懂的方式展示查询结果，便于患者理解。如支持症状的解释、图示的说明等</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可视化症状变化分析</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医生端支持自动分析患者症状变化情况，便于医生清晰直观的了解到患者病情。</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restart"/>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中医预诊记录查询（患者端）</w:t>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记录查询功能</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提供患者端查询历史中医预诊记录的功能。</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查询结果展示</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以清晰易懂的方式展示查询结果，便于患者理解。</w:t>
            </w:r>
            <w:r/>
          </w:p>
        </w:tc>
      </w:tr>
      <w:tr>
        <w:trPr>
          <w:jc w:val="center"/>
        </w:trPr>
        <w:tc>
          <w:tcPr>
            <w:tcW w:w="653" w:type="dxa"/>
            <w:vAlign w:val="center"/>
            <w:vMerge w:val="restart"/>
            <w:textDirection w:val="lrTb"/>
            <w:noWrap w:val="false"/>
          </w:tcPr>
          <w:p>
            <w:pPr>
              <w:jc w:val="center"/>
              <w:spacing w:line="4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bidi="ar"/>
              </w:rPr>
              <w:t xml:space="preserve">6</w:t>
            </w:r>
            <w:r/>
          </w:p>
        </w:tc>
        <w:tc>
          <w:tcPr>
            <w:tcW w:w="1130" w:type="dxa"/>
            <w:vAlign w:val="center"/>
            <w:vMerge w:val="restart"/>
            <w:textDirection w:val="lrTb"/>
            <w:noWrap w:val="false"/>
          </w:tcPr>
          <w:p>
            <w:pPr>
              <w:jc w:val="center"/>
              <w:spacing w:line="4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bidi="ar"/>
              </w:rPr>
              <w:t xml:space="preserve">AI随访服务系统</w:t>
            </w:r>
            <w:r/>
          </w:p>
        </w:tc>
        <w:tc>
          <w:tcPr>
            <w:tcW w:w="1408" w:type="dxa"/>
            <w:vAlign w:val="center"/>
            <w:vMerge w:val="restart"/>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随访逻辑问答配置</w:t>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随访模板设计</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根据中医病种特色，设计并配置对应的随访问答，随访问答覆盖患者症状变化情况、生活指标、不良反应事件等信息，随访问答需要易于患者理解，方便采集随访信息。</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逻辑问答配置</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在随访问答过程中能够设置逻辑问答条件，根据患者的回答动态调整后续问题，提高问答效率。逻辑问答配置不限于逻辑子题、逻辑跳题等基础的逻辑问答。</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逻辑问答交互</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提供多种方式的随访问答配置交互采集方式，不少于以下交互采集方式：文本样式、单选样式、多选样式、日期样式、时间样式、血压样式；单选样式及多选样式需要支持选项说明，如文字说明，图示说明，便于患者在移动端采集时，对于不易理解的症状进行提示说明。</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问题库组件管理</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系统需预设常见的问题题库组件，如患者身高、体重、血压、既往史、遗传病史等临床常见问题，能够支持维护常见题库，支持医生在配置特色病种随访的过程中，能够快速引用题库，提高维护便捷性。</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restart"/>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智能随访管理</w:t>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随访任务创建</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系统能够根据疾病的特征规则由医生设定创建随访任务，并分配到对应的工作室或团队成员。支持中医疾病、中医证型筛选患者，支持就诊科室、就诊医生、就诊时间筛选患者并生成任务。</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随访计划提醒</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通过移动应用，自动向患者发送随访计划提醒，确保随访的及时性和有效性。</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随访进度跟踪</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实时显示随访任务的执行进度，便于管理人员掌握随访工作的整体情况。</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restart"/>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随访路径管理</w:t>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随访流程定制</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允许用户根据疾病特点和临床需要，自定义随访的流程和节点。</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随访触发节点</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支持不同节点，多种随访类型触发随访任务，支持发送随访问答，健康宣教，临床量表。</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随访路径优化</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根据历史数据和患者反馈，不断优化随访路径，提高随访效率。</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restart"/>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随访任务管理</w:t>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患者自动入组</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通过对接HIS就诊记录，支持中医疾病、中医证型筛选患者，支持就诊科室、就诊医生、就诊时间筛选患者。</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自动触发随访任务</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支持根据随访路径的时间节点，自动处方随访任务，减少医生的随访工作量，支持自动回收随访记录。</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任务分配与调度</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自动或手动将随访任务分配给具体的团队成员。</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任务进度查询</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医生和团队成员能够随时查询各自任务的完成情况。</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任务反馈与评估</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患者和医生可以对随访任务进行反馈和评价，用于改进随访工作。</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restart"/>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随访执行明细</w:t>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随访记录管理</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自动记录随访过程中的所有信息，包括患者反馈、医生意见等。</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随访数据分析</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对随访数据进行统计分析，为科研和临床提供数据支持。</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restart"/>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患者健康档案</w:t>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档案创建与更新</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系统能够对接HIS、EMR更新患者健康档案。</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档案查询与导出</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医生和团队成员能够方便地查询和导出患者健康档案。</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restart"/>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用户管理</w:t>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用户注册与登录</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支持患者和医生在系统中注册和登录。</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权限设置与分配</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根据角色和职责，设置和分配用户权限，确保系统的安全性和数据的保密性。</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restart"/>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角色管理</w:t>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角色创建与编辑</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允许管理员创建和编辑系统中的角色，定义其职责和权限。</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角色分配与调整</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根据团队成员的实际情况，分配和调整其在系统中的角色和职责。</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医院HIS对接</w:t>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数据同步与共享</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实现与HIS系统的数据同步，确保患者就诊信息的准确性和一致性。</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restart"/>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中医专病随访问答（患者端）</w:t>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问题库管理与维护</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维护中医专病相关的问题库，确保患者能够得到专业的解答。</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智能问答与引导</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支持多轮逻辑对话，支持基于电子病历内容生成与患者相匹配的诊后随访问答。</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restart"/>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量表推送（患者端）</w:t>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量表定制与管理</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允许医生或管理员定制和管理各种量表。</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量表自动推送</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系统能够根据随访计划自动向患者推送量表，并收集和分析患者填写的数据。</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restart"/>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随访记录查询（患者端）</w:t>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记录分类与筛选</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患者可以根据自己的需要，分类和筛选随访记录。</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记录导出与分享</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支持患者将随访记录导出或分享给其他人。</w:t>
            </w:r>
            <w:r/>
          </w:p>
        </w:tc>
      </w:tr>
      <w:tr>
        <w:trPr>
          <w:jc w:val="center"/>
        </w:trPr>
        <w:tc>
          <w:tcPr>
            <w:tcW w:w="653"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互联网医院对接（患者端）</w:t>
            </w:r>
            <w:r/>
          </w:p>
        </w:tc>
        <w:tc>
          <w:tcPr>
            <w:tcW w:w="1708"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服务接入与集成</w:t>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将互联网医院的服务接入到随访系统中，方便患者使用。</w:t>
            </w:r>
            <w:r/>
          </w:p>
        </w:tc>
      </w:tr>
      <w:tr>
        <w:trPr>
          <w:jc w:val="center"/>
        </w:trPr>
        <w:tc>
          <w:tcPr>
            <w:tcW w:w="653" w:type="dxa"/>
            <w:vAlign w:val="center"/>
            <w:vMerge w:val="restart"/>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7</w:t>
            </w:r>
            <w:r/>
          </w:p>
        </w:tc>
        <w:tc>
          <w:tcPr>
            <w:tcW w:w="1130" w:type="dxa"/>
            <w:vAlign w:val="center"/>
            <w:vMerge w:val="restart"/>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名老中医传承</w:t>
            </w:r>
            <w:r/>
          </w:p>
        </w:tc>
        <w:tc>
          <w:tcPr>
            <w:tcW w:w="1408" w:type="dxa"/>
            <w:vAlign w:val="center"/>
            <w:vMerge w:val="restart"/>
            <w:textDirection w:val="lrTb"/>
            <w:noWrap/>
          </w:tcPr>
          <w:p>
            <w:pPr>
              <w:jc w:val="center"/>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名老中医药专家传承工作室建设</w:t>
            </w:r>
            <w:r/>
          </w:p>
        </w:tc>
        <w:tc>
          <w:tcPr>
            <w:tcW w:w="1708" w:type="dxa"/>
            <w:vAlign w:val="center"/>
            <w:textDirection w:val="lrTb"/>
            <w:noWrap/>
          </w:tcPr>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工作室基础管理</w:t>
            </w:r>
            <w:r/>
          </w:p>
        </w:tc>
        <w:tc>
          <w:tcPr>
            <w:tcW w:w="5099" w:type="dxa"/>
            <w:vAlign w:val="center"/>
            <w:textDirection w:val="lrTb"/>
            <w:noWrap/>
          </w:tcPr>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名老中医药专家传承工作室管理、工作室，如工作室的图片、名称、简介、专长介绍。</w:t>
            </w:r>
            <w:r/>
          </w:p>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名老中医药专家传承工作室成员管理，成员基本信息等。</w:t>
            </w:r>
            <w:r/>
          </w:p>
        </w:tc>
      </w:tr>
      <w:tr>
        <w:trPr>
          <w:jc w:val="center"/>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tcPr>
          <w:p>
            <w:pPr>
              <w:jc w:val="center"/>
              <w:spacing w:line="400" w:lineRule="exact"/>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708" w:type="dxa"/>
            <w:vAlign w:val="center"/>
            <w:textDirection w:val="lrTb"/>
            <w:noWrap/>
          </w:tcPr>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工作室活动管理</w:t>
            </w:r>
            <w:r/>
          </w:p>
        </w:tc>
        <w:tc>
          <w:tcPr>
            <w:tcW w:w="5099" w:type="dxa"/>
            <w:vAlign w:val="center"/>
            <w:textDirection w:val="lrTb"/>
            <w:noWrap/>
          </w:tcPr>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支持工作室讲座、读书会、名中医查房、病案讨论、示教观摩、培训等活动的信息管理。</w:t>
            </w:r>
            <w:r/>
          </w:p>
        </w:tc>
      </w:tr>
      <w:tr>
        <w:trPr>
          <w:jc w:val="center"/>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tcPr>
          <w:p>
            <w:pPr>
              <w:jc w:val="center"/>
              <w:spacing w:line="400" w:lineRule="exact"/>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708" w:type="dxa"/>
            <w:vAlign w:val="center"/>
            <w:textDirection w:val="lrTb"/>
            <w:noWrap/>
          </w:tcPr>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工作室资源管理</w:t>
            </w:r>
            <w:r/>
          </w:p>
        </w:tc>
        <w:tc>
          <w:tcPr>
            <w:tcW w:w="5099" w:type="dxa"/>
            <w:vAlign w:val="center"/>
            <w:textDirection w:val="lrTb"/>
            <w:noWrap/>
          </w:tcPr>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支持对医案基本信息进行管理维护，如医案名称、医师姓名、辨证分型、治则治法等；支持复诊管理，如复诊日期、处方用量、中药名等。</w:t>
            </w:r>
            <w:r/>
          </w:p>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支持对年度计划、医话、读书心得、经验、书籍、获奖、专利、论文等基本信息进行管理维护；支持对上述内容进行分享；支持对上述内容进行注解评论。</w:t>
            </w:r>
            <w:r/>
          </w:p>
        </w:tc>
      </w:tr>
      <w:tr>
        <w:trPr>
          <w:jc w:val="center"/>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tcPr>
          <w:p>
            <w:pPr>
              <w:jc w:val="center"/>
              <w:spacing w:line="400" w:lineRule="exact"/>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708" w:type="dxa"/>
            <w:vAlign w:val="center"/>
            <w:textDirection w:val="lrTb"/>
            <w:noWrap/>
          </w:tcPr>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工作室学员信息管理</w:t>
            </w:r>
            <w:r/>
          </w:p>
        </w:tc>
        <w:tc>
          <w:tcPr>
            <w:tcW w:w="5099" w:type="dxa"/>
            <w:vAlign w:val="center"/>
            <w:textDirection w:val="lrTb"/>
            <w:noWrap/>
          </w:tcPr>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支持对名老中医工作室学员信息进行管理维护，如基本信息、姓名、性别。支持跟师申请查询、跟师批准、跟师管理等。支持对论文基本信息进行管理维护，如论文标题、论文内容编写、上传相关附件；实现论文分享管理。支持查询学员考核成绩，如按学员姓名、分数排序查询；支持查看考核结果和详情。</w:t>
            </w:r>
            <w:r>
              <w:rPr>
                <w:rFonts w:hint="eastAsia" w:ascii="宋体" w:hAnsi="宋体" w:eastAsia="宋体" w:cs="宋体"/>
                <w:sz w:val="24"/>
              </w:rPr>
              <w:t xml:space="preserve"> </w:t>
            </w:r>
            <w:r>
              <w:rPr>
                <w:rFonts w:hint="eastAsia" w:ascii="宋体" w:hAnsi="宋体" w:eastAsia="宋体" w:cs="宋体"/>
                <w:color w:val="000000"/>
                <w:sz w:val="24"/>
                <w:lang w:bidi="ar"/>
              </w:rPr>
              <w:t xml:space="preserve">支持查看学员跟师笔记和模拟开方统计数据。</w:t>
            </w:r>
            <w:r/>
          </w:p>
        </w:tc>
      </w:tr>
      <w:tr>
        <w:trPr>
          <w:jc w:val="center"/>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restart"/>
            <w:textDirection w:val="lrTb"/>
            <w:noWrap/>
          </w:tcPr>
          <w:p>
            <w:pPr>
              <w:jc w:val="center"/>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名老中医跟师学习</w:t>
            </w:r>
            <w:r/>
          </w:p>
        </w:tc>
        <w:tc>
          <w:tcPr>
            <w:tcW w:w="1708" w:type="dxa"/>
            <w:vAlign w:val="center"/>
            <w:textDirection w:val="lrTb"/>
            <w:noWrap/>
          </w:tcPr>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活态传承</w:t>
            </w:r>
            <w:r/>
          </w:p>
        </w:tc>
        <w:tc>
          <w:tcPr>
            <w:tcW w:w="5099" w:type="dxa"/>
            <w:vAlign w:val="center"/>
            <w:textDirection w:val="lrTb"/>
            <w:noWrap/>
          </w:tcPr>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支持各个工作室视频上传、管理和下载</w:t>
            </w:r>
            <w:r/>
          </w:p>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建立医案、影像学习资料、音频学习资料之间的索引关联。</w:t>
            </w:r>
            <w:r/>
          </w:p>
        </w:tc>
      </w:tr>
      <w:tr>
        <w:trPr>
          <w:jc w:val="center"/>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tcPr>
          <w:p>
            <w:pPr>
              <w:jc w:val="center"/>
              <w:spacing w:line="400" w:lineRule="exact"/>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708" w:type="dxa"/>
            <w:vAlign w:val="center"/>
            <w:textDirection w:val="lrTb"/>
            <w:noWrap/>
          </w:tcPr>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跟师抄方</w:t>
            </w:r>
            <w:r/>
          </w:p>
        </w:tc>
        <w:tc>
          <w:tcPr>
            <w:tcW w:w="5099" w:type="dxa"/>
            <w:vAlign w:val="center"/>
            <w:textDirection w:val="lrTb"/>
            <w:noWrap/>
          </w:tcPr>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支持跟师过程数据查看，统计跟师笔记、学习心得、模拟开方等跟师过程数据。</w:t>
            </w:r>
            <w:r/>
          </w:p>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支持智能生成跟师笔记。</w:t>
            </w:r>
            <w:r/>
          </w:p>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支持学生在线提交学习心得。</w:t>
            </w:r>
            <w:r/>
          </w:p>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支持老师对学生当前病历进行批注。</w:t>
            </w:r>
            <w:r/>
          </w:p>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支持老师和学生针对某个病历在线进行沟通交流。</w:t>
            </w:r>
            <w:r/>
          </w:p>
        </w:tc>
      </w:tr>
      <w:tr>
        <w:trPr>
          <w:jc w:val="center"/>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tcPr>
          <w:p>
            <w:pPr>
              <w:jc w:val="center"/>
              <w:spacing w:line="400" w:lineRule="exact"/>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708" w:type="dxa"/>
            <w:vAlign w:val="center"/>
            <w:textDirection w:val="lrTb"/>
            <w:noWrap/>
          </w:tcPr>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模拟开方</w:t>
            </w:r>
            <w:r/>
          </w:p>
        </w:tc>
        <w:tc>
          <w:tcPr>
            <w:tcW w:w="5099" w:type="dxa"/>
            <w:vAlign w:val="center"/>
            <w:textDirection w:val="lrTb"/>
            <w:noWrap/>
          </w:tcPr>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支持学员模拟中医开方；支持模拟处方记录查看和删除等操作。</w:t>
            </w:r>
            <w:r/>
          </w:p>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支持学生从典型病历库中选择老师病历进行模拟开方。</w:t>
            </w:r>
            <w:r/>
          </w:p>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系统自动批注学生开方和老师开方的差异之处。</w:t>
            </w:r>
            <w:r/>
          </w:p>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支持老师挑选典型病历加入典型病历库。</w:t>
            </w:r>
            <w:r/>
          </w:p>
        </w:tc>
      </w:tr>
      <w:tr>
        <w:trPr>
          <w:jc w:val="center"/>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tcPr>
          <w:p>
            <w:pPr>
              <w:jc w:val="center"/>
              <w:spacing w:line="400" w:lineRule="exact"/>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708" w:type="dxa"/>
            <w:vAlign w:val="center"/>
            <w:textDirection w:val="lrTb"/>
            <w:noWrap/>
          </w:tcPr>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经验学习</w:t>
            </w:r>
            <w:r/>
          </w:p>
        </w:tc>
        <w:tc>
          <w:tcPr>
            <w:tcW w:w="5099" w:type="dxa"/>
            <w:vAlign w:val="center"/>
            <w:textDirection w:val="lrTb"/>
            <w:noWrap/>
          </w:tcPr>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支持工作室发布老中医药专家经验传承学习资料，如诊疗方案。</w:t>
            </w:r>
            <w:r/>
          </w:p>
        </w:tc>
      </w:tr>
      <w:tr>
        <w:trPr>
          <w:jc w:val="center"/>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tcPr>
          <w:p>
            <w:pPr>
              <w:jc w:val="center"/>
              <w:spacing w:line="400" w:lineRule="exact"/>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708" w:type="dxa"/>
            <w:vAlign w:val="center"/>
            <w:textDirection w:val="lrTb"/>
            <w:noWrap/>
          </w:tcPr>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在线考核</w:t>
            </w:r>
            <w:r/>
          </w:p>
        </w:tc>
        <w:tc>
          <w:tcPr>
            <w:tcW w:w="5099" w:type="dxa"/>
            <w:vAlign w:val="center"/>
            <w:textDirection w:val="lrTb"/>
            <w:noWrap/>
          </w:tcPr>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支持设置单选题、多选题、问答题、模拟接诊处方等格式题目。</w:t>
            </w:r>
            <w:r/>
          </w:p>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支持对试卷进行浏览和批阅；支持客观题进行自动阅卷。</w:t>
            </w:r>
            <w:r/>
          </w:p>
        </w:tc>
      </w:tr>
      <w:tr>
        <w:trPr>
          <w:jc w:val="center"/>
          <w:trHeight w:val="90"/>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tcPr>
          <w:p>
            <w:pPr>
              <w:jc w:val="center"/>
              <w:spacing w:line="400" w:lineRule="exact"/>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708" w:type="dxa"/>
            <w:vAlign w:val="center"/>
            <w:textDirection w:val="lrTb"/>
            <w:noWrap/>
          </w:tcPr>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模拟接诊</w:t>
            </w:r>
            <w:r/>
          </w:p>
        </w:tc>
        <w:tc>
          <w:tcPr>
            <w:tcW w:w="5099" w:type="dxa"/>
            <w:vAlign w:val="center"/>
            <w:textDirection w:val="lrTb"/>
            <w:noWrap/>
          </w:tcPr>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支持模拟接诊在线答题，学员可进行诊断、开方，老师可进行批阅打分等功能。</w:t>
            </w:r>
            <w:r/>
          </w:p>
        </w:tc>
      </w:tr>
      <w:tr>
        <w:trPr>
          <w:jc w:val="center"/>
          <w:trHeight w:val="315"/>
        </w:trPr>
        <w:tc>
          <w:tcPr>
            <w:tcW w:w="653" w:type="dxa"/>
            <w:vAlign w:val="center"/>
            <w:vMerge w:val="restart"/>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restart"/>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restart"/>
            <w:textDirection w:val="lrTb"/>
            <w:noWrap/>
          </w:tcPr>
          <w:p>
            <w:pPr>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医案文献挖掘分析</w:t>
            </w:r>
            <w:r/>
          </w:p>
        </w:tc>
        <w:tc>
          <w:tcPr>
            <w:tcW w:w="1708" w:type="dxa"/>
            <w:vAlign w:val="center"/>
            <w:textDirection w:val="lrTb"/>
            <w:noWrap/>
          </w:tcPr>
          <w:p>
            <w:pPr>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医案建立</w:t>
            </w:r>
            <w:r/>
          </w:p>
        </w:tc>
        <w:tc>
          <w:tcPr>
            <w:tcW w:w="5099" w:type="dxa"/>
            <w:vAlign w:val="center"/>
            <w:textDirection w:val="lrTb"/>
            <w:noWrap/>
          </w:tcPr>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支持自建或同步开方系统病历；建立名老中医专病数据库。</w:t>
            </w:r>
            <w:r/>
          </w:p>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支持应用于临床辅助决策和中医诊断教学。</w:t>
            </w:r>
            <w:r/>
          </w:p>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支持化验单图片的上传，化验单图片内检查指标数据自动识别和</w:t>
            </w:r>
            <w:r>
              <w:rPr>
                <w:rFonts w:hint="eastAsia" w:ascii="宋体" w:hAnsi="宋体" w:eastAsia="宋体" w:cs="宋体"/>
                <w:color w:val="000000"/>
                <w:sz w:val="24"/>
                <w:lang w:bidi="ar"/>
              </w:rPr>
              <w:t xml:space="preserve">提取，并可将数据指标自动构化处理填入问诊单。支持舌象图像上传，或即时拍摄舌象图片。可识别舌色、苔色、舌形、苔质、津液、舌下脉络。支持通过在线的方式或扫码的方式进行量表填写，量表数量不少于9种，包括汉密顿抑郁量表、IBS-QOL量表、汉密尔顿焦虑量表、内脏敏感指数量表、匹兹堡睡眠质量指数量表、焦虑自评量表（GAD-7）、失眠严重指数（ISI）、抑郁自评量表PHQ-9、躯体化症状群量表（PHQ-15）等，量表填写提交之后，系统可自动进行分数统计，并可将分数自动填入专病问诊单；支持在病历记录中查看关联的量表详情。</w:t>
            </w:r>
            <w:r/>
          </w:p>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sz w:val="28"/>
                <w:szCs w:val="28"/>
              </w:rPr>
              <w:t xml:space="preserve">★</w:t>
            </w:r>
            <w:r>
              <w:rPr>
                <w:rFonts w:hint="eastAsia" w:ascii="宋体" w:hAnsi="宋体" w:eastAsia="宋体" w:cs="宋体"/>
                <w:color w:val="000000"/>
                <w:sz w:val="24"/>
                <w:lang w:bidi="ar"/>
              </w:rPr>
              <w:t xml:space="preserve">支持将非结构化的病历自动进行结构化处理，结构化的数据自动分类，包括基本信息、现病史、诊断、处方，并可一键将结构化信息填入专病问诊断和处方中，保存后生成结构化电子病历。</w:t>
            </w:r>
            <w:r/>
          </w:p>
        </w:tc>
      </w:tr>
      <w:tr>
        <w:trPr>
          <w:jc w:val="center"/>
          <w:trHeight w:val="315"/>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tcPr>
          <w:p>
            <w:pPr>
              <w:spacing w:line="400" w:lineRule="exact"/>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708" w:type="dxa"/>
            <w:vAlign w:val="center"/>
            <w:textDirection w:val="lrTb"/>
            <w:noWrap/>
          </w:tcPr>
          <w:p>
            <w:pPr>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医案数据挖掘分析</w:t>
            </w:r>
            <w:r/>
          </w:p>
        </w:tc>
        <w:tc>
          <w:tcPr>
            <w:tcW w:w="5099" w:type="dxa"/>
            <w:vAlign w:val="center"/>
            <w:textDirection w:val="lrTb"/>
            <w:noWrap/>
          </w:tcPr>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支持临床中四诊、病症、证型、治法、处方、用药等频次统计，并能以图表和表格的形式展示统计的数据。</w:t>
            </w:r>
            <w:r/>
          </w:p>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支持病历数据添加进分析池进行管理。</w:t>
            </w:r>
            <w:r/>
          </w:p>
        </w:tc>
      </w:tr>
      <w:tr>
        <w:trPr>
          <w:jc w:val="center"/>
          <w:trHeight w:val="315"/>
        </w:trPr>
        <w:tc>
          <w:tcPr>
            <w:tcW w:w="653" w:type="dxa"/>
            <w:vAlign w:val="center"/>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8</w:t>
            </w:r>
            <w:r/>
          </w:p>
        </w:tc>
        <w:tc>
          <w:tcPr>
            <w:tcW w:w="1130" w:type="dxa"/>
            <w:vAlign w:val="center"/>
            <w:textDirection w:val="lrTb"/>
            <w:noWrap w:val="false"/>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接口开发</w:t>
            </w:r>
            <w:r/>
          </w:p>
        </w:tc>
        <w:tc>
          <w:tcPr>
            <w:tcW w:w="1408" w:type="dxa"/>
            <w:vAlign w:val="center"/>
            <w:textDirection w:val="lrTb"/>
            <w:noWrap/>
          </w:tcPr>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移动端接口</w:t>
            </w:r>
            <w:r/>
          </w:p>
        </w:tc>
        <w:tc>
          <w:tcPr>
            <w:tcW w:w="1708" w:type="dxa"/>
            <w:vAlign w:val="center"/>
            <w:textDirection w:val="lrTb"/>
            <w:noWrap/>
          </w:tcPr>
          <w:p>
            <w:pPr>
              <w:jc w:val="center"/>
              <w:spacing w:line="400" w:lineRule="exact"/>
              <w:widowControl/>
              <w:rPr>
                <w:rFonts w:hint="eastAsia" w:ascii="宋体" w:hAnsi="宋体" w:eastAsia="宋体" w:cs="宋体"/>
                <w:color w:val="000000"/>
                <w:sz w:val="24"/>
                <w:lang w:bidi="ar"/>
              </w:rPr>
            </w:pPr>
            <w:r>
              <w:rPr>
                <w:rFonts w:hint="eastAsia" w:ascii="宋体" w:hAnsi="宋体" w:eastAsia="宋体" w:cs="宋体"/>
                <w:sz w:val="24"/>
              </w:rPr>
              <w:t xml:space="preserve">移动端接口</w:t>
            </w:r>
            <w:r/>
          </w:p>
        </w:tc>
        <w:tc>
          <w:tcPr>
            <w:tcW w:w="5099" w:type="dxa"/>
            <w:vAlign w:val="center"/>
            <w:textDirection w:val="lrTb"/>
            <w:noWrap/>
          </w:tcPr>
          <w:p>
            <w:pPr>
              <w:jc w:val="left"/>
              <w:spacing w:line="400" w:lineRule="exact"/>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智慧中医微信小程序接口，包括随访、预问诊、健康管理、医院信息系统等接口</w:t>
            </w:r>
            <w:r/>
          </w:p>
        </w:tc>
      </w:tr>
      <w:tr>
        <w:trPr>
          <w:jc w:val="center"/>
          <w:trHeight w:val="570"/>
        </w:trPr>
        <w:tc>
          <w:tcPr>
            <w:tcW w:w="653" w:type="dxa"/>
            <w:vAlign w:val="center"/>
            <w:vMerge w:val="restart"/>
            <w:textDirection w:val="lrTb"/>
            <w:noWrap/>
          </w:tcPr>
          <w:p>
            <w:pPr>
              <w:jc w:val="center"/>
              <w:spacing w:line="4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bidi="ar"/>
              </w:rPr>
              <w:t xml:space="preserve">9</w:t>
            </w:r>
            <w:r/>
          </w:p>
        </w:tc>
        <w:tc>
          <w:tcPr>
            <w:tcW w:w="1130" w:type="dxa"/>
            <w:vAlign w:val="center"/>
            <w:vMerge w:val="restart"/>
            <w:textDirection w:val="lrTb"/>
            <w:noWrap/>
          </w:tcPr>
          <w:p>
            <w:pPr>
              <w:jc w:val="center"/>
              <w:spacing w:line="4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bidi="ar"/>
              </w:rPr>
              <w:t xml:space="preserve">智能硬件</w:t>
            </w:r>
            <w:r/>
          </w:p>
        </w:tc>
        <w:tc>
          <w:tcPr>
            <w:tcW w:w="1408" w:type="dxa"/>
            <w:vAlign w:val="center"/>
            <w:vMerge w:val="restart"/>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（中医四诊仪）</w:t>
            </w:r>
            <w:r>
              <w:rPr>
                <w:rFonts w:hint="eastAsia" w:ascii="宋体" w:hAnsi="宋体" w:eastAsia="宋体" w:cs="宋体"/>
                <w:color w:val="000000"/>
                <w:sz w:val="24"/>
                <w:lang w:bidi="ar"/>
              </w:rPr>
              <w:br/>
            </w:r>
            <w:r>
              <w:rPr>
                <w:rFonts w:hint="eastAsia" w:ascii="宋体" w:hAnsi="宋体" w:eastAsia="宋体" w:cs="宋体"/>
                <w:color w:val="000000"/>
                <w:sz w:val="24"/>
                <w:lang w:bidi="ar"/>
              </w:rPr>
              <w:t xml:space="preserve">舌面脉信息采集体质辨识系统</w:t>
            </w:r>
            <w:r/>
          </w:p>
        </w:tc>
        <w:tc>
          <w:tcPr>
            <w:tcW w:w="1708" w:type="dxa"/>
            <w:vAlign w:val="center"/>
            <w:vMerge w:val="restart"/>
            <w:textDirection w:val="lrTb"/>
            <w:noWrap/>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设备基础要求</w:t>
            </w:r>
            <w:r/>
          </w:p>
        </w:tc>
        <w:tc>
          <w:tcPr>
            <w:tcW w:w="5099" w:type="dxa"/>
            <w:vAlign w:val="center"/>
            <w:textDirection w:val="lrTb"/>
            <w:noWrap w:val="false"/>
          </w:tcPr>
          <w:p>
            <w:pP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通过软硬一体化的形式实现快速采集临床四诊信息，实现舌象、面色、脉象、体质信息的数字化采集功能，系统自动提取信息进入后台进行分析，并可随时调阅查看。系统由分析主机、预装软件、舌面诊采集模块、脉诊采集模块组成。</w:t>
            </w:r>
            <w:r/>
          </w:p>
        </w:tc>
      </w:tr>
      <w:tr>
        <w:trPr>
          <w:jc w:val="center"/>
          <w:trHeight w:val="285"/>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vMerge w:val="continue"/>
            <w:textDirection w:val="lrTb"/>
            <w:noWrap/>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099" w:type="dxa"/>
            <w:vAlign w:val="center"/>
            <w:textDirection w:val="lrTb"/>
            <w:noWrap w:val="false"/>
          </w:tcPr>
          <w:p>
            <w:pP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二类医疗器械注册证上须明确注明具有“舌面信息”“脉象信息”“体质信息”的数据采集功能。</w:t>
            </w:r>
            <w:r/>
          </w:p>
        </w:tc>
      </w:tr>
      <w:tr>
        <w:trPr>
          <w:jc w:val="center"/>
          <w:trHeight w:val="285"/>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vMerge w:val="continue"/>
            <w:textDirection w:val="lrTb"/>
            <w:noWrap/>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099" w:type="dxa"/>
            <w:vAlign w:val="center"/>
            <w:textDirection w:val="lrTb"/>
            <w:noWrap w:val="false"/>
          </w:tcPr>
          <w:p>
            <w:pP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通过多点触控实现人机交互，无需借助键鼠。</w:t>
            </w:r>
            <w:r/>
          </w:p>
        </w:tc>
      </w:tr>
      <w:tr>
        <w:trPr>
          <w:jc w:val="center"/>
          <w:trHeight w:val="285"/>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vMerge w:val="restart"/>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设备安全性要求</w:t>
            </w:r>
            <w:r/>
          </w:p>
        </w:tc>
        <w:tc>
          <w:tcPr>
            <w:tcW w:w="5099" w:type="dxa"/>
            <w:vAlign w:val="center"/>
            <w:textDirection w:val="lrTb"/>
            <w:noWrap/>
          </w:tcPr>
          <w:p>
            <w:pP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外加力学量施加装置的安全限值：自动加载的外加力学量施加装置在正常工作状态及单一故障状态下最大外加力学量不应超过45kPa。</w:t>
            </w:r>
            <w:r/>
          </w:p>
        </w:tc>
      </w:tr>
      <w:tr>
        <w:trPr>
          <w:jc w:val="center"/>
          <w:trHeight w:val="285"/>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099" w:type="dxa"/>
            <w:vAlign w:val="center"/>
            <w:textDirection w:val="lrTb"/>
            <w:noWrap/>
          </w:tcPr>
          <w:p>
            <w:pP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传感器为防过载传感器，具有过载保护功能，脉象采集传感器触力面可承受：≥5kg过载。</w:t>
            </w:r>
            <w:r/>
          </w:p>
        </w:tc>
      </w:tr>
      <w:tr>
        <w:trPr>
          <w:jc w:val="center"/>
          <w:trHeight w:val="285"/>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099" w:type="dxa"/>
            <w:vAlign w:val="center"/>
            <w:textDirection w:val="lrTb"/>
            <w:noWrap/>
          </w:tcPr>
          <w:p>
            <w:pP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设备具有泄压措施，设备在正常状态和单一故障状态时，均可在10s内将外加压降低到2 kPa（15 mmHg）以下，电源中断时也满足此要求。</w:t>
            </w:r>
            <w:r/>
          </w:p>
        </w:tc>
      </w:tr>
      <w:tr>
        <w:trPr>
          <w:jc w:val="center"/>
          <w:trHeight w:val="570"/>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099" w:type="dxa"/>
            <w:vAlign w:val="center"/>
            <w:textDirection w:val="lrTb"/>
            <w:noWrap/>
          </w:tcPr>
          <w:p>
            <w:pP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腕带与传感器为整体式结构，可在任意状态下解除传感器与患者之间的接触，解除传感器模块对患者取脉部位的束缚。</w:t>
            </w:r>
            <w:r/>
          </w:p>
        </w:tc>
      </w:tr>
      <w:tr>
        <w:trPr>
          <w:jc w:val="center"/>
          <w:trHeight w:val="285"/>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vMerge w:val="restart"/>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设备技术性能要求</w:t>
            </w:r>
            <w:r/>
          </w:p>
        </w:tc>
        <w:tc>
          <w:tcPr>
            <w:tcW w:w="5099" w:type="dxa"/>
            <w:vAlign w:val="center"/>
            <w:textDirection w:val="lrTb"/>
            <w:noWrap w:val="false"/>
          </w:tcPr>
          <w:p>
            <w:pP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外加力学量准确性：设备可设定外加力学量，设定值的最大允许误差为±10%。</w:t>
            </w:r>
            <w:r/>
          </w:p>
        </w:tc>
      </w:tr>
      <w:tr>
        <w:trPr>
          <w:jc w:val="center"/>
          <w:trHeight w:val="285"/>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099" w:type="dxa"/>
            <w:vAlign w:val="center"/>
            <w:textDirection w:val="lrTb"/>
            <w:noWrap w:val="false"/>
          </w:tcPr>
          <w:p>
            <w:pP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脉压准确性：显示值的最大允许误差±6%。</w:t>
            </w:r>
            <w:r/>
          </w:p>
        </w:tc>
      </w:tr>
      <w:tr>
        <w:trPr>
          <w:jc w:val="center"/>
          <w:trHeight w:val="285"/>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099" w:type="dxa"/>
            <w:vAlign w:val="center"/>
            <w:textDirection w:val="lrTb"/>
            <w:noWrap w:val="false"/>
          </w:tcPr>
          <w:p>
            <w:pP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传感器的有效表面与脉管垂直的尺寸在20 mm-30 mm之间。</w:t>
            </w:r>
            <w:r/>
          </w:p>
        </w:tc>
      </w:tr>
      <w:tr>
        <w:trPr>
          <w:jc w:val="center"/>
          <w:trHeight w:val="285"/>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099" w:type="dxa"/>
            <w:vAlign w:val="center"/>
            <w:textDirection w:val="lrTb"/>
            <w:noWrap w:val="false"/>
          </w:tcPr>
          <w:p>
            <w:pP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设备在正常工作时的噪声应≤50dB(A)。</w:t>
            </w:r>
            <w:r/>
          </w:p>
        </w:tc>
      </w:tr>
      <w:tr>
        <w:trPr>
          <w:jc w:val="center"/>
          <w:trHeight w:val="570"/>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099" w:type="dxa"/>
            <w:vAlign w:val="center"/>
            <w:textDirection w:val="lrTb"/>
            <w:noWrap w:val="false"/>
          </w:tcPr>
          <w:p>
            <w:pPr>
              <w:spacing w:line="400" w:lineRule="exact"/>
              <w:widowControl/>
              <w:rPr>
                <w:rFonts w:hint="eastAsia" w:ascii="宋体" w:hAnsi="宋体" w:eastAsia="宋体" w:cs="宋体"/>
                <w:color w:val="000000"/>
                <w:sz w:val="24"/>
              </w:rPr>
            </w:pPr>
            <w:r>
              <w:rPr>
                <w:rFonts w:hint="eastAsia" w:ascii="宋体" w:hAnsi="宋体" w:eastAsia="宋体" w:cs="宋体"/>
                <w:sz w:val="28"/>
                <w:szCs w:val="28"/>
              </w:rPr>
              <w:t xml:space="preserve">★</w:t>
            </w:r>
            <w:r>
              <w:rPr>
                <w:rFonts w:hint="eastAsia" w:ascii="宋体" w:hAnsi="宋体" w:eastAsia="宋体" w:cs="宋体"/>
                <w:color w:val="000000"/>
                <w:sz w:val="24"/>
                <w:lang w:bidi="ar"/>
              </w:rPr>
              <w:t xml:space="preserve">传感器数量：单个腕带上装配有3组传感器，可同时获取寸关尺3部脉图。</w:t>
            </w:r>
            <w:r>
              <w:rPr>
                <w:rFonts w:hint="eastAsia" w:ascii="宋体" w:hAnsi="宋体" w:eastAsia="宋体" w:cs="宋体"/>
                <w:b/>
                <w:bCs/>
                <w:color w:val="000000"/>
                <w:sz w:val="24"/>
                <w:lang w:bidi="ar"/>
              </w:rPr>
              <w:t xml:space="preserve">（</w:t>
            </w:r>
            <w:r>
              <w:rPr>
                <w:rFonts w:hint="eastAsia" w:ascii="宋体" w:hAnsi="宋体" w:eastAsia="宋体" w:cs="宋体"/>
                <w:b/>
                <w:bCs/>
                <w:sz w:val="24"/>
              </w:rPr>
              <w:t xml:space="preserve">需提供第三方权威机构出具的检测报告扫描件</w:t>
            </w:r>
            <w:r>
              <w:rPr>
                <w:rFonts w:hint="eastAsia" w:ascii="宋体" w:hAnsi="宋体" w:eastAsia="宋体" w:cs="宋体"/>
                <w:b/>
                <w:bCs/>
                <w:color w:val="000000"/>
                <w:sz w:val="24"/>
                <w:lang w:bidi="ar"/>
              </w:rPr>
              <w:t xml:space="preserve">）</w:t>
            </w:r>
            <w:r/>
          </w:p>
        </w:tc>
      </w:tr>
      <w:tr>
        <w:trPr>
          <w:jc w:val="center"/>
          <w:trHeight w:val="285"/>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099" w:type="dxa"/>
            <w:vAlign w:val="center"/>
            <w:textDirection w:val="lrTb"/>
            <w:noWrap w:val="false"/>
          </w:tcPr>
          <w:p>
            <w:pP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照度允差：±8%。</w:t>
            </w:r>
            <w:r/>
          </w:p>
        </w:tc>
      </w:tr>
      <w:tr>
        <w:trPr>
          <w:jc w:val="center"/>
          <w:trHeight w:val="285"/>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099" w:type="dxa"/>
            <w:vAlign w:val="center"/>
            <w:textDirection w:val="lrTb"/>
            <w:noWrap w:val="false"/>
          </w:tcPr>
          <w:p>
            <w:pP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相关色温在5000 K～5700 K范围内。</w:t>
            </w:r>
            <w:r/>
          </w:p>
        </w:tc>
      </w:tr>
      <w:tr>
        <w:trPr>
          <w:jc w:val="center"/>
          <w:trHeight w:val="285"/>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099" w:type="dxa"/>
            <w:vAlign w:val="center"/>
            <w:textDirection w:val="lrTb"/>
            <w:noWrap w:val="false"/>
          </w:tcPr>
          <w:p>
            <w:pP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显色指数（Ra）≥96。</w:t>
            </w:r>
            <w:r/>
          </w:p>
        </w:tc>
      </w:tr>
      <w:tr>
        <w:trPr>
          <w:jc w:val="center"/>
          <w:trHeight w:val="285"/>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099" w:type="dxa"/>
            <w:vAlign w:val="center"/>
            <w:textDirection w:val="lrTb"/>
            <w:noWrap w:val="false"/>
          </w:tcPr>
          <w:p>
            <w:pP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分辨率≥ 5lp/mm。</w:t>
            </w:r>
            <w:r/>
          </w:p>
        </w:tc>
      </w:tr>
      <w:tr>
        <w:trPr>
          <w:jc w:val="center"/>
          <w:trHeight w:val="285"/>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099" w:type="dxa"/>
            <w:vAlign w:val="center"/>
            <w:textDirection w:val="lrTb"/>
            <w:noWrap w:val="false"/>
          </w:tcPr>
          <w:p>
            <w:pP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辐射照度：设备在300 nm～2500 nm光谱范围内的辐照度不超过350 W/㎡。</w:t>
            </w:r>
            <w:r/>
          </w:p>
        </w:tc>
      </w:tr>
      <w:tr>
        <w:trPr>
          <w:jc w:val="center"/>
          <w:trHeight w:val="285"/>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099" w:type="dxa"/>
            <w:vAlign w:val="center"/>
            <w:textDirection w:val="lrTb"/>
            <w:noWrap w:val="false"/>
          </w:tcPr>
          <w:p>
            <w:pP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紫外辐射照度：设备在200 nm～400 nm光谱范围内的紫外辐照度不超过0.008 W/㎡。</w:t>
            </w:r>
            <w:r/>
          </w:p>
        </w:tc>
      </w:tr>
      <w:tr>
        <w:trPr>
          <w:jc w:val="center"/>
          <w:trHeight w:val="285"/>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099" w:type="dxa"/>
            <w:vAlign w:val="center"/>
            <w:textDirection w:val="lrTb"/>
            <w:noWrap w:val="false"/>
          </w:tcPr>
          <w:p>
            <w:pP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彩色还原：成像装置应能对色彩准确还原，使标准色卡上色彩得到重现，各色在CIE LAB色空间色色差不得超过20。</w:t>
            </w:r>
            <w:r/>
          </w:p>
        </w:tc>
      </w:tr>
      <w:tr>
        <w:trPr>
          <w:jc w:val="center"/>
          <w:trHeight w:val="285"/>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099" w:type="dxa"/>
            <w:vAlign w:val="center"/>
            <w:textDirection w:val="lrTb"/>
            <w:noWrap w:val="false"/>
          </w:tcPr>
          <w:p>
            <w:pP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相对畸变不超过±5%。</w:t>
            </w:r>
            <w:r/>
          </w:p>
        </w:tc>
      </w:tr>
      <w:tr>
        <w:trPr>
          <w:jc w:val="center"/>
          <w:trHeight w:val="285"/>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099" w:type="dxa"/>
            <w:vAlign w:val="center"/>
            <w:textDirection w:val="lrTb"/>
            <w:noWrap w:val="false"/>
          </w:tcPr>
          <w:p>
            <w:pP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设备最大像素不低于800万。</w:t>
            </w:r>
            <w:r/>
          </w:p>
        </w:tc>
      </w:tr>
      <w:tr>
        <w:trPr>
          <w:jc w:val="center"/>
          <w:trHeight w:val="330"/>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vMerge w:val="restart"/>
            <w:textDirection w:val="lrTb"/>
            <w:noWrap w:val="false"/>
          </w:tcPr>
          <w:p>
            <w:pPr>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设备功能性要求</w:t>
            </w:r>
            <w:r/>
          </w:p>
        </w:tc>
        <w:tc>
          <w:tcPr>
            <w:tcW w:w="5099" w:type="dxa"/>
            <w:vAlign w:val="center"/>
            <w:textDirection w:val="lrTb"/>
            <w:noWrap/>
          </w:tcPr>
          <w:p>
            <w:pP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脉诊模块可在报告中以图表形式输出脉象要素分析结果，至少应包含脉位偏差分析图、脉率偏差分析图、脉型要素分析图，具象地体现中医临床脉诊中总按对比六部脉象的手法，有效辨别脏腑总体状态。</w:t>
            </w:r>
            <w:r/>
          </w:p>
        </w:tc>
      </w:tr>
      <w:tr>
        <w:trPr>
          <w:jc w:val="center"/>
          <w:trHeight w:val="330"/>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099" w:type="dxa"/>
            <w:vAlign w:val="center"/>
            <w:textDirection w:val="lrTb"/>
            <w:noWrap/>
          </w:tcPr>
          <w:p>
            <w:pP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可根据左右手寸关尺的脉象要素特征结果，自动给出整体脉象特征结论。</w:t>
            </w:r>
            <w:r/>
          </w:p>
        </w:tc>
      </w:tr>
      <w:tr>
        <w:trPr>
          <w:jc w:val="center"/>
          <w:trHeight w:val="330"/>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099" w:type="dxa"/>
            <w:vAlign w:val="center"/>
            <w:textDirection w:val="lrTb"/>
            <w:noWrap/>
          </w:tcPr>
          <w:p>
            <w:pP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脉诊模块可在报告中输出脉象参数量化表，至少应包含脉率、节律、脉力、紧张度、流利度，提供脉象可量化数据，便于临床评价干预治疗的有效性。</w:t>
            </w:r>
            <w:r/>
          </w:p>
        </w:tc>
      </w:tr>
      <w:tr>
        <w:trPr>
          <w:jc w:val="center"/>
          <w:trHeight w:val="330"/>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099" w:type="dxa"/>
            <w:vAlign w:val="center"/>
            <w:textDirection w:val="lrTb"/>
            <w:noWrap/>
          </w:tcPr>
          <w:p>
            <w:pP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脉象参数量化表中提供各参数的参考范围，若检测结果相对参考值偏高或偏低，通过↑和↓符号予以标识。</w:t>
            </w:r>
            <w:r/>
          </w:p>
        </w:tc>
      </w:tr>
      <w:tr>
        <w:trPr>
          <w:jc w:val="center"/>
          <w:trHeight w:val="330"/>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099" w:type="dxa"/>
            <w:vAlign w:val="center"/>
            <w:textDirection w:val="lrTb"/>
            <w:noWrap/>
          </w:tcPr>
          <w:p>
            <w:pP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舌诊模块可在报告中输出舌象特征指数，至少应包含舌色指数、苔色指数、胖瘦指数、厚薄指数、腐腻指数，同时提供定性与定量结果，完整模拟中医舌诊流程与结果。</w:t>
            </w:r>
            <w:r/>
          </w:p>
        </w:tc>
      </w:tr>
      <w:tr>
        <w:trPr>
          <w:jc w:val="center"/>
          <w:trHeight w:val="330"/>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099" w:type="dxa"/>
            <w:vAlign w:val="center"/>
            <w:textDirection w:val="lrTb"/>
            <w:noWrap/>
          </w:tcPr>
          <w:p>
            <w:pP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提供舌象特征各指数的参考范围，并以不同颜色标识出参考范围外的舌象特征指数。</w:t>
            </w:r>
            <w:r/>
          </w:p>
        </w:tc>
      </w:tr>
      <w:tr>
        <w:trPr>
          <w:jc w:val="center"/>
          <w:trHeight w:val="330"/>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099" w:type="dxa"/>
            <w:vAlign w:val="center"/>
            <w:textDirection w:val="lrTb"/>
            <w:noWrap/>
          </w:tcPr>
          <w:p>
            <w:pPr>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当操作不当导致脉象信号不佳或舌面象采集不正时，系统会通过数据预分析进行提示，重新采集。</w:t>
            </w:r>
            <w:r/>
          </w:p>
        </w:tc>
      </w:tr>
      <w:tr>
        <w:trPr>
          <w:jc w:val="center"/>
          <w:trHeight w:val="315"/>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可通过问诊模块人机交互信息，软件自动分析，给出直观量化的体质辨识分析结果，并通过柱状图及雷达图方式进行展示。</w:t>
            </w:r>
            <w:r/>
          </w:p>
        </w:tc>
      </w:tr>
      <w:tr>
        <w:trPr>
          <w:jc w:val="center"/>
          <w:trHeight w:val="315"/>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可结合体质类型，解读相关体质特征，包括：成因解读，常见症状以及易发病症。</w:t>
            </w:r>
            <w:r/>
          </w:p>
        </w:tc>
      </w:tr>
      <w:tr>
        <w:trPr>
          <w:jc w:val="center"/>
          <w:trHeight w:val="315"/>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提供体质养生方案：包含季节调理、膳食养生、运动调理。</w:t>
            </w:r>
            <w:r/>
          </w:p>
        </w:tc>
      </w:tr>
      <w:tr>
        <w:trPr>
          <w:jc w:val="center"/>
          <w:trHeight w:val="570"/>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舌、面、脉、问各采集步骤可根据临床需求选择性跳过，跳过问诊采集环节仍可根据舌面脉等客观信息，输出个体化脏腑调养方案和经络调养方案。</w:t>
            </w:r>
            <w:r/>
          </w:p>
        </w:tc>
      </w:tr>
      <w:tr>
        <w:trPr>
          <w:jc w:val="center"/>
          <w:trHeight w:val="315"/>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可提供脏腑辨识结果分析，并通过评星等级对各脏腑状态进行直观展示。</w:t>
            </w:r>
            <w:r/>
          </w:p>
        </w:tc>
      </w:tr>
      <w:tr>
        <w:trPr>
          <w:jc w:val="center"/>
          <w:trHeight w:val="315"/>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sz w:val="28"/>
                <w:szCs w:val="28"/>
              </w:rPr>
              <w:t xml:space="preserve">★</w:t>
            </w:r>
            <w:r>
              <w:rPr>
                <w:rFonts w:hint="eastAsia" w:ascii="宋体" w:hAnsi="宋体" w:eastAsia="宋体" w:cs="宋体"/>
                <w:color w:val="000000"/>
                <w:sz w:val="24"/>
                <w:lang w:bidi="ar"/>
              </w:rPr>
              <w:t xml:space="preserve">以柱状图形式展示12经络状态评估结果，并以不同颜色分别标识正常、寒、热、虚、实状态。</w:t>
            </w:r>
            <w:r/>
          </w:p>
        </w:tc>
      </w:tr>
      <w:tr>
        <w:trPr>
          <w:jc w:val="center"/>
          <w:trHeight w:val="315"/>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可自动输出中医经络调养原则及经穴调养方案，指导中医适宜技术的开展。</w:t>
            </w:r>
            <w:r/>
          </w:p>
        </w:tc>
      </w:tr>
      <w:tr>
        <w:trPr>
          <w:jc w:val="center"/>
          <w:trHeight w:val="315"/>
        </w:trPr>
        <w:tc>
          <w:tcPr>
            <w:tcW w:w="653"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130" w:type="dxa"/>
            <w:vAlign w:val="center"/>
            <w:vMerge w:val="continue"/>
            <w:textDirection w:val="lrTb"/>
            <w:noWrap/>
          </w:tcPr>
          <w:p>
            <w:pPr>
              <w:jc w:val="center"/>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r>
            <w:r/>
          </w:p>
        </w:tc>
        <w:tc>
          <w:tcPr>
            <w:tcW w:w="14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708" w:type="dxa"/>
            <w:vAlign w:val="center"/>
            <w:vMerge w:val="continue"/>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099" w:type="dxa"/>
            <w:vAlign w:val="center"/>
            <w:textDirection w:val="lrTb"/>
            <w:noWrap w:val="false"/>
          </w:tcPr>
          <w:p>
            <w:pPr>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根据脏腑状态评估结果，自动输出调养原则，并给出相关经典方剂，对临床决策予以提示。</w:t>
            </w:r>
            <w:r/>
          </w:p>
        </w:tc>
      </w:tr>
    </w:tbl>
    <w:p>
      <w:pPr>
        <w:spacing w:line="400" w:lineRule="exact"/>
        <w:rPr>
          <w:rFonts w:hint="eastAsia" w:ascii="宋体" w:hAnsi="宋体" w:eastAsia="宋体" w:cs="宋体"/>
          <w:bCs/>
          <w:sz w:val="24"/>
          <w:szCs w:val="24"/>
        </w:rPr>
        <w:outlineLvl w:val="1"/>
      </w:pPr>
      <w:r>
        <w:rPr>
          <w:rFonts w:hint="eastAsia" w:ascii="宋体" w:hAnsi="宋体" w:eastAsia="宋体" w:cs="宋体"/>
          <w:bCs/>
          <w:sz w:val="24"/>
          <w:szCs w:val="24"/>
        </w:rPr>
      </w:r>
      <w:r/>
    </w:p>
    <w:p>
      <w:pPr>
        <w:spacing w:line="400" w:lineRule="exact"/>
        <w:rPr>
          <w:rFonts w:hint="eastAsia" w:ascii="宋体" w:hAnsi="宋体" w:eastAsia="宋体" w:cs="宋体"/>
          <w:bCs/>
          <w:sz w:val="24"/>
          <w:szCs w:val="24"/>
        </w:rPr>
        <w:outlineLvl w:val="1"/>
      </w:pPr>
      <w:r>
        <w:rPr>
          <w:rFonts w:hint="eastAsia" w:ascii="宋体" w:hAnsi="宋体" w:eastAsia="宋体" w:cs="宋体"/>
          <w:bCs/>
          <w:sz w:val="24"/>
          <w:szCs w:val="24"/>
        </w:rPr>
        <w:t xml:space="preserve">四、项目实施要求：</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1.安装地点：江阴市中医院。</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2.实施周期：自合同签订后12个月内，软件系统到货、安装完成(因医院硬件环境准备、第三方系统接口对接、政策文件未下发等造成的工期延迟不计算在内)。如在规定的时间内由于供应商的原因不能完成安装和调试，供应商应承担由此给用户造成的损失。</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3.团队要求：供应商应本着认真负责态度，应配备至少5人的项目团队，主要人员包含项目负责人1名，技术负责人1名，软件团队负责人1名，网络工程师不少于1名，运维工程师1名。</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4.安装标准：符合我国国家有关技术规范要求和技术标准。</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5.保密服务承诺：供应商在提供服务的过程中，获悉的一切资讯均需严格保密，不得自行使用或给他人使用，如有泄漏或擅自使用或允许他人使用用户信息造成损失的必须承担相应的民事赔偿责任。</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6.安全生产服务承诺：如因供应商人为疏忽或操作不规范，导致的系统宕机、数据丢失，供应商均需承担相应的民事赔偿及法律责任。</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7.安装调试过程中发生的费用由供应商负责。</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8.供应商应在投标文件中提供其安装调试过程中医院需配合的内容。</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9.在项目实施过程中，向医院提供齐全的电子版和书面的操作说明等文档。</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10.项目实施范围：本次实施的范围为江阴市中医院医疗集团所有15家公立医疗机构，包括江阴市中医院、江阴市中医外科医院、江阴市中医骨伤医院、江阴市中西结合医院、江阴市第二人民医院、江阴市第三人民医院、江阴市中医肝但医院、江阴市城中社区卫生服务中心、江阴市城东社区卫生服务中心、江阴市云亭社区卫生服务中心、江阴市周庄社区卫生服务中心、江阴市顾山卫生院、江阴市青阳社区卫生服务中心、江阴市月城社区卫生服务中心、江阴市马镇卫生院。</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11.项目对接要求：投标人负责按照国家标准或行业标准接口规范进行对接，并承担自身系统的对接开发费用。若因特殊情况，如各医疗机构现有HIS系统供应商不配合、收费或接口标准缺失等导致额外费用，由医院方配合协调，相关费用由双方根据责任协商承担。</w:t>
      </w:r>
      <w:r>
        <w:rPr>
          <w:rFonts w:hint="eastAsia" w:ascii="宋体" w:hAnsi="宋体" w:eastAsia="宋体" w:cs="宋体"/>
          <w:b/>
          <w:sz w:val="24"/>
        </w:rPr>
        <w:t xml:space="preserve">（投标时需提供免费无缝对接承诺书（格式自拟），未提供将作为无效投标）</w:t>
      </w:r>
      <w:r/>
    </w:p>
    <w:p>
      <w:pPr>
        <w:spacing w:line="400" w:lineRule="exact"/>
        <w:rPr>
          <w:rFonts w:hint="eastAsia" w:ascii="宋体" w:hAnsi="宋体" w:eastAsia="宋体" w:cs="宋体"/>
          <w:bCs/>
          <w:sz w:val="28"/>
          <w:szCs w:val="28"/>
        </w:rPr>
      </w:pPr>
      <w:r>
        <w:rPr>
          <w:rFonts w:hint="eastAsia" w:ascii="宋体" w:hAnsi="宋体" w:eastAsia="宋体" w:cs="宋体"/>
          <w:bCs/>
          <w:sz w:val="28"/>
          <w:szCs w:val="28"/>
        </w:rPr>
      </w:r>
      <w:r/>
    </w:p>
    <w:p>
      <w:pPr>
        <w:spacing w:line="400" w:lineRule="exact"/>
        <w:rPr>
          <w:rFonts w:hint="eastAsia" w:ascii="宋体" w:hAnsi="宋体" w:eastAsia="宋体" w:cs="宋体"/>
          <w:bCs/>
          <w:sz w:val="24"/>
          <w:szCs w:val="24"/>
        </w:rPr>
        <w:outlineLvl w:val="1"/>
      </w:pPr>
      <w:r>
        <w:rPr>
          <w:rFonts w:hint="eastAsia" w:ascii="宋体" w:hAnsi="宋体" w:eastAsia="宋体" w:cs="宋体"/>
          <w:bCs/>
          <w:sz w:val="24"/>
          <w:szCs w:val="24"/>
        </w:rPr>
        <w:t xml:space="preserve">五、项目培训要求：</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1.培训：供应商应制定详细的培训计划，对使用人员进行操作及相关技术培训。供应商负责用户的现场技术培训，包括产品的功能、部署条件、部署步骤和注意事项、产品升级、日常维护事项等方面，使用户达到能独立进行管理、维护测试和故障处理等工作，以使所提供的软件产品能够正常、安全的运行。</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2.所有的培训费用必须计入投标总价。</w:t>
      </w:r>
      <w:r/>
    </w:p>
    <w:p>
      <w:pPr>
        <w:spacing w:line="400" w:lineRule="exact"/>
        <w:rPr>
          <w:rFonts w:hint="eastAsia" w:ascii="宋体" w:hAnsi="宋体" w:eastAsia="宋体" w:cs="宋体"/>
          <w:bCs/>
          <w:sz w:val="24"/>
        </w:rPr>
      </w:pPr>
      <w:r>
        <w:rPr>
          <w:rFonts w:hint="eastAsia" w:ascii="宋体" w:hAnsi="宋体" w:eastAsia="宋体" w:cs="宋体"/>
          <w:bCs/>
          <w:sz w:val="24"/>
        </w:rPr>
      </w:r>
      <w:r/>
    </w:p>
    <w:p>
      <w:pPr>
        <w:spacing w:line="400" w:lineRule="exact"/>
        <w:rPr>
          <w:rFonts w:hint="eastAsia" w:ascii="宋体" w:hAnsi="宋体" w:eastAsia="宋体" w:cs="宋体"/>
          <w:bCs/>
          <w:sz w:val="24"/>
          <w:szCs w:val="24"/>
        </w:rPr>
        <w:outlineLvl w:val="1"/>
      </w:pPr>
      <w:r>
        <w:rPr>
          <w:rFonts w:hint="eastAsia" w:ascii="宋体" w:hAnsi="宋体" w:eastAsia="宋体" w:cs="宋体"/>
          <w:bCs/>
          <w:sz w:val="24"/>
          <w:szCs w:val="24"/>
        </w:rPr>
        <w:t xml:space="preserve">六、项目验收要求：</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1.供应商应提供项目相关软件、设备的有效验收文件，经用户认可后，作为验收标准。用户对项目验收合格后，双方共同签署验收合格证书并加盖公章。验收中发现软件、设备达不到验收标准或合同规定的性能指标，供应商必须修改相应内容，以满足用户需求。</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2.自合同签订后，12个月内完成系统的初试，顺利通过上级主管部门组织的专项验收一个月后，组织项目终验。</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3.验收费用由供应商负责。</w:t>
      </w:r>
      <w:r/>
    </w:p>
    <w:p>
      <w:pPr>
        <w:spacing w:line="400" w:lineRule="exact"/>
        <w:rPr>
          <w:rFonts w:hint="eastAsia" w:ascii="宋体" w:hAnsi="宋体" w:eastAsia="宋体" w:cs="宋体"/>
          <w:bCs/>
          <w:sz w:val="24"/>
        </w:rPr>
      </w:pPr>
      <w:r>
        <w:rPr>
          <w:rFonts w:hint="eastAsia" w:ascii="宋体" w:hAnsi="宋体" w:eastAsia="宋体" w:cs="宋体"/>
          <w:bCs/>
          <w:sz w:val="24"/>
        </w:rPr>
      </w:r>
      <w:r/>
    </w:p>
    <w:p>
      <w:pPr>
        <w:spacing w:line="400" w:lineRule="exact"/>
        <w:rPr>
          <w:rFonts w:hint="eastAsia" w:ascii="宋体" w:hAnsi="宋体" w:eastAsia="宋体" w:cs="宋体"/>
          <w:bCs/>
          <w:sz w:val="24"/>
          <w:szCs w:val="24"/>
        </w:rPr>
        <w:outlineLvl w:val="1"/>
      </w:pPr>
      <w:r>
        <w:rPr>
          <w:rFonts w:hint="eastAsia" w:ascii="宋体" w:hAnsi="宋体" w:eastAsia="宋体" w:cs="宋体"/>
          <w:bCs/>
          <w:sz w:val="24"/>
          <w:szCs w:val="24"/>
        </w:rPr>
        <w:t xml:space="preserve">七、售后服务要求：</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1.整体系统验收合格后免费维保2年。</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2.供应商所承诺的服务内容应包括：供应商的服务响应及维修等承诺，详细说明服务能力、服务时间、人员配备、系统故障响应、诊断、应急处理、维修和相应的设备更换计划等；供应商的技术支持和相应软件的升级承诺等。</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3.在系统的服务期内，供应商应确保系统的正常使用。在接到用户服务要求后应立即做出回应，并在承诺的服务时间内实施服务。</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4.如出现远程不能解决的故障问题，供应商提供7×24小时的免费上门保修服务，半小时内响应，4小时内到达现场，24小时内解决故障。</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5.热线电话服务提供技术咨询、故障诊断、故障排除、以及现场支持等具体的技术支持工作，并对客户投诉做出相应处理。</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6.定期巡检及调优系统，复杂的运行环境等种种原因会造成系统性能的逐渐下降。通过定期的技术检查，可及时排除故障隐患，以免问题发生后影响业务运作，还能及时调优系统性能，使系统始终处于高效率运行状态。</w:t>
      </w:r>
      <w:r/>
    </w:p>
    <w:p>
      <w:pPr>
        <w:spacing w:line="400" w:lineRule="exact"/>
        <w:rPr>
          <w:rFonts w:hint="eastAsia" w:ascii="宋体" w:hAnsi="宋体" w:eastAsia="宋体" w:cs="宋体"/>
          <w:bCs/>
          <w:sz w:val="24"/>
        </w:rPr>
      </w:pPr>
      <w:r>
        <w:rPr>
          <w:rFonts w:hint="eastAsia" w:ascii="宋体" w:hAnsi="宋体" w:eastAsia="宋体" w:cs="宋体"/>
          <w:bCs/>
          <w:sz w:val="24"/>
        </w:rPr>
      </w:r>
      <w:r/>
    </w:p>
    <w:p>
      <w:pPr>
        <w:spacing w:line="400" w:lineRule="exact"/>
        <w:rPr>
          <w:rFonts w:hint="eastAsia" w:ascii="宋体" w:hAnsi="宋体" w:eastAsia="宋体" w:cs="宋体"/>
          <w:bCs/>
          <w:sz w:val="24"/>
          <w:szCs w:val="24"/>
        </w:rPr>
        <w:outlineLvl w:val="1"/>
      </w:pPr>
      <w:r>
        <w:rPr>
          <w:rFonts w:hint="eastAsia" w:ascii="宋体" w:hAnsi="宋体" w:eastAsia="宋体" w:cs="宋体"/>
          <w:bCs/>
          <w:sz w:val="24"/>
          <w:szCs w:val="24"/>
        </w:rPr>
        <w:t xml:space="preserve">八、付款方式：</w:t>
      </w:r>
      <w:r/>
    </w:p>
    <w:p>
      <w:pPr>
        <w:ind w:firstLine="480"/>
        <w:spacing w:line="400" w:lineRule="exact"/>
        <w:rPr>
          <w:rFonts w:hint="eastAsia" w:ascii="宋体" w:hAnsi="宋体" w:eastAsia="宋体" w:cs="宋体"/>
          <w:bCs/>
          <w:sz w:val="24"/>
        </w:rPr>
      </w:pPr>
      <w:r>
        <w:rPr>
          <w:rFonts w:hint="eastAsia" w:ascii="宋体" w:hAnsi="宋体" w:eastAsia="宋体" w:cs="宋体"/>
          <w:bCs/>
          <w:sz w:val="24"/>
        </w:rPr>
        <w:t xml:space="preserve">合同签订后支付合同金额的30%，验收合格后支付合同金额的60%，验收合格一年后支付剩余的10%。</w:t>
      </w:r>
      <w:r/>
    </w:p>
    <w:p>
      <w:pPr>
        <w:spacing w:line="400" w:lineRule="exact"/>
        <w:rPr>
          <w:rFonts w:hint="eastAsia" w:ascii="宋体" w:hAnsi="宋体" w:eastAsia="宋体" w:cs="宋体"/>
          <w:bCs/>
          <w:sz w:val="24"/>
        </w:rPr>
      </w:pPr>
      <w:r>
        <w:rPr>
          <w:rFonts w:hint="eastAsia" w:ascii="宋体" w:hAnsi="宋体" w:eastAsia="宋体" w:cs="宋体"/>
          <w:bCs/>
          <w:sz w:val="24"/>
        </w:rPr>
      </w:r>
      <w:r/>
    </w:p>
    <w:p>
      <w:pPr>
        <w:spacing w:line="400" w:lineRule="exact"/>
        <w:rPr>
          <w:rFonts w:hint="eastAsia" w:ascii="宋体" w:hAnsi="宋体" w:eastAsia="宋体" w:cs="宋体"/>
          <w:bCs/>
          <w:sz w:val="24"/>
        </w:rPr>
      </w:pPr>
      <w:r>
        <w:rPr>
          <w:rFonts w:hint="eastAsia" w:ascii="宋体" w:hAnsi="宋体" w:eastAsia="宋体" w:cs="宋体"/>
          <w:bCs/>
          <w:sz w:val="24"/>
        </w:rPr>
        <w:t xml:space="preserve">九、有关说明：</w:t>
      </w:r>
      <w:r/>
    </w:p>
    <w:p>
      <w:pPr>
        <w:ind w:firstLine="480"/>
        <w:spacing w:line="400" w:lineRule="exact"/>
        <w:rPr>
          <w:rFonts w:hint="eastAsia" w:ascii="宋体" w:hAnsi="宋体" w:cs="微软雅黑"/>
          <w:bCs/>
          <w:sz w:val="24"/>
          <w:szCs w:val="24"/>
        </w:rPr>
      </w:pPr>
      <w:r>
        <w:rPr>
          <w:rFonts w:hint="eastAsia" w:ascii="宋体" w:hAnsi="宋体" w:cs="微软雅黑"/>
          <w:bCs/>
          <w:sz w:val="24"/>
          <w:szCs w:val="24"/>
        </w:rPr>
        <w:t xml:space="preserve">1.本项目为一个包，投标人报价内容必须报全，不得漏项。</w:t>
      </w:r>
      <w:r/>
    </w:p>
    <w:p>
      <w:pPr>
        <w:ind w:firstLine="480"/>
        <w:spacing w:line="400" w:lineRule="exact"/>
        <w:rPr>
          <w:rFonts w:hint="eastAsia" w:ascii="宋体" w:hAnsi="宋体" w:cs="微软雅黑"/>
          <w:bCs/>
          <w:sz w:val="24"/>
          <w:szCs w:val="24"/>
        </w:rPr>
      </w:pPr>
      <w:r>
        <w:rPr>
          <w:rFonts w:hint="eastAsia" w:ascii="宋体" w:hAnsi="宋体" w:cs="微软雅黑"/>
          <w:bCs/>
          <w:sz w:val="24"/>
          <w:szCs w:val="24"/>
        </w:rPr>
        <w:t xml:space="preserve">2.本项目为固定总价合同，项目报价（合同总价）应包括完成本项目可能发生的所有费用，包括各种工作经费（软件开发费、外业调查费、内业处理费等）、成果验收费、售后服务费用、税金等。采购文件未列明，而投标人认为其他必需的费用也需列入报价。在合同实施时，采购人将不予支付承建方没有填列的项目费用，并认为此项目的费用已包括在合同价格中。 </w:t>
      </w:r>
      <w:r/>
    </w:p>
    <w:p>
      <w:pPr>
        <w:ind w:firstLine="480"/>
        <w:spacing w:line="400" w:lineRule="exact"/>
        <w:rPr>
          <w:rFonts w:hint="eastAsia" w:ascii="宋体" w:hAnsi="宋体" w:cs="微软雅黑"/>
          <w:bCs/>
          <w:sz w:val="24"/>
          <w:szCs w:val="24"/>
        </w:rPr>
      </w:pPr>
      <w:r>
        <w:rPr>
          <w:rFonts w:hint="eastAsia" w:ascii="宋体" w:hAnsi="宋体" w:cs="微软雅黑"/>
          <w:bCs/>
          <w:sz w:val="24"/>
          <w:szCs w:val="24"/>
        </w:rPr>
        <w:t xml:space="preserve">3.招标人向投标人提供的有关现场的数据和资料，是招标人现有的能被投标人利用的资料，招标人对投标人做出的任何推论、理解和结论均不负责任。</w:t>
      </w:r>
      <w:r/>
    </w:p>
    <w:p>
      <w:pPr>
        <w:ind w:firstLine="480"/>
        <w:spacing w:line="400" w:lineRule="exact"/>
        <w:rPr>
          <w:rFonts w:hint="eastAsia" w:ascii="宋体" w:hAnsi="宋体" w:cs="微软雅黑"/>
          <w:bCs/>
          <w:sz w:val="24"/>
          <w:szCs w:val="24"/>
        </w:rPr>
      </w:pPr>
      <w:r>
        <w:rPr>
          <w:rFonts w:hint="eastAsia" w:ascii="宋体" w:hAnsi="宋体" w:cs="微软雅黑"/>
          <w:bCs/>
          <w:sz w:val="24"/>
          <w:szCs w:val="24"/>
        </w:rPr>
        <w:t xml:space="preserve">4.投标人中标后应保证在本项目的任何产品使用（包括部分使用）时，不会产生因第三方提出侵犯其专利权、商标权或其他知识产权而引起的法律和经济纠纷，而影响采购人利益。若因本项目所产生的知识产权纠纷，采购人不承担任何责任。 </w:t>
      </w:r>
      <w:r/>
    </w:p>
    <w:p>
      <w:pPr>
        <w:ind w:firstLine="480"/>
        <w:spacing w:line="400" w:lineRule="exact"/>
        <w:rPr>
          <w:rFonts w:hint="eastAsia" w:ascii="宋体" w:hAnsi="宋体" w:cs="微软雅黑"/>
          <w:bCs/>
          <w:sz w:val="24"/>
          <w:szCs w:val="24"/>
        </w:rPr>
      </w:pPr>
      <w:r>
        <w:rPr>
          <w:rFonts w:hint="eastAsia" w:ascii="宋体" w:hAnsi="宋体" w:cs="微软雅黑"/>
          <w:bCs/>
          <w:sz w:val="24"/>
          <w:szCs w:val="24"/>
        </w:rPr>
        <w:t xml:space="preserve">5.对于投标人向采购人提供的投标人原已开发的软件，其知识产权的所有权归投标人所有，不因本项目合同而转移。在本合同范围内，采购人若有新需求经认可后，投标人应配合开发，由采购人提供全程技术指导，因此形成的知识成果本身，包括本项目中投标人为完成项目给采购人定向开发的软件，其知识产权归采购人所有。</w:t>
      </w:r>
      <w:r/>
    </w:p>
    <w:p>
      <w:pPr>
        <w:ind w:firstLine="480"/>
        <w:spacing w:line="400" w:lineRule="exact"/>
        <w:rPr>
          <w:rFonts w:hint="eastAsia" w:ascii="宋体" w:hAnsi="宋体" w:eastAsia="宋体" w:cs="微软雅黑"/>
          <w:bCs/>
          <w:sz w:val="24"/>
          <w:szCs w:val="24"/>
        </w:rPr>
      </w:pPr>
      <w:r>
        <w:rPr>
          <w:rFonts w:hint="eastAsia" w:ascii="宋体" w:hAnsi="宋体" w:eastAsia="宋体" w:cs="微软雅黑"/>
          <w:bCs/>
          <w:sz w:val="24"/>
          <w:szCs w:val="24"/>
        </w:rPr>
        <w:t xml:space="preserve">6.凡涉及招标文件的补充说明或修正，均以江阴市政府采购中心书面依据为准。 </w:t>
      </w:r>
      <w:r/>
    </w:p>
    <w:p>
      <w:pPr>
        <w:ind w:firstLine="480"/>
        <w:spacing w:line="400" w:lineRule="exact"/>
        <w:rPr>
          <w:rFonts w:hint="eastAsia" w:ascii="宋体" w:hAnsi="宋体" w:eastAsia="宋体" w:cs="宋体"/>
          <w:bCs/>
          <w:sz w:val="24"/>
        </w:rPr>
      </w:pPr>
      <w:r>
        <w:rPr>
          <w:rFonts w:hint="eastAsia" w:ascii="宋体" w:hAnsi="宋体" w:eastAsia="宋体" w:cs="微软雅黑"/>
          <w:bCs/>
          <w:sz w:val="24"/>
          <w:szCs w:val="24"/>
        </w:rPr>
        <w:t xml:space="preserve">7.江阴市政府采购中心对本次招标结果不做任何解释。</w:t>
      </w:r>
      <w:r/>
    </w:p>
    <w:p>
      <w:pPr>
        <w:pStyle w:val="876"/>
        <w:rPr>
          <w:rFonts w:ascii="楷体_GB2312" w:hAnsi="Times New Roman" w:eastAsia="楷体_GB2312"/>
          <w:b/>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楷体_GB2312" w:hAnsi="Times New Roman" w:eastAsia="楷体_GB2312"/>
          <w:b/>
          <w:sz w:val="28"/>
          <w:szCs w:val="28"/>
        </w:rPr>
      </w:r>
      <w:r/>
    </w:p>
    <w:p>
      <w:pPr>
        <w:jc w:val="center"/>
        <w:spacing w:line="400" w:lineRule="exact"/>
        <w:tabs>
          <w:tab w:val="left" w:pos="0" w:leader="none"/>
        </w:tabs>
        <w:rPr>
          <w:rFonts w:hint="eastAsia" w:ascii="黑体" w:hAnsi="黑体" w:eastAsia="黑体" w:cs="Times New Roman"/>
          <w:bCs/>
          <w:sz w:val="30"/>
          <w:szCs w:val="30"/>
        </w:rPr>
      </w:pPr>
      <w:r>
        <w:rPr>
          <w:rFonts w:hint="eastAsia" w:ascii="黑体" w:hAnsi="黑体" w:eastAsia="黑体" w:cs="Times New Roman"/>
          <w:bCs/>
          <w:sz w:val="30"/>
          <w:szCs w:val="30"/>
        </w:rPr>
      </w:r>
      <w:r/>
    </w:p>
    <w:p>
      <w:pPr>
        <w:pStyle w:val="876"/>
      </w:pPr>
      <w:r/>
      <w:bookmarkStart w:id="12" w:name="_Toc213847316"/>
      <w:r>
        <w:rPr>
          <w:rFonts w:hint="eastAsia"/>
        </w:rPr>
        <w:t xml:space="preserve">第四章  评标方法和评标标准</w:t>
      </w:r>
      <w:bookmarkEnd w:id="12"/>
      <w:r/>
      <w:r/>
    </w:p>
    <w:p>
      <w:pPr>
        <w:ind w:firstLine="480"/>
        <w:spacing w:line="400" w:lineRule="exact"/>
        <w:rPr>
          <w:rFonts w:hint="eastAsia" w:ascii="宋体" w:hAnsi="宋体" w:eastAsia="宋体" w:cs="Times New Roman"/>
          <w:sz w:val="24"/>
        </w:rPr>
      </w:pPr>
      <w:r>
        <w:rPr>
          <w:rFonts w:hint="eastAsia" w:ascii="宋体" w:hAnsi="宋体" w:eastAsia="宋体" w:cs="Times New Roman"/>
          <w:sz w:val="24"/>
        </w:rPr>
      </w:r>
      <w:r/>
    </w:p>
    <w:p>
      <w:pPr>
        <w:jc w:val="left"/>
        <w:spacing w:line="600" w:lineRule="exact"/>
        <w:rPr>
          <w:rFonts w:hint="eastAsia"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hint="eastAsia" w:ascii="宋体" w:hAnsi="宋体" w:eastAsia="宋体" w:cs="Times New Roman"/>
          <w:sz w:val="24"/>
        </w:rPr>
      </w:pPr>
      <w:r>
        <w:rPr>
          <w:rFonts w:hint="eastAsia" w:ascii="宋体" w:hAnsi="宋体" w:eastAsia="宋体" w:cs="Times New Roman"/>
          <w:sz w:val="24"/>
        </w:rPr>
        <w:t xml:space="preserve">本次评审采用综合评标法，</w:t>
      </w:r>
      <w:r>
        <w:rPr>
          <w:rFonts w:ascii="宋体" w:hAnsi="宋体" w:eastAsia="宋体" w:cs="Times New Roman"/>
          <w:sz w:val="24"/>
        </w:rPr>
        <w:t xml:space="preserve">是指投标文件满足招标文件全部实质性要求，且按照评审因素的量化指标评审得分最高的投标人为中标候选人的评标方法</w:t>
      </w:r>
      <w:r>
        <w:rPr>
          <w:rFonts w:hint="eastAsia" w:ascii="宋体" w:hAnsi="宋体" w:eastAsia="宋体" w:cs="Times New Roman"/>
          <w:sz w:val="24"/>
        </w:rPr>
        <w:t xml:space="preserve">，</w:t>
      </w:r>
      <w:r>
        <w:rPr>
          <w:rFonts w:ascii="宋体" w:hAnsi="宋体" w:eastAsia="宋体" w:cs="Times New Roman"/>
          <w:sz w:val="24"/>
        </w:rPr>
        <w:t xml:space="preserve">评审因素包括投标报价、技术或者服务水平、履约能力、售后服务等。</w:t>
      </w:r>
      <w:r/>
    </w:p>
    <w:p>
      <w:pPr>
        <w:ind w:firstLine="480"/>
        <w:jc w:val="left"/>
        <w:spacing w:line="400" w:lineRule="exact"/>
        <w:rPr>
          <w:rFonts w:hint="eastAsia" w:ascii="宋体" w:hAnsi="宋体" w:eastAsia="宋体" w:cs="Times New Roman"/>
          <w:bCs/>
          <w:sz w:val="24"/>
        </w:rPr>
      </w:pPr>
      <w:r>
        <w:rPr>
          <w:rFonts w:hint="eastAsia" w:ascii="宋体" w:hAnsi="宋体" w:eastAsia="宋体" w:cs="Times New Roman"/>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注：每部分的得分保留小数点后两位，合计得分保留小数点后两位。</w:t>
      </w:r>
      <w:r/>
    </w:p>
    <w:p>
      <w:pPr>
        <w:spacing w:line="600" w:lineRule="exact"/>
        <w:rPr>
          <w:rFonts w:hint="eastAsia" w:ascii="黑体" w:hAnsi="黑体" w:eastAsia="黑体" w:cs="Times New Roman"/>
          <w:sz w:val="28"/>
          <w:szCs w:val="28"/>
        </w:rPr>
      </w:pPr>
      <w:r>
        <w:rPr>
          <w:rFonts w:hint="eastAsia" w:ascii="黑体" w:hAnsi="黑体" w:eastAsia="黑体" w:cs="Times New Roman"/>
          <w:sz w:val="28"/>
          <w:szCs w:val="28"/>
        </w:rPr>
        <w:t xml:space="preserve">二、评分标准</w:t>
      </w:r>
      <w:r/>
    </w:p>
    <w:tbl>
      <w:tblPr>
        <w:tblStyle w:val="854"/>
        <w:tblW w:w="9487"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727"/>
        <w:gridCol w:w="1303"/>
        <w:gridCol w:w="5500"/>
        <w:gridCol w:w="737"/>
      </w:tblGrid>
      <w:tr>
        <w:trPr>
          <w:jc w:val="center"/>
          <w:trHeight w:val="20"/>
        </w:trPr>
        <w:tc>
          <w:tcPr>
            <w:tcBorders>
              <w:top w:val="single" w:color="auto" w:sz="8" w:space="0"/>
              <w:left w:val="single" w:color="auto" w:sz="8" w:space="0"/>
              <w:bottom w:val="single" w:color="auto" w:sz="6" w:space="0"/>
              <w:right w:val="single" w:color="auto" w:sz="6" w:space="0"/>
            </w:tcBorders>
            <w:tcW w:w="1220" w:type="dxa"/>
            <w:vAlign w:val="center"/>
            <w:textDirection w:val="lrTb"/>
            <w:noWrap w:val="false"/>
          </w:tcPr>
          <w:p>
            <w:pPr>
              <w:jc w:val="center"/>
              <w:spacing w:line="400" w:lineRule="exact"/>
              <w:rPr>
                <w:rFonts w:hint="eastAsia" w:ascii="宋体" w:hAnsi="宋体" w:eastAsia="宋体" w:cs="宋体"/>
                <w:b/>
                <w:sz w:val="24"/>
              </w:rPr>
            </w:pPr>
            <w:r>
              <w:rPr>
                <w:rFonts w:hint="eastAsia" w:ascii="宋体" w:hAnsi="宋体" w:eastAsia="宋体" w:cs="宋体"/>
                <w:b/>
                <w:sz w:val="24"/>
              </w:rPr>
              <w:t xml:space="preserve">评分项</w:t>
            </w:r>
            <w:r/>
          </w:p>
        </w:tc>
        <w:tc>
          <w:tcPr>
            <w:tcBorders>
              <w:top w:val="single" w:color="auto" w:sz="8" w:space="0"/>
              <w:left w:val="single" w:color="auto" w:sz="6" w:space="0"/>
              <w:bottom w:val="single" w:color="auto" w:sz="6" w:space="0"/>
              <w:right w:val="single" w:color="auto" w:sz="6" w:space="0"/>
            </w:tcBorders>
            <w:tcW w:w="727" w:type="dxa"/>
            <w:vAlign w:val="center"/>
            <w:textDirection w:val="lrTb"/>
            <w:noWrap w:val="false"/>
          </w:tcPr>
          <w:p>
            <w:pPr>
              <w:jc w:val="center"/>
              <w:spacing w:line="400" w:lineRule="exact"/>
              <w:rPr>
                <w:rFonts w:hint="eastAsia" w:ascii="宋体" w:hAnsi="宋体" w:eastAsia="宋体" w:cs="宋体"/>
                <w:b/>
                <w:sz w:val="24"/>
              </w:rPr>
            </w:pPr>
            <w:r>
              <w:rPr>
                <w:rFonts w:hint="eastAsia" w:ascii="宋体" w:hAnsi="宋体" w:eastAsia="宋体" w:cs="宋体"/>
                <w:b/>
                <w:sz w:val="24"/>
              </w:rPr>
              <w:t xml:space="preserve">序号</w:t>
            </w:r>
            <w:r/>
          </w:p>
        </w:tc>
        <w:tc>
          <w:tcPr>
            <w:tcBorders>
              <w:top w:val="single" w:color="auto" w:sz="8" w:space="0"/>
              <w:left w:val="single" w:color="auto" w:sz="6" w:space="0"/>
              <w:bottom w:val="single" w:color="auto" w:sz="6" w:space="0"/>
              <w:right w:val="single" w:color="auto" w:sz="6" w:space="0"/>
            </w:tcBorders>
            <w:tcW w:w="130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b/>
                <w:bCs/>
                <w:sz w:val="24"/>
              </w:rPr>
              <w:t xml:space="preserve">评分因素</w:t>
            </w:r>
            <w:r/>
          </w:p>
        </w:tc>
        <w:tc>
          <w:tcPr>
            <w:tcBorders>
              <w:top w:val="single" w:color="auto" w:sz="8" w:space="0"/>
              <w:left w:val="single" w:color="auto" w:sz="6" w:space="0"/>
              <w:bottom w:val="single" w:color="auto" w:sz="6" w:space="0"/>
              <w:right w:val="single" w:color="auto" w:sz="6" w:space="0"/>
            </w:tcBorders>
            <w:tcW w:w="5500" w:type="dxa"/>
            <w:vAlign w:val="center"/>
            <w:textDirection w:val="lrTb"/>
            <w:noWrap w:val="false"/>
          </w:tcPr>
          <w:p>
            <w:pPr>
              <w:jc w:val="center"/>
              <w:spacing w:line="400" w:lineRule="exact"/>
              <w:rPr>
                <w:rFonts w:hint="eastAsia" w:ascii="宋体" w:hAnsi="宋体" w:eastAsia="宋体" w:cs="宋体"/>
                <w:b/>
                <w:sz w:val="24"/>
              </w:rPr>
            </w:pPr>
            <w:r>
              <w:rPr>
                <w:rFonts w:hint="eastAsia" w:ascii="宋体" w:hAnsi="宋体" w:eastAsia="宋体" w:cs="宋体"/>
                <w:b/>
                <w:sz w:val="24"/>
              </w:rPr>
              <w:t xml:space="preserve">评分细则</w:t>
            </w:r>
            <w:r/>
          </w:p>
        </w:tc>
        <w:tc>
          <w:tcPr>
            <w:tcBorders>
              <w:top w:val="single" w:color="auto" w:sz="8" w:space="0"/>
              <w:left w:val="single" w:color="auto" w:sz="6" w:space="0"/>
              <w:bottom w:val="single" w:color="auto" w:sz="6" w:space="0"/>
              <w:right w:val="single" w:color="auto" w:sz="8" w:space="0"/>
            </w:tcBorders>
            <w:tcW w:w="737" w:type="dxa"/>
            <w:vAlign w:val="center"/>
            <w:textDirection w:val="lrTb"/>
            <w:noWrap w:val="false"/>
          </w:tcPr>
          <w:p>
            <w:pPr>
              <w:jc w:val="center"/>
              <w:spacing w:line="400" w:lineRule="exact"/>
              <w:rPr>
                <w:rFonts w:hint="eastAsia" w:ascii="宋体" w:hAnsi="宋体" w:eastAsia="宋体" w:cs="宋体"/>
                <w:b/>
                <w:sz w:val="24"/>
              </w:rPr>
            </w:pPr>
            <w:r>
              <w:rPr>
                <w:rFonts w:hint="eastAsia" w:ascii="宋体" w:hAnsi="宋体" w:eastAsia="宋体" w:cs="宋体"/>
                <w:b/>
                <w:sz w:val="24"/>
              </w:rPr>
              <w:t xml:space="preserve">分值</w:t>
            </w:r>
            <w:r/>
          </w:p>
        </w:tc>
      </w:tr>
      <w:tr>
        <w:trPr>
          <w:jc w:val="center"/>
          <w:trHeight w:val="20"/>
        </w:trPr>
        <w:tc>
          <w:tcPr>
            <w:tcBorders>
              <w:top w:val="single" w:color="auto" w:sz="6" w:space="0"/>
              <w:left w:val="single" w:color="auto" w:sz="8" w:space="0"/>
              <w:bottom w:val="single" w:color="auto" w:sz="6" w:space="0"/>
              <w:right w:val="single" w:color="auto" w:sz="6" w:space="0"/>
            </w:tcBorders>
            <w:tcW w:w="1220"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一、价格部分</w:t>
            </w:r>
            <w:r/>
          </w:p>
          <w:p>
            <w:pPr>
              <w:jc w:val="center"/>
              <w:spacing w:line="400" w:lineRule="exact"/>
              <w:rPr>
                <w:rFonts w:hint="eastAsia" w:ascii="宋体" w:hAnsi="宋体" w:eastAsia="宋体" w:cs="宋体"/>
                <w:sz w:val="24"/>
              </w:rPr>
            </w:pPr>
            <w:r>
              <w:rPr>
                <w:rFonts w:hint="eastAsia" w:ascii="宋体" w:hAnsi="宋体" w:eastAsia="宋体" w:cs="宋体"/>
                <w:sz w:val="24"/>
              </w:rPr>
              <w:t xml:space="preserve">（20分）</w:t>
            </w:r>
            <w:r/>
          </w:p>
        </w:tc>
        <w:tc>
          <w:tcPr>
            <w:tcBorders>
              <w:top w:val="single" w:color="auto" w:sz="6" w:space="0"/>
              <w:left w:val="single" w:color="auto" w:sz="6" w:space="0"/>
              <w:bottom w:val="single" w:color="auto" w:sz="6" w:space="0"/>
              <w:right w:val="single" w:color="auto" w:sz="6" w:space="0"/>
            </w:tcBorders>
            <w:tcW w:w="72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1.1</w:t>
            </w:r>
            <w:r/>
          </w:p>
        </w:tc>
        <w:tc>
          <w:tcPr>
            <w:tcBorders>
              <w:top w:val="single" w:color="auto" w:sz="6" w:space="0"/>
              <w:left w:val="single" w:color="auto" w:sz="6" w:space="0"/>
              <w:bottom w:val="single" w:color="auto" w:sz="6" w:space="0"/>
              <w:right w:val="single" w:color="auto" w:sz="6" w:space="0"/>
            </w:tcBorders>
            <w:tcW w:w="130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投标报价</w:t>
            </w:r>
            <w:r/>
          </w:p>
        </w:tc>
        <w:tc>
          <w:tcPr>
            <w:tcBorders>
              <w:top w:val="single" w:color="auto" w:sz="6" w:space="0"/>
              <w:left w:val="single" w:color="auto" w:sz="6" w:space="0"/>
              <w:bottom w:val="single" w:color="auto" w:sz="6" w:space="0"/>
              <w:right w:val="single" w:color="auto" w:sz="6" w:space="0"/>
            </w:tcBorders>
            <w:tcW w:w="5500" w:type="dxa"/>
            <w:vAlign w:val="center"/>
            <w:textDirection w:val="lrTb"/>
            <w:noWrap w:val="false"/>
          </w:tcPr>
          <w:p>
            <w:pPr>
              <w:jc w:val="left"/>
              <w:spacing w:line="400" w:lineRule="exact"/>
              <w:widowControl/>
              <w:rPr>
                <w:rFonts w:hint="eastAsia" w:ascii="宋体" w:hAnsi="宋体" w:eastAsia="宋体" w:cs="宋体"/>
                <w:sz w:val="24"/>
              </w:rPr>
            </w:pPr>
            <w:r>
              <w:rPr>
                <w:rFonts w:hint="eastAsia" w:ascii="宋体" w:hAnsi="宋体" w:eastAsia="宋体" w:cs="宋体"/>
                <w:sz w:val="24"/>
              </w:rPr>
              <w:t xml:space="preserve">满足招标文件要求且投标价格最低的投标报价为评标基准价，其价格分为满分。其他投标人的价格分统一按照下列公式计算：</w:t>
            </w:r>
            <w:r/>
          </w:p>
          <w:p>
            <w:pPr>
              <w:jc w:val="left"/>
              <w:spacing w:line="400" w:lineRule="exact"/>
              <w:rPr>
                <w:rFonts w:hint="eastAsia" w:ascii="宋体" w:hAnsi="宋体" w:eastAsia="宋体" w:cs="宋体"/>
                <w:sz w:val="24"/>
              </w:rPr>
            </w:pPr>
            <w:r>
              <w:rPr>
                <w:rFonts w:hint="eastAsia" w:ascii="宋体" w:hAnsi="宋体" w:eastAsia="宋体" w:cs="宋体"/>
                <w:sz w:val="24"/>
              </w:rPr>
              <w:t xml:space="preserve">投标报价得分=（评标基准价/投标报价）×20分</w:t>
            </w:r>
            <w:r/>
          </w:p>
        </w:tc>
        <w:tc>
          <w:tcPr>
            <w:tcBorders>
              <w:top w:val="single" w:color="auto" w:sz="6" w:space="0"/>
              <w:left w:val="single" w:color="auto" w:sz="6" w:space="0"/>
              <w:bottom w:val="single" w:color="auto" w:sz="6" w:space="0"/>
              <w:right w:val="single" w:color="auto" w:sz="8" w:space="0"/>
            </w:tcBorders>
            <w:tcW w:w="73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20</w:t>
            </w:r>
            <w:r/>
          </w:p>
        </w:tc>
      </w:tr>
      <w:tr>
        <w:trPr>
          <w:jc w:val="center"/>
          <w:trHeight w:val="20"/>
        </w:trPr>
        <w:tc>
          <w:tcPr>
            <w:tcBorders>
              <w:top w:val="single" w:color="auto" w:sz="6" w:space="0"/>
              <w:left w:val="single" w:color="auto" w:sz="8" w:space="0"/>
              <w:right w:val="single" w:color="auto" w:sz="6" w:space="0"/>
            </w:tcBorders>
            <w:tcW w:w="1220" w:type="dxa"/>
            <w:vAlign w:val="center"/>
            <w:vMerge w:val="restart"/>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二、技术部分</w:t>
            </w:r>
            <w:r/>
          </w:p>
          <w:p>
            <w:pPr>
              <w:jc w:val="center"/>
              <w:spacing w:line="400" w:lineRule="exact"/>
              <w:rPr>
                <w:rFonts w:hint="eastAsia" w:ascii="宋体" w:hAnsi="宋体" w:eastAsia="宋体" w:cs="宋体"/>
                <w:sz w:val="24"/>
              </w:rPr>
            </w:pPr>
            <w:r>
              <w:rPr>
                <w:rFonts w:hint="eastAsia" w:ascii="宋体" w:hAnsi="宋体" w:eastAsia="宋体" w:cs="宋体"/>
                <w:sz w:val="24"/>
              </w:rPr>
              <w:t xml:space="preserve">（56分）</w:t>
            </w:r>
            <w:r/>
          </w:p>
        </w:tc>
        <w:tc>
          <w:tcPr>
            <w:tcBorders>
              <w:top w:val="single" w:color="auto" w:sz="6" w:space="0"/>
              <w:left w:val="single" w:color="auto" w:sz="6" w:space="0"/>
              <w:bottom w:val="single" w:color="auto" w:sz="6" w:space="0"/>
              <w:right w:val="single" w:color="auto" w:sz="4" w:space="0"/>
            </w:tcBorders>
            <w:tcW w:w="72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2.1</w:t>
            </w:r>
            <w:r/>
          </w:p>
        </w:tc>
        <w:tc>
          <w:tcPr>
            <w:tcBorders>
              <w:top w:val="single" w:color="auto" w:sz="6" w:space="0"/>
              <w:left w:val="single" w:color="auto" w:sz="4" w:space="0"/>
              <w:bottom w:val="single" w:color="auto" w:sz="6"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bCs/>
                <w:sz w:val="24"/>
              </w:rPr>
            </w:pPr>
            <w:r>
              <w:rPr>
                <w:rFonts w:hint="eastAsia" w:ascii="宋体" w:hAnsi="宋体" w:eastAsia="宋体" w:cs="宋体"/>
                <w:sz w:val="24"/>
              </w:rPr>
              <w:t xml:space="preserve">技术性能指标响应情况</w:t>
            </w:r>
            <w:r/>
          </w:p>
        </w:tc>
        <w:tc>
          <w:tcPr>
            <w:tcBorders>
              <w:top w:val="single" w:color="auto" w:sz="6" w:space="0"/>
              <w:left w:val="single" w:color="auto" w:sz="4" w:space="0"/>
              <w:bottom w:val="single" w:color="auto" w:sz="6" w:space="0"/>
              <w:right w:val="single" w:color="auto" w:sz="4" w:space="0"/>
            </w:tcBorders>
            <w:tcW w:w="5500"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根据《详细配置一览表》、《技术要求响应偏离表》 等对所投产品的主要技术指标的性能、技术参数的响应情况进行评审打分：全部符合招标文件要求，无负偏离得25</w:t>
            </w:r>
            <w:r>
              <w:rPr>
                <w:rFonts w:hint="eastAsia" w:ascii="宋体" w:hAnsi="宋体" w:eastAsia="宋体" w:cs="宋体"/>
                <w:sz w:val="24"/>
              </w:rPr>
              <w:t xml:space="preserve">分</w:t>
            </w:r>
            <w:r>
              <w:rPr>
                <w:rFonts w:hint="eastAsia" w:ascii="宋体" w:hAnsi="宋体" w:eastAsia="宋体" w:cs="宋体"/>
                <w:sz w:val="24"/>
              </w:rPr>
              <w:t xml:space="preserve">，打“</w:t>
            </w:r>
            <w:r>
              <w:rPr>
                <w:rFonts w:hint="eastAsia" w:ascii="宋体" w:hAnsi="宋体" w:eastAsia="宋体" w:cs="宋体"/>
                <w:sz w:val="28"/>
                <w:szCs w:val="28"/>
              </w:rPr>
              <w:t xml:space="preserve">★</w:t>
            </w:r>
            <w:r>
              <w:rPr>
                <w:rFonts w:hint="eastAsia" w:ascii="宋体" w:hAnsi="宋体" w:eastAsia="宋体" w:cs="宋体"/>
                <w:sz w:val="24"/>
              </w:rPr>
              <w:t xml:space="preserve">”项为重要性能参数指标，每一项负偏离扣1分；非打“</w:t>
            </w:r>
            <w:r>
              <w:rPr>
                <w:rFonts w:hint="eastAsia" w:ascii="宋体" w:hAnsi="宋体" w:eastAsia="宋体" w:cs="宋体"/>
                <w:sz w:val="28"/>
                <w:szCs w:val="28"/>
              </w:rPr>
              <w:t xml:space="preserve">★</w:t>
            </w:r>
            <w:r>
              <w:rPr>
                <w:rFonts w:hint="eastAsia" w:ascii="宋体" w:hAnsi="宋体" w:eastAsia="宋体" w:cs="宋体"/>
                <w:sz w:val="24"/>
              </w:rPr>
              <w:t xml:space="preserve">”项有一项负偏离扣0.5分，扣完为止。</w:t>
            </w:r>
            <w:r>
              <w:rPr>
                <w:rFonts w:hint="eastAsia" w:ascii="宋体" w:hAnsi="宋体" w:eastAsia="宋体" w:cs="宋体"/>
                <w:b/>
                <w:bCs/>
                <w:sz w:val="24"/>
              </w:rPr>
              <w:t xml:space="preserve">(未按要求提供证明材料的视为负偏离）</w:t>
            </w:r>
            <w:r/>
          </w:p>
        </w:tc>
        <w:tc>
          <w:tcPr>
            <w:tcBorders>
              <w:top w:val="single" w:color="auto" w:sz="6" w:space="0"/>
              <w:left w:val="single" w:color="auto" w:sz="4" w:space="0"/>
              <w:bottom w:val="single" w:color="auto" w:sz="6" w:space="0"/>
              <w:right w:val="single" w:color="auto" w:sz="8" w:space="0"/>
            </w:tcBorders>
            <w:tcW w:w="737" w:type="dxa"/>
            <w:vAlign w:val="center"/>
            <w:textDirection w:val="lrTb"/>
            <w:noWrap w:val="false"/>
          </w:tcPr>
          <w:p>
            <w:pPr>
              <w:jc w:val="center"/>
              <w:spacing w:line="400" w:lineRule="exact"/>
              <w:rPr>
                <w:rFonts w:hint="eastAsia" w:ascii="宋体" w:hAnsi="宋体" w:eastAsia="宋体" w:cs="宋体"/>
                <w:bCs/>
                <w:sz w:val="24"/>
              </w:rPr>
            </w:pPr>
            <w:r>
              <w:rPr>
                <w:rFonts w:hint="eastAsia" w:ascii="宋体" w:hAnsi="宋体" w:eastAsia="宋体" w:cs="宋体"/>
                <w:bCs/>
                <w:sz w:val="24"/>
              </w:rPr>
              <w:t xml:space="preserve">25</w:t>
            </w:r>
            <w:r/>
          </w:p>
        </w:tc>
      </w:tr>
      <w:tr>
        <w:trPr>
          <w:jc w:val="center"/>
          <w:trHeight w:val="20"/>
        </w:trPr>
        <w:tc>
          <w:tcPr>
            <w:tcBorders>
              <w:left w:val="single" w:color="auto" w:sz="8" w:space="0"/>
              <w:right w:val="single" w:color="auto" w:sz="6" w:space="0"/>
            </w:tcBorders>
            <w:tcW w:w="1220" w:type="dxa"/>
            <w:vAlign w:val="center"/>
            <w:vMerge w:val="continue"/>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4" w:space="0"/>
            </w:tcBorders>
            <w:tcW w:w="72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2.2</w:t>
            </w:r>
            <w:r/>
          </w:p>
        </w:tc>
        <w:tc>
          <w:tcPr>
            <w:tcBorders>
              <w:top w:val="single" w:color="auto" w:sz="6" w:space="0"/>
              <w:left w:val="single" w:color="auto" w:sz="4" w:space="0"/>
              <w:bottom w:val="single" w:color="auto" w:sz="6"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技术方案</w:t>
            </w:r>
            <w:r/>
          </w:p>
        </w:tc>
        <w:tc>
          <w:tcPr>
            <w:tcBorders>
              <w:top w:val="single" w:color="auto" w:sz="6" w:space="0"/>
              <w:left w:val="single" w:color="auto" w:sz="4" w:space="0"/>
              <w:bottom w:val="single" w:color="auto" w:sz="6" w:space="0"/>
              <w:right w:val="single" w:color="auto" w:sz="4" w:space="0"/>
            </w:tcBorders>
            <w:tcW w:w="5500" w:type="dxa"/>
            <w:vAlign w:val="center"/>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投标人针对本项目提供项目技术方案，包括①需求分析、②总体思路、③技术路线、④功能详细介绍、⑤应急处置，方案内容描述全面合理符合采购需求的得10分，每有一项内容缺失的扣2分；每有一项内容存在缺陷或不满足要求的扣1分，扣完为止。</w:t>
            </w:r>
            <w:r/>
          </w:p>
          <w:p>
            <w:pPr>
              <w:spacing w:line="400" w:lineRule="exact"/>
              <w:rPr>
                <w:rFonts w:hint="eastAsia" w:ascii="宋体" w:hAnsi="宋体" w:eastAsia="宋体" w:cs="宋体"/>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4" w:space="0"/>
              <w:bottom w:val="single" w:color="auto" w:sz="6" w:space="0"/>
              <w:right w:val="single" w:color="auto" w:sz="8" w:space="0"/>
            </w:tcBorders>
            <w:tcW w:w="737" w:type="dxa"/>
            <w:vAlign w:val="center"/>
            <w:textDirection w:val="lrTb"/>
            <w:noWrap w:val="false"/>
          </w:tcPr>
          <w:p>
            <w:pPr>
              <w:jc w:val="center"/>
              <w:spacing w:line="400" w:lineRule="exact"/>
              <w:rPr>
                <w:rFonts w:hint="eastAsia" w:ascii="宋体" w:hAnsi="宋体" w:eastAsia="宋体" w:cs="宋体"/>
                <w:bCs/>
                <w:sz w:val="24"/>
              </w:rPr>
            </w:pPr>
            <w:r>
              <w:rPr>
                <w:rFonts w:hint="eastAsia" w:ascii="宋体" w:hAnsi="宋体" w:eastAsia="宋体" w:cs="宋体"/>
                <w:sz w:val="24"/>
              </w:rPr>
              <w:t xml:space="preserve">10</w:t>
            </w:r>
            <w:r/>
          </w:p>
        </w:tc>
      </w:tr>
      <w:tr>
        <w:trPr>
          <w:jc w:val="center"/>
          <w:trHeight w:val="20"/>
        </w:trPr>
        <w:tc>
          <w:tcPr>
            <w:tcBorders>
              <w:left w:val="single" w:color="auto" w:sz="8" w:space="0"/>
              <w:right w:val="single" w:color="auto" w:sz="6" w:space="0"/>
            </w:tcBorders>
            <w:tcW w:w="1220" w:type="dxa"/>
            <w:vAlign w:val="center"/>
            <w:vMerge w:val="continue"/>
            <w:textDirection w:val="lrTb"/>
            <w:noWrap w:val="false"/>
          </w:tcPr>
          <w:p>
            <w:pPr>
              <w:jc w:val="center"/>
              <w:spacing w:line="400" w:lineRule="exact"/>
              <w:widowControl/>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72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2.3</w:t>
            </w:r>
            <w:r/>
          </w:p>
        </w:tc>
        <w:tc>
          <w:tcPr>
            <w:tcBorders>
              <w:top w:val="single" w:color="auto" w:sz="6" w:space="0"/>
              <w:left w:val="single" w:color="auto" w:sz="6" w:space="0"/>
              <w:bottom w:val="single" w:color="auto" w:sz="6" w:space="0"/>
              <w:right w:val="single" w:color="auto" w:sz="6" w:space="0"/>
            </w:tcBorders>
            <w:tcW w:w="1303" w:type="dxa"/>
            <w:vAlign w:val="center"/>
            <w:textDirection w:val="lrTb"/>
            <w:noWrap w:val="false"/>
          </w:tcPr>
          <w:p>
            <w:pPr>
              <w:jc w:val="center"/>
              <w:spacing w:line="400" w:lineRule="exact"/>
              <w:rPr>
                <w:rFonts w:hint="eastAsia" w:ascii="宋体" w:hAnsi="宋体" w:eastAsia="宋体" w:cs="宋体"/>
                <w:bCs/>
                <w:sz w:val="24"/>
              </w:rPr>
            </w:pPr>
            <w:r>
              <w:rPr>
                <w:rFonts w:hint="eastAsia" w:ascii="宋体" w:hAnsi="宋体" w:eastAsia="宋体" w:cs="宋体"/>
                <w:bCs/>
                <w:sz w:val="24"/>
              </w:rPr>
              <w:t xml:space="preserve">实施方案</w:t>
            </w:r>
            <w:r/>
          </w:p>
        </w:tc>
        <w:tc>
          <w:tcPr>
            <w:tcBorders>
              <w:top w:val="single" w:color="auto" w:sz="6" w:space="0"/>
              <w:left w:val="single" w:color="auto" w:sz="6" w:space="0"/>
              <w:bottom w:val="single" w:color="auto" w:sz="6" w:space="0"/>
              <w:right w:val="single" w:color="auto" w:sz="6" w:space="0"/>
            </w:tcBorders>
            <w:tcW w:w="5500"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投标人针对本项目提供项目实施方案，包括①项目重点难点分析、②实施人员配置、③实施进度计划、④项目运维方案、⑤验收方案，方案内容描述全面合理符合采购需求的得5分，每有一项内容缺失的扣1分；每有一项内容存在缺陷或不满足要求的扣0.5分，扣完为止。</w:t>
            </w:r>
            <w:r/>
          </w:p>
          <w:p>
            <w:pPr>
              <w:spacing w:line="400" w:lineRule="exact"/>
              <w:rPr>
                <w:rFonts w:hint="eastAsia" w:ascii="宋体" w:hAnsi="宋体" w:eastAsia="宋体" w:cs="宋体"/>
                <w:bCs/>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37" w:type="dxa"/>
            <w:vAlign w:val="center"/>
            <w:textDirection w:val="lrTb"/>
            <w:noWrap w:val="false"/>
          </w:tcPr>
          <w:p>
            <w:pPr>
              <w:jc w:val="center"/>
              <w:spacing w:line="400" w:lineRule="exact"/>
              <w:rPr>
                <w:rFonts w:hint="eastAsia" w:ascii="宋体" w:hAnsi="宋体" w:eastAsia="宋体" w:cs="宋体"/>
                <w:bCs/>
                <w:sz w:val="24"/>
              </w:rPr>
            </w:pPr>
            <w:r>
              <w:rPr>
                <w:rFonts w:hint="eastAsia" w:ascii="宋体" w:hAnsi="宋体" w:eastAsia="宋体" w:cs="宋体"/>
                <w:bCs/>
                <w:sz w:val="24"/>
              </w:rPr>
              <w:t xml:space="preserve">5</w:t>
            </w:r>
            <w:r/>
          </w:p>
        </w:tc>
      </w:tr>
      <w:tr>
        <w:trPr>
          <w:jc w:val="center"/>
          <w:trHeight w:val="20"/>
        </w:trPr>
        <w:tc>
          <w:tcPr>
            <w:tcBorders>
              <w:left w:val="single" w:color="auto" w:sz="8" w:space="0"/>
              <w:right w:val="single" w:color="auto" w:sz="6" w:space="0"/>
            </w:tcBorders>
            <w:tcW w:w="1220" w:type="dxa"/>
            <w:vAlign w:val="center"/>
            <w:vMerge w:val="continue"/>
            <w:textDirection w:val="lrTb"/>
            <w:noWrap w:val="false"/>
          </w:tcPr>
          <w:p>
            <w:pPr>
              <w:jc w:val="center"/>
              <w:spacing w:line="400" w:lineRule="exact"/>
              <w:widowControl/>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72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2.4</w:t>
            </w:r>
            <w:r/>
          </w:p>
        </w:tc>
        <w:tc>
          <w:tcPr>
            <w:tcBorders>
              <w:top w:val="single" w:color="auto" w:sz="6" w:space="0"/>
              <w:left w:val="single" w:color="auto" w:sz="6" w:space="0"/>
              <w:bottom w:val="single" w:color="auto" w:sz="6" w:space="0"/>
              <w:right w:val="single" w:color="auto" w:sz="6" w:space="0"/>
            </w:tcBorders>
            <w:tcW w:w="1303" w:type="dxa"/>
            <w:vAlign w:val="center"/>
            <w:textDirection w:val="lrTb"/>
            <w:noWrap w:val="false"/>
          </w:tcPr>
          <w:p>
            <w:pPr>
              <w:jc w:val="center"/>
              <w:spacing w:line="400" w:lineRule="exact"/>
              <w:rPr>
                <w:rFonts w:hint="eastAsia" w:ascii="宋体" w:hAnsi="宋体" w:eastAsia="宋体" w:cs="宋体"/>
                <w:bCs/>
                <w:sz w:val="24"/>
              </w:rPr>
            </w:pPr>
            <w:r>
              <w:rPr>
                <w:rFonts w:hint="eastAsia" w:ascii="宋体" w:hAnsi="宋体" w:eastAsia="宋体" w:cs="宋体"/>
                <w:bCs/>
                <w:sz w:val="24"/>
              </w:rPr>
              <w:t xml:space="preserve">售后服务方案</w:t>
            </w:r>
            <w:r/>
          </w:p>
        </w:tc>
        <w:tc>
          <w:tcPr>
            <w:tcBorders>
              <w:top w:val="single" w:color="auto" w:sz="6" w:space="0"/>
              <w:left w:val="single" w:color="auto" w:sz="6" w:space="0"/>
              <w:bottom w:val="single" w:color="auto" w:sz="6" w:space="0"/>
              <w:right w:val="single" w:color="auto" w:sz="6" w:space="0"/>
            </w:tcBorders>
            <w:tcW w:w="5500" w:type="dxa"/>
            <w:vAlign w:val="center"/>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投标人针对本项目提供项目</w:t>
            </w:r>
            <w:r>
              <w:rPr>
                <w:rFonts w:hint="eastAsia" w:ascii="宋体" w:hAnsi="宋体" w:eastAsia="宋体" w:cs="宋体"/>
                <w:bCs/>
                <w:sz w:val="24"/>
              </w:rPr>
              <w:t xml:space="preserve">售后服务方案</w:t>
            </w:r>
            <w:r>
              <w:rPr>
                <w:rFonts w:hint="eastAsia" w:ascii="宋体" w:hAnsi="宋体" w:eastAsia="宋体" w:cs="宋体"/>
                <w:sz w:val="24"/>
              </w:rPr>
              <w:t xml:space="preserve">，包括:①售后服务体系、②服务内容、③响应时间、④响应方式，方案内容描述全面合理符合采购需求的得4分，每有一项内容缺失的扣1分；每有一项内容存在缺陷或不满足要求的扣0.5分，扣完为止。</w:t>
            </w:r>
            <w:r/>
          </w:p>
          <w:p>
            <w:pPr>
              <w:spacing w:line="400" w:lineRule="exact"/>
              <w:rPr>
                <w:rFonts w:hint="eastAsia" w:ascii="宋体" w:hAnsi="宋体" w:eastAsia="宋体" w:cs="宋体"/>
                <w:bCs/>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37" w:type="dxa"/>
            <w:vAlign w:val="center"/>
            <w:textDirection w:val="lrTb"/>
            <w:noWrap w:val="false"/>
          </w:tcPr>
          <w:p>
            <w:pPr>
              <w:jc w:val="center"/>
              <w:spacing w:line="400" w:lineRule="exact"/>
              <w:rPr>
                <w:rFonts w:hint="eastAsia" w:ascii="宋体" w:hAnsi="宋体" w:eastAsia="宋体" w:cs="宋体"/>
                <w:bCs/>
                <w:sz w:val="24"/>
              </w:rPr>
            </w:pPr>
            <w:r>
              <w:rPr>
                <w:rFonts w:hint="eastAsia" w:ascii="宋体" w:hAnsi="宋体" w:eastAsia="宋体" w:cs="宋体"/>
                <w:bCs/>
                <w:sz w:val="24"/>
              </w:rPr>
              <w:t xml:space="preserve">4</w:t>
            </w:r>
            <w:r/>
          </w:p>
        </w:tc>
      </w:tr>
      <w:tr>
        <w:trPr>
          <w:jc w:val="center"/>
          <w:trHeight w:val="20"/>
        </w:trPr>
        <w:tc>
          <w:tcPr>
            <w:tcBorders>
              <w:left w:val="single" w:color="auto" w:sz="8" w:space="0"/>
              <w:right w:val="single" w:color="auto" w:sz="6" w:space="0"/>
            </w:tcBorders>
            <w:tcW w:w="1220" w:type="dxa"/>
            <w:vAlign w:val="center"/>
            <w:vMerge w:val="continue"/>
            <w:textDirection w:val="lrTb"/>
            <w:noWrap w:val="false"/>
          </w:tcPr>
          <w:p>
            <w:pPr>
              <w:jc w:val="center"/>
              <w:spacing w:line="400" w:lineRule="exact"/>
              <w:widowControl/>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72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2.5</w:t>
            </w:r>
            <w:r/>
          </w:p>
        </w:tc>
        <w:tc>
          <w:tcPr>
            <w:tcBorders>
              <w:top w:val="single" w:color="auto" w:sz="6" w:space="0"/>
              <w:left w:val="single" w:color="auto" w:sz="6" w:space="0"/>
              <w:bottom w:val="single" w:color="auto" w:sz="6" w:space="0"/>
              <w:right w:val="single" w:color="auto" w:sz="6" w:space="0"/>
            </w:tcBorders>
            <w:tcW w:w="1303" w:type="dxa"/>
            <w:vAlign w:val="center"/>
            <w:textDirection w:val="lrTb"/>
            <w:noWrap w:val="false"/>
          </w:tcPr>
          <w:p>
            <w:pPr>
              <w:jc w:val="center"/>
              <w:spacing w:line="400" w:lineRule="exact"/>
              <w:rPr>
                <w:rFonts w:hint="eastAsia" w:ascii="宋体" w:hAnsi="宋体" w:eastAsia="宋体" w:cs="宋体"/>
                <w:bCs/>
                <w:sz w:val="24"/>
              </w:rPr>
            </w:pPr>
            <w:r>
              <w:rPr>
                <w:rFonts w:hint="eastAsia" w:ascii="宋体" w:hAnsi="宋体" w:eastAsia="宋体" w:cs="宋体"/>
                <w:sz w:val="24"/>
              </w:rPr>
              <w:t xml:space="preserve">培训方案</w:t>
            </w:r>
            <w:r/>
          </w:p>
        </w:tc>
        <w:tc>
          <w:tcPr>
            <w:tcBorders>
              <w:top w:val="single" w:color="auto" w:sz="6" w:space="0"/>
              <w:left w:val="single" w:color="auto" w:sz="6" w:space="0"/>
              <w:bottom w:val="single" w:color="auto" w:sz="6" w:space="0"/>
              <w:right w:val="single" w:color="auto" w:sz="6" w:space="0"/>
            </w:tcBorders>
            <w:tcW w:w="5500" w:type="dxa"/>
            <w:vAlign w:val="center"/>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投标人针对本项目提供项目培训方案，包括:①培训内容、②培训计划、③培训师资、④培训方式，方案内容描述全面合理符合采购需求的得4分，每有一项内容缺失的扣1分；每有一项内容存在缺陷或不满足要求的扣0.5分，扣完为止。</w:t>
            </w:r>
            <w:r/>
          </w:p>
          <w:p>
            <w:pPr>
              <w:spacing w:line="400" w:lineRule="exact"/>
              <w:rPr>
                <w:rFonts w:hint="eastAsia" w:ascii="宋体" w:hAnsi="宋体" w:eastAsia="宋体" w:cs="宋体"/>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37" w:type="dxa"/>
            <w:vAlign w:val="center"/>
            <w:textDirection w:val="lrTb"/>
            <w:noWrap w:val="false"/>
          </w:tcPr>
          <w:p>
            <w:pPr>
              <w:jc w:val="center"/>
              <w:spacing w:line="400" w:lineRule="exact"/>
              <w:rPr>
                <w:rFonts w:hint="eastAsia" w:ascii="宋体" w:hAnsi="宋体" w:eastAsia="宋体" w:cs="宋体"/>
                <w:bCs/>
                <w:sz w:val="24"/>
              </w:rPr>
            </w:pPr>
            <w:r>
              <w:rPr>
                <w:rFonts w:hint="eastAsia" w:ascii="宋体" w:hAnsi="宋体" w:eastAsia="宋体" w:cs="宋体"/>
                <w:sz w:val="24"/>
              </w:rPr>
              <w:t xml:space="preserve">4</w:t>
            </w:r>
            <w:r/>
          </w:p>
        </w:tc>
      </w:tr>
      <w:tr>
        <w:trPr>
          <w:jc w:val="center"/>
          <w:trHeight w:val="20"/>
        </w:trPr>
        <w:tc>
          <w:tcPr>
            <w:tcBorders>
              <w:left w:val="single" w:color="auto" w:sz="8" w:space="0"/>
              <w:right w:val="single" w:color="auto" w:sz="6" w:space="0"/>
            </w:tcBorders>
            <w:tcW w:w="1220" w:type="dxa"/>
            <w:vAlign w:val="center"/>
            <w:vMerge w:val="continue"/>
            <w:textDirection w:val="lrTb"/>
            <w:noWrap w:val="false"/>
          </w:tcPr>
          <w:p>
            <w:pPr>
              <w:jc w:val="center"/>
              <w:spacing w:line="400" w:lineRule="exact"/>
              <w:widowControl/>
              <w:rPr>
                <w:rFonts w:hint="eastAsia" w:ascii="宋体" w:hAnsi="宋体" w:eastAsia="宋体" w:cs="宋体"/>
                <w:sz w:val="24"/>
              </w:rPr>
            </w:pPr>
            <w:r>
              <w:rPr>
                <w:rFonts w:hint="eastAsia" w:ascii="宋体" w:hAnsi="宋体" w:eastAsia="宋体" w:cs="宋体"/>
                <w:sz w:val="24"/>
              </w:rPr>
            </w:r>
            <w:r/>
          </w:p>
        </w:tc>
        <w:tc>
          <w:tcPr>
            <w:gridSpan w:val="4"/>
            <w:tcBorders>
              <w:top w:val="single" w:color="auto" w:sz="6" w:space="0"/>
              <w:left w:val="single" w:color="auto" w:sz="6" w:space="0"/>
              <w:bottom w:val="single" w:color="auto" w:sz="6" w:space="0"/>
              <w:right w:val="single" w:color="auto" w:sz="8" w:space="0"/>
            </w:tcBorders>
            <w:tcW w:w="8267" w:type="dxa"/>
            <w:vAlign w:val="center"/>
            <w:textDirection w:val="lrTb"/>
            <w:noWrap w:val="false"/>
          </w:tcPr>
          <w:p>
            <w:pPr>
              <w:jc w:val="left"/>
              <w:spacing w:line="400" w:lineRule="exact"/>
              <w:rPr>
                <w:rFonts w:hint="eastAsia" w:ascii="宋体" w:hAnsi="宋体" w:eastAsia="宋体" w:cs="Times New Roman"/>
                <w:sz w:val="24"/>
              </w:rPr>
            </w:pPr>
            <w:r>
              <w:rPr>
                <w:rFonts w:hint="eastAsia" w:ascii="宋体" w:hAnsi="宋体" w:eastAsia="宋体" w:cs="Times New Roman"/>
                <w:sz w:val="24"/>
              </w:rPr>
              <w:t xml:space="preserve">投标人对本项目涉及的相关功能（以下2.6-2.9项）提供目前正在运行的真实环境或模拟环境的录屏演示（可配语音讲解，不得使用PPT形式、截图形式等其他形式演示）。于本项目开标时间前将视频文件分段以压缩包文件格式（zip格式）上传提交，文件上传方式见《操作手册》规定，上传的演示视频将作为投标文件的组成部分。</w:t>
            </w:r>
            <w:r/>
          </w:p>
          <w:p>
            <w:pPr>
              <w:jc w:val="left"/>
              <w:spacing w:line="400" w:lineRule="exact"/>
              <w:rPr>
                <w:rFonts w:hint="eastAsia" w:ascii="宋体" w:hAnsi="宋体" w:eastAsia="宋体" w:cs="Times New Roman"/>
                <w:sz w:val="24"/>
              </w:rPr>
            </w:pPr>
            <w:r>
              <w:rPr>
                <w:rFonts w:hint="eastAsia" w:ascii="宋体" w:hAnsi="宋体" w:eastAsia="宋体" w:cs="Times New Roman"/>
                <w:sz w:val="24"/>
              </w:rPr>
              <w:t xml:space="preserve">录制时长：不得超过10分钟</w:t>
            </w:r>
            <w:r/>
          </w:p>
          <w:p>
            <w:pPr>
              <w:jc w:val="left"/>
              <w:spacing w:line="400" w:lineRule="exact"/>
              <w:rPr>
                <w:rFonts w:hint="eastAsia" w:ascii="宋体" w:hAnsi="宋体" w:eastAsia="宋体" w:cs="Times New Roman"/>
                <w:sz w:val="24"/>
              </w:rPr>
            </w:pPr>
            <w:r>
              <w:rPr>
                <w:rFonts w:hint="eastAsia" w:ascii="宋体" w:hAnsi="宋体" w:eastAsia="宋体" w:cs="Times New Roman"/>
                <w:sz w:val="24"/>
              </w:rPr>
              <w:t xml:space="preserve">演示视频格式：mp4、avi</w:t>
            </w:r>
            <w:r/>
          </w:p>
          <w:p>
            <w:pPr>
              <w:jc w:val="left"/>
              <w:spacing w:line="400" w:lineRule="exact"/>
              <w:rPr>
                <w:rFonts w:hint="eastAsia" w:ascii="宋体" w:hAnsi="宋体" w:eastAsia="宋体" w:cs="Times New Roman"/>
                <w:sz w:val="24"/>
              </w:rPr>
            </w:pPr>
            <w:r>
              <w:rPr>
                <w:rFonts w:hint="eastAsia" w:ascii="宋体" w:hAnsi="宋体" w:eastAsia="宋体" w:cs="Times New Roman"/>
                <w:sz w:val="24"/>
              </w:rPr>
              <w:t xml:space="preserve">演示视频大小：单个视频压缩包大小不得超过50M,整体不得超过300M</w:t>
            </w:r>
            <w:r/>
          </w:p>
          <w:p>
            <w:pPr>
              <w:spacing w:line="400" w:lineRule="exact"/>
              <w:rPr>
                <w:rFonts w:hint="eastAsia" w:ascii="宋体" w:hAnsi="宋体" w:eastAsia="宋体" w:cs="宋体"/>
                <w:bCs/>
                <w:sz w:val="24"/>
              </w:rPr>
            </w:pPr>
            <w:r>
              <w:rPr>
                <w:rFonts w:hint="eastAsia" w:ascii="宋体" w:hAnsi="宋体" w:eastAsia="宋体" w:cs="Times New Roman"/>
                <w:sz w:val="24"/>
              </w:rPr>
              <w:t xml:space="preserve">未按要求提交的本项不得分。</w:t>
            </w:r>
            <w:r/>
          </w:p>
        </w:tc>
      </w:tr>
      <w:tr>
        <w:trPr>
          <w:jc w:val="center"/>
          <w:trHeight w:val="20"/>
        </w:trPr>
        <w:tc>
          <w:tcPr>
            <w:tcBorders>
              <w:left w:val="single" w:color="auto" w:sz="8" w:space="0"/>
              <w:right w:val="single" w:color="auto" w:sz="6" w:space="0"/>
            </w:tcBorders>
            <w:tcW w:w="1220" w:type="dxa"/>
            <w:vAlign w:val="center"/>
            <w:vMerge w:val="continue"/>
            <w:textDirection w:val="lrTb"/>
            <w:noWrap w:val="false"/>
          </w:tcPr>
          <w:p>
            <w:pPr>
              <w:jc w:val="center"/>
              <w:spacing w:line="400" w:lineRule="exact"/>
              <w:widowControl/>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72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2.6</w:t>
            </w:r>
            <w:r/>
          </w:p>
        </w:tc>
        <w:tc>
          <w:tcPr>
            <w:tcBorders>
              <w:top w:val="single" w:color="auto" w:sz="6" w:space="0"/>
              <w:left w:val="single" w:color="auto" w:sz="6" w:space="0"/>
              <w:bottom w:val="single" w:color="auto" w:sz="6" w:space="0"/>
              <w:right w:val="single" w:color="auto" w:sz="6" w:space="0"/>
            </w:tcBorders>
            <w:tcW w:w="130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系统演示1</w:t>
            </w:r>
            <w:r/>
          </w:p>
        </w:tc>
        <w:tc>
          <w:tcPr>
            <w:tcBorders>
              <w:top w:val="single" w:color="auto" w:sz="6" w:space="0"/>
              <w:left w:val="single" w:color="auto" w:sz="6" w:space="0"/>
              <w:bottom w:val="single" w:color="auto" w:sz="6" w:space="0"/>
              <w:right w:val="single" w:color="auto" w:sz="6" w:space="0"/>
            </w:tcBorders>
            <w:tcW w:w="5500" w:type="dxa"/>
            <w:textDirection w:val="lrTb"/>
            <w:noWrap w:val="false"/>
          </w:tcPr>
          <w:p>
            <w:pPr>
              <w:spacing w:line="400" w:lineRule="exact"/>
              <w:rPr>
                <w:rFonts w:hint="eastAsia" w:ascii="宋体" w:hAnsi="宋体" w:eastAsia="宋体" w:cs="宋体"/>
                <w:color w:val="000000"/>
                <w:sz w:val="24"/>
                <w:lang w:bidi="ar"/>
              </w:rPr>
            </w:pPr>
            <w:r>
              <w:rPr>
                <w:rFonts w:hint="eastAsia" w:ascii="宋体" w:hAnsi="宋体" w:eastAsia="宋体" w:cs="宋体"/>
                <w:sz w:val="24"/>
              </w:rPr>
              <w:t xml:space="preserve">医案建立</w:t>
            </w:r>
            <w:r>
              <w:rPr>
                <w:rFonts w:hint="eastAsia" w:ascii="宋体" w:hAnsi="宋体" w:eastAsia="宋体" w:cs="宋体"/>
                <w:color w:val="000000"/>
                <w:sz w:val="24"/>
                <w:lang w:bidi="ar"/>
              </w:rPr>
              <w:t xml:space="preserve">：①</w:t>
            </w:r>
            <w:r>
              <w:rPr>
                <w:rFonts w:hint="eastAsia" w:ascii="宋体" w:hAnsi="宋体" w:eastAsia="宋体" w:cs="宋体"/>
                <w:color w:val="000000"/>
                <w:sz w:val="24"/>
                <w:lang w:bidi="ar"/>
              </w:rPr>
              <w:t xml:space="preserve">支持化验单图片的上传，化验单图片内检查指标数据自动识别和提取，并可将数据指标自动构化处理填入问诊单。</w:t>
            </w:r>
            <w:r>
              <w:rPr>
                <w:rFonts w:hint="eastAsia" w:ascii="宋体" w:hAnsi="宋体" w:eastAsia="宋体" w:cs="宋体"/>
                <w:bCs/>
                <w:sz w:val="24"/>
              </w:rPr>
              <w:t xml:space="preserve">②</w:t>
            </w:r>
            <w:r>
              <w:rPr>
                <w:rFonts w:hint="eastAsia" w:ascii="宋体" w:hAnsi="宋体" w:eastAsia="宋体" w:cs="宋体"/>
                <w:color w:val="000000"/>
                <w:sz w:val="24"/>
                <w:lang w:bidi="ar"/>
              </w:rPr>
              <w:t xml:space="preserve">支持舌象图像上传，或即时拍摄舌象图片。可识别舌色、苔色、舌形、苔质、津液、舌下脉络。</w:t>
            </w:r>
            <w:r>
              <w:rPr>
                <w:rFonts w:hint="eastAsia" w:ascii="宋体" w:hAnsi="宋体" w:eastAsia="宋体" w:cs="宋体"/>
                <w:bCs/>
                <w:sz w:val="24"/>
              </w:rPr>
              <w:t xml:space="preserve">③</w:t>
            </w:r>
            <w:r>
              <w:rPr>
                <w:rFonts w:hint="eastAsia" w:ascii="宋体" w:hAnsi="宋体" w:eastAsia="宋体" w:cs="宋体"/>
                <w:color w:val="000000"/>
                <w:sz w:val="24"/>
                <w:lang w:bidi="ar"/>
              </w:rPr>
              <w:t xml:space="preserve">支持通过在线的方式或扫码的方式进行量表填写，量表数量不少于9种，包括汉密顿抑郁量表、IBS-QOL量表、汉密尔顿焦虑量表、内脏敏感指数量表、匹兹堡睡眠质量指数量表、焦虑自评量表（GAD-7）、失眠严重指数（ISI）、抑郁自评量表PHQ-9、躯体化症状群量表（PHQ-15）等，量表填写提交之后，系统可自动进行分数统计，并可将分数自动填入专病问诊单。</w:t>
            </w:r>
            <w:r>
              <w:rPr>
                <w:rFonts w:hint="eastAsia" w:ascii="宋体" w:hAnsi="宋体" w:eastAsia="宋体" w:cs="宋体"/>
                <w:bCs/>
                <w:sz w:val="24"/>
              </w:rPr>
              <w:t xml:space="preserve">④</w:t>
            </w:r>
            <w:r>
              <w:rPr>
                <w:rFonts w:hint="eastAsia" w:ascii="宋体" w:hAnsi="宋体" w:eastAsia="宋体" w:cs="宋体"/>
                <w:color w:val="000000"/>
                <w:sz w:val="24"/>
                <w:lang w:bidi="ar"/>
              </w:rPr>
              <w:t xml:space="preserve">支持在病历记录中查看关联的量表详情。</w:t>
            </w:r>
            <w:r/>
          </w:p>
          <w:p>
            <w:pPr>
              <w:spacing w:line="400" w:lineRule="exact"/>
              <w:rPr>
                <w:rFonts w:hint="eastAsia" w:ascii="宋体" w:hAnsi="宋体" w:eastAsia="宋体" w:cs="宋体"/>
                <w:color w:val="000000"/>
                <w:sz w:val="24"/>
                <w:lang w:bidi="ar"/>
              </w:rPr>
            </w:pPr>
            <w:r>
              <w:rPr>
                <w:rFonts w:hint="eastAsia" w:ascii="宋体" w:hAnsi="宋体" w:eastAsia="宋体"/>
                <w:sz w:val="24"/>
                <w:szCs w:val="24"/>
              </w:rPr>
              <w:t xml:space="preserve">每完整演示一项得0.5分，最高得2分。</w:t>
            </w:r>
            <w:r/>
          </w:p>
        </w:tc>
        <w:tc>
          <w:tcPr>
            <w:tcBorders>
              <w:top w:val="single" w:color="auto" w:sz="6" w:space="0"/>
              <w:left w:val="single" w:color="auto" w:sz="6" w:space="0"/>
              <w:bottom w:val="single" w:color="auto" w:sz="6" w:space="0"/>
              <w:right w:val="single" w:color="auto" w:sz="8" w:space="0"/>
            </w:tcBorders>
            <w:tcW w:w="737" w:type="dxa"/>
            <w:vAlign w:val="center"/>
            <w:textDirection w:val="lrTb"/>
            <w:noWrap w:val="false"/>
          </w:tcPr>
          <w:p>
            <w:pPr>
              <w:jc w:val="center"/>
              <w:spacing w:line="400" w:lineRule="exact"/>
              <w:rPr>
                <w:rFonts w:hint="eastAsia" w:ascii="宋体" w:hAnsi="宋体" w:eastAsia="宋体" w:cs="宋体"/>
                <w:bCs/>
                <w:sz w:val="24"/>
              </w:rPr>
            </w:pPr>
            <w:r>
              <w:rPr>
                <w:rFonts w:hint="eastAsia" w:ascii="宋体" w:hAnsi="宋体" w:eastAsia="宋体" w:cs="宋体"/>
                <w:bCs/>
                <w:sz w:val="24"/>
              </w:rPr>
              <w:t xml:space="preserve">2</w:t>
            </w:r>
            <w:r/>
          </w:p>
        </w:tc>
      </w:tr>
      <w:tr>
        <w:trPr>
          <w:jc w:val="center"/>
          <w:trHeight w:val="20"/>
        </w:trPr>
        <w:tc>
          <w:tcPr>
            <w:tcBorders>
              <w:left w:val="single" w:color="auto" w:sz="8" w:space="0"/>
              <w:right w:val="single" w:color="auto" w:sz="6" w:space="0"/>
            </w:tcBorders>
            <w:tcW w:w="1220" w:type="dxa"/>
            <w:vAlign w:val="center"/>
            <w:vMerge w:val="continue"/>
            <w:textDirection w:val="lrTb"/>
            <w:noWrap w:val="false"/>
          </w:tcPr>
          <w:p>
            <w:pPr>
              <w:jc w:val="center"/>
              <w:spacing w:line="400" w:lineRule="exact"/>
              <w:widowControl/>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72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2.7</w:t>
            </w:r>
            <w:r/>
          </w:p>
        </w:tc>
        <w:tc>
          <w:tcPr>
            <w:tcBorders>
              <w:top w:val="single" w:color="auto" w:sz="6" w:space="0"/>
              <w:left w:val="single" w:color="auto" w:sz="6" w:space="0"/>
              <w:bottom w:val="single" w:color="auto" w:sz="6" w:space="0"/>
              <w:right w:val="single" w:color="auto" w:sz="6" w:space="0"/>
            </w:tcBorders>
            <w:tcW w:w="130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系统演示2</w:t>
            </w:r>
            <w:r/>
          </w:p>
        </w:tc>
        <w:tc>
          <w:tcPr>
            <w:tcBorders>
              <w:top w:val="single" w:color="auto" w:sz="6" w:space="0"/>
              <w:left w:val="single" w:color="auto" w:sz="6" w:space="0"/>
              <w:bottom w:val="single" w:color="auto" w:sz="6" w:space="0"/>
              <w:right w:val="single" w:color="auto" w:sz="6" w:space="0"/>
            </w:tcBorders>
            <w:tcW w:w="5500" w:type="dxa"/>
            <w:textDirection w:val="lrTb"/>
            <w:noWrap w:val="false"/>
          </w:tcPr>
          <w:p>
            <w:pPr>
              <w:spacing w:line="400" w:lineRule="exact"/>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舌象报告：①支持中医可视化舌象报告，内容覆盖舌象原始图片，分析内容覆盖舌色、舌尖、舌形、苔色、厚薄、腐腻；②支持舌色指数、苔色指数、胖瘦指数、厚薄指数、腐腻指数、老嫩指数分析，提供指数参考范围。</w:t>
            </w:r>
            <w:r/>
          </w:p>
          <w:p>
            <w:pPr>
              <w:spacing w:line="400" w:lineRule="exact"/>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每完整演示一项得1分，最高得2分。</w:t>
            </w:r>
            <w:r/>
          </w:p>
        </w:tc>
        <w:tc>
          <w:tcPr>
            <w:tcBorders>
              <w:top w:val="single" w:color="auto" w:sz="6" w:space="0"/>
              <w:left w:val="single" w:color="auto" w:sz="6" w:space="0"/>
              <w:bottom w:val="single" w:color="auto" w:sz="6" w:space="0"/>
              <w:right w:val="single" w:color="auto" w:sz="8" w:space="0"/>
            </w:tcBorders>
            <w:tcW w:w="737" w:type="dxa"/>
            <w:vAlign w:val="center"/>
            <w:textDirection w:val="lrTb"/>
            <w:noWrap w:val="false"/>
          </w:tcPr>
          <w:p>
            <w:pPr>
              <w:jc w:val="center"/>
              <w:spacing w:line="400" w:lineRule="exact"/>
              <w:rPr>
                <w:rFonts w:hint="eastAsia" w:ascii="宋体" w:hAnsi="宋体" w:eastAsia="宋体" w:cs="宋体"/>
                <w:bCs/>
                <w:sz w:val="24"/>
              </w:rPr>
            </w:pPr>
            <w:r>
              <w:rPr>
                <w:rFonts w:hint="eastAsia" w:ascii="宋体" w:hAnsi="宋体" w:eastAsia="宋体" w:cs="宋体"/>
                <w:bCs/>
                <w:sz w:val="24"/>
              </w:rPr>
              <w:t xml:space="preserve">2</w:t>
            </w:r>
            <w:r/>
          </w:p>
        </w:tc>
      </w:tr>
      <w:tr>
        <w:trPr>
          <w:jc w:val="center"/>
          <w:trHeight w:val="20"/>
        </w:trPr>
        <w:tc>
          <w:tcPr>
            <w:tcBorders>
              <w:left w:val="single" w:color="auto" w:sz="8" w:space="0"/>
              <w:right w:val="single" w:color="auto" w:sz="6" w:space="0"/>
            </w:tcBorders>
            <w:tcW w:w="1220" w:type="dxa"/>
            <w:vAlign w:val="center"/>
            <w:vMerge w:val="continue"/>
            <w:textDirection w:val="lrTb"/>
            <w:noWrap w:val="false"/>
          </w:tcPr>
          <w:p>
            <w:pPr>
              <w:jc w:val="center"/>
              <w:spacing w:line="400" w:lineRule="exact"/>
              <w:widowControl/>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72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2.8</w:t>
            </w:r>
            <w:r/>
          </w:p>
        </w:tc>
        <w:tc>
          <w:tcPr>
            <w:tcBorders>
              <w:top w:val="single" w:color="auto" w:sz="6" w:space="0"/>
              <w:left w:val="single" w:color="auto" w:sz="6" w:space="0"/>
              <w:bottom w:val="single" w:color="auto" w:sz="6" w:space="0"/>
              <w:right w:val="single" w:color="auto" w:sz="6" w:space="0"/>
            </w:tcBorders>
            <w:tcW w:w="130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系统演示3</w:t>
            </w:r>
            <w:r/>
          </w:p>
        </w:tc>
        <w:tc>
          <w:tcPr>
            <w:tcBorders>
              <w:top w:val="single" w:color="auto" w:sz="6" w:space="0"/>
              <w:left w:val="single" w:color="auto" w:sz="6" w:space="0"/>
              <w:bottom w:val="single" w:color="auto" w:sz="6" w:space="0"/>
              <w:right w:val="single" w:color="auto" w:sz="6" w:space="0"/>
            </w:tcBorders>
            <w:tcW w:w="5500" w:type="dxa"/>
            <w:textDirection w:val="lrTb"/>
            <w:noWrap w:val="false"/>
          </w:tcPr>
          <w:p>
            <w:pPr>
              <w:spacing w:line="400" w:lineRule="exact"/>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中医疾病知识库：①支持以科室分类、病名等多种维度方式查询中医疾病知识库。 ②支持展示中医疾病详细的病因病机、诊断依据等信息，以及通过中医疾病可关联名家医案知识。 </w:t>
            </w:r>
            <w:r>
              <w:rPr>
                <w:rFonts w:hint="eastAsia" w:ascii="宋体" w:hAnsi="宋体" w:eastAsia="宋体" w:cs="宋体"/>
                <w:bCs/>
                <w:sz w:val="24"/>
              </w:rPr>
              <w:t xml:space="preserve">③</w:t>
            </w:r>
            <w:r>
              <w:rPr>
                <w:rFonts w:hint="eastAsia" w:ascii="宋体" w:hAnsi="宋体" w:eastAsia="宋体" w:cs="宋体"/>
                <w:color w:val="000000"/>
                <w:sz w:val="24"/>
                <w:lang w:bidi="ar"/>
              </w:rPr>
              <w:t xml:space="preserve">支持中医疾病知识可视化查询，支持通过树状图查询中医疾病信息，支持中医疾病的分类折叠及展开。</w:t>
            </w:r>
            <w:r>
              <w:rPr>
                <w:rFonts w:hint="eastAsia" w:ascii="宋体" w:hAnsi="宋体" w:eastAsia="宋体" w:cs="宋体"/>
                <w:bCs/>
                <w:sz w:val="24"/>
              </w:rPr>
              <w:t xml:space="preserve">④</w:t>
            </w:r>
            <w:r>
              <w:rPr>
                <w:rFonts w:hint="eastAsia" w:ascii="宋体" w:hAnsi="宋体" w:eastAsia="宋体" w:cs="宋体"/>
                <w:color w:val="000000"/>
                <w:sz w:val="24"/>
                <w:lang w:bidi="ar"/>
              </w:rPr>
              <w:t xml:space="preserve">支持快速展示疾病概述信息。</w:t>
            </w:r>
            <w:r/>
          </w:p>
          <w:p>
            <w:pPr>
              <w:spacing w:line="400" w:lineRule="exact"/>
              <w:rPr>
                <w:rFonts w:hint="eastAsia" w:ascii="宋体" w:hAnsi="宋体" w:eastAsia="宋体" w:cs="宋体"/>
                <w:color w:val="000000"/>
                <w:sz w:val="24"/>
                <w:lang w:bidi="ar"/>
              </w:rPr>
            </w:pPr>
            <w:r>
              <w:rPr>
                <w:rFonts w:hint="eastAsia" w:ascii="宋体" w:hAnsi="宋体" w:eastAsia="宋体"/>
                <w:sz w:val="24"/>
                <w:szCs w:val="24"/>
              </w:rPr>
              <w:t xml:space="preserve">每完整演示一项得0.5分，最高得2分。</w:t>
            </w:r>
            <w:r/>
          </w:p>
        </w:tc>
        <w:tc>
          <w:tcPr>
            <w:tcBorders>
              <w:top w:val="single" w:color="auto" w:sz="6" w:space="0"/>
              <w:left w:val="single" w:color="auto" w:sz="6" w:space="0"/>
              <w:bottom w:val="single" w:color="auto" w:sz="6" w:space="0"/>
              <w:right w:val="single" w:color="auto" w:sz="8" w:space="0"/>
            </w:tcBorders>
            <w:tcW w:w="737" w:type="dxa"/>
            <w:vAlign w:val="center"/>
            <w:textDirection w:val="lrTb"/>
            <w:noWrap w:val="false"/>
          </w:tcPr>
          <w:p>
            <w:pPr>
              <w:jc w:val="center"/>
              <w:spacing w:line="400" w:lineRule="exact"/>
              <w:rPr>
                <w:rFonts w:hint="eastAsia" w:ascii="宋体" w:hAnsi="宋体" w:eastAsia="宋体" w:cs="宋体"/>
                <w:bCs/>
                <w:sz w:val="24"/>
              </w:rPr>
            </w:pPr>
            <w:r>
              <w:rPr>
                <w:rFonts w:hint="eastAsia" w:ascii="宋体" w:hAnsi="宋体" w:eastAsia="宋体" w:cs="宋体"/>
                <w:bCs/>
                <w:sz w:val="24"/>
              </w:rPr>
              <w:t xml:space="preserve">2</w:t>
            </w:r>
            <w:r/>
          </w:p>
        </w:tc>
      </w:tr>
      <w:tr>
        <w:trPr>
          <w:jc w:val="center"/>
          <w:trHeight w:val="20"/>
        </w:trPr>
        <w:tc>
          <w:tcPr>
            <w:tcBorders>
              <w:left w:val="single" w:color="auto" w:sz="8" w:space="0"/>
              <w:bottom w:val="single" w:color="auto" w:sz="6" w:space="0"/>
              <w:right w:val="single" w:color="auto" w:sz="6" w:space="0"/>
            </w:tcBorders>
            <w:tcW w:w="1220" w:type="dxa"/>
            <w:vAlign w:val="center"/>
            <w:vMerge w:val="continue"/>
            <w:textDirection w:val="lrTb"/>
            <w:noWrap w:val="false"/>
          </w:tcPr>
          <w:p>
            <w:pPr>
              <w:jc w:val="center"/>
              <w:spacing w:line="400" w:lineRule="exact"/>
              <w:widowControl/>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72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2.9</w:t>
            </w:r>
            <w:r/>
          </w:p>
        </w:tc>
        <w:tc>
          <w:tcPr>
            <w:tcBorders>
              <w:top w:val="single" w:color="auto" w:sz="6" w:space="0"/>
              <w:left w:val="single" w:color="auto" w:sz="6" w:space="0"/>
              <w:bottom w:val="single" w:color="auto" w:sz="6" w:space="0"/>
              <w:right w:val="single" w:color="auto" w:sz="6" w:space="0"/>
            </w:tcBorders>
            <w:tcW w:w="1303" w:type="dxa"/>
            <w:vAlign w:val="center"/>
            <w:textDirection w:val="lrTb"/>
            <w:noWrap w:val="false"/>
          </w:tcPr>
          <w:p>
            <w:pPr>
              <w:jc w:val="center"/>
              <w:spacing w:line="400" w:lineRule="exact"/>
              <w:rPr>
                <w:rFonts w:hint="eastAsia" w:ascii="宋体" w:hAnsi="宋体" w:eastAsia="宋体" w:cs="宋体"/>
                <w:bCs/>
                <w:sz w:val="24"/>
              </w:rPr>
            </w:pPr>
            <w:r>
              <w:rPr>
                <w:rFonts w:hint="eastAsia" w:ascii="宋体" w:hAnsi="宋体" w:eastAsia="宋体" w:cs="宋体"/>
                <w:sz w:val="24"/>
              </w:rPr>
              <w:t xml:space="preserve">系统演示4</w:t>
            </w:r>
            <w:r/>
          </w:p>
        </w:tc>
        <w:tc>
          <w:tcPr>
            <w:tcBorders>
              <w:top w:val="single" w:color="auto" w:sz="6" w:space="0"/>
              <w:left w:val="single" w:color="auto" w:sz="6" w:space="0"/>
              <w:bottom w:val="single" w:color="auto" w:sz="6" w:space="0"/>
              <w:right w:val="single" w:color="auto" w:sz="6" w:space="0"/>
            </w:tcBorders>
            <w:tcW w:w="5500" w:type="dxa"/>
            <w:vAlign w:val="center"/>
            <w:textDirection w:val="lrTb"/>
            <w:noWrap w:val="false"/>
          </w:tcPr>
          <w:p>
            <w:pPr>
              <w:spacing w:line="400" w:lineRule="exact"/>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中医门诊电子病历质控：①实现中医术语间的逻辑校验，包括症状互斥（如“荣舌”与“枯舌”）、病症关联矛盾（如“不寐”与“睡眠安”）的实时拦截与提醒，确保病历的内在逻辑一致。②实时追踪“望、闻、问、切”四诊信息的填写进度，对必填或最低项数要求进行引导性提示。</w:t>
            </w:r>
            <w:r>
              <w:rPr>
                <w:rFonts w:hint="eastAsia" w:ascii="宋体" w:hAnsi="宋体" w:eastAsia="宋体" w:cs="宋体"/>
                <w:bCs/>
                <w:sz w:val="24"/>
              </w:rPr>
              <w:t xml:space="preserve">③</w:t>
            </w:r>
            <w:r>
              <w:rPr>
                <w:rFonts w:hint="eastAsia" w:ascii="宋体" w:hAnsi="宋体" w:eastAsia="宋体" w:cs="宋体"/>
                <w:color w:val="000000"/>
                <w:sz w:val="24"/>
                <w:lang w:bidi="ar"/>
              </w:rPr>
              <w:t xml:space="preserve">提供无需代码的可视化界面，供管理员自定义、组合质控规则（条件、逻辑关系），实现规则的动态扩展与维护。</w:t>
            </w:r>
            <w:r>
              <w:rPr>
                <w:rFonts w:hint="eastAsia" w:ascii="宋体" w:hAnsi="宋体" w:eastAsia="宋体" w:cs="宋体"/>
                <w:bCs/>
                <w:sz w:val="24"/>
              </w:rPr>
              <w:t xml:space="preserve">④</w:t>
            </w:r>
            <w:r>
              <w:rPr>
                <w:rFonts w:hint="eastAsia" w:ascii="宋体" w:hAnsi="宋体" w:eastAsia="宋体" w:cs="宋体"/>
                <w:color w:val="000000"/>
                <w:sz w:val="24"/>
                <w:lang w:bidi="ar"/>
              </w:rPr>
              <w:t xml:space="preserve">内置不少于30条典型的中医质控规则，支持规则的启用/停用。</w:t>
            </w:r>
            <w:r/>
          </w:p>
          <w:p>
            <w:pPr>
              <w:pStyle w:val="859"/>
            </w:pPr>
            <w:r>
              <w:rPr>
                <w:rFonts w:hint="eastAsia" w:ascii="宋体" w:hAnsi="宋体" w:eastAsia="宋体"/>
                <w:sz w:val="24"/>
                <w:szCs w:val="24"/>
              </w:rPr>
              <w:t xml:space="preserve">每完整演示一项得0.5分，最高得2分。</w:t>
            </w:r>
            <w:r/>
          </w:p>
        </w:tc>
        <w:tc>
          <w:tcPr>
            <w:tcBorders>
              <w:top w:val="single" w:color="auto" w:sz="6" w:space="0"/>
              <w:left w:val="single" w:color="auto" w:sz="6" w:space="0"/>
              <w:bottom w:val="single" w:color="auto" w:sz="6" w:space="0"/>
              <w:right w:val="single" w:color="auto" w:sz="8" w:space="0"/>
            </w:tcBorders>
            <w:tcW w:w="737" w:type="dxa"/>
            <w:vAlign w:val="center"/>
            <w:textDirection w:val="lrTb"/>
            <w:noWrap w:val="false"/>
          </w:tcPr>
          <w:p>
            <w:pPr>
              <w:jc w:val="center"/>
              <w:spacing w:line="400" w:lineRule="exact"/>
              <w:rPr>
                <w:rFonts w:hint="eastAsia" w:ascii="宋体" w:hAnsi="宋体" w:eastAsia="宋体" w:cs="宋体"/>
                <w:bCs/>
                <w:sz w:val="24"/>
              </w:rPr>
            </w:pPr>
            <w:r>
              <w:rPr>
                <w:rFonts w:hint="eastAsia" w:ascii="宋体" w:hAnsi="宋体" w:eastAsia="宋体" w:cs="宋体"/>
                <w:bCs/>
                <w:sz w:val="24"/>
              </w:rPr>
              <w:t xml:space="preserve">2</w:t>
            </w:r>
            <w:r/>
          </w:p>
        </w:tc>
      </w:tr>
      <w:tr>
        <w:trPr>
          <w:jc w:val="center"/>
          <w:trHeight w:val="20"/>
        </w:trPr>
        <w:tc>
          <w:tcPr>
            <w:tcBorders>
              <w:top w:val="single" w:color="auto" w:sz="6" w:space="0"/>
              <w:left w:val="single" w:color="auto" w:sz="8" w:space="0"/>
              <w:right w:val="single" w:color="auto" w:sz="6" w:space="0"/>
            </w:tcBorders>
            <w:tcW w:w="1220" w:type="dxa"/>
            <w:vAlign w:val="center"/>
            <w:vMerge w:val="restart"/>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三、商务部分</w:t>
            </w:r>
            <w:r/>
          </w:p>
          <w:p>
            <w:pPr>
              <w:jc w:val="center"/>
              <w:spacing w:line="400" w:lineRule="exact"/>
              <w:rPr>
                <w:rFonts w:hint="eastAsia" w:ascii="宋体" w:hAnsi="宋体" w:eastAsia="宋体" w:cs="宋体"/>
                <w:sz w:val="24"/>
              </w:rPr>
            </w:pPr>
            <w:r>
              <w:rPr>
                <w:rFonts w:hint="eastAsia" w:ascii="宋体" w:hAnsi="宋体" w:eastAsia="宋体" w:cs="宋体"/>
                <w:sz w:val="24"/>
              </w:rPr>
              <w:t xml:space="preserve">（24分）</w:t>
            </w:r>
            <w:r/>
          </w:p>
        </w:tc>
        <w:tc>
          <w:tcPr>
            <w:tcBorders>
              <w:top w:val="single" w:color="auto" w:sz="6" w:space="0"/>
              <w:left w:val="single" w:color="auto" w:sz="6" w:space="0"/>
              <w:bottom w:val="single" w:color="auto" w:sz="6" w:space="0"/>
              <w:right w:val="single" w:color="auto" w:sz="6" w:space="0"/>
            </w:tcBorders>
            <w:tcW w:w="72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3.1</w:t>
            </w:r>
            <w:r/>
          </w:p>
        </w:tc>
        <w:tc>
          <w:tcPr>
            <w:tcBorders>
              <w:top w:val="single" w:color="auto" w:sz="6" w:space="0"/>
              <w:left w:val="single" w:color="auto" w:sz="6" w:space="0"/>
              <w:bottom w:val="single" w:color="auto" w:sz="6" w:space="0"/>
              <w:right w:val="single" w:color="auto" w:sz="6" w:space="0"/>
            </w:tcBorders>
            <w:tcW w:w="1303" w:type="dxa"/>
            <w:vAlign w:val="center"/>
            <w:textDirection w:val="lrTb"/>
            <w:noWrap w:val="false"/>
          </w:tcPr>
          <w:p>
            <w:pPr>
              <w:jc w:val="center"/>
              <w:spacing w:line="400" w:lineRule="exact"/>
              <w:rPr>
                <w:rFonts w:hint="eastAsia" w:ascii="宋体" w:hAnsi="宋体" w:eastAsia="宋体" w:cs="宋体"/>
                <w:bCs/>
                <w:sz w:val="24"/>
              </w:rPr>
            </w:pPr>
            <w:r>
              <w:rPr>
                <w:rFonts w:hint="eastAsia" w:ascii="宋体" w:hAnsi="宋体" w:eastAsia="宋体" w:cs="宋体"/>
                <w:bCs/>
                <w:sz w:val="24"/>
              </w:rPr>
              <w:t xml:space="preserve">综合实力</w:t>
            </w:r>
            <w:r/>
          </w:p>
        </w:tc>
        <w:tc>
          <w:tcPr>
            <w:tcBorders>
              <w:top w:val="single" w:color="auto" w:sz="6" w:space="0"/>
              <w:left w:val="single" w:color="auto" w:sz="6" w:space="0"/>
              <w:bottom w:val="single" w:color="auto" w:sz="6" w:space="0"/>
              <w:right w:val="single" w:color="auto" w:sz="6" w:space="0"/>
            </w:tcBorders>
            <w:tcW w:w="5500" w:type="dxa"/>
            <w:vAlign w:val="center"/>
            <w:textDirection w:val="lrTb"/>
            <w:noWrap w:val="false"/>
          </w:tcPr>
          <w:p>
            <w:pPr>
              <w:spacing w:line="400" w:lineRule="exact"/>
              <w:rPr>
                <w:rFonts w:hint="eastAsia" w:ascii="宋体" w:hAnsi="宋体" w:eastAsia="宋体" w:cs="宋体"/>
                <w:bCs/>
                <w:sz w:val="24"/>
              </w:rPr>
            </w:pPr>
            <w:r>
              <w:rPr>
                <w:rFonts w:hint="eastAsia" w:ascii="宋体" w:hAnsi="宋体" w:eastAsia="宋体" w:cs="宋体"/>
                <w:bCs/>
                <w:sz w:val="24"/>
              </w:rPr>
              <w:t xml:space="preserve">投标人具有①大数据企业服务能力评价证书、②数据安全服务能力评定证书、③隐私框架信息安全管理体系认证证书、④软件能力成熟度证书(SPCA)的，</w:t>
            </w:r>
            <w:r>
              <w:rPr>
                <w:rFonts w:hint="eastAsia" w:ascii="宋体" w:hAnsi="宋体" w:eastAsia="宋体" w:cs="宋体"/>
                <w:sz w:val="24"/>
              </w:rPr>
              <w:t xml:space="preserve">有一项得2分，最高得8分。</w:t>
            </w:r>
            <w:r/>
          </w:p>
          <w:p>
            <w:pPr>
              <w:spacing w:line="400" w:lineRule="exact"/>
              <w:rPr>
                <w:rFonts w:hint="eastAsia" w:ascii="宋体" w:hAnsi="宋体" w:eastAsia="宋体" w:cs="宋体"/>
                <w:b/>
                <w:sz w:val="24"/>
              </w:rPr>
            </w:pPr>
            <w:r>
              <w:rPr>
                <w:rFonts w:hint="eastAsia" w:ascii="宋体" w:hAnsi="宋体" w:eastAsia="宋体" w:cs="宋体"/>
                <w:b/>
                <w:bCs/>
                <w:sz w:val="24"/>
              </w:rPr>
              <w:t xml:space="preserve">（须提供有效期内的证书扫描件）</w:t>
            </w:r>
            <w:r/>
          </w:p>
        </w:tc>
        <w:tc>
          <w:tcPr>
            <w:tcBorders>
              <w:top w:val="single" w:color="auto" w:sz="6" w:space="0"/>
              <w:left w:val="single" w:color="auto" w:sz="6" w:space="0"/>
              <w:bottom w:val="single" w:color="auto" w:sz="6" w:space="0"/>
              <w:right w:val="single" w:color="auto" w:sz="8" w:space="0"/>
            </w:tcBorders>
            <w:tcW w:w="737" w:type="dxa"/>
            <w:vAlign w:val="center"/>
            <w:textDirection w:val="lrTb"/>
            <w:noWrap w:val="false"/>
          </w:tcPr>
          <w:p>
            <w:pPr>
              <w:jc w:val="center"/>
              <w:spacing w:line="400" w:lineRule="exact"/>
              <w:rPr>
                <w:rFonts w:hint="eastAsia" w:ascii="宋体" w:hAnsi="宋体" w:eastAsia="宋体" w:cs="宋体"/>
                <w:bCs/>
                <w:sz w:val="24"/>
              </w:rPr>
            </w:pPr>
            <w:r>
              <w:rPr>
                <w:rFonts w:hint="eastAsia" w:ascii="宋体" w:hAnsi="宋体" w:eastAsia="宋体" w:cs="宋体"/>
                <w:bCs/>
                <w:sz w:val="24"/>
              </w:rPr>
              <w:t xml:space="preserve">8</w:t>
            </w:r>
            <w:r/>
          </w:p>
        </w:tc>
      </w:tr>
      <w:tr>
        <w:trPr>
          <w:jc w:val="center"/>
          <w:trHeight w:val="20"/>
        </w:trPr>
        <w:tc>
          <w:tcPr>
            <w:tcBorders>
              <w:top w:val="single" w:color="auto" w:sz="6" w:space="0"/>
              <w:left w:val="single" w:color="auto" w:sz="8" w:space="0"/>
              <w:right w:val="single" w:color="auto" w:sz="6" w:space="0"/>
            </w:tcBorders>
            <w:tcW w:w="1220" w:type="dxa"/>
            <w:vAlign w:val="center"/>
            <w:vMerge w:val="continue"/>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right w:val="single" w:color="auto" w:sz="6" w:space="0"/>
            </w:tcBorders>
            <w:tcW w:w="72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3.2</w:t>
            </w:r>
            <w:r/>
          </w:p>
        </w:tc>
        <w:tc>
          <w:tcPr>
            <w:tcBorders>
              <w:top w:val="single" w:color="auto" w:sz="6" w:space="0"/>
              <w:left w:val="single" w:color="auto" w:sz="6" w:space="0"/>
              <w:bottom w:val="single" w:color="auto" w:sz="6" w:space="0"/>
              <w:right w:val="single" w:color="auto" w:sz="6" w:space="0"/>
            </w:tcBorders>
            <w:tcW w:w="1303" w:type="dxa"/>
            <w:vAlign w:val="center"/>
            <w:textDirection w:val="lrTb"/>
            <w:noWrap w:val="false"/>
          </w:tcPr>
          <w:p>
            <w:pPr>
              <w:jc w:val="center"/>
              <w:spacing w:line="400" w:lineRule="exact"/>
              <w:rPr>
                <w:rFonts w:hint="eastAsia" w:ascii="宋体" w:hAnsi="宋体" w:eastAsia="宋体" w:cs="宋体"/>
                <w:bCs/>
                <w:sz w:val="24"/>
              </w:rPr>
            </w:pPr>
            <w:r>
              <w:rPr>
                <w:rFonts w:hint="eastAsia" w:ascii="宋体" w:hAnsi="宋体" w:eastAsia="宋体" w:cs="宋体"/>
                <w:bCs/>
                <w:sz w:val="24"/>
              </w:rPr>
              <w:t xml:space="preserve">项目负责人</w:t>
            </w:r>
            <w:r/>
          </w:p>
        </w:tc>
        <w:tc>
          <w:tcPr>
            <w:tcBorders>
              <w:top w:val="single" w:color="auto" w:sz="6" w:space="0"/>
              <w:left w:val="single" w:color="auto" w:sz="6" w:space="0"/>
              <w:bottom w:val="single" w:color="auto" w:sz="6" w:space="0"/>
              <w:right w:val="single" w:color="auto" w:sz="6" w:space="0"/>
            </w:tcBorders>
            <w:tcW w:w="5500" w:type="dxa"/>
            <w:vAlign w:val="center"/>
            <w:textDirection w:val="lrTb"/>
            <w:noWrap w:val="false"/>
          </w:tcPr>
          <w:p>
            <w:pPr>
              <w:spacing w:line="400" w:lineRule="exact"/>
              <w:rPr>
                <w:rFonts w:hint="eastAsia" w:ascii="宋体" w:hAnsi="宋体" w:eastAsia="宋体" w:cs="宋体"/>
                <w:bCs/>
                <w:sz w:val="24"/>
              </w:rPr>
            </w:pPr>
            <w:r>
              <w:rPr>
                <w:rFonts w:hint="eastAsia" w:ascii="宋体" w:hAnsi="宋体" w:eastAsia="宋体" w:cs="宋体"/>
                <w:bCs/>
                <w:sz w:val="24"/>
              </w:rPr>
              <w:t xml:space="preserve">投标人为本项目配备的项目负责人具有①智能化系统集成项目经理（高级）、②信创集成项目管理师（高级）证书的，有一项得1.5分，最高得3分。</w:t>
            </w:r>
            <w:r/>
          </w:p>
          <w:p>
            <w:pPr>
              <w:spacing w:line="400" w:lineRule="exact"/>
              <w:rPr>
                <w:rFonts w:hint="eastAsia" w:ascii="宋体" w:hAnsi="宋体" w:eastAsia="宋体" w:cs="宋体"/>
                <w:b/>
                <w:sz w:val="24"/>
              </w:rPr>
            </w:pPr>
            <w:r>
              <w:rPr>
                <w:rFonts w:hint="eastAsia" w:ascii="宋体" w:hAnsi="宋体" w:eastAsia="宋体" w:cs="宋体"/>
                <w:b/>
                <w:sz w:val="24"/>
              </w:rPr>
              <w:t xml:space="preserve">【</w:t>
            </w:r>
            <w:r>
              <w:rPr>
                <w:rFonts w:hint="eastAsia" w:ascii="宋体" w:hAnsi="宋体" w:eastAsia="宋体" w:cs="宋体"/>
                <w:b/>
                <w:bCs/>
                <w:sz w:val="24"/>
              </w:rPr>
              <w:t xml:space="preserve">须提供证书扫描件，且须提供本单位近3个月（含投标当月）中任意1个月份为其缴纳社保的证明扫描件</w:t>
            </w:r>
            <w:r>
              <w:rPr>
                <w:rFonts w:hint="eastAsia" w:ascii="宋体" w:hAnsi="宋体" w:eastAsia="宋体" w:cs="宋体"/>
                <w:b/>
                <w:sz w:val="24"/>
              </w:rPr>
              <w:t xml:space="preserve">】</w:t>
            </w:r>
            <w:r/>
          </w:p>
        </w:tc>
        <w:tc>
          <w:tcPr>
            <w:tcBorders>
              <w:top w:val="single" w:color="auto" w:sz="6" w:space="0"/>
              <w:left w:val="single" w:color="auto" w:sz="6" w:space="0"/>
              <w:bottom w:val="single" w:color="auto" w:sz="6" w:space="0"/>
              <w:right w:val="single" w:color="auto" w:sz="8" w:space="0"/>
            </w:tcBorders>
            <w:tcW w:w="737" w:type="dxa"/>
            <w:vAlign w:val="center"/>
            <w:textDirection w:val="lrTb"/>
            <w:noWrap w:val="false"/>
          </w:tcPr>
          <w:p>
            <w:pPr>
              <w:jc w:val="center"/>
              <w:spacing w:line="400" w:lineRule="exact"/>
              <w:rPr>
                <w:rFonts w:hint="eastAsia" w:ascii="宋体" w:hAnsi="宋体" w:eastAsia="宋体" w:cs="宋体"/>
                <w:bCs/>
                <w:sz w:val="24"/>
              </w:rPr>
            </w:pPr>
            <w:r>
              <w:rPr>
                <w:rFonts w:hint="eastAsia" w:ascii="宋体" w:hAnsi="宋体" w:eastAsia="宋体" w:cs="宋体"/>
                <w:bCs/>
                <w:sz w:val="24"/>
              </w:rPr>
              <w:t xml:space="preserve">3</w:t>
            </w:r>
            <w:r/>
          </w:p>
        </w:tc>
      </w:tr>
      <w:tr>
        <w:trPr>
          <w:jc w:val="center"/>
          <w:trHeight w:val="20"/>
        </w:trPr>
        <w:tc>
          <w:tcPr>
            <w:tcBorders>
              <w:top w:val="single" w:color="auto" w:sz="6" w:space="0"/>
              <w:left w:val="single" w:color="auto" w:sz="8" w:space="0"/>
              <w:right w:val="single" w:color="auto" w:sz="6" w:space="0"/>
            </w:tcBorders>
            <w:tcW w:w="1220" w:type="dxa"/>
            <w:vAlign w:val="center"/>
            <w:vMerge w:val="continue"/>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left w:val="single" w:color="auto" w:sz="6" w:space="0"/>
              <w:bottom w:val="single" w:color="auto" w:sz="6" w:space="0"/>
              <w:right w:val="single" w:color="auto" w:sz="6" w:space="0"/>
            </w:tcBorders>
            <w:tcW w:w="72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3.3</w:t>
            </w:r>
            <w:r/>
          </w:p>
        </w:tc>
        <w:tc>
          <w:tcPr>
            <w:tcBorders>
              <w:top w:val="single" w:color="auto" w:sz="6" w:space="0"/>
              <w:left w:val="single" w:color="auto" w:sz="6" w:space="0"/>
              <w:bottom w:val="single" w:color="auto" w:sz="6" w:space="0"/>
              <w:right w:val="single" w:color="auto" w:sz="6" w:space="0"/>
            </w:tcBorders>
            <w:tcW w:w="1303" w:type="dxa"/>
            <w:vAlign w:val="center"/>
            <w:textDirection w:val="lrTb"/>
            <w:noWrap w:val="false"/>
          </w:tcPr>
          <w:p>
            <w:pPr>
              <w:jc w:val="center"/>
              <w:spacing w:line="400" w:lineRule="exact"/>
              <w:rPr>
                <w:rFonts w:hint="eastAsia" w:ascii="宋体" w:hAnsi="宋体" w:eastAsia="宋体" w:cs="宋体"/>
                <w:bCs/>
                <w:sz w:val="24"/>
              </w:rPr>
            </w:pPr>
            <w:r>
              <w:rPr>
                <w:rFonts w:hint="eastAsia" w:ascii="宋体" w:hAnsi="宋体" w:eastAsia="宋体" w:cs="宋体"/>
                <w:sz w:val="24"/>
              </w:rPr>
              <w:t xml:space="preserve">项目团队成员</w:t>
            </w:r>
            <w:r/>
          </w:p>
        </w:tc>
        <w:tc>
          <w:tcPr>
            <w:tcBorders>
              <w:top w:val="single" w:color="auto" w:sz="6" w:space="0"/>
              <w:left w:val="single" w:color="auto" w:sz="6" w:space="0"/>
              <w:bottom w:val="single" w:color="auto" w:sz="6" w:space="0"/>
              <w:right w:val="single" w:color="auto" w:sz="6" w:space="0"/>
            </w:tcBorders>
            <w:tcW w:w="5500" w:type="dxa"/>
            <w:textDirection w:val="lrTb"/>
            <w:noWrap w:val="false"/>
          </w:tcPr>
          <w:p>
            <w:pPr>
              <w:jc w:val="left"/>
              <w:spacing w:line="400" w:lineRule="exact"/>
              <w:rPr>
                <w:rFonts w:hint="eastAsia" w:ascii="宋体" w:hAnsi="宋体" w:eastAsia="宋体" w:cs="宋体"/>
                <w:sz w:val="24"/>
              </w:rPr>
            </w:pPr>
            <w:r>
              <w:rPr>
                <w:rFonts w:hint="eastAsia" w:ascii="宋体" w:hAnsi="宋体" w:eastAsia="宋体" w:cs="宋体"/>
                <w:sz w:val="24"/>
              </w:rPr>
              <w:t xml:space="preserve">投标人为本项目配备的项目组其他成员（项目负责人除外）中：</w:t>
            </w:r>
            <w:r/>
          </w:p>
          <w:p>
            <w:pPr>
              <w:jc w:val="left"/>
              <w:spacing w:line="400" w:lineRule="exact"/>
              <w:rPr>
                <w:rFonts w:hint="eastAsia" w:ascii="宋体" w:hAnsi="宋体" w:eastAsia="宋体" w:cs="宋体"/>
                <w:sz w:val="24"/>
              </w:rPr>
            </w:pPr>
            <w:r>
              <w:rPr>
                <w:rFonts w:hint="eastAsia" w:ascii="宋体" w:hAnsi="宋体" w:eastAsia="宋体" w:cs="宋体"/>
                <w:sz w:val="24"/>
              </w:rPr>
              <w:t xml:space="preserve">①技术负责人：具有系统规划与管理师证书、信息化类高级工程师证书的，</w:t>
            </w:r>
            <w:r>
              <w:rPr>
                <w:rFonts w:hint="eastAsia" w:ascii="宋体" w:hAnsi="宋体" w:eastAsia="宋体" w:cs="宋体"/>
                <w:bCs/>
                <w:sz w:val="24"/>
              </w:rPr>
              <w:t xml:space="preserve">有一项得1分，最高得2分；</w:t>
            </w:r>
            <w:r/>
          </w:p>
          <w:p>
            <w:pPr>
              <w:pStyle w:val="923"/>
              <w:ind w:firstLine="0"/>
              <w:jc w:val="left"/>
              <w:spacing w:line="400" w:lineRule="exact"/>
              <w:rPr>
                <w:rFonts w:hint="eastAsia" w:ascii="宋体" w:hAnsi="宋体" w:eastAsia="宋体" w:cs="宋体"/>
                <w:sz w:val="24"/>
              </w:rPr>
            </w:pPr>
            <w:r>
              <w:rPr>
                <w:rFonts w:hint="eastAsia" w:ascii="宋体" w:hAnsi="宋体" w:eastAsia="宋体" w:cs="宋体"/>
                <w:sz w:val="24"/>
              </w:rPr>
              <w:t xml:space="preserve">②软件团队负责人：具有软件设计师证书、系统架构设计师的，</w:t>
            </w:r>
            <w:r>
              <w:rPr>
                <w:rFonts w:hint="eastAsia" w:ascii="宋体" w:hAnsi="宋体" w:eastAsia="宋体" w:cs="宋体"/>
                <w:bCs/>
                <w:sz w:val="24"/>
              </w:rPr>
              <w:t xml:space="preserve">有一项得1分，最高得2分；</w:t>
            </w:r>
            <w:r/>
          </w:p>
          <w:p>
            <w:pPr>
              <w:jc w:val="left"/>
              <w:spacing w:line="400" w:lineRule="exact"/>
              <w:rPr>
                <w:rFonts w:hint="eastAsia" w:ascii="宋体" w:hAnsi="宋体" w:eastAsia="宋体" w:cs="宋体"/>
                <w:sz w:val="24"/>
              </w:rPr>
            </w:pPr>
            <w:r>
              <w:rPr>
                <w:rFonts w:hint="eastAsia" w:ascii="宋体" w:hAnsi="宋体" w:eastAsia="宋体" w:cs="宋体"/>
                <w:sz w:val="24"/>
              </w:rPr>
              <w:t xml:space="preserve">③项目组其他成员：具有网络工程师证书、系统规划与管理师证书，有一项得1分，最高得2分。</w:t>
            </w:r>
            <w:r/>
          </w:p>
          <w:p>
            <w:pPr>
              <w:jc w:val="left"/>
              <w:spacing w:line="400" w:lineRule="exact"/>
              <w:rPr>
                <w:rFonts w:hint="eastAsia" w:ascii="宋体" w:hAnsi="宋体" w:eastAsia="宋体" w:cs="宋体"/>
                <w:b/>
                <w:bCs/>
                <w:sz w:val="24"/>
              </w:rPr>
            </w:pPr>
            <w:r>
              <w:rPr>
                <w:rFonts w:hint="eastAsia" w:ascii="宋体" w:hAnsi="宋体" w:eastAsia="宋体" w:cs="宋体"/>
                <w:b/>
                <w:sz w:val="24"/>
              </w:rPr>
              <w:t xml:space="preserve">【</w:t>
            </w:r>
            <w:r>
              <w:rPr>
                <w:rFonts w:hint="eastAsia" w:ascii="宋体" w:hAnsi="宋体" w:cs="宋体"/>
                <w:b/>
                <w:sz w:val="24"/>
              </w:rPr>
              <w:t xml:space="preserve">③中</w:t>
            </w:r>
            <w:r>
              <w:rPr>
                <w:rFonts w:hint="eastAsia" w:ascii="宋体" w:hAnsi="宋体" w:eastAsia="宋体" w:cs="宋体"/>
                <w:b/>
                <w:sz w:val="24"/>
              </w:rPr>
              <w:t xml:space="preserve">同一人员具有多张证书不重复得分。</w:t>
            </w:r>
            <w:r>
              <w:rPr>
                <w:rFonts w:hint="eastAsia" w:ascii="宋体" w:hAnsi="宋体" w:eastAsia="宋体" w:cs="宋体"/>
                <w:b/>
                <w:bCs/>
                <w:color w:val="000000"/>
                <w:sz w:val="24"/>
                <w:lang w:bidi="ar"/>
              </w:rPr>
              <w:t xml:space="preserve">须提供人员名单、证书扫描件</w:t>
            </w:r>
            <w:r>
              <w:rPr>
                <w:rFonts w:hint="eastAsia" w:ascii="宋体" w:hAnsi="宋体" w:eastAsia="宋体" w:cs="宋体"/>
                <w:b/>
                <w:bCs/>
                <w:sz w:val="24"/>
              </w:rPr>
              <w:t xml:space="preserve">，且须提供本单位近3个月（含投标当月）中任意1个月份为其缴纳社保的证明扫描件</w:t>
            </w:r>
            <w:r>
              <w:rPr>
                <w:rFonts w:hint="eastAsia" w:ascii="宋体" w:hAnsi="宋体" w:eastAsia="宋体" w:cs="宋体"/>
                <w:b/>
                <w:sz w:val="24"/>
              </w:rPr>
              <w:t xml:space="preserve">】</w:t>
            </w:r>
            <w:r/>
          </w:p>
        </w:tc>
        <w:tc>
          <w:tcPr>
            <w:tcBorders>
              <w:top w:val="single" w:color="auto" w:sz="6" w:space="0"/>
              <w:left w:val="single" w:color="auto" w:sz="6" w:space="0"/>
              <w:bottom w:val="single" w:color="auto" w:sz="6" w:space="0"/>
              <w:right w:val="single" w:color="auto" w:sz="8" w:space="0"/>
            </w:tcBorders>
            <w:tcW w:w="737" w:type="dxa"/>
            <w:vAlign w:val="center"/>
            <w:textDirection w:val="lrTb"/>
            <w:noWrap w:val="false"/>
          </w:tcPr>
          <w:p>
            <w:pPr>
              <w:jc w:val="center"/>
              <w:spacing w:line="400" w:lineRule="exact"/>
              <w:rPr>
                <w:rFonts w:hint="eastAsia" w:ascii="宋体" w:hAnsi="宋体" w:eastAsia="宋体" w:cs="宋体"/>
                <w:bCs/>
                <w:sz w:val="24"/>
              </w:rPr>
            </w:pPr>
            <w:r>
              <w:rPr>
                <w:rFonts w:hint="eastAsia" w:ascii="宋体" w:hAnsi="宋体" w:eastAsia="宋体" w:cs="宋体"/>
                <w:bCs/>
                <w:sz w:val="24"/>
              </w:rPr>
              <w:t xml:space="preserve">6</w:t>
            </w:r>
            <w:r/>
          </w:p>
        </w:tc>
      </w:tr>
      <w:tr>
        <w:trPr>
          <w:jc w:val="center"/>
          <w:trHeight w:val="20"/>
        </w:trPr>
        <w:tc>
          <w:tcPr>
            <w:tcBorders>
              <w:top w:val="single" w:color="auto" w:sz="6" w:space="0"/>
              <w:left w:val="single" w:color="auto" w:sz="8" w:space="0"/>
              <w:right w:val="single" w:color="auto" w:sz="6" w:space="0"/>
            </w:tcBorders>
            <w:tcW w:w="1220" w:type="dxa"/>
            <w:vAlign w:val="center"/>
            <w:vMerge w:val="continue"/>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72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3.4</w:t>
            </w:r>
            <w:r/>
          </w:p>
        </w:tc>
        <w:tc>
          <w:tcPr>
            <w:tcBorders>
              <w:top w:val="single" w:color="auto" w:sz="6" w:space="0"/>
              <w:left w:val="single" w:color="auto" w:sz="6" w:space="0"/>
              <w:bottom w:val="single" w:color="auto" w:sz="6" w:space="0"/>
              <w:right w:val="single" w:color="auto" w:sz="6" w:space="0"/>
            </w:tcBorders>
            <w:tcW w:w="1303" w:type="dxa"/>
            <w:vAlign w:val="center"/>
            <w:textDirection w:val="lrTb"/>
            <w:noWrap w:val="false"/>
          </w:tcPr>
          <w:p>
            <w:pPr>
              <w:jc w:val="center"/>
              <w:spacing w:line="400" w:lineRule="exact"/>
              <w:rPr>
                <w:rFonts w:hint="eastAsia" w:ascii="宋体" w:hAnsi="宋体" w:eastAsia="宋体" w:cs="宋体"/>
                <w:bCs/>
                <w:sz w:val="24"/>
              </w:rPr>
            </w:pPr>
            <w:r>
              <w:rPr>
                <w:rFonts w:hint="eastAsia" w:ascii="宋体" w:hAnsi="宋体" w:eastAsia="宋体" w:cs="宋体"/>
                <w:bCs/>
                <w:sz w:val="24"/>
              </w:rPr>
              <w:t xml:space="preserve">业绩</w:t>
            </w:r>
            <w:r/>
          </w:p>
        </w:tc>
        <w:tc>
          <w:tcPr>
            <w:tcBorders>
              <w:top w:val="single" w:color="auto" w:sz="6" w:space="0"/>
              <w:left w:val="single" w:color="auto" w:sz="6" w:space="0"/>
              <w:bottom w:val="single" w:color="auto" w:sz="6" w:space="0"/>
              <w:right w:val="single" w:color="auto" w:sz="6" w:space="0"/>
            </w:tcBorders>
            <w:tcW w:w="5500" w:type="dxa"/>
            <w:vAlign w:val="center"/>
            <w:textDirection w:val="lrTb"/>
            <w:noWrap w:val="false"/>
          </w:tcPr>
          <w:p>
            <w:pPr>
              <w:jc w:val="left"/>
              <w:spacing w:line="400" w:lineRule="exact"/>
              <w:rPr>
                <w:rFonts w:hint="eastAsia" w:ascii="宋体" w:hAnsi="宋体" w:eastAsia="宋体" w:cs="宋体"/>
                <w:sz w:val="24"/>
              </w:rPr>
            </w:pPr>
            <w:r>
              <w:rPr>
                <w:rFonts w:hint="eastAsia" w:ascii="宋体" w:hAnsi="宋体" w:eastAsia="宋体" w:cs="宋体"/>
                <w:sz w:val="24"/>
              </w:rPr>
              <w:t xml:space="preserve">2023年1月1日以来（以合同签订时间为准），投标人具有类似项目业绩的</w:t>
            </w:r>
            <w:r>
              <w:rPr>
                <w:rFonts w:hint="eastAsia" w:ascii="宋体" w:hAnsi="宋体" w:eastAsia="宋体" w:cs="宋体"/>
                <w:bCs/>
                <w:sz w:val="24"/>
              </w:rPr>
              <w:t xml:space="preserve">，</w:t>
            </w:r>
            <w:r>
              <w:rPr>
                <w:rFonts w:hint="eastAsia" w:ascii="宋体" w:hAnsi="宋体" w:eastAsia="宋体" w:cs="宋体"/>
                <w:sz w:val="24"/>
              </w:rPr>
              <w:t xml:space="preserve">有一个得1分，最高得2分。</w:t>
            </w:r>
            <w:r/>
          </w:p>
          <w:p>
            <w:pPr>
              <w:spacing w:line="400" w:lineRule="exact"/>
              <w:rPr>
                <w:rFonts w:hint="eastAsia" w:ascii="宋体" w:hAnsi="宋体" w:eastAsia="宋体" w:cs="宋体"/>
                <w:bCs/>
                <w:sz w:val="24"/>
              </w:rPr>
            </w:pPr>
            <w:r>
              <w:rPr>
                <w:rFonts w:hint="eastAsia" w:ascii="宋体" w:hAnsi="宋体" w:eastAsia="宋体" w:cs="宋体"/>
                <w:b/>
                <w:sz w:val="24"/>
              </w:rPr>
              <w:t xml:space="preserve">（须提供合同扫描件）</w:t>
            </w:r>
            <w:r/>
          </w:p>
        </w:tc>
        <w:tc>
          <w:tcPr>
            <w:tcBorders>
              <w:top w:val="single" w:color="auto" w:sz="6" w:space="0"/>
              <w:left w:val="single" w:color="auto" w:sz="6" w:space="0"/>
              <w:bottom w:val="single" w:color="auto" w:sz="6" w:space="0"/>
              <w:right w:val="single" w:color="auto" w:sz="8" w:space="0"/>
            </w:tcBorders>
            <w:tcW w:w="737" w:type="dxa"/>
            <w:vAlign w:val="center"/>
            <w:textDirection w:val="lrTb"/>
            <w:noWrap w:val="false"/>
          </w:tcPr>
          <w:p>
            <w:pPr>
              <w:jc w:val="center"/>
              <w:spacing w:line="400" w:lineRule="exact"/>
              <w:rPr>
                <w:rFonts w:hint="eastAsia" w:ascii="宋体" w:hAnsi="宋体" w:eastAsia="宋体" w:cs="宋体"/>
                <w:bCs/>
                <w:sz w:val="24"/>
              </w:rPr>
            </w:pPr>
            <w:r>
              <w:rPr>
                <w:rFonts w:hint="eastAsia" w:ascii="宋体" w:hAnsi="宋体" w:eastAsia="宋体" w:cs="宋体"/>
                <w:bCs/>
                <w:sz w:val="24"/>
              </w:rPr>
              <w:t xml:space="preserve">2</w:t>
            </w:r>
            <w:r/>
          </w:p>
        </w:tc>
      </w:tr>
      <w:tr>
        <w:trPr>
          <w:jc w:val="center"/>
          <w:trHeight w:val="20"/>
        </w:trPr>
        <w:tc>
          <w:tcPr>
            <w:tcBorders>
              <w:top w:val="single" w:color="auto" w:sz="6" w:space="0"/>
              <w:left w:val="single" w:color="auto" w:sz="8" w:space="0"/>
              <w:right w:val="single" w:color="auto" w:sz="6" w:space="0"/>
            </w:tcBorders>
            <w:tcW w:w="1220" w:type="dxa"/>
            <w:vAlign w:val="center"/>
            <w:vMerge w:val="continue"/>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72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3.5</w:t>
            </w:r>
            <w:r/>
          </w:p>
        </w:tc>
        <w:tc>
          <w:tcPr>
            <w:tcBorders>
              <w:top w:val="single" w:color="auto" w:sz="6" w:space="0"/>
              <w:left w:val="single" w:color="auto" w:sz="6" w:space="0"/>
              <w:bottom w:val="single" w:color="auto" w:sz="6" w:space="0"/>
              <w:right w:val="single" w:color="auto" w:sz="6" w:space="0"/>
            </w:tcBorders>
            <w:tcW w:w="1303" w:type="dxa"/>
            <w:vAlign w:val="center"/>
            <w:textDirection w:val="lrTb"/>
            <w:noWrap w:val="false"/>
          </w:tcPr>
          <w:p>
            <w:pPr>
              <w:jc w:val="center"/>
              <w:spacing w:line="400" w:lineRule="exact"/>
              <w:rPr>
                <w:rFonts w:hint="eastAsia" w:ascii="宋体" w:hAnsi="宋体" w:eastAsia="宋体" w:cs="宋体"/>
                <w:bCs/>
                <w:sz w:val="24"/>
              </w:rPr>
            </w:pPr>
            <w:r>
              <w:rPr>
                <w:rFonts w:hint="eastAsia" w:ascii="宋体" w:hAnsi="宋体" w:eastAsia="宋体" w:cs="宋体"/>
                <w:sz w:val="24"/>
              </w:rPr>
              <w:t xml:space="preserve">知识产权</w:t>
            </w:r>
            <w:r/>
          </w:p>
        </w:tc>
        <w:tc>
          <w:tcPr>
            <w:tcBorders>
              <w:top w:val="single" w:color="auto" w:sz="6" w:space="0"/>
              <w:left w:val="single" w:color="auto" w:sz="6" w:space="0"/>
              <w:bottom w:val="single" w:color="auto" w:sz="6" w:space="0"/>
              <w:right w:val="single" w:color="auto" w:sz="6" w:space="0"/>
            </w:tcBorders>
            <w:tcW w:w="5500" w:type="dxa"/>
            <w:textDirection w:val="lrTb"/>
            <w:noWrap w:val="false"/>
          </w:tcPr>
          <w:p>
            <w:pPr>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所投标产品具有与本项目系统平台相关的计算机软件著作权证书的，例如包含“中医辨证智能辅助诊疗”、 “中医智能治未病”、 “医共体”、“智慧共享中药房”、 “AI智能随访”等字样，有一个得1分，最高得5分。</w:t>
            </w:r>
            <w:r/>
          </w:p>
          <w:p>
            <w:pPr>
              <w:jc w:val="left"/>
              <w:spacing w:line="400" w:lineRule="exact"/>
              <w:rPr>
                <w:rFonts w:hint="eastAsia" w:ascii="宋体" w:hAnsi="宋体" w:eastAsia="宋体" w:cs="宋体"/>
                <w:b/>
                <w:spacing w:val="-3"/>
                <w:sz w:val="24"/>
              </w:rPr>
            </w:pPr>
            <w:r>
              <w:rPr>
                <w:rFonts w:hint="eastAsia" w:ascii="宋体" w:hAnsi="宋体" w:eastAsia="宋体" w:cs="宋体"/>
                <w:b/>
                <w:sz w:val="24"/>
              </w:rPr>
              <w:t xml:space="preserve">（</w:t>
            </w:r>
            <w:r>
              <w:rPr>
                <w:rFonts w:hint="eastAsia" w:asciiTheme="minorEastAsia" w:hAnsiTheme="minorEastAsia"/>
                <w:b/>
                <w:bCs/>
                <w:sz w:val="24"/>
              </w:rPr>
              <w:t xml:space="preserve">类型相似不重复得分。须</w:t>
            </w:r>
            <w:r>
              <w:rPr>
                <w:rFonts w:hint="eastAsia" w:ascii="宋体" w:hAnsi="宋体" w:eastAsia="宋体" w:cs="宋体"/>
                <w:b/>
                <w:bCs/>
                <w:color w:val="000000"/>
                <w:sz w:val="24"/>
              </w:rPr>
              <w:t xml:space="preserve">提供证书扫描件。如软件著作权名称与上述内容不完全一致的，经评标委员会认定为同一类型产品的予以得分）</w:t>
            </w:r>
            <w:r/>
          </w:p>
        </w:tc>
        <w:tc>
          <w:tcPr>
            <w:tcBorders>
              <w:top w:val="single" w:color="auto" w:sz="6" w:space="0"/>
              <w:left w:val="single" w:color="auto" w:sz="6" w:space="0"/>
              <w:bottom w:val="single" w:color="auto" w:sz="6" w:space="0"/>
              <w:right w:val="single" w:color="auto" w:sz="8" w:space="0"/>
            </w:tcBorders>
            <w:tcW w:w="737" w:type="dxa"/>
            <w:vAlign w:val="center"/>
            <w:textDirection w:val="lrTb"/>
            <w:noWrap w:val="false"/>
          </w:tcPr>
          <w:p>
            <w:pPr>
              <w:jc w:val="center"/>
              <w:spacing w:line="400" w:lineRule="exact"/>
              <w:rPr>
                <w:rFonts w:hint="eastAsia" w:ascii="宋体" w:hAnsi="宋体" w:eastAsia="宋体" w:cs="宋体"/>
                <w:bCs/>
                <w:sz w:val="24"/>
              </w:rPr>
            </w:pPr>
            <w:r>
              <w:rPr>
                <w:rFonts w:hint="eastAsia" w:ascii="宋体" w:hAnsi="宋体" w:eastAsia="宋体" w:cs="宋体"/>
                <w:bCs/>
                <w:sz w:val="24"/>
              </w:rPr>
              <w:t xml:space="preserve">5</w:t>
            </w:r>
            <w:r/>
          </w:p>
        </w:tc>
      </w:tr>
    </w:tbl>
    <w:p>
      <w:pPr>
        <w:spacing w:line="600" w:lineRule="exact"/>
        <w:rPr>
          <w:rFonts w:hint="eastAsia" w:ascii="黑体" w:hAnsi="黑体" w:eastAsia="黑体" w:cs="Times New Roman"/>
          <w:sz w:val="28"/>
          <w:szCs w:val="28"/>
        </w:rPr>
      </w:pPr>
      <w:r>
        <w:rPr>
          <w:rFonts w:hint="eastAsia" w:ascii="黑体" w:hAnsi="黑体" w:eastAsia="黑体" w:cs="Times New Roman"/>
          <w:sz w:val="28"/>
          <w:szCs w:val="28"/>
        </w:rPr>
      </w:r>
      <w:bookmarkEnd w:id="11"/>
      <w:r/>
      <w:r/>
    </w:p>
    <w:p>
      <w:pPr>
        <w:sectPr>
          <w:footnotePr/>
          <w:endnotePr/>
          <w:type w:val="nextPage"/>
          <w:pgSz w:w="11906" w:h="16838" w:orient="portrait"/>
          <w:pgMar w:top="1247" w:right="1247" w:bottom="1247" w:left="1247" w:header="680" w:footer="992" w:gutter="0"/>
          <w:cols w:num="1" w:sep="0" w:space="720" w:equalWidth="1"/>
          <w:docGrid w:linePitch="360"/>
        </w:sectPr>
      </w:pPr>
      <w:r/>
      <w:bookmarkStart w:id="13" w:name="_Toc213847317"/>
      <w:r/>
      <w:r/>
    </w:p>
    <w:p>
      <w:r/>
      <w:r/>
    </w:p>
    <w:p>
      <w:pPr>
        <w:pStyle w:val="876"/>
      </w:pPr>
      <w:r>
        <w:rPr>
          <w:rFonts w:hint="eastAsia"/>
        </w:rPr>
        <w:t xml:space="preserve">第五章　合同书（格式）</w:t>
      </w:r>
      <w:bookmarkEnd w:id="13"/>
      <w:r/>
      <w:r/>
    </w:p>
    <w:p>
      <w:pPr>
        <w:spacing w:line="400" w:lineRule="exact"/>
        <w:rPr>
          <w:rFonts w:hint="eastAsia" w:ascii="宋体" w:hAnsi="宋体" w:eastAsia="宋体" w:cs="Times New Roman"/>
          <w:bCs/>
          <w:sz w:val="24"/>
          <w:szCs w:val="24"/>
        </w:rPr>
      </w:pPr>
      <w:r/>
      <w:bookmarkStart w:id="14" w:name="_Toc251268363"/>
      <w:r/>
      <w:r/>
    </w:p>
    <w:p>
      <w:pPr>
        <w:spacing w:line="400" w:lineRule="exact"/>
        <w:rPr>
          <w:rFonts w:hint="eastAsia"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p>
    <w:p>
      <w:pPr>
        <w:spacing w:line="400" w:lineRule="exact"/>
        <w:rPr>
          <w:rFonts w:hint="eastAsia" w:ascii="宋体" w:hAnsi="宋体" w:eastAsia="宋体" w:cs="Times New Roman"/>
          <w:bCs/>
          <w:sz w:val="24"/>
          <w:szCs w:val="24"/>
          <w:u w:val="single"/>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p>
    <w:p>
      <w:pPr>
        <w:jc w:val="center"/>
        <w:spacing w:line="400" w:lineRule="exact"/>
        <w:rPr>
          <w:rFonts w:hint="eastAsia" w:ascii="宋体" w:hAnsi="宋体" w:eastAsia="宋体" w:cs="Times New Roman"/>
          <w:b/>
          <w:sz w:val="28"/>
          <w:szCs w:val="28"/>
          <w:lang w:val="de-DE"/>
        </w:rPr>
      </w:pPr>
      <w:r>
        <w:rPr>
          <w:rFonts w:hint="eastAsia" w:ascii="宋体" w:hAnsi="宋体" w:eastAsia="宋体" w:cs="Times New Roman"/>
          <w:b/>
          <w:sz w:val="28"/>
          <w:szCs w:val="28"/>
          <w:lang w:val="de-DE"/>
        </w:rPr>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lang w:val="zh-CN"/>
        </w:rPr>
        <w:t xml:space="preserve">根据《中华人民共和国政府采购法》、《中华人民共和国民法典》等法律法规的规定，甲乙双方按照江阴市政府采购中心的采购结果签订本合同。</w:t>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黑体" w:hAnsi="黑体" w:eastAsia="黑体" w:cs="Times New Roman"/>
          <w:sz w:val="24"/>
          <w:szCs w:val="24"/>
        </w:rPr>
      </w:pPr>
      <w:r>
        <w:rPr>
          <w:rFonts w:hint="eastAsia" w:ascii="黑体" w:hAnsi="黑体" w:eastAsia="黑体" w:cs="Times New Roman"/>
          <w:sz w:val="24"/>
          <w:szCs w:val="24"/>
        </w:rPr>
        <w:t xml:space="preserve">第一条　采购内容</w:t>
      </w:r>
      <w:r/>
    </w:p>
    <w:p>
      <w:pPr>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rPr>
        <w:t xml:space="preserve">1、项目名称（项目编号）：</w:t>
      </w:r>
      <w:r>
        <w:rPr>
          <w:rFonts w:hint="eastAsia" w:ascii="宋体" w:hAnsi="宋体" w:eastAsia="宋体" w:cs="Times New Roman"/>
          <w:sz w:val="24"/>
          <w:szCs w:val="24"/>
          <w:u w:val="single"/>
        </w:rPr>
        <w:t xml:space="preserve">　　　　　　　　　　　　　　　　　　　　</w:t>
      </w:r>
      <w:r/>
    </w:p>
    <w:p>
      <w:pPr>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rPr>
        <w:t xml:space="preserve">2、服务内容：</w:t>
      </w:r>
      <w:r>
        <w:rPr>
          <w:rFonts w:hint="eastAsia" w:ascii="宋体" w:hAnsi="宋体" w:eastAsia="宋体" w:cs="Times New Roman"/>
          <w:sz w:val="24"/>
          <w:szCs w:val="24"/>
          <w:u w:val="single"/>
        </w:rPr>
        <w:t xml:space="preserve">　　　　　　　　　　　　　　　　　　　　　　　　　　</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3、服务范围：</w:t>
      </w:r>
      <w:r>
        <w:rPr>
          <w:rFonts w:hint="eastAsia" w:ascii="宋体" w:hAnsi="宋体" w:eastAsia="宋体" w:cs="Times New Roman"/>
          <w:sz w:val="24"/>
          <w:szCs w:val="24"/>
          <w:u w:val="single"/>
        </w:rPr>
        <w:t xml:space="preserve">　　　　　　　　　　　　　　　　　　　　　　　　　　</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4、服务期限：</w:t>
      </w:r>
      <w:r>
        <w:rPr>
          <w:rFonts w:hint="eastAsia" w:ascii="宋体" w:hAnsi="宋体" w:eastAsia="宋体" w:cs="Times New Roman"/>
          <w:sz w:val="24"/>
          <w:szCs w:val="24"/>
          <w:u w:val="single"/>
        </w:rPr>
        <w:t xml:space="preserve">　　　　　　　　　　　　　　　　　　　　　　　　　　</w:t>
      </w:r>
      <w:r/>
    </w:p>
    <w:p>
      <w:pPr>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rPr>
        <w:t xml:space="preserve">5、其他：</w:t>
      </w:r>
      <w:r>
        <w:rPr>
          <w:rFonts w:hint="eastAsia" w:ascii="宋体" w:hAnsi="宋体" w:eastAsia="宋体" w:cs="Times New Roman"/>
          <w:sz w:val="24"/>
          <w:szCs w:val="24"/>
          <w:u w:val="single"/>
        </w:rPr>
        <w:t xml:space="preserve">　　　　　　　　　　　　　　　　　　　　　　　　　　　　</w:t>
      </w:r>
      <w:r/>
    </w:p>
    <w:p>
      <w:pPr>
        <w:jc w:val="left"/>
        <w:spacing w:line="400" w:lineRule="exact"/>
        <w:rPr>
          <w:rFonts w:hint="eastAsia" w:ascii="黑体" w:hAnsi="黑体" w:eastAsia="黑体" w:cs="Times New Roman"/>
          <w:sz w:val="24"/>
          <w:szCs w:val="24"/>
          <w:lang w:val="zh-CN"/>
        </w:rPr>
      </w:pPr>
      <w:r>
        <w:rPr>
          <w:rFonts w:hint="eastAsia" w:ascii="黑体" w:hAnsi="黑体" w:eastAsia="黑体" w:cs="Times New Roman"/>
          <w:bCs/>
          <w:sz w:val="24"/>
          <w:szCs w:val="24"/>
          <w:lang w:val="zh-CN"/>
        </w:rPr>
        <w:t xml:space="preserve">第二条　合同总价款</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（大写）。</w:t>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lang w:val="zh-CN"/>
        </w:rPr>
        <w:t xml:space="preserve">本合同服务期限内合同总价款不变。（有另行规定的除外。）</w:t>
      </w:r>
      <w:r/>
    </w:p>
    <w:p>
      <w:pPr>
        <w:spacing w:line="400" w:lineRule="exact"/>
        <w:rPr>
          <w:rFonts w:hint="eastAsia"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第三条  履约保证金的缴纳和退还</w:t>
      </w:r>
      <w:r/>
    </w:p>
    <w:p>
      <w:pPr>
        <w:ind w:firstLine="480"/>
        <w:spacing w:line="400" w:lineRule="exact"/>
        <w:tabs>
          <w:tab w:val="left" w:pos="945" w:leader="none"/>
          <w:tab w:val="left" w:pos="210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firstLine="480"/>
        <w:spacing w:line="400" w:lineRule="exact"/>
        <w:tabs>
          <w:tab w:val="left" w:pos="945" w:leader="none"/>
          <w:tab w:val="left" w:pos="210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p>
      <w:pPr>
        <w:ind w:firstLine="480"/>
        <w:spacing w:line="400" w:lineRule="exact"/>
        <w:tabs>
          <w:tab w:val="left" w:pos="945" w:leader="none"/>
          <w:tab w:val="left" w:pos="210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，退付办法：</w:t>
      </w:r>
      <w:r>
        <w:rPr>
          <w:rFonts w:hint="eastAsia" w:ascii="宋体" w:hAnsi="宋体" w:eastAsia="宋体" w:cs="Times New Roman"/>
          <w:bCs/>
          <w:sz w:val="24"/>
          <w:szCs w:val="24"/>
          <w:u w:val="single"/>
        </w:rPr>
        <w:t xml:space="preserve">             </w:t>
      </w:r>
      <w:r>
        <w:rPr>
          <w:rFonts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履约保证金不予退还的情形：</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Times New Roman" w:eastAsia="宋体" w:cs="Times New Roman"/>
          <w:bCs/>
          <w:sz w:val="24"/>
          <w:szCs w:val="24"/>
        </w:rPr>
      </w:pPr>
      <w:r>
        <w:rPr>
          <w:rFonts w:hint="eastAsia" w:ascii="宋体" w:hAnsi="宋体" w:eastAsia="宋体" w:cs="Times New Roman"/>
          <w:bCs/>
          <w:sz w:val="24"/>
          <w:szCs w:val="24"/>
        </w:rPr>
        <w:t xml:space="preserve">逾期退还履约保证金的违约责任：</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spacing w:line="400" w:lineRule="exact"/>
        <w:rPr>
          <w:rFonts w:hint="eastAsia" w:ascii="黑体" w:hAnsi="黑体" w:eastAsia="黑体" w:cs="Times New Roman"/>
          <w:sz w:val="24"/>
          <w:szCs w:val="24"/>
          <w:lang w:val="zh-CN"/>
        </w:rPr>
      </w:pPr>
      <w:r>
        <w:rPr>
          <w:rFonts w:hint="eastAsia" w:ascii="黑体" w:hAnsi="黑体" w:eastAsia="黑体" w:cs="Times New Roman"/>
          <w:bCs/>
          <w:sz w:val="24"/>
          <w:szCs w:val="24"/>
          <w:lang w:val="zh-CN"/>
        </w:rPr>
        <w:t xml:space="preserve">第四条　组成本合同的有关文件</w:t>
      </w:r>
      <w:r/>
    </w:p>
    <w:p>
      <w:pPr>
        <w:ind w:firstLine="480"/>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（1）招标文件；</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（2）投标文件；</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（3）中标通知书；</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（4）中标人在投标、评标过程中所作其它有关承诺、声明、书面澄清；</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（5）甲乙双方商定的其他文件等。</w:t>
      </w:r>
      <w:r/>
    </w:p>
    <w:p>
      <w:pPr>
        <w:jc w:val="left"/>
        <w:spacing w:line="400" w:lineRule="exact"/>
        <w:rPr>
          <w:rFonts w:hint="eastAsia" w:ascii="黑体" w:hAnsi="黑体" w:eastAsia="黑体" w:cs="Times New Roman"/>
          <w:bCs/>
          <w:sz w:val="24"/>
          <w:szCs w:val="24"/>
          <w:lang w:val="zh-CN"/>
        </w:rPr>
      </w:pPr>
      <w:r>
        <w:rPr>
          <w:rFonts w:hint="eastAsia" w:ascii="黑体" w:hAnsi="黑体" w:eastAsia="黑体" w:cs="Times New Roman"/>
          <w:bCs/>
          <w:sz w:val="24"/>
          <w:szCs w:val="24"/>
          <w:lang w:val="zh-CN"/>
        </w:rPr>
        <w:t xml:space="preserve">第五条　权利保证</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hint="eastAsia"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第六条 质量保证和售后服务</w:t>
      </w:r>
      <w:r/>
    </w:p>
    <w:p>
      <w:pPr>
        <w:ind w:firstLine="48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1、乙方应按招标文件规定的服务要求、技术要求、质量标准向甲方提供服务。</w:t>
      </w:r>
      <w:r/>
    </w:p>
    <w:p>
      <w:pPr>
        <w:ind w:firstLine="480"/>
        <w:jc w:val="left"/>
        <w:spacing w:line="400" w:lineRule="exact"/>
        <w:rPr>
          <w:rFonts w:hint="eastAsia"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2、质量保证：</w:t>
      </w:r>
      <w:r>
        <w:rPr>
          <w:rFonts w:hint="eastAsia" w:ascii="宋体" w:hAnsi="宋体" w:eastAsia="宋体" w:cs="Times New Roman"/>
          <w:bCs/>
          <w:sz w:val="24"/>
          <w:szCs w:val="24"/>
          <w:u w:val="single"/>
          <w:lang w:val="zh-CN"/>
        </w:rPr>
        <w:t xml:space="preserve">　　　　　　　　　　　　　　　　　　　　　　　　　　</w:t>
      </w:r>
      <w:r/>
    </w:p>
    <w:p>
      <w:pPr>
        <w:ind w:firstLine="480"/>
        <w:jc w:val="left"/>
        <w:spacing w:line="400" w:lineRule="exact"/>
        <w:rPr>
          <w:rFonts w:hint="eastAsia"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3、售后服务：</w:t>
      </w:r>
      <w:r>
        <w:rPr>
          <w:rFonts w:hint="eastAsia" w:ascii="宋体" w:hAnsi="宋体" w:eastAsia="宋体" w:cs="Times New Roman"/>
          <w:bCs/>
          <w:sz w:val="24"/>
          <w:szCs w:val="24"/>
          <w:u w:val="single"/>
          <w:lang w:val="zh-CN"/>
        </w:rPr>
        <w:t xml:space="preserve">　　　　　　　　　　　　　　　　　　　　　　　　　　</w:t>
      </w:r>
      <w:r/>
    </w:p>
    <w:p>
      <w:pPr>
        <w:jc w:val="left"/>
        <w:spacing w:line="400" w:lineRule="exact"/>
        <w:rPr>
          <w:rFonts w:hint="eastAsia"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第七条　验收</w:t>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bCs/>
          <w:sz w:val="24"/>
          <w:szCs w:val="24"/>
          <w:lang w:val="zh-CN"/>
        </w:rPr>
        <w:t xml:space="preserve">验收标准：</w:t>
      </w:r>
      <w:r>
        <w:rPr>
          <w:rFonts w:hint="eastAsia" w:ascii="宋体" w:hAnsi="宋体" w:eastAsia="宋体" w:cs="Times New Roman"/>
          <w:sz w:val="24"/>
          <w:szCs w:val="24"/>
          <w:lang w:val="zh-CN"/>
        </w:rPr>
        <w:t xml:space="preserve">按招标文件所规定的采购标准和乙方投标文件的承诺，根据实际按照《江苏省政府采购履约验收管理办法》（苏财规〔2024〕7号）组织验收，费用由</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承担。</w:t>
      </w:r>
      <w:r/>
    </w:p>
    <w:p>
      <w:pPr>
        <w:jc w:val="left"/>
        <w:spacing w:line="400" w:lineRule="exact"/>
        <w:rPr>
          <w:rFonts w:hint="eastAsia" w:ascii="黑体" w:hAnsi="黑体" w:eastAsia="黑体" w:cs="Times New Roman"/>
          <w:bCs/>
          <w:i/>
          <w:iCs/>
          <w:sz w:val="24"/>
          <w:szCs w:val="24"/>
          <w:lang w:val="zh-CN"/>
        </w:rPr>
      </w:pPr>
      <w:r>
        <w:rPr>
          <w:rFonts w:hint="eastAsia" w:ascii="黑体" w:hAnsi="黑体" w:eastAsia="黑体" w:cs="Times New Roman"/>
          <w:bCs/>
          <w:sz w:val="24"/>
          <w:szCs w:val="24"/>
          <w:lang w:val="zh-CN"/>
        </w:rPr>
        <w:t xml:space="preserve">第八条　付款</w:t>
      </w:r>
      <w:r/>
    </w:p>
    <w:p>
      <w:pPr>
        <w:ind w:firstLine="42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1、本合同项下所有款项均以人民币支付，乙方向甲方开具发票。</w:t>
      </w:r>
      <w:r/>
    </w:p>
    <w:p>
      <w:pPr>
        <w:ind w:firstLine="420"/>
        <w:jc w:val="left"/>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lang w:val="zh-CN"/>
        </w:rPr>
        <w:t xml:space="preserve">2、付款方式：</w:t>
      </w:r>
      <w:r>
        <w:rPr>
          <w:rFonts w:hint="eastAsia" w:ascii="宋体" w:hAnsi="宋体" w:eastAsia="宋体" w:cs="Times New Roman"/>
          <w:sz w:val="24"/>
          <w:szCs w:val="24"/>
          <w:u w:val="single"/>
          <w:lang w:val="zh-CN"/>
        </w:rPr>
        <w:t xml:space="preserve">　　　　　　　　　　　　　　　　　　　</w:t>
      </w:r>
      <w:r/>
    </w:p>
    <w:p>
      <w:pPr>
        <w:jc w:val="left"/>
        <w:spacing w:line="400" w:lineRule="exact"/>
        <w:rPr>
          <w:rFonts w:hint="eastAsia" w:ascii="黑体" w:hAnsi="黑体" w:eastAsia="黑体" w:cs="Times New Roman"/>
          <w:bCs/>
          <w:sz w:val="24"/>
          <w:szCs w:val="24"/>
          <w:lang w:val="zh-CN"/>
        </w:rPr>
      </w:pPr>
      <w:r>
        <w:rPr>
          <w:rFonts w:hint="eastAsia" w:ascii="黑体" w:hAnsi="黑体" w:eastAsia="黑体" w:cs="Times New Roman"/>
          <w:bCs/>
          <w:sz w:val="24"/>
          <w:szCs w:val="24"/>
          <w:lang w:val="zh-CN"/>
        </w:rPr>
        <w:t xml:space="preserve">第九条　违约责任</w:t>
      </w:r>
      <w:r/>
    </w:p>
    <w:p>
      <w:pPr>
        <w:ind w:firstLine="480"/>
        <w:jc w:val="left"/>
        <w:spacing w:line="400" w:lineRule="exact"/>
        <w:widowControl/>
        <w:rPr>
          <w:rFonts w:hint="eastAsia" w:ascii="宋体" w:hAnsi="宋体" w:eastAsia="宋体" w:cs="Times New Roman"/>
          <w:sz w:val="24"/>
          <w:szCs w:val="24"/>
          <w:u w:val="single"/>
          <w:lang w:val="zh-CN"/>
        </w:rPr>
      </w:pPr>
      <w:r>
        <w:rPr>
          <w:rFonts w:hint="eastAsia" w:ascii="宋体" w:hAnsi="宋体" w:eastAsia="宋体" w:cs="宋体"/>
          <w:sz w:val="24"/>
          <w:szCs w:val="24"/>
          <w:lang w:val="zh-CN"/>
        </w:rPr>
        <w:t xml:space="preserve">1、</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hint="eastAsia" w:ascii="宋体" w:hAnsi="宋体" w:eastAsia="宋体" w:cs="Times New Roman"/>
          <w:sz w:val="24"/>
          <w:szCs w:val="24"/>
          <w:u w:val="single"/>
          <w:lang w:val="zh-CN"/>
        </w:rPr>
      </w:pPr>
      <w:r>
        <w:rPr>
          <w:rFonts w:hint="eastAsia" w:ascii="宋体" w:hAnsi="宋体" w:eastAsia="宋体" w:cs="宋体"/>
          <w:sz w:val="24"/>
          <w:szCs w:val="24"/>
          <w:lang w:val="zh-CN"/>
        </w:rPr>
        <w:t xml:space="preserve">2、</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hint="eastAsia" w:ascii="宋体" w:hAnsi="宋体" w:eastAsia="宋体" w:cs="Times New Roman"/>
          <w:sz w:val="24"/>
          <w:szCs w:val="24"/>
          <w:u w:val="single"/>
          <w:lang w:val="zh-CN"/>
        </w:rPr>
      </w:pPr>
      <w:r>
        <w:rPr>
          <w:rFonts w:hint="eastAsia" w:ascii="宋体" w:hAnsi="宋体" w:eastAsia="宋体" w:cs="宋体"/>
          <w:sz w:val="24"/>
          <w:szCs w:val="24"/>
          <w:lang w:val="zh-CN"/>
        </w:rPr>
        <w:t xml:space="preserve">3、</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hint="eastAsia" w:ascii="宋体" w:hAnsi="宋体" w:eastAsia="宋体" w:cs="Times New Roman"/>
          <w:sz w:val="24"/>
          <w:szCs w:val="24"/>
          <w:u w:val="single"/>
          <w:lang w:val="zh-CN"/>
        </w:rPr>
      </w:pPr>
      <w:r>
        <w:rPr>
          <w:rFonts w:hint="eastAsia" w:ascii="宋体" w:hAnsi="宋体" w:eastAsia="宋体" w:cs="宋体"/>
          <w:sz w:val="24"/>
          <w:szCs w:val="24"/>
          <w:lang w:val="zh-CN"/>
        </w:rPr>
        <w:t xml:space="preserve">4、</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hint="eastAsia" w:ascii="宋体" w:hAnsi="宋体" w:eastAsia="宋体" w:cs="Times New Roman"/>
          <w:sz w:val="24"/>
          <w:szCs w:val="24"/>
          <w:u w:val="single"/>
          <w:lang w:val="zh-CN"/>
        </w:rPr>
      </w:pPr>
      <w:r>
        <w:rPr>
          <w:rFonts w:hint="eastAsia" w:ascii="宋体" w:hAnsi="宋体" w:eastAsia="宋体" w:cs="宋体"/>
          <w:sz w:val="24"/>
          <w:szCs w:val="24"/>
          <w:lang w:val="zh-CN"/>
        </w:rPr>
        <w:t xml:space="preserve">5、</w:t>
      </w:r>
      <w:r>
        <w:rPr>
          <w:rFonts w:hint="eastAsia" w:ascii="宋体" w:hAnsi="宋体" w:eastAsia="宋体" w:cs="Times New Roman"/>
          <w:sz w:val="24"/>
          <w:szCs w:val="24"/>
          <w:u w:val="single"/>
          <w:lang w:val="zh-CN"/>
        </w:rPr>
        <w:t xml:space="preserve">                                                                    </w:t>
      </w:r>
      <w:r/>
    </w:p>
    <w:p>
      <w:pPr>
        <w:jc w:val="left"/>
        <w:spacing w:line="400" w:lineRule="exact"/>
        <w:widowControl/>
        <w:rPr>
          <w:rFonts w:hint="eastAsia" w:ascii="黑体" w:hAnsi="黑体" w:eastAsia="黑体" w:cs="宋体"/>
          <w:bCs/>
          <w:sz w:val="24"/>
          <w:szCs w:val="24"/>
        </w:rPr>
      </w:pPr>
      <w:r>
        <w:rPr>
          <w:rFonts w:hint="eastAsia" w:ascii="黑体" w:hAnsi="黑体" w:eastAsia="黑体" w:cs="宋体"/>
          <w:bCs/>
          <w:sz w:val="24"/>
          <w:szCs w:val="24"/>
          <w:lang w:val="zh-CN"/>
        </w:rPr>
        <w:t xml:space="preserve">第十条　</w:t>
      </w:r>
      <w:r>
        <w:rPr>
          <w:rFonts w:hint="eastAsia" w:ascii="黑体" w:hAnsi="黑体" w:eastAsia="黑体" w:cs="宋体"/>
          <w:bCs/>
          <w:sz w:val="24"/>
          <w:szCs w:val="24"/>
        </w:rPr>
        <w:t xml:space="preserve">不可抗力</w:t>
      </w:r>
      <w:r/>
    </w:p>
    <w:p>
      <w:pPr>
        <w:ind w:firstLine="480"/>
        <w:jc w:val="left"/>
        <w:spacing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4、合同各方应根据不可抗力对本合同履行的影响程度，协商确定是否终止本合同或是继续履行本合同。</w:t>
      </w:r>
      <w:r/>
    </w:p>
    <w:p>
      <w:pPr>
        <w:jc w:val="left"/>
        <w:spacing w:line="400" w:lineRule="exact"/>
        <w:widowControl/>
        <w:rPr>
          <w:rFonts w:hint="eastAsia" w:ascii="黑体" w:hAnsi="黑体" w:eastAsia="黑体" w:cs="宋体"/>
          <w:bCs/>
          <w:sz w:val="24"/>
          <w:szCs w:val="24"/>
          <w:lang w:val="zh-CN"/>
        </w:rPr>
      </w:pPr>
      <w:r>
        <w:rPr>
          <w:rFonts w:hint="eastAsia" w:ascii="黑体" w:hAnsi="黑体" w:eastAsia="黑体" w:cs="宋体"/>
          <w:sz w:val="24"/>
          <w:szCs w:val="24"/>
        </w:rPr>
        <w:t xml:space="preserve">第十一条　</w:t>
      </w:r>
      <w:r>
        <w:rPr>
          <w:rFonts w:hint="eastAsia" w:ascii="黑体" w:hAnsi="黑体" w:eastAsia="黑体" w:cs="宋体"/>
          <w:bCs/>
          <w:sz w:val="24"/>
          <w:szCs w:val="24"/>
          <w:lang w:val="zh-CN"/>
        </w:rPr>
        <w:t xml:space="preserve">合同的变更和终止</w:t>
      </w:r>
      <w:r/>
    </w:p>
    <w:p>
      <w:pPr>
        <w:ind w:firstLine="480"/>
        <w:jc w:val="left"/>
        <w:spacing w:line="400" w:lineRule="exact"/>
        <w:widowControl/>
        <w:rPr>
          <w:rFonts w:hint="eastAsia" w:ascii="宋体" w:hAnsi="宋体" w:eastAsia="宋体" w:cs="宋体"/>
          <w:sz w:val="24"/>
          <w:szCs w:val="24"/>
          <w:lang w:val="zh-CN"/>
        </w:rPr>
      </w:pPr>
      <w:r>
        <w:rPr>
          <w:rFonts w:hint="eastAsia" w:ascii="宋体" w:hAnsi="宋体" w:eastAsia="宋体" w:cs="Times New Roman"/>
          <w:sz w:val="24"/>
          <w:szCs w:val="24"/>
          <w:lang w:val="zh-CN"/>
        </w:rPr>
        <w:t xml:space="preserve">1</w:t>
      </w:r>
      <w:r>
        <w:rPr>
          <w:rFonts w:hint="eastAsia" w:ascii="宋体" w:hAnsi="宋体" w:eastAsia="宋体" w:cs="宋体"/>
          <w:sz w:val="24"/>
          <w:szCs w:val="24"/>
          <w:lang w:val="zh-CN"/>
        </w:rPr>
        <w:t xml:space="preserve">、除《政府采购法》第</w:t>
      </w:r>
      <w:r>
        <w:rPr>
          <w:rFonts w:hint="eastAsia" w:ascii="宋体" w:hAnsi="宋体" w:eastAsia="宋体" w:cs="Times New Roman"/>
          <w:sz w:val="24"/>
          <w:szCs w:val="24"/>
          <w:lang w:val="zh-CN"/>
        </w:rPr>
        <w:t xml:space="preserve">五十</w:t>
      </w:r>
      <w:r>
        <w:rPr>
          <w:rFonts w:hint="eastAsia" w:ascii="宋体" w:hAnsi="宋体" w:eastAsia="宋体" w:cs="宋体"/>
          <w:sz w:val="24"/>
          <w:szCs w:val="24"/>
          <w:lang w:val="zh-CN"/>
        </w:rPr>
        <w:t xml:space="preserve">条规定的情形外，本合同一经签订，甲乙双方不得擅自变更、中止或终止合同。</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Times New Roman"/>
          <w:sz w:val="24"/>
          <w:szCs w:val="24"/>
          <w:lang w:val="zh-CN"/>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jc w:val="left"/>
        <w:spacing w:line="400" w:lineRule="exact"/>
        <w:widowControl/>
        <w:rPr>
          <w:rFonts w:hint="eastAsia" w:ascii="黑体" w:hAnsi="黑体" w:eastAsia="黑体" w:cs="宋体"/>
          <w:sz w:val="24"/>
          <w:szCs w:val="24"/>
        </w:rPr>
      </w:pPr>
      <w:r>
        <w:rPr>
          <w:rFonts w:hint="eastAsia" w:ascii="黑体" w:hAnsi="黑体" w:eastAsia="黑体" w:cs="宋体"/>
          <w:sz w:val="24"/>
          <w:szCs w:val="24"/>
        </w:rPr>
        <w:t xml:space="preserve">第十二条  合同的终止</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本合同因下列原因而终止：</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（1）本合同正常履行完毕；</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jc w:val="left"/>
        <w:spacing w:line="400" w:lineRule="exact"/>
        <w:widowControl/>
        <w:rPr>
          <w:rFonts w:hint="eastAsia" w:ascii="黑体" w:hAnsi="黑体" w:eastAsia="黑体" w:cs="宋体"/>
          <w:bCs/>
          <w:sz w:val="24"/>
          <w:szCs w:val="24"/>
          <w:lang w:val="zh-CN"/>
        </w:rPr>
      </w:pPr>
      <w:r>
        <w:rPr>
          <w:rFonts w:hint="eastAsia" w:ascii="黑体" w:hAnsi="黑体" w:eastAsia="黑体" w:cs="宋体"/>
          <w:bCs/>
          <w:sz w:val="24"/>
          <w:szCs w:val="24"/>
          <w:lang w:val="zh-CN"/>
        </w:rPr>
        <w:t xml:space="preserve">第十三条　争议的解决</w:t>
      </w:r>
      <w:r/>
    </w:p>
    <w:p>
      <w:pPr>
        <w:ind w:firstLine="480"/>
        <w:jc w:val="left"/>
        <w:spacing w:line="40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2、因履行本合同引起的或与本合同有关的争议，甲、乙双方应首先通过友好协商解决，如果协商不能解决争议，则采取以下</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种方式解决争议：</w:t>
      </w:r>
      <w:r/>
    </w:p>
    <w:p>
      <w:pPr>
        <w:ind w:firstLine="480"/>
        <w:jc w:val="left"/>
        <w:spacing w:line="40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（1）向甲方所在地有管辖权的人民法院提起诉讼；</w:t>
      </w:r>
      <w:r/>
    </w:p>
    <w:p>
      <w:pPr>
        <w:ind w:firstLine="480"/>
        <w:jc w:val="left"/>
        <w:spacing w:line="400" w:lineRule="exact"/>
        <w:widowControl/>
        <w:rPr>
          <w:rFonts w:hint="eastAsia" w:ascii="宋体" w:hAnsi="宋体" w:eastAsia="宋体" w:cs="宋体"/>
          <w:strike w:val="0"/>
          <w:sz w:val="24"/>
          <w:szCs w:val="24"/>
          <w:lang w:val="zh-CN"/>
        </w:rPr>
      </w:pPr>
      <w:r>
        <w:rPr>
          <w:rFonts w:hint="eastAsia" w:ascii="宋体" w:hAnsi="宋体" w:eastAsia="宋体" w:cs="宋体"/>
          <w:strike w:val="0"/>
          <w:sz w:val="24"/>
          <w:szCs w:val="24"/>
          <w:lang w:val="zh-CN"/>
        </w:rPr>
        <w:t xml:space="preserve">（2）向甲方所在地仲裁委员会按</w:t>
      </w:r>
      <w:bookmarkStart w:id="21" w:name="_GoBack"/>
      <w:r/>
      <w:bookmarkEnd w:id="21"/>
      <w:r>
        <w:rPr>
          <w:rFonts w:hint="eastAsia" w:ascii="宋体" w:hAnsi="宋体" w:eastAsia="宋体" w:cs="宋体"/>
          <w:strike w:val="0"/>
          <w:sz w:val="24"/>
          <w:szCs w:val="24"/>
          <w:lang w:val="zh-CN"/>
        </w:rPr>
        <w:t xml:space="preserve">其仲裁规则申请仲裁。</w:t>
      </w:r>
      <w:r/>
    </w:p>
    <w:p>
      <w:pPr>
        <w:ind w:firstLine="420"/>
        <w:jc w:val="left"/>
        <w:spacing w:line="40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3、在仲裁期间，本合同应继续履行。</w:t>
      </w:r>
      <w:r/>
    </w:p>
    <w:p>
      <w:pPr>
        <w:jc w:val="left"/>
        <w:spacing w:line="400" w:lineRule="exact"/>
        <w:widowControl/>
        <w:rPr>
          <w:rFonts w:hint="eastAsia" w:ascii="黑体" w:hAnsi="黑体" w:eastAsia="黑体" w:cs="宋体"/>
          <w:bCs/>
          <w:sz w:val="24"/>
          <w:szCs w:val="24"/>
          <w:lang w:val="zh-CN"/>
        </w:rPr>
      </w:pPr>
      <w:r>
        <w:rPr>
          <w:rFonts w:hint="eastAsia" w:ascii="黑体" w:hAnsi="黑体" w:eastAsia="黑体" w:cs="宋体"/>
          <w:bCs/>
          <w:sz w:val="24"/>
          <w:szCs w:val="24"/>
          <w:lang w:val="zh-CN"/>
        </w:rPr>
        <w:t xml:space="preserve">第十四条　合同生效及其他</w:t>
      </w:r>
      <w:r/>
    </w:p>
    <w:p>
      <w:pPr>
        <w:ind w:firstLine="42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firstLine="420"/>
        <w:jc w:val="left"/>
        <w:spacing w:line="40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2、本合同一式四份，甲方、乙方、江阴市政府采购中心、江阴市财政局政府采购管理科各执一份。</w:t>
      </w:r>
      <w:r/>
    </w:p>
    <w:p>
      <w:pPr>
        <w:ind w:firstLine="420"/>
        <w:jc w:val="left"/>
        <w:spacing w:line="40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3、本合同应按照中华人民共和国的现行法律进行解释。</w:t>
      </w:r>
      <w:r/>
    </w:p>
    <w:p>
      <w:pP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Style w:val="854"/>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hint="eastAsia"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4536" w:type="dxa"/>
            <w:textDirection w:val="lrTb"/>
            <w:noWrap w:val="false"/>
          </w:tcPr>
          <w:p>
            <w:pPr>
              <w:spacing w:line="360" w:lineRule="exact"/>
              <w:rPr>
                <w:rFonts w:hint="eastAsia"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hint="eastAsia"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4536" w:type="dxa"/>
            <w:textDirection w:val="lrTb"/>
            <w:noWrap w:val="false"/>
          </w:tcPr>
          <w:p>
            <w:pPr>
              <w:spacing w:line="360" w:lineRule="exact"/>
              <w:rPr>
                <w:rFonts w:hint="eastAsia"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hint="eastAsia"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4536" w:type="dxa"/>
            <w:textDirection w:val="lrTb"/>
            <w:noWrap w:val="false"/>
          </w:tcPr>
          <w:p>
            <w:pPr>
              <w:spacing w:line="360" w:lineRule="exact"/>
              <w:rPr>
                <w:rFonts w:hint="eastAsia"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hint="eastAsia"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4536" w:type="dxa"/>
            <w:textDirection w:val="lrTb"/>
            <w:noWrap w:val="false"/>
          </w:tcPr>
          <w:p>
            <w:pPr>
              <w:jc w:val="right"/>
              <w:spacing w:line="360" w:lineRule="exact"/>
              <w:rPr>
                <w:rFonts w:hint="eastAsia"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14"/>
            <w:r/>
            <w:r/>
          </w:p>
        </w:tc>
      </w:tr>
    </w:tbl>
    <w:p>
      <w:pPr>
        <w:pStyle w:val="876"/>
        <w:sectPr>
          <w:footnotePr/>
          <w:endnotePr/>
          <w:type w:val="nextPage"/>
          <w:pgSz w:w="11906" w:h="16838" w:orient="portrait"/>
          <w:pgMar w:top="1247" w:right="1247" w:bottom="1247" w:left="1247" w:header="680" w:footer="992" w:gutter="0"/>
          <w:cols w:num="1" w:sep="0" w:space="720" w:equalWidth="1"/>
          <w:docGrid w:linePitch="360"/>
        </w:sectPr>
      </w:pPr>
      <w:r/>
      <w:r/>
    </w:p>
    <w:p>
      <w:pPr>
        <w:pStyle w:val="876"/>
      </w:pPr>
      <w:r/>
      <w:r/>
    </w:p>
    <w:p>
      <w:pPr>
        <w:pStyle w:val="876"/>
      </w:pPr>
      <w:r/>
      <w:bookmarkStart w:id="15" w:name="_Toc213847318"/>
      <w:r>
        <w:rPr>
          <w:rFonts w:hint="eastAsia"/>
        </w:rPr>
        <w:t xml:space="preserve">第六章　投标文件的组成和格式</w:t>
      </w:r>
      <w:bookmarkEnd w:id="15"/>
      <w:r/>
      <w:r/>
    </w:p>
    <w:p>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r>
      <w:r/>
    </w:p>
    <w:p>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r>
      <w:r/>
    </w:p>
    <w:p>
      <w:pPr>
        <w:jc w:val="center"/>
        <w:rPr>
          <w:rFonts w:hint="eastAsia"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hint="eastAsia" w:ascii="宋体" w:hAnsi="宋体" w:eastAsia="宋体" w:cs="Times New Roman"/>
          <w:bCs/>
          <w:spacing w:val="20"/>
          <w:sz w:val="72"/>
          <w:szCs w:val="72"/>
        </w:rPr>
      </w:pPr>
      <w:r>
        <w:rPr>
          <w:rFonts w:hint="eastAsia" w:ascii="宋体" w:hAnsi="宋体" w:eastAsia="宋体" w:cs="Times New Roman"/>
          <w:bCs/>
          <w:spacing w:val="20"/>
          <w:sz w:val="72"/>
          <w:szCs w:val="72"/>
        </w:rPr>
      </w:r>
      <w:r/>
    </w:p>
    <w:p>
      <w:pPr>
        <w:jc w:val="center"/>
        <w:rPr>
          <w:rFonts w:hint="eastAsia"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hint="eastAsia" w:ascii="宋体" w:hAnsi="宋体" w:eastAsia="宋体" w:cs="Times New Roman"/>
          <w:bCs/>
          <w:spacing w:val="20"/>
          <w:sz w:val="72"/>
          <w:szCs w:val="72"/>
        </w:rPr>
      </w:pPr>
      <w:r>
        <w:rPr>
          <w:rFonts w:hint="eastAsia" w:ascii="宋体" w:hAnsi="宋体" w:eastAsia="宋体" w:cs="Times New Roman"/>
          <w:bCs/>
          <w:spacing w:val="20"/>
          <w:sz w:val="72"/>
          <w:szCs w:val="72"/>
        </w:rPr>
      </w:r>
      <w:r/>
    </w:p>
    <w:p>
      <w:pPr>
        <w:jc w:val="center"/>
        <w:rPr>
          <w:rFonts w:hint="eastAsia"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r>
      <w:r/>
    </w:p>
    <w:p>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r>
      <w:r/>
    </w:p>
    <w:p>
      <w:pPr>
        <w:ind w:left="2245" w:hanging="1350"/>
        <w:spacing w:line="600" w:lineRule="exact"/>
        <w:rPr>
          <w:rFonts w:hint="eastAsia"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hint="eastAsia"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hint="eastAsia"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hint="eastAsia"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hint="eastAsia"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30"/>
          <w:szCs w:val="24"/>
        </w:rPr>
      </w:r>
      <w:r/>
    </w:p>
    <w:p>
      <w:pPr>
        <w:jc w:val="center"/>
        <w:spacing w:line="400" w:lineRule="exact"/>
        <w:rPr>
          <w:rFonts w:hint="eastAsia" w:ascii="黑体" w:hAnsi="宋体" w:eastAsia="黑体" w:cs="Times New Roman"/>
          <w:bCs/>
          <w:sz w:val="28"/>
          <w:szCs w:val="28"/>
        </w:rPr>
      </w:pPr>
      <w:r>
        <w:rPr>
          <w:rFonts w:hint="eastAsia" w:ascii="黑体" w:hAnsi="宋体" w:eastAsia="黑体" w:cs="Times New Roman"/>
          <w:bCs/>
          <w:sz w:val="28"/>
          <w:szCs w:val="28"/>
        </w:rPr>
      </w:r>
      <w:r/>
    </w:p>
    <w:p>
      <w:pPr>
        <w:jc w:val="center"/>
        <w:spacing w:line="400" w:lineRule="exact"/>
        <w:rPr>
          <w:rFonts w:hint="eastAsia" w:ascii="黑体" w:hAnsi="宋体" w:eastAsia="黑体" w:cs="Times New Roman"/>
          <w:bCs/>
          <w:sz w:val="28"/>
          <w:szCs w:val="28"/>
        </w:rPr>
      </w:pPr>
      <w:r>
        <w:rPr>
          <w:rFonts w:hint="eastAsia" w:ascii="黑体" w:hAnsi="宋体" w:eastAsia="黑体" w:cs="Times New Roman"/>
          <w:bCs/>
          <w:sz w:val="28"/>
          <w:szCs w:val="28"/>
        </w:rPr>
        <w:t xml:space="preserve">一、投标函</w:t>
      </w:r>
      <w:r/>
    </w:p>
    <w:p>
      <w:pP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72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hint="eastAsia" w:ascii="黑体" w:hAnsi="黑体" w:eastAsia="黑体" w:cs="Times New Roman"/>
          <w:sz w:val="28"/>
          <w:szCs w:val="28"/>
        </w:rPr>
      </w:pPr>
      <w:r/>
      <w:bookmarkStart w:id="16" w:name="_Toc222799676"/>
      <w:r/>
      <w:bookmarkStart w:id="17" w:name="_Toc194739809"/>
      <w:r/>
      <w:r/>
    </w:p>
    <w:p>
      <w:pPr>
        <w:jc w:val="center"/>
        <w:spacing w:line="400" w:lineRule="exact"/>
        <w:rPr>
          <w:rFonts w:hint="eastAsia"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黑体" w:hAnsi="黑体" w:eastAsia="黑体" w:cs="Times New Roman"/>
          <w:sz w:val="28"/>
          <w:szCs w:val="28"/>
        </w:rPr>
      </w:r>
      <w:r/>
    </w:p>
    <w:p>
      <w:pPr>
        <w:jc w:val="center"/>
        <w:spacing w:line="400" w:lineRule="exact"/>
        <w:rPr>
          <w:rFonts w:hint="eastAsia" w:ascii="黑体" w:hAnsi="黑体" w:eastAsia="黑体" w:cs="Times New Roman"/>
          <w:sz w:val="28"/>
          <w:szCs w:val="28"/>
        </w:rPr>
      </w:pPr>
      <w:r>
        <w:rPr>
          <w:rFonts w:hint="eastAsia" w:ascii="黑体" w:hAnsi="黑体" w:eastAsia="黑体" w:cs="Times New Roman"/>
          <w:sz w:val="28"/>
          <w:szCs w:val="28"/>
        </w:rPr>
      </w:r>
      <w:r/>
    </w:p>
    <w:p>
      <w:pPr>
        <w:jc w:val="center"/>
        <w:spacing w:line="400" w:lineRule="exact"/>
        <w:rPr>
          <w:rFonts w:hint="eastAsia"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hint="eastAsia" w:ascii="黑体" w:hAnsi="黑体" w:eastAsia="黑体" w:cs="Times New Roman"/>
          <w:bCs/>
          <w:sz w:val="28"/>
          <w:szCs w:val="28"/>
          <w:u w:val="single"/>
        </w:rPr>
      </w:pPr>
      <w:r>
        <w:rPr>
          <w:rFonts w:hint="eastAsia" w:ascii="黑体" w:hAnsi="黑体" w:eastAsia="黑体" w:cs="Times New Roman"/>
          <w:bCs/>
          <w:sz w:val="28"/>
          <w:szCs w:val="28"/>
          <w:u w:val="single"/>
        </w:rPr>
      </w:r>
      <w:r/>
    </w:p>
    <w:tbl>
      <w:tblPr>
        <w:tblStyle w:val="854"/>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JSZC-320281-JZCG-G2026-0028</w:t>
            </w:r>
            <w:r/>
          </w:p>
        </w:tc>
      </w:tr>
      <w:tr>
        <w:trPr>
          <w:jc w:val="center"/>
          <w:trHeight w:val="776"/>
        </w:trPr>
        <w:tc>
          <w:tcPr>
            <w:tcW w:w="2075"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智慧中医院医共体建设项目</w:t>
            </w:r>
            <w:r/>
          </w:p>
        </w:tc>
      </w:tr>
      <w:tr>
        <w:trPr>
          <w:jc w:val="center"/>
          <w:trHeight w:val="1678"/>
        </w:trPr>
        <w:tc>
          <w:tcPr>
            <w:tcW w:w="2075"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hint="eastAsia" w:ascii="宋体" w:hAnsi="宋体" w:eastAsia="宋体" w:cs="Times New Roman"/>
          <w:b/>
          <w:sz w:val="24"/>
          <w:szCs w:val="24"/>
        </w:rPr>
      </w:pPr>
      <w:r/>
      <w:bookmarkStart w:id="18" w:name="_Toc158691780"/>
      <w:r/>
      <w:bookmarkStart w:id="19" w:name="_Toc194386107"/>
      <w:r/>
      <w:bookmarkStart w:id="20" w:name="_Toc145474400"/>
      <w:r>
        <w:rPr>
          <w:rFonts w:hint="eastAsia" w:ascii="宋体" w:hAnsi="宋体" w:eastAsia="宋体" w:cs="Times New Roman"/>
          <w:b/>
          <w:sz w:val="24"/>
          <w:szCs w:val="24"/>
        </w:rPr>
        <w:t xml:space="preserve">注:此表格无需填报具体内容，签章上传即可。</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bookmarkEnd w:id="18"/>
      <w:r/>
      <w:bookmarkEnd w:id="19"/>
      <w:r/>
      <w:bookmarkEnd w:id="20"/>
      <w:r/>
      <w:r/>
    </w:p>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jc w:val="center"/>
        <w:spacing w:line="400" w:lineRule="exact"/>
        <w:rPr>
          <w:rFonts w:hint="eastAsia"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sz w:val="24"/>
          <w:szCs w:val="24"/>
        </w:rPr>
      </w:r>
      <w:bookmarkEnd w:id="16"/>
      <w:r/>
      <w:bookmarkEnd w:id="17"/>
      <w:r/>
      <w:r/>
    </w:p>
    <w:p>
      <w:pPr>
        <w:jc w:val="center"/>
        <w:spacing w:line="400" w:lineRule="exact"/>
        <w:rPr>
          <w:rFonts w:hint="eastAsia" w:ascii="黑体" w:hAnsi="黑体" w:eastAsia="黑体" w:cs="Times New Roman"/>
          <w:sz w:val="28"/>
          <w:szCs w:val="28"/>
        </w:rPr>
      </w:pPr>
      <w:r>
        <w:rPr>
          <w:rFonts w:hint="eastAsia" w:ascii="黑体" w:hAnsi="黑体" w:eastAsia="黑体" w:cs="Times New Roman"/>
          <w:sz w:val="28"/>
          <w:szCs w:val="28"/>
        </w:rPr>
      </w:r>
      <w:r/>
    </w:p>
    <w:p>
      <w:pPr>
        <w:jc w:val="center"/>
        <w:spacing w:line="400" w:lineRule="exact"/>
        <w:rPr>
          <w:rFonts w:hint="eastAsia" w:ascii="黑体" w:hAnsi="黑体" w:eastAsia="黑体" w:cs="Times New Roman"/>
          <w:sz w:val="28"/>
          <w:szCs w:val="28"/>
        </w:rPr>
      </w:pPr>
      <w:r>
        <w:rPr>
          <w:rFonts w:hint="eastAsia" w:ascii="黑体" w:hAnsi="Times New Roman" w:eastAsia="黑体" w:cs="Times New Roman"/>
          <w:sz w:val="28"/>
          <w:szCs w:val="28"/>
        </w:rPr>
        <w:t xml:space="preserve">三、</w:t>
      </w:r>
      <w:r>
        <w:rPr>
          <w:rFonts w:hint="eastAsia" w:ascii="黑体" w:hAnsi="黑体" w:eastAsia="黑体" w:cs="Times New Roman"/>
          <w:sz w:val="28"/>
          <w:szCs w:val="28"/>
        </w:rPr>
        <w:t xml:space="preserve">分项报价表</w:t>
      </w:r>
      <w:r/>
    </w:p>
    <w:p>
      <w:pPr>
        <w:jc w:val="right"/>
        <w:spacing w:line="400" w:lineRule="exact"/>
        <w:rPr>
          <w:rFonts w:hint="eastAsia" w:ascii="宋体" w:hAnsi="宋体"/>
          <w:szCs w:val="21"/>
        </w:rPr>
      </w:pPr>
      <w:r>
        <w:rPr>
          <w:rFonts w:hint="eastAsia" w:ascii="宋体" w:hAnsi="宋体"/>
          <w:szCs w:val="21"/>
        </w:rPr>
      </w:r>
      <w:r/>
    </w:p>
    <w:p>
      <w:pPr>
        <w:jc w:val="right"/>
        <w:spacing w:line="400" w:lineRule="exact"/>
        <w:rPr>
          <w:rFonts w:hint="eastAsia" w:ascii="宋体" w:hAnsi="宋体" w:eastAsia="宋体" w:cs="Times New Roman"/>
          <w:szCs w:val="21"/>
        </w:rPr>
      </w:pPr>
      <w:r>
        <w:rPr>
          <w:rFonts w:hint="eastAsia" w:ascii="宋体" w:hAnsi="宋体" w:eastAsia="宋体" w:cs="Times New Roman"/>
          <w:szCs w:val="21"/>
        </w:rPr>
        <w:t xml:space="preserve">单位：元（人民币）</w:t>
      </w:r>
      <w:r/>
    </w:p>
    <w:tbl>
      <w:tblPr>
        <w:tblStyle w:val="854"/>
        <w:tblW w:w="962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73"/>
        <w:gridCol w:w="673"/>
        <w:gridCol w:w="676"/>
        <w:gridCol w:w="1119"/>
        <w:gridCol w:w="1005"/>
        <w:gridCol w:w="778"/>
        <w:gridCol w:w="892"/>
        <w:gridCol w:w="809"/>
        <w:gridCol w:w="761"/>
        <w:gridCol w:w="1121"/>
        <w:gridCol w:w="1121"/>
      </w:tblGrid>
      <w:tr>
        <w:trPr>
          <w:jc w:val="center"/>
        </w:trPr>
        <w:tc>
          <w:tcPr>
            <w:gridSpan w:val="11"/>
            <w:tcW w:w="9628" w:type="dxa"/>
            <w:vAlign w:val="center"/>
            <w:textDirection w:val="lrTb"/>
            <w:noWrap w:val="false"/>
          </w:tcPr>
          <w:p>
            <w:pPr>
              <w:spacing w:line="400" w:lineRule="exact"/>
              <w:widowControl/>
              <w:rPr>
                <w:rFonts w:hint="eastAsia" w:ascii="宋体" w:hAnsi="宋体" w:eastAsia="宋体" w:cs="Times New Roman"/>
                <w:b/>
                <w:bCs/>
                <w:szCs w:val="21"/>
              </w:rPr>
            </w:pPr>
            <w:r>
              <w:rPr>
                <w:rFonts w:hint="eastAsia" w:ascii="宋体" w:hAnsi="宋体" w:eastAsia="宋体" w:cs="Times New Roman"/>
                <w:b/>
                <w:bCs/>
                <w:szCs w:val="21"/>
              </w:rPr>
              <w:t xml:space="preserve">（一）服务部分</w:t>
            </w:r>
            <w:r/>
          </w:p>
        </w:tc>
      </w:tr>
      <w:tr>
        <w:trPr>
          <w:jc w:val="center"/>
        </w:trPr>
        <w:tc>
          <w:tcPr>
            <w:tcW w:w="673" w:type="dxa"/>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序号</w:t>
            </w:r>
            <w:r/>
          </w:p>
        </w:tc>
        <w:tc>
          <w:tcPr>
            <w:gridSpan w:val="6"/>
            <w:tcW w:w="5143" w:type="dxa"/>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服务内容</w:t>
            </w:r>
            <w:r/>
          </w:p>
        </w:tc>
        <w:tc>
          <w:tcPr>
            <w:tcW w:w="809" w:type="dxa"/>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数量</w:t>
            </w:r>
            <w:r/>
          </w:p>
        </w:tc>
        <w:tc>
          <w:tcPr>
            <w:tcW w:w="761" w:type="dxa"/>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单位</w:t>
            </w:r>
            <w:r/>
          </w:p>
        </w:tc>
        <w:tc>
          <w:tcPr>
            <w:tcW w:w="1121" w:type="dxa"/>
            <w:vAlign w:val="center"/>
            <w:textDirection w:val="lrTb"/>
            <w:noWrap w:val="false"/>
          </w:tcPr>
          <w:p>
            <w:pPr>
              <w:jc w:val="center"/>
              <w:spacing w:line="400" w:lineRule="exact"/>
              <w:widowControl/>
              <w:rPr>
                <w:rFonts w:hint="eastAsia" w:ascii="宋体" w:hAnsi="宋体" w:eastAsia="宋体" w:cs="Times New Roman"/>
                <w:b/>
                <w:bCs/>
                <w:szCs w:val="21"/>
              </w:rPr>
            </w:pPr>
            <w:r>
              <w:rPr>
                <w:rFonts w:hint="eastAsia" w:ascii="宋体" w:hAnsi="宋体" w:eastAsia="宋体" w:cs="Times New Roman"/>
                <w:b/>
                <w:bCs/>
                <w:szCs w:val="21"/>
              </w:rPr>
              <w:t xml:space="preserve">分项单价</w:t>
            </w:r>
            <w:r/>
          </w:p>
        </w:tc>
        <w:tc>
          <w:tcPr>
            <w:tcW w:w="1121" w:type="dxa"/>
            <w:vAlign w:val="center"/>
            <w:textDirection w:val="lrTb"/>
            <w:noWrap w:val="false"/>
          </w:tcPr>
          <w:p>
            <w:pPr>
              <w:jc w:val="center"/>
              <w:spacing w:line="400" w:lineRule="exact"/>
              <w:widowControl/>
              <w:rPr>
                <w:rFonts w:hint="eastAsia" w:ascii="宋体" w:hAnsi="宋体" w:eastAsia="宋体" w:cs="Times New Roman"/>
                <w:b/>
                <w:bCs/>
                <w:szCs w:val="21"/>
              </w:rPr>
            </w:pPr>
            <w:r>
              <w:rPr>
                <w:rFonts w:hint="eastAsia" w:ascii="宋体" w:hAnsi="宋体" w:eastAsia="宋体" w:cs="Times New Roman"/>
                <w:b/>
                <w:bCs/>
                <w:szCs w:val="21"/>
              </w:rPr>
              <w:t xml:space="preserve">分项总价</w:t>
            </w:r>
            <w:r/>
          </w:p>
        </w:tc>
      </w:tr>
      <w:tr>
        <w:trPr>
          <w:jc w:val="center"/>
        </w:trPr>
        <w:tc>
          <w:tcPr>
            <w:tcW w:w="673"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1</w:t>
            </w:r>
            <w:r/>
          </w:p>
        </w:tc>
        <w:tc>
          <w:tcPr>
            <w:gridSpan w:val="6"/>
            <w:tcW w:w="5143" w:type="dxa"/>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r>
            <w:r/>
          </w:p>
        </w:tc>
        <w:tc>
          <w:tcPr>
            <w:tcW w:w="809" w:type="dxa"/>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r>
            <w:r/>
          </w:p>
        </w:tc>
        <w:tc>
          <w:tcPr>
            <w:tcW w:w="761" w:type="dxa"/>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r>
            <w:r/>
          </w:p>
        </w:tc>
        <w:tc>
          <w:tcPr>
            <w:tcW w:w="1121" w:type="dxa"/>
            <w:vAlign w:val="center"/>
            <w:textDirection w:val="lrTb"/>
            <w:noWrap w:val="false"/>
          </w:tcPr>
          <w:p>
            <w:pPr>
              <w:jc w:val="center"/>
              <w:spacing w:line="400" w:lineRule="exact"/>
              <w:widowControl/>
              <w:rPr>
                <w:rFonts w:hint="eastAsia" w:ascii="宋体" w:hAnsi="宋体" w:eastAsia="宋体" w:cs="Times New Roman"/>
                <w:b/>
                <w:bCs/>
                <w:szCs w:val="21"/>
              </w:rPr>
            </w:pPr>
            <w:r>
              <w:rPr>
                <w:rFonts w:hint="eastAsia" w:ascii="宋体" w:hAnsi="宋体" w:eastAsia="宋体" w:cs="Times New Roman"/>
                <w:b/>
                <w:bCs/>
                <w:szCs w:val="21"/>
              </w:rPr>
            </w:r>
            <w:r/>
          </w:p>
        </w:tc>
        <w:tc>
          <w:tcPr>
            <w:tcW w:w="1121" w:type="dxa"/>
            <w:vAlign w:val="center"/>
            <w:textDirection w:val="lrTb"/>
            <w:noWrap w:val="false"/>
          </w:tcPr>
          <w:p>
            <w:pPr>
              <w:jc w:val="center"/>
              <w:spacing w:line="400" w:lineRule="exact"/>
              <w:widowControl/>
              <w:rPr>
                <w:rFonts w:hint="eastAsia" w:ascii="宋体" w:hAnsi="宋体" w:eastAsia="宋体" w:cs="Times New Roman"/>
                <w:b/>
                <w:bCs/>
                <w:szCs w:val="21"/>
              </w:rPr>
            </w:pPr>
            <w:r>
              <w:rPr>
                <w:rFonts w:hint="eastAsia" w:ascii="宋体" w:hAnsi="宋体" w:eastAsia="宋体" w:cs="Times New Roman"/>
                <w:b/>
                <w:bCs/>
                <w:szCs w:val="21"/>
              </w:rPr>
            </w:r>
            <w:r/>
          </w:p>
        </w:tc>
      </w:tr>
      <w:tr>
        <w:trPr>
          <w:jc w:val="center"/>
        </w:trPr>
        <w:tc>
          <w:tcPr>
            <w:tcW w:w="673"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2</w:t>
            </w:r>
            <w:r/>
          </w:p>
        </w:tc>
        <w:tc>
          <w:tcPr>
            <w:gridSpan w:val="6"/>
            <w:tcW w:w="5143" w:type="dxa"/>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r>
            <w:r/>
          </w:p>
        </w:tc>
        <w:tc>
          <w:tcPr>
            <w:tcW w:w="809" w:type="dxa"/>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r>
            <w:r/>
          </w:p>
        </w:tc>
        <w:tc>
          <w:tcPr>
            <w:tcW w:w="761" w:type="dxa"/>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r>
            <w:r/>
          </w:p>
        </w:tc>
        <w:tc>
          <w:tcPr>
            <w:tcW w:w="1121" w:type="dxa"/>
            <w:vAlign w:val="center"/>
            <w:textDirection w:val="lrTb"/>
            <w:noWrap w:val="false"/>
          </w:tcPr>
          <w:p>
            <w:pPr>
              <w:jc w:val="center"/>
              <w:spacing w:line="400" w:lineRule="exact"/>
              <w:widowControl/>
              <w:rPr>
                <w:rFonts w:hint="eastAsia" w:ascii="宋体" w:hAnsi="宋体" w:eastAsia="宋体" w:cs="Times New Roman"/>
                <w:b/>
                <w:bCs/>
                <w:szCs w:val="21"/>
              </w:rPr>
            </w:pPr>
            <w:r>
              <w:rPr>
                <w:rFonts w:hint="eastAsia" w:ascii="宋体" w:hAnsi="宋体" w:eastAsia="宋体" w:cs="Times New Roman"/>
                <w:b/>
                <w:bCs/>
                <w:szCs w:val="21"/>
              </w:rPr>
            </w:r>
            <w:r/>
          </w:p>
        </w:tc>
        <w:tc>
          <w:tcPr>
            <w:tcW w:w="1121" w:type="dxa"/>
            <w:vAlign w:val="center"/>
            <w:textDirection w:val="lrTb"/>
            <w:noWrap w:val="false"/>
          </w:tcPr>
          <w:p>
            <w:pPr>
              <w:jc w:val="center"/>
              <w:spacing w:line="400" w:lineRule="exact"/>
              <w:widowControl/>
              <w:rPr>
                <w:rFonts w:hint="eastAsia" w:ascii="宋体" w:hAnsi="宋体" w:eastAsia="宋体" w:cs="Times New Roman"/>
                <w:b/>
                <w:bCs/>
                <w:szCs w:val="21"/>
              </w:rPr>
            </w:pPr>
            <w:r>
              <w:rPr>
                <w:rFonts w:hint="eastAsia" w:ascii="宋体" w:hAnsi="宋体" w:eastAsia="宋体" w:cs="Times New Roman"/>
                <w:b/>
                <w:bCs/>
                <w:szCs w:val="21"/>
              </w:rPr>
            </w:r>
            <w:r/>
          </w:p>
        </w:tc>
      </w:tr>
      <w:tr>
        <w:trPr>
          <w:jc w:val="center"/>
        </w:trPr>
        <w:tc>
          <w:tcPr>
            <w:tcW w:w="673"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3</w:t>
            </w:r>
            <w:r/>
          </w:p>
        </w:tc>
        <w:tc>
          <w:tcPr>
            <w:gridSpan w:val="6"/>
            <w:tcW w:w="5143" w:type="dxa"/>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r>
            <w:r/>
          </w:p>
        </w:tc>
        <w:tc>
          <w:tcPr>
            <w:tcW w:w="809" w:type="dxa"/>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r>
            <w:r/>
          </w:p>
        </w:tc>
        <w:tc>
          <w:tcPr>
            <w:tcW w:w="761" w:type="dxa"/>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r>
            <w:r/>
          </w:p>
        </w:tc>
        <w:tc>
          <w:tcPr>
            <w:tcW w:w="1121" w:type="dxa"/>
            <w:vAlign w:val="center"/>
            <w:textDirection w:val="lrTb"/>
            <w:noWrap w:val="false"/>
          </w:tcPr>
          <w:p>
            <w:pPr>
              <w:jc w:val="center"/>
              <w:spacing w:line="400" w:lineRule="exact"/>
              <w:widowControl/>
              <w:rPr>
                <w:rFonts w:hint="eastAsia" w:ascii="宋体" w:hAnsi="宋体" w:eastAsia="宋体" w:cs="Times New Roman"/>
                <w:b/>
                <w:bCs/>
                <w:szCs w:val="21"/>
              </w:rPr>
            </w:pPr>
            <w:r>
              <w:rPr>
                <w:rFonts w:hint="eastAsia" w:ascii="宋体" w:hAnsi="宋体" w:eastAsia="宋体" w:cs="Times New Roman"/>
                <w:b/>
                <w:bCs/>
                <w:szCs w:val="21"/>
              </w:rPr>
            </w:r>
            <w:r/>
          </w:p>
        </w:tc>
        <w:tc>
          <w:tcPr>
            <w:tcW w:w="1121" w:type="dxa"/>
            <w:vAlign w:val="center"/>
            <w:textDirection w:val="lrTb"/>
            <w:noWrap w:val="false"/>
          </w:tcPr>
          <w:p>
            <w:pPr>
              <w:jc w:val="center"/>
              <w:spacing w:line="400" w:lineRule="exact"/>
              <w:widowControl/>
              <w:rPr>
                <w:rFonts w:hint="eastAsia" w:ascii="宋体" w:hAnsi="宋体" w:eastAsia="宋体" w:cs="Times New Roman"/>
                <w:b/>
                <w:bCs/>
                <w:szCs w:val="21"/>
              </w:rPr>
            </w:pPr>
            <w:r>
              <w:rPr>
                <w:rFonts w:hint="eastAsia" w:ascii="宋体" w:hAnsi="宋体" w:eastAsia="宋体" w:cs="Times New Roman"/>
                <w:b/>
                <w:bCs/>
                <w:szCs w:val="21"/>
              </w:rPr>
            </w:r>
            <w:r/>
          </w:p>
        </w:tc>
      </w:tr>
      <w:tr>
        <w:trPr>
          <w:jc w:val="center"/>
        </w:trPr>
        <w:tc>
          <w:tcPr>
            <w:tcW w:w="673"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w:t>
            </w:r>
            <w:r/>
          </w:p>
        </w:tc>
        <w:tc>
          <w:tcPr>
            <w:gridSpan w:val="6"/>
            <w:tcW w:w="5143" w:type="dxa"/>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r>
            <w:r/>
          </w:p>
        </w:tc>
        <w:tc>
          <w:tcPr>
            <w:tcW w:w="809" w:type="dxa"/>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r>
            <w:r/>
          </w:p>
        </w:tc>
        <w:tc>
          <w:tcPr>
            <w:tcW w:w="761" w:type="dxa"/>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r>
            <w:r/>
          </w:p>
        </w:tc>
        <w:tc>
          <w:tcPr>
            <w:tcW w:w="1121" w:type="dxa"/>
            <w:vAlign w:val="center"/>
            <w:textDirection w:val="lrTb"/>
            <w:noWrap w:val="false"/>
          </w:tcPr>
          <w:p>
            <w:pPr>
              <w:jc w:val="center"/>
              <w:spacing w:line="400" w:lineRule="exact"/>
              <w:widowControl/>
              <w:rPr>
                <w:rFonts w:hint="eastAsia" w:ascii="宋体" w:hAnsi="宋体" w:eastAsia="宋体" w:cs="Times New Roman"/>
                <w:b/>
                <w:bCs/>
                <w:szCs w:val="21"/>
              </w:rPr>
            </w:pPr>
            <w:r>
              <w:rPr>
                <w:rFonts w:hint="eastAsia" w:ascii="宋体" w:hAnsi="宋体" w:eastAsia="宋体" w:cs="Times New Roman"/>
                <w:b/>
                <w:bCs/>
                <w:szCs w:val="21"/>
              </w:rPr>
            </w:r>
            <w:r/>
          </w:p>
        </w:tc>
        <w:tc>
          <w:tcPr>
            <w:tcW w:w="1121" w:type="dxa"/>
            <w:vAlign w:val="center"/>
            <w:textDirection w:val="lrTb"/>
            <w:noWrap w:val="false"/>
          </w:tcPr>
          <w:p>
            <w:pPr>
              <w:jc w:val="center"/>
              <w:spacing w:line="400" w:lineRule="exact"/>
              <w:widowControl/>
              <w:rPr>
                <w:rFonts w:hint="eastAsia" w:ascii="宋体" w:hAnsi="宋体" w:eastAsia="宋体" w:cs="Times New Roman"/>
                <w:b/>
                <w:bCs/>
                <w:szCs w:val="21"/>
              </w:rPr>
            </w:pPr>
            <w:r>
              <w:rPr>
                <w:rFonts w:hint="eastAsia" w:ascii="宋体" w:hAnsi="宋体" w:eastAsia="宋体" w:cs="Times New Roman"/>
                <w:b/>
                <w:bCs/>
                <w:szCs w:val="21"/>
              </w:rPr>
            </w:r>
            <w:r/>
          </w:p>
        </w:tc>
      </w:tr>
      <w:tr>
        <w:trPr>
          <w:jc w:val="center"/>
        </w:trPr>
        <w:tc>
          <w:tcPr>
            <w:gridSpan w:val="11"/>
            <w:tcW w:w="9628" w:type="dxa"/>
            <w:vAlign w:val="center"/>
            <w:textDirection w:val="lrTb"/>
            <w:noWrap w:val="false"/>
          </w:tcPr>
          <w:p>
            <w:pPr>
              <w:spacing w:line="400" w:lineRule="exact"/>
              <w:rPr>
                <w:rFonts w:hint="eastAsia" w:ascii="宋体" w:hAnsi="宋体" w:eastAsia="宋体" w:cs="Times New Roman"/>
                <w:b/>
                <w:szCs w:val="21"/>
              </w:rPr>
            </w:pPr>
            <w:r>
              <w:rPr>
                <w:rFonts w:hint="eastAsia" w:ascii="宋体" w:hAnsi="宋体" w:eastAsia="宋体" w:cs="Times New Roman"/>
                <w:b/>
                <w:szCs w:val="21"/>
              </w:rPr>
              <w:t xml:space="preserve">（二）货物部分</w:t>
            </w:r>
            <w:r/>
          </w:p>
        </w:tc>
      </w:tr>
      <w:tr>
        <w:trPr>
          <w:jc w:val="center"/>
        </w:trPr>
        <w:tc>
          <w:tcPr>
            <w:tcW w:w="673" w:type="dxa"/>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序号</w:t>
            </w:r>
            <w:r/>
          </w:p>
        </w:tc>
        <w:tc>
          <w:tcPr>
            <w:tcW w:w="673" w:type="dxa"/>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名称</w:t>
            </w:r>
            <w:r/>
          </w:p>
        </w:tc>
        <w:tc>
          <w:tcPr>
            <w:tcW w:w="676" w:type="dxa"/>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品牌</w:t>
            </w:r>
            <w:r/>
          </w:p>
        </w:tc>
        <w:tc>
          <w:tcPr>
            <w:tcW w:w="1119" w:type="dxa"/>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规格型号</w:t>
            </w:r>
            <w:r/>
          </w:p>
        </w:tc>
        <w:tc>
          <w:tcPr>
            <w:tcW w:w="1005" w:type="dxa"/>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制造商名称</w:t>
            </w:r>
            <w:r/>
          </w:p>
        </w:tc>
        <w:tc>
          <w:tcPr>
            <w:tcW w:w="778" w:type="dxa"/>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产地</w:t>
            </w:r>
            <w:r/>
          </w:p>
        </w:tc>
        <w:tc>
          <w:tcPr>
            <w:tcW w:w="892" w:type="dxa"/>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质保期</w:t>
            </w:r>
            <w:r/>
          </w:p>
        </w:tc>
        <w:tc>
          <w:tcPr>
            <w:tcW w:w="809" w:type="dxa"/>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数量</w:t>
            </w:r>
            <w:r/>
          </w:p>
        </w:tc>
        <w:tc>
          <w:tcPr>
            <w:tcW w:w="761" w:type="dxa"/>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单位</w:t>
            </w:r>
            <w:r/>
          </w:p>
        </w:tc>
        <w:tc>
          <w:tcPr>
            <w:tcW w:w="1121" w:type="dxa"/>
            <w:vAlign w:val="center"/>
            <w:textDirection w:val="lrTb"/>
            <w:noWrap w:val="false"/>
          </w:tcPr>
          <w:p>
            <w:pPr>
              <w:jc w:val="center"/>
              <w:spacing w:line="400" w:lineRule="exact"/>
              <w:widowControl/>
              <w:rPr>
                <w:rFonts w:hint="eastAsia" w:ascii="宋体" w:hAnsi="宋体" w:eastAsia="宋体" w:cs="Times New Roman"/>
                <w:b/>
                <w:bCs/>
                <w:szCs w:val="21"/>
              </w:rPr>
            </w:pPr>
            <w:r>
              <w:rPr>
                <w:rFonts w:hint="eastAsia" w:ascii="宋体" w:hAnsi="宋体" w:eastAsia="宋体" w:cs="Times New Roman"/>
                <w:b/>
                <w:bCs/>
                <w:szCs w:val="21"/>
              </w:rPr>
              <w:t xml:space="preserve">分项单价</w:t>
            </w:r>
            <w:r/>
          </w:p>
        </w:tc>
        <w:tc>
          <w:tcPr>
            <w:tcW w:w="1121" w:type="dxa"/>
            <w:vAlign w:val="center"/>
            <w:textDirection w:val="lrTb"/>
            <w:noWrap w:val="false"/>
          </w:tcPr>
          <w:p>
            <w:pPr>
              <w:jc w:val="center"/>
              <w:spacing w:line="400" w:lineRule="exact"/>
              <w:widowControl/>
              <w:rPr>
                <w:rFonts w:hint="eastAsia" w:ascii="宋体" w:hAnsi="宋体" w:eastAsia="宋体" w:cs="Times New Roman"/>
                <w:b/>
                <w:bCs/>
                <w:szCs w:val="21"/>
              </w:rPr>
            </w:pPr>
            <w:r>
              <w:rPr>
                <w:rFonts w:hint="eastAsia" w:ascii="宋体" w:hAnsi="宋体" w:eastAsia="宋体" w:cs="Times New Roman"/>
                <w:b/>
                <w:bCs/>
                <w:szCs w:val="21"/>
              </w:rPr>
              <w:t xml:space="preserve">分项总价</w:t>
            </w:r>
            <w:r/>
          </w:p>
        </w:tc>
      </w:tr>
      <w:tr>
        <w:trPr>
          <w:jc w:val="center"/>
        </w:trPr>
        <w:tc>
          <w:tcPr>
            <w:tcW w:w="673"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1</w:t>
            </w:r>
            <w:r/>
          </w:p>
        </w:tc>
        <w:tc>
          <w:tcPr>
            <w:tcW w:w="673"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W w:w="676"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W w:w="1119"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W w:w="1005"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W w:w="778"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W w:w="892"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W w:w="809"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W w:w="761"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W w:w="1121"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W w:w="1121"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673"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2</w:t>
            </w:r>
            <w:r/>
          </w:p>
        </w:tc>
        <w:tc>
          <w:tcPr>
            <w:tcW w:w="673"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W w:w="676"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W w:w="1119"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W w:w="1005"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W w:w="778"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W w:w="892"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W w:w="809"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W w:w="761"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W w:w="1121"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W w:w="1121"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673"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3</w:t>
            </w:r>
            <w:r/>
          </w:p>
        </w:tc>
        <w:tc>
          <w:tcPr>
            <w:tcW w:w="673"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W w:w="676"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W w:w="1119"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W w:w="1005"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W w:w="778"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W w:w="892"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W w:w="809"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W w:w="761"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W w:w="1121"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W w:w="1121"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673"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w:t>
            </w:r>
            <w:r/>
          </w:p>
        </w:tc>
        <w:tc>
          <w:tcPr>
            <w:tcW w:w="673"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W w:w="676"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W w:w="1119"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W w:w="1005"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W w:w="778"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W w:w="892"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W w:w="809"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W w:w="761"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W w:w="1121"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W w:w="1121" w:type="dxa"/>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Height w:val="758"/>
        </w:trPr>
        <w:tc>
          <w:tcPr>
            <w:gridSpan w:val="11"/>
            <w:tcW w:w="9628" w:type="dxa"/>
            <w:vAlign w:val="center"/>
            <w:textDirection w:val="lrTb"/>
            <w:noWrap w:val="false"/>
          </w:tcPr>
          <w:p>
            <w:pP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合计总价：人民币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元</w:t>
            </w:r>
            <w:r/>
          </w:p>
        </w:tc>
      </w:tr>
      <w:tr>
        <w:trPr>
          <w:jc w:val="center"/>
        </w:trPr>
        <w:tc>
          <w:tcPr>
            <w:gridSpan w:val="11"/>
            <w:tcW w:w="9628" w:type="dxa"/>
            <w:textDirection w:val="lrTb"/>
            <w:noWrap w:val="false"/>
          </w:tcPr>
          <w:p>
            <w:pPr>
              <w:jc w:val="left"/>
              <w:spacing w:line="440" w:lineRule="exact"/>
              <w:widowControl/>
              <w:rPr>
                <w:rFonts w:hint="eastAsia" w:ascii="宋体" w:hAnsi="宋体" w:eastAsia="宋体" w:cs="Times New Roman"/>
                <w:b/>
                <w:bCs/>
                <w:szCs w:val="21"/>
              </w:rPr>
            </w:pPr>
            <w:r>
              <w:rPr>
                <w:rFonts w:hint="eastAsia" w:ascii="宋体" w:hAnsi="宋体" w:eastAsia="宋体" w:cs="Times New Roman"/>
                <w:b/>
                <w:bCs/>
                <w:szCs w:val="21"/>
              </w:rPr>
              <w:t xml:space="preserve">本采购包中提供的符合本国产品标准的产品成本之和占该采购包提供的全部产品成本之和的比例为</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w:t>
            </w:r>
            <w:r/>
          </w:p>
        </w:tc>
      </w:tr>
    </w:tbl>
    <w:p>
      <w:pPr>
        <w:spacing w:line="360" w:lineRule="exact"/>
        <w:rPr>
          <w:rFonts w:hint="eastAsia" w:ascii="宋体" w:hAnsi="宋体" w:eastAsia="宋体" w:cs="Times New Roman"/>
          <w:szCs w:val="21"/>
        </w:rPr>
      </w:pPr>
      <w:r>
        <w:rPr>
          <w:rFonts w:hint="eastAsia" w:ascii="宋体" w:hAnsi="宋体" w:eastAsia="宋体" w:cs="Times New Roman"/>
          <w:szCs w:val="21"/>
        </w:rPr>
      </w:r>
      <w:r/>
    </w:p>
    <w:p>
      <w:pPr>
        <w:spacing w:line="360" w:lineRule="exact"/>
        <w:rPr>
          <w:rFonts w:hint="eastAsia" w:ascii="宋体" w:hAnsi="宋体"/>
          <w:szCs w:val="21"/>
        </w:rPr>
      </w:pPr>
      <w:r>
        <w:rPr>
          <w:rFonts w:hint="eastAsia" w:ascii="宋体" w:hAnsi="宋体" w:eastAsia="宋体" w:cs="Times New Roman"/>
          <w:szCs w:val="21"/>
        </w:rPr>
        <w:t xml:space="preserve">注：1、投标单位应当根据本采购包的相关需求据实、详细填写上述表格，</w:t>
      </w:r>
      <w:r>
        <w:rPr>
          <w:rFonts w:hint="eastAsia" w:ascii="宋体" w:hAnsi="宋体"/>
          <w:szCs w:val="21"/>
        </w:rPr>
        <w:t xml:space="preserve">尤其注意规格型号的准确填写。</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2、上表中的“合计总价”应当与《开标一览表》中“项目报价”数额一致。</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注：“符合本国产品标准的产品成本之和”是指采购包中符合本国产品标准的货物成本之和；“全部产品成本之和”是指货物或服务采购包中包含的全部货物、服务产品的成本之和）</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4、表格不够可另接。</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hint="eastAsia" w:ascii="黑体" w:hAnsi="黑体" w:eastAsia="黑体" w:cs="Times New Roman"/>
          <w:sz w:val="28"/>
          <w:szCs w:val="28"/>
        </w:rPr>
      </w:pPr>
      <w:r>
        <w:rPr>
          <w:rFonts w:hint="eastAsia" w:ascii="黑体" w:hAnsi="黑体" w:eastAsia="黑体" w:cs="Times New Roman"/>
          <w:sz w:val="28"/>
          <w:szCs w:val="28"/>
        </w:rPr>
      </w:r>
      <w:r/>
    </w:p>
    <w:p>
      <w:pPr>
        <w:jc w:val="center"/>
        <w:spacing w:line="360" w:lineRule="exact"/>
        <w:rPr>
          <w:rFonts w:hint="eastAsia" w:ascii="黑体" w:hAnsi="黑体" w:eastAsia="黑体" w:cs="Times New Roman"/>
          <w:sz w:val="28"/>
          <w:szCs w:val="28"/>
        </w:rPr>
      </w:pPr>
      <w:r>
        <w:rPr>
          <w:rFonts w:hint="eastAsia" w:ascii="黑体" w:hAnsi="黑体" w:eastAsia="黑体" w:cs="Times New Roman"/>
          <w:sz w:val="28"/>
          <w:szCs w:val="28"/>
        </w:rPr>
        <w:t xml:space="preserve">四、商务、技术要求响应及偏离表</w:t>
      </w:r>
      <w:r/>
    </w:p>
    <w:p>
      <w:pPr>
        <w:jc w:val="center"/>
        <w:spacing w:line="360" w:lineRule="exact"/>
        <w:rPr>
          <w:rFonts w:hint="eastAsia" w:ascii="宋体" w:hAnsi="宋体" w:eastAsia="宋体" w:cs="Times New Roman"/>
          <w:b/>
          <w:sz w:val="24"/>
          <w:szCs w:val="24"/>
        </w:rPr>
      </w:pPr>
      <w:r>
        <w:rPr>
          <w:rFonts w:hint="eastAsia" w:ascii="宋体" w:hAnsi="宋体" w:eastAsia="宋体" w:cs="Times New Roman"/>
          <w:b/>
          <w:sz w:val="24"/>
          <w:szCs w:val="24"/>
        </w:rPr>
      </w:r>
      <w:r/>
    </w:p>
    <w:p>
      <w:pPr>
        <w:jc w:val="center"/>
        <w:spacing w:line="36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Style w:val="854"/>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bl>
    <w:p>
      <w:pPr>
        <w:jc w:val="center"/>
        <w:spacing w:line="36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Style w:val="854"/>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bl>
    <w:p>
      <w:pPr>
        <w:spacing w:line="360" w:lineRule="exact"/>
        <w:rPr>
          <w:rFonts w:hint="eastAsia" w:ascii="宋体" w:hAnsi="宋体" w:eastAsia="宋体" w:cs="Times New Roman"/>
          <w:szCs w:val="21"/>
        </w:rPr>
      </w:pPr>
      <w:r>
        <w:rPr>
          <w:rFonts w:hint="eastAsia" w:ascii="宋体" w:hAnsi="宋体" w:eastAsia="宋体" w:cs="Times New Roman"/>
          <w:szCs w:val="21"/>
        </w:rPr>
      </w:r>
      <w:r/>
    </w:p>
    <w:p>
      <w:pPr>
        <w:spacing w:line="360" w:lineRule="exact"/>
        <w:rPr>
          <w:rFonts w:hint="eastAsia" w:ascii="宋体" w:hAnsi="宋体" w:eastAsia="宋体" w:cs="Times New Roman"/>
          <w:b/>
          <w:szCs w:val="21"/>
        </w:rPr>
      </w:pPr>
      <w:r>
        <w:rPr>
          <w:rFonts w:hint="eastAsia" w:ascii="宋体" w:hAnsi="宋体" w:eastAsia="宋体" w:cs="Times New Roman"/>
          <w:szCs w:val="21"/>
        </w:rPr>
        <w:t xml:space="preserve">注：1、投标单位应据实、详细填写上述表格，因未标明或表述含糊导致的评审风险将由投标单位承担。</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4、“投标文件技术规范描述”完全照抄“招标文件技术要求”的，有被判定为负偏离的风险。</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5、表格不够可另接。</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p>
      <w:pPr>
        <w:jc w:val="center"/>
        <w:spacing w:line="400" w:lineRule="exact"/>
        <w:rPr>
          <w:rFonts w:hint="eastAsia"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sz w:val="24"/>
          <w:szCs w:val="24"/>
        </w:rPr>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r>
      <w:r/>
    </w:p>
    <w:p>
      <w:pPr>
        <w:jc w:val="center"/>
        <w:keepLines/>
        <w:keepNext/>
        <w:spacing w:line="400" w:lineRule="exact"/>
        <w:rPr>
          <w:rFonts w:hint="eastAsia" w:ascii="黑体" w:hAnsi="黑体" w:eastAsia="黑体" w:cs="Times New Roman"/>
          <w:sz w:val="28"/>
          <w:szCs w:val="28"/>
        </w:rPr>
      </w:pPr>
      <w:r>
        <w:rPr>
          <w:rFonts w:hint="eastAsia" w:ascii="黑体" w:hAnsi="黑体" w:eastAsia="黑体" w:cs="Times New Roman"/>
          <w:sz w:val="28"/>
          <w:szCs w:val="28"/>
        </w:rPr>
        <w:t xml:space="preserve">五、法定代表人授权委托书</w:t>
      </w:r>
      <w:r/>
    </w:p>
    <w:p>
      <w:pPr>
        <w:jc w:val="center"/>
        <w:spacing w:line="400" w:lineRule="exact"/>
        <w:rPr>
          <w:rFonts w:hint="eastAsia"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hint="eastAsia"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jc w:val="cente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tbl>
      <w:tblPr>
        <w:tblStyle w:val="854"/>
        <w:tblpPr w:horzAnchor="page" w:tblpX="1775" w:vertAnchor="text" w:tblpY="351"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tc>
        <w:tc>
          <w:tcPr>
            <w:tcW w:w="2843" w:type="dxa"/>
            <w:vAlign w:val="center"/>
            <w:textDirection w:val="lrTb"/>
            <w:noWrap w:val="false"/>
          </w:tcPr>
          <w:p>
            <w:pPr>
              <w:jc w:val="cente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ind w:firstLine="482"/>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ind w:right="1470"/>
        <w:rPr>
          <w:rFonts w:hint="eastAsia" w:ascii="宋体" w:hAnsi="宋体" w:eastAsia="宋体" w:cs="Times New Roman"/>
          <w:sz w:val="24"/>
          <w:szCs w:val="24"/>
        </w:rPr>
      </w:pPr>
      <w:r>
        <w:rPr>
          <w:rFonts w:hint="eastAsia" w:ascii="宋体" w:hAnsi="宋体" w:eastAsia="宋体" w:cs="Times New Roman"/>
          <w:sz w:val="24"/>
          <w:szCs w:val="24"/>
        </w:rPr>
      </w:r>
      <w:r/>
    </w:p>
    <w:p>
      <w:pPr>
        <w:jc w:val="center"/>
        <w:keepLines/>
        <w:keepNext/>
        <w:spacing w:line="400" w:lineRule="exact"/>
        <w:rPr>
          <w:rFonts w:hint="eastAsia" w:ascii="黑体" w:hAnsi="黑体" w:eastAsia="黑体" w:cs="Times New Roman"/>
          <w:sz w:val="28"/>
          <w:szCs w:val="28"/>
        </w:rPr>
      </w:pPr>
      <w:r>
        <w:rPr>
          <w:rFonts w:hint="eastAsia" w:ascii="黑体" w:hAnsi="黑体" w:eastAsia="黑体" w:cs="Times New Roman"/>
          <w:sz w:val="28"/>
          <w:szCs w:val="28"/>
        </w:rPr>
      </w:r>
      <w:r/>
    </w:p>
    <w:p>
      <w:pPr>
        <w:jc w:val="center"/>
        <w:keepLines/>
        <w:keepNext/>
        <w:spacing w:line="400" w:lineRule="exact"/>
        <w:rPr>
          <w:rFonts w:hint="eastAsia"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hint="eastAsia"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ind w:right="480" w:firstLine="3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ind w:right="480"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ind w:right="1470"/>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Style w:val="854"/>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ind w:firstLine="482"/>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ind w:firstLine="482"/>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ind w:firstLine="482"/>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400" w:lineRule="exact"/>
        <w:rPr>
          <w:rFonts w:hint="eastAsia"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r>
      <w:r/>
    </w:p>
    <w:p>
      <w:pPr>
        <w:jc w:val="center"/>
        <w:spacing w:line="400" w:lineRule="exact"/>
        <w:rPr>
          <w:rFonts w:hint="eastAsia" w:ascii="黑体" w:hAnsi="黑体" w:eastAsia="黑体" w:cs="Times New Roman"/>
          <w:sz w:val="28"/>
          <w:szCs w:val="28"/>
        </w:rPr>
      </w:pPr>
      <w:r>
        <w:rPr>
          <w:rFonts w:hint="eastAsia" w:ascii="黑体" w:hAnsi="黑体" w:eastAsia="黑体" w:cs="Times New Roman"/>
          <w:sz w:val="28"/>
          <w:szCs w:val="28"/>
        </w:rPr>
      </w:r>
      <w:r/>
    </w:p>
    <w:p>
      <w:pPr>
        <w:jc w:val="center"/>
        <w:spacing w:line="400" w:lineRule="exact"/>
        <w:rPr>
          <w:rFonts w:hint="eastAsia" w:ascii="黑体" w:hAnsi="黑体" w:eastAsia="黑体" w:cs="Times New Roman"/>
          <w:sz w:val="28"/>
          <w:szCs w:val="28"/>
        </w:rPr>
      </w:pPr>
      <w:r>
        <w:rPr>
          <w:rFonts w:hint="eastAsia" w:ascii="黑体" w:hAnsi="黑体" w:eastAsia="黑体" w:cs="Times New Roman"/>
          <w:sz w:val="28"/>
          <w:szCs w:val="28"/>
        </w:rPr>
        <w:t xml:space="preserve">六、关于资格的声明函</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我单位未被列入“信用中国”网站列入失信被执行人、重大税收违法失信主体、政府采购严重违法失信行为信息记录名单。</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八、我单位不具有违反《中华人民共和国政府采购法》第二十二条的任何情形。</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hint="eastAsia" w:ascii="宋体" w:hAnsi="宋体" w:eastAsia="宋体" w:cs="Times New Roman"/>
          <w:b/>
          <w:bCs/>
          <w:sz w:val="24"/>
          <w:szCs w:val="24"/>
        </w:rPr>
      </w:pPr>
      <w:r>
        <w:rPr>
          <w:rFonts w:hint="eastAsia" w:ascii="宋体" w:hAnsi="宋体" w:eastAsia="宋体" w:cs="Times New Roman"/>
          <w:b/>
          <w:bCs/>
          <w:sz w:val="24"/>
          <w:szCs w:val="24"/>
        </w:rPr>
      </w:r>
      <w:r/>
    </w:p>
    <w:p>
      <w:pPr>
        <w:rPr>
          <w:rFonts w:hint="eastAsia"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hint="eastAsia"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hint="eastAsia" w:ascii="宋体" w:hAnsi="宋体" w:eastAsia="宋体" w:cs="Times New Roman"/>
          <w:b/>
          <w:bCs/>
          <w:szCs w:val="21"/>
        </w:rPr>
      </w:pPr>
      <w:r>
        <w:rPr>
          <w:rFonts w:hint="eastAsia" w:ascii="宋体" w:hAnsi="宋体" w:eastAsia="宋体" w:cs="Times New Roman"/>
          <w:b/>
          <w:bCs/>
          <w:szCs w:val="21"/>
        </w:rPr>
        <w:t xml:space="preserve">2.投标人须对此表中内容作出承诺，否则投标无效。</w:t>
      </w:r>
      <w:r/>
    </w:p>
    <w:p>
      <w:pPr>
        <w:ind w:firstLine="422"/>
        <w:jc w:val="left"/>
        <w:rPr>
          <w:rFonts w:hint="eastAsia"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hint="eastAsia" w:ascii="黑体" w:hAnsi="黑体" w:eastAsia="黑体" w:cs="Times New Roman"/>
          <w:sz w:val="28"/>
          <w:szCs w:val="28"/>
        </w:rPr>
      </w:pPr>
      <w:r>
        <w:rPr>
          <w:rFonts w:hint="eastAsia" w:ascii="黑体" w:hAnsi="黑体" w:eastAsia="黑体" w:cs="Times New Roman"/>
          <w:sz w:val="28"/>
          <w:szCs w:val="28"/>
        </w:rPr>
      </w:r>
      <w:r/>
    </w:p>
    <w:p>
      <w:pPr>
        <w:spacing w:line="400" w:lineRule="exact"/>
        <w:rPr>
          <w:rFonts w:hint="eastAsia"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hint="eastAsia" w:ascii="黑体" w:hAnsi="黑体" w:eastAsia="黑体" w:cs="Times New Roman"/>
          <w:sz w:val="28"/>
          <w:szCs w:val="28"/>
        </w:rPr>
      </w:pPr>
      <w:r>
        <w:rPr>
          <w:rFonts w:hint="eastAsia" w:ascii="黑体" w:hAnsi="黑体" w:eastAsia="黑体" w:cs="Times New Roman"/>
          <w:sz w:val="28"/>
          <w:szCs w:val="28"/>
        </w:rPr>
      </w:r>
      <w:r/>
    </w:p>
    <w:p>
      <w:pPr>
        <w:jc w:val="center"/>
        <w:spacing w:line="400" w:lineRule="exact"/>
        <w:rPr>
          <w:rFonts w:hint="eastAsia" w:ascii="黑体" w:hAnsi="黑体" w:eastAsia="黑体" w:cs="Times New Roman"/>
          <w:sz w:val="28"/>
          <w:szCs w:val="28"/>
        </w:rPr>
      </w:pPr>
      <w:r>
        <w:rPr>
          <w:rFonts w:hint="eastAsia" w:ascii="黑体" w:hAnsi="黑体" w:eastAsia="黑体" w:cs="Times New Roman"/>
          <w:sz w:val="28"/>
          <w:szCs w:val="28"/>
        </w:rPr>
        <w:t xml:space="preserve">一、中小微企业声明函（服务类项目）</w:t>
      </w:r>
      <w:r/>
    </w:p>
    <w:p>
      <w:pPr>
        <w:jc w:val="center"/>
        <w:spacing w:line="400" w:lineRule="exact"/>
        <w:rPr>
          <w:rFonts w:hint="eastAsia" w:ascii="宋体" w:hAnsi="宋体" w:eastAsia="宋体" w:cs="宋体"/>
          <w:sz w:val="28"/>
          <w:szCs w:val="28"/>
        </w:rPr>
      </w:pPr>
      <w:r>
        <w:rPr>
          <w:rFonts w:hint="eastAsia" w:ascii="仿宋" w:hAnsi="仿宋" w:eastAsia="仿宋" w:cs="Times New Roman"/>
          <w:b/>
          <w:bCs/>
          <w:sz w:val="24"/>
          <w:szCs w:val="24"/>
        </w:rPr>
        <w:t xml:space="preserve">（非小微型企业无需填写提供）</w:t>
      </w:r>
      <w:r/>
    </w:p>
    <w:p>
      <w:pPr>
        <w:jc w:val="cente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项目（项目名称）（采购包号：**）的采购活动，服务全部由符合政策的中小微企业承接。相关企业（含联合体中的中小微企业、签订采购包意向协议的中小微企业）的具体情况如下：</w:t>
      </w:r>
      <w:r/>
    </w:p>
    <w:p>
      <w:pPr>
        <w:ind w:firstLine="360"/>
        <w:spacing w:line="360" w:lineRule="auto"/>
        <w:rPr>
          <w:rFonts w:hint="eastAsia"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行业；承接企业为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hint="eastAsia"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行业；承接企业为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right="180" w:firstLine="360"/>
        <w:jc w:val="center"/>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                                   企业名称（加盖CA电子公章）：</w:t>
      </w:r>
      <w:r/>
    </w:p>
    <w:p>
      <w:pPr>
        <w:ind w:right="180" w:firstLine="360"/>
        <w:jc w:val="center"/>
        <w:spacing w:line="360" w:lineRule="auto"/>
        <w:rPr>
          <w:rFonts w:hint="eastAsia" w:ascii="宋体" w:hAnsi="宋体" w:eastAsia="宋体" w:cs="Times New Roman"/>
          <w:sz w:val="24"/>
          <w:szCs w:val="24"/>
        </w:rPr>
      </w:pPr>
      <w:r>
        <w:rPr>
          <w:rFonts w:hint="eastAsia" w:ascii="宋体" w:hAnsi="宋体" w:eastAsia="宋体" w:cs="宋体"/>
          <w:sz w:val="24"/>
          <w:szCs w:val="24"/>
          <w:shd w:val="clear" w:color="auto" w:fill="ffffff"/>
        </w:rPr>
        <w:t xml:space="preserve">                               日期：___年____月____日 </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1.从业人员、营业收入、资产总额填报上一年度数据，无上一年度数据的新成立企业可不填报。</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承接企业</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p>
    <w:p>
      <w:pPr>
        <w:jc w:val="center"/>
        <w:spacing w:line="400" w:lineRule="exact"/>
        <w:rPr>
          <w:rFonts w:hint="eastAsia" w:ascii="黑体" w:hAnsi="黑体" w:eastAsia="黑体" w:cs="Times New Roman"/>
          <w:sz w:val="28"/>
          <w:szCs w:val="28"/>
        </w:rPr>
      </w:pPr>
      <w:r>
        <w:rPr>
          <w:rFonts w:hint="eastAsia" w:ascii="黑体" w:hAnsi="黑体" w:eastAsia="黑体" w:cs="Times New Roman"/>
          <w:sz w:val="28"/>
          <w:szCs w:val="28"/>
        </w:rPr>
      </w:r>
      <w:r/>
    </w:p>
    <w:p>
      <w:pPr>
        <w:jc w:val="center"/>
        <w:spacing w:line="400" w:lineRule="exact"/>
        <w:rPr>
          <w:rFonts w:hint="eastAsia" w:ascii="黑体" w:hAnsi="黑体" w:eastAsia="黑体" w:cs="Times New Roman"/>
          <w:sz w:val="28"/>
          <w:szCs w:val="28"/>
        </w:rPr>
      </w:pPr>
      <w:r>
        <w:rPr>
          <w:rFonts w:hint="eastAsia" w:ascii="黑体" w:hAnsi="黑体" w:eastAsia="黑体" w:cs="Times New Roman"/>
          <w:sz w:val="28"/>
          <w:szCs w:val="28"/>
        </w:rPr>
      </w:r>
      <w:r/>
    </w:p>
    <w:p>
      <w:pPr>
        <w:ind w:firstLine="480"/>
        <w:jc w:val="left"/>
        <w:spacing w:line="400" w:lineRule="exact"/>
        <w:rPr>
          <w:rFonts w:hint="eastAsia"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仿宋"/>
          <w:sz w:val="24"/>
          <w:szCs w:val="24"/>
        </w:rPr>
      </w:r>
      <w:r/>
    </w:p>
    <w:p>
      <w:pPr>
        <w:ind w:firstLine="480"/>
        <w:jc w:val="left"/>
        <w:spacing w:line="400" w:lineRule="exact"/>
        <w:rPr>
          <w:rFonts w:hint="eastAsia" w:ascii="宋体" w:hAnsi="宋体" w:eastAsia="宋体" w:cs="仿宋"/>
          <w:sz w:val="24"/>
          <w:szCs w:val="24"/>
        </w:rPr>
      </w:pPr>
      <w:r>
        <w:rPr>
          <w:rFonts w:hint="eastAsia" w:ascii="宋体" w:hAnsi="宋体" w:eastAsia="宋体" w:cs="仿宋"/>
          <w:sz w:val="24"/>
          <w:szCs w:val="24"/>
        </w:rPr>
      </w:r>
      <w:r/>
    </w:p>
    <w:p>
      <w:pPr>
        <w:jc w:val="center"/>
        <w:spacing w:line="400" w:lineRule="exact"/>
        <w:rPr>
          <w:rFonts w:hint="eastAsia" w:ascii="黑体" w:hAnsi="黑体" w:eastAsia="黑体" w:cs="Times New Roman"/>
          <w:sz w:val="28"/>
          <w:szCs w:val="28"/>
        </w:rPr>
      </w:pPr>
      <w:r>
        <w:rPr>
          <w:rFonts w:hint="eastAsia" w:ascii="黑体" w:hAnsi="黑体" w:eastAsia="黑体" w:cs="Times New Roman"/>
          <w:sz w:val="28"/>
          <w:szCs w:val="28"/>
        </w:rPr>
        <w:t xml:space="preserve">二、残疾人福利性单位声明函（服务类项目）</w:t>
      </w:r>
      <w:r/>
    </w:p>
    <w:p>
      <w:pPr>
        <w:jc w:val="center"/>
        <w:spacing w:line="400" w:lineRule="exact"/>
        <w:rPr>
          <w:rFonts w:hint="eastAsia"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480"/>
        <w:jc w:val="left"/>
        <w:spacing w:line="400" w:lineRule="exact"/>
        <w:rPr>
          <w:rFonts w:hint="eastAsia" w:ascii="宋体" w:hAnsi="宋体" w:eastAsia="宋体" w:cs="仿宋"/>
          <w:sz w:val="24"/>
          <w:szCs w:val="24"/>
        </w:rPr>
      </w:pPr>
      <w:r>
        <w:rPr>
          <w:rFonts w:hint="eastAsia" w:ascii="宋体" w:hAnsi="宋体" w:eastAsia="宋体" w:cs="仿宋"/>
          <w:sz w:val="24"/>
          <w:szCs w:val="24"/>
        </w:rPr>
      </w:r>
      <w:r/>
    </w:p>
    <w:p>
      <w:pPr>
        <w:ind w:firstLine="480"/>
        <w:spacing w:line="360" w:lineRule="auto"/>
        <w:rPr>
          <w:rFonts w:hint="eastAsia"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1"/>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1"/>
        </w:rPr>
        <w:t xml:space="preserve">，</w:t>
      </w:r>
      <w:r>
        <w:rPr>
          <w:rFonts w:hint="eastAsia" w:ascii="宋体" w:hAnsi="宋体" w:eastAsia="宋体" w:cs="Times New Roman"/>
          <w:sz w:val="24"/>
          <w:szCs w:val="21"/>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w:t>
      </w:r>
      <w:r>
        <w:rPr>
          <w:rFonts w:hint="eastAsia" w:ascii="宋体" w:hAnsi="宋体" w:eastAsia="宋体" w:cs="Times New Roman"/>
          <w:sz w:val="24"/>
          <w:szCs w:val="21"/>
        </w:rPr>
        <w:t xml:space="preserve">（采购包号：**）采购活动由本单位提供服务。</w:t>
      </w:r>
      <w:r/>
    </w:p>
    <w:p>
      <w:pPr>
        <w:ind w:firstLine="480"/>
        <w:spacing w:line="360" w:lineRule="auto"/>
        <w:rPr>
          <w:rFonts w:hint="eastAsia"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360" w:lineRule="auto"/>
        <w:rPr>
          <w:rFonts w:hint="eastAsia" w:ascii="宋体" w:hAnsi="宋体" w:eastAsia="宋体" w:cs="Times New Roman"/>
          <w:sz w:val="24"/>
          <w:szCs w:val="21"/>
        </w:rPr>
      </w:pPr>
      <w:r>
        <w:rPr>
          <w:rFonts w:hint="eastAsia" w:ascii="宋体" w:hAnsi="宋体" w:eastAsia="宋体" w:cs="Times New Roman"/>
          <w:sz w:val="24"/>
          <w:szCs w:val="21"/>
        </w:rPr>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备注：</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w:t>
      </w:r>
      <w:r>
        <w:rPr>
          <w:rFonts w:hint="eastAsia" w:ascii="宋体" w:hAnsi="宋体" w:eastAsia="宋体" w:cs="Times New Roman"/>
          <w:sz w:val="24"/>
        </w:rPr>
        <w:t xml:space="preserve">专门面向中小微型企业采购的</w:t>
      </w:r>
      <w:r>
        <w:rPr>
          <w:rFonts w:ascii="宋体" w:hAnsi="宋体" w:eastAsia="宋体" w:cs="Times New Roman"/>
          <w:sz w:val="24"/>
        </w:rPr>
        <w:t xml:space="preserve">项目</w:t>
      </w:r>
      <w:r>
        <w:rPr>
          <w:rFonts w:hint="eastAsia" w:ascii="宋体" w:hAnsi="宋体" w:eastAsia="宋体" w:cs="Times New Roman"/>
          <w:sz w:val="24"/>
        </w:rPr>
        <w:t xml:space="preserve">，供应商为残疾人福利性单位并提供服务的必须提供此</w:t>
      </w:r>
      <w:r>
        <w:rPr>
          <w:rFonts w:ascii="宋体" w:hAnsi="宋体" w:eastAsia="宋体" w:cs="Times New Roman"/>
          <w:sz w:val="24"/>
        </w:rPr>
        <w:t xml:space="preserve">声明函</w:t>
      </w:r>
      <w:r>
        <w:rPr>
          <w:rFonts w:hint="eastAsia" w:ascii="宋体" w:hAnsi="宋体" w:eastAsia="宋体" w:cs="Times New Roman"/>
          <w:sz w:val="24"/>
        </w:rPr>
        <w:t xml:space="preserve">，</w:t>
      </w:r>
      <w:r>
        <w:rPr>
          <w:rFonts w:ascii="宋体" w:hAnsi="宋体" w:eastAsia="宋体" w:cs="Times New Roman"/>
          <w:sz w:val="24"/>
        </w:rPr>
        <w:t xml:space="preserve">否则将</w:t>
      </w:r>
      <w:r>
        <w:rPr>
          <w:rFonts w:hint="eastAsia" w:ascii="宋体" w:hAnsi="宋体" w:eastAsia="宋体" w:cs="Times New Roman"/>
          <w:sz w:val="24"/>
        </w:rPr>
        <w:t xml:space="preserve">不能</w:t>
      </w:r>
      <w:r>
        <w:rPr>
          <w:rFonts w:ascii="宋体" w:hAnsi="宋体" w:eastAsia="宋体" w:cs="Times New Roman"/>
          <w:sz w:val="24"/>
        </w:rPr>
        <w:t xml:space="preserve">通过资格审查</w:t>
      </w:r>
      <w:r>
        <w:rPr>
          <w:rFonts w:hint="eastAsia" w:ascii="宋体" w:hAnsi="宋体" w:eastAsia="宋体" w:cs="Times New Roman"/>
          <w:sz w:val="24"/>
        </w:rPr>
        <w:t xml:space="preserve">。</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2.非专门面向中小微型企业采购的</w:t>
      </w:r>
      <w:r>
        <w:rPr>
          <w:rFonts w:ascii="宋体" w:hAnsi="宋体" w:eastAsia="宋体" w:cs="Times New Roman"/>
          <w:sz w:val="24"/>
        </w:rPr>
        <w:t xml:space="preserve">项目</w:t>
      </w:r>
      <w:r>
        <w:rPr>
          <w:rFonts w:hint="eastAsia" w:ascii="宋体" w:hAnsi="宋体" w:eastAsia="宋体" w:cs="Times New Roman"/>
          <w:sz w:val="24"/>
        </w:rPr>
        <w:t xml:space="preserve">，供应商如不提供此声明函，价格将不做相应扣除。</w:t>
      </w:r>
      <w:r/>
    </w:p>
    <w:p>
      <w:pPr>
        <w:ind w:firstLine="480"/>
        <w:spacing w:line="360" w:lineRule="auto"/>
        <w:rPr>
          <w:rFonts w:hint="eastAsia"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.中标/成交供应商为残疾人福利性单位的，此声明函将随中标/成交结果同时公告，接受社会监督。</w:t>
      </w:r>
      <w:r/>
    </w:p>
    <w:p>
      <w:pPr>
        <w:ind w:firstLine="624"/>
        <w:spacing w:line="360" w:lineRule="auto"/>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jc w:val="right"/>
        <w:spacing w:line="360" w:lineRule="auto"/>
        <w:tabs>
          <w:tab w:val="left" w:pos="4860" w:leader="none"/>
        </w:tabs>
        <w:rPr>
          <w:rFonts w:hint="eastAsia" w:ascii="宋体" w:hAnsi="宋体" w:eastAsia="宋体" w:cs="Times New Roman"/>
          <w:sz w:val="24"/>
          <w:szCs w:val="21"/>
        </w:rPr>
      </w:pPr>
      <w:r>
        <w:rPr>
          <w:rFonts w:hint="eastAsia" w:ascii="宋体" w:hAnsi="宋体" w:eastAsia="宋体" w:cs="Times New Roman"/>
          <w:sz w:val="24"/>
          <w:szCs w:val="21"/>
        </w:rPr>
        <w:t xml:space="preserve">供应商全称（加盖CA电子公章）：</w:t>
      </w:r>
      <w:r/>
    </w:p>
    <w:p>
      <w:pPr>
        <w:ind w:right="240"/>
        <w:jc w:val="right"/>
        <w:spacing w:line="360" w:lineRule="auto"/>
        <w:tabs>
          <w:tab w:val="left" w:pos="4860" w:leader="none"/>
        </w:tabs>
        <w:rPr>
          <w:rFonts w:hint="eastAsia" w:ascii="宋体" w:hAnsi="宋体" w:eastAsia="宋体" w:cs="Times New Roman"/>
          <w:sz w:val="24"/>
          <w:szCs w:val="21"/>
        </w:rPr>
      </w:pPr>
      <w:r>
        <w:rPr>
          <w:rFonts w:hint="eastAsia" w:ascii="宋体" w:hAnsi="宋体" w:eastAsia="宋体" w:cs="Times New Roman"/>
          <w:sz w:val="24"/>
          <w:szCs w:val="21"/>
        </w:rPr>
        <w:t xml:space="preserve">日  期：</w:t>
      </w:r>
      <w:r>
        <w:rPr>
          <w:rFonts w:hint="eastAsia" w:ascii="宋体" w:hAnsi="宋体" w:eastAsia="宋体" w:cs="Times New Roman"/>
          <w:color w:val="000000"/>
          <w:sz w:val="24"/>
          <w:szCs w:val="21"/>
        </w:rPr>
        <w:t xml:space="preserve">___年____月____日</w:t>
      </w:r>
      <w:r/>
    </w:p>
    <w:p>
      <w:pPr>
        <w:ind w:firstLine="480"/>
        <w:jc w:val="left"/>
        <w:spacing w:line="400" w:lineRule="exact"/>
        <w:rPr>
          <w:rFonts w:hint="eastAsia"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仿宋"/>
          <w:sz w:val="24"/>
          <w:szCs w:val="24"/>
        </w:rPr>
      </w:r>
      <w:r/>
    </w:p>
    <w:p>
      <w:pPr>
        <w:ind w:firstLine="480"/>
        <w:jc w:val="left"/>
        <w:spacing w:line="400" w:lineRule="exact"/>
        <w:rPr>
          <w:rFonts w:hint="eastAsia" w:ascii="宋体" w:hAnsi="宋体" w:eastAsia="宋体" w:cs="仿宋"/>
          <w:sz w:val="24"/>
          <w:szCs w:val="24"/>
        </w:rPr>
      </w:pPr>
      <w:r>
        <w:rPr>
          <w:rFonts w:hint="eastAsia" w:ascii="宋体" w:hAnsi="宋体" w:eastAsia="宋体" w:cs="仿宋"/>
          <w:sz w:val="24"/>
          <w:szCs w:val="24"/>
        </w:rPr>
      </w:r>
      <w:r/>
    </w:p>
    <w:p>
      <w:pPr>
        <w:jc w:val="center"/>
        <w:spacing w:line="400" w:lineRule="exact"/>
        <w:rPr>
          <w:rFonts w:hint="eastAsia" w:ascii="黑体" w:hAnsi="黑体" w:eastAsia="黑体" w:cs="Times New Roman"/>
          <w:sz w:val="28"/>
          <w:szCs w:val="28"/>
        </w:rPr>
      </w:pPr>
      <w:r>
        <w:rPr>
          <w:rFonts w:hint="eastAsia" w:ascii="黑体" w:hAnsi="黑体" w:eastAsia="黑体" w:cs="Times New Roman"/>
          <w:sz w:val="28"/>
          <w:szCs w:val="28"/>
        </w:rPr>
        <w:t xml:space="preserve">三、关于符合本国产品标准的声明函</w:t>
      </w:r>
      <w:r/>
    </w:p>
    <w:p>
      <w:pPr>
        <w:jc w:val="center"/>
        <w:spacing w:line="400" w:lineRule="exact"/>
        <w:rPr>
          <w:rFonts w:hint="eastAsia" w:ascii="仿宋" w:hAnsi="仿宋" w:eastAsia="仿宋" w:cs="Times New Roman"/>
          <w:b/>
          <w:bCs/>
          <w:sz w:val="24"/>
          <w:szCs w:val="24"/>
        </w:rPr>
      </w:pPr>
      <w:r>
        <w:rPr>
          <w:rFonts w:hint="eastAsia" w:ascii="仿宋" w:hAnsi="仿宋" w:eastAsia="仿宋" w:cs="Times New Roman"/>
          <w:b/>
          <w:bCs/>
          <w:sz w:val="24"/>
          <w:szCs w:val="24"/>
        </w:rPr>
        <w:t xml:space="preserve">（非本国产品无需填写提供）</w:t>
      </w:r>
      <w:r/>
    </w:p>
    <w:p>
      <w:pPr>
        <w:ind w:firstLine="480"/>
        <w:jc w:val="left"/>
        <w:spacing w:line="400" w:lineRule="exact"/>
        <w:rPr>
          <w:rFonts w:hint="eastAsia" w:ascii="宋体" w:hAnsi="宋体" w:eastAsia="宋体" w:cs="仿宋"/>
          <w:sz w:val="24"/>
          <w:szCs w:val="24"/>
        </w:rPr>
      </w:pPr>
      <w:r>
        <w:rPr>
          <w:rFonts w:hint="eastAsia" w:ascii="宋体" w:hAnsi="宋体" w:eastAsia="宋体" w:cs="仿宋"/>
          <w:sz w:val="24"/>
          <w:szCs w:val="24"/>
        </w:rPr>
      </w:r>
      <w:r/>
    </w:p>
    <w:p>
      <w:pPr>
        <w:ind w:firstLine="42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ind w:firstLine="420"/>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ind w:firstLine="420"/>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w:t>
      </w:r>
      <w:r/>
    </w:p>
    <w:p>
      <w:pPr>
        <w:ind w:firstLine="420"/>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480"/>
        <w:jc w:val="righ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公司（单位）名称（加盖CA电子公章）：</w:t>
      </w:r>
      <w:r/>
    </w:p>
    <w:p>
      <w:pPr>
        <w:ind w:right="960"/>
        <w:jc w:val="right"/>
        <w:spacing w:before="30" w:after="30" w:line="360" w:lineRule="auto"/>
        <w:widowControl/>
        <w:rPr>
          <w:rFonts w:hint="eastAsia" w:ascii="宋体" w:hAnsi="宋体" w:eastAsia="宋体" w:cs="宋体"/>
          <w:color w:val="000000"/>
          <w:sz w:val="24"/>
          <w:szCs w:val="24"/>
        </w:rPr>
      </w:pPr>
      <w:r>
        <w:rPr>
          <w:rFonts w:hint="eastAsia" w:ascii="宋体" w:hAnsi="宋体" w:eastAsia="宋体" w:cs="Times New Roman"/>
          <w:sz w:val="24"/>
          <w:szCs w:val="21"/>
        </w:rPr>
        <w:t xml:space="preserve">日  期：</w:t>
      </w:r>
      <w:r>
        <w:rPr>
          <w:rFonts w:hint="eastAsia" w:ascii="宋体" w:hAnsi="宋体" w:eastAsia="宋体" w:cs="Times New Roman"/>
          <w:color w:val="000000"/>
          <w:sz w:val="24"/>
          <w:szCs w:val="21"/>
        </w:rPr>
        <w:t xml:space="preserve">___年____月____日</w:t>
      </w:r>
      <w:r/>
    </w:p>
    <w:p>
      <w:pPr>
        <w:jc w:val="left"/>
        <w:spacing w:before="30" w:after="30" w:line="0" w:lineRule="atLeast"/>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jc w:val="left"/>
        <w:spacing w:before="30" w:after="30"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_________________</w:t>
      </w:r>
      <w:r/>
    </w:p>
    <w:p>
      <w:pPr>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1.产品如有型号，请在“产品名称”栏一并填写。</w:t>
      </w:r>
      <w:r/>
    </w:p>
    <w:p>
      <w:pPr>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Times New Roman (标题 CS)">
    <w:panose1 w:val="02020603050405020304"/>
  </w:font>
  <w:font w:name="Songti SC">
    <w:panose1 w:val="020B0503020202020204"/>
  </w:font>
  <w:font w:name="楷体à.ā">
    <w:panose1 w:val="02010609060101010101"/>
  </w:font>
  <w:font w:name="Calibri Light">
    <w:panose1 w:val="020F0302020204030204"/>
  </w:font>
  <w:font w:name="仿宋">
    <w:panose1 w:val="02010609060101010101"/>
  </w:font>
  <w:font w:name="微软雅黑">
    <w:panose1 w:val="020B0503020204020204"/>
  </w:font>
  <w:font w:name="Batang">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宋体">
    <w:panose1 w:val="02010600030101010101"/>
  </w:font>
  <w:font w:name="Times New Roman">
    <w:panose1 w:val="02020603050405020304"/>
  </w:font>
  <w:font w:name="楷体_GB2312">
    <w:panose1 w:val="02010609060101010101"/>
  </w:font>
  <w:font w:name="金梅簡體中黑字形">
    <w:panose1 w:val="020B0503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rPr/>
    </w:sdtPr>
    <w:sdtContent>
      <w:p>
        <w:pPr>
          <w:pStyle w:val="868"/>
          <w:jc w:val="center"/>
        </w:pPr>
        <w:r>
          <w:fldChar w:fldCharType="begin"/>
        </w:r>
        <w:r>
          <w:instrText xml:space="preserve">PAGE   \* MERGEFORMAT</w:instrText>
        </w:r>
        <w:r>
          <w:fldChar w:fldCharType="separate"/>
        </w:r>
        <w:r>
          <w:rPr>
            <w:lang w:val="zh-CN"/>
          </w:rPr>
          <w:t xml:space="preserve">-</w:t>
        </w:r>
        <w:r>
          <w:t xml:space="preserve"> 31 -</w:t>
        </w:r>
        <w:r>
          <w:fldChar w:fldCharType="end"/>
        </w:r>
        <w:r/>
      </w:p>
    </w:sdtContent>
  </w:sdt>
  <w:p>
    <w:pPr>
      <w:pStyle w:val="8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rStyle w:val="882"/>
      </w:rPr>
      <w:framePr w:wrap="around" w:vAnchor="text" w:hAnchor="margin" w:xAlign="center" w:y="1"/>
    </w:pPr>
    <w:r>
      <w:fldChar w:fldCharType="begin"/>
    </w:r>
    <w:r>
      <w:rPr>
        <w:rStyle w:val="882"/>
      </w:rPr>
      <w:instrText xml:space="preserve">PAGE  </w:instrText>
    </w:r>
    <w:r>
      <w:fldChar w:fldCharType="separate"/>
    </w:r>
    <w:r>
      <w:rPr>
        <w:rStyle w:val="882"/>
      </w:rPr>
      <w:t xml:space="preserve">1</w:t>
    </w:r>
    <w:r>
      <w:fldChar w:fldCharType="end"/>
    </w:r>
    <w:r/>
  </w:p>
  <w:p>
    <w:pPr>
      <w:pStyle w:val="86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hint="eastAsia" w:ascii="黑体" w:hAnsi="黑体" w:eastAsia="黑体" w:cs="Times New Roman"/>
        <w:sz w:val="16"/>
        <w:szCs w:val="18"/>
      </w:rPr>
      <w:pBdr>
        <w:bottom w:val="single" w:color="auto" w:sz="6" w:space="1"/>
      </w:pBdr>
    </w:pPr>
    <w:r>
      <w:rPr>
        <w:rFonts w:hint="eastAsia" w:ascii="黑体" w:hAnsi="黑体" w:eastAsia="黑体" w:cs="Times New Roman"/>
        <w:bCs/>
        <w:sz w:val="16"/>
        <w:szCs w:val="18"/>
      </w:rPr>
      <w:t xml:space="preserve">JSZC-320281-JZCG-G2026-0028 智慧中医院医共体建设项目                                              江阴市政</w:t>
    </w:r>
    <w:r>
      <w:rPr>
        <w:rFonts w:ascii="黑体" w:hAnsi="黑体" w:eastAsia="黑体" w:cs="Times New Roman"/>
        <w:bCs/>
        <w:sz w:val="16"/>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第%1章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1 Char"/>
    <w:basedOn w:val="853"/>
    <w:link w:val="848"/>
    <w:uiPriority w:val="9"/>
    <w:rPr>
      <w:rFonts w:ascii="Arial" w:hAnsi="Arial" w:eastAsia="Arial" w:cs="Arial"/>
      <w:sz w:val="40"/>
      <w:szCs w:val="40"/>
    </w:rPr>
  </w:style>
  <w:style w:type="character" w:styleId="691">
    <w:name w:val="Heading 2 Char"/>
    <w:basedOn w:val="853"/>
    <w:link w:val="849"/>
    <w:uiPriority w:val="9"/>
    <w:rPr>
      <w:rFonts w:ascii="Arial" w:hAnsi="Arial" w:eastAsia="Arial" w:cs="Arial"/>
      <w:sz w:val="34"/>
    </w:rPr>
  </w:style>
  <w:style w:type="character" w:styleId="692">
    <w:name w:val="Heading 3 Char"/>
    <w:basedOn w:val="853"/>
    <w:link w:val="850"/>
    <w:uiPriority w:val="9"/>
    <w:rPr>
      <w:rFonts w:ascii="Arial" w:hAnsi="Arial" w:eastAsia="Arial" w:cs="Arial"/>
      <w:sz w:val="30"/>
      <w:szCs w:val="30"/>
    </w:rPr>
  </w:style>
  <w:style w:type="character" w:styleId="693">
    <w:name w:val="Heading 4 Char"/>
    <w:basedOn w:val="853"/>
    <w:link w:val="851"/>
    <w:uiPriority w:val="9"/>
    <w:rPr>
      <w:rFonts w:ascii="Arial" w:hAnsi="Arial" w:eastAsia="Arial" w:cs="Arial"/>
      <w:b/>
      <w:bCs/>
      <w:sz w:val="26"/>
      <w:szCs w:val="26"/>
    </w:rPr>
  </w:style>
  <w:style w:type="character" w:styleId="694">
    <w:name w:val="Heading 5 Char"/>
    <w:basedOn w:val="853"/>
    <w:link w:val="852"/>
    <w:uiPriority w:val="9"/>
    <w:rPr>
      <w:rFonts w:ascii="Arial" w:hAnsi="Arial" w:eastAsia="Arial" w:cs="Arial"/>
      <w:b/>
      <w:bCs/>
      <w:sz w:val="24"/>
      <w:szCs w:val="24"/>
    </w:rPr>
  </w:style>
  <w:style w:type="paragraph" w:styleId="695">
    <w:name w:val="Heading 6"/>
    <w:basedOn w:val="847"/>
    <w:next w:val="847"/>
    <w:link w:val="696"/>
    <w:uiPriority w:val="9"/>
    <w:unhideWhenUsed/>
    <w:qFormat/>
    <w:pPr>
      <w:keepLines/>
      <w:keepNext/>
      <w:spacing w:before="320" w:after="200"/>
      <w:outlineLvl w:val="5"/>
    </w:pPr>
    <w:rPr>
      <w:rFonts w:ascii="Arial" w:hAnsi="Arial" w:eastAsia="Arial" w:cs="Arial"/>
      <w:b/>
      <w:bCs/>
      <w:sz w:val="22"/>
      <w:szCs w:val="22"/>
    </w:rPr>
  </w:style>
  <w:style w:type="character" w:styleId="696">
    <w:name w:val="Heading 6 Char"/>
    <w:basedOn w:val="853"/>
    <w:link w:val="695"/>
    <w:uiPriority w:val="9"/>
    <w:rPr>
      <w:rFonts w:ascii="Arial" w:hAnsi="Arial" w:eastAsia="Arial" w:cs="Arial"/>
      <w:b/>
      <w:bCs/>
      <w:sz w:val="22"/>
      <w:szCs w:val="22"/>
    </w:rPr>
  </w:style>
  <w:style w:type="paragraph" w:styleId="697">
    <w:name w:val="Heading 7"/>
    <w:basedOn w:val="847"/>
    <w:next w:val="847"/>
    <w:link w:val="698"/>
    <w:uiPriority w:val="9"/>
    <w:unhideWhenUsed/>
    <w:qFormat/>
    <w:pPr>
      <w:keepLines/>
      <w:keepNext/>
      <w:spacing w:before="320" w:after="200"/>
      <w:outlineLvl w:val="6"/>
    </w:pPr>
    <w:rPr>
      <w:rFonts w:ascii="Arial" w:hAnsi="Arial" w:eastAsia="Arial" w:cs="Arial"/>
      <w:b/>
      <w:bCs/>
      <w:i/>
      <w:iCs/>
      <w:sz w:val="22"/>
      <w:szCs w:val="22"/>
    </w:rPr>
  </w:style>
  <w:style w:type="character" w:styleId="698">
    <w:name w:val="Heading 7 Char"/>
    <w:basedOn w:val="853"/>
    <w:link w:val="697"/>
    <w:uiPriority w:val="9"/>
    <w:rPr>
      <w:rFonts w:ascii="Arial" w:hAnsi="Arial" w:eastAsia="Arial" w:cs="Arial"/>
      <w:b/>
      <w:bCs/>
      <w:i/>
      <w:iCs/>
      <w:sz w:val="22"/>
      <w:szCs w:val="22"/>
    </w:rPr>
  </w:style>
  <w:style w:type="paragraph" w:styleId="699">
    <w:name w:val="Heading 8"/>
    <w:basedOn w:val="847"/>
    <w:next w:val="847"/>
    <w:link w:val="700"/>
    <w:uiPriority w:val="9"/>
    <w:unhideWhenUsed/>
    <w:qFormat/>
    <w:pPr>
      <w:keepLines/>
      <w:keepNext/>
      <w:spacing w:before="320" w:after="200"/>
      <w:outlineLvl w:val="7"/>
    </w:pPr>
    <w:rPr>
      <w:rFonts w:ascii="Arial" w:hAnsi="Arial" w:eastAsia="Arial" w:cs="Arial"/>
      <w:i/>
      <w:iCs/>
      <w:sz w:val="22"/>
      <w:szCs w:val="22"/>
    </w:rPr>
  </w:style>
  <w:style w:type="character" w:styleId="700">
    <w:name w:val="Heading 8 Char"/>
    <w:basedOn w:val="853"/>
    <w:link w:val="699"/>
    <w:uiPriority w:val="9"/>
    <w:rPr>
      <w:rFonts w:ascii="Arial" w:hAnsi="Arial" w:eastAsia="Arial" w:cs="Arial"/>
      <w:i/>
      <w:iCs/>
      <w:sz w:val="22"/>
      <w:szCs w:val="22"/>
    </w:rPr>
  </w:style>
  <w:style w:type="paragraph" w:styleId="701">
    <w:name w:val="Heading 9"/>
    <w:basedOn w:val="847"/>
    <w:next w:val="847"/>
    <w:link w:val="702"/>
    <w:uiPriority w:val="9"/>
    <w:unhideWhenUsed/>
    <w:qFormat/>
    <w:pPr>
      <w:keepLines/>
      <w:keepNext/>
      <w:spacing w:before="320" w:after="200"/>
      <w:outlineLvl w:val="8"/>
    </w:pPr>
    <w:rPr>
      <w:rFonts w:ascii="Arial" w:hAnsi="Arial" w:eastAsia="Arial" w:cs="Arial"/>
      <w:i/>
      <w:iCs/>
      <w:sz w:val="21"/>
      <w:szCs w:val="21"/>
    </w:rPr>
  </w:style>
  <w:style w:type="character" w:styleId="702">
    <w:name w:val="Heading 9 Char"/>
    <w:basedOn w:val="853"/>
    <w:link w:val="701"/>
    <w:uiPriority w:val="9"/>
    <w:rPr>
      <w:rFonts w:ascii="Arial" w:hAnsi="Arial" w:eastAsia="Arial" w:cs="Arial"/>
      <w:i/>
      <w:iCs/>
      <w:sz w:val="21"/>
      <w:szCs w:val="21"/>
    </w:rPr>
  </w:style>
  <w:style w:type="character" w:styleId="703">
    <w:name w:val="Title Char"/>
    <w:basedOn w:val="853"/>
    <w:link w:val="876"/>
    <w:uiPriority w:val="10"/>
    <w:rPr>
      <w:sz w:val="48"/>
      <w:szCs w:val="48"/>
    </w:rPr>
  </w:style>
  <w:style w:type="paragraph" w:styleId="704">
    <w:name w:val="Subtitle"/>
    <w:basedOn w:val="847"/>
    <w:next w:val="847"/>
    <w:link w:val="705"/>
    <w:uiPriority w:val="11"/>
    <w:qFormat/>
    <w:pPr>
      <w:spacing w:before="200" w:after="200"/>
    </w:pPr>
    <w:rPr>
      <w:sz w:val="24"/>
      <w:szCs w:val="24"/>
    </w:rPr>
  </w:style>
  <w:style w:type="character" w:styleId="705">
    <w:name w:val="Subtitle Char"/>
    <w:basedOn w:val="853"/>
    <w:link w:val="704"/>
    <w:uiPriority w:val="11"/>
    <w:rPr>
      <w:sz w:val="24"/>
      <w:szCs w:val="24"/>
    </w:rPr>
  </w:style>
  <w:style w:type="paragraph" w:styleId="706">
    <w:name w:val="Quote"/>
    <w:basedOn w:val="847"/>
    <w:next w:val="847"/>
    <w:link w:val="707"/>
    <w:uiPriority w:val="29"/>
    <w:qFormat/>
    <w:pPr>
      <w:ind w:left="720" w:right="720"/>
    </w:pPr>
    <w:rPr>
      <w:i/>
    </w:rPr>
  </w:style>
  <w:style w:type="character" w:styleId="707">
    <w:name w:val="Quote Char"/>
    <w:link w:val="706"/>
    <w:uiPriority w:val="29"/>
    <w:rPr>
      <w:i/>
    </w:rPr>
  </w:style>
  <w:style w:type="paragraph" w:styleId="708">
    <w:name w:val="Intense Quote"/>
    <w:basedOn w:val="847"/>
    <w:next w:val="847"/>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character" w:styleId="710">
    <w:name w:val="Header Char"/>
    <w:basedOn w:val="853"/>
    <w:link w:val="869"/>
    <w:uiPriority w:val="99"/>
  </w:style>
  <w:style w:type="character" w:styleId="711">
    <w:name w:val="Footer Char"/>
    <w:basedOn w:val="853"/>
    <w:link w:val="868"/>
    <w:uiPriority w:val="99"/>
  </w:style>
  <w:style w:type="paragraph" w:styleId="712">
    <w:name w:val="Caption"/>
    <w:basedOn w:val="847"/>
    <w:next w:val="847"/>
    <w:uiPriority w:val="35"/>
    <w:semiHidden/>
    <w:unhideWhenUsed/>
    <w:qFormat/>
    <w:pPr>
      <w:spacing w:line="276" w:lineRule="auto"/>
    </w:pPr>
    <w:rPr>
      <w:b/>
      <w:bCs/>
      <w:color w:val="4f81bd" w:themeColor="accent1"/>
      <w:sz w:val="18"/>
      <w:szCs w:val="18"/>
    </w:rPr>
  </w:style>
  <w:style w:type="character" w:styleId="713">
    <w:name w:val="Caption Char"/>
    <w:basedOn w:val="712"/>
    <w:link w:val="868"/>
    <w:uiPriority w:val="99"/>
  </w:style>
  <w:style w:type="table" w:styleId="714">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0">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1">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2">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3">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4">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5">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5">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6">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7">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8">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9">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0">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3">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4">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5">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6">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7">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6">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7">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8">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9">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0">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1">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3">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4">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5">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6">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7">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8">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0">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1">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2">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3">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4">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5">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9">
    <w:name w:val="footnote text"/>
    <w:basedOn w:val="847"/>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basedOn w:val="853"/>
    <w:uiPriority w:val="99"/>
    <w:unhideWhenUsed/>
    <w:rPr>
      <w:vertAlign w:val="superscript"/>
    </w:rPr>
  </w:style>
  <w:style w:type="paragraph" w:styleId="842">
    <w:name w:val="endnote text"/>
    <w:basedOn w:val="847"/>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basedOn w:val="853"/>
    <w:uiPriority w:val="99"/>
    <w:semiHidden/>
    <w:unhideWhenUsed/>
    <w:rPr>
      <w:vertAlign w:val="superscript"/>
    </w:rPr>
  </w:style>
  <w:style w:type="paragraph" w:styleId="845">
    <w:name w:val="TOC Heading"/>
    <w:uiPriority w:val="39"/>
    <w:unhideWhenUsed/>
  </w:style>
  <w:style w:type="paragraph" w:styleId="846">
    <w:name w:val="table of figures"/>
    <w:basedOn w:val="847"/>
    <w:next w:val="847"/>
    <w:uiPriority w:val="99"/>
    <w:unhideWhenUsed/>
    <w:pPr>
      <w:spacing w:after="0" w:afterAutospacing="0"/>
    </w:pPr>
  </w:style>
  <w:style w:type="paragraph" w:styleId="847"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48">
    <w:name w:val="Heading 1"/>
    <w:basedOn w:val="847"/>
    <w:next w:val="847"/>
    <w:link w:val="904"/>
    <w:uiPriority w:val="9"/>
    <w:qFormat/>
    <w:pPr>
      <w:keepLines/>
      <w:keepNext/>
      <w:spacing w:before="340" w:after="330" w:line="578" w:lineRule="auto"/>
      <w:outlineLvl w:val="0"/>
    </w:pPr>
    <w:rPr>
      <w:b/>
      <w:bCs/>
      <w:sz w:val="44"/>
      <w:szCs w:val="44"/>
    </w:rPr>
  </w:style>
  <w:style w:type="paragraph" w:styleId="849">
    <w:name w:val="Heading 2"/>
    <w:basedOn w:val="847"/>
    <w:next w:val="847"/>
    <w:link w:val="909"/>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0">
    <w:name w:val="Heading 3"/>
    <w:basedOn w:val="847"/>
    <w:next w:val="847"/>
    <w:link w:val="910"/>
    <w:uiPriority w:val="9"/>
    <w:semiHidden/>
    <w:unhideWhenUsed/>
    <w:qFormat/>
    <w:pPr>
      <w:keepLines/>
      <w:keepNext/>
      <w:spacing w:before="260" w:after="260" w:line="416" w:lineRule="auto"/>
      <w:outlineLvl w:val="2"/>
    </w:pPr>
    <w:rPr>
      <w:b/>
      <w:bCs/>
      <w:sz w:val="32"/>
      <w:szCs w:val="32"/>
    </w:rPr>
  </w:style>
  <w:style w:type="paragraph" w:styleId="851">
    <w:name w:val="Heading 4"/>
    <w:basedOn w:val="847"/>
    <w:next w:val="847"/>
    <w:link w:val="911"/>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52">
    <w:name w:val="Heading 5"/>
    <w:basedOn w:val="847"/>
    <w:next w:val="847"/>
    <w:link w:val="912"/>
    <w:uiPriority w:val="9"/>
    <w:semiHidden/>
    <w:unhideWhenUsed/>
    <w:qFormat/>
    <w:pPr>
      <w:keepLines/>
      <w:keepNext/>
      <w:spacing w:before="280" w:after="290" w:line="376" w:lineRule="auto"/>
      <w:outlineLvl w:val="4"/>
    </w:pPr>
    <w:rPr>
      <w:b/>
      <w:bCs/>
      <w:sz w:val="28"/>
      <w:szCs w:val="28"/>
    </w:rPr>
  </w:style>
  <w:style w:type="character" w:styleId="853" w:default="1">
    <w:name w:val="Default Paragraph Font"/>
    <w:uiPriority w:val="1"/>
    <w:semiHidden/>
    <w:unhideWhenUsed/>
    <w:qFormat/>
  </w:style>
  <w:style w:type="table" w:styleId="854" w:default="1">
    <w:name w:val="Normal Table"/>
    <w:uiPriority w:val="99"/>
    <w:semiHidden/>
    <w:unhideWhenUsed/>
    <w:qFormat/>
    <w:tblPr>
      <w:tblCellMar>
        <w:left w:w="108" w:type="dxa"/>
        <w:top w:w="0" w:type="dxa"/>
        <w:right w:w="108" w:type="dxa"/>
        <w:bottom w:w="0" w:type="dxa"/>
      </w:tblCellMar>
    </w:tblPr>
  </w:style>
  <w:style w:type="paragraph" w:styleId="855">
    <w:name w:val="toc 7"/>
    <w:basedOn w:val="847"/>
    <w:next w:val="847"/>
    <w:uiPriority w:val="39"/>
    <w:unhideWhenUsed/>
    <w:qFormat/>
    <w:pPr>
      <w:ind w:left="1260"/>
      <w:jc w:val="left"/>
    </w:pPr>
    <w:rPr>
      <w:sz w:val="18"/>
      <w:szCs w:val="18"/>
    </w:rPr>
  </w:style>
  <w:style w:type="paragraph" w:styleId="856">
    <w:name w:val="Note Heading"/>
    <w:basedOn w:val="847"/>
    <w:next w:val="847"/>
    <w:link w:val="913"/>
    <w:uiPriority w:val="0"/>
    <w:qFormat/>
    <w:pPr>
      <w:jc w:val="center"/>
    </w:pPr>
    <w:rPr>
      <w:rFonts w:ascii="金梅簡體中黑字形" w:hAnsi="Arial" w:eastAsia="金梅簡體中黑字形" w:cs="Times New Roman"/>
      <w:sz w:val="24"/>
      <w:szCs w:val="24"/>
    </w:rPr>
  </w:style>
  <w:style w:type="paragraph" w:styleId="857">
    <w:name w:val="Normal Indent"/>
    <w:basedOn w:val="847"/>
    <w:uiPriority w:val="99"/>
    <w:semiHidden/>
    <w:unhideWhenUsed/>
    <w:qFormat/>
    <w:pPr>
      <w:ind w:left="720"/>
    </w:pPr>
  </w:style>
  <w:style w:type="paragraph" w:styleId="858">
    <w:name w:val="Document Map"/>
    <w:basedOn w:val="847"/>
    <w:link w:val="914"/>
    <w:uiPriority w:val="99"/>
    <w:qFormat/>
    <w:rPr>
      <w:rFonts w:ascii="宋体"/>
      <w:sz w:val="18"/>
      <w:szCs w:val="18"/>
    </w:rPr>
  </w:style>
  <w:style w:type="paragraph" w:styleId="859">
    <w:name w:val="annotation text"/>
    <w:basedOn w:val="847"/>
    <w:link w:val="891"/>
    <w:uiPriority w:val="99"/>
    <w:unhideWhenUsed/>
    <w:qFormat/>
    <w:pPr>
      <w:jc w:val="left"/>
    </w:pPr>
  </w:style>
  <w:style w:type="paragraph" w:styleId="860">
    <w:name w:val="Body Text 3"/>
    <w:basedOn w:val="847"/>
    <w:link w:val="915"/>
    <w:uiPriority w:val="0"/>
    <w:qFormat/>
    <w:rPr>
      <w:rFonts w:ascii="仿宋_GB2312" w:eastAsia="仿宋_GB2312"/>
      <w:sz w:val="24"/>
    </w:rPr>
  </w:style>
  <w:style w:type="paragraph" w:styleId="861">
    <w:name w:val="Body Text"/>
    <w:basedOn w:val="847"/>
    <w:link w:val="894"/>
    <w:uiPriority w:val="0"/>
    <w:qFormat/>
    <w:pPr>
      <w:spacing w:line="360" w:lineRule="auto"/>
    </w:pPr>
    <w:rPr>
      <w:rFonts w:ascii="楷体_GB2312" w:hAnsi="Times New Roman" w:eastAsia="楷体_GB2312" w:cs="Times New Roman"/>
      <w:bCs/>
      <w:sz w:val="28"/>
      <w:szCs w:val="24"/>
    </w:rPr>
  </w:style>
  <w:style w:type="paragraph" w:styleId="862">
    <w:name w:val="Body Text Indent"/>
    <w:basedOn w:val="847"/>
    <w:link w:val="898"/>
    <w:uiPriority w:val="0"/>
    <w:unhideWhenUsed/>
    <w:qFormat/>
    <w:pPr>
      <w:ind w:left="420"/>
      <w:spacing w:after="120"/>
    </w:pPr>
  </w:style>
  <w:style w:type="paragraph" w:styleId="863">
    <w:name w:val="toc 5"/>
    <w:basedOn w:val="847"/>
    <w:next w:val="847"/>
    <w:uiPriority w:val="39"/>
    <w:unhideWhenUsed/>
    <w:qFormat/>
    <w:pPr>
      <w:ind w:left="840"/>
      <w:jc w:val="left"/>
    </w:pPr>
    <w:rPr>
      <w:sz w:val="18"/>
      <w:szCs w:val="18"/>
    </w:rPr>
  </w:style>
  <w:style w:type="paragraph" w:styleId="864">
    <w:name w:val="toc 3"/>
    <w:basedOn w:val="847"/>
    <w:next w:val="847"/>
    <w:uiPriority w:val="39"/>
    <w:unhideWhenUsed/>
    <w:qFormat/>
    <w:pPr>
      <w:ind w:left="420"/>
      <w:jc w:val="left"/>
    </w:pPr>
    <w:rPr>
      <w:i/>
      <w:iCs/>
      <w:sz w:val="20"/>
      <w:szCs w:val="20"/>
    </w:rPr>
  </w:style>
  <w:style w:type="paragraph" w:styleId="865">
    <w:name w:val="Plain Text"/>
    <w:basedOn w:val="847"/>
    <w:link w:val="916"/>
    <w:uiPriority w:val="0"/>
    <w:qFormat/>
    <w:rPr>
      <w:rFonts w:hAnsi="Courier New" w:cs="Courier New" w:asciiTheme="minorEastAsia"/>
    </w:rPr>
  </w:style>
  <w:style w:type="paragraph" w:styleId="866">
    <w:name w:val="toc 8"/>
    <w:basedOn w:val="847"/>
    <w:next w:val="847"/>
    <w:uiPriority w:val="39"/>
    <w:unhideWhenUsed/>
    <w:qFormat/>
    <w:pPr>
      <w:ind w:left="1470"/>
      <w:jc w:val="left"/>
    </w:pPr>
    <w:rPr>
      <w:sz w:val="18"/>
      <w:szCs w:val="18"/>
    </w:rPr>
  </w:style>
  <w:style w:type="paragraph" w:styleId="867">
    <w:name w:val="Balloon Text"/>
    <w:basedOn w:val="847"/>
    <w:link w:val="889"/>
    <w:uiPriority w:val="99"/>
    <w:semiHidden/>
    <w:unhideWhenUsed/>
    <w:qFormat/>
    <w:rPr>
      <w:sz w:val="18"/>
      <w:szCs w:val="18"/>
    </w:rPr>
  </w:style>
  <w:style w:type="paragraph" w:styleId="868">
    <w:name w:val="Footer"/>
    <w:basedOn w:val="847"/>
    <w:link w:val="887"/>
    <w:uiPriority w:val="99"/>
    <w:unhideWhenUsed/>
    <w:qFormat/>
    <w:pPr>
      <w:jc w:val="left"/>
      <w:tabs>
        <w:tab w:val="center" w:pos="4153" w:leader="none"/>
        <w:tab w:val="right" w:pos="8306" w:leader="none"/>
      </w:tabs>
    </w:pPr>
    <w:rPr>
      <w:sz w:val="18"/>
      <w:szCs w:val="18"/>
    </w:rPr>
  </w:style>
  <w:style w:type="paragraph" w:styleId="869">
    <w:name w:val="Header"/>
    <w:basedOn w:val="847"/>
    <w:link w:val="88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70">
    <w:name w:val="toc 1"/>
    <w:basedOn w:val="847"/>
    <w:next w:val="847"/>
    <w:uiPriority w:val="39"/>
    <w:unhideWhenUsed/>
    <w:qFormat/>
    <w:pPr>
      <w:jc w:val="left"/>
      <w:spacing w:before="120" w:after="120"/>
    </w:pPr>
    <w:rPr>
      <w:b/>
      <w:bCs/>
      <w:caps/>
      <w:sz w:val="20"/>
      <w:szCs w:val="20"/>
    </w:rPr>
  </w:style>
  <w:style w:type="paragraph" w:styleId="871">
    <w:name w:val="toc 4"/>
    <w:basedOn w:val="847"/>
    <w:next w:val="847"/>
    <w:uiPriority w:val="39"/>
    <w:unhideWhenUsed/>
    <w:qFormat/>
    <w:pPr>
      <w:ind w:left="630"/>
      <w:jc w:val="left"/>
    </w:pPr>
    <w:rPr>
      <w:sz w:val="18"/>
      <w:szCs w:val="18"/>
    </w:rPr>
  </w:style>
  <w:style w:type="paragraph" w:styleId="872">
    <w:name w:val="toc 6"/>
    <w:basedOn w:val="847"/>
    <w:next w:val="847"/>
    <w:uiPriority w:val="39"/>
    <w:unhideWhenUsed/>
    <w:qFormat/>
    <w:pPr>
      <w:ind w:left="1050"/>
      <w:jc w:val="left"/>
    </w:pPr>
    <w:rPr>
      <w:sz w:val="18"/>
      <w:szCs w:val="18"/>
    </w:rPr>
  </w:style>
  <w:style w:type="paragraph" w:styleId="873">
    <w:name w:val="toc 2"/>
    <w:basedOn w:val="847"/>
    <w:next w:val="847"/>
    <w:uiPriority w:val="39"/>
    <w:unhideWhenUsed/>
    <w:qFormat/>
    <w:pPr>
      <w:ind w:left="210"/>
      <w:jc w:val="left"/>
    </w:pPr>
    <w:rPr>
      <w:smallCaps/>
      <w:sz w:val="20"/>
      <w:szCs w:val="20"/>
    </w:rPr>
  </w:style>
  <w:style w:type="paragraph" w:styleId="874">
    <w:name w:val="toc 9"/>
    <w:basedOn w:val="847"/>
    <w:next w:val="847"/>
    <w:uiPriority w:val="39"/>
    <w:unhideWhenUsed/>
    <w:qFormat/>
    <w:pPr>
      <w:ind w:left="1680"/>
      <w:jc w:val="left"/>
    </w:pPr>
    <w:rPr>
      <w:sz w:val="18"/>
      <w:szCs w:val="18"/>
    </w:rPr>
  </w:style>
  <w:style w:type="paragraph" w:styleId="875">
    <w:name w:val="Normal (Web)"/>
    <w:basedOn w:val="847"/>
    <w:uiPriority w:val="0"/>
    <w:qFormat/>
    <w:pPr>
      <w:jc w:val="left"/>
      <w:spacing w:before="100" w:beforeAutospacing="1" w:after="100" w:afterAutospacing="1"/>
      <w:widowControl/>
    </w:pPr>
    <w:rPr>
      <w:rFonts w:ascii="宋体" w:hAnsi="宋体" w:cs="宋体"/>
      <w:sz w:val="24"/>
      <w:szCs w:val="24"/>
    </w:rPr>
  </w:style>
  <w:style w:type="paragraph" w:styleId="876">
    <w:name w:val="Title"/>
    <w:basedOn w:val="847"/>
    <w:next w:val="847"/>
    <w:link w:val="885"/>
    <w:uiPriority w:val="10"/>
    <w:qFormat/>
    <w:pPr>
      <w:jc w:val="center"/>
      <w:spacing w:line="400" w:lineRule="exact"/>
      <w:outlineLvl w:val="0"/>
    </w:pPr>
    <w:rPr>
      <w:rFonts w:eastAsia="黑体" w:asciiTheme="majorHAnsi" w:hAnsiTheme="majorHAnsi" w:cstheme="majorBidi"/>
      <w:bCs/>
      <w:sz w:val="30"/>
      <w:szCs w:val="32"/>
    </w:rPr>
  </w:style>
  <w:style w:type="paragraph" w:styleId="877">
    <w:name w:val="annotation subject"/>
    <w:basedOn w:val="859"/>
    <w:next w:val="859"/>
    <w:link w:val="892"/>
    <w:uiPriority w:val="99"/>
    <w:semiHidden/>
    <w:unhideWhenUsed/>
    <w:qFormat/>
    <w:rPr>
      <w:b/>
      <w:bCs/>
    </w:rPr>
  </w:style>
  <w:style w:type="paragraph" w:styleId="878">
    <w:name w:val="Body Text First Indent"/>
    <w:basedOn w:val="861"/>
    <w:link w:val="917"/>
    <w:uiPriority w:val="0"/>
    <w:qFormat/>
    <w:pPr>
      <w:ind w:firstLine="420"/>
      <w:spacing w:after="120" w:line="240" w:lineRule="auto"/>
    </w:pPr>
    <w:rPr>
      <w:rFonts w:ascii="宋体" w:hAnsi="宋体" w:eastAsia="宋体" w:cstheme="minorBidi"/>
      <w:sz w:val="24"/>
      <w:szCs w:val="22"/>
    </w:rPr>
  </w:style>
  <w:style w:type="paragraph" w:styleId="879">
    <w:name w:val="Body Text First Indent 2"/>
    <w:basedOn w:val="862"/>
    <w:link w:val="908"/>
    <w:uiPriority w:val="0"/>
    <w:unhideWhenUsed/>
    <w:qFormat/>
    <w:pPr>
      <w:ind w:firstLine="420"/>
    </w:pPr>
  </w:style>
  <w:style w:type="table" w:styleId="880">
    <w:name w:val="Table Grid"/>
    <w:basedOn w:val="8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1">
    <w:name w:val="Strong"/>
    <w:basedOn w:val="853"/>
    <w:uiPriority w:val="22"/>
    <w:qFormat/>
    <w:rPr>
      <w:b/>
      <w:bCs/>
    </w:rPr>
  </w:style>
  <w:style w:type="character" w:styleId="882">
    <w:name w:val="page number"/>
    <w:uiPriority w:val="0"/>
    <w:qFormat/>
  </w:style>
  <w:style w:type="character" w:styleId="883">
    <w:name w:val="Hyperlink"/>
    <w:basedOn w:val="853"/>
    <w:uiPriority w:val="99"/>
    <w:unhideWhenUsed/>
    <w:qFormat/>
    <w:rPr>
      <w:color w:val="0000ff" w:themeColor="hyperlink"/>
      <w:u w:val="single"/>
      <w14:textFill>
        <w14:solidFill>
          <w14:schemeClr w14:val="hlink"/>
        </w14:solidFill>
      </w14:textFill>
    </w:rPr>
  </w:style>
  <w:style w:type="character" w:styleId="884">
    <w:name w:val="annotation reference"/>
    <w:basedOn w:val="853"/>
    <w:uiPriority w:val="99"/>
    <w:semiHidden/>
    <w:unhideWhenUsed/>
    <w:qFormat/>
    <w:rPr>
      <w:sz w:val="21"/>
      <w:szCs w:val="21"/>
    </w:rPr>
  </w:style>
  <w:style w:type="character" w:styleId="885" w:customStyle="1">
    <w:name w:val="标题 字符"/>
    <w:basedOn w:val="853"/>
    <w:link w:val="876"/>
    <w:uiPriority w:val="10"/>
    <w:qFormat/>
    <w:rPr>
      <w:rFonts w:eastAsia="黑体" w:asciiTheme="majorHAnsi" w:hAnsiTheme="majorHAnsi" w:cstheme="majorBidi"/>
      <w:bCs/>
      <w:sz w:val="30"/>
      <w:szCs w:val="32"/>
    </w:rPr>
  </w:style>
  <w:style w:type="character" w:styleId="886" w:customStyle="1">
    <w:name w:val="页眉 字符"/>
    <w:basedOn w:val="853"/>
    <w:link w:val="869"/>
    <w:uiPriority w:val="0"/>
    <w:qFormat/>
    <w:rPr>
      <w:sz w:val="18"/>
      <w:szCs w:val="18"/>
    </w:rPr>
  </w:style>
  <w:style w:type="character" w:styleId="887" w:customStyle="1">
    <w:name w:val="页脚 字符"/>
    <w:basedOn w:val="853"/>
    <w:link w:val="868"/>
    <w:uiPriority w:val="99"/>
    <w:qFormat/>
    <w:rPr>
      <w:sz w:val="18"/>
      <w:szCs w:val="18"/>
    </w:rPr>
  </w:style>
  <w:style w:type="character" w:styleId="888" w:customStyle="1">
    <w:name w:val="font2800"/>
    <w:basedOn w:val="853"/>
    <w:uiPriority w:val="0"/>
    <w:qFormat/>
  </w:style>
  <w:style w:type="character" w:styleId="889" w:customStyle="1">
    <w:name w:val="批注框文本 字符"/>
    <w:basedOn w:val="853"/>
    <w:link w:val="867"/>
    <w:uiPriority w:val="99"/>
    <w:semiHidden/>
    <w:qFormat/>
    <w:rPr>
      <w:sz w:val="18"/>
      <w:szCs w:val="18"/>
    </w:rPr>
  </w:style>
  <w:style w:type="table" w:styleId="890" w:customStyle="1">
    <w:name w:val="网格型1"/>
    <w:basedOn w:val="854"/>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1" w:customStyle="1">
    <w:name w:val="批注文字 字符"/>
    <w:basedOn w:val="853"/>
    <w:link w:val="859"/>
    <w:uiPriority w:val="99"/>
    <w:qFormat/>
  </w:style>
  <w:style w:type="character" w:styleId="892" w:customStyle="1">
    <w:name w:val="批注主题 字符"/>
    <w:basedOn w:val="891"/>
    <w:link w:val="877"/>
    <w:uiPriority w:val="99"/>
    <w:semiHidden/>
    <w:qFormat/>
    <w:rPr>
      <w:b/>
      <w:bCs/>
    </w:rPr>
  </w:style>
  <w:style w:type="character" w:styleId="893" w:customStyle="1">
    <w:name w:val="正文文本 Char"/>
    <w:basedOn w:val="853"/>
    <w:uiPriority w:val="0"/>
    <w:qFormat/>
  </w:style>
  <w:style w:type="character" w:styleId="894" w:customStyle="1">
    <w:name w:val="正文文本 字符"/>
    <w:link w:val="861"/>
    <w:uiPriority w:val="0"/>
    <w:qFormat/>
    <w:rPr>
      <w:rFonts w:ascii="楷体_GB2312" w:hAnsi="Times New Roman" w:eastAsia="楷体_GB2312" w:cs="Times New Roman"/>
      <w:bCs/>
      <w:sz w:val="28"/>
      <w:szCs w:val="24"/>
    </w:rPr>
  </w:style>
  <w:style w:type="paragraph" w:styleId="895" w:customStyle="1">
    <w:name w:val="Table Paragraph"/>
    <w:basedOn w:val="847"/>
    <w:uiPriority w:val="1"/>
    <w:qFormat/>
    <w:pPr>
      <w:ind w:firstLine="260"/>
      <w:jc w:val="left"/>
      <w:spacing w:line="360" w:lineRule="auto"/>
    </w:pPr>
    <w:rPr>
      <w:rFonts w:ascii="Calibri" w:hAnsi="Calibri" w:eastAsia="仿宋" w:cs="Times New Roman"/>
      <w:sz w:val="28"/>
      <w:lang w:eastAsia="en-US"/>
    </w:rPr>
  </w:style>
  <w:style w:type="paragraph" w:styleId="896">
    <w:name w:val="No Spacing"/>
    <w:link w:val="897"/>
    <w:uiPriority w:val="1"/>
    <w:qFormat/>
    <w:pPr>
      <w:jc w:val="both"/>
      <w:spacing w:line="360" w:lineRule="auto"/>
      <w:widowControl w:val="off"/>
    </w:pPr>
    <w:rPr>
      <w:rFonts w:ascii="宋体" w:hAnsi="宋体" w:eastAsiaTheme="minorEastAsia" w:cstheme="minorBidi"/>
      <w:sz w:val="24"/>
      <w:szCs w:val="22"/>
      <w:lang w:val="en-US" w:eastAsia="zh-CN" w:bidi="ar-SA"/>
    </w:rPr>
  </w:style>
  <w:style w:type="character" w:styleId="897" w:customStyle="1">
    <w:name w:val="无间隔 字符"/>
    <w:link w:val="896"/>
    <w:uiPriority w:val="1"/>
    <w:qFormat/>
    <w:rPr>
      <w:rFonts w:ascii="宋体" w:hAnsi="宋体"/>
      <w:sz w:val="24"/>
    </w:rPr>
  </w:style>
  <w:style w:type="character" w:styleId="898" w:customStyle="1">
    <w:name w:val="正文文本缩进 字符"/>
    <w:basedOn w:val="853"/>
    <w:link w:val="862"/>
    <w:uiPriority w:val="0"/>
    <w:qFormat/>
  </w:style>
  <w:style w:type="table" w:styleId="899" w:customStyle="1">
    <w:name w:val="网格型2"/>
    <w:basedOn w:val="8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0" w:customStyle="1">
    <w:name w:val="修订1"/>
    <w:hidden/>
    <w:uiPriority w:val="99"/>
    <w:unhideWhenUsed/>
    <w:qFormat/>
    <w:rPr>
      <w:rFonts w:asciiTheme="minorHAnsi" w:hAnsiTheme="minorHAnsi" w:eastAsiaTheme="minorEastAsia" w:cstheme="minorBidi"/>
      <w:sz w:val="21"/>
      <w:szCs w:val="22"/>
      <w:lang w:val="en-US" w:eastAsia="zh-CN" w:bidi="ar-SA"/>
    </w:rPr>
  </w:style>
  <w:style w:type="table" w:styleId="901" w:customStyle="1">
    <w:name w:val="网格型3"/>
    <w:basedOn w:val="854"/>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2" w:customStyle="1">
    <w:name w:val="网格型4"/>
    <w:basedOn w:val="85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3" w:customStyle="1">
    <w:name w:val="Table Normal"/>
    <w:uiPriority w:val="0"/>
    <w:semiHidden/>
    <w:unhideWhenUsed/>
    <w:qFormat/>
    <w:tblPr>
      <w:tblCellMar>
        <w:left w:w="0" w:type="dxa"/>
        <w:top w:w="0" w:type="dxa"/>
        <w:right w:w="0" w:type="dxa"/>
        <w:bottom w:w="0" w:type="dxa"/>
      </w:tblCellMar>
    </w:tblPr>
  </w:style>
  <w:style w:type="character" w:styleId="904" w:customStyle="1">
    <w:name w:val="标题 1 字符"/>
    <w:basedOn w:val="853"/>
    <w:link w:val="848"/>
    <w:uiPriority w:val="9"/>
    <w:qFormat/>
    <w:rPr>
      <w:b/>
      <w:bCs/>
      <w:sz w:val="44"/>
      <w:szCs w:val="44"/>
    </w:rPr>
  </w:style>
  <w:style w:type="paragraph" w:styleId="905" w:customStyle="1">
    <w:name w:val="TOC 标题1"/>
    <w:basedOn w:val="848"/>
    <w:next w:val="847"/>
    <w:uiPriority w:val="39"/>
    <w:semiHidden/>
    <w:unhideWhenUsed/>
    <w:qFormat/>
    <w:pPr>
      <w:outlineLvl w:val="9"/>
    </w:pPr>
  </w:style>
  <w:style w:type="character" w:styleId="906" w:customStyle="1">
    <w:name w:val="font21"/>
    <w:basedOn w:val="853"/>
    <w:uiPriority w:val="0"/>
    <w:qFormat/>
    <w:rPr>
      <w:rFonts w:ascii="Calibri" w:hAnsi="Calibri" w:cs="Calibri"/>
      <w:color w:val="000000"/>
      <w:sz w:val="21"/>
      <w:szCs w:val="21"/>
      <w:u w:val="none"/>
    </w:rPr>
  </w:style>
  <w:style w:type="character" w:styleId="907" w:customStyle="1">
    <w:name w:val="font11"/>
    <w:basedOn w:val="853"/>
    <w:uiPriority w:val="0"/>
    <w:qFormat/>
    <w:rPr>
      <w:rFonts w:hint="eastAsia" w:ascii="宋体" w:hAnsi="宋体" w:eastAsia="宋体" w:cs="宋体"/>
      <w:color w:val="000000"/>
      <w:sz w:val="21"/>
      <w:szCs w:val="21"/>
      <w:u w:val="none"/>
    </w:rPr>
  </w:style>
  <w:style w:type="character" w:styleId="908" w:customStyle="1">
    <w:name w:val="正文文本首行缩进 2 字符"/>
    <w:basedOn w:val="898"/>
    <w:link w:val="879"/>
    <w:uiPriority w:val="0"/>
    <w:qFormat/>
  </w:style>
  <w:style w:type="character" w:styleId="909" w:customStyle="1">
    <w:name w:val="标题 2 字符"/>
    <w:basedOn w:val="853"/>
    <w:link w:val="849"/>
    <w:uiPriority w:val="9"/>
    <w:semiHidden/>
    <w:qFormat/>
    <w:rPr>
      <w:rFonts w:asciiTheme="majorHAnsi" w:hAnsiTheme="majorHAnsi" w:eastAsiaTheme="majorEastAsia" w:cstheme="majorBidi"/>
      <w:b/>
      <w:bCs/>
      <w:sz w:val="32"/>
      <w:szCs w:val="32"/>
    </w:rPr>
  </w:style>
  <w:style w:type="character" w:styleId="910" w:customStyle="1">
    <w:name w:val="标题 3 字符"/>
    <w:basedOn w:val="853"/>
    <w:link w:val="850"/>
    <w:uiPriority w:val="9"/>
    <w:semiHidden/>
    <w:qFormat/>
    <w:rPr>
      <w:b/>
      <w:bCs/>
      <w:sz w:val="32"/>
      <w:szCs w:val="32"/>
    </w:rPr>
  </w:style>
  <w:style w:type="character" w:styleId="911" w:customStyle="1">
    <w:name w:val="标题 4 字符"/>
    <w:basedOn w:val="853"/>
    <w:link w:val="851"/>
    <w:uiPriority w:val="9"/>
    <w:semiHidden/>
    <w:qFormat/>
    <w:rPr>
      <w:rFonts w:asciiTheme="majorHAnsi" w:hAnsiTheme="majorHAnsi" w:eastAsiaTheme="majorEastAsia" w:cstheme="majorBidi"/>
      <w:b/>
      <w:bCs/>
      <w:sz w:val="28"/>
      <w:szCs w:val="28"/>
    </w:rPr>
  </w:style>
  <w:style w:type="character" w:styleId="912" w:customStyle="1">
    <w:name w:val="标题 5 字符"/>
    <w:basedOn w:val="853"/>
    <w:link w:val="852"/>
    <w:uiPriority w:val="9"/>
    <w:semiHidden/>
    <w:qFormat/>
    <w:rPr>
      <w:b/>
      <w:bCs/>
      <w:sz w:val="28"/>
      <w:szCs w:val="28"/>
    </w:rPr>
  </w:style>
  <w:style w:type="character" w:styleId="913" w:customStyle="1">
    <w:name w:val="注释标题 字符"/>
    <w:basedOn w:val="853"/>
    <w:link w:val="856"/>
    <w:uiPriority w:val="0"/>
    <w:qFormat/>
    <w:rPr>
      <w:rFonts w:ascii="金梅簡體中黑字形" w:hAnsi="Arial" w:eastAsia="金梅簡體中黑字形" w:cs="Times New Roman"/>
      <w:sz w:val="24"/>
      <w:szCs w:val="24"/>
    </w:rPr>
  </w:style>
  <w:style w:type="character" w:styleId="914" w:customStyle="1">
    <w:name w:val="文档结构图 字符"/>
    <w:basedOn w:val="853"/>
    <w:link w:val="858"/>
    <w:uiPriority w:val="99"/>
    <w:qFormat/>
    <w:rPr>
      <w:rFonts w:ascii="宋体"/>
      <w:sz w:val="18"/>
      <w:szCs w:val="18"/>
    </w:rPr>
  </w:style>
  <w:style w:type="character" w:styleId="915" w:customStyle="1">
    <w:name w:val="正文文本 3 字符"/>
    <w:basedOn w:val="853"/>
    <w:link w:val="860"/>
    <w:uiPriority w:val="0"/>
    <w:qFormat/>
    <w:rPr>
      <w:rFonts w:ascii="仿宋_GB2312" w:eastAsia="仿宋_GB2312"/>
      <w:sz w:val="24"/>
    </w:rPr>
  </w:style>
  <w:style w:type="character" w:styleId="916" w:customStyle="1">
    <w:name w:val="纯文本 字符"/>
    <w:basedOn w:val="853"/>
    <w:link w:val="865"/>
    <w:uiPriority w:val="0"/>
    <w:qFormat/>
    <w:rPr>
      <w:rFonts w:hAnsi="Courier New" w:cs="Courier New" w:asciiTheme="minorEastAsia"/>
    </w:rPr>
  </w:style>
  <w:style w:type="character" w:styleId="917" w:customStyle="1">
    <w:name w:val="正文文本首行缩进 字符"/>
    <w:basedOn w:val="894"/>
    <w:link w:val="878"/>
    <w:uiPriority w:val="0"/>
    <w:qFormat/>
    <w:rPr>
      <w:rFonts w:ascii="宋体" w:hAnsi="宋体" w:eastAsia="宋体" w:cs="Times New Roman"/>
      <w:sz w:val="24"/>
      <w:szCs w:val="24"/>
    </w:rPr>
  </w:style>
  <w:style w:type="table" w:styleId="918" w:customStyle="1">
    <w:name w:val="网格型5"/>
    <w:basedOn w:val="8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9" w:customStyle="1">
    <w:name w:val="正文首行缩进 21"/>
    <w:basedOn w:val="862"/>
    <w:next w:val="861"/>
    <w:uiPriority w:val="0"/>
    <w:qFormat/>
    <w:pPr>
      <w:ind w:firstLine="210"/>
    </w:pPr>
    <w:rPr>
      <w:szCs w:val="21"/>
    </w:rPr>
  </w:style>
  <w:style w:type="paragraph" w:styleId="920" w:customStyle="1">
    <w:name w:val="标题 21"/>
    <w:basedOn w:val="847"/>
    <w:next w:val="847"/>
    <w:uiPriority w:val="9"/>
    <w:semiHidden/>
    <w:unhideWhenUsed/>
    <w:qFormat/>
    <w:pPr>
      <w:keepLines/>
      <w:keepNext/>
      <w:spacing w:before="260" w:after="260" w:line="416" w:lineRule="auto"/>
      <w:outlineLvl w:val="1"/>
    </w:pPr>
    <w:rPr>
      <w:rFonts w:ascii="Calibri Light" w:hAnsi="Calibri Light" w:eastAsia="宋体" w:cs="Times New Roman"/>
      <w:b/>
      <w:bCs/>
      <w:sz w:val="32"/>
      <w:szCs w:val="32"/>
    </w:rPr>
  </w:style>
  <w:style w:type="table" w:styleId="921" w:customStyle="1">
    <w:name w:val="网格型11"/>
    <w:basedOn w:val="85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22" w:customStyle="1">
    <w:name w:val="BodyText1I2"/>
    <w:basedOn w:val="847"/>
    <w:next w:val="847"/>
    <w:uiPriority w:val="99"/>
    <w:qFormat/>
    <w:pPr>
      <w:ind w:left="420" w:firstLine="420"/>
      <w:spacing w:after="120"/>
    </w:pPr>
    <w:rPr>
      <w:rFonts w:ascii="楷体_GB2312" w:hAnsi="Times New Roman" w:eastAsia="楷体_GB2312" w:cs="Times New Roman"/>
      <w:szCs w:val="24"/>
    </w:rPr>
  </w:style>
  <w:style w:type="paragraph" w:styleId="923">
    <w:name w:val="List Paragraph"/>
    <w:basedOn w:val="847"/>
    <w:uiPriority w:val="34"/>
    <w:qFormat/>
    <w:pPr>
      <w:ind w:firstLine="420"/>
    </w:pPr>
  </w:style>
  <w:style w:type="paragraph" w:styleId="924" w:customStyle="1">
    <w:name w:val="正文无缩进"/>
    <w:basedOn w:val="847"/>
    <w:uiPriority w:val="0"/>
    <w:qFormat/>
    <w:pPr>
      <w:jc w:val="left"/>
      <w:spacing w:line="300" w:lineRule="auto"/>
      <w:widowControl/>
    </w:pPr>
    <w:rPr>
      <w:rFonts w:eastAsia="楷体_GB2312"/>
      <w:sz w:val="24"/>
    </w:rPr>
  </w:style>
  <w:style w:type="character" w:styleId="925" w:customStyle="1">
    <w:name w:val="NormalCharacter"/>
    <w:uiPriority w:val="0"/>
    <w:qFormat/>
    <w:rPr>
      <w:rFonts w:ascii="Times New Roman" w:hAnsi="Times New Roman" w:eastAsia="宋体"/>
    </w:rPr>
  </w:style>
  <w:style w:type="table" w:styleId="926" w:customStyle="1">
    <w:name w:val="网格型21"/>
    <w:basedOn w:val="85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27" w:customStyle="1">
    <w:name w:val="Default"/>
    <w:uiPriority w:val="99"/>
    <w:qFormat/>
    <w:pPr>
      <w:ind w:firstLine="1040"/>
      <w:jc w:val="both"/>
      <w:spacing w:line="360" w:lineRule="auto"/>
      <w:widowControl w:val="off"/>
    </w:pPr>
    <w:rPr>
      <w:rFonts w:eastAsia="Songti SC" w:cs="楷体à.ā" w:asciiTheme="minorEastAsia" w:hAnsiTheme="minorEastAsia"/>
      <w:color w:val="000000"/>
      <w:sz w:val="24"/>
      <w:szCs w:val="24"/>
      <w:lang w:val="en-US" w:eastAsia="zh-CN" w:bidi="ar-SA"/>
    </w:rPr>
  </w:style>
  <w:style w:type="paragraph" w:styleId="928" w:customStyle="1">
    <w:name w:val="正文文本首行缩进1"/>
    <w:basedOn w:val="861"/>
    <w:next w:val="929"/>
    <w:uiPriority w:val="0"/>
    <w:qFormat/>
    <w:pPr>
      <w:ind w:firstLine="420"/>
      <w:spacing w:after="120"/>
    </w:pPr>
    <w:rPr>
      <w:rFonts w:eastAsia="宋体"/>
    </w:rPr>
  </w:style>
  <w:style w:type="paragraph" w:styleId="929" w:customStyle="1">
    <w:name w:val="正文文本首行缩进 21"/>
    <w:basedOn w:val="862"/>
    <w:uiPriority w:val="0"/>
    <w:qFormat/>
    <w:pPr>
      <w:ind w:firstLine="420"/>
      <w:widowControl/>
    </w:pPr>
    <w:rPr>
      <w:rFonts w:ascii="仿宋_GB2312" w:eastAsia="仿宋_GB2312"/>
      <w:color w:val="ff6600"/>
    </w:rPr>
  </w:style>
  <w:style w:type="character" w:styleId="930" w:customStyle="1">
    <w:name w:val="font41"/>
    <w:basedOn w:val="853"/>
    <w:uiPriority w:val="0"/>
    <w:qFormat/>
    <w:rPr>
      <w:rFonts w:hint="eastAsia" w:ascii="宋体" w:hAnsi="宋体" w:eastAsia="宋体" w:cs="宋体"/>
      <w:color w:val="000000"/>
      <w:sz w:val="24"/>
      <w:szCs w:val="24"/>
      <w:u w:val="none"/>
    </w:rPr>
  </w:style>
  <w:style w:type="character" w:styleId="931" w:customStyle="1">
    <w:name w:val="font31"/>
    <w:uiPriority w:val="0"/>
    <w:qFormat/>
    <w:rPr>
      <w:rFonts w:hint="default" w:ascii="Times New Roman" w:hAnsi="Times New Roman" w:cs="Times New Roman"/>
      <w:color w:val="000000"/>
      <w:sz w:val="24"/>
      <w:szCs w:val="24"/>
      <w:u w:val="none"/>
    </w:rPr>
  </w:style>
  <w:style w:type="paragraph" w:styleId="932" w:customStyle="1">
    <w:name w:val="msolistparagraph"/>
    <w:basedOn w:val="847"/>
    <w:uiPriority w:val="0"/>
    <w:qFormat/>
    <w:pPr>
      <w:ind w:firstLine="420"/>
    </w:pPr>
    <w:rPr>
      <w:rFonts w:ascii="Calibri" w:hAnsi="Calibri" w:eastAsia="宋体" w:cs="Times New Roman"/>
    </w:rPr>
  </w:style>
  <w:style w:type="paragraph" w:styleId="933" w:customStyle="1">
    <w:name w:val="表格文本"/>
    <w:uiPriority w:val="0"/>
    <w:qFormat/>
    <w:pPr>
      <w:jc w:val="center"/>
    </w:pPr>
    <w:rPr>
      <w:rFonts w:ascii="宋体" w:hAnsi="宋体" w:eastAsia="宋体" w:cs="Times New Roman (标题 CS)"/>
      <w:color w:val="000000" w:themeColor="text1"/>
      <w:sz w:val="24"/>
      <w:szCs w:val="40"/>
      <w:lang w:val="en-US" w:eastAsia="zh-CN" w:bidi="ar-SA"/>
      <w14:textFill>
        <w14:solidFill>
          <w14:schemeClr w14:val="tx1"/>
        </w14:solidFill>
      </w14:textFill>
    </w:rPr>
  </w:style>
  <w:style w:type="paragraph" w:styleId="934" w:customStyle="1">
    <w:name w:val="表格文字"/>
    <w:basedOn w:val="935"/>
    <w:next w:val="861"/>
    <w:uiPriority w:val="0"/>
    <w:qFormat/>
  </w:style>
  <w:style w:type="paragraph" w:styleId="935" w:customStyle="1">
    <w:name w:val="表格文字（两侧对齐）"/>
    <w:basedOn w:val="847"/>
    <w:uiPriority w:val="0"/>
    <w:qFormat/>
    <w:rPr>
      <w:rFonts w:ascii="Calibri" w:hAnsi="Calibri"/>
      <w:sz w:val="20"/>
    </w:rPr>
  </w:style>
  <w:style w:type="paragraph" w:styleId="936" w:customStyle="1">
    <w:name w:val="样式 样式 小四 行距: 1.5 倍行距 + 首行缩进:  3 字符"/>
    <w:basedOn w:val="847"/>
    <w:uiPriority w:val="0"/>
    <w:qFormat/>
    <w:pPr>
      <w:ind w:firstLine="420"/>
    </w:pPr>
    <w:rPr>
      <w:rFonts w:ascii="宋体" w:hAnsi="宋体" w:eastAsia="宋体" w:cs="宋体"/>
      <w:szCs w:val="21"/>
    </w:rPr>
  </w:style>
  <w:style w:type="paragraph" w:styleId="937" w:customStyle="1">
    <w:name w:val="列出段落1"/>
    <w:basedOn w:val="847"/>
    <w:uiPriority w:val="34"/>
    <w:qFormat/>
    <w:pPr>
      <w:ind w:firstLine="420"/>
      <w:spacing w:line="360" w:lineRule="auto"/>
    </w:pPr>
    <w:rPr>
      <w:rFonts w:ascii="Times New Roman" w:hAnsi="Times New Roman" w:eastAsia="宋体" w:cs="Times New Roman"/>
      <w:sz w:val="24"/>
      <w:szCs w:val="24"/>
    </w:rPr>
  </w:style>
  <w:style w:type="paragraph" w:styleId="938" w:customStyle="1">
    <w:name w:val="投标正文"/>
    <w:basedOn w:val="847"/>
    <w:uiPriority w:val="0"/>
    <w:qFormat/>
    <w:pPr>
      <w:ind w:left="567"/>
      <w:spacing w:line="360" w:lineRule="auto"/>
    </w:pPr>
    <w:rPr>
      <w:rFonts w:ascii="Times New Roman" w:hAnsi="Times New Roman"/>
      <w:sz w:val="24"/>
    </w:rPr>
  </w:style>
  <w:style w:type="table" w:styleId="939" w:customStyle="1">
    <w:name w:val="网格型6"/>
    <w:basedOn w:val="8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0" w:customStyle="1">
    <w:name w:val="网格型22"/>
    <w:basedOn w:val="85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1" w:customStyle="1">
    <w:name w:val="网格型7"/>
    <w:basedOn w:val="8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42" w:customStyle="1">
    <w:name w:val="修订11"/>
    <w:hidden/>
    <w:uiPriority w:val="99"/>
    <w:unhideWhenUsed/>
    <w:qFormat/>
    <w:rPr>
      <w:rFonts w:asciiTheme="minorHAnsi" w:hAnsiTheme="minorHAnsi" w:eastAsiaTheme="minorEastAsia" w:cstheme="minorBidi"/>
      <w:sz w:val="21"/>
      <w:szCs w:val="22"/>
      <w:lang w:val="en-US" w:eastAsia="zh-CN" w:bidi="ar-SA"/>
    </w:rPr>
  </w:style>
  <w:style w:type="paragraph" w:styleId="943" w:customStyle="1">
    <w:name w:val="TOC 标题11"/>
    <w:basedOn w:val="848"/>
    <w:next w:val="847"/>
    <w:uiPriority w:val="39"/>
    <w:semiHidden/>
    <w:unhideWhenUsed/>
    <w:qFormat/>
    <w:pPr>
      <w:outlineLvl w:val="9"/>
    </w:pPr>
  </w:style>
  <w:style w:type="table" w:styleId="944" w:customStyle="1">
    <w:name w:val="网格型8"/>
    <w:basedOn w:val="8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5" w:customStyle="1">
    <w:name w:val="网格型9"/>
    <w:basedOn w:val="8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6" w:customStyle="1">
    <w:name w:val="网格型12"/>
    <w:basedOn w:val="854"/>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7" w:customStyle="1">
    <w:name w:val="网格型23"/>
    <w:basedOn w:val="8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8" w:customStyle="1">
    <w:name w:val="网格型31"/>
    <w:basedOn w:val="854"/>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9" w:customStyle="1">
    <w:name w:val="网格型41"/>
    <w:basedOn w:val="85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0" w:customStyle="1">
    <w:name w:val="Table Normal1"/>
    <w:uiPriority w:val="0"/>
    <w:semiHidden/>
    <w:unhideWhenUsed/>
    <w:qFormat/>
    <w:tblPr>
      <w:tblCellMar>
        <w:left w:w="0" w:type="dxa"/>
        <w:top w:w="0" w:type="dxa"/>
        <w:right w:w="0" w:type="dxa"/>
        <w:bottom w:w="0" w:type="dxa"/>
      </w:tblCellMar>
    </w:tblPr>
  </w:style>
  <w:style w:type="table" w:styleId="951" w:customStyle="1">
    <w:name w:val="网格型51"/>
    <w:basedOn w:val="8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2" w:customStyle="1">
    <w:name w:val="网格型111"/>
    <w:basedOn w:val="85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3" w:customStyle="1">
    <w:name w:val="网格型211"/>
    <w:basedOn w:val="85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4" w:customStyle="1">
    <w:name w:val="网格型61"/>
    <w:basedOn w:val="8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5" w:customStyle="1">
    <w:name w:val="网格型221"/>
    <w:basedOn w:val="85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6" w:customStyle="1">
    <w:name w:val="网格型71"/>
    <w:basedOn w:val="8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7" w:customStyle="1">
    <w:name w:val="网格型10"/>
    <w:basedOn w:val="8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8" w:customStyle="1">
    <w:name w:val="网格型13"/>
    <w:basedOn w:val="8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9" w:customStyle="1">
    <w:name w:val="网格型121"/>
    <w:basedOn w:val="854"/>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0" w:customStyle="1">
    <w:name w:val="网格型231"/>
    <w:basedOn w:val="8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1" w:customStyle="1">
    <w:name w:val="网格型311"/>
    <w:basedOn w:val="854"/>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2" w:customStyle="1">
    <w:name w:val="网格型411"/>
    <w:basedOn w:val="85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3" w:customStyle="1">
    <w:name w:val="Table Normal11"/>
    <w:uiPriority w:val="0"/>
    <w:semiHidden/>
    <w:unhideWhenUsed/>
    <w:qFormat/>
    <w:tblPr>
      <w:tblCellMar>
        <w:left w:w="0" w:type="dxa"/>
        <w:top w:w="0" w:type="dxa"/>
        <w:right w:w="0" w:type="dxa"/>
        <w:bottom w:w="0" w:type="dxa"/>
      </w:tblCellMar>
    </w:tblPr>
  </w:style>
  <w:style w:type="table" w:styleId="964" w:customStyle="1">
    <w:name w:val="网格型511"/>
    <w:basedOn w:val="8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5" w:customStyle="1">
    <w:name w:val="网格型1111"/>
    <w:basedOn w:val="85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6" w:customStyle="1">
    <w:name w:val="网格型2111"/>
    <w:basedOn w:val="85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7" w:customStyle="1">
    <w:name w:val="网格型611"/>
    <w:basedOn w:val="8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8" w:customStyle="1">
    <w:name w:val="网格型2211"/>
    <w:basedOn w:val="85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9" w:customStyle="1">
    <w:name w:val="网格型711"/>
    <w:basedOn w:val="8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70" w:customStyle="1">
    <w:name w:val="Revision"/>
    <w:hidden/>
    <w:uiPriority w:val="99"/>
    <w:unhideWhenUsed/>
    <w:qFormat/>
    <w:rPr>
      <w:rFonts w:asciiTheme="minorHAnsi" w:hAnsiTheme="minorHAnsi" w:eastAsiaTheme="minorEastAsia" w:cstheme="minorBidi"/>
      <w:sz w:val="21"/>
      <w:szCs w:val="22"/>
      <w:lang w:val="en-US" w:eastAsia="zh-CN" w:bidi="ar-SA"/>
    </w:rPr>
  </w:style>
  <w:style w:type="numbering" w:styleId="9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7A64F96-AA5E-40F9-883F-4CCB87DD1A3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周兆逸</cp:lastModifiedBy>
  <cp:revision>6</cp:revision>
  <dcterms:created xsi:type="dcterms:W3CDTF">2026-05-25T02:13:00Z</dcterms:created>
  <dcterms:modified xsi:type="dcterms:W3CDTF">2026-05-26T06:40:14Z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eyJoZGlkIjoiYWQzNmU2OGUyZTJkNTJmNjAwOWVmYmU0MWIzZGRjMDQiLCJ1c2VySWQiOiI0ODQxMTQzODcifQ==</vt:lpwstr>
  </property>
  <property fmtid="{D5CDD505-2E9C-101B-9397-08002B2CF9AE}" pid="3" name="KSOProductBuildVer">
    <vt:lpwstr>2052-12.1.0.26375</vt:lpwstr>
  </property>
  <property fmtid="{D5CDD505-2E9C-101B-9397-08002B2CF9AE}" pid="4" name="ICV">
    <vt:lpwstr>471A301284EF4A2AAD847D82858FE004_13</vt:lpwstr>
  </property>
</Properties>
</file>