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9"/>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1159"/>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159"/>
        <w:ind w:firstLine="300"/>
        <w:spacing w:line="360" w:lineRule="auto"/>
        <w:rPr>
          <w:color w:val="000000"/>
          <w:sz w:val="60"/>
          <w:szCs w:val="60"/>
          <w:highlight w:val="none"/>
        </w:rPr>
      </w:pPr>
      <w:r>
        <w:rPr>
          <w:color w:val="000000"/>
          <w:sz w:val="60"/>
          <w:szCs w:val="60"/>
          <w:highlight w:val="none"/>
        </w:rPr>
      </w:r>
      <w:r/>
    </w:p>
    <w:p>
      <w:pPr>
        <w:pStyle w:val="1159"/>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1159"/>
        <w:jc w:val="center"/>
        <w:rPr>
          <w:b/>
          <w:bCs/>
          <w:color w:val="000000"/>
          <w:sz w:val="60"/>
          <w:szCs w:val="60"/>
          <w:highlight w:val="none"/>
        </w:rPr>
      </w:pPr>
      <w:r>
        <w:rPr>
          <w:b/>
          <w:bCs/>
          <w:color w:val="000000"/>
          <w:sz w:val="60"/>
          <w:szCs w:val="60"/>
          <w:highlight w:val="none"/>
        </w:rPr>
      </w:r>
      <w:r/>
    </w:p>
    <w:p>
      <w:pPr>
        <w:pStyle w:val="1159"/>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1159"/>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115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59"/>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1159"/>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2025年度新北区罗溪镇邱庄窑丼片区级高标准农田建设项目</w:t>
      </w:r>
      <w:r>
        <w:rPr>
          <w:rFonts w:hint="eastAsia" w:ascii="宋体" w:hAnsi="宋体" w:eastAsia="宋体" w:cs="宋体"/>
          <w:bCs/>
          <w:color w:val="000000"/>
          <w:sz w:val="36"/>
          <w:szCs w:val="36"/>
          <w:highlight w:val="none"/>
          <w:u w:val="single"/>
          <w:lang w:val="en-US" w:eastAsia="zh-CN"/>
        </w:rPr>
      </w:r>
      <w:r/>
    </w:p>
    <w:p>
      <w:pPr>
        <w:pStyle w:val="1159"/>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JSZC-320411004-JSWJ-C2026-0015 </w:t>
      </w:r>
      <w:r>
        <w:rPr>
          <w:rFonts w:ascii="宋体" w:hAnsi="宋体" w:eastAsia="宋体" w:cs="宋体"/>
          <w:bCs/>
          <w:color w:val="000000"/>
          <w:sz w:val="36"/>
          <w:szCs w:val="36"/>
          <w:highlight w:val="none"/>
          <w:u w:val="single"/>
          <w:lang w:val="en-US" w:eastAsia="zh-CN"/>
        </w:rPr>
      </w:r>
      <w:r/>
    </w:p>
    <w:p>
      <w:pPr>
        <w:pStyle w:val="1159"/>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1159"/>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1159"/>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七</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1159"/>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br w:type="page" w:clear="all"/>
      </w:r>
      <w:r/>
    </w:p>
    <w:p>
      <w:pPr>
        <w:pStyle w:val="1159"/>
        <w:jc w:val="left"/>
        <w:widowControl/>
        <w:rPr>
          <w:color w:val="000000"/>
          <w:sz w:val="24"/>
          <w:highlight w:val="none"/>
        </w:rPr>
      </w:pPr>
      <w:r>
        <w:rPr>
          <w:color w:val="000000"/>
          <w:sz w:val="24"/>
          <w:highlight w:val="none"/>
        </w:rPr>
      </w:r>
      <w:r/>
    </w:p>
    <w:p>
      <w:pPr>
        <w:pStyle w:val="1159"/>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1159"/>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1212"/>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38</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113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12"/>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114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159"/>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1159"/>
        <w:jc w:val="center"/>
        <w:spacing w:line="480" w:lineRule="auto"/>
        <w:rPr>
          <w:rFonts w:hint="eastAsia"/>
          <w:color w:val="000000"/>
          <w:szCs w:val="36"/>
          <w:highlight w:val="none"/>
        </w:rPr>
      </w:pPr>
      <w:r>
        <w:rPr>
          <w:rFonts w:hint="eastAsia"/>
          <w:color w:val="000000"/>
          <w:szCs w:val="36"/>
          <w:highlight w:val="none"/>
        </w:rPr>
      </w:r>
      <w:r/>
    </w:p>
    <w:p>
      <w:pPr>
        <w:pStyle w:val="1159"/>
        <w:rPr>
          <w:color w:val="000000"/>
          <w:highlight w:val="none"/>
        </w:rPr>
      </w:pPr>
      <w:r/>
      <w:bookmarkEnd w:id="0"/>
      <w:r>
        <w:rPr>
          <w:color w:val="000000"/>
          <w:highlight w:val="none"/>
        </w:rPr>
      </w:r>
      <w:r/>
    </w:p>
    <w:p>
      <w:pPr>
        <w:pStyle w:val="1159"/>
        <w:rPr>
          <w:color w:val="000000"/>
          <w:highlight w:val="none"/>
        </w:rPr>
      </w:pPr>
      <w:r>
        <w:rPr>
          <w:color w:val="000000"/>
          <w:highlight w:val="none"/>
        </w:rPr>
      </w:r>
      <w:r/>
    </w:p>
    <w:p>
      <w:pPr>
        <w:pStyle w:val="1159"/>
        <w:rPr>
          <w:color w:val="000000"/>
          <w:highlight w:val="none"/>
        </w:rPr>
      </w:pPr>
      <w:r>
        <w:rPr>
          <w:color w:val="000000"/>
          <w:highlight w:val="none"/>
        </w:rPr>
      </w:r>
      <w:r/>
    </w:p>
    <w:p>
      <w:pPr>
        <w:pStyle w:val="121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21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212"/>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1159"/>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8"/>
          <w:footerReference w:type="even" r:id="rId19"/>
          <w:footerReference w:type="first" r:id="rId20"/>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eastAsia="宋体"/>
          <w:b/>
          <w:color w:val="000000"/>
          <w:sz w:val="36"/>
          <w:szCs w:val="36"/>
          <w:highlight w:val="none"/>
          <w:lang w:eastAsia="zh-CN"/>
        </w:rPr>
      </w:r>
      <w:r/>
    </w:p>
    <w:p>
      <w:pPr>
        <w:pStyle w:val="1159"/>
        <w:jc w:val="center"/>
        <w:spacing w:line="360" w:lineRule="auto"/>
        <w:rPr>
          <w:rFonts w:hint="eastAsia" w:ascii="宋体" w:hAnsi="宋体" w:cs="宋体"/>
          <w:color w:val="000000"/>
          <w:sz w:val="24"/>
          <w:highlight w:val="none"/>
        </w:rPr>
        <w:outlineLvl w:val="0"/>
      </w:pPr>
      <w:r/>
      <w:bookmarkStart w:id="1" w:name="_Toc8215"/>
      <w:r/>
      <w:bookmarkStart w:id="2" w:name="_Toc104818925"/>
      <w:r/>
      <w:bookmarkStart w:id="3" w:name="_Toc4119"/>
      <w:r>
        <w:rPr>
          <w:b/>
          <w:color w:val="000000"/>
          <w:sz w:val="36"/>
          <w:szCs w:val="36"/>
          <w:highlight w:val="none"/>
        </w:rPr>
        <w:t xml:space="preserve">第一章   采购邀请</w:t>
      </w:r>
      <w:bookmarkEnd w:id="1"/>
      <w:r/>
      <w:bookmarkEnd w:id="2"/>
      <w:r/>
      <w:bookmarkEnd w:id="3"/>
      <w:r/>
      <w:bookmarkStart w:id="4" w:name="_Toc28359002"/>
      <w:r/>
      <w:bookmarkStart w:id="5" w:name="_Toc35393790"/>
      <w:r/>
      <w:bookmarkStart w:id="6" w:name="_Toc35393621"/>
      <w:r/>
      <w:bookmarkStart w:id="7" w:name="_Toc28359079"/>
      <w:r/>
      <w:bookmarkStart w:id="8" w:name="_Hlk24379207"/>
      <w:r>
        <w:rPr>
          <w:rFonts w:hint="eastAsia" w:ascii="宋体" w:hAnsi="宋体" w:cs="宋体"/>
          <w:color w:val="000000"/>
          <w:sz w:val="24"/>
          <w:highlight w:val="none"/>
        </w:rPr>
      </w:r>
      <w:r/>
    </w:p>
    <w:p>
      <w:pPr>
        <w:pStyle w:val="1159"/>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1159"/>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2025年度新北区罗溪镇邱庄窑丼片区级高标准农田建设项目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7</w:t>
      </w:r>
      <w:r>
        <w:rPr>
          <w:color w:val="000000"/>
          <w:sz w:val="24"/>
          <w:highlight w:val="none"/>
          <w:lang w:bidi="ar"/>
        </w:rPr>
        <w:t xml:space="preserve">月</w:t>
      </w:r>
      <w:r>
        <w:rPr>
          <w:rFonts w:hint="eastAsia"/>
          <w:color w:val="000000"/>
          <w:sz w:val="24"/>
          <w:highlight w:val="none"/>
          <w:lang w:val="en-US" w:eastAsia="zh-CN"/>
        </w:rPr>
        <w:t xml:space="preserve">16</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rFonts w:ascii="Times New Roman" w:hAnsi="Times New Roman" w:cs="Times New Roman"/>
          <w:color w:val="000000"/>
          <w:sz w:val="24"/>
          <w:highlight w:val="none"/>
        </w:rPr>
        <w:t xml:space="preserve">（北京时间）前递交响应文件。</w:t>
      </w:r>
      <w:r>
        <w:rPr>
          <w:rFonts w:ascii="Times New Roman" w:hAnsi="Times New Roman" w:cs="Times New Roman"/>
          <w:color w:val="000000"/>
          <w:sz w:val="24"/>
          <w:highlight w:val="none"/>
        </w:rPr>
      </w:r>
      <w:r/>
    </w:p>
    <w:p>
      <w:pPr>
        <w:pStyle w:val="116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1159"/>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JSZC-320411004-JSWJ-C2026-0015</w:t>
      </w:r>
      <w:r>
        <w:rPr>
          <w:rFonts w:ascii="Times New Roman" w:hAnsi="Times New Roman" w:eastAsia="宋体" w:cs="Times New Roman"/>
          <w:color w:val="000000"/>
          <w:sz w:val="24"/>
          <w:highlight w:val="none"/>
          <w:lang w:val="en-US" w:eastAsia="zh-CN"/>
        </w:rPr>
      </w:r>
      <w:r/>
    </w:p>
    <w:p>
      <w:pPr>
        <w:pStyle w:val="1159"/>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2025年度新北区罗溪镇邱庄窑丼片区级高标准农田建设项目</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1159"/>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395</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391.974697</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1159"/>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2025年度新北区罗溪镇邱庄窑丼片区级高标准农田建设项目，具体详见工程量清单。</w:t>
      </w:r>
      <w:r>
        <w:rPr>
          <w:rFonts w:hint="eastAsia" w:ascii="Times New Roman" w:hAnsi="Times New Roman"/>
          <w:sz w:val="24"/>
          <w:szCs w:val="24"/>
          <w:highlight w:val="none"/>
        </w:rPr>
      </w:r>
      <w:r/>
    </w:p>
    <w:p>
      <w:pPr>
        <w:pStyle w:val="1159"/>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120日历天（以开工令为准）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1159"/>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159"/>
        <w:ind w:firstLine="480"/>
        <w:spacing w:line="360" w:lineRule="auto"/>
        <w:rPr>
          <w:rFonts w:ascii="Times New Roman" w:hAnsi="Times New Roman" w:eastAsia="宋体" w:cs="Times New Roman"/>
          <w:color w:val="000000"/>
          <w:sz w:val="24"/>
          <w:highlight w:val="none"/>
        </w:rPr>
      </w:pPr>
      <w:r/>
      <w:bookmarkStart w:id="9" w:name="_Toc28359080"/>
      <w:r/>
      <w:bookmarkStart w:id="10" w:name="_Toc35393622"/>
      <w:r/>
      <w:bookmarkStart w:id="11" w:name="_Toc35393791"/>
      <w:r/>
      <w:bookmarkStart w:id="12" w:name="_Toc28359003"/>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116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1159"/>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159"/>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159"/>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159"/>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159"/>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159"/>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1159"/>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623"/>
      <w:r/>
      <w:bookmarkStart w:id="16" w:name="_Toc35393792"/>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ascii="Times New Roman" w:hAnsi="Times New Roman" w:eastAsia="宋体" w:cs="Times New Roman"/>
          <w:color w:val="000000"/>
          <w:sz w:val="24"/>
          <w:highlight w:val="none"/>
        </w:rPr>
        <w:t xml:space="preserve">水利水电工程施工总承包</w:t>
      </w:r>
      <w:r>
        <w:rPr>
          <w:rFonts w:hint="eastAsia" w:ascii="Times New Roman" w:hAnsi="Times New Roman" w:eastAsia="宋体" w:cs="Times New Roman"/>
          <w:color w:val="000000"/>
          <w:sz w:val="24"/>
          <w:highlight w:val="none"/>
          <w:lang w:val="en-US" w:eastAsia="zh-CN"/>
        </w:rPr>
        <w:t xml:space="preserve">三</w:t>
      </w:r>
      <w:r>
        <w:rPr>
          <w:rFonts w:hint="eastAsia" w:ascii="Times New Roman" w:hAnsi="Times New Roman" w:eastAsia="宋体" w:cs="Times New Roman"/>
          <w:color w:val="000000"/>
          <w:sz w:val="24"/>
          <w:highlight w:val="none"/>
        </w:rPr>
        <w:t xml:space="preserve">级及以上</w:t>
      </w:r>
      <w:r>
        <w:rPr>
          <w:rFonts w:ascii="Times New Roman" w:hAnsi="Times New Roman" w:eastAsia="宋体" w:cs="Times New Roman"/>
          <w:color w:val="000000"/>
          <w:sz w:val="24"/>
          <w:highlight w:val="none"/>
        </w:rPr>
        <w:t xml:space="preserve">资</w:t>
      </w:r>
      <w:r>
        <w:rPr>
          <w:rFonts w:ascii="Times New Roman" w:hAnsi="Times New Roman"/>
          <w:color w:val="000000"/>
          <w:sz w:val="24"/>
          <w:highlight w:val="none"/>
        </w:rPr>
        <w:t xml:space="preserve">质；</w:t>
      </w:r>
      <w:r>
        <w:rPr>
          <w:rFonts w:ascii="Times New Roman" w:hAnsi="Times New Roman"/>
          <w:color w:val="000000"/>
          <w:sz w:val="24"/>
          <w:highlight w:val="none"/>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1159"/>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ascii="Times New Roman" w:hAnsi="Times New Roman" w:eastAsia="宋体" w:cs="Times New Roman"/>
          <w:color w:val="000000"/>
          <w:sz w:val="24"/>
          <w:highlight w:val="none"/>
          <w:lang w:val="en-US" w:eastAsia="zh-CN"/>
        </w:rPr>
        <w:t xml:space="preserve">水利水电</w:t>
      </w:r>
      <w:r>
        <w:rPr>
          <w:rFonts w:ascii="Times New Roman" w:hAnsi="Times New Roman" w:eastAsia="宋体" w:cs="Times New Roman"/>
          <w:color w:val="000000"/>
          <w:sz w:val="24"/>
          <w:highlight w:val="none"/>
        </w:rPr>
        <w:t xml:space="preserve">工程二级及以上注册建造师证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并具有</w:t>
      </w:r>
      <w:r>
        <w:rPr>
          <w:rFonts w:hint="eastAsia" w:ascii="Times New Roman" w:hAnsi="Times New Roman" w:eastAsia="宋体" w:cs="Times New Roman"/>
          <w:color w:val="000000"/>
          <w:sz w:val="24"/>
          <w:highlight w:val="none"/>
          <w:lang w:val="en-US" w:eastAsia="zh-CN"/>
        </w:rPr>
        <w:t xml:space="preserve">水行政主管部门颁发的</w:t>
      </w:r>
      <w:r>
        <w:rPr>
          <w:rFonts w:hint="eastAsia" w:ascii="Times New Roman" w:hAnsi="Times New Roman" w:eastAsia="宋体" w:cs="Times New Roman"/>
          <w:color w:val="000000"/>
          <w:sz w:val="24"/>
          <w:highlight w:val="none"/>
        </w:rPr>
        <w:t xml:space="preserve">安全生产考核合格证书（B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项目负责人无在建工程，须由</w:t>
      </w:r>
      <w:r>
        <w:rPr>
          <w:rFonts w:hint="eastAsia" w:ascii="Times New Roman" w:hAnsi="Times New Roman" w:eastAsia="宋体" w:cs="Times New Roman"/>
          <w:color w:val="000000"/>
          <w:sz w:val="24"/>
          <w:highlight w:val="none"/>
          <w:lang w:val="en-US" w:eastAsia="zh-CN"/>
        </w:rPr>
        <w:t xml:space="preserve">响应</w:t>
      </w:r>
      <w:r>
        <w:rPr>
          <w:rFonts w:hint="eastAsia" w:ascii="Times New Roman" w:hAnsi="Times New Roman" w:eastAsia="宋体" w:cs="Times New Roman"/>
          <w:color w:val="000000"/>
          <w:sz w:val="24"/>
          <w:highlight w:val="none"/>
        </w:rPr>
        <w:t xml:space="preserve">单位及项目负责人自行作出承诺</w:t>
      </w:r>
      <w:r>
        <w:rPr>
          <w:rFonts w:hint="eastAsia" w:ascii="Times New Roman" w:hAnsi="Times New Roman" w:eastAsia="宋体" w:cs="Times New Roman"/>
          <w:color w:val="000000"/>
          <w:sz w:val="24"/>
          <w:highlight w:val="none"/>
          <w:lang w:eastAsia="zh-CN"/>
        </w:rPr>
        <w:t xml:space="preserve">（格式自拟</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lang w:val="en-US" w:eastAsia="zh-CN"/>
        </w:rPr>
        <w:t xml:space="preserve">.5供应商具有水行政主管部门颁发的企业主要负责人安全生产考核合格证A证、水行政主管部门颁发的专职安全员安全生产考核合格证书C证。</w:t>
      </w:r>
      <w:r>
        <w:rPr>
          <w:rFonts w:hint="eastAsia" w:ascii="Times New Roman" w:hAnsi="Times New Roman" w:eastAsia="宋体" w:cs="Times New Roman"/>
          <w:color w:val="000000"/>
          <w:sz w:val="24"/>
          <w:highlight w:val="none"/>
          <w:lang w:eastAsia="zh-CN"/>
        </w:rPr>
      </w:r>
      <w:r/>
    </w:p>
    <w:p>
      <w:pPr>
        <w:pStyle w:val="1159"/>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1161"/>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1159"/>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1159"/>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1159"/>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1159"/>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1159"/>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1159"/>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1161"/>
        <w:ind w:firstLine="482"/>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35393793"/>
      <w:r/>
      <w:bookmarkStart w:id="20" w:name="_Toc28359005"/>
      <w:r/>
      <w:bookmarkStart w:id="21" w:name="_Toc35393624"/>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1159"/>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7</w:t>
      </w:r>
      <w:r>
        <w:rPr>
          <w:color w:val="000000"/>
          <w:sz w:val="24"/>
          <w:highlight w:val="none"/>
          <w:lang w:bidi="ar"/>
        </w:rPr>
        <w:t xml:space="preserve">月</w:t>
      </w:r>
      <w:r>
        <w:rPr>
          <w:rFonts w:hint="eastAsia"/>
          <w:color w:val="000000"/>
          <w:sz w:val="24"/>
          <w:highlight w:val="none"/>
          <w:lang w:val="en-US" w:eastAsia="zh-CN"/>
        </w:rPr>
        <w:t xml:space="preserve">16</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159"/>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1161"/>
        <w:ind w:firstLine="482"/>
        <w:jc w:val="left"/>
        <w:spacing w:before="0" w:line="360" w:lineRule="auto"/>
        <w:rPr>
          <w:rFonts w:ascii="Times New Roman" w:hAnsi="Times New Roman" w:eastAsia="宋体"/>
          <w:color w:val="000000"/>
          <w:sz w:val="24"/>
          <w:szCs w:val="24"/>
          <w:highlight w:val="none"/>
        </w:rPr>
      </w:pPr>
      <w:r/>
      <w:bookmarkStart w:id="22" w:name="_Toc28359007"/>
      <w:r/>
      <w:bookmarkStart w:id="23" w:name="_Toc35393794"/>
      <w:r/>
      <w:bookmarkStart w:id="24" w:name="_Toc28359084"/>
      <w:r/>
      <w:bookmarkStart w:id="25"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1159"/>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1161"/>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1159"/>
        <w:ind w:firstLine="425"/>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1340"/>
        <w:ind w:firstLine="48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w:t>
      </w:r>
      <w:r>
        <w:rPr>
          <w:rFonts w:hint="eastAsia" w:ascii="Times New Roman" w:hAnsi="Times New Roman" w:cs="Times New Roman"/>
          <w:bCs/>
          <w:color w:val="000000"/>
          <w:highlight w:val="none"/>
          <w:lang w:eastAsia="zh-CN"/>
        </w:rPr>
        <w:t xml:space="preserve">响应文件</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159"/>
        <w:ind w:firstLine="42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1159"/>
        <w:ind w:firstLine="425"/>
        <w:pageBreakBefore w:val="0"/>
        <w:spacing w:line="360" w:lineRule="auto"/>
        <w:rPr>
          <w:color w:val="000000"/>
          <w:sz w:val="24"/>
          <w:highlight w:val="none"/>
          <w:lang w:val="zh-TW" w:bidi="ar"/>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color w:val="000000"/>
          <w:sz w:val="24"/>
          <w:highlight w:val="none"/>
          <w:lang w:val="zh-TW" w:bidi="ar"/>
        </w:rPr>
      </w:r>
      <w:r/>
    </w:p>
    <w:p>
      <w:pPr>
        <w:pStyle w:val="1221"/>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1221"/>
        <w:ind w:lef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1161"/>
        <w:ind w:left="0" w:firstLine="480"/>
        <w:jc w:val="left"/>
        <w:keepLines w:val="0"/>
        <w:keepNext w:val="0"/>
        <w:pageBreakBefore w:val="0"/>
        <w:spacing w:before="0" w:beforeAutospacing="0" w:line="360" w:lineRule="auto"/>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采购公告内容与磋商文件不一致的，以磋商文件为准。</w:t>
      </w:r>
      <w:r>
        <w:rPr>
          <w:rFonts w:ascii="Times New Roman" w:hAnsi="Times New Roman" w:eastAsia="宋体" w:cs="Times New Roman"/>
          <w:b/>
          <w:bCs/>
          <w:color w:val="000000"/>
          <w:sz w:val="24"/>
          <w:szCs w:val="24"/>
          <w:highlight w:val="none"/>
          <w:lang w:val="en-US" w:eastAsia="zh-CN" w:bidi="ar-SA"/>
        </w:rPr>
      </w:r>
      <w:r/>
    </w:p>
    <w:p>
      <w:pPr>
        <w:pStyle w:val="1161"/>
        <w:ind w:firstLine="480"/>
        <w:jc w:val="left"/>
        <w:pageBreakBefore w:val="0"/>
        <w:spacing w:before="0" w:line="360" w:lineRule="auto"/>
        <w:rPr>
          <w:rFonts w:hint="eastAsia" w:ascii="Times New Roman" w:hAnsi="Times New Roman" w:eastAsia="宋体"/>
          <w:color w:val="000000"/>
          <w:sz w:val="24"/>
          <w:szCs w:val="24"/>
          <w:highlight w:val="none"/>
        </w:rPr>
      </w:pPr>
      <w:r/>
      <w:bookmarkStart w:id="28" w:name="_Toc35393796"/>
      <w:r/>
      <w:bookmarkStart w:id="29" w:name="_Toc35393627"/>
      <w:r/>
      <w:bookmarkStart w:id="30" w:name="_Toc28359085"/>
      <w:r/>
      <w:bookmarkStart w:id="31" w:name="_Toc28359008"/>
      <w:r>
        <w:rPr>
          <w:rFonts w:hint="eastAsia" w:ascii="Times New Roman" w:hAnsi="Times New Roman" w:eastAsia="宋体" w:cs="Times New Roman"/>
          <w:b w:val="0"/>
          <w:color w:val="000000"/>
          <w:sz w:val="24"/>
          <w:szCs w:val="24"/>
          <w:highlight w:val="none"/>
          <w:lang w:val="en-US" w:eastAsia="zh-CN" w:bidi="ar"/>
        </w:rPr>
        <w:t xml:space="preserve">5</w:t>
      </w:r>
      <w:r>
        <w:rPr>
          <w:rFonts w:hint="eastAsia" w:ascii="Times New Roman" w:hAnsi="Times New Roman" w:eastAsia="宋体" w:cs="Times New Roman"/>
          <w:b w:val="0"/>
          <w:color w:val="000000"/>
          <w:sz w:val="24"/>
          <w:szCs w:val="24"/>
          <w:highlight w:val="none"/>
          <w:lang w:val="zh-TW" w:eastAsia="zh-CN" w:bidi="ar"/>
        </w:rPr>
        <w:t xml:space="preserve">.</w:t>
      </w:r>
      <w:r>
        <w:rPr>
          <w:rFonts w:ascii="Times New Roman" w:hAnsi="Times New Roman" w:eastAsia="宋体" w:cs="Times New Roman"/>
          <w:b w:val="0"/>
          <w:color w:val="000000"/>
          <w:sz w:val="24"/>
          <w:szCs w:val="24"/>
          <w:highlight w:val="none"/>
          <w:lang w:val="zh-TW" w:eastAsia="zh-CN" w:bidi="ar"/>
        </w:rPr>
        <w:t xml:space="preserve">电子化招投标技术支持电话：0519-85588210/0519-85588163</w:t>
      </w:r>
      <w:r>
        <w:rPr>
          <w:rFonts w:hint="eastAsia" w:ascii="Times New Roman" w:hAnsi="Times New Roman" w:eastAsia="宋体" w:cs="Times New Roman"/>
          <w:b w:val="0"/>
          <w:color w:val="000000"/>
          <w:sz w:val="24"/>
          <w:szCs w:val="24"/>
          <w:highlight w:val="none"/>
          <w:lang w:val="en-US" w:eastAsia="zh-CN" w:bidi="ar"/>
        </w:rPr>
        <w:t xml:space="preserve">。</w:t>
      </w:r>
      <w:r>
        <w:rPr>
          <w:rFonts w:hint="eastAsia" w:ascii="Times New Roman" w:hAnsi="Times New Roman" w:eastAsia="宋体"/>
          <w:color w:val="000000"/>
          <w:sz w:val="24"/>
          <w:szCs w:val="24"/>
          <w:highlight w:val="none"/>
        </w:rPr>
      </w:r>
      <w:r/>
    </w:p>
    <w:p>
      <w:pPr>
        <w:pStyle w:val="1161"/>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1159"/>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1159"/>
        <w:ind w:firstLine="480"/>
        <w:spacing w:line="360" w:lineRule="auto"/>
        <w:rPr>
          <w:rFonts w:hint="eastAsia" w:ascii="Times New Roman" w:hAnsi="Times New Roman" w:eastAsia="宋体" w:cs="Times New Roman"/>
          <w:color w:val="000000"/>
          <w:sz w:val="24"/>
          <w:highlight w:val="none"/>
          <w:lang w:eastAsia="zh-CN"/>
        </w:rPr>
      </w:pPr>
      <w:r/>
      <w:bookmarkStart w:id="32" w:name="_Toc28359009"/>
      <w:r/>
      <w:bookmarkStart w:id="33"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1159"/>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1159"/>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0519-83401079</w:t>
      </w:r>
      <w:r>
        <w:rPr>
          <w:rFonts w:hint="eastAsia" w:ascii="Times New Roman" w:hAnsi="Times New Roman" w:eastAsia="宋体" w:cs="Times New Roman"/>
          <w:color w:val="000000"/>
          <w:sz w:val="24"/>
          <w:highlight w:val="none"/>
        </w:rPr>
      </w:r>
      <w:r/>
    </w:p>
    <w:p>
      <w:pPr>
        <w:pStyle w:val="1159"/>
        <w:ind w:firstLine="482"/>
        <w:spacing w:line="360" w:lineRule="auto"/>
        <w:widowControl/>
        <w:rPr>
          <w:b/>
          <w:color w:val="000000"/>
          <w:sz w:val="24"/>
          <w:highlight w:val="none"/>
        </w:rPr>
      </w:pPr>
      <w:r/>
      <w:bookmarkEnd w:id="32"/>
      <w:r/>
      <w:bookmarkEnd w:id="33"/>
      <w:r>
        <w:rPr>
          <w:b/>
          <w:color w:val="000000"/>
          <w:sz w:val="24"/>
          <w:highlight w:val="none"/>
        </w:rPr>
        <w:t xml:space="preserve">2.采购代理机构信息</w:t>
      </w:r>
      <w:r>
        <w:rPr>
          <w:b/>
          <w:color w:val="000000"/>
          <w:sz w:val="24"/>
          <w:highlight w:val="none"/>
        </w:rPr>
      </w:r>
      <w:r/>
    </w:p>
    <w:p>
      <w:pPr>
        <w:pStyle w:val="1159"/>
        <w:ind w:firstLine="480"/>
        <w:spacing w:line="360" w:lineRule="auto"/>
        <w:rPr>
          <w:rFonts w:hint="eastAsia"/>
          <w:color w:val="000000"/>
          <w:sz w:val="24"/>
          <w:highlight w:val="none"/>
        </w:rPr>
      </w:pPr>
      <w:r/>
      <w:bookmarkStart w:id="34" w:name="_Toc28359087"/>
      <w:r/>
      <w:bookmarkStart w:id="35"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1159"/>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1159"/>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1159"/>
        <w:ind w:firstLine="482"/>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1159"/>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1159"/>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1159"/>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1199"/>
        <w:ind w:firstLine="482"/>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上述个人信息由于工作需要，经机构或本人同意对外公布。</w:t>
      </w:r>
      <w:r>
        <w:rPr>
          <w:rFonts w:ascii="Times New Roman" w:hAnsi="Times New Roman"/>
          <w:b/>
          <w:color w:val="000000"/>
          <w:sz w:val="24"/>
          <w:szCs w:val="24"/>
          <w:highlight w:val="none"/>
        </w:rPr>
      </w:r>
      <w:r/>
    </w:p>
    <w:p>
      <w:pPr>
        <w:pStyle w:val="1159"/>
        <w:ind w:firstLine="5880"/>
        <w:jc w:val="right"/>
        <w:spacing w:line="360" w:lineRule="auto"/>
        <w:rPr>
          <w:color w:val="000000"/>
          <w:sz w:val="24"/>
          <w:highlight w:val="none"/>
        </w:rPr>
      </w:pPr>
      <w:r>
        <w:rPr>
          <w:color w:val="000000"/>
          <w:sz w:val="24"/>
          <w:highlight w:val="none"/>
        </w:rPr>
      </w:r>
      <w:r/>
    </w:p>
    <w:p>
      <w:pPr>
        <w:pStyle w:val="1159"/>
        <w:jc w:val="center"/>
        <w:spacing w:line="360" w:lineRule="auto"/>
        <w:rPr>
          <w:b/>
          <w:color w:val="000000"/>
          <w:sz w:val="32"/>
          <w:szCs w:val="32"/>
          <w:highlight w:val="none"/>
        </w:rPr>
        <w:outlineLvl w:val="0"/>
      </w:pPr>
      <w:r>
        <w:rPr>
          <w:color w:val="000000"/>
          <w:sz w:val="24"/>
          <w:highlight w:val="none"/>
        </w:rPr>
        <w:br w:type="page" w:clear="all"/>
      </w:r>
      <w:bookmarkStart w:id="36" w:name="_Toc226965856"/>
      <w:r/>
      <w:bookmarkStart w:id="37" w:name="_Toc265228423"/>
      <w:r/>
      <w:bookmarkStart w:id="38" w:name="_Toc305158854"/>
      <w:r/>
      <w:bookmarkStart w:id="39" w:name="_Toc195842950"/>
      <w:r/>
      <w:bookmarkStart w:id="40" w:name="_Toc127161488"/>
      <w:r/>
      <w:bookmarkStart w:id="41" w:name="_Toc104818926"/>
      <w:r/>
      <w:bookmarkStart w:id="42" w:name="_Toc264969275"/>
      <w:r/>
      <w:bookmarkStart w:id="43" w:name="_Toc6289"/>
      <w:r/>
      <w:bookmarkStart w:id="44" w:name="_Toc512937850"/>
      <w:r/>
      <w:bookmarkStart w:id="45" w:name="_Toc353825548"/>
      <w:r/>
      <w:bookmarkStart w:id="46" w:name="_Toc14521"/>
      <w:r/>
      <w:bookmarkStart w:id="47" w:name="_Toc150774783"/>
      <w:r/>
      <w:bookmarkStart w:id="48" w:name="_Toc353873938"/>
      <w:r/>
      <w:bookmarkStart w:id="49" w:name="_Toc305158928"/>
      <w:r/>
      <w:bookmarkStart w:id="50" w:name="_Toc127151777"/>
      <w:r>
        <w:rPr>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color w:val="000000"/>
          <w:sz w:val="32"/>
          <w:szCs w:val="32"/>
          <w:highlight w:val="none"/>
        </w:rPr>
      </w:r>
      <w:r/>
    </w:p>
    <w:p>
      <w:pPr>
        <w:pStyle w:val="1161"/>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1" w:name="_Toc149720812"/>
      <w:r/>
      <w:bookmarkStart w:id="52" w:name="_Toc164608633"/>
      <w:r/>
      <w:bookmarkStart w:id="53" w:name="_Toc164351613"/>
      <w:r/>
      <w:bookmarkStart w:id="54" w:name="_Toc151190146"/>
      <w:r/>
      <w:bookmarkStart w:id="55" w:name="_Toc127161433"/>
      <w:r/>
      <w:bookmarkStart w:id="56" w:name="_Toc150509270"/>
      <w:r/>
      <w:bookmarkStart w:id="57" w:name="_Toc127151519"/>
      <w:r/>
      <w:bookmarkStart w:id="58" w:name="_Toc520356144"/>
      <w:r/>
      <w:bookmarkStart w:id="59" w:name="_Toc151193907"/>
      <w:r/>
      <w:bookmarkStart w:id="60" w:name="_Toc195842884"/>
      <w:r/>
      <w:bookmarkStart w:id="61" w:name="_Toc150774619"/>
      <w:r/>
      <w:bookmarkStart w:id="62" w:name="_Toc142311021"/>
      <w:r/>
      <w:bookmarkStart w:id="63" w:name="_Toc226337215"/>
      <w:r/>
      <w:bookmarkStart w:id="64" w:name="_Toc151193689"/>
      <w:r/>
      <w:bookmarkStart w:id="65" w:name="_Toc226965709"/>
      <w:r/>
      <w:bookmarkStart w:id="66" w:name="_Toc127151720"/>
      <w:r/>
      <w:bookmarkStart w:id="67" w:name="_Toc164608788"/>
      <w:r/>
      <w:bookmarkStart w:id="68" w:name="_Toc150774724"/>
      <w:r/>
      <w:bookmarkStart w:id="69" w:name="_Toc151193833"/>
      <w:r/>
      <w:bookmarkStart w:id="70" w:name="_Toc164229214"/>
      <w:r/>
      <w:bookmarkStart w:id="71" w:name="_Toc226309763"/>
      <w:r/>
      <w:bookmarkStart w:id="72" w:name="_Toc151193761"/>
      <w:r/>
      <w:bookmarkStart w:id="73" w:name="_Toc151193617"/>
      <w:r/>
      <w:bookmarkStart w:id="74" w:name="_Toc150480757"/>
      <w:r/>
      <w:bookmarkStart w:id="75" w:name="_Toc226965792"/>
      <w:r/>
      <w:bookmarkStart w:id="76" w:name="_Toc164229360"/>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1159"/>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1159"/>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1159"/>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19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1159"/>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ascii="Wingdings 2" w:hAnsi="Wingdings 2" w:eastAsia="Wingdings 2" w:cs="Wingdings 2"/>
                <w:color w:val="000000"/>
                <w:sz w:val="24"/>
                <w:highlight w:val="none"/>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rPr>
              <w:t xml:space="preserve"> </w:t>
            </w: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货物</w:t>
            </w:r>
            <w:r>
              <w:rPr>
                <w:rFonts w:hint="eastAsia"/>
                <w:color w:val="000000"/>
                <w:sz w:val="24"/>
                <w:highlight w:val="none"/>
                <w:lang w:val="en-US" w:eastAsia="zh-CN"/>
              </w:rPr>
              <w:t xml:space="preserve">   √工程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119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color w:val="000000"/>
                <w:sz w:val="24"/>
                <w:highlight w:val="none"/>
              </w:rPr>
              <w:t xml:space="preserve">是否属于科研仪器设备采购项目：</w:t>
            </w:r>
            <w:r>
              <w:rPr>
                <w:rFonts w:ascii="Wingdings 2" w:hAnsi="Wingdings 2" w:eastAsia="Wingdings 2" w:cs="Wingdings 2"/>
                <w:color w:val="000000"/>
                <w:sz w:val="24"/>
                <w:highlight w:val="none"/>
              </w:rPr>
              <w:t xml:space="preserve">£</w:t>
            </w:r>
            <w:r>
              <w:rPr>
                <w:color w:val="000000"/>
                <w:sz w:val="24"/>
                <w:highlight w:val="none"/>
              </w:rPr>
              <w:t xml:space="preserve">是</w:t>
            </w:r>
            <w:r>
              <w:rPr>
                <w:rFonts w:hint="eastAsia"/>
                <w:color w:val="000000"/>
                <w:sz w:val="24"/>
                <w:highlight w:val="none"/>
              </w:rPr>
              <w:t xml:space="preserve"> </w:t>
            </w:r>
            <w:r>
              <w:rPr>
                <w:color w:val="000000"/>
                <w:sz w:val="24"/>
                <w:highlight w:val="none"/>
              </w:rPr>
              <w:t xml:space="preserve"> </w:t>
            </w: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19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不组织</w:t>
            </w:r>
            <w:r>
              <w:rPr>
                <w:color w:val="000000"/>
                <w:sz w:val="24"/>
                <w:highlight w:val="none"/>
              </w:rPr>
            </w:r>
            <w:r/>
          </w:p>
          <w:p>
            <w:pPr>
              <w:pStyle w:val="1159"/>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组织</w:t>
            </w:r>
            <w:r>
              <w:rPr>
                <w:rFonts w:hint="eastAsia"/>
                <w:color w:val="000000"/>
                <w:sz w:val="24"/>
                <w:highlight w:val="none"/>
              </w:rPr>
              <w:t xml:space="preserve">（</w:t>
            </w:r>
            <w:r>
              <w:rPr>
                <w:color w:val="000000"/>
                <w:sz w:val="24"/>
                <w:highlight w:val="none"/>
              </w:rPr>
              <w:t xml:space="preserve">考察时间：__年_月_日_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考察地点：____________。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9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不召开</w:t>
            </w:r>
            <w:r>
              <w:rPr>
                <w:color w:val="000000"/>
                <w:sz w:val="24"/>
                <w:highlight w:val="none"/>
              </w:rPr>
            </w:r>
            <w:r/>
          </w:p>
          <w:p>
            <w:pPr>
              <w:pStyle w:val="1159"/>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召开</w:t>
            </w:r>
            <w:r>
              <w:rPr>
                <w:rFonts w:hint="eastAsia"/>
                <w:color w:val="000000"/>
                <w:sz w:val="24"/>
                <w:highlight w:val="none"/>
              </w:rPr>
              <w:t xml:space="preserve">（</w:t>
            </w:r>
            <w:r>
              <w:rPr>
                <w:color w:val="000000"/>
                <w:sz w:val="24"/>
                <w:highlight w:val="none"/>
              </w:rPr>
              <w:t xml:space="preserve">召开时间：__年_月_日_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召开地点：____________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9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color w:val="000000"/>
                <w:sz w:val="24"/>
                <w:highlight w:val="none"/>
              </w:rPr>
              <w:t xml:space="preserve">投标样品递交：</w:t>
            </w:r>
            <w:r>
              <w:rPr>
                <w:color w:val="000000"/>
                <w:sz w:val="24"/>
                <w:highlight w:val="none"/>
              </w:rPr>
            </w:r>
            <w:r/>
          </w:p>
          <w:p>
            <w:pPr>
              <w:pStyle w:val="1159"/>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不需要</w:t>
            </w:r>
            <w:r>
              <w:rPr>
                <w:color w:val="000000"/>
                <w:sz w:val="24"/>
                <w:highlight w:val="none"/>
              </w:rPr>
            </w:r>
            <w:r/>
          </w:p>
          <w:p>
            <w:pPr>
              <w:pStyle w:val="1159"/>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需要</w:t>
            </w:r>
            <w:r>
              <w:rPr>
                <w:rFonts w:hint="eastAsia"/>
                <w:color w:val="000000"/>
                <w:sz w:val="24"/>
                <w:highlight w:val="none"/>
              </w:rPr>
              <w:t xml:space="preserve">，具体</w:t>
            </w:r>
            <w:r>
              <w:rPr>
                <w:color w:val="000000"/>
                <w:sz w:val="24"/>
                <w:highlight w:val="none"/>
              </w:rPr>
              <w:t xml:space="preserve">要求如下：</w:t>
            </w:r>
            <w:r>
              <w:rPr>
                <w:color w:val="000000"/>
                <w:sz w:val="24"/>
                <w:highlight w:val="none"/>
              </w:rPr>
            </w:r>
            <w:r/>
          </w:p>
          <w:p>
            <w:pPr>
              <w:pStyle w:val="1227"/>
              <w:ind w:firstLine="0"/>
              <w:spacing w:after="0" w:line="360" w:lineRule="exact"/>
              <w:rPr>
                <w:color w:val="000000"/>
                <w:sz w:val="24"/>
                <w:highlight w:val="none"/>
              </w:rPr>
            </w:pPr>
            <w:r>
              <w:rPr>
                <w:rFonts w:hint="eastAsia"/>
                <w:color w:val="000000"/>
                <w:sz w:val="24"/>
                <w:highlight w:val="none"/>
              </w:rPr>
              <w:t xml:space="preserve">（1）样品递交要求：样品必须在_年_月_日_时_分前送至常州市延政中大道16号世贸中心大厦A801室，联系人：__，电话：__，逾期将不予接收。</w:t>
            </w:r>
            <w:r>
              <w:rPr>
                <w:color w:val="000000"/>
                <w:sz w:val="24"/>
                <w:highlight w:val="none"/>
              </w:rPr>
            </w:r>
            <w:r/>
          </w:p>
          <w:p>
            <w:pPr>
              <w:pStyle w:val="1227"/>
              <w:ind w:firstLine="0"/>
              <w:spacing w:after="0" w:line="360" w:lineRule="exact"/>
              <w:rPr>
                <w:color w:val="000000"/>
                <w:sz w:val="24"/>
                <w:highlight w:val="none"/>
              </w:rPr>
            </w:pPr>
            <w:r>
              <w:rPr>
                <w:rFonts w:hint="eastAsia"/>
                <w:color w:val="000000"/>
                <w:sz w:val="24"/>
                <w:highlight w:val="none"/>
              </w:rPr>
              <w:t xml:space="preserve">（2）中标（成交）单位样品留样封存，未中标（成交）单位样品自开标之日起三天内由供应商运回。</w:t>
            </w:r>
            <w:r>
              <w:rPr>
                <w:color w:val="000000"/>
                <w:sz w:val="24"/>
                <w:highlight w:val="none"/>
              </w:rPr>
            </w:r>
            <w:r/>
          </w:p>
          <w:p>
            <w:pPr>
              <w:pStyle w:val="1227"/>
              <w:ind w:firstLine="0"/>
              <w:spacing w:after="0" w:line="360" w:lineRule="exact"/>
              <w:rPr>
                <w:color w:val="000000"/>
                <w:sz w:val="24"/>
                <w:highlight w:val="none"/>
              </w:rPr>
            </w:pPr>
            <w:r>
              <w:rPr>
                <w:rFonts w:hint="eastAsia"/>
                <w:color w:val="000000"/>
                <w:sz w:val="24"/>
                <w:highlight w:val="none"/>
              </w:rPr>
              <w:t xml:space="preserve">（3）样品不能出现制造厂或供应商的标志、标记。</w:t>
            </w:r>
            <w:r>
              <w:rPr>
                <w:color w:val="000000"/>
                <w:sz w:val="24"/>
                <w:highlight w:val="none"/>
              </w:rPr>
            </w:r>
            <w:r/>
          </w:p>
          <w:p>
            <w:pPr>
              <w:pStyle w:val="1227"/>
              <w:ind w:firstLine="0"/>
              <w:spacing w:after="0" w:line="360" w:lineRule="exact"/>
              <w:rPr>
                <w:color w:val="000000"/>
                <w:sz w:val="24"/>
                <w:highlight w:val="none"/>
              </w:rPr>
            </w:pPr>
            <w:r>
              <w:rPr>
                <w:rFonts w:hint="eastAsia"/>
                <w:color w:val="000000"/>
                <w:sz w:val="24"/>
                <w:highlight w:val="none"/>
              </w:rPr>
              <w:t xml:space="preserve">（4）样品递交及退还必须出具供应商的授权委托书及被授权委托人身份证。</w:t>
            </w:r>
            <w:r>
              <w:rPr>
                <w:color w:val="000000"/>
                <w:sz w:val="24"/>
                <w:highlight w:val="none"/>
              </w:rPr>
            </w:r>
            <w:r/>
          </w:p>
          <w:p>
            <w:pPr>
              <w:pStyle w:val="1227"/>
              <w:ind w:firstLine="0"/>
              <w:spacing w:after="0" w:line="360" w:lineRule="exact"/>
              <w:rPr>
                <w:color w:val="000000"/>
                <w:highlight w:val="none"/>
              </w:rPr>
            </w:pPr>
            <w:r>
              <w:rPr>
                <w:rFonts w:hint="eastAsia"/>
                <w:color w:val="000000"/>
                <w:sz w:val="24"/>
                <w:highlight w:val="none"/>
              </w:rPr>
              <w:t xml:space="preserve">（5）样品制作及运输费用由供应商自行承担。</w:t>
            </w:r>
            <w:r>
              <w:rPr>
                <w:color w:val="000000"/>
                <w:highlight w:val="none"/>
              </w:rPr>
            </w:r>
            <w:r/>
          </w:p>
        </w:tc>
      </w:tr>
      <w:tr>
        <w:trPr>
          <w:trHeight w:val="1200"/>
        </w:trPr>
        <w:tc>
          <w:tcPr>
            <w:tcW w:w="988" w:type="dxa"/>
            <w:vAlign w:val="center"/>
            <w:textDirection w:val="lrTb"/>
            <w:noWrap w:val="false"/>
          </w:tcPr>
          <w:p>
            <w:pPr>
              <w:pStyle w:val="119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1159"/>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本项目专门面向中小企业采购。</w:t>
            </w:r>
            <w:r>
              <w:rPr>
                <w:rFonts w:hint="eastAsia"/>
                <w:color w:val="000000"/>
                <w:sz w:val="24"/>
                <w:highlight w:val="none"/>
              </w:rPr>
            </w:r>
            <w:r/>
          </w:p>
          <w:p>
            <w:pPr>
              <w:pStyle w:val="1159"/>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rFonts w:hint="eastAsia"/>
                <w:color w:val="000000"/>
                <w:sz w:val="24"/>
                <w:highlight w:val="none"/>
                <w:u w:val="single"/>
                <w:lang w:val="en-US" w:eastAsia="zh-CN"/>
              </w:rPr>
              <w:t xml:space="preserve">5</w:t>
            </w:r>
            <w:r>
              <w:rPr>
                <w:rFonts w:hint="eastAsia"/>
                <w:color w:val="000000"/>
                <w:sz w:val="24"/>
                <w:highlight w:val="none"/>
                <w:u w:val="single"/>
              </w:rPr>
              <w:t xml:space="preserve">%</w:t>
            </w:r>
            <w:r>
              <w:rPr>
                <w:rFonts w:hint="eastAsia"/>
                <w:color w:val="000000"/>
                <w:sz w:val="24"/>
                <w:highlight w:val="none"/>
              </w:rPr>
              <w:t xml:space="preserve">的扣除，用扣除后的价格参与评审。</w:t>
            </w:r>
            <w:r>
              <w:rPr>
                <w:color w:val="000000"/>
                <w:sz w:val="24"/>
                <w:highlight w:val="none"/>
              </w:rPr>
            </w:r>
            <w:r/>
          </w:p>
        </w:tc>
      </w:tr>
      <w:tr>
        <w:trPr>
          <w:trHeight w:val="1492"/>
        </w:trPr>
        <w:tc>
          <w:tcPr>
            <w:tcW w:w="988" w:type="dxa"/>
            <w:vAlign w:val="center"/>
            <w:textDirection w:val="lrTb"/>
            <w:noWrap w:val="false"/>
          </w:tcPr>
          <w:p>
            <w:pPr>
              <w:pStyle w:val="1199"/>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1159"/>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1159"/>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lang w:eastAsia="zh-CN"/>
              </w:rPr>
              <w:instrText xml:space="preserve">,</w:instrText>
            </w:r>
            <w:r>
              <w:rPr>
                <w:rFonts w:hint="eastAsia" w:ascii="Times New Roman" w:hAnsi="Times New Roman" w:eastAsia="宋体" w:cs="Times New Roman"/>
                <w:color w:val="000000"/>
                <w:position w:val="2"/>
                <w:sz w:val="16"/>
                <w:highlight w:val="none"/>
                <w:lang w:eastAsia="zh-CN"/>
              </w:rPr>
              <w:instrText xml:space="preserve">√</w:instrText>
            </w:r>
            <w:r>
              <w:rPr>
                <w:rFonts w:hint="eastAsia" w:ascii="Times New Roman" w:hAnsi="Times New Roman" w:eastAsia="宋体" w:cs="Times New Roman"/>
                <w:color w:val="000000"/>
                <w:sz w:val="24"/>
                <w:highlight w:val="none"/>
              </w:rPr>
              <w:instrText xml:space="preserve">)</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159"/>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1199"/>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1159"/>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7</w:t>
            </w:r>
            <w:r>
              <w:rPr>
                <w:color w:val="000000"/>
                <w:sz w:val="24"/>
                <w:highlight w:val="none"/>
              </w:rPr>
              <w:t xml:space="preserve">月</w:t>
            </w:r>
            <w:r>
              <w:rPr>
                <w:rFonts w:hint="eastAsia"/>
                <w:color w:val="000000"/>
                <w:sz w:val="24"/>
                <w:highlight w:val="none"/>
                <w:lang w:val="en-US" w:eastAsia="zh-CN"/>
              </w:rPr>
              <w:t xml:space="preserve">9</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1159"/>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59"/>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1159"/>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1159"/>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1159"/>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274"/>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1159"/>
              <w:jc w:val="left"/>
              <w:rPr>
                <w:color w:val="000000"/>
                <w:sz w:val="24"/>
                <w:highlight w:val="none"/>
              </w:rPr>
            </w:pPr>
            <w:r>
              <w:rPr>
                <w:color w:val="000000"/>
                <w:sz w:val="24"/>
                <w:highlight w:val="none"/>
              </w:rPr>
              <w:t xml:space="preserve">收费对象：</w:t>
            </w:r>
            <w:r>
              <w:rPr>
                <w:color w:val="000000"/>
                <w:sz w:val="24"/>
                <w:highlight w:val="none"/>
              </w:rPr>
            </w:r>
            <w:r/>
          </w:p>
          <w:p>
            <w:pPr>
              <w:pStyle w:val="1159"/>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1159"/>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1159"/>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*80%</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如按上述方法计算的金额低于人民币</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000元整，则服务费按人民币</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color w:val="000000"/>
                <w:sz w:val="24"/>
                <w:highlight w:val="none"/>
              </w:rPr>
            </w:r>
            <w:r/>
          </w:p>
        </w:tc>
      </w:tr>
      <w:tr>
        <w:trPr>
          <w:trHeight w:val="899"/>
        </w:trPr>
        <w:tc>
          <w:tcPr>
            <w:tcW w:w="988" w:type="dxa"/>
            <w:vAlign w:val="center"/>
            <w:textDirection w:val="lrTb"/>
            <w:noWrap w:val="false"/>
          </w:tcPr>
          <w:p>
            <w:pPr>
              <w:pStyle w:val="119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6</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9"/>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1159"/>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1159"/>
        <w:jc w:val="both"/>
        <w:spacing w:line="360" w:lineRule="auto"/>
        <w:tabs>
          <w:tab w:val="left" w:pos="5580" w:leader="none"/>
        </w:tabs>
        <w:rPr>
          <w:color w:val="000000"/>
          <w:sz w:val="24"/>
          <w:highlight w:val="none"/>
        </w:rPr>
        <w:sectPr>
          <w:footerReference w:type="default" r:id="rId21"/>
          <w:footerReference w:type="first" r:id="rId22"/>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1161"/>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7" w:name="_Toc127151518"/>
      <w:r/>
      <w:bookmarkStart w:id="78" w:name="_Toc520356143"/>
      <w:r>
        <w:rPr>
          <w:rFonts w:ascii="Times New Roman" w:hAnsi="Times New Roman" w:eastAsia="宋体"/>
          <w:color w:val="000000"/>
          <w:sz w:val="28"/>
          <w:highlight w:val="none"/>
        </w:rPr>
        <w:tab/>
      </w:r>
      <w:bookmarkStart w:id="79" w:name="_Toc150509269"/>
      <w:r/>
      <w:bookmarkStart w:id="80" w:name="_Toc150774723"/>
      <w:r/>
      <w:bookmarkStart w:id="81" w:name="_Toc151193832"/>
      <w:r/>
      <w:bookmarkStart w:id="82" w:name="_Toc305158860"/>
      <w:r/>
      <w:bookmarkStart w:id="83" w:name="_Toc151193688"/>
      <w:r/>
      <w:bookmarkStart w:id="84" w:name="_Toc151193616"/>
      <w:r/>
      <w:bookmarkStart w:id="85" w:name="_Toc151193760"/>
      <w:r/>
      <w:bookmarkStart w:id="86" w:name="_Toc150774618"/>
      <w:r/>
      <w:bookmarkStart w:id="87" w:name="_Toc151190145"/>
      <w:r/>
      <w:bookmarkStart w:id="88" w:name="_Toc226309762"/>
      <w:r/>
      <w:bookmarkStart w:id="89" w:name="_Toc265228356"/>
      <w:r/>
      <w:bookmarkStart w:id="90" w:name="_Toc195842883"/>
      <w:r/>
      <w:bookmarkStart w:id="91" w:name="_Toc226337214"/>
      <w:r/>
      <w:bookmarkStart w:id="92" w:name="_Toc150480756"/>
      <w:r/>
      <w:bookmarkStart w:id="93" w:name="_Toc305158786"/>
      <w:r/>
      <w:bookmarkStart w:id="94" w:name="_Toc264969208"/>
      <w:r/>
      <w:bookmarkStart w:id="95" w:name="_Toc142311020"/>
      <w:r/>
      <w:bookmarkStart w:id="96" w:name="_Toc226965708"/>
      <w:r/>
      <w:bookmarkStart w:id="97" w:name="_Toc151193906"/>
      <w:r/>
      <w:bookmarkStart w:id="98" w:name="_Toc226965791"/>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99" w:name="_Toc20823275"/>
      <w:r/>
      <w:bookmarkStart w:id="100" w:name="_Toc16938519"/>
      <w:r/>
      <w:bookmarkStart w:id="101" w:name="_Toc513029203"/>
      <w:r/>
      <w:bookmarkStart w:id="102" w:name="_Toc120614214"/>
      <w:r/>
      <w:bookmarkStart w:id="103" w:name="_Toc305158861"/>
      <w:r/>
      <w:bookmarkStart w:id="104" w:name="_Toc305158787"/>
      <w:r/>
      <w:bookmarkStart w:id="105" w:name="_Toc265228357"/>
      <w:r/>
      <w:bookmarkStart w:id="106" w:name="_Toc264969209"/>
      <w:r>
        <w:rPr>
          <w:rFonts w:hint="eastAsia" w:ascii="宋体" w:hAnsi="宋体" w:eastAsia="宋体" w:cs="宋体"/>
          <w:b/>
          <w:bCs/>
          <w:color w:val="000000"/>
          <w:sz w:val="32"/>
          <w:szCs w:val="32"/>
          <w:highlight w:val="none"/>
        </w:rPr>
        <w:t xml:space="preserve">一、总则</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07" w:name="_Toc16938520"/>
      <w:r/>
      <w:bookmarkStart w:id="108" w:name="_Hlt16619475"/>
      <w:r/>
      <w:bookmarkEnd w:id="108"/>
      <w:r/>
      <w:bookmarkStart w:id="109" w:name="_Toc458694821"/>
      <w:r/>
      <w:bookmarkStart w:id="110" w:name="_Toc513029204"/>
      <w:r/>
      <w:bookmarkStart w:id="111" w:name="_Toc20823276"/>
      <w:r>
        <w:rPr>
          <w:rFonts w:hint="eastAsia" w:ascii="宋体" w:hAnsi="宋体" w:eastAsia="宋体" w:cs="宋体"/>
          <w:color w:val="000000"/>
          <w:sz w:val="28"/>
          <w:szCs w:val="28"/>
          <w:highlight w:val="none"/>
        </w:rPr>
        <w:t xml:space="preserve">1</w:t>
      </w:r>
      <w:bookmarkEnd w:id="109"/>
      <w:r>
        <w:rPr>
          <w:rFonts w:hint="eastAsia" w:ascii="宋体" w:hAnsi="宋体" w:eastAsia="宋体" w:cs="宋体"/>
          <w:color w:val="000000"/>
          <w:sz w:val="28"/>
          <w:szCs w:val="28"/>
          <w:highlight w:val="none"/>
        </w:rPr>
        <w:t xml:space="preserve">、采购方式</w:t>
      </w:r>
      <w:bookmarkEnd w:id="107"/>
      <w:r/>
      <w:bookmarkEnd w:id="110"/>
      <w:r/>
      <w:bookmarkEnd w:id="111"/>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12" w:name="_Toc513029205"/>
      <w:r/>
      <w:bookmarkStart w:id="113" w:name="_Toc16938521"/>
      <w:r/>
      <w:bookmarkStart w:id="114" w:name="_Toc20823277"/>
      <w:r>
        <w:rPr>
          <w:rFonts w:hint="eastAsia" w:ascii="宋体" w:hAnsi="宋体" w:eastAsia="宋体" w:cs="宋体"/>
          <w:color w:val="000000"/>
          <w:sz w:val="28"/>
          <w:szCs w:val="28"/>
          <w:highlight w:val="none"/>
        </w:rPr>
        <w:t xml:space="preserve">2、合格的</w:t>
      </w:r>
      <w:bookmarkEnd w:id="112"/>
      <w:r/>
      <w:bookmarkEnd w:id="113"/>
      <w:r/>
      <w:bookmarkEnd w:id="11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15" w:name="_Toc20823278"/>
      <w:r/>
      <w:bookmarkStart w:id="116" w:name="_Toc513029206"/>
      <w:r/>
      <w:bookmarkStart w:id="117" w:name="_Toc16938522"/>
      <w:r>
        <w:rPr>
          <w:rFonts w:hint="eastAsia" w:ascii="宋体" w:hAnsi="宋体" w:eastAsia="宋体" w:cs="宋体"/>
          <w:color w:val="000000"/>
          <w:sz w:val="28"/>
          <w:szCs w:val="28"/>
          <w:highlight w:val="none"/>
        </w:rPr>
        <w:t xml:space="preserve">3、适用法律</w:t>
      </w:r>
      <w:bookmarkEnd w:id="115"/>
      <w:r/>
      <w:bookmarkEnd w:id="116"/>
      <w:r/>
      <w:bookmarkEnd w:id="117"/>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18" w:name="_Toc16938523"/>
      <w:r/>
      <w:bookmarkStart w:id="119" w:name="_Toc462564067"/>
      <w:r/>
      <w:bookmarkStart w:id="120" w:name="_Toc20823279"/>
      <w:r/>
      <w:bookmarkStart w:id="121" w:name="_Toc513029207"/>
      <w:r>
        <w:rPr>
          <w:rFonts w:hint="eastAsia" w:ascii="宋体" w:hAnsi="宋体" w:eastAsia="宋体" w:cs="宋体"/>
          <w:color w:val="000000"/>
          <w:sz w:val="28"/>
          <w:szCs w:val="28"/>
          <w:highlight w:val="none"/>
        </w:rPr>
        <w:t xml:space="preserve">4、磋商费用</w:t>
      </w:r>
      <w:bookmarkEnd w:id="118"/>
      <w:r/>
      <w:bookmarkEnd w:id="119"/>
      <w:r/>
      <w:bookmarkEnd w:id="120"/>
      <w:r/>
      <w:bookmarkEnd w:id="121"/>
      <w:r>
        <w:rPr>
          <w:rFonts w:hint="eastAsia" w:ascii="宋体" w:hAnsi="宋体" w:eastAsia="宋体" w:cs="宋体"/>
          <w:color w:val="000000"/>
          <w:sz w:val="28"/>
          <w:szCs w:val="28"/>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122" w:name="_Toc20823281"/>
      <w:r/>
      <w:bookmarkStart w:id="123" w:name="_Toc120614215"/>
      <w:r/>
      <w:bookmarkStart w:id="124" w:name="_Toc16938525"/>
      <w:r/>
      <w:bookmarkStart w:id="125" w:name="_Toc513029209"/>
      <w:r>
        <w:rPr>
          <w:rFonts w:hint="eastAsia" w:ascii="宋体" w:hAnsi="宋体" w:eastAsia="宋体" w:cs="宋体"/>
          <w:b/>
          <w:bCs/>
          <w:color w:val="000000"/>
          <w:sz w:val="32"/>
          <w:szCs w:val="32"/>
          <w:highlight w:val="none"/>
        </w:rPr>
        <w:t xml:space="preserve">二、</w:t>
      </w:r>
      <w:bookmarkEnd w:id="122"/>
      <w:r/>
      <w:bookmarkEnd w:id="123"/>
      <w:r/>
      <w:bookmarkEnd w:id="124"/>
      <w:r/>
      <w:bookmarkEnd w:id="12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26" w:name="_Toc20823282"/>
      <w:r/>
      <w:bookmarkStart w:id="127" w:name="_Toc513029210"/>
      <w:r/>
      <w:bookmarkStart w:id="128" w:name="_Toc16938526"/>
      <w:r>
        <w:rPr>
          <w:rFonts w:hint="eastAsia" w:ascii="宋体" w:hAnsi="宋体" w:eastAsia="宋体" w:cs="宋体"/>
          <w:color w:val="000000"/>
          <w:sz w:val="28"/>
          <w:szCs w:val="28"/>
          <w:highlight w:val="none"/>
        </w:rPr>
        <w:t xml:space="preserve">6、磋商文件构成</w:t>
      </w:r>
      <w:bookmarkEnd w:id="126"/>
      <w:r/>
      <w:bookmarkEnd w:id="127"/>
      <w:r/>
      <w:bookmarkEnd w:id="128"/>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29" w:name="_Toc20823283"/>
      <w:r/>
      <w:bookmarkStart w:id="130" w:name="_Toc513029211"/>
      <w:r/>
      <w:bookmarkStart w:id="131" w:name="_Toc16938527"/>
      <w:r/>
      <w:bookmarkStart w:id="132" w:name="_Toc462564070"/>
      <w:r>
        <w:rPr>
          <w:rFonts w:hint="eastAsia" w:ascii="宋体" w:hAnsi="宋体" w:eastAsia="宋体" w:cs="宋体"/>
          <w:color w:val="000000"/>
          <w:sz w:val="28"/>
          <w:szCs w:val="28"/>
          <w:highlight w:val="none"/>
        </w:rPr>
        <w:t xml:space="preserve">7、磋商文件的澄清</w:t>
      </w:r>
      <w:bookmarkEnd w:id="129"/>
      <w:r/>
      <w:bookmarkEnd w:id="130"/>
      <w:r/>
      <w:bookmarkEnd w:id="131"/>
      <w:r/>
      <w:bookmarkEnd w:id="132"/>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33" w:name="_Toc20823284"/>
      <w:r/>
      <w:bookmarkStart w:id="134" w:name="_Toc462564071"/>
      <w:r/>
      <w:bookmarkStart w:id="135" w:name="_Toc16938528"/>
      <w:r/>
      <w:bookmarkStart w:id="136" w:name="_Toc513029212"/>
      <w:r>
        <w:rPr>
          <w:rFonts w:hint="eastAsia" w:ascii="宋体" w:hAnsi="宋体" w:eastAsia="宋体" w:cs="宋体"/>
          <w:color w:val="000000"/>
          <w:sz w:val="28"/>
          <w:szCs w:val="28"/>
          <w:highlight w:val="none"/>
        </w:rPr>
        <w:t xml:space="preserve">8、磋商文件的澄清和修改</w:t>
      </w:r>
      <w:bookmarkEnd w:id="133"/>
      <w:r/>
      <w:bookmarkEnd w:id="134"/>
      <w:r/>
      <w:bookmarkEnd w:id="135"/>
      <w:r/>
      <w:bookmarkEnd w:id="136"/>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137" w:name="_Toc20823285"/>
      <w:r/>
      <w:bookmarkStart w:id="138" w:name="_Toc120614216"/>
      <w:r/>
      <w:bookmarkStart w:id="139" w:name="_Toc462564072"/>
      <w:r/>
      <w:bookmarkStart w:id="140" w:name="_Toc16938529"/>
      <w:r/>
      <w:bookmarkStart w:id="141" w:name="_Toc513029213"/>
      <w:r>
        <w:rPr>
          <w:rFonts w:hint="eastAsia" w:ascii="宋体" w:hAnsi="宋体" w:eastAsia="宋体" w:cs="宋体"/>
          <w:b/>
          <w:bCs/>
          <w:color w:val="000000"/>
          <w:sz w:val="32"/>
          <w:szCs w:val="32"/>
          <w:highlight w:val="none"/>
        </w:rPr>
        <w:t xml:space="preserve">三、响应文件的编制</w:t>
      </w:r>
      <w:bookmarkEnd w:id="137"/>
      <w:r/>
      <w:bookmarkEnd w:id="138"/>
      <w:r/>
      <w:bookmarkEnd w:id="139"/>
      <w:r/>
      <w:bookmarkEnd w:id="140"/>
      <w:r/>
      <w:bookmarkEnd w:id="141"/>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b/>
          <w:color w:val="000000"/>
          <w:sz w:val="28"/>
          <w:szCs w:val="28"/>
          <w:highlight w:val="none"/>
        </w:rPr>
        <w:outlineLvl w:val="3"/>
      </w:pPr>
      <w:r/>
      <w:bookmarkStart w:id="142" w:name="_Toc16938530"/>
      <w:r/>
      <w:bookmarkStart w:id="143" w:name="_Toc20823286"/>
      <w:r/>
      <w:bookmarkStart w:id="144" w:name="_Toc462564073"/>
      <w:r/>
      <w:bookmarkStart w:id="145" w:name="_Toc513029214"/>
      <w:r>
        <w:rPr>
          <w:rFonts w:hint="eastAsia" w:ascii="宋体" w:hAnsi="宋体" w:eastAsia="宋体" w:cs="宋体"/>
          <w:color w:val="000000"/>
          <w:sz w:val="28"/>
          <w:szCs w:val="28"/>
          <w:highlight w:val="none"/>
        </w:rPr>
        <w:t xml:space="preserve">9、响应文件的语言及度量衡单位</w:t>
      </w:r>
      <w:bookmarkEnd w:id="142"/>
      <w:r/>
      <w:bookmarkEnd w:id="143"/>
      <w:r/>
      <w:bookmarkEnd w:id="144"/>
      <w:r/>
      <w:bookmarkEnd w:id="145"/>
      <w:r>
        <w:rPr>
          <w:rFonts w:hint="eastAsia" w:ascii="宋体" w:hAnsi="宋体" w:eastAsia="宋体" w:cs="宋体"/>
          <w:b/>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46" w:name="_Toc20823287"/>
      <w:r/>
      <w:bookmarkStart w:id="147" w:name="_Toc513029215"/>
      <w:r/>
      <w:bookmarkStart w:id="148" w:name="_Toc462564074"/>
      <w:r/>
      <w:bookmarkStart w:id="149" w:name="_Toc16938531"/>
      <w:r>
        <w:rPr>
          <w:rFonts w:hint="eastAsia" w:ascii="宋体" w:hAnsi="宋体" w:eastAsia="宋体" w:cs="宋体"/>
          <w:color w:val="000000"/>
          <w:sz w:val="28"/>
          <w:szCs w:val="28"/>
          <w:highlight w:val="none"/>
        </w:rPr>
        <w:t xml:space="preserve">10、响应文件构成</w:t>
      </w:r>
      <w:bookmarkEnd w:id="146"/>
      <w:r/>
      <w:bookmarkEnd w:id="147"/>
      <w:r/>
      <w:bookmarkEnd w:id="148"/>
      <w:r/>
      <w:bookmarkEnd w:id="149"/>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50" w:name="_Toc49090508"/>
      <w:r/>
      <w:bookmarkStart w:id="151" w:name="_Toc14577354"/>
      <w:r/>
      <w:bookmarkStart w:id="152" w:name="_Hlt26954838"/>
      <w:r/>
      <w:bookmarkEnd w:id="152"/>
      <w:r/>
      <w:bookmarkStart w:id="153" w:name="_Toc14577357"/>
      <w:r/>
      <w:bookmarkStart w:id="154" w:name="_Toc49090507"/>
      <w:r/>
      <w:bookmarkStart w:id="155" w:name="_Toc49090509"/>
      <w:r/>
      <w:bookmarkStart w:id="156" w:name="_Toc513029219"/>
      <w:r/>
      <w:bookmarkStart w:id="157" w:name="_Hlt26668975"/>
      <w:r/>
      <w:bookmarkEnd w:id="157"/>
      <w:r/>
      <w:bookmarkStart w:id="158" w:name="_Hlt26670360"/>
      <w:r/>
      <w:bookmarkEnd w:id="158"/>
      <w:r/>
      <w:bookmarkStart w:id="159" w:name="_Toc513029216"/>
      <w:r/>
      <w:bookmarkStart w:id="160" w:name="_Toc14577355"/>
      <w:r>
        <w:rPr>
          <w:rFonts w:hint="eastAsia" w:ascii="宋体" w:hAnsi="宋体" w:eastAsia="宋体" w:cs="宋体"/>
          <w:color w:val="000000"/>
          <w:sz w:val="28"/>
          <w:szCs w:val="28"/>
          <w:highlight w:val="none"/>
        </w:rPr>
        <w:t xml:space="preserve">11、证明磋商响应标的符合磋商文件规定的文件</w:t>
      </w:r>
      <w:bookmarkEnd w:id="151"/>
      <w:r/>
      <w:bookmarkEnd w:id="153"/>
      <w:r/>
      <w:bookmarkEnd w:id="154"/>
      <w:r/>
      <w:bookmarkEnd w:id="155"/>
      <w:r/>
      <w:bookmarkEnd w:id="156"/>
      <w:r/>
      <w:bookmarkEnd w:id="159"/>
      <w:r>
        <w:rPr>
          <w:rFonts w:hint="eastAsia" w:ascii="宋体" w:hAnsi="宋体" w:eastAsia="宋体" w:cs="宋体"/>
          <w:color w:val="000000"/>
          <w:sz w:val="28"/>
          <w:szCs w:val="28"/>
          <w:highlight w:val="none"/>
        </w:rPr>
      </w:r>
      <w:r/>
    </w:p>
    <w:p>
      <w:pPr>
        <w:pStyle w:val="1159"/>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159"/>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End w:id="150"/>
      <w:r/>
      <w:bookmarkEnd w:id="160"/>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61" w:name="_Hlt26954846"/>
      <w:r/>
      <w:bookmarkEnd w:id="161"/>
      <w:r/>
      <w:bookmarkStart w:id="162" w:name="_Hlt26670486"/>
      <w:r/>
      <w:bookmarkEnd w:id="162"/>
      <w:r/>
      <w:bookmarkStart w:id="163" w:name="_Hlt26954848"/>
      <w:r/>
      <w:bookmarkEnd w:id="163"/>
      <w:r/>
      <w:bookmarkStart w:id="164" w:name="_Hlt26670482"/>
      <w:r/>
      <w:bookmarkEnd w:id="164"/>
      <w:r/>
      <w:bookmarkStart w:id="165" w:name="_Hlt26954731"/>
      <w:r/>
      <w:bookmarkEnd w:id="165"/>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1159"/>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66" w:name="_Toc49090510"/>
      <w:r/>
      <w:bookmarkStart w:id="167"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1159"/>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1159"/>
        <w:keepLines/>
        <w:keepNext/>
        <w:spacing w:line="360" w:lineRule="auto"/>
        <w:rPr>
          <w:rFonts w:hint="eastAsia" w:ascii="宋体" w:hAnsi="宋体" w:eastAsia="宋体" w:cs="宋体"/>
          <w:color w:val="000000"/>
          <w:sz w:val="28"/>
          <w:szCs w:val="28"/>
          <w:highlight w:val="none"/>
        </w:rPr>
        <w:outlineLvl w:val="3"/>
      </w:pPr>
      <w:r/>
      <w:bookmarkEnd w:id="166"/>
      <w:r/>
      <w:bookmarkEnd w:id="167"/>
      <w:r/>
      <w:bookmarkStart w:id="168" w:name="_Toc14577360"/>
      <w:r/>
      <w:bookmarkStart w:id="169" w:name="_Toc49090511"/>
      <w:r>
        <w:rPr>
          <w:rFonts w:hint="eastAsia" w:ascii="宋体" w:hAnsi="宋体" w:eastAsia="宋体" w:cs="宋体"/>
          <w:color w:val="000000"/>
          <w:sz w:val="28"/>
          <w:szCs w:val="28"/>
          <w:highlight w:val="none"/>
        </w:rPr>
        <w:t xml:space="preserve">16、磋商有效期</w:t>
      </w:r>
      <w:bookmarkEnd w:id="168"/>
      <w:r/>
      <w:bookmarkEnd w:id="169"/>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170" w:name="_Hlt26954852"/>
      <w:r/>
      <w:bookmarkEnd w:id="170"/>
      <w:r/>
      <w:bookmarkStart w:id="171" w:name="_Hlt26954739"/>
      <w:r/>
      <w:bookmarkEnd w:id="171"/>
      <w:r/>
      <w:bookmarkStart w:id="172" w:name="_Toc513029224"/>
      <w:r/>
      <w:bookmarkStart w:id="173" w:name="_Toc20823296"/>
      <w:r/>
      <w:bookmarkStart w:id="174" w:name="_Toc120614217"/>
      <w:r/>
      <w:bookmarkStart w:id="175" w:name="_Toc16938540"/>
      <w:r>
        <w:rPr>
          <w:rFonts w:hint="eastAsia" w:ascii="宋体" w:hAnsi="宋体" w:eastAsia="宋体" w:cs="宋体"/>
          <w:b/>
          <w:bCs/>
          <w:color w:val="000000"/>
          <w:sz w:val="32"/>
          <w:szCs w:val="32"/>
          <w:highlight w:val="none"/>
        </w:rPr>
        <w:t xml:space="preserve">四、响应文件的递交</w:t>
      </w:r>
      <w:bookmarkEnd w:id="172"/>
      <w:r/>
      <w:bookmarkEnd w:id="173"/>
      <w:r/>
      <w:bookmarkEnd w:id="174"/>
      <w:r/>
      <w:bookmarkEnd w:id="175"/>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76" w:name="_Toc462564084"/>
      <w:r/>
      <w:bookmarkStart w:id="177" w:name="_Toc513029225"/>
      <w:r/>
      <w:bookmarkStart w:id="178" w:name="_Toc20823297"/>
      <w:r/>
      <w:bookmarkStart w:id="179" w:name="_Toc16938541"/>
      <w:r>
        <w:rPr>
          <w:rFonts w:hint="eastAsia" w:ascii="宋体" w:hAnsi="宋体" w:eastAsia="宋体" w:cs="宋体"/>
          <w:color w:val="000000"/>
          <w:sz w:val="28"/>
          <w:szCs w:val="28"/>
          <w:highlight w:val="none"/>
        </w:rPr>
        <w:t xml:space="preserve">18、电子磋商</w:t>
      </w:r>
      <w:bookmarkEnd w:id="176"/>
      <w:r/>
      <w:bookmarkEnd w:id="177"/>
      <w:r/>
      <w:bookmarkEnd w:id="178"/>
      <w:r/>
      <w:bookmarkEnd w:id="179"/>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0" w:name="_Toc20823298"/>
      <w:r/>
      <w:bookmarkStart w:id="181" w:name="_Toc513029226"/>
      <w:r/>
      <w:bookmarkStart w:id="182" w:name="_Toc16938542"/>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0"/>
      <w:r/>
      <w:bookmarkEnd w:id="181"/>
      <w:r/>
      <w:bookmarkEnd w:id="182"/>
      <w:r>
        <w:rPr>
          <w:rFonts w:hint="eastAsia" w:ascii="宋体" w:hAnsi="宋体" w:eastAsia="宋体" w:cs="宋体"/>
          <w:bCs/>
          <w:color w:val="000000"/>
          <w:sz w:val="24"/>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83" w:name="_Toc513029227"/>
      <w:r/>
      <w:bookmarkStart w:id="184" w:name="_Toc20823299"/>
      <w:r/>
      <w:bookmarkStart w:id="185" w:name="_Toc16938543"/>
      <w:r>
        <w:rPr>
          <w:rFonts w:hint="eastAsia" w:ascii="宋体" w:hAnsi="宋体" w:eastAsia="宋体" w:cs="宋体"/>
          <w:color w:val="000000"/>
          <w:sz w:val="28"/>
          <w:szCs w:val="28"/>
          <w:highlight w:val="none"/>
        </w:rPr>
        <w:t xml:space="preserve">20、响应文件</w:t>
      </w:r>
      <w:bookmarkEnd w:id="183"/>
      <w:r/>
      <w:bookmarkEnd w:id="184"/>
      <w:r/>
      <w:bookmarkEnd w:id="185"/>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86" w:name="_Toc16938544"/>
      <w:r/>
      <w:bookmarkStart w:id="187" w:name="_Toc513029228"/>
      <w:r/>
      <w:bookmarkStart w:id="188" w:name="_Toc20823300"/>
      <w:r>
        <w:rPr>
          <w:rFonts w:hint="eastAsia" w:ascii="宋体" w:hAnsi="宋体" w:eastAsia="宋体" w:cs="宋体"/>
          <w:color w:val="000000"/>
          <w:sz w:val="28"/>
          <w:szCs w:val="28"/>
          <w:highlight w:val="none"/>
        </w:rPr>
        <w:t xml:space="preserve">21、响应文件的撤回和修改</w:t>
      </w:r>
      <w:bookmarkEnd w:id="186"/>
      <w:r/>
      <w:bookmarkEnd w:id="187"/>
      <w:r/>
      <w:bookmarkEnd w:id="188"/>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189" w:name="_Toc513029229"/>
      <w:r/>
      <w:bookmarkStart w:id="190" w:name="_Toc120614218"/>
      <w:r/>
      <w:bookmarkStart w:id="191" w:name="_Toc16938545"/>
      <w:r/>
      <w:bookmarkStart w:id="192" w:name="_Toc20823301"/>
      <w:r>
        <w:rPr>
          <w:rFonts w:hint="eastAsia" w:ascii="宋体" w:hAnsi="宋体" w:eastAsia="宋体" w:cs="宋体"/>
          <w:b/>
          <w:bCs/>
          <w:color w:val="000000"/>
          <w:sz w:val="32"/>
          <w:szCs w:val="32"/>
          <w:highlight w:val="none"/>
        </w:rPr>
        <w:t xml:space="preserve">五、响应文件的解密与评审</w:t>
      </w:r>
      <w:bookmarkEnd w:id="189"/>
      <w:r/>
      <w:bookmarkEnd w:id="190"/>
      <w:r/>
      <w:bookmarkEnd w:id="191"/>
      <w:r/>
      <w:bookmarkEnd w:id="192"/>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93" w:name="_Toc20823302"/>
      <w:r/>
      <w:bookmarkStart w:id="194" w:name="_Toc16938546"/>
      <w:r/>
      <w:bookmarkStart w:id="195" w:name="_Toc513029230"/>
      <w:r>
        <w:rPr>
          <w:rFonts w:hint="eastAsia" w:ascii="宋体" w:hAnsi="宋体" w:eastAsia="宋体" w:cs="宋体"/>
          <w:color w:val="000000"/>
          <w:sz w:val="28"/>
          <w:szCs w:val="28"/>
          <w:highlight w:val="none"/>
        </w:rPr>
        <w:t xml:space="preserve">22、</w:t>
      </w:r>
      <w:bookmarkEnd w:id="193"/>
      <w:r/>
      <w:bookmarkEnd w:id="194"/>
      <w:r/>
      <w:bookmarkEnd w:id="195"/>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96" w:name="_Toc513029231"/>
      <w:r/>
      <w:bookmarkStart w:id="197" w:name="_Toc20823303"/>
      <w:r/>
      <w:bookmarkStart w:id="198" w:name="_Toc16938547"/>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6"/>
      <w:r/>
      <w:bookmarkEnd w:id="197"/>
      <w:r/>
      <w:bookmarkEnd w:id="198"/>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199" w:name="_Toc513029232"/>
      <w:r/>
      <w:bookmarkStart w:id="200" w:name="_Toc16938548"/>
      <w:r/>
      <w:bookmarkStart w:id="201" w:name="_Toc20823304"/>
      <w:r>
        <w:rPr>
          <w:rFonts w:hint="eastAsia" w:ascii="宋体" w:hAnsi="宋体" w:eastAsia="宋体" w:cs="宋体"/>
          <w:color w:val="000000"/>
          <w:sz w:val="28"/>
          <w:szCs w:val="28"/>
          <w:highlight w:val="none"/>
        </w:rPr>
        <w:t xml:space="preserve">25、评审过程中的澄清</w:t>
      </w:r>
      <w:bookmarkEnd w:id="199"/>
      <w:r/>
      <w:bookmarkEnd w:id="200"/>
      <w:r/>
      <w:bookmarkEnd w:id="201"/>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bookmarkStart w:id="202" w:name="_Toc16938549"/>
      <w:r/>
      <w:bookmarkStart w:id="203" w:name="_Toc513029233"/>
      <w:r/>
      <w:bookmarkStart w:id="204" w:name="_Toc20823305"/>
      <w:r>
        <w:rPr>
          <w:rFonts w:hint="eastAsia" w:ascii="宋体" w:hAnsi="宋体" w:eastAsia="宋体" w:cs="宋体"/>
          <w:color w:val="000000"/>
          <w:sz w:val="28"/>
          <w:szCs w:val="28"/>
          <w:highlight w:val="none"/>
        </w:rPr>
        <w:t xml:space="preserve">26、对响应文件的审</w:t>
      </w:r>
      <w:bookmarkEnd w:id="202"/>
      <w:r/>
      <w:bookmarkEnd w:id="203"/>
      <w:r/>
      <w:bookmarkEnd w:id="204"/>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1159"/>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1159"/>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5" w:name="_Toc513029234"/>
      <w:r/>
      <w:bookmarkStart w:id="206" w:name="_Toc16938550"/>
      <w:r/>
      <w:bookmarkStart w:id="207" w:name="_Toc20823306"/>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159"/>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5"/>
      <w:r/>
      <w:bookmarkEnd w:id="206"/>
      <w:r/>
      <w:bookmarkEnd w:id="207"/>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208" w:name="_Toc120614219"/>
      <w:r/>
      <w:bookmarkStart w:id="209" w:name="_Toc20823307"/>
      <w:r/>
      <w:bookmarkStart w:id="210" w:name="_Toc16938551"/>
      <w:r/>
      <w:bookmarkStart w:id="211" w:name="_Toc513029235"/>
      <w:r>
        <w:rPr>
          <w:rFonts w:hint="eastAsia" w:ascii="宋体" w:hAnsi="宋体" w:eastAsia="宋体" w:cs="宋体"/>
          <w:b/>
          <w:bCs/>
          <w:color w:val="000000"/>
          <w:sz w:val="32"/>
          <w:szCs w:val="32"/>
          <w:highlight w:val="none"/>
        </w:rPr>
        <w:t xml:space="preserve">六、</w:t>
      </w:r>
      <w:bookmarkEnd w:id="208"/>
      <w:r/>
      <w:bookmarkEnd w:id="209"/>
      <w:r/>
      <w:bookmarkEnd w:id="210"/>
      <w:r/>
      <w:bookmarkEnd w:id="211"/>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bCs/>
          <w:color w:val="000000"/>
          <w:sz w:val="30"/>
          <w:szCs w:val="30"/>
          <w:highlight w:val="none"/>
        </w:rPr>
        <w:outlineLvl w:val="3"/>
      </w:pPr>
      <w:r/>
      <w:bookmarkStart w:id="212" w:name="_Toc20823310"/>
      <w:r/>
      <w:bookmarkStart w:id="213" w:name="_Toc513029238"/>
      <w:r/>
      <w:bookmarkStart w:id="214" w:name="_Toc16938554"/>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2"/>
      <w:r/>
      <w:bookmarkEnd w:id="214"/>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159"/>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159"/>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1159"/>
        <w:keepLines/>
        <w:keepNext/>
        <w:spacing w:line="360" w:lineRule="auto"/>
        <w:rPr>
          <w:rFonts w:hint="eastAsia" w:ascii="宋体" w:hAnsi="宋体" w:eastAsia="宋体" w:cs="宋体"/>
          <w:bCs/>
          <w:color w:val="000000"/>
          <w:sz w:val="30"/>
          <w:szCs w:val="30"/>
          <w:highlight w:val="none"/>
        </w:rPr>
        <w:outlineLvl w:val="3"/>
      </w:pPr>
      <w:r/>
      <w:bookmarkStart w:id="215" w:name="_Toc200451960"/>
      <w:r>
        <w:rPr>
          <w:rFonts w:hint="eastAsia" w:ascii="宋体" w:hAnsi="宋体" w:eastAsia="宋体" w:cs="宋体"/>
          <w:bCs/>
          <w:color w:val="000000"/>
          <w:sz w:val="30"/>
          <w:szCs w:val="30"/>
          <w:highlight w:val="none"/>
        </w:rPr>
        <w:t xml:space="preserve">29、质疑处理</w:t>
      </w:r>
      <w:bookmarkEnd w:id="215"/>
      <w:r>
        <w:rPr>
          <w:rFonts w:hint="eastAsia" w:ascii="宋体" w:hAnsi="宋体" w:eastAsia="宋体" w:cs="宋体"/>
          <w:bCs/>
          <w:color w:val="000000"/>
          <w:sz w:val="30"/>
          <w:szCs w:val="30"/>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b/>
          <w:bCs/>
          <w:color w:val="000000"/>
          <w:sz w:val="32"/>
          <w:szCs w:val="32"/>
          <w:highlight w:val="none"/>
        </w:rPr>
        <w:outlineLvl w:val="2"/>
      </w:pPr>
      <w:r/>
      <w:bookmarkStart w:id="216" w:name="_Toc120614220"/>
      <w:r/>
      <w:bookmarkStart w:id="217" w:name="_Toc513029236"/>
      <w:r/>
      <w:bookmarkStart w:id="218" w:name="_Toc20823308"/>
      <w:r/>
      <w:bookmarkStart w:id="219" w:name="_Toc16938552"/>
      <w:r>
        <w:rPr>
          <w:rFonts w:hint="eastAsia" w:ascii="宋体" w:hAnsi="宋体" w:eastAsia="宋体" w:cs="宋体"/>
          <w:b/>
          <w:bCs/>
          <w:color w:val="000000"/>
          <w:sz w:val="32"/>
          <w:szCs w:val="32"/>
          <w:highlight w:val="none"/>
        </w:rPr>
        <w:t xml:space="preserve">七、授予合同</w:t>
      </w:r>
      <w:bookmarkEnd w:id="216"/>
      <w:r>
        <w:rPr>
          <w:rFonts w:hint="eastAsia" w:ascii="宋体" w:hAnsi="宋体" w:eastAsia="宋体" w:cs="宋体"/>
          <w:b/>
          <w:bCs/>
          <w:color w:val="000000"/>
          <w:sz w:val="32"/>
          <w:szCs w:val="32"/>
          <w:highlight w:val="none"/>
        </w:rPr>
      </w:r>
      <w:r/>
    </w:p>
    <w:p>
      <w:pPr>
        <w:pStyle w:val="1159"/>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1159"/>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115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1159"/>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1159"/>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1159"/>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1159"/>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1159"/>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159"/>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159"/>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1159"/>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1159"/>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1159"/>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1159"/>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1159"/>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1159"/>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340"/>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1159"/>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159"/>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1159"/>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1159"/>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1159"/>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11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1159"/>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1159"/>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3"/>
      <w:r/>
      <w:bookmarkEnd w:id="104"/>
      <w:r/>
      <w:bookmarkEnd w:id="105"/>
      <w:r/>
      <w:bookmarkEnd w:id="106"/>
      <w:r/>
      <w:bookmarkStart w:id="220" w:name="_Toc264969244"/>
      <w:r/>
      <w:bookmarkStart w:id="221" w:name="_Toc353873664"/>
      <w:r/>
      <w:bookmarkStart w:id="222" w:name="_Toc265228392"/>
      <w:r/>
      <w:bookmarkStart w:id="223" w:name="_Toc15251"/>
      <w:r/>
      <w:bookmarkStart w:id="224" w:name="_Toc104818927"/>
      <w:r/>
      <w:bookmarkStart w:id="225" w:name="_Toc1041"/>
      <w:r/>
      <w:bookmarkStart w:id="226" w:name="_Toc142311056"/>
      <w:r/>
      <w:bookmarkStart w:id="227" w:name="_Toc305158896"/>
      <w:r/>
      <w:bookmarkStart w:id="228" w:name="_Toc353873934"/>
      <w:r/>
      <w:bookmarkStart w:id="229" w:name="_Toc150480792"/>
      <w:r/>
      <w:bookmarkStart w:id="230" w:name="_Toc305158822"/>
      <w:r/>
      <w:bookmarkStart w:id="231" w:name="_Toc353825544"/>
      <w:r/>
      <w:bookmarkStart w:id="232" w:name="_Toc150774759"/>
      <w:r/>
      <w:bookmarkStart w:id="233" w:name="_Toc226337250"/>
      <w:r/>
      <w:bookmarkStart w:id="234" w:name="_Toc226965827"/>
      <w:r/>
      <w:bookmarkStart w:id="235" w:name="_Toc127151554"/>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1221"/>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1159"/>
        <w:jc w:val="center"/>
        <w:spacing w:line="360" w:lineRule="auto"/>
        <w:rPr>
          <w:b/>
          <w:color w:val="000000"/>
          <w:sz w:val="36"/>
          <w:szCs w:val="36"/>
          <w:highlight w:val="none"/>
        </w:rPr>
        <w:sectPr>
          <w:headerReference w:type="default" r:id="rId12"/>
          <w:footerReference w:type="default" r:id="rId23"/>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1159"/>
        <w:jc w:val="center"/>
        <w:spacing w:line="360" w:lineRule="auto"/>
        <w:rPr>
          <w:b/>
          <w:color w:val="000000"/>
          <w:sz w:val="36"/>
          <w:szCs w:val="36"/>
          <w:highlight w:val="none"/>
        </w:rPr>
        <w:outlineLvl w:val="0"/>
      </w:pPr>
      <w:r>
        <w:rPr>
          <w:b/>
          <w:color w:val="000000"/>
          <w:sz w:val="36"/>
          <w:szCs w:val="36"/>
          <w:highlight w:val="none"/>
        </w:rPr>
        <w:t xml:space="preserve">第三章  </w:t>
      </w:r>
      <w:bookmarkEnd w:id="220"/>
      <w:r/>
      <w:bookmarkEnd w:id="221"/>
      <w:r/>
      <w:bookmarkEnd w:id="222"/>
      <w:r/>
      <w:bookmarkEnd w:id="226"/>
      <w:r/>
      <w:bookmarkEnd w:id="227"/>
      <w:r/>
      <w:bookmarkEnd w:id="228"/>
      <w:r/>
      <w:bookmarkEnd w:id="229"/>
      <w:r/>
      <w:bookmarkEnd w:id="230"/>
      <w:r/>
      <w:bookmarkEnd w:id="231"/>
      <w:r/>
      <w:bookmarkEnd w:id="232"/>
      <w:r/>
      <w:bookmarkEnd w:id="233"/>
      <w:r/>
      <w:bookmarkEnd w:id="234"/>
      <w:r/>
      <w:bookmarkEnd w:id="235"/>
      <w:r/>
      <w:bookmarkStart w:id="236" w:name="_Toc99301421"/>
      <w:r>
        <w:rPr>
          <w:b/>
          <w:color w:val="000000"/>
          <w:sz w:val="36"/>
          <w:szCs w:val="36"/>
          <w:highlight w:val="none"/>
        </w:rPr>
        <w:t xml:space="preserve"> 资格审查</w:t>
      </w:r>
      <w:bookmarkEnd w:id="223"/>
      <w:r/>
      <w:bookmarkEnd w:id="225"/>
      <w:r/>
      <w:bookmarkEnd w:id="236"/>
      <w:r>
        <w:rPr>
          <w:b/>
          <w:color w:val="000000"/>
          <w:sz w:val="36"/>
          <w:szCs w:val="36"/>
          <w:highlight w:val="none"/>
        </w:rPr>
      </w:r>
      <w:r/>
    </w:p>
    <w:p>
      <w:pPr>
        <w:pStyle w:val="1159"/>
        <w:ind w:firstLine="2891"/>
        <w:spacing w:line="360" w:lineRule="auto"/>
        <w:tabs>
          <w:tab w:val="left" w:pos="360" w:leader="none"/>
          <w:tab w:val="left" w:pos="900" w:leader="none"/>
        </w:tabs>
        <w:rPr>
          <w:b/>
          <w:color w:val="000000"/>
          <w:sz w:val="32"/>
          <w:szCs w:val="32"/>
          <w:highlight w:val="none"/>
        </w:rPr>
        <w:outlineLvl w:val="1"/>
      </w:pPr>
      <w:r/>
      <w:bookmarkStart w:id="23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7"/>
      <w:r>
        <w:rPr>
          <w:b/>
          <w:color w:val="000000"/>
          <w:sz w:val="32"/>
          <w:szCs w:val="32"/>
          <w:highlight w:val="none"/>
        </w:rPr>
      </w:r>
      <w:r/>
    </w:p>
    <w:p>
      <w:pPr>
        <w:pStyle w:val="115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115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115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115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1159"/>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1159"/>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1159"/>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1159"/>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159"/>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1159"/>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1159"/>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1159"/>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1159"/>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1159"/>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1159"/>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1159"/>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9"/>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1159"/>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1159"/>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9"/>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1159"/>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1159"/>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159"/>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159"/>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1159"/>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1159"/>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1159"/>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1159"/>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1159"/>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9"/>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1159"/>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340"/>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1159"/>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340"/>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1159"/>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1159"/>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1159"/>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1159"/>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1159"/>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7.1供应商具备水利水电工程施工总承包三级及以上资质；</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7.3项目负责人具有水利水电工程二级及以上注册建造师证，并具有水行政主管部门颁发的安全生产考核合格证书（B类）；</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7.4项目负责人无在建工程，须由响应单位及项目负责人自行作出承诺（格式自拟）；</w:t>
            </w:r>
            <w:r>
              <w:rPr>
                <w:rFonts w:hint="eastAsia" w:ascii="Times New Roman" w:hAnsi="Times New Roman" w:eastAsia="宋体" w:cs="Times New Roman"/>
                <w:color w:val="000000"/>
                <w:sz w:val="24"/>
                <w:highlight w:val="none"/>
                <w:lang w:val="en-US" w:eastAsia="zh-CN"/>
              </w:rPr>
            </w:r>
            <w:r/>
          </w:p>
          <w:p>
            <w:pPr>
              <w:pStyle w:val="1159"/>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7.5供应商具有水行政主管部门颁发的企业主要负责人安全生产考核合格证A证、水行政主管部门颁发的专职安全员安全生产考核合格证书C证。</w:t>
            </w:r>
            <w:r>
              <w:rPr>
                <w:rFonts w:hint="eastAsia" w:ascii="Times New Roman" w:hAnsi="Times New Roman" w:eastAsia="宋体" w:cs="Times New Roman"/>
                <w:color w:val="000000"/>
                <w:sz w:val="24"/>
                <w:highlight w:val="none"/>
                <w:lang w:val="en-US" w:eastAsia="zh-CN"/>
              </w:rPr>
            </w:r>
            <w:r/>
          </w:p>
          <w:p>
            <w:pPr>
              <w:pStyle w:val="1159"/>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1159"/>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1159"/>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1159"/>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1159"/>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1159"/>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1159"/>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1159"/>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15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1159"/>
        <w:spacing w:line="360" w:lineRule="auto"/>
        <w:rPr>
          <w:b/>
          <w:color w:val="000000"/>
          <w:sz w:val="36"/>
          <w:szCs w:val="36"/>
          <w:highlight w:val="none"/>
        </w:rPr>
      </w:pPr>
      <w:r>
        <w:rPr>
          <w:b/>
          <w:color w:val="000000"/>
          <w:sz w:val="36"/>
          <w:szCs w:val="36"/>
          <w:highlight w:val="none"/>
        </w:rPr>
      </w:r>
      <w:r/>
    </w:p>
    <w:p>
      <w:pPr>
        <w:pStyle w:val="1159"/>
        <w:jc w:val="center"/>
        <w:keepLines w:val="0"/>
        <w:keepNext w:val="0"/>
        <w:pageBreakBefore w:val="0"/>
        <w:spacing w:line="360" w:lineRule="auto"/>
        <w:widowControl w:val="off"/>
        <w:rPr>
          <w:b/>
          <w:color w:val="000000"/>
          <w:sz w:val="36"/>
          <w:szCs w:val="36"/>
          <w:highlight w:val="none"/>
        </w:rPr>
        <w:outlineLvl w:val="9"/>
      </w:pPr>
      <w:r/>
      <w:bookmarkStart w:id="238" w:name="_Toc12335"/>
      <w:r>
        <w:rPr>
          <w:b/>
          <w:color w:val="000000"/>
          <w:sz w:val="36"/>
          <w:szCs w:val="36"/>
          <w:highlight w:val="none"/>
        </w:rPr>
      </w:r>
      <w:r/>
    </w:p>
    <w:p>
      <w:pPr>
        <w:pStyle w:val="1159"/>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4"/>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39" w:name="_Toc30707"/>
      <w:r>
        <w:rPr>
          <w:rFonts w:ascii="Times New Roman" w:hAnsi="Times New Roman" w:eastAsia="宋体" w:cs="Times New Roman"/>
          <w:b/>
          <w:color w:val="000000"/>
          <w:sz w:val="36"/>
          <w:szCs w:val="36"/>
          <w:highlight w:val="none"/>
        </w:rPr>
      </w:r>
      <w:r/>
    </w:p>
    <w:p>
      <w:pPr>
        <w:pStyle w:val="115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24"/>
      <w:r/>
      <w:bookmarkEnd w:id="238"/>
      <w:r/>
      <w:bookmarkEnd w:id="239"/>
      <w:r/>
      <w:bookmarkStart w:id="240" w:name="_Toc487900382"/>
      <w:r>
        <w:rPr>
          <w:rFonts w:ascii="Times New Roman" w:hAnsi="Times New Roman" w:eastAsia="宋体" w:cs="Times New Roman"/>
          <w:b/>
          <w:color w:val="000000"/>
          <w:sz w:val="36"/>
          <w:szCs w:val="36"/>
          <w:highlight w:val="none"/>
        </w:rPr>
      </w:r>
      <w:r/>
    </w:p>
    <w:p>
      <w:pPr>
        <w:pStyle w:val="1159"/>
        <w:ind w:firstLine="2570"/>
        <w:jc w:val="left"/>
        <w:spacing w:line="360" w:lineRule="auto"/>
        <w:tabs>
          <w:tab w:val="left" w:pos="360" w:leader="none"/>
          <w:tab w:val="left" w:pos="900" w:leader="none"/>
        </w:tabs>
        <w:rPr>
          <w:b/>
          <w:color w:val="000000"/>
          <w:sz w:val="32"/>
          <w:szCs w:val="32"/>
          <w:highlight w:val="none"/>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40"/>
      <w:r/>
      <w:bookmarkStart w:id="241" w:name="_Toc305158823"/>
      <w:r/>
      <w:bookmarkStart w:id="242" w:name="_Toc353873941"/>
      <w:r/>
      <w:bookmarkStart w:id="243" w:name="_Toc353825551"/>
      <w:r/>
      <w:bookmarkStart w:id="244" w:name="_Toc150774760"/>
      <w:r/>
      <w:bookmarkStart w:id="245" w:name="_Toc353873935"/>
      <w:r/>
      <w:bookmarkStart w:id="246" w:name="_Toc195842920"/>
      <w:r/>
      <w:bookmarkStart w:id="247" w:name="_Toc142311057"/>
      <w:r/>
      <w:bookmarkStart w:id="248" w:name="_Toc265228393"/>
      <w:r/>
      <w:bookmarkStart w:id="249" w:name="_Toc226337251"/>
      <w:r/>
      <w:bookmarkStart w:id="250" w:name="_Toc127151555"/>
      <w:r/>
      <w:bookmarkStart w:id="251" w:name="_Toc150480793"/>
      <w:r/>
      <w:bookmarkStart w:id="252" w:name="_Toc353825545"/>
      <w:r/>
      <w:bookmarkStart w:id="253" w:name="_Toc353873665"/>
      <w:r/>
      <w:bookmarkStart w:id="254" w:name="_Toc226965828"/>
      <w:r/>
      <w:bookmarkStart w:id="255" w:name="_Toc305158897"/>
      <w:r/>
      <w:bookmarkStart w:id="256" w:name="_Toc264969245"/>
      <w:r>
        <w:rPr>
          <w:rFonts w:hint="eastAsia"/>
          <w:b/>
          <w:color w:val="000000"/>
          <w:sz w:val="32"/>
          <w:szCs w:val="32"/>
          <w:highlight w:val="none"/>
        </w:rPr>
        <w:t xml:space="preserve">第一节 符合性审查程序</w:t>
      </w:r>
      <w:r>
        <w:rPr>
          <w:b/>
          <w:color w:val="000000"/>
          <w:sz w:val="32"/>
          <w:szCs w:val="32"/>
          <w:highlight w:val="none"/>
        </w:rPr>
      </w:r>
      <w:r/>
    </w:p>
    <w:p>
      <w:pPr>
        <w:pStyle w:val="1159"/>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7" w:name="_Toc520356167"/>
      <w:r>
        <w:rPr>
          <w:color w:val="000000"/>
          <w:sz w:val="24"/>
          <w:highlight w:val="none"/>
        </w:rPr>
      </w:r>
      <w:r/>
    </w:p>
    <w:p>
      <w:pPr>
        <w:pStyle w:val="1159"/>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的，响应无效。</w:t>
      </w:r>
      <w:r>
        <w:rPr>
          <w:color w:val="000000"/>
          <w:sz w:val="24"/>
          <w:highlight w:val="none"/>
        </w:rPr>
      </w:r>
      <w:r/>
    </w:p>
    <w:p>
      <w:pPr>
        <w:pStyle w:val="1159"/>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340"/>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1159"/>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1159"/>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1159"/>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1159"/>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1159"/>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1159"/>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1159"/>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1159"/>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2.1响应文件中的报价清单与磋商文件提供的工程量清单中的项目名称、计量单位、工程数量不一致的。</w:t>
            </w:r>
            <w:r>
              <w:rPr>
                <w:rFonts w:hint="eastAsia" w:ascii="Times New Roman" w:hAnsi="Times New Roman" w:eastAsia="宋体" w:cs="Times New Roman"/>
                <w:b/>
                <w:bCs/>
                <w:color w:val="000000"/>
                <w:sz w:val="24"/>
                <w:highlight w:val="none"/>
                <w:lang w:val="en-US" w:eastAsia="zh-CN"/>
              </w:rPr>
            </w:r>
            <w:r/>
          </w:p>
          <w:p>
            <w:pPr>
              <w:pStyle w:val="1159"/>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2.2</w:t>
            </w:r>
            <w:r>
              <w:rPr>
                <w:rFonts w:hint="eastAsia" w:ascii="Times New Roman" w:hAnsi="Times New Roman" w:eastAsia="宋体" w:cs="Times New Roman"/>
                <w:b/>
                <w:bCs/>
                <w:color w:val="000000"/>
                <w:sz w:val="24"/>
                <w:highlight w:val="none"/>
                <w:lang w:val="en-US" w:eastAsia="zh-CN"/>
              </w:rPr>
              <w:t xml:space="preserve">响应文件中的分类分项工程量清单计价表中单价高于磋商文件提供的招标控制价中的分类分项工程量清单计价表中单价的。</w:t>
            </w:r>
            <w:r>
              <w:rPr>
                <w:rFonts w:hint="eastAsia" w:ascii="Times New Roman" w:hAnsi="Times New Roman" w:eastAsia="宋体" w:cs="Times New Roman"/>
                <w:b/>
                <w:bCs/>
                <w:color w:val="000000"/>
                <w:sz w:val="24"/>
                <w:highlight w:val="none"/>
                <w:lang w:val="en-US" w:eastAsia="zh-CN"/>
              </w:rPr>
            </w:r>
            <w:r/>
          </w:p>
          <w:p>
            <w:pPr>
              <w:pStyle w:val="1159"/>
              <w:numPr>
                <w:ilvl w:val="0"/>
                <w:numId w:val="0"/>
              </w:numPr>
              <w:ind w:firstLine="482"/>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2.3改变工程量清单中的</w:t>
            </w:r>
            <w:r>
              <w:rPr>
                <w:rFonts w:hint="eastAsia" w:ascii="Times New Roman" w:hAnsi="Times New Roman" w:eastAsia="宋体" w:cs="Times New Roman"/>
                <w:b/>
                <w:bCs/>
                <w:color w:val="000000"/>
                <w:sz w:val="24"/>
                <w:szCs w:val="24"/>
                <w:highlight w:val="none"/>
                <w:lang w:val="en-US" w:eastAsia="zh-CN" w:bidi="ar-SA"/>
              </w:rPr>
              <w:t xml:space="preserve">“</w:t>
            </w:r>
            <w:r>
              <w:rPr>
                <w:rFonts w:hint="eastAsia" w:ascii="Times New Roman" w:hAnsi="Times New Roman" w:eastAsia="宋体" w:cs="Times New Roman"/>
                <w:b/>
                <w:bCs/>
                <w:color w:val="000000"/>
                <w:sz w:val="24"/>
                <w:szCs w:val="24"/>
                <w:highlight w:val="none"/>
                <w:lang w:val="en-US" w:eastAsia="zh-CN" w:bidi="ar-SA"/>
              </w:rPr>
              <w:t xml:space="preserve">安全文明措施费”的。</w:t>
            </w:r>
            <w:r>
              <w:rPr>
                <w:rFonts w:hint="eastAsia" w:ascii="Times New Roman" w:hAnsi="Times New Roman" w:eastAsia="宋体" w:cs="Times New Roman"/>
                <w:b/>
                <w:bCs/>
                <w:color w:val="000000"/>
                <w:sz w:val="24"/>
                <w:szCs w:val="24"/>
                <w:highlight w:val="none"/>
                <w:lang w:val="en-US" w:eastAsia="zh-CN" w:bidi="ar-SA"/>
              </w:rPr>
            </w:r>
            <w:r/>
          </w:p>
          <w:p>
            <w:pPr>
              <w:pStyle w:val="1159"/>
              <w:numPr>
                <w:ilvl w:val="0"/>
                <w:numId w:val="0"/>
              </w:numPr>
              <w:ind w:firstLine="482"/>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2.4改变“工程一切险、第三者责任险、安全生产责任险、人身意外伤害险”或“工伤保险”费率的。</w:t>
            </w:r>
            <w:r>
              <w:rPr>
                <w:rFonts w:hint="eastAsia" w:ascii="Times New Roman" w:hAnsi="Times New Roman" w:eastAsia="宋体" w:cs="Times New Roman"/>
                <w:b/>
                <w:bCs/>
                <w:color w:val="000000"/>
                <w:sz w:val="24"/>
                <w:szCs w:val="24"/>
                <w:highlight w:val="none"/>
                <w:lang w:val="en-US" w:eastAsia="zh-CN" w:bidi="ar-SA"/>
              </w:rPr>
            </w:r>
            <w:r/>
          </w:p>
          <w:p>
            <w:pPr>
              <w:pStyle w:val="1159"/>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szCs w:val="24"/>
                <w:highlight w:val="none"/>
                <w:lang w:val="en-US" w:eastAsia="zh-CN" w:bidi="ar-SA"/>
              </w:rPr>
              <w:t xml:space="preserve">2.5改变</w:t>
            </w:r>
            <w:r>
              <w:rPr>
                <w:rFonts w:hint="eastAsia" w:ascii="Times New Roman" w:hAnsi="Times New Roman" w:eastAsia="宋体" w:cs="Times New Roman"/>
                <w:b/>
                <w:bCs/>
                <w:color w:val="000000"/>
                <w:sz w:val="24"/>
                <w:highlight w:val="none"/>
                <w:lang w:val="en-US" w:eastAsia="zh-CN"/>
              </w:rPr>
              <w:t xml:space="preserve">工程量清单中的</w:t>
            </w:r>
            <w:r>
              <w:rPr>
                <w:rFonts w:hint="eastAsia" w:ascii="Times New Roman" w:hAnsi="Times New Roman" w:eastAsia="宋体" w:cs="Times New Roman"/>
                <w:b/>
                <w:bCs/>
                <w:color w:val="000000"/>
                <w:sz w:val="24"/>
                <w:szCs w:val="24"/>
                <w:highlight w:val="none"/>
                <w:lang w:val="en-US" w:eastAsia="zh-CN" w:bidi="ar-SA"/>
              </w:rPr>
              <w:t xml:space="preserve">预留金的。</w:t>
            </w:r>
            <w:r>
              <w:rPr>
                <w:rFonts w:hint="eastAsia" w:ascii="Times New Roman" w:hAnsi="Times New Roman" w:eastAsia="宋体" w:cs="Times New Roman"/>
                <w:b/>
                <w:bCs/>
                <w:color w:val="000000"/>
                <w:sz w:val="24"/>
                <w:highlight w:val="none"/>
                <w:lang w:val="en-US" w:eastAsia="zh-CN"/>
              </w:rPr>
            </w:r>
            <w:r/>
          </w:p>
        </w:tc>
        <w:tc>
          <w:tcPr>
            <w:tcW w:w="1017" w:type="dxa"/>
            <w:vAlign w:val="center"/>
            <w:textDirection w:val="lrTb"/>
            <w:noWrap w:val="false"/>
          </w:tcPr>
          <w:p>
            <w:pPr>
              <w:pStyle w:val="1159"/>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1159"/>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1159"/>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1159"/>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1159"/>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1159"/>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1159"/>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1159"/>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1159"/>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1159"/>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1159"/>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1159"/>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115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1159"/>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115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9"/>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1159"/>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1159"/>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1159"/>
              <w:jc w:val="left"/>
              <w:widowControl/>
              <w:rPr>
                <w:color w:val="000000"/>
                <w:sz w:val="24"/>
                <w:highlight w:val="none"/>
              </w:rPr>
            </w:pPr>
            <w:r>
              <w:rPr>
                <w:color w:val="000000"/>
                <w:sz w:val="24"/>
                <w:highlight w:val="none"/>
              </w:rPr>
            </w:r>
            <w:r/>
          </w:p>
        </w:tc>
      </w:tr>
    </w:tbl>
    <w:p>
      <w:pPr>
        <w:pStyle w:val="1159"/>
        <w:ind w:firstLine="602"/>
        <w:jc w:val="left"/>
        <w:spacing w:line="360" w:lineRule="auto"/>
        <w:widowControl/>
        <w:rPr>
          <w:color w:val="000000"/>
          <w:sz w:val="24"/>
          <w:highlight w:val="none"/>
        </w:rPr>
      </w:pPr>
      <w:r/>
      <w:bookmarkStart w:id="258" w:name="_Hlt487972895"/>
      <w:r/>
      <w:bookmarkEnd w:id="258"/>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1159"/>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159"/>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115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1159"/>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1159"/>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1159"/>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1159"/>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1159"/>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1159"/>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159"/>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15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1159"/>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1221"/>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1159"/>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159"/>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159"/>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115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159"/>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1159"/>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159"/>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1159"/>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1159"/>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159"/>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1159"/>
        <w:ind w:firstLine="602"/>
        <w:spacing w:line="360" w:lineRule="auto"/>
        <w:tabs>
          <w:tab w:val="left" w:pos="360" w:leader="none"/>
        </w:tabs>
        <w:rPr>
          <w:b/>
          <w:color w:val="000000"/>
          <w:sz w:val="30"/>
          <w:szCs w:val="30"/>
          <w:highlight w:val="none"/>
        </w:rPr>
        <w:outlineLvl w:val="1"/>
      </w:pPr>
      <w:r/>
      <w:bookmarkEnd w:id="242"/>
      <w:r/>
      <w:bookmarkEnd w:id="243"/>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1159"/>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115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9" w:name="_Toc226965819"/>
      <w:r/>
      <w:bookmarkStart w:id="260" w:name="_Toc226337242"/>
      <w:r/>
      <w:bookmarkStart w:id="261" w:name="_Toc265228384"/>
      <w:r/>
      <w:bookmarkStart w:id="262" w:name="_Toc150774751"/>
      <w:r/>
      <w:bookmarkStart w:id="263" w:name="_Toc127151546"/>
      <w:r/>
      <w:bookmarkStart w:id="264" w:name="_Toc226965736"/>
      <w:r/>
      <w:bookmarkStart w:id="265" w:name="_Toc150480784"/>
      <w:r/>
      <w:bookmarkStart w:id="266" w:name="_Toc520356170"/>
      <w:r/>
      <w:bookmarkStart w:id="267" w:name="_Toc151190173"/>
      <w:r/>
      <w:bookmarkStart w:id="268" w:name="_Toc305158888"/>
      <w:r/>
      <w:bookmarkStart w:id="269" w:name="_Ref467307010"/>
      <w:r/>
      <w:bookmarkStart w:id="270" w:name="_Toc264969236"/>
      <w:r/>
      <w:bookmarkStart w:id="271" w:name="_Toc151193934"/>
      <w:r/>
      <w:bookmarkStart w:id="272" w:name="_Toc195842911"/>
      <w:r/>
      <w:bookmarkStart w:id="273" w:name="_Toc164608660"/>
      <w:r/>
      <w:bookmarkStart w:id="274" w:name="_Toc164229387"/>
      <w:r/>
      <w:bookmarkStart w:id="275" w:name="_Toc149720839"/>
      <w:r/>
      <w:bookmarkStart w:id="276" w:name="_Toc151193860"/>
      <w:r/>
      <w:bookmarkStart w:id="277" w:name="_Toc127151747"/>
      <w:r/>
      <w:bookmarkStart w:id="278" w:name="_Toc151193644"/>
      <w:r/>
      <w:bookmarkStart w:id="279" w:name="_Toc164608815"/>
      <w:r/>
      <w:bookmarkStart w:id="280" w:name="_Toc142311048"/>
      <w:r/>
      <w:bookmarkStart w:id="281" w:name="_Toc127161460"/>
      <w:r/>
      <w:bookmarkStart w:id="282" w:name="_Toc226309790"/>
      <w:r/>
      <w:bookmarkStart w:id="283" w:name="_Toc150774646"/>
      <w:r/>
      <w:bookmarkStart w:id="284" w:name="_Toc305158814"/>
      <w:r/>
      <w:bookmarkStart w:id="285" w:name="_Toc151193716"/>
      <w:r/>
      <w:bookmarkStart w:id="286" w:name="_Toc164229241"/>
      <w:r/>
      <w:bookmarkStart w:id="287" w:name="_Toc151193788"/>
      <w:r/>
      <w:bookmarkStart w:id="288" w:name="_Toc150509297"/>
      <w:r/>
      <w:bookmarkStart w:id="289" w:name="_Toc164351640"/>
      <w:r>
        <w:rPr>
          <w:b/>
          <w:color w:val="000000"/>
          <w:sz w:val="30"/>
          <w:szCs w:val="30"/>
          <w:highlight w:val="none"/>
        </w:rPr>
        <w:t xml:space="preserve">成交候选人名单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1159"/>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1159"/>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15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1159"/>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1159"/>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1159"/>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1159"/>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1159"/>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406"/>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96"/>
        </w:trPr>
        <w:tc>
          <w:tcPr>
            <w:tcW w:w="676" w:type="dxa"/>
            <w:vAlign w:val="center"/>
            <w:textDirection w:val="lrTb"/>
            <w:noWrap w:val="false"/>
          </w:tcPr>
          <w:p>
            <w:pPr>
              <w:pStyle w:val="1159"/>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1159"/>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9"/>
              <w:ind w:firstLine="28"/>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9"/>
              <w:jc w:val="left"/>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5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115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本项目属于专门面向中小企业采购的项目，不享受第三章《评审程序、评审方法和评审标准》3.3条规定。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此处最后报价指经过报价修正，及因落实政府采购政策进行价格调整后的最后报价。详见第三章《评审程序、评审方法和评审标准》3.2及3.3</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9"/>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1159"/>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1159"/>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9"/>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Cs/>
                <w:szCs w:val="21"/>
                <w:highlight w:val="none"/>
              </w:rPr>
              <w:t xml:space="preserve">工场布置及其他临时设施</w:t>
            </w:r>
            <w:r>
              <w:rPr>
                <w:rFonts w:hint="eastAsia" w:ascii="宋体" w:hAnsi="宋体" w:cs="宋体"/>
                <w:bCs/>
                <w:szCs w:val="21"/>
                <w:highlight w:val="none"/>
                <w:lang w:val="en-US" w:eastAsia="zh-CN"/>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b w:val="0"/>
                <w:bCs/>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w:t>
            </w:r>
            <w:r>
              <w:rPr>
                <w:rFonts w:hint="eastAsia" w:ascii="宋体" w:hAnsi="宋体" w:eastAsia="宋体" w:cs="宋体"/>
                <w:color w:val="000000"/>
                <w:sz w:val="21"/>
                <w:szCs w:val="21"/>
                <w:highlight w:val="none"/>
                <w:lang w:val="en-US" w:eastAsia="zh-CN" w:bidi="ar-SA"/>
              </w:rPr>
              <w:t xml:space="preserve">商提供的工场布置及其他临时设施方案，</w:t>
            </w:r>
            <w:r>
              <w:rPr>
                <w:rFonts w:hint="eastAsia" w:ascii="宋体" w:hAnsi="宋体" w:eastAsia="宋体" w:cs="宋体"/>
                <w:color w:val="000000"/>
                <w:sz w:val="21"/>
                <w:szCs w:val="21"/>
                <w:highlight w:val="none"/>
                <w:lang w:val="en-US" w:eastAsia="zh-CN" w:bidi="ar-SA"/>
              </w:rPr>
              <w:t xml:space="preserve">根据方案的完整性、可行性进行综合评分。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措施方案完整、可行，能完全满足项目实施要求，得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措施方案较具体、可行，能基本满足项目实施要求，得</w:t>
            </w:r>
            <w:r>
              <w:rPr>
                <w:rFonts w:hint="eastAsia"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措施方案较简单，对项目实施要求响应一般，得</w:t>
            </w:r>
            <w:r>
              <w:rPr>
                <w:rFonts w:hint="eastAsia" w:eastAsia="宋体" w:cs="宋体"/>
                <w:color w:val="000000"/>
                <w:sz w:val="21"/>
                <w:szCs w:val="21"/>
                <w:highlight w:val="none"/>
                <w:lang w:val="en-US" w:eastAsia="zh-CN" w:bidi="ar-SA"/>
              </w:rPr>
              <w:t xml:space="preserve">0.3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9"/>
              <w:ind w:left="0"/>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黑体" w:eastAsia="宋体" w:cs="黑体"/>
                <w:color w:val="000000"/>
                <w:sz w:val="21"/>
                <w:szCs w:val="24"/>
                <w:highlight w:val="none"/>
                <w:lang w:val="en-US" w:eastAsia="zh-CN" w:bidi="ar-SA"/>
              </w:rPr>
              <w:t xml:space="preserve">施工机具设备及劳动力配置合理，能满足施工强度要求</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b w:val="0"/>
                <w:bCs/>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9"/>
              <w:numPr>
                <w:ilvl w:val="0"/>
                <w:numId w:val="0"/>
              </w:num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宋体" w:eastAsia="宋体" w:cs="宋体"/>
                <w:color w:val="000000"/>
                <w:sz w:val="21"/>
                <w:szCs w:val="21"/>
                <w:highlight w:val="none"/>
                <w:lang w:val="en-US" w:eastAsia="zh-CN"/>
              </w:rPr>
              <w:t xml:space="preserve">主要机械设备使用计划；数量、设备的选型；各工种劳动力的安排</w:t>
            </w:r>
            <w:r>
              <w:rPr>
                <w:rFonts w:hint="eastAsia" w:ascii="宋体" w:hAnsi="宋体" w:eastAsia="宋体" w:cs="宋体"/>
                <w:color w:val="000000"/>
                <w:sz w:val="21"/>
                <w:szCs w:val="21"/>
                <w:highlight w:val="none"/>
                <w:lang w:val="en-US" w:eastAsia="zh-CN" w:bidi="ar-SA"/>
              </w:rPr>
              <w:t xml:space="preserve">，根据措施</w:t>
            </w:r>
            <w:r>
              <w:rPr>
                <w:rFonts w:hint="eastAsia"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的完整性、可行性进行综合评分。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措施方案完整、可行，能完全满足项目实施要求，得</w:t>
            </w:r>
            <w:r>
              <w:rPr>
                <w:rFonts w:hint="eastAsia"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措施方案较具体、可行，能基本满足项目实施要求，得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措施方案较简单，对项目实施要求响应一般，得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sz w:val="21"/>
                <w:szCs w:val="21"/>
                <w:highlight w:val="none"/>
                <w:lang w:eastAsia="zh-CN"/>
              </w:rPr>
              <w:t xml:space="preserve"> </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黑体" w:eastAsia="宋体" w:cs="黑体"/>
                <w:color w:val="000000"/>
                <w:sz w:val="21"/>
                <w:szCs w:val="24"/>
                <w:highlight w:val="none"/>
                <w:lang w:val="en-US" w:eastAsia="zh-CN" w:bidi="ar-SA"/>
              </w:rPr>
            </w:pPr>
            <w:r>
              <w:rPr>
                <w:rFonts w:hint="eastAsia" w:ascii="宋体" w:hAnsi="黑体" w:eastAsia="宋体" w:cs="黑体"/>
                <w:color w:val="000000"/>
                <w:sz w:val="21"/>
                <w:szCs w:val="24"/>
                <w:highlight w:val="none"/>
                <w:lang w:val="en-US" w:eastAsia="zh-CN" w:bidi="ar-SA"/>
              </w:rPr>
              <w:t xml:space="preserve">项目管理机构配置</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hint="eastAsia" w:ascii="宋体" w:hAnsi="黑体" w:eastAsia="宋体" w:cs="黑体"/>
                <w:color w:val="000000"/>
                <w:sz w:val="21"/>
                <w:szCs w:val="24"/>
                <w:highlight w:val="none"/>
                <w:lang w:val="en-US" w:eastAsia="zh-CN" w:bidi="ar-SA"/>
              </w:rPr>
            </w:pPr>
            <w:r>
              <w:rPr>
                <w:rFonts w:hint="eastAsia" w:ascii="宋体" w:hAnsi="黑体" w:eastAsia="宋体" w:cs="黑体"/>
                <w:color w:val="000000"/>
                <w:sz w:val="21"/>
                <w:szCs w:val="24"/>
                <w:highlight w:val="none"/>
                <w:lang w:val="en-US" w:eastAsia="zh-CN" w:bidi="ar-SA"/>
              </w:rPr>
              <w:t xml:space="preserve">3</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w:t>
            </w:r>
            <w:r>
              <w:rPr>
                <w:rFonts w:hint="eastAsia" w:ascii="宋体" w:hAnsi="宋体" w:eastAsia="宋体" w:cs="宋体"/>
                <w:color w:val="000000"/>
                <w:sz w:val="21"/>
                <w:szCs w:val="21"/>
                <w:highlight w:val="none"/>
                <w:lang w:val="en-US" w:eastAsia="zh-CN" w:bidi="ar-SA"/>
              </w:rPr>
              <w:t xml:space="preserve">提供的项目管理机构配置措施方案，根据配置方案内容的完整性、合理性、可操作性进行综合评分。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方案内容非常完善、合理且可操作性强，得</w:t>
            </w:r>
            <w:r>
              <w:rPr>
                <w:rFonts w:hint="eastAsia"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方案内容较为完善、较合理且可操作性较强，得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方案内容一般、合理且可操作性一般，得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bCs/>
                <w:color w:val="000000"/>
                <w:sz w:val="21"/>
                <w:szCs w:val="21"/>
                <w:highlight w:val="none"/>
              </w:rPr>
            </w:pPr>
            <w:r>
              <w:rPr>
                <w:rFonts w:hint="eastAsia" w:ascii="宋体" w:hAnsi="黑体" w:eastAsia="宋体" w:cs="黑体"/>
                <w:color w:val="000000"/>
                <w:sz w:val="21"/>
                <w:szCs w:val="24"/>
                <w:highlight w:val="none"/>
                <w:lang w:val="en-US" w:eastAsia="zh-CN" w:bidi="ar-SA"/>
              </w:rPr>
              <w:t xml:space="preserve">施工进度计划，工期保证措施</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施工进度计划、工期保证措施</w:t>
            </w:r>
            <w:r>
              <w:rPr>
                <w:rFonts w:hint="eastAsia" w:ascii="宋体" w:hAnsi="宋体" w:eastAsia="宋体" w:cs="宋体"/>
                <w:color w:val="000000"/>
                <w:sz w:val="21"/>
                <w:szCs w:val="21"/>
                <w:highlight w:val="none"/>
                <w:lang w:val="en-US" w:eastAsia="zh-CN" w:bidi="ar-SA"/>
              </w:rPr>
              <w:t xml:space="preserve">，根据措施</w:t>
            </w:r>
            <w:r>
              <w:rPr>
                <w:rFonts w:hint="eastAsia"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的完整性、合理性、可操作性进行综合评分。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w:t>
            </w:r>
            <w:r>
              <w:rPr>
                <w:rFonts w:hint="eastAsia"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完整、可行，能完全满足项目实施要求，得</w:t>
            </w:r>
            <w:r>
              <w:rPr>
                <w:rFonts w:hint="eastAsia"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w:t>
            </w:r>
            <w:r>
              <w:rPr>
                <w:rFonts w:hint="eastAsia"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较具体、可行，能基本满足项目实施要求，得</w:t>
            </w:r>
            <w:r>
              <w:rPr>
                <w:rFonts w:hint="eastAsia"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w:t>
            </w:r>
            <w:r>
              <w:rPr>
                <w:rFonts w:hint="eastAsia"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较简单，对项目实施要求响应一般，得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bCs/>
                <w:color w:val="000000"/>
                <w:sz w:val="21"/>
                <w:szCs w:val="21"/>
                <w:highlight w:val="none"/>
              </w:rPr>
            </w:pPr>
            <w:r>
              <w:rPr>
                <w:rFonts w:hint="eastAsia" w:ascii="宋体" w:hAnsi="黑体" w:eastAsia="宋体" w:cs="黑体"/>
                <w:color w:val="000000"/>
                <w:sz w:val="21"/>
                <w:szCs w:val="24"/>
                <w:highlight w:val="none"/>
                <w:lang w:val="en-US" w:eastAsia="zh-CN" w:bidi="ar-SA"/>
              </w:rPr>
              <w:t xml:space="preserve">工程原材料、成品、中间产品的</w:t>
            </w:r>
            <w:r>
              <w:rPr>
                <w:rFonts w:hint="eastAsia" w:ascii="宋体" w:hAnsi="宋体" w:eastAsia="宋体" w:cs="宋体"/>
                <w:b w:val="0"/>
                <w:bCs/>
                <w:sz w:val="21"/>
                <w:szCs w:val="21"/>
                <w:highlight w:val="none"/>
                <w:lang w:val="en-US" w:eastAsia="zh-CN" w:bidi="ar-SA"/>
              </w:rPr>
              <w:t xml:space="preserve">保障措施</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工程原材料、成品、中间产品的</w:t>
            </w:r>
            <w:r>
              <w:rPr>
                <w:rFonts w:hint="eastAsia" w:ascii="宋体" w:hAnsi="宋体" w:eastAsia="宋体" w:cs="宋体"/>
                <w:b w:val="0"/>
                <w:bCs/>
                <w:sz w:val="21"/>
                <w:szCs w:val="21"/>
                <w:highlight w:val="none"/>
                <w:lang w:val="en-US" w:eastAsia="zh-CN" w:bidi="ar-SA"/>
              </w:rPr>
              <w:t xml:space="preserve">保障措施</w:t>
            </w:r>
            <w:r>
              <w:rPr>
                <w:rFonts w:hint="eastAsia" w:ascii="宋体" w:hAnsi="宋体" w:eastAsia="宋体" w:cs="宋体"/>
                <w:color w:val="000000"/>
                <w:sz w:val="21"/>
                <w:szCs w:val="21"/>
                <w:highlight w:val="none"/>
                <w:lang w:val="en-US" w:eastAsia="zh-CN" w:bidi="ar-SA"/>
              </w:rPr>
              <w:t xml:space="preserve">方案，根据方案的完整性、可行性进行综合评分。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方案完整、可行，能完全满足项目实施要求，得</w:t>
            </w:r>
            <w:r>
              <w:rPr>
                <w:rFonts w:hint="eastAsia"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方案较具体、可行，能基本满足项目实施要求，得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方案内容较简单，对项目实施要求响应一般，得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1710"/>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黑体" w:eastAsia="宋体" w:cs="黑体"/>
                <w:color w:val="000000"/>
                <w:sz w:val="21"/>
                <w:szCs w:val="24"/>
                <w:highlight w:val="none"/>
                <w:lang w:val="en-US" w:eastAsia="zh-CN" w:bidi="ar-SA"/>
              </w:rPr>
              <w:t xml:space="preserve">渠道、排水沟、配套建筑物、道路等工程施工方案</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渠道、排水沟、配套建筑物、道路等工程施工方案</w:t>
            </w:r>
            <w:r>
              <w:rPr>
                <w:rFonts w:hint="eastAsia" w:ascii="宋体" w:hAnsi="宋体" w:eastAsia="宋体" w:cs="宋体"/>
                <w:color w:val="000000"/>
                <w:sz w:val="21"/>
                <w:szCs w:val="21"/>
                <w:highlight w:val="none"/>
                <w:lang w:val="en-US" w:eastAsia="zh-CN" w:bidi="ar-SA"/>
              </w:rPr>
              <w:t xml:space="preserve">，根据</w:t>
            </w:r>
            <w:r>
              <w:rPr>
                <w:rFonts w:hint="eastAsia" w:ascii="宋体" w:hAnsi="黑体" w:eastAsia="宋体" w:cs="黑体"/>
                <w:color w:val="000000"/>
                <w:sz w:val="21"/>
                <w:szCs w:val="24"/>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的合理性、可行性进行综合评分。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方案完整、可行，能完全满足项目实施要求，得5分；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方案较具体、可行，能基本满足项目实施要求，得3分；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方案内容较简单，对项目实施要求响应一般，得1分；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lang w:val="zh-CN" w:eastAsia="zh-CN" w:bidi="ar-SA"/>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1563"/>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黑体" w:eastAsia="宋体" w:cs="黑体"/>
                <w:color w:val="000000"/>
                <w:sz w:val="21"/>
                <w:szCs w:val="24"/>
                <w:highlight w:val="none"/>
                <w:lang w:val="en-US" w:eastAsia="zh-CN" w:bidi="ar-SA"/>
              </w:rPr>
              <w:t xml:space="preserve">施工质量保证措施</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施工质量保证措施</w:t>
            </w:r>
            <w:r>
              <w:rPr>
                <w:rFonts w:hint="eastAsia" w:ascii="宋体" w:hAnsi="宋体" w:eastAsia="宋体" w:cs="宋体"/>
                <w:color w:val="000000"/>
                <w:sz w:val="21"/>
                <w:szCs w:val="21"/>
                <w:highlight w:val="none"/>
                <w:lang w:val="en-US" w:eastAsia="zh-CN" w:bidi="ar-SA"/>
              </w:rPr>
              <w:t xml:space="preserve">，根据措施的合理性、可行性进行综合评分。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措施切实可行，能完全满足项目实施要求的，得</w:t>
            </w:r>
            <w:r>
              <w:rPr>
                <w:rFonts w:hint="eastAsia"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措施比较可行，能基本满足项目实施要求，得</w:t>
            </w:r>
            <w:r>
              <w:rPr>
                <w:rFonts w:hint="eastAsia"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措施一般的得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1563"/>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b w:val="0"/>
                <w:bCs/>
                <w:sz w:val="21"/>
                <w:szCs w:val="21"/>
                <w:highlight w:val="none"/>
                <w:lang w:val="en-US" w:eastAsia="zh-CN" w:bidi="ar-SA"/>
              </w:rPr>
            </w:pPr>
            <w:r>
              <w:rPr>
                <w:rFonts w:hint="eastAsia" w:ascii="宋体" w:hAnsi="黑体" w:eastAsia="宋体" w:cs="黑体"/>
                <w:color w:val="000000"/>
                <w:sz w:val="21"/>
                <w:szCs w:val="24"/>
                <w:highlight w:val="none"/>
                <w:lang w:val="en-US" w:eastAsia="zh-CN" w:bidi="ar-SA"/>
              </w:rPr>
              <w:t xml:space="preserve">安全生产措施可行</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407"/>
              <w:jc w:val="center"/>
              <w:keepLines w:val="0"/>
              <w:keepNext w:val="0"/>
              <w:pageBreakBefore w:val="0"/>
              <w:spacing w:beforeAutospacing="0" w:afterAutospacing="0" w:line="240" w:lineRule="auto"/>
              <w:rPr>
                <w:rFonts w:ascii="宋体" w:hAnsi="宋体" w:eastAsia="宋体" w:cs="宋体"/>
                <w:color w:val="000000"/>
                <w:sz w:val="21"/>
                <w:szCs w:val="21"/>
                <w:highlight w:val="none"/>
                <w:lang w:val="en-US" w:eastAsia="zh-CN" w:bidi="ar-SA"/>
              </w:rPr>
            </w:pPr>
            <w:r>
              <w:rPr>
                <w:rFonts w:hint="eastAsia"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安全生产措施</w:t>
            </w:r>
            <w:r>
              <w:rPr>
                <w:rFonts w:hint="eastAsia" w:ascii="宋体" w:hAnsi="宋体" w:eastAsia="宋体" w:cs="宋体"/>
                <w:color w:val="000000"/>
                <w:sz w:val="21"/>
                <w:szCs w:val="21"/>
                <w:highlight w:val="none"/>
                <w:lang w:val="en-US" w:eastAsia="zh-CN" w:bidi="ar-SA"/>
              </w:rPr>
              <w:t xml:space="preserve">，根据措施的合理性、可行性进行综合评分。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措施切实可行，能完全满足项目实施要求的，得3分；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措施比较可行，能基本满足项目实施要求，得2分；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措施一般的得1分；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1563"/>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b w:val="0"/>
                <w:bCs/>
                <w:sz w:val="21"/>
                <w:szCs w:val="21"/>
                <w:highlight w:val="none"/>
                <w:lang w:val="en-US" w:eastAsia="zh-CN" w:bidi="ar-SA"/>
              </w:rPr>
            </w:pPr>
            <w:r>
              <w:rPr>
                <w:rFonts w:hint="eastAsia" w:ascii="宋体" w:hAnsi="黑体" w:eastAsia="宋体" w:cs="黑体"/>
                <w:color w:val="000000"/>
                <w:sz w:val="21"/>
                <w:szCs w:val="24"/>
                <w:highlight w:val="none"/>
                <w:lang w:val="en-US" w:eastAsia="zh-CN" w:bidi="ar-SA"/>
              </w:rPr>
              <w:t xml:space="preserve">文明施工、对环境的干扰、现场保护有具体措施</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407"/>
              <w:jc w:val="center"/>
              <w:keepLines w:val="0"/>
              <w:keepNext w:val="0"/>
              <w:pageBreakBefore w:val="0"/>
              <w:spacing w:beforeAutospacing="0" w:afterAutospacing="0" w:line="240" w:lineRule="auto"/>
              <w:rPr>
                <w:rFonts w:ascii="宋体" w:hAnsi="宋体" w:eastAsia="宋体" w:cs="宋体"/>
                <w:color w:val="000000"/>
                <w:sz w:val="21"/>
                <w:szCs w:val="21"/>
                <w:highlight w:val="none"/>
                <w:lang w:val="en-US" w:eastAsia="zh-CN" w:bidi="ar-SA"/>
              </w:rPr>
            </w:pPr>
            <w:r>
              <w:rPr>
                <w:rFonts w:hint="eastAsia"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文明施工、对环境的干扰、现场保护有具体措施</w:t>
            </w:r>
            <w:r>
              <w:rPr>
                <w:rFonts w:hint="eastAsia" w:ascii="宋体" w:hAnsi="宋体" w:eastAsia="宋体" w:cs="宋体"/>
                <w:color w:val="000000"/>
                <w:sz w:val="21"/>
                <w:szCs w:val="21"/>
                <w:highlight w:val="none"/>
                <w:lang w:val="en-US" w:eastAsia="zh-CN" w:bidi="ar-SA"/>
              </w:rPr>
              <w:t xml:space="preserve">，根据措施的合理性、可行性进行综合评分。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措施切实可行，能完全满足项目实施要求的，得3分；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措施比较可行，能基本满足项目实施要求，得2分；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措施一般的得1分；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1563"/>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2.10</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b w:val="0"/>
                <w:bCs/>
                <w:sz w:val="21"/>
                <w:szCs w:val="21"/>
                <w:highlight w:val="none"/>
                <w:lang w:val="en-US" w:eastAsia="zh-CN" w:bidi="ar-SA"/>
              </w:rPr>
            </w:pPr>
            <w:r>
              <w:rPr>
                <w:rFonts w:hint="eastAsia" w:ascii="宋体" w:hAnsi="黑体" w:eastAsia="宋体" w:cs="黑体"/>
                <w:color w:val="000000"/>
                <w:sz w:val="21"/>
                <w:szCs w:val="24"/>
                <w:highlight w:val="none"/>
                <w:lang w:val="en-US" w:eastAsia="zh-CN" w:bidi="ar-SA"/>
              </w:rPr>
              <w:t xml:space="preserve">推进农业农村现代化试点工作的具体措施</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407"/>
              <w:jc w:val="center"/>
              <w:keepLines w:val="0"/>
              <w:keepNext w:val="0"/>
              <w:pageBreakBefore w:val="0"/>
              <w:spacing w:beforeAutospacing="0" w:afterAutospacing="0" w:line="240" w:lineRule="auto"/>
              <w:rPr>
                <w:rFonts w:ascii="宋体" w:hAnsi="宋体" w:eastAsia="宋体" w:cs="宋体"/>
                <w:color w:val="000000"/>
                <w:sz w:val="21"/>
                <w:szCs w:val="21"/>
                <w:highlight w:val="none"/>
                <w:lang w:val="en-US" w:eastAsia="zh-CN" w:bidi="ar-SA"/>
              </w:rPr>
            </w:pPr>
            <w:r>
              <w:rPr>
                <w:rFonts w:hint="eastAsia"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推进农业农村现代化试点工作的具体措施</w:t>
            </w:r>
            <w:r>
              <w:rPr>
                <w:rFonts w:hint="eastAsia" w:ascii="宋体" w:hAnsi="宋体" w:eastAsia="宋体" w:cs="宋体"/>
                <w:color w:val="000000"/>
                <w:sz w:val="21"/>
                <w:szCs w:val="21"/>
                <w:highlight w:val="none"/>
                <w:lang w:val="en-US" w:eastAsia="zh-CN" w:bidi="ar-SA"/>
              </w:rPr>
              <w:t xml:space="preserve">，根据措施的合理性、可行性进行综合评分。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措施切实可行，能完全满足项目实施要求的，得3分；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措施比较可行，能基本满足项目实施要求，得2分；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措施一般的得1分；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1563"/>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b w:val="0"/>
                <w:bCs/>
                <w:sz w:val="21"/>
                <w:szCs w:val="21"/>
                <w:highlight w:val="none"/>
                <w:lang w:val="en-US" w:eastAsia="zh-CN" w:bidi="ar-SA"/>
              </w:rPr>
            </w:pPr>
            <w:r>
              <w:rPr>
                <w:rFonts w:hint="eastAsia" w:ascii="宋体" w:hAnsi="黑体" w:eastAsia="宋体" w:cs="黑体"/>
                <w:color w:val="000000"/>
                <w:sz w:val="21"/>
                <w:szCs w:val="24"/>
                <w:highlight w:val="none"/>
                <w:lang w:val="en-US" w:eastAsia="zh-CN" w:bidi="ar-SA"/>
              </w:rPr>
              <w:t xml:space="preserve">工程档案资料管理</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407"/>
              <w:jc w:val="center"/>
              <w:keepLines w:val="0"/>
              <w:keepNext w:val="0"/>
              <w:pageBreakBefore w:val="0"/>
              <w:spacing w:beforeAutospacing="0" w:afterAutospacing="0" w:line="240" w:lineRule="auto"/>
              <w:rPr>
                <w:rFonts w:ascii="宋体" w:hAnsi="宋体" w:eastAsia="宋体" w:cs="宋体"/>
                <w:color w:val="000000"/>
                <w:sz w:val="21"/>
                <w:szCs w:val="21"/>
                <w:highlight w:val="none"/>
                <w:lang w:val="en-US" w:eastAsia="zh-CN" w:bidi="ar-SA"/>
              </w:rPr>
            </w:pPr>
            <w:r>
              <w:rPr>
                <w:rFonts w:hint="eastAsia"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w:t>
            </w:r>
            <w:r>
              <w:rPr>
                <w:rFonts w:hint="eastAsia" w:ascii="宋体" w:hAnsi="黑体" w:eastAsia="宋体" w:cs="黑体"/>
                <w:color w:val="000000"/>
                <w:sz w:val="21"/>
                <w:szCs w:val="24"/>
                <w:highlight w:val="none"/>
                <w:lang w:val="en-US" w:eastAsia="zh-CN" w:bidi="ar-SA"/>
              </w:rPr>
              <w:t xml:space="preserve">工程档案资料管理方案</w:t>
            </w:r>
            <w:r>
              <w:rPr>
                <w:rFonts w:hint="eastAsia" w:ascii="宋体" w:hAnsi="宋体" w:eastAsia="宋体" w:cs="宋体"/>
                <w:color w:val="000000"/>
                <w:sz w:val="21"/>
                <w:szCs w:val="21"/>
                <w:highlight w:val="none"/>
                <w:lang w:val="en-US" w:eastAsia="zh-CN" w:bidi="ar-SA"/>
              </w:rPr>
              <w:t xml:space="preserve">，根据</w:t>
            </w:r>
            <w:r>
              <w:rPr>
                <w:rFonts w:hint="eastAsia" w:ascii="宋体" w:hAnsi="黑体" w:eastAsia="宋体" w:cs="黑体"/>
                <w:color w:val="000000"/>
                <w:sz w:val="21"/>
                <w:szCs w:val="24"/>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的合理性、可行性进行综合评分。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方案完整、可行，能完全满足项目实施要求，得1分；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方案较具体、可行，能基本满足项目实施要求，得0.5分；</w:t>
            </w:r>
            <w:r>
              <w:rPr>
                <w:rFonts w:hint="eastAsia" w:ascii="宋体" w:hAnsi="宋体" w:eastAsia="宋体" w:cs="宋体"/>
                <w:color w:val="000000"/>
                <w:sz w:val="21"/>
                <w:szCs w:val="21"/>
                <w:highlight w:val="none"/>
                <w:lang w:val="en-US" w:eastAsia="zh-CN" w:bidi="ar-SA"/>
              </w:rPr>
            </w:r>
            <w:r/>
          </w:p>
          <w:p>
            <w:pPr>
              <w:pStyle w:val="1159"/>
              <w:jc w:val="both"/>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方案内容较简单，对项目实施要求响应一般，得0.3分；</w:t>
            </w:r>
            <w:r>
              <w:rPr>
                <w:rFonts w:hint="eastAsia" w:ascii="宋体" w:hAnsi="宋体" w:eastAsia="宋体" w:cs="宋体"/>
                <w:color w:val="000000"/>
                <w:sz w:val="21"/>
                <w:szCs w:val="21"/>
                <w:highlight w:val="none"/>
                <w:lang w:val="en-US" w:eastAsia="zh-CN" w:bidi="ar-SA"/>
              </w:rPr>
            </w:r>
            <w:r/>
          </w:p>
          <w:p>
            <w:pPr>
              <w:pStyle w:val="1407"/>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1159"/>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9"/>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9"/>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1159"/>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97"/>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供应商近三年（自磋商之日起往前推算）以来承担的类似高标准农田、农田水利建设项目，每有一个得5分，本项最高得15分。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1159"/>
              <w:jc w:val="left"/>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b/>
                <w:bCs/>
                <w:szCs w:val="21"/>
                <w:highlight w:val="none"/>
                <w:lang w:bidi="ar"/>
              </w:rPr>
              <w:t xml:space="preserve">时间以</w:t>
            </w:r>
            <w:r>
              <w:rPr>
                <w:rFonts w:hint="eastAsia" w:ascii="宋体" w:hAnsi="宋体"/>
                <w:b/>
                <w:bCs/>
                <w:szCs w:val="21"/>
                <w:highlight w:val="none"/>
                <w:lang w:eastAsia="zh-CN" w:bidi="ar"/>
              </w:rPr>
              <w:t xml:space="preserve">完工或</w:t>
            </w:r>
            <w:r>
              <w:rPr>
                <w:rFonts w:hint="eastAsia" w:ascii="宋体" w:hAnsi="宋体"/>
                <w:b/>
                <w:bCs/>
                <w:szCs w:val="21"/>
                <w:highlight w:val="none"/>
                <w:lang w:bidi="ar"/>
              </w:rPr>
              <w:t xml:space="preserve">竣工验收证明</w:t>
            </w:r>
            <w:r>
              <w:rPr>
                <w:rFonts w:hint="eastAsia" w:ascii="宋体" w:hAnsi="宋体"/>
                <w:b/>
                <w:bCs/>
                <w:szCs w:val="21"/>
                <w:highlight w:val="none"/>
                <w:lang w:val="en-US" w:eastAsia="zh-CN" w:bidi="ar"/>
              </w:rPr>
              <w:t xml:space="preserve">材料所载</w:t>
            </w:r>
            <w:r>
              <w:rPr>
                <w:rFonts w:hint="eastAsia" w:ascii="宋体" w:hAnsi="宋体"/>
                <w:b/>
                <w:bCs/>
                <w:szCs w:val="21"/>
                <w:highlight w:val="none"/>
                <w:lang w:bidi="ar"/>
              </w:rPr>
              <w:t xml:space="preserve">为准，提供工程业绩的中标通知书、合同、</w:t>
            </w:r>
            <w:r>
              <w:rPr>
                <w:rFonts w:hint="eastAsia" w:ascii="宋体" w:hAnsi="宋体"/>
                <w:b/>
                <w:bCs/>
                <w:szCs w:val="21"/>
                <w:highlight w:val="none"/>
                <w:lang w:eastAsia="zh-CN" w:bidi="ar"/>
              </w:rPr>
              <w:t xml:space="preserve">完工或</w:t>
            </w:r>
            <w:r>
              <w:rPr>
                <w:rFonts w:hint="eastAsia" w:ascii="宋体" w:hAnsi="宋体"/>
                <w:b/>
                <w:bCs/>
                <w:szCs w:val="21"/>
                <w:highlight w:val="none"/>
                <w:lang w:bidi="ar"/>
              </w:rPr>
              <w:t xml:space="preserve">竣工验收证明</w:t>
            </w:r>
            <w:r>
              <w:rPr>
                <w:rFonts w:hint="eastAsia" w:ascii="宋体" w:hAnsi="宋体"/>
                <w:b/>
                <w:bCs/>
                <w:szCs w:val="21"/>
                <w:highlight w:val="none"/>
                <w:lang w:val="en-US" w:eastAsia="zh-CN" w:bidi="ar"/>
              </w:rPr>
              <w:t xml:space="preserve">材料</w:t>
            </w:r>
            <w:r>
              <w:rPr>
                <w:rFonts w:hint="eastAsia" w:ascii="宋体" w:hAnsi="宋体"/>
                <w:b/>
                <w:bCs/>
                <w:szCs w:val="21"/>
                <w:highlight w:val="none"/>
                <w:lang w:eastAsia="zh-CN" w:bidi="ar"/>
              </w:rPr>
              <w:t xml:space="preserve">扫描件</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b/>
                <w:bCs/>
                <w:szCs w:val="21"/>
                <w:highlight w:val="none"/>
                <w:lang w:eastAsia="zh-CN" w:bidi="ar"/>
              </w:rPr>
              <w:t xml:space="preserve">不提供或提供不全均</w:t>
            </w:r>
            <w:r>
              <w:rPr>
                <w:rFonts w:hint="eastAsia" w:ascii="宋体" w:hAnsi="宋体"/>
                <w:b/>
                <w:bCs/>
                <w:szCs w:val="21"/>
                <w:highlight w:val="none"/>
                <w:lang w:bidi="ar"/>
              </w:rPr>
              <w:t xml:space="preserve">不得分。</w:t>
            </w:r>
            <w:r>
              <w:rPr>
                <w:rFonts w:hint="eastAsia" w:ascii="宋体" w:hAnsi="宋体" w:eastAsia="宋体" w:cs="宋体"/>
                <w:b/>
                <w:bCs/>
                <w:color w:val="000000"/>
                <w:sz w:val="21"/>
                <w:szCs w:val="21"/>
                <w:highlight w:val="none"/>
                <w:lang w:val="en-US" w:eastAsia="zh-CN"/>
              </w:rPr>
            </w:r>
            <w:r/>
          </w:p>
        </w:tc>
      </w:tr>
      <w:tr>
        <w:trPr>
          <w:trHeight w:val="2097"/>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ascii="宋体" w:hAnsi="宋体" w:eastAsia="宋体" w:cs="宋体"/>
                <w:b w:val="0"/>
                <w:bCs/>
                <w:sz w:val="21"/>
                <w:szCs w:val="21"/>
                <w:highlight w:val="none"/>
                <w:lang w:val="en-US" w:eastAsia="zh-CN" w:bidi="ar-SA"/>
              </w:rPr>
            </w:pPr>
            <w:r>
              <w:rPr>
                <w:rFonts w:hint="eastAsia" w:eastAsia="宋体" w:cs="宋体"/>
                <w:b w:val="0"/>
                <w:bCs/>
                <w:sz w:val="21"/>
                <w:szCs w:val="21"/>
                <w:highlight w:val="none"/>
                <w:lang w:val="en-US" w:eastAsia="zh-CN" w:bidi="ar-SA"/>
              </w:rPr>
              <w:t xml:space="preserve">项目负责人业绩</w:t>
            </w:r>
            <w:r>
              <w:rPr>
                <w:rFonts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5</w:t>
            </w:r>
            <w:r>
              <w:rPr>
                <w:rFonts w:eastAsia="宋体" w:cs="宋体"/>
                <w:color w:val="000000"/>
                <w:sz w:val="21"/>
                <w:szCs w:val="21"/>
                <w:highlight w:val="none"/>
                <w:lang w:val="en-US" w:eastAsia="zh-CN"/>
              </w:rPr>
            </w:r>
            <w:r/>
          </w:p>
        </w:tc>
        <w:tc>
          <w:tcPr>
            <w:tcW w:w="4957" w:type="dxa"/>
            <w:vAlign w:val="center"/>
            <w:textDirection w:val="lrTb"/>
            <w:noWrap w:val="false"/>
          </w:tcPr>
          <w:p>
            <w:pPr>
              <w:pStyle w:val="1407"/>
              <w:jc w:val="both"/>
              <w:keepLines w:val="0"/>
              <w:keepNext w:val="0"/>
              <w:pageBreakBefore w:val="0"/>
              <w:spacing w:beforeAutospacing="0" w:afterAutospacing="0"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供应商拟</w:t>
            </w:r>
            <w:r>
              <w:rPr>
                <w:rFonts w:hint="eastAsia" w:ascii="宋体" w:hAnsi="宋体" w:eastAsia="宋体" w:cs="宋体"/>
                <w:szCs w:val="21"/>
                <w:highlight w:val="none"/>
              </w:rPr>
              <w:t xml:space="preserve">投入本项目</w:t>
            </w:r>
            <w:r>
              <w:rPr>
                <w:rFonts w:hint="eastAsia" w:ascii="宋体" w:hAnsi="宋体" w:eastAsia="宋体" w:cs="宋体"/>
                <w:b w:val="0"/>
                <w:bCs/>
                <w:sz w:val="21"/>
                <w:szCs w:val="21"/>
                <w:highlight w:val="none"/>
                <w:lang w:val="en-US" w:eastAsia="zh-CN" w:bidi="ar-SA"/>
              </w:rPr>
              <w:t xml:space="preserve">的项目负责人在近三年（自磋商之日起往前推算）以来承担的类似高标准农田、农田水利建设项目，每有一个得5分，本项最高得5分。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1159"/>
              <w:jc w:val="left"/>
              <w:keepLines w:val="0"/>
              <w:keepNext w:val="0"/>
              <w:pageBreakBefore w:val="0"/>
              <w:spacing w:beforeAutospacing="0" w:afterAutospacing="0" w:line="240" w:lineRule="auto"/>
              <w:widowControl/>
              <w:rPr>
                <w:rFonts w:hint="eastAsia" w:ascii="宋体" w:hAnsi="宋体"/>
                <w:b/>
                <w:bCs/>
                <w:szCs w:val="21"/>
                <w:highlight w:val="none"/>
                <w:lang w:bidi="ar"/>
              </w:rPr>
            </w:pPr>
            <w:r>
              <w:rPr>
                <w:rFonts w:hint="eastAsia" w:ascii="宋体" w:hAnsi="宋体"/>
                <w:b/>
                <w:bCs/>
                <w:szCs w:val="21"/>
                <w:highlight w:val="none"/>
                <w:lang w:bidi="ar"/>
              </w:rPr>
              <w:t xml:space="preserve">时间以</w:t>
            </w:r>
            <w:r>
              <w:rPr>
                <w:rFonts w:hint="eastAsia" w:ascii="宋体" w:hAnsi="宋体"/>
                <w:b/>
                <w:bCs/>
                <w:szCs w:val="21"/>
                <w:highlight w:val="none"/>
                <w:lang w:eastAsia="zh-CN" w:bidi="ar"/>
              </w:rPr>
              <w:t xml:space="preserve">完工或</w:t>
            </w:r>
            <w:r>
              <w:rPr>
                <w:rFonts w:hint="eastAsia" w:ascii="宋体" w:hAnsi="宋体"/>
                <w:b/>
                <w:bCs/>
                <w:szCs w:val="21"/>
                <w:highlight w:val="none"/>
                <w:lang w:bidi="ar"/>
              </w:rPr>
              <w:t xml:space="preserve">竣工验收证明</w:t>
            </w:r>
            <w:r>
              <w:rPr>
                <w:rFonts w:hint="eastAsia" w:ascii="宋体" w:hAnsi="宋体"/>
                <w:b/>
                <w:bCs/>
                <w:szCs w:val="21"/>
                <w:highlight w:val="none"/>
                <w:lang w:val="en-US" w:eastAsia="zh-CN" w:bidi="ar"/>
              </w:rPr>
              <w:t xml:space="preserve">材料所载</w:t>
            </w:r>
            <w:r>
              <w:rPr>
                <w:rFonts w:hint="eastAsia" w:ascii="宋体" w:hAnsi="宋体"/>
                <w:b/>
                <w:bCs/>
                <w:szCs w:val="21"/>
                <w:highlight w:val="none"/>
                <w:lang w:bidi="ar"/>
              </w:rPr>
              <w:t xml:space="preserve">为准</w:t>
            </w:r>
            <w:r>
              <w:rPr>
                <w:rFonts w:hint="eastAsia" w:ascii="宋体" w:hAnsi="宋体"/>
                <w:b/>
                <w:bCs/>
                <w:szCs w:val="21"/>
                <w:highlight w:val="none"/>
                <w:lang w:eastAsia="zh-CN" w:bidi="ar"/>
              </w:rPr>
              <w:t xml:space="preserve">；</w:t>
            </w:r>
            <w:r>
              <w:rPr>
                <w:rFonts w:hint="eastAsia" w:ascii="宋体" w:hAnsi="宋体"/>
                <w:b/>
                <w:bCs/>
                <w:szCs w:val="21"/>
                <w:highlight w:val="none"/>
                <w:lang w:val="en-US" w:eastAsia="zh-CN" w:bidi="ar"/>
              </w:rPr>
              <w:t xml:space="preserve">项目负责人</w:t>
            </w:r>
            <w:r>
              <w:rPr>
                <w:rFonts w:hint="eastAsia" w:ascii="宋体" w:hAnsi="宋体"/>
                <w:b/>
                <w:bCs/>
                <w:szCs w:val="21"/>
                <w:highlight w:val="none"/>
                <w:lang w:bidi="ar"/>
              </w:rPr>
              <w:t xml:space="preserve">以</w:t>
            </w:r>
            <w:r>
              <w:rPr>
                <w:rFonts w:hint="eastAsia" w:ascii="宋体" w:hAnsi="宋体"/>
                <w:b/>
                <w:bCs/>
                <w:szCs w:val="21"/>
                <w:highlight w:val="none"/>
                <w:lang w:val="en-US" w:eastAsia="zh-CN" w:bidi="ar"/>
              </w:rPr>
              <w:t xml:space="preserve">合同所载</w:t>
            </w:r>
            <w:r>
              <w:rPr>
                <w:rFonts w:hint="eastAsia" w:ascii="宋体" w:hAnsi="宋体"/>
                <w:b/>
                <w:bCs/>
                <w:szCs w:val="21"/>
                <w:highlight w:val="none"/>
                <w:lang w:bidi="ar"/>
              </w:rPr>
              <w:t xml:space="preserve">为准</w:t>
            </w:r>
            <w:r>
              <w:rPr>
                <w:rFonts w:hint="eastAsia" w:ascii="宋体" w:hAnsi="宋体"/>
                <w:b/>
                <w:bCs/>
                <w:szCs w:val="21"/>
                <w:highlight w:val="none"/>
                <w:lang w:eastAsia="zh-CN" w:bidi="ar"/>
              </w:rPr>
              <w:t xml:space="preserve">，</w:t>
            </w:r>
            <w:r>
              <w:rPr>
                <w:rFonts w:hint="eastAsia" w:ascii="宋体" w:hAnsi="宋体"/>
                <w:b/>
                <w:bCs/>
                <w:szCs w:val="21"/>
                <w:highlight w:val="none"/>
                <w:lang w:bidi="ar"/>
              </w:rPr>
              <w:t xml:space="preserve">提供工程业绩的中标通知书、合同、</w:t>
            </w:r>
            <w:r>
              <w:rPr>
                <w:rFonts w:hint="eastAsia" w:ascii="宋体" w:hAnsi="宋体"/>
                <w:b/>
                <w:bCs/>
                <w:szCs w:val="21"/>
                <w:highlight w:val="none"/>
                <w:lang w:eastAsia="zh-CN" w:bidi="ar"/>
              </w:rPr>
              <w:t xml:space="preserve">完工或</w:t>
            </w:r>
            <w:r>
              <w:rPr>
                <w:rFonts w:hint="eastAsia" w:ascii="宋体" w:hAnsi="宋体"/>
                <w:b/>
                <w:bCs/>
                <w:szCs w:val="21"/>
                <w:highlight w:val="none"/>
                <w:lang w:bidi="ar"/>
              </w:rPr>
              <w:t xml:space="preserve">竣工验收证明</w:t>
            </w:r>
            <w:r>
              <w:rPr>
                <w:rFonts w:hint="eastAsia" w:ascii="宋体" w:hAnsi="宋体"/>
                <w:b/>
                <w:bCs/>
                <w:szCs w:val="21"/>
                <w:highlight w:val="none"/>
                <w:lang w:val="en-US" w:eastAsia="zh-CN" w:bidi="ar"/>
              </w:rPr>
              <w:t xml:space="preserve">材料</w:t>
            </w:r>
            <w:r>
              <w:rPr>
                <w:rFonts w:hint="eastAsia" w:ascii="宋体" w:hAnsi="宋体"/>
                <w:b/>
                <w:bCs/>
                <w:szCs w:val="21"/>
                <w:highlight w:val="none"/>
                <w:lang w:eastAsia="zh-CN" w:bidi="ar"/>
              </w:rPr>
              <w:t xml:space="preserve">扫描件</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b/>
                <w:bCs/>
                <w:szCs w:val="21"/>
                <w:highlight w:val="none"/>
                <w:lang w:eastAsia="zh-CN" w:bidi="ar"/>
              </w:rPr>
              <w:t xml:space="preserve">不提供或提供不全均</w:t>
            </w:r>
            <w:r>
              <w:rPr>
                <w:rFonts w:hint="eastAsia" w:ascii="宋体" w:hAnsi="宋体"/>
                <w:b/>
                <w:bCs/>
                <w:szCs w:val="21"/>
                <w:highlight w:val="none"/>
                <w:lang w:bidi="ar"/>
              </w:rPr>
              <w:t xml:space="preserve">不得分。</w:t>
            </w:r>
            <w:r>
              <w:rPr>
                <w:rFonts w:hint="eastAsia" w:ascii="宋体" w:hAnsi="宋体"/>
                <w:b/>
                <w:bCs/>
                <w:szCs w:val="21"/>
                <w:highlight w:val="none"/>
                <w:lang w:bidi="ar"/>
              </w:rPr>
            </w:r>
            <w:r/>
          </w:p>
        </w:tc>
      </w:tr>
      <w:tr>
        <w:trPr>
          <w:trHeight w:val="756"/>
        </w:trPr>
        <w:tc>
          <w:tcPr>
            <w:tcW w:w="676" w:type="dxa"/>
            <w:vAlign w:val="center"/>
            <w:textDirection w:val="lrTb"/>
            <w:noWrap w:val="false"/>
          </w:tcPr>
          <w:p>
            <w:pPr>
              <w:pStyle w:val="1159"/>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7"/>
              <w:jc w:val="center"/>
              <w:keepLines w:val="0"/>
              <w:keepNext w:val="0"/>
              <w:pageBreakBefore w:val="0"/>
              <w:spacing w:beforeAutospacing="0" w:afterAutospacing="0" w:line="240" w:lineRule="auto"/>
              <w:rPr>
                <w:rFonts w:eastAsia="宋体" w:cs="宋体"/>
                <w:b w:val="0"/>
                <w:bCs/>
                <w:sz w:val="21"/>
                <w:szCs w:val="21"/>
                <w:highlight w:val="none"/>
                <w:lang w:val="en-US" w:eastAsia="zh-CN" w:bidi="ar-SA"/>
              </w:rPr>
            </w:pPr>
            <w:r>
              <w:rPr>
                <w:rFonts w:hint="eastAsia" w:eastAsia="宋体" w:cs="宋体"/>
                <w:b w:val="0"/>
                <w:bCs/>
                <w:sz w:val="21"/>
                <w:szCs w:val="21"/>
                <w:highlight w:val="none"/>
                <w:lang w:val="en-US" w:eastAsia="zh-CN" w:bidi="ar-SA"/>
              </w:rPr>
              <w:t xml:space="preserve">项目组成员</w:t>
            </w:r>
            <w:r>
              <w:rPr>
                <w:rFonts w:eastAsia="宋体" w:cs="宋体"/>
                <w:b w:val="0"/>
                <w:bCs/>
                <w:sz w:val="21"/>
                <w:szCs w:val="21"/>
                <w:highlight w:val="none"/>
                <w:lang w:val="en-US" w:eastAsia="zh-CN" w:bidi="ar-SA"/>
              </w:rPr>
            </w:r>
            <w:r/>
          </w:p>
        </w:tc>
        <w:tc>
          <w:tcPr>
            <w:tcW w:w="686" w:type="dxa"/>
            <w:vAlign w:val="center"/>
            <w:textDirection w:val="lrTb"/>
            <w:noWrap w:val="false"/>
          </w:tcPr>
          <w:p>
            <w:pPr>
              <w:pStyle w:val="1191"/>
              <w:ind w:left="0"/>
              <w:jc w:val="center"/>
              <w:keepLines w:val="0"/>
              <w:keepNext w:val="0"/>
              <w:pageBreakBefore w:val="0"/>
              <w:spacing w:before="0" w:beforeAutospacing="0" w:afterAutospacing="0" w:line="240" w:lineRule="auto"/>
              <w:widowControl w:val="off"/>
              <w:tabs>
                <w:tab w:val="left" w:pos="567" w:leader="none"/>
              </w:tabs>
              <w:rPr>
                <w:rFonts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10</w:t>
            </w:r>
            <w:r>
              <w:rPr>
                <w:rFonts w:eastAsia="宋体" w:cs="宋体"/>
                <w:color w:val="000000"/>
                <w:sz w:val="21"/>
                <w:szCs w:val="21"/>
                <w:highlight w:val="none"/>
                <w:lang w:val="en-US" w:eastAsia="zh-CN"/>
              </w:rPr>
            </w:r>
            <w:r/>
          </w:p>
        </w:tc>
        <w:tc>
          <w:tcPr>
            <w:tcW w:w="4957" w:type="dxa"/>
            <w:vAlign w:val="center"/>
            <w:textDirection w:val="lrTb"/>
            <w:noWrap w:val="false"/>
          </w:tcPr>
          <w:p>
            <w:pPr>
              <w:pStyle w:val="1159"/>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val="0"/>
                <w:bCs w:val="0"/>
                <w:sz w:val="21"/>
                <w:szCs w:val="21"/>
                <w:highlight w:val="none"/>
                <w:lang w:val="en-US" w:eastAsia="zh-CN" w:bidi="ar-SA"/>
              </w:rPr>
              <w:t xml:space="preserve">供应商拟</w:t>
            </w:r>
            <w:r>
              <w:rPr>
                <w:rFonts w:hint="eastAsia" w:ascii="宋体" w:hAnsi="宋体" w:eastAsia="宋体" w:cs="宋体"/>
                <w:szCs w:val="21"/>
                <w:highlight w:val="none"/>
              </w:rPr>
              <w:t xml:space="preserve">投入本项目</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项目负责人具有</w:t>
            </w:r>
            <w:r>
              <w:rPr>
                <w:rFonts w:hint="eastAsia" w:ascii="宋体" w:hAnsi="宋体" w:eastAsia="宋体" w:cs="宋体"/>
                <w:szCs w:val="21"/>
                <w:highlight w:val="none"/>
                <w:lang w:val="en-US" w:eastAsia="zh-CN"/>
              </w:rPr>
              <w:t xml:space="preserve">水利</w:t>
            </w:r>
            <w:r>
              <w:rPr>
                <w:rFonts w:hint="eastAsia" w:ascii="宋体" w:hAnsi="宋体" w:eastAsia="宋体" w:cs="宋体"/>
                <w:szCs w:val="21"/>
                <w:highlight w:val="none"/>
              </w:rPr>
              <w:t xml:space="preserve">工程</w:t>
            </w:r>
            <w:r>
              <w:rPr>
                <w:rFonts w:hint="eastAsia" w:ascii="宋体" w:hAnsi="宋体" w:eastAsia="宋体" w:cs="宋体"/>
                <w:szCs w:val="21"/>
                <w:highlight w:val="none"/>
                <w:lang w:val="en-US" w:eastAsia="zh-CN"/>
              </w:rPr>
              <w:t xml:space="preserve">师及以上职称</w:t>
            </w:r>
            <w:r>
              <w:rPr>
                <w:rFonts w:hint="eastAsia" w:ascii="宋体" w:hAnsi="宋体" w:eastAsia="宋体" w:cs="宋体"/>
                <w:szCs w:val="21"/>
                <w:highlight w:val="none"/>
              </w:rPr>
              <w:t xml:space="preserve">的</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分，本项最高得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159"/>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b w:val="0"/>
                <w:bCs w:val="0"/>
                <w:sz w:val="21"/>
                <w:szCs w:val="21"/>
                <w:highlight w:val="none"/>
                <w:lang w:val="en-US" w:eastAsia="zh-CN" w:bidi="ar-SA"/>
              </w:rPr>
              <w:t xml:space="preserve">供应商拟</w:t>
            </w:r>
            <w:r>
              <w:rPr>
                <w:rFonts w:hint="eastAsia" w:ascii="宋体" w:hAnsi="宋体" w:eastAsia="宋体" w:cs="宋体"/>
                <w:szCs w:val="21"/>
                <w:highlight w:val="none"/>
              </w:rPr>
              <w:t xml:space="preserve">投入本项目</w:t>
            </w:r>
            <w:r>
              <w:rPr>
                <w:rFonts w:hint="eastAsia" w:ascii="宋体" w:hAnsi="宋体" w:eastAsia="宋体" w:cs="宋体"/>
                <w:szCs w:val="21"/>
                <w:highlight w:val="none"/>
                <w:lang w:val="en-US" w:eastAsia="zh-CN"/>
              </w:rPr>
              <w:t xml:space="preserve">的技术</w:t>
            </w:r>
            <w:r>
              <w:rPr>
                <w:rFonts w:hint="eastAsia" w:ascii="宋体" w:hAnsi="宋体" w:eastAsia="宋体" w:cs="宋体"/>
                <w:szCs w:val="21"/>
                <w:highlight w:val="none"/>
              </w:rPr>
              <w:t xml:space="preserve">负责人具有</w:t>
            </w:r>
            <w:r>
              <w:rPr>
                <w:rFonts w:hint="eastAsia" w:ascii="宋体" w:hAnsi="宋体" w:eastAsia="宋体" w:cs="宋体"/>
                <w:szCs w:val="21"/>
                <w:highlight w:val="none"/>
                <w:lang w:val="en-US" w:eastAsia="zh-CN"/>
              </w:rPr>
              <w:t xml:space="preserve">水利高级</w:t>
            </w:r>
            <w:r>
              <w:rPr>
                <w:rFonts w:hint="eastAsia" w:ascii="宋体" w:hAnsi="宋体" w:eastAsia="宋体" w:cs="宋体"/>
                <w:szCs w:val="21"/>
                <w:highlight w:val="none"/>
              </w:rPr>
              <w:t xml:space="preserve">工程</w:t>
            </w:r>
            <w:r>
              <w:rPr>
                <w:rFonts w:hint="eastAsia" w:ascii="宋体" w:hAnsi="宋体" w:eastAsia="宋体" w:cs="宋体"/>
                <w:szCs w:val="21"/>
                <w:highlight w:val="none"/>
                <w:lang w:val="en-US" w:eastAsia="zh-CN"/>
              </w:rPr>
              <w:t xml:space="preserve">师及以上职称</w:t>
            </w:r>
            <w:r>
              <w:rPr>
                <w:rFonts w:hint="eastAsia" w:ascii="宋体" w:hAnsi="宋体" w:eastAsia="宋体" w:cs="宋体"/>
                <w:szCs w:val="21"/>
                <w:highlight w:val="none"/>
              </w:rPr>
              <w:t xml:space="preserve">的</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分，本项最高得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159"/>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宋体" w:hAnsi="宋体" w:eastAsia="宋体" w:cs="宋体"/>
                <w:b w:val="0"/>
                <w:bCs w:val="0"/>
                <w:sz w:val="21"/>
                <w:szCs w:val="21"/>
                <w:highlight w:val="none"/>
                <w:lang w:val="en-US" w:eastAsia="zh-CN" w:bidi="ar-SA"/>
              </w:rPr>
              <w:t xml:space="preserve">供应商配备中国水利工程协会（或中国水利企业协会）颁发的</w:t>
            </w:r>
            <w:r>
              <w:rPr>
                <w:rFonts w:hint="eastAsia" w:ascii="宋体" w:hAnsi="宋体" w:eastAsia="宋体" w:cs="宋体"/>
                <w:i w:val="0"/>
                <w:iCs w:val="0"/>
                <w:caps w:val="0"/>
                <w:spacing w:val="0"/>
                <w:sz w:val="21"/>
                <w:szCs w:val="21"/>
                <w:highlight w:val="none"/>
                <w:shd w:val="clear" w:color="auto" w:fill="auto"/>
              </w:rPr>
              <w:t xml:space="preserve">施工员、质检员、安全员、材料员、资料员</w:t>
            </w:r>
            <w:r>
              <w:rPr>
                <w:rFonts w:hint="eastAsia" w:ascii="宋体" w:hAnsi="宋体" w:eastAsia="宋体" w:cs="宋体"/>
                <w:i w:val="0"/>
                <w:iCs w:val="0"/>
                <w:caps w:val="0"/>
                <w:spacing w:val="0"/>
                <w:sz w:val="21"/>
                <w:szCs w:val="21"/>
                <w:highlight w:val="none"/>
                <w:shd w:val="clear" w:color="auto" w:fill="auto"/>
                <w:lang w:val="en-US" w:eastAsia="zh-CN"/>
              </w:rPr>
              <w:t xml:space="preserve">证书，有一个得1分，</w:t>
            </w:r>
            <w:r>
              <w:rPr>
                <w:rFonts w:hint="eastAsia" w:ascii="宋体" w:hAnsi="宋体" w:eastAsia="宋体" w:cs="宋体"/>
                <w:szCs w:val="21"/>
                <w:highlight w:val="none"/>
              </w:rPr>
              <w:t xml:space="preserve">本项最高得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rPr>
                <w:rFonts w:ascii="宋体" w:hAnsi="宋体" w:eastAsia="宋体" w:cs="宋体"/>
                <w:szCs w:val="21"/>
                <w:highlight w:val="none"/>
                <w:lang w:val="en-US" w:eastAsia="zh-CN"/>
              </w:rPr>
            </w:r>
            <w:r/>
          </w:p>
        </w:tc>
        <w:tc>
          <w:tcPr>
            <w:tcW w:w="2383" w:type="dxa"/>
            <w:vAlign w:val="center"/>
            <w:textDirection w:val="lrTb"/>
            <w:noWrap w:val="false"/>
          </w:tcPr>
          <w:p>
            <w:pPr>
              <w:pStyle w:val="1159"/>
              <w:jc w:val="left"/>
              <w:keepLines w:val="0"/>
              <w:keepNext w:val="0"/>
              <w:pageBreakBefore w:val="0"/>
              <w:spacing w:beforeAutospacing="0" w:afterAutospacing="0" w:line="240" w:lineRule="auto"/>
              <w:widowControl/>
              <w:rPr>
                <w:rFonts w:hint="eastAsia" w:ascii="宋体" w:hAnsi="宋体" w:eastAsia="宋体" w:cs="宋体"/>
                <w:b w:val="0"/>
                <w:bCs w:val="0"/>
                <w:szCs w:val="21"/>
                <w:highlight w:val="none"/>
                <w:lang w:bidi="ar-SA"/>
              </w:rPr>
            </w:pPr>
            <w:r>
              <w:rPr>
                <w:rFonts w:hint="eastAsia" w:ascii="宋体" w:hAnsi="宋体" w:eastAsia="宋体" w:cs="Times New Roman"/>
                <w:b/>
                <w:bCs/>
                <w:szCs w:val="21"/>
                <w:highlight w:val="none"/>
                <w:lang w:bidi="ar"/>
              </w:rPr>
              <w:t xml:space="preserve">需提供人员证书原件扫描件</w:t>
            </w:r>
            <w:r>
              <w:rPr>
                <w:rFonts w:hint="eastAsia" w:ascii="宋体" w:hAnsi="宋体" w:eastAsia="宋体" w:cs="Times New Roman"/>
                <w:b/>
                <w:bCs/>
                <w:sz w:val="21"/>
                <w:szCs w:val="21"/>
                <w:highlight w:val="none"/>
                <w:lang w:eastAsia="zh-CN" w:bidi="ar"/>
              </w:rPr>
              <w:t xml:space="preserve">（若相关证照为电子证书的，须符合发证部门的使用要求。）</w:t>
            </w:r>
            <w:r>
              <w:rPr>
                <w:rFonts w:hint="eastAsia" w:ascii="宋体" w:hAnsi="宋体" w:eastAsia="宋体" w:cs="Times New Roman"/>
                <w:b/>
                <w:bCs/>
                <w:sz w:val="21"/>
                <w:szCs w:val="21"/>
                <w:highlight w:val="none"/>
                <w:lang w:val="en-US" w:eastAsia="zh-CN" w:bidi="ar"/>
              </w:rPr>
              <w:t xml:space="preserve">及</w:t>
            </w:r>
            <w:r>
              <w:rPr>
                <w:rFonts w:hint="eastAsia" w:ascii="宋体" w:hAnsi="宋体" w:eastAsia="宋体" w:cs="Times New Roman"/>
                <w:b/>
                <w:bCs/>
                <w:sz w:val="21"/>
                <w:szCs w:val="21"/>
                <w:highlight w:val="none"/>
                <w:lang w:val="en-US" w:eastAsia="zh-CN" w:bidi="ar"/>
              </w:rPr>
              <w:t xml:space="preserve">供应商为</w:t>
            </w:r>
            <w:r>
              <w:rPr>
                <w:rFonts w:hint="eastAsia" w:ascii="宋体" w:hAnsi="宋体" w:eastAsia="宋体" w:cs="Times New Roman"/>
                <w:b/>
                <w:bCs/>
                <w:sz w:val="21"/>
                <w:szCs w:val="21"/>
                <w:highlight w:val="none"/>
                <w:lang w:bidi="ar"/>
              </w:rPr>
              <w:t xml:space="preserve">其缴纳的202</w:t>
            </w:r>
            <w:r>
              <w:rPr>
                <w:rFonts w:hint="eastAsia" w:ascii="宋体" w:hAnsi="宋体" w:eastAsia="宋体" w:cs="Times New Roman"/>
                <w:b/>
                <w:bCs/>
                <w:sz w:val="21"/>
                <w:szCs w:val="21"/>
                <w:highlight w:val="none"/>
                <w:lang w:val="en-US" w:eastAsia="zh-CN" w:bidi="ar"/>
              </w:rPr>
              <w:t xml:space="preserve">6</w:t>
            </w:r>
            <w:r>
              <w:rPr>
                <w:rFonts w:hint="eastAsia" w:ascii="宋体" w:hAnsi="宋体" w:eastAsia="宋体" w:cs="Times New Roman"/>
                <w:b/>
                <w:bCs/>
                <w:sz w:val="21"/>
                <w:szCs w:val="21"/>
                <w:highlight w:val="none"/>
                <w:lang w:bidi="ar"/>
              </w:rPr>
              <w:t xml:space="preserve">年</w:t>
            </w:r>
            <w:r>
              <w:rPr>
                <w:rFonts w:hint="eastAsia" w:ascii="宋体" w:hAnsi="宋体" w:eastAsia="宋体" w:cs="Times New Roman"/>
                <w:b/>
                <w:bCs/>
                <w:sz w:val="21"/>
                <w:szCs w:val="21"/>
                <w:highlight w:val="none"/>
                <w:lang w:val="en-US" w:eastAsia="zh-CN" w:bidi="ar"/>
              </w:rPr>
              <w:t xml:space="preserve">3</w:t>
            </w:r>
            <w:r>
              <w:rPr>
                <w:rFonts w:hint="eastAsia" w:ascii="宋体" w:hAnsi="宋体" w:eastAsia="宋体" w:cs="Times New Roman"/>
                <w:b/>
                <w:bCs/>
                <w:sz w:val="21"/>
                <w:szCs w:val="21"/>
                <w:highlight w:val="none"/>
                <w:lang w:bidi="ar"/>
              </w:rPr>
              <w:t xml:space="preserve">月-202</w:t>
            </w:r>
            <w:r>
              <w:rPr>
                <w:rFonts w:hint="eastAsia" w:ascii="宋体" w:hAnsi="宋体" w:eastAsia="宋体" w:cs="Times New Roman"/>
                <w:b/>
                <w:bCs/>
                <w:sz w:val="21"/>
                <w:szCs w:val="21"/>
                <w:highlight w:val="none"/>
                <w:lang w:eastAsia="zh-CN" w:bidi="ar"/>
              </w:rPr>
              <w:t xml:space="preserve">6</w:t>
            </w:r>
            <w:r>
              <w:rPr>
                <w:rFonts w:hint="eastAsia" w:ascii="宋体" w:hAnsi="宋体" w:eastAsia="宋体" w:cs="Times New Roman"/>
                <w:b/>
                <w:bCs/>
                <w:sz w:val="21"/>
                <w:szCs w:val="21"/>
                <w:highlight w:val="none"/>
                <w:lang w:bidi="ar"/>
              </w:rPr>
              <w:t xml:space="preserve">年</w:t>
            </w:r>
            <w:r>
              <w:rPr>
                <w:rFonts w:hint="eastAsia" w:ascii="宋体" w:hAnsi="宋体" w:eastAsia="宋体" w:cs="Times New Roman"/>
                <w:b/>
                <w:bCs/>
                <w:sz w:val="21"/>
                <w:szCs w:val="21"/>
                <w:highlight w:val="none"/>
                <w:lang w:val="en-US" w:eastAsia="zh-CN" w:bidi="ar"/>
              </w:rPr>
              <w:t xml:space="preserve">5</w:t>
            </w:r>
            <w:r>
              <w:rPr>
                <w:rFonts w:hint="eastAsia" w:ascii="宋体" w:hAnsi="宋体" w:eastAsia="宋体" w:cs="Times New Roman"/>
                <w:b/>
                <w:bCs/>
                <w:sz w:val="21"/>
                <w:szCs w:val="21"/>
                <w:highlight w:val="none"/>
                <w:lang w:bidi="ar"/>
              </w:rPr>
              <w:t xml:space="preserve">月连续三个月养老保险缴纳证明材料</w:t>
            </w:r>
            <w:r>
              <w:rPr>
                <w:rFonts w:hint="eastAsia" w:ascii="宋体" w:hAnsi="宋体" w:eastAsia="宋体" w:cs="Times New Roman"/>
                <w:b/>
                <w:bCs/>
                <w:sz w:val="21"/>
                <w:szCs w:val="21"/>
                <w:highlight w:val="none"/>
                <w:lang w:val="en-US" w:eastAsia="zh-CN" w:bidi="ar"/>
              </w:rPr>
              <w:t xml:space="preserve">扫描件</w:t>
            </w:r>
            <w:r>
              <w:rPr>
                <w:rFonts w:hint="eastAsia" w:ascii="宋体" w:hAnsi="宋体" w:eastAsia="宋体" w:cs="Times New Roman"/>
                <w:b/>
                <w:bCs/>
                <w:sz w:val="21"/>
                <w:szCs w:val="21"/>
                <w:highlight w:val="none"/>
                <w:lang w:bidi="ar"/>
              </w:rPr>
              <w:t xml:space="preserve">，并加盖社保机构章或社保机构参保缴费证明电子专用章</w:t>
            </w:r>
            <w:r>
              <w:rPr>
                <w:rFonts w:hint="eastAsia" w:ascii="宋体" w:hAnsi="宋体" w:eastAsia="宋体" w:cs="Times New Roman"/>
                <w:b/>
                <w:bCs/>
                <w:sz w:val="21"/>
                <w:szCs w:val="21"/>
                <w:highlight w:val="none"/>
                <w:lang w:eastAsia="zh-CN" w:bidi="ar"/>
              </w:rPr>
              <w:t xml:space="preserve">（</w:t>
            </w:r>
            <w:r>
              <w:rPr>
                <w:rFonts w:hint="eastAsia" w:ascii="宋体" w:hAnsi="宋体" w:eastAsia="宋体" w:cs="Times New Roman"/>
                <w:b/>
                <w:bCs/>
                <w:sz w:val="21"/>
                <w:szCs w:val="21"/>
                <w:highlight w:val="none"/>
                <w:lang w:val="en-US" w:eastAsia="zh-CN" w:bidi="ar"/>
              </w:rPr>
              <w:t xml:space="preserve">如为退休人员则提供退休证明材料及返聘合同</w:t>
            </w:r>
            <w:r>
              <w:rPr>
                <w:rFonts w:hint="eastAsia" w:ascii="宋体" w:hAnsi="宋体" w:eastAsia="宋体" w:cs="Times New Roman"/>
                <w:b/>
                <w:bCs/>
                <w:sz w:val="21"/>
                <w:szCs w:val="21"/>
                <w:highlight w:val="none"/>
                <w:lang w:eastAsia="zh-CN" w:bidi="ar"/>
              </w:rPr>
              <w:t xml:space="preserve">）。</w:t>
            </w:r>
            <w:r>
              <w:rPr>
                <w:rFonts w:hint="eastAsia" w:ascii="宋体" w:hAnsi="宋体" w:eastAsia="宋体" w:cs="Times New Roman"/>
                <w:b/>
                <w:bCs/>
                <w:szCs w:val="21"/>
                <w:highlight w:val="none"/>
                <w:lang w:bidi="ar"/>
              </w:rPr>
              <w:t xml:space="preserve">提供不全或未提供不得分。</w:t>
            </w:r>
            <w:r>
              <w:rPr>
                <w:rFonts w:hint="eastAsia" w:ascii="宋体" w:hAnsi="宋体" w:eastAsia="宋体" w:cs="宋体"/>
                <w:b w:val="0"/>
                <w:bCs w:val="0"/>
                <w:szCs w:val="21"/>
                <w:highlight w:val="none"/>
                <w:lang w:bidi="ar-SA"/>
              </w:rPr>
            </w:r>
            <w:r/>
          </w:p>
        </w:tc>
      </w:tr>
      <w:tr>
        <w:trPr>
          <w:trHeight w:val="567"/>
        </w:trPr>
        <w:tc>
          <w:tcPr>
            <w:gridSpan w:val="2"/>
            <w:tcW w:w="1858"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9"/>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1159"/>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1159"/>
        <w:ind w:firstLine="480"/>
        <w:jc w:val="left"/>
        <w:spacing w:line="400" w:lineRule="exact"/>
        <w:widowControl/>
        <w:rPr>
          <w:rFonts w:hint="eastAsia"/>
          <w:color w:val="000000"/>
          <w:sz w:val="24"/>
          <w:highlight w:val="none"/>
        </w:rPr>
      </w:pPr>
      <w:r>
        <w:rPr>
          <w:rFonts w:hint="eastAsia"/>
          <w:color w:val="000000"/>
          <w:sz w:val="24"/>
          <w:highlight w:val="none"/>
        </w:rPr>
      </w:r>
      <w:r/>
    </w:p>
    <w:p>
      <w:pPr>
        <w:pStyle w:val="1159"/>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1159"/>
        <w:jc w:val="left"/>
        <w:widowControl/>
        <w:rPr>
          <w:b/>
          <w:color w:val="000000"/>
          <w:sz w:val="36"/>
          <w:szCs w:val="36"/>
          <w:highlight w:val="none"/>
        </w:rPr>
      </w:pPr>
      <w:r>
        <w:rPr>
          <w:b/>
          <w:color w:val="000000"/>
          <w:sz w:val="36"/>
          <w:szCs w:val="36"/>
          <w:highlight w:val="none"/>
        </w:rPr>
      </w:r>
      <w:r/>
    </w:p>
    <w:p>
      <w:pPr>
        <w:pStyle w:val="1159"/>
        <w:jc w:val="center"/>
        <w:spacing w:line="360" w:lineRule="auto"/>
        <w:rPr>
          <w:b/>
          <w:color w:val="000000"/>
          <w:sz w:val="36"/>
          <w:szCs w:val="36"/>
          <w:highlight w:val="none"/>
        </w:rPr>
        <w:outlineLvl w:val="0"/>
      </w:pPr>
      <w:r>
        <w:rPr>
          <w:b/>
          <w:color w:val="000000"/>
          <w:sz w:val="36"/>
          <w:szCs w:val="36"/>
          <w:highlight w:val="none"/>
        </w:rPr>
        <w:br w:type="page" w:clear="all"/>
      </w:r>
      <w:bookmarkStart w:id="290" w:name="_Toc104818928"/>
      <w:r/>
      <w:bookmarkStart w:id="291" w:name="_Toc28815"/>
      <w:r/>
      <w:bookmarkStart w:id="292" w:name="_Toc2703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0"/>
      <w:r/>
      <w:bookmarkEnd w:id="291"/>
      <w:r/>
      <w:bookmarkEnd w:id="292"/>
      <w:r>
        <w:rPr>
          <w:b/>
          <w:color w:val="000000"/>
          <w:sz w:val="36"/>
          <w:szCs w:val="36"/>
          <w:highlight w:val="none"/>
        </w:rPr>
      </w:r>
      <w:r/>
    </w:p>
    <w:p>
      <w:pPr>
        <w:pStyle w:val="1161"/>
        <w:jc w:val="left"/>
        <w:spacing w:before="0" w:line="360" w:lineRule="auto"/>
        <w:rPr>
          <w:rFonts w:ascii="Times New Roman" w:hAnsi="Times New Roman" w:eastAsia="宋体" w:cs="Times New Roman"/>
          <w:color w:val="000000"/>
          <w:sz w:val="24"/>
          <w:szCs w:val="24"/>
          <w:highlight w:val="none"/>
        </w:rPr>
      </w:pPr>
      <w:r/>
      <w:bookmarkStart w:id="293" w:name="_Toc104818929"/>
      <w:r/>
      <w:bookmarkStart w:id="294" w:name="_Toc21446"/>
      <w:r/>
      <w:bookmarkStart w:id="295" w:name="_Toc99301425"/>
      <w:r>
        <w:rPr>
          <w:rFonts w:ascii="Times New Roman" w:hAnsi="Times New Roman" w:eastAsia="宋体" w:cs="Times New Roman"/>
          <w:color w:val="000000"/>
          <w:sz w:val="24"/>
          <w:szCs w:val="24"/>
          <w:highlight w:val="none"/>
        </w:rPr>
        <w:t xml:space="preserve">一、采购标的</w:t>
      </w:r>
      <w:r>
        <w:rPr>
          <w:rFonts w:ascii="Times New Roman" w:hAnsi="Times New Roman" w:eastAsia="宋体" w:cs="Times New Roman"/>
          <w:color w:val="000000"/>
          <w:sz w:val="24"/>
          <w:szCs w:val="24"/>
          <w:highlight w:val="none"/>
        </w:rPr>
      </w:r>
      <w:r/>
    </w:p>
    <w:p>
      <w:pPr>
        <w:pStyle w:val="1191"/>
        <w:ind w:firstLine="480"/>
        <w:keepLines w:val="0"/>
        <w:keepNext w:val="0"/>
        <w:pageBreakBefore w:val="0"/>
        <w:spacing w:before="0" w:line="360" w:lineRule="auto"/>
        <w:widowControl w:val="off"/>
        <w:tabs>
          <w:tab w:val="left" w:pos="567" w:leader="none"/>
        </w:tabs>
        <w:rPr>
          <w:rFonts w:hint="eastAsia" w:ascii="宋体" w:hAnsi="宋体" w:eastAsia="宋体" w:cs="宋体"/>
          <w:b w:val="0"/>
          <w:color w:val="000000"/>
          <w:sz w:val="24"/>
          <w:szCs w:val="24"/>
          <w:highlight w:val="none"/>
          <w:u w:val="none"/>
          <w:lang w:val="en-US" w:eastAsia="zh-CN" w:bidi="ar-SA"/>
        </w:rPr>
      </w:pPr>
      <w:r>
        <w:rPr>
          <w:rFonts w:hint="eastAsia" w:eastAsia="宋体" w:cs="宋体"/>
          <w:b w:val="0"/>
          <w:color w:val="000000"/>
          <w:sz w:val="24"/>
          <w:szCs w:val="24"/>
          <w:highlight w:val="none"/>
          <w:u w:val="none"/>
          <w:lang w:val="en-US" w:eastAsia="zh-CN" w:bidi="ar-SA"/>
        </w:rPr>
        <w:t xml:space="preserve">1、</w:t>
      </w:r>
      <w:r>
        <w:rPr>
          <w:rFonts w:hint="eastAsia" w:ascii="宋体" w:hAnsi="宋体" w:eastAsia="宋体" w:cs="宋体"/>
          <w:b w:val="0"/>
          <w:color w:val="000000"/>
          <w:sz w:val="24"/>
          <w:szCs w:val="24"/>
          <w:highlight w:val="none"/>
          <w:u w:val="none"/>
          <w:lang w:val="en-US" w:eastAsia="zh-CN" w:bidi="ar-SA"/>
        </w:rPr>
        <w:t xml:space="preserve">项目名称：2025年度新北区罗溪镇邱庄窑丼片区级高标准农田建设项目</w:t>
      </w:r>
      <w:r>
        <w:rPr>
          <w:rFonts w:hint="eastAsia" w:ascii="宋体" w:hAnsi="宋体" w:eastAsia="宋体" w:cs="宋体"/>
          <w:b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宋体" w:hAnsi="宋体" w:eastAsia="宋体" w:cs="宋体"/>
          <w:b w:val="0"/>
          <w:color w:val="000000"/>
          <w:sz w:val="24"/>
          <w:szCs w:val="24"/>
          <w:highlight w:val="none"/>
          <w:u w:val="none"/>
          <w:lang w:val="en-US" w:eastAsia="zh-CN" w:bidi="ar-SA"/>
        </w:rPr>
      </w:pPr>
      <w:r>
        <w:rPr>
          <w:rFonts w:hint="eastAsia" w:eastAsia="宋体" w:cs="宋体"/>
          <w:b w:val="0"/>
          <w:color w:val="000000"/>
          <w:sz w:val="24"/>
          <w:szCs w:val="24"/>
          <w:highlight w:val="none"/>
          <w:u w:val="none"/>
          <w:lang w:val="en-US" w:eastAsia="zh-CN" w:bidi="ar-SA"/>
        </w:rPr>
        <w:t xml:space="preserve">2、</w:t>
      </w:r>
      <w:r>
        <w:rPr>
          <w:rFonts w:hint="eastAsia" w:ascii="宋体" w:hAnsi="宋体" w:eastAsia="宋体" w:cs="宋体"/>
          <w:b w:val="0"/>
          <w:color w:val="000000"/>
          <w:sz w:val="24"/>
          <w:szCs w:val="24"/>
          <w:highlight w:val="none"/>
          <w:u w:val="none"/>
          <w:lang w:val="en-US" w:eastAsia="zh-CN" w:bidi="ar-SA"/>
        </w:rPr>
        <w:t xml:space="preserve">项目预算金额：395万元；项目最高限价：</w:t>
      </w:r>
      <w:r>
        <w:rPr>
          <w:rFonts w:hint="eastAsia" w:eastAsia="宋体" w:cs="宋体"/>
          <w:b w:val="0"/>
          <w:color w:val="000000"/>
          <w:sz w:val="24"/>
          <w:szCs w:val="24"/>
          <w:highlight w:val="none"/>
          <w:u w:val="none"/>
          <w:lang w:val="en-US" w:eastAsia="zh-CN" w:bidi="ar-SA"/>
        </w:rPr>
        <w:t xml:space="preserve">391.974697</w:t>
      </w:r>
      <w:r>
        <w:rPr>
          <w:rFonts w:hint="eastAsia" w:ascii="宋体" w:hAnsi="宋体" w:eastAsia="宋体" w:cs="宋体"/>
          <w:b w:val="0"/>
          <w:color w:val="000000"/>
          <w:sz w:val="24"/>
          <w:szCs w:val="24"/>
          <w:highlight w:val="none"/>
          <w:u w:val="none"/>
          <w:lang w:val="en-US" w:eastAsia="zh-CN" w:bidi="ar-SA"/>
        </w:rPr>
        <w:t xml:space="preserve">万元</w:t>
      </w:r>
      <w:r>
        <w:rPr>
          <w:rFonts w:hint="eastAsia" w:ascii="宋体" w:hAnsi="宋体" w:eastAsia="宋体" w:cs="宋体"/>
          <w:b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宋体" w:hAnsi="宋体" w:eastAsia="宋体" w:cs="宋体"/>
          <w:b w:val="0"/>
          <w:color w:val="000000"/>
          <w:sz w:val="24"/>
          <w:szCs w:val="24"/>
          <w:highlight w:val="none"/>
          <w:u w:val="none"/>
          <w:lang w:val="en-US" w:eastAsia="zh-CN" w:bidi="ar-SA"/>
        </w:rPr>
      </w:pPr>
      <w:r>
        <w:rPr>
          <w:rFonts w:hint="eastAsia" w:eastAsia="宋体" w:cs="宋体"/>
          <w:b w:val="0"/>
          <w:color w:val="000000"/>
          <w:sz w:val="24"/>
          <w:szCs w:val="24"/>
          <w:highlight w:val="none"/>
          <w:u w:val="none"/>
          <w:lang w:val="en-US" w:eastAsia="zh-CN" w:bidi="ar-SA"/>
        </w:rPr>
        <w:t xml:space="preserve">3、</w:t>
      </w:r>
      <w:r>
        <w:rPr>
          <w:rFonts w:hint="eastAsia" w:ascii="宋体" w:hAnsi="宋体" w:eastAsia="宋体" w:cs="宋体"/>
          <w:b w:val="0"/>
          <w:color w:val="000000"/>
          <w:sz w:val="24"/>
          <w:szCs w:val="24"/>
          <w:highlight w:val="none"/>
          <w:u w:val="none"/>
          <w:lang w:val="en-US" w:eastAsia="zh-CN" w:bidi="ar-SA"/>
        </w:rPr>
        <w:t xml:space="preserve">采购需求：2025年度新北区罗溪镇邱庄窑丼片区级高标准农田建设项目，具体详见工程量清单。</w:t>
      </w:r>
      <w:r>
        <w:rPr>
          <w:rFonts w:hint="eastAsia" w:ascii="宋体" w:hAnsi="宋体" w:eastAsia="宋体" w:cs="宋体"/>
          <w:b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宋体" w:hAnsi="宋体" w:eastAsia="宋体" w:cs="宋体"/>
          <w:b w:val="0"/>
          <w:color w:val="000000"/>
          <w:sz w:val="24"/>
          <w:szCs w:val="24"/>
          <w:highlight w:val="none"/>
          <w:u w:val="none"/>
          <w:lang w:val="en-US" w:eastAsia="zh-CN" w:bidi="ar-SA"/>
        </w:rPr>
      </w:pPr>
      <w:r>
        <w:rPr>
          <w:rFonts w:hint="eastAsia" w:eastAsia="宋体" w:cs="宋体"/>
          <w:b w:val="0"/>
          <w:color w:val="000000"/>
          <w:sz w:val="24"/>
          <w:szCs w:val="24"/>
          <w:highlight w:val="none"/>
          <w:u w:val="none"/>
          <w:lang w:val="en-US" w:eastAsia="zh-CN" w:bidi="ar-SA"/>
        </w:rPr>
        <w:t xml:space="preserve">4、</w:t>
      </w:r>
      <w:r>
        <w:rPr>
          <w:rFonts w:hint="eastAsia" w:ascii="宋体" w:hAnsi="宋体" w:eastAsia="宋体" w:cs="宋体"/>
          <w:b w:val="0"/>
          <w:color w:val="000000"/>
          <w:sz w:val="24"/>
          <w:szCs w:val="24"/>
          <w:highlight w:val="none"/>
          <w:u w:val="none"/>
          <w:lang w:val="en-US" w:eastAsia="zh-CN" w:bidi="ar-SA"/>
        </w:rPr>
        <w:t xml:space="preserve">合同履行期限：120日历天（以开工令为准）。</w:t>
      </w:r>
      <w:r>
        <w:rPr>
          <w:rFonts w:hint="eastAsia" w:ascii="宋体" w:hAnsi="宋体" w:eastAsia="宋体" w:cs="宋体"/>
          <w:b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宋体" w:hAnsi="宋体" w:eastAsia="宋体" w:cs="宋体"/>
          <w:b w:val="0"/>
          <w:color w:val="000000"/>
          <w:sz w:val="24"/>
          <w:szCs w:val="24"/>
          <w:highlight w:val="none"/>
          <w:u w:val="none"/>
          <w:lang w:val="en-US" w:eastAsia="zh-CN" w:bidi="ar-SA"/>
        </w:rPr>
      </w:pPr>
      <w:r>
        <w:rPr>
          <w:rFonts w:hint="eastAsia" w:eastAsia="宋体" w:cs="宋体"/>
          <w:b w:val="0"/>
          <w:color w:val="000000"/>
          <w:sz w:val="24"/>
          <w:szCs w:val="24"/>
          <w:highlight w:val="none"/>
          <w:u w:val="none"/>
          <w:lang w:val="en-US" w:eastAsia="zh-CN" w:bidi="ar-SA"/>
        </w:rPr>
        <w:t xml:space="preserve">5、</w:t>
      </w:r>
      <w:r>
        <w:rPr>
          <w:rFonts w:hint="eastAsia" w:ascii="宋体" w:hAnsi="宋体" w:eastAsia="宋体" w:cs="宋体"/>
          <w:b w:val="0"/>
          <w:color w:val="000000"/>
          <w:sz w:val="24"/>
          <w:szCs w:val="24"/>
          <w:highlight w:val="none"/>
          <w:u w:val="none"/>
          <w:lang w:val="en-US" w:eastAsia="zh-CN" w:bidi="ar-SA"/>
        </w:rPr>
        <w:t xml:space="preserve">质量标准：合格。</w:t>
      </w:r>
      <w:r>
        <w:rPr>
          <w:rFonts w:hint="eastAsia" w:ascii="宋体" w:hAnsi="宋体" w:eastAsia="宋体" w:cs="宋体"/>
          <w:b w:val="0"/>
          <w:color w:val="000000"/>
          <w:sz w:val="24"/>
          <w:szCs w:val="24"/>
          <w:highlight w:val="none"/>
          <w:u w:val="none"/>
          <w:lang w:val="en-US" w:eastAsia="zh-CN" w:bidi="ar-SA"/>
        </w:rPr>
      </w:r>
      <w:r/>
    </w:p>
    <w:p>
      <w:pPr>
        <w:pStyle w:val="1159"/>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二、商务要求</w:t>
      </w:r>
      <w:r>
        <w:rPr>
          <w:rFonts w:ascii="Times New Roman" w:hAnsi="Times New Roman" w:cs="Times New Roman"/>
          <w:b/>
          <w:color w:val="000000"/>
          <w:sz w:val="24"/>
          <w:highlight w:val="none"/>
        </w:rPr>
      </w:r>
      <w:r/>
    </w:p>
    <w:p>
      <w:pPr>
        <w:pStyle w:val="1159"/>
        <w:contextualSpacing/>
        <w:ind w:firstLine="480"/>
        <w:spacing w:line="360" w:lineRule="auto"/>
        <w:rPr>
          <w:rFonts w:ascii="Times New Roman" w:hAnsi="Times New Roman" w:cs="Times New Roman"/>
          <w:i/>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t xml:space="preserve">交付（实施）的时间（期限）和地点（范围）</w:t>
      </w:r>
      <w:r>
        <w:rPr>
          <w:rFonts w:ascii="Times New Roman" w:hAnsi="Times New Roman" w:cs="Times New Roman"/>
          <w:i/>
          <w:color w:val="000000"/>
          <w:sz w:val="24"/>
          <w:highlight w:val="none"/>
        </w:rPr>
      </w:r>
      <w:r/>
    </w:p>
    <w:p>
      <w:pPr>
        <w:pStyle w:val="1159"/>
        <w:ind w:left="0"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宋体"/>
          <w:b w:val="0"/>
          <w:color w:val="000000"/>
          <w:sz w:val="24"/>
          <w:szCs w:val="24"/>
          <w:highlight w:val="none"/>
          <w:u w:val="none"/>
          <w:lang w:val="en-US" w:eastAsia="zh-CN" w:bidi="ar-SA"/>
        </w:rPr>
        <w:t xml:space="preserve">120日历天（以开工令为准）</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1159"/>
        <w:ind w:left="0" w:firstLine="480"/>
        <w:keepLines w:val="0"/>
        <w:keepNext w:val="0"/>
        <w:pageBreakBefore w:val="0"/>
        <w:spacing w:line="360" w:lineRule="auto"/>
        <w:widowControl w:val="off"/>
        <w:rPr>
          <w:rFonts w:ascii="Times New Roman" w:hAnsi="Times New Roman" w:eastAsia="宋体" w:cs="宋体"/>
          <w:color w:val="000000"/>
          <w:sz w:val="24"/>
          <w:szCs w:val="24"/>
          <w:highlight w:val="none"/>
          <w:lang w:val="en-US"/>
        </w:rPr>
      </w:pPr>
      <w:r>
        <w:rPr>
          <w:rFonts w:hint="eastAsia" w:ascii="宋体" w:hAnsi="宋体" w:eastAsia="宋体" w:cs="宋体"/>
          <w:b w:val="0"/>
          <w:color w:val="000000"/>
          <w:sz w:val="24"/>
          <w:szCs w:val="24"/>
          <w:highlight w:val="none"/>
          <w:u w:val="none"/>
          <w:lang w:val="en-US" w:eastAsia="zh-CN" w:bidi="ar-SA"/>
        </w:rPr>
        <w:t xml:space="preserve">罗溪镇邱庄窑丼片</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宋体"/>
          <w:color w:val="000000"/>
          <w:sz w:val="24"/>
          <w:szCs w:val="24"/>
          <w:highlight w:val="none"/>
          <w:lang w:val="en-US"/>
        </w:rPr>
      </w:r>
      <w:r/>
    </w:p>
    <w:p>
      <w:pPr>
        <w:pStyle w:val="1159"/>
        <w:contextualSpacing/>
        <w:ind w:firstLine="480"/>
        <w:spacing w:line="360" w:lineRule="auto"/>
        <w:rPr>
          <w:rFonts w:ascii="Times New Roman" w:hAnsi="Times New Roman" w:cs="Times New Roman"/>
          <w:color w:val="000000"/>
          <w:sz w:val="24"/>
          <w:highlight w:val="none"/>
          <w:shd w:val="clear" w:color="auto" w:fill="ffffff"/>
        </w:rPr>
      </w:pPr>
      <w:r>
        <w:rPr>
          <w:rFonts w:ascii="Times New Roman" w:hAnsi="Times New Roman" w:cs="Times New Roman"/>
          <w:color w:val="000000"/>
          <w:sz w:val="24"/>
          <w:highlight w:val="none"/>
          <w:shd w:val="clear" w:color="auto" w:fill="ffffff"/>
        </w:rPr>
        <w:t xml:space="preserve">2、付款条件（进度和方式）</w:t>
      </w:r>
      <w:r>
        <w:rPr>
          <w:rFonts w:ascii="Times New Roman" w:hAnsi="Times New Roman" w:cs="Times New Roman"/>
          <w:color w:val="000000"/>
          <w:sz w:val="24"/>
          <w:highlight w:val="none"/>
          <w:shd w:val="clear" w:color="auto" w:fill="ffffff"/>
        </w:rPr>
      </w:r>
      <w:r/>
    </w:p>
    <w:p>
      <w:pPr>
        <w:pStyle w:val="1191"/>
        <w:ind w:firstLine="480"/>
        <w:keepLines w:val="0"/>
        <w:keepNext w:val="0"/>
        <w:pageBreakBefore w:val="0"/>
        <w:spacing w:before="0" w:line="360" w:lineRule="auto"/>
        <w:widowControl w:val="off"/>
        <w:tabs>
          <w:tab w:val="left" w:pos="567" w:leader="none"/>
        </w:tabs>
        <w:rPr>
          <w:rFonts w:hint="eastAsia" w:ascii="Times New Roman" w:hAnsi="Times New Roman" w:eastAsia="宋体" w:cs="Times New Roman"/>
          <w:b w:val="0"/>
          <w:bCs w:val="0"/>
          <w:color w:val="000000"/>
          <w:sz w:val="24"/>
          <w:szCs w:val="24"/>
          <w:highlight w:val="none"/>
          <w:u w:val="none"/>
          <w:lang w:val="en-US" w:eastAsia="zh-CN" w:bidi="ar-SA"/>
        </w:rPr>
      </w:pPr>
      <w:r>
        <w:rPr>
          <w:rFonts w:hint="eastAsia" w:ascii="Times New Roman" w:hAnsi="Times New Roman" w:eastAsia="宋体" w:cs="Times New Roman"/>
          <w:b w:val="0"/>
          <w:bCs w:val="0"/>
          <w:color w:val="000000"/>
          <w:sz w:val="24"/>
          <w:szCs w:val="24"/>
          <w:highlight w:val="none"/>
          <w:u w:val="none"/>
          <w:lang w:val="en-US" w:eastAsia="zh-CN" w:bidi="ar-SA"/>
        </w:rPr>
        <w:t xml:space="preserve">（1）本工程无预付工程款。</w:t>
      </w:r>
      <w:r>
        <w:rPr>
          <w:rFonts w:hint="eastAsia" w:ascii="Times New Roman" w:hAnsi="Times New Roman" w:eastAsia="宋体" w:cs="Times New Roman"/>
          <w:b w:val="0"/>
          <w:bCs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Times New Roman" w:hAnsi="Times New Roman" w:eastAsia="宋体" w:cs="Times New Roman"/>
          <w:b w:val="0"/>
          <w:bCs w:val="0"/>
          <w:color w:val="000000"/>
          <w:sz w:val="24"/>
          <w:szCs w:val="24"/>
          <w:highlight w:val="none"/>
          <w:u w:val="none"/>
          <w:lang w:val="en-US" w:eastAsia="zh-CN" w:bidi="ar-SA"/>
        </w:rPr>
      </w:pPr>
      <w:r>
        <w:rPr>
          <w:rFonts w:hint="eastAsia" w:ascii="Times New Roman" w:hAnsi="Times New Roman" w:eastAsia="宋体" w:cs="Times New Roman"/>
          <w:b w:val="0"/>
          <w:bCs w:val="0"/>
          <w:color w:val="000000"/>
          <w:sz w:val="24"/>
          <w:szCs w:val="24"/>
          <w:highlight w:val="none"/>
          <w:u w:val="none"/>
          <w:lang w:val="en-US" w:eastAsia="zh-CN" w:bidi="ar-SA"/>
        </w:rPr>
        <w:t xml:space="preserve">（2）工程款按工程形象进度支付，每月25日前，承包人报送经监理核准的工程月报量，次月15日前支付由发包人指定的跟踪审计及发包人核定的已完成工程造价40%的月进度款；由于变更及签证的增加工程款，在进度款中暂不支付，归入竣工结算中待结算审定后支付。</w:t>
      </w:r>
      <w:r>
        <w:rPr>
          <w:rFonts w:hint="eastAsia" w:ascii="Times New Roman" w:hAnsi="Times New Roman" w:eastAsia="宋体" w:cs="Times New Roman"/>
          <w:b w:val="0"/>
          <w:bCs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Times New Roman" w:hAnsi="Times New Roman" w:eastAsia="宋体" w:cs="Times New Roman"/>
          <w:b w:val="0"/>
          <w:bCs w:val="0"/>
          <w:color w:val="000000"/>
          <w:sz w:val="24"/>
          <w:szCs w:val="24"/>
          <w:highlight w:val="none"/>
          <w:u w:val="none"/>
          <w:lang w:val="en-US" w:eastAsia="zh-CN" w:bidi="ar-SA"/>
        </w:rPr>
      </w:pPr>
      <w:r>
        <w:rPr>
          <w:rFonts w:hint="eastAsia" w:ascii="Times New Roman" w:hAnsi="Times New Roman" w:eastAsia="宋体" w:cs="Times New Roman"/>
          <w:b w:val="0"/>
          <w:bCs w:val="0"/>
          <w:color w:val="000000"/>
          <w:sz w:val="24"/>
          <w:szCs w:val="24"/>
          <w:highlight w:val="none"/>
          <w:u w:val="none"/>
          <w:lang w:val="en-US" w:eastAsia="zh-CN" w:bidi="ar-SA"/>
        </w:rPr>
        <w:t xml:space="preserve">（3）工程完工验收合格后付至合同价的50%。</w:t>
      </w:r>
      <w:r>
        <w:rPr>
          <w:rFonts w:hint="eastAsia" w:ascii="Times New Roman" w:hAnsi="Times New Roman" w:eastAsia="宋体" w:cs="Times New Roman"/>
          <w:b w:val="0"/>
          <w:bCs w:val="0"/>
          <w:color w:val="000000"/>
          <w:sz w:val="24"/>
          <w:szCs w:val="24"/>
          <w:highlight w:val="none"/>
          <w:u w:val="none"/>
          <w:lang w:val="en-US" w:eastAsia="zh-CN" w:bidi="ar-SA"/>
        </w:rPr>
      </w:r>
      <w:r/>
    </w:p>
    <w:p>
      <w:pPr>
        <w:pStyle w:val="1159"/>
        <w:ind w:right="248" w:firstLine="480"/>
        <w:spacing w:line="360" w:lineRule="auto"/>
        <w:rPr>
          <w:rFonts w:hint="eastAsia" w:ascii="Times New Roman" w:hAnsi="Times New Roman" w:eastAsia="宋体" w:cs="Times New Roman"/>
          <w:b w:val="0"/>
          <w:bCs w:val="0"/>
          <w:color w:val="000000"/>
          <w:sz w:val="24"/>
          <w:szCs w:val="24"/>
          <w:highlight w:val="none"/>
          <w:u w:val="none"/>
          <w:lang w:val="en-US" w:eastAsia="zh-CN" w:bidi="ar-SA"/>
        </w:rPr>
      </w:pPr>
      <w:r>
        <w:rPr>
          <w:rFonts w:hint="eastAsia" w:ascii="Times New Roman" w:hAnsi="Times New Roman" w:eastAsia="宋体" w:cs="Times New Roman"/>
          <w:b w:val="0"/>
          <w:bCs w:val="0"/>
          <w:color w:val="000000"/>
          <w:sz w:val="24"/>
          <w:szCs w:val="24"/>
          <w:highlight w:val="none"/>
          <w:u w:val="none"/>
          <w:lang w:val="en-US" w:eastAsia="zh-CN" w:bidi="ar-SA"/>
        </w:rPr>
        <w:t xml:space="preserve">（4）承包人在工程完工验收合格一个月内提交全套完整的结算资料，发包人在收到全套完整结算资料后四个月内完成工程结算审定，开具审定单；如因承包人原因，提交资料不完整，经发包人催促后承包人仍未提供的，发包人可根据已有资料进行审查，发包人也可以延期进行审计，责任由承包人承担；在发包人审定后，付至审定价的60%。</w:t>
      </w:r>
      <w:r>
        <w:rPr>
          <w:rFonts w:hint="eastAsia" w:ascii="Times New Roman" w:hAnsi="Times New Roman" w:eastAsia="宋体" w:cs="Times New Roman"/>
          <w:b w:val="0"/>
          <w:bCs w:val="0"/>
          <w:color w:val="000000"/>
          <w:sz w:val="24"/>
          <w:szCs w:val="24"/>
          <w:highlight w:val="none"/>
          <w:u w:val="none"/>
          <w:lang w:val="en-US" w:eastAsia="zh-CN" w:bidi="ar-SA"/>
        </w:rPr>
      </w:r>
      <w:r/>
    </w:p>
    <w:p>
      <w:pPr>
        <w:pStyle w:val="1159"/>
        <w:ind w:right="248" w:firstLine="480"/>
        <w:spacing w:line="360" w:lineRule="auto"/>
        <w:rPr>
          <w:rFonts w:hint="eastAsia" w:ascii="Times New Roman" w:hAnsi="Times New Roman" w:eastAsia="宋体" w:cs="Times New Roman"/>
          <w:b w:val="0"/>
          <w:bCs w:val="0"/>
          <w:color w:val="000000"/>
          <w:sz w:val="24"/>
          <w:szCs w:val="24"/>
          <w:highlight w:val="none"/>
          <w:u w:val="none"/>
          <w:lang w:val="en-US" w:eastAsia="zh-CN" w:bidi="ar-SA"/>
        </w:rPr>
      </w:pPr>
      <w:r>
        <w:rPr>
          <w:rFonts w:hint="eastAsia" w:ascii="Times New Roman" w:hAnsi="Times New Roman" w:eastAsia="宋体" w:cs="Times New Roman"/>
          <w:b w:val="0"/>
          <w:bCs w:val="0"/>
          <w:color w:val="000000"/>
          <w:sz w:val="24"/>
          <w:szCs w:val="24"/>
          <w:highlight w:val="none"/>
          <w:u w:val="none"/>
          <w:lang w:val="en-US" w:eastAsia="zh-CN" w:bidi="ar-SA"/>
        </w:rPr>
        <w:t xml:space="preserve">（5）余款（除保修金外）从工程竣工验收合格审定完成之日算起，两年内分四次付至审定价的97%（付款时间为每年六月份、十二月份各支付一次，余款不计利息）。</w:t>
      </w:r>
      <w:r>
        <w:rPr>
          <w:rFonts w:hint="eastAsia" w:ascii="Times New Roman" w:hAnsi="Times New Roman" w:eastAsia="宋体" w:cs="Times New Roman"/>
          <w:b w:val="0"/>
          <w:bCs w:val="0"/>
          <w:color w:val="000000"/>
          <w:sz w:val="24"/>
          <w:szCs w:val="24"/>
          <w:highlight w:val="none"/>
          <w:u w:val="none"/>
          <w:lang w:val="en-US" w:eastAsia="zh-CN" w:bidi="ar-SA"/>
        </w:rPr>
      </w:r>
      <w:r/>
    </w:p>
    <w:p>
      <w:pPr>
        <w:pStyle w:val="1191"/>
        <w:ind w:firstLine="480"/>
        <w:keepLines w:val="0"/>
        <w:keepNext w:val="0"/>
        <w:pageBreakBefore w:val="0"/>
        <w:spacing w:before="0" w:line="360" w:lineRule="auto"/>
        <w:widowControl w:val="off"/>
        <w:tabs>
          <w:tab w:val="left" w:pos="567" w:leader="none"/>
        </w:tabs>
        <w:rPr>
          <w:rFonts w:hint="eastAsia" w:ascii="Times New Roman" w:hAnsi="Times New Roman" w:eastAsia="宋体" w:cs="Times New Roman"/>
          <w:b w:val="0"/>
          <w:bCs w:val="0"/>
          <w:color w:val="000000"/>
          <w:sz w:val="24"/>
          <w:szCs w:val="24"/>
          <w:highlight w:val="none"/>
          <w:u w:val="none"/>
          <w:lang w:val="en-US" w:eastAsia="zh-CN" w:bidi="ar-SA"/>
        </w:rPr>
      </w:pPr>
      <w:r>
        <w:rPr>
          <w:rFonts w:hint="eastAsia" w:ascii="Times New Roman" w:hAnsi="Times New Roman" w:eastAsia="宋体" w:cs="Times New Roman"/>
          <w:b w:val="0"/>
          <w:bCs w:val="0"/>
          <w:color w:val="000000"/>
          <w:sz w:val="24"/>
          <w:szCs w:val="24"/>
          <w:highlight w:val="none"/>
          <w:u w:val="none"/>
          <w:lang w:val="en-US" w:eastAsia="zh-CN" w:bidi="ar-SA"/>
        </w:rPr>
        <w:t xml:space="preserve">（6）保修金为审定价的3%，在竣工验收合格满二年后支付。</w:t>
      </w:r>
      <w:r>
        <w:rPr>
          <w:rFonts w:hint="eastAsia" w:ascii="Times New Roman" w:hAnsi="Times New Roman" w:eastAsia="宋体" w:cs="Times New Roman"/>
          <w:b w:val="0"/>
          <w:bCs w:val="0"/>
          <w:color w:val="000000"/>
          <w:sz w:val="24"/>
          <w:szCs w:val="24"/>
          <w:highlight w:val="none"/>
          <w:u w:val="none"/>
          <w:lang w:val="en-US" w:eastAsia="zh-CN" w:bidi="ar-SA"/>
        </w:rPr>
      </w:r>
      <w:r/>
    </w:p>
    <w:p>
      <w:pPr>
        <w:pStyle w:val="1159"/>
        <w:ind w:firstLine="482"/>
        <w:spacing w:line="360" w:lineRule="auto"/>
        <w:rPr>
          <w:rFonts w:ascii="Times New Roman" w:hAnsi="Times New Roman" w:eastAsia="宋体" w:cs="Times New Roman"/>
          <w:b/>
          <w:bCs/>
          <w:color w:val="000000"/>
          <w:sz w:val="24"/>
          <w:szCs w:val="24"/>
          <w:highlight w:val="none"/>
          <w:u w:val="none"/>
          <w:lang w:val="en-US" w:eastAsia="zh-CN" w:bidi="ar-SA"/>
        </w:rPr>
      </w:pPr>
      <w:r>
        <w:rPr>
          <w:rFonts w:hint="eastAsia" w:ascii="Times New Roman" w:hAnsi="Times New Roman" w:eastAsia="宋体" w:cs="Times New Roman"/>
          <w:b/>
          <w:bCs/>
          <w:color w:val="000000"/>
          <w:sz w:val="24"/>
          <w:szCs w:val="24"/>
          <w:highlight w:val="none"/>
          <w:u w:val="none"/>
          <w:lang w:val="en-US" w:eastAsia="zh-CN" w:bidi="ar-SA"/>
        </w:rPr>
        <w:t xml:space="preserve">3、结算要求</w:t>
      </w:r>
      <w:r>
        <w:rPr>
          <w:rFonts w:ascii="Times New Roman" w:hAnsi="Times New Roman" w:eastAsia="宋体" w:cs="Times New Roman"/>
          <w:b/>
          <w:bCs/>
          <w:color w:val="000000"/>
          <w:sz w:val="24"/>
          <w:szCs w:val="24"/>
          <w:highlight w:val="none"/>
          <w:u w:val="none"/>
          <w:lang w:val="en-US" w:eastAsia="zh-CN" w:bidi="ar-SA"/>
        </w:rPr>
      </w:r>
      <w:r/>
    </w:p>
    <w:p>
      <w:pPr>
        <w:pStyle w:val="1199"/>
        <w:numPr>
          <w:ilvl w:val="0"/>
          <w:numId w:val="0"/>
        </w:numPr>
        <w:ind w:right="0" w:firstLine="480"/>
        <w:jc w:val="both"/>
        <w:keepLines w:val="0"/>
        <w:keepNext w:val="0"/>
        <w:pageBreakBefore w:val="0"/>
        <w:spacing w:line="360" w:lineRule="auto"/>
        <w:widowControl w:val="off"/>
        <w:rPr>
          <w:rFonts w:hint="eastAsia" w:ascii="Times New Roman" w:hAnsi="Times New Roman" w:eastAsia="宋体" w:cs="Times New Roman"/>
          <w:b w:val="0"/>
          <w:color w:val="000000"/>
          <w:sz w:val="24"/>
          <w:szCs w:val="24"/>
          <w:highlight w:val="none"/>
          <w:u w:val="none"/>
          <w:lang w:val="en-US" w:eastAsia="zh-CN" w:bidi="ar-SA"/>
        </w:rPr>
      </w:pPr>
      <w:r>
        <w:rPr>
          <w:rFonts w:hint="eastAsia" w:ascii="Times New Roman" w:hAnsi="Times New Roman" w:eastAsia="宋体" w:cs="Times New Roman"/>
          <w:b w:val="0"/>
          <w:color w:val="000000"/>
          <w:sz w:val="24"/>
          <w:szCs w:val="24"/>
          <w:highlight w:val="none"/>
          <w:u w:val="none"/>
          <w:lang w:val="en-US" w:eastAsia="zh-CN" w:bidi="ar-SA"/>
        </w:rPr>
        <w:t xml:space="preserve">详见合同。</w:t>
      </w:r>
      <w:r>
        <w:rPr>
          <w:rFonts w:hint="eastAsia" w:ascii="Times New Roman" w:hAnsi="Times New Roman" w:eastAsia="宋体" w:cs="Times New Roman"/>
          <w:b w:val="0"/>
          <w:color w:val="000000"/>
          <w:sz w:val="24"/>
          <w:szCs w:val="24"/>
          <w:highlight w:val="none"/>
          <w:u w:val="none"/>
          <w:lang w:val="en-US" w:eastAsia="zh-CN" w:bidi="ar-SA"/>
        </w:rPr>
      </w:r>
      <w:r/>
    </w:p>
    <w:p>
      <w:pPr>
        <w:pStyle w:val="1159"/>
        <w:spacing w:line="360" w:lineRule="auto"/>
        <w:rPr>
          <w:rFonts w:hint="eastAsia"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 xml:space="preserve">三、技术要求</w:t>
      </w:r>
      <w:r>
        <w:rPr>
          <w:rFonts w:hint="eastAsia" w:ascii="Times New Roman" w:hAnsi="Times New Roman" w:eastAsia="宋体" w:cs="Times New Roman"/>
          <w:b/>
          <w:color w:val="000000"/>
          <w:sz w:val="24"/>
          <w:highlight w:val="none"/>
          <w:lang w:val="en-US" w:eastAsia="zh-CN"/>
        </w:rPr>
      </w:r>
      <w:r/>
    </w:p>
    <w:p>
      <w:pPr>
        <w:pStyle w:val="1199"/>
        <w:numPr>
          <w:ilvl w:val="0"/>
          <w:numId w:val="0"/>
        </w:numPr>
        <w:ind w:right="0" w:firstLine="480"/>
        <w:jc w:val="both"/>
        <w:keepLines w:val="0"/>
        <w:keepNext w:val="0"/>
        <w:pageBreakBefore w:val="0"/>
        <w:spacing w:line="360" w:lineRule="auto"/>
        <w:widowControl w:val="off"/>
        <w:rPr>
          <w:rFonts w:hint="eastAsia" w:ascii="Times New Roman" w:hAnsi="Times New Roman" w:eastAsia="宋体" w:cs="Times New Roman"/>
          <w:b w:val="0"/>
          <w:color w:val="000000"/>
          <w:sz w:val="24"/>
          <w:szCs w:val="24"/>
          <w:highlight w:val="none"/>
          <w:u w:val="none"/>
          <w:lang w:val="en-US" w:eastAsia="zh-CN" w:bidi="ar-SA"/>
        </w:rPr>
      </w:pPr>
      <w:r>
        <w:rPr>
          <w:rFonts w:hint="eastAsia" w:ascii="Times New Roman" w:hAnsi="Times New Roman" w:eastAsia="宋体" w:cs="Times New Roman"/>
          <w:b w:val="0"/>
          <w:color w:val="000000"/>
          <w:sz w:val="24"/>
          <w:szCs w:val="24"/>
          <w:highlight w:val="none"/>
          <w:u w:val="none"/>
          <w:lang w:val="en-US" w:eastAsia="zh-CN" w:bidi="ar-SA"/>
        </w:rPr>
        <w:t xml:space="preserve">1、按国家和行业现行的法律、法规执行。</w:t>
      </w:r>
      <w:r>
        <w:rPr>
          <w:rFonts w:hint="eastAsia" w:ascii="Times New Roman" w:hAnsi="Times New Roman" w:eastAsia="宋体" w:cs="Times New Roman"/>
          <w:b w:val="0"/>
          <w:color w:val="000000"/>
          <w:sz w:val="24"/>
          <w:szCs w:val="24"/>
          <w:highlight w:val="none"/>
          <w:u w:val="none"/>
          <w:lang w:val="en-US" w:eastAsia="zh-CN" w:bidi="ar-SA"/>
        </w:rPr>
      </w:r>
      <w:r/>
    </w:p>
    <w:p>
      <w:pPr>
        <w:pStyle w:val="1199"/>
        <w:numPr>
          <w:ilvl w:val="0"/>
          <w:numId w:val="0"/>
        </w:numPr>
        <w:ind w:right="0" w:firstLine="480"/>
        <w:jc w:val="both"/>
        <w:keepLines w:val="0"/>
        <w:keepNext w:val="0"/>
        <w:pageBreakBefore w:val="0"/>
        <w:spacing w:line="360" w:lineRule="auto"/>
        <w:widowControl w:val="off"/>
        <w:rPr>
          <w:rFonts w:hint="eastAsia" w:ascii="Times New Roman" w:hAnsi="Times New Roman" w:eastAsia="宋体" w:cs="Times New Roman"/>
          <w:b w:val="0"/>
          <w:color w:val="000000"/>
          <w:sz w:val="24"/>
          <w:szCs w:val="24"/>
          <w:highlight w:val="none"/>
          <w:u w:val="none"/>
          <w:lang w:val="en-US" w:eastAsia="zh-CN" w:bidi="ar-SA"/>
        </w:rPr>
      </w:pPr>
      <w:r>
        <w:rPr>
          <w:rFonts w:hint="eastAsia" w:ascii="Times New Roman" w:hAnsi="Times New Roman" w:eastAsia="宋体" w:cs="Times New Roman"/>
          <w:b w:val="0"/>
          <w:color w:val="000000"/>
          <w:sz w:val="24"/>
          <w:szCs w:val="24"/>
          <w:highlight w:val="none"/>
          <w:u w:val="none"/>
          <w:lang w:val="en-US" w:eastAsia="zh-CN" w:bidi="ar-SA"/>
        </w:rPr>
        <w:t xml:space="preserve">2、技术要求：图纸、招标控制价、工程量清单、《技术标准和要求》（另附）</w:t>
      </w:r>
      <w:r>
        <w:rPr>
          <w:rFonts w:hint="eastAsia" w:ascii="Times New Roman" w:hAnsi="Times New Roman" w:eastAsia="宋体" w:cs="Times New Roman"/>
          <w:b w:val="0"/>
          <w:color w:val="000000"/>
          <w:sz w:val="24"/>
          <w:szCs w:val="24"/>
          <w:highlight w:val="none"/>
          <w:u w:val="none"/>
          <w:lang w:val="en-US" w:eastAsia="zh-CN" w:bidi="ar-SA"/>
        </w:rPr>
      </w:r>
      <w:r/>
    </w:p>
    <w:p>
      <w:pPr>
        <w:pStyle w:val="1159"/>
        <w:spacing w:line="360" w:lineRule="auto"/>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lang w:val="en-US" w:eastAsia="zh-CN"/>
        </w:rPr>
        <w:t xml:space="preserve">四、</w:t>
      </w:r>
      <w:r>
        <w:rPr>
          <w:rFonts w:hint="eastAsia" w:ascii="Times New Roman" w:hAnsi="Times New Roman" w:eastAsia="宋体" w:cs="Times New Roman"/>
          <w:b/>
          <w:color w:val="000000"/>
          <w:sz w:val="24"/>
          <w:highlight w:val="none"/>
        </w:rPr>
        <w:t xml:space="preserve">工程量清单、招标控制价编制说明</w:t>
      </w:r>
      <w:bookmarkEnd w:id="295"/>
      <w:r>
        <w:rPr>
          <w:rFonts w:hint="eastAsia" w:ascii="Times New Roman" w:hAnsi="Times New Roman" w:eastAsia="宋体" w:cs="Times New Roman"/>
          <w:b/>
          <w:color w:val="000000"/>
          <w:sz w:val="24"/>
          <w:highlight w:val="none"/>
        </w:rPr>
      </w:r>
      <w:r/>
    </w:p>
    <w:p>
      <w:pPr>
        <w:pStyle w:val="1159"/>
        <w:ind w:firstLine="482"/>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1、工程概况：</w:t>
      </w:r>
      <w:r>
        <w:rPr>
          <w:rFonts w:hint="eastAsia" w:ascii="Times New Roman" w:hAnsi="Times New Roman" w:eastAsia="宋体" w:cs="Times New Roman"/>
          <w:b/>
          <w:bCs/>
          <w:sz w:val="24"/>
          <w:szCs w:val="24"/>
          <w:highlight w:val="none"/>
          <w:lang w:val="en-US" w:eastAsia="zh-CN" w:bidi="ar-SA"/>
        </w:rPr>
      </w:r>
      <w:r/>
    </w:p>
    <w:p>
      <w:pPr>
        <w:pStyle w:val="1159"/>
        <w:ind w:firstLine="480"/>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sz w:val="24"/>
          <w:highlight w:val="none"/>
        </w:rPr>
        <w:t xml:space="preserve">本工程为</w:t>
      </w:r>
      <w:r>
        <w:rPr>
          <w:rFonts w:hint="eastAsia" w:ascii="Times New Roman" w:hAnsi="Times New Roman" w:eastAsia="宋体" w:cs="Times New Roman"/>
          <w:sz w:val="24"/>
          <w:highlight w:val="none"/>
        </w:rPr>
        <w:t xml:space="preserve">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年度</w:t>
      </w:r>
      <w:r>
        <w:rPr>
          <w:rFonts w:hint="eastAsia" w:ascii="Times New Roman" w:hAnsi="Times New Roman" w:eastAsia="宋体" w:cs="Times New Roman"/>
          <w:color w:val="000000"/>
          <w:sz w:val="24"/>
          <w:highlight w:val="none"/>
        </w:rPr>
        <w:t xml:space="preserve">新北区罗溪镇邱庄窑丼片区级高标准农田建设项目</w:t>
      </w:r>
      <w:r>
        <w:rPr>
          <w:rFonts w:hint="eastAsia" w:ascii="Times New Roman" w:hAnsi="Times New Roman" w:eastAsia="宋体" w:cs="Times New Roman"/>
          <w:bCs/>
          <w:color w:val="000000"/>
          <w:sz w:val="24"/>
          <w:highlight w:val="none"/>
        </w:rPr>
        <w:t xml:space="preserve">，本工程位于罗溪镇</w:t>
      </w:r>
      <w:r>
        <w:rPr>
          <w:rFonts w:hint="eastAsia" w:ascii="Times New Roman" w:hAnsi="Times New Roman" w:eastAsia="宋体" w:cs="Times New Roman"/>
          <w:color w:val="000000"/>
          <w:sz w:val="24"/>
          <w:highlight w:val="none"/>
        </w:rPr>
        <w:t xml:space="preserve">邱庄</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窑丼</w:t>
      </w:r>
      <w:r>
        <w:rPr>
          <w:rFonts w:hint="eastAsia" w:ascii="Times New Roman" w:hAnsi="Times New Roman" w:eastAsia="宋体" w:cs="Times New Roman"/>
          <w:color w:val="000000"/>
          <w:sz w:val="24"/>
          <w:highlight w:val="none"/>
          <w:lang w:val="en-US" w:eastAsia="zh-CN"/>
        </w:rPr>
        <w:t xml:space="preserve">村</w:t>
      </w:r>
      <w:r>
        <w:rPr>
          <w:rFonts w:hint="eastAsia" w:ascii="Times New Roman" w:hAnsi="Times New Roman" w:eastAsia="宋体" w:cs="Times New Roman"/>
          <w:bCs/>
          <w:color w:val="000000"/>
          <w:sz w:val="24"/>
          <w:highlight w:val="none"/>
        </w:rPr>
        <w:t xml:space="preserve">境内，工程主要内容：对项目区</w:t>
      </w:r>
      <w:r>
        <w:rPr>
          <w:rFonts w:hint="eastAsia" w:ascii="Times New Roman" w:hAnsi="Times New Roman" w:eastAsia="宋体" w:cs="Times New Roman"/>
          <w:bCs/>
          <w:color w:val="000000"/>
          <w:sz w:val="24"/>
          <w:highlight w:val="none"/>
          <w:lang w:val="en-US" w:eastAsia="zh-CN"/>
        </w:rPr>
        <w:t xml:space="preserve">64</w:t>
      </w:r>
      <w:r>
        <w:rPr>
          <w:rFonts w:ascii="Times New Roman" w:hAnsi="Times New Roman" w:eastAsia="宋体" w:cs="Times New Roman"/>
          <w:bCs/>
          <w:color w:val="000000"/>
          <w:sz w:val="24"/>
          <w:highlight w:val="none"/>
        </w:rPr>
        <w:t xml:space="preserve">0</w:t>
      </w:r>
      <w:r>
        <w:rPr>
          <w:rFonts w:hint="eastAsia" w:ascii="Times New Roman" w:hAnsi="Times New Roman" w:eastAsia="宋体" w:cs="Times New Roman"/>
          <w:bCs/>
          <w:color w:val="000000"/>
          <w:sz w:val="24"/>
          <w:highlight w:val="none"/>
        </w:rPr>
        <w:t xml:space="preserve">亩土地进行高标准农田规划，包括布置机耕道、灌溉渠、排水沟等</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新建U60渠道942m、U80渠道2661m、生态排沟513m，D600管涵530m，排沟一岸坡修整980m，排沟二清杂修复370m，配套新建各类渠系建筑物366座，新建3m宽田间道路540m，新建3.5m宽田间道路740m等。</w:t>
      </w:r>
      <w:r>
        <w:rPr>
          <w:rFonts w:hint="eastAsia" w:ascii="Times New Roman" w:hAnsi="Times New Roman" w:eastAsia="宋体" w:cs="Times New Roman"/>
          <w:bCs/>
          <w:color w:val="000000"/>
          <w:sz w:val="24"/>
          <w:highlight w:val="none"/>
          <w:lang w:val="en-US" w:eastAsia="zh-CN"/>
        </w:rPr>
      </w:r>
      <w:r/>
    </w:p>
    <w:p>
      <w:pPr>
        <w:pStyle w:val="1159"/>
        <w:ind w:firstLine="482"/>
        <w:spacing w:line="360" w:lineRule="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2</w:t>
      </w:r>
      <w:r>
        <w:rPr>
          <w:rFonts w:hint="eastAsia" w:ascii="Times New Roman" w:hAnsi="Times New Roman" w:eastAsia="宋体" w:cs="Times New Roman"/>
          <w:b/>
          <w:bCs/>
          <w:sz w:val="24"/>
          <w:highlight w:val="none"/>
        </w:rPr>
        <w:t xml:space="preserve">、编制依据：</w:t>
      </w:r>
      <w:r>
        <w:rPr>
          <w:rFonts w:hint="eastAsia" w:ascii="Times New Roman" w:hAnsi="Times New Roman" w:eastAsia="宋体" w:cs="Times New Roman"/>
          <w:b/>
          <w:bCs/>
          <w:sz w:val="24"/>
          <w:highlight w:val="none"/>
        </w:rPr>
      </w:r>
      <w:r/>
    </w:p>
    <w:p>
      <w:pPr>
        <w:pStyle w:val="1159"/>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《水利工程工程量清单计价规范》（GB50501-2007）；</w:t>
      </w:r>
      <w:r>
        <w:rPr>
          <w:rFonts w:hint="eastAsia" w:ascii="Times New Roman" w:hAnsi="Times New Roman" w:eastAsia="宋体" w:cs="Times New Roman"/>
          <w:sz w:val="24"/>
          <w:highlight w:val="none"/>
        </w:rPr>
      </w:r>
      <w:r/>
    </w:p>
    <w:p>
      <w:pPr>
        <w:pStyle w:val="1159"/>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2010版《江苏省水利工程预算定额》、《江苏省水利工程设计概（估）算编制规定》（</w:t>
      </w:r>
      <w:r>
        <w:rPr>
          <w:rFonts w:ascii="Times New Roman" w:hAnsi="Times New Roman" w:eastAsia="宋体" w:cs="Times New Roman"/>
          <w:sz w:val="24"/>
          <w:highlight w:val="none"/>
        </w:rPr>
        <w:t xml:space="preserve">2012</w:t>
      </w:r>
      <w:r>
        <w:rPr>
          <w:rFonts w:hint="eastAsia" w:ascii="Times New Roman" w:hAnsi="Times New Roman" w:eastAsia="宋体" w:cs="Times New Roman"/>
          <w:sz w:val="24"/>
          <w:highlight w:val="none"/>
        </w:rPr>
        <w:t xml:space="preserve">版）、水利人工按苏水基【2015】32号文规定标准执行；</w:t>
      </w:r>
      <w:r>
        <w:rPr>
          <w:rFonts w:hint="eastAsia" w:ascii="Times New Roman" w:hAnsi="Times New Roman" w:eastAsia="宋体" w:cs="Times New Roman"/>
          <w:sz w:val="24"/>
          <w:highlight w:val="none"/>
        </w:rPr>
      </w:r>
      <w:r/>
    </w:p>
    <w:p>
      <w:pPr>
        <w:pStyle w:val="1159"/>
        <w:ind w:firstLine="480"/>
        <w:spacing w:line="360" w:lineRule="auto"/>
        <w:rPr>
          <w:rFonts w:hint="eastAsia" w:ascii="宋体" w:hAnsi="宋体"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w:t>
      </w:r>
      <w:r>
        <w:rPr>
          <w:rFonts w:hint="eastAsia" w:ascii="宋体" w:hAnsi="宋体" w:eastAsia="宋体" w:cs="Times New Roman"/>
          <w:sz w:val="24"/>
          <w:highlight w:val="none"/>
        </w:rPr>
        <w:t xml:space="preserve">江苏省市政工程计价定额》（2014版）及现行文件规定；</w:t>
      </w:r>
      <w:r>
        <w:rPr>
          <w:rFonts w:hint="eastAsia" w:ascii="宋体" w:hAnsi="宋体" w:eastAsia="宋体" w:cs="Times New Roman"/>
          <w:sz w:val="24"/>
          <w:highlight w:val="none"/>
        </w:rPr>
      </w:r>
      <w:r/>
    </w:p>
    <w:p>
      <w:pPr>
        <w:pStyle w:val="1159"/>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甲方提供的设计图纸及编标答疑；</w:t>
      </w:r>
      <w:r>
        <w:rPr>
          <w:rFonts w:hint="eastAsia" w:ascii="Times New Roman" w:hAnsi="Times New Roman" w:eastAsia="宋体" w:cs="Times New Roman"/>
          <w:sz w:val="24"/>
          <w:highlight w:val="none"/>
        </w:rPr>
      </w:r>
      <w:r/>
    </w:p>
    <w:p>
      <w:pPr>
        <w:pStyle w:val="1159"/>
        <w:ind w:firstLine="480"/>
        <w:spacing w:line="360" w:lineRule="auto"/>
        <w:rPr>
          <w:rFonts w:hint="eastAsia" w:ascii="宋体" w:hAnsi="宋体" w:eastAsia="宋体" w:cs="Times New Roman"/>
          <w:bCs/>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eastAsia="zh-CN"/>
        </w:rPr>
        <w:t xml:space="preserve">）</w:t>
      </w:r>
      <w:r>
        <w:rPr>
          <w:rFonts w:hint="eastAsia" w:ascii="宋体" w:hAnsi="宋体" w:eastAsia="宋体" w:cs="Times New Roman"/>
          <w:bCs/>
          <w:sz w:val="24"/>
          <w:highlight w:val="none"/>
        </w:rPr>
        <w:t xml:space="preserve">材料均按照《常州工程造价信息》202</w:t>
      </w:r>
      <w:r>
        <w:rPr>
          <w:rFonts w:hint="eastAsia" w:ascii="宋体" w:hAnsi="宋体" w:eastAsia="宋体" w:cs="Times New Roman"/>
          <w:bCs/>
          <w:sz w:val="24"/>
          <w:highlight w:val="none"/>
          <w:lang w:val="en-US" w:eastAsia="zh-CN"/>
        </w:rPr>
        <w:t xml:space="preserve">6</w:t>
      </w:r>
      <w:r>
        <w:rPr>
          <w:rFonts w:hint="eastAsia" w:ascii="宋体" w:hAnsi="宋体" w:eastAsia="宋体" w:cs="Times New Roman"/>
          <w:bCs/>
          <w:sz w:val="24"/>
          <w:highlight w:val="none"/>
        </w:rPr>
        <w:t xml:space="preserve">年</w:t>
      </w: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月</w:t>
      </w:r>
      <w:r>
        <w:rPr>
          <w:rFonts w:hint="eastAsia" w:ascii="宋体" w:hAnsi="宋体" w:eastAsia="宋体" w:cs="Times New Roman"/>
          <w:bCs/>
          <w:sz w:val="24"/>
          <w:highlight w:val="none"/>
        </w:rPr>
        <w:t xml:space="preserve">份常州市信息价中的除税指导价计算，</w:t>
      </w:r>
      <w:r>
        <w:rPr>
          <w:rFonts w:hint="eastAsia" w:ascii="宋体" w:hAnsi="宋体" w:eastAsia="宋体" w:cs="Times New Roman"/>
          <w:bCs/>
          <w:sz w:val="24"/>
          <w:highlight w:val="none"/>
        </w:rPr>
        <w:t xml:space="preserve">若</w:t>
      </w: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月份</w:t>
      </w:r>
      <w:r>
        <w:rPr>
          <w:rFonts w:hint="eastAsia" w:ascii="宋体" w:hAnsi="宋体" w:eastAsia="宋体" w:cs="Times New Roman"/>
          <w:bCs/>
          <w:sz w:val="24"/>
          <w:highlight w:val="none"/>
        </w:rPr>
        <w:t xml:space="preserve">信息中未标明的材料价格采取逐月类推，信息价中未包括的材料价格按市场询价计算。</w:t>
      </w:r>
      <w:r>
        <w:rPr>
          <w:rFonts w:hint="eastAsia" w:ascii="宋体" w:hAnsi="宋体" w:eastAsia="宋体" w:cs="Times New Roman"/>
          <w:bCs/>
          <w:sz w:val="24"/>
          <w:highlight w:val="none"/>
        </w:rPr>
      </w:r>
      <w:r/>
    </w:p>
    <w:p>
      <w:pPr>
        <w:pStyle w:val="1159"/>
        <w:ind w:firstLine="482"/>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3、编制情况：</w:t>
      </w:r>
      <w:r>
        <w:rPr>
          <w:rFonts w:hint="eastAsia" w:ascii="Times New Roman" w:hAnsi="Times New Roman" w:eastAsia="宋体" w:cs="Times New Roman"/>
          <w:b/>
          <w:bCs/>
          <w:sz w:val="24"/>
          <w:szCs w:val="24"/>
          <w:highlight w:val="none"/>
          <w:lang w:val="en-US" w:eastAsia="zh-CN" w:bidi="ar-SA"/>
        </w:rPr>
      </w:r>
      <w:r/>
    </w:p>
    <w:p>
      <w:pPr>
        <w:pStyle w:val="1159"/>
        <w:ind w:firstLine="480"/>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（1）报价说明：</w:t>
      </w:r>
      <w:r>
        <w:rPr>
          <w:rFonts w:hint="eastAsia" w:ascii="Times New Roman" w:hAnsi="Times New Roman" w:eastAsia="宋体" w:cs="Times New Roman"/>
          <w:bCs/>
          <w:sz w:val="24"/>
          <w:szCs w:val="24"/>
          <w:highlight w:val="none"/>
          <w:lang w:val="en-US" w:eastAsia="zh-CN" w:bidi="ar-SA"/>
        </w:rPr>
      </w:r>
      <w:r/>
    </w:p>
    <w:p>
      <w:pPr>
        <w:pStyle w:val="1159"/>
        <w:ind w:firstLine="480"/>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① 本工程中砼均采用商品砼；</w:t>
      </w:r>
      <w:r>
        <w:rPr>
          <w:rFonts w:hint="eastAsia" w:ascii="Times New Roman" w:hAnsi="Times New Roman" w:eastAsia="宋体" w:cs="Times New Roman"/>
          <w:bCs/>
          <w:sz w:val="24"/>
          <w:szCs w:val="24"/>
          <w:highlight w:val="none"/>
          <w:lang w:val="en-US" w:eastAsia="zh-CN" w:bidi="ar-SA"/>
        </w:rPr>
      </w:r>
      <w:r/>
    </w:p>
    <w:p>
      <w:pPr>
        <w:pStyle w:val="1159"/>
        <w:ind w:firstLine="470"/>
        <w:jc w:val="both"/>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② </w:t>
      </w:r>
      <w:r>
        <w:rPr>
          <w:rFonts w:hint="eastAsia" w:ascii="Times New Roman" w:hAnsi="Times New Roman" w:eastAsia="宋体" w:cs="Times New Roman"/>
          <w:bCs/>
          <w:sz w:val="24"/>
          <w:szCs w:val="24"/>
          <w:highlight w:val="none"/>
          <w:lang w:val="en-US" w:eastAsia="zh-CN" w:bidi="ar-SA"/>
        </w:rPr>
        <w:t xml:space="preserve">围堰含填筑、维护、拆除水上水下方，高度及顶宽满足施工及监理、甲方的要求；</w:t>
      </w:r>
      <w:r>
        <w:rPr>
          <w:rFonts w:hint="eastAsia" w:ascii="Times New Roman" w:hAnsi="Times New Roman" w:eastAsia="宋体" w:cs="Times New Roman"/>
          <w:bCs/>
          <w:sz w:val="24"/>
          <w:szCs w:val="24"/>
          <w:highlight w:val="none"/>
          <w:lang w:val="en-US" w:eastAsia="zh-CN" w:bidi="ar-SA"/>
        </w:rPr>
      </w:r>
      <w:r/>
    </w:p>
    <w:p>
      <w:pPr>
        <w:pStyle w:val="1159"/>
        <w:ind w:firstLine="470"/>
        <w:jc w:val="both"/>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③ 分类分项工程量清单计价表中未列出明细的临时设施，均在措施项目“临时工程”中考虑；</w:t>
      </w:r>
      <w:r>
        <w:rPr>
          <w:rFonts w:hint="eastAsia" w:ascii="Times New Roman" w:hAnsi="Times New Roman" w:eastAsia="宋体" w:cs="Times New Roman"/>
          <w:bCs/>
          <w:sz w:val="24"/>
          <w:szCs w:val="24"/>
          <w:highlight w:val="none"/>
          <w:lang w:val="en-US" w:eastAsia="zh-CN" w:bidi="ar-SA"/>
        </w:rPr>
      </w:r>
      <w:r/>
    </w:p>
    <w:p>
      <w:pPr>
        <w:pStyle w:val="1159"/>
        <w:ind w:firstLine="470"/>
        <w:jc w:val="both"/>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④所有以“项”为单位的分项工程均按总价承包，结算时不调整；</w:t>
      </w:r>
      <w:r>
        <w:rPr>
          <w:rFonts w:hint="eastAsia" w:ascii="Times New Roman" w:hAnsi="Times New Roman" w:eastAsia="宋体" w:cs="Times New Roman"/>
          <w:bCs/>
          <w:sz w:val="24"/>
          <w:szCs w:val="24"/>
          <w:highlight w:val="none"/>
          <w:lang w:val="en-US" w:eastAsia="zh-CN" w:bidi="ar-SA"/>
        </w:rPr>
      </w:r>
      <w:r/>
    </w:p>
    <w:p>
      <w:pPr>
        <w:pStyle w:val="1159"/>
        <w:ind w:firstLine="470"/>
        <w:jc w:val="both"/>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（2）清单与设计图纸不一致处，以清单及清单说明为报价依据；</w:t>
      </w:r>
      <w:r>
        <w:rPr>
          <w:rFonts w:hint="eastAsia" w:ascii="Times New Roman" w:hAnsi="Times New Roman" w:eastAsia="宋体" w:cs="Times New Roman"/>
          <w:bCs/>
          <w:sz w:val="24"/>
          <w:szCs w:val="24"/>
          <w:highlight w:val="none"/>
          <w:lang w:val="en-US" w:eastAsia="zh-CN" w:bidi="ar-SA"/>
        </w:rPr>
      </w:r>
      <w:r/>
    </w:p>
    <w:p>
      <w:pPr>
        <w:pStyle w:val="1159"/>
        <w:ind w:firstLine="470"/>
        <w:jc w:val="both"/>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（3）本工程材料、砼、预制件及构配件均充分考虑了现场运输及短驳费用；</w:t>
      </w:r>
      <w:r>
        <w:rPr>
          <w:rFonts w:hint="eastAsia" w:ascii="Times New Roman" w:hAnsi="Times New Roman" w:eastAsia="宋体" w:cs="Times New Roman"/>
          <w:bCs/>
          <w:sz w:val="24"/>
          <w:szCs w:val="24"/>
          <w:highlight w:val="none"/>
          <w:lang w:val="en-US" w:eastAsia="zh-CN" w:bidi="ar-SA"/>
        </w:rPr>
      </w:r>
      <w:r/>
    </w:p>
    <w:p>
      <w:pPr>
        <w:pStyle w:val="1159"/>
        <w:ind w:firstLine="480"/>
        <w:jc w:val="both"/>
        <w:keepLines w:val="0"/>
        <w:keepNext w:val="0"/>
        <w:pageBreakBefore w:val="0"/>
        <w:spacing w:line="360" w:lineRule="auto"/>
        <w:widowControl w:val="off"/>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（4）本工程所用模板、脚手架不单独列项，费用均包含在相关混凝土项目单价中；</w:t>
      </w:r>
      <w:r>
        <w:rPr>
          <w:rFonts w:hint="eastAsia" w:ascii="Times New Roman" w:hAnsi="Times New Roman" w:eastAsia="宋体" w:cs="Times New Roman"/>
          <w:bCs/>
          <w:sz w:val="24"/>
          <w:szCs w:val="24"/>
          <w:highlight w:val="none"/>
          <w:lang w:val="en-US" w:eastAsia="zh-CN" w:bidi="ar-SA"/>
        </w:rPr>
      </w:r>
      <w:r/>
    </w:p>
    <w:p>
      <w:pPr>
        <w:pStyle w:val="1159"/>
        <w:ind w:firstLine="480"/>
        <w:jc w:val="both"/>
        <w:keepLines w:val="0"/>
        <w:keepNext w:val="0"/>
        <w:pageBreakBefore w:val="0"/>
        <w:spacing w:line="360" w:lineRule="auto"/>
        <w:widowControl w:val="off"/>
        <w:rPr>
          <w:rFonts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（5）本工程砼抗渗等级W4,抗冻等级F50,砼价格已含此相应费用；</w:t>
      </w:r>
      <w:r>
        <w:rPr>
          <w:rFonts w:ascii="Times New Roman" w:hAnsi="Times New Roman" w:eastAsia="宋体" w:cs="Times New Roman"/>
          <w:bCs/>
          <w:sz w:val="24"/>
          <w:szCs w:val="24"/>
          <w:highlight w:val="none"/>
          <w:lang w:val="en-US" w:eastAsia="zh-CN" w:bidi="ar-SA"/>
        </w:rPr>
      </w:r>
      <w:r/>
    </w:p>
    <w:p>
      <w:pPr>
        <w:pStyle w:val="1159"/>
        <w:ind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bidi="ar-SA"/>
        </w:rPr>
      </w:pPr>
      <w:r>
        <w:rPr>
          <w:rFonts w:hint="eastAsia" w:ascii="Times New Roman" w:hAnsi="Times New Roman" w:eastAsia="宋体" w:cs="Times New Roman"/>
          <w:b w:val="0"/>
          <w:bCs/>
          <w:color w:val="000000"/>
          <w:sz w:val="24"/>
          <w:szCs w:val="24"/>
          <w:highlight w:val="none"/>
          <w:lang w:val="en-US" w:eastAsia="zh-CN" w:bidi="ar-SA"/>
        </w:rPr>
        <w:t xml:space="preserve">（6）“安全文明措施费”为不可竞争费用计90127.64元，投标单位按苏水规[2017]2号文、苏水安【2017】3号文相关规定进行结算，</w:t>
      </w:r>
      <w:r>
        <w:rPr>
          <w:rFonts w:hint="eastAsia" w:ascii="宋体" w:hAnsi="宋体" w:eastAsia="宋体" w:cs="宋体"/>
          <w:b w:val="0"/>
          <w:bCs/>
          <w:color w:val="000000"/>
          <w:sz w:val="24"/>
          <w:szCs w:val="24"/>
          <w:highlight w:val="none"/>
          <w:lang w:val="en-US" w:eastAsia="zh-CN" w:bidi="ar-SA"/>
        </w:rPr>
        <w:t xml:space="preserve">最终结算金额不得超过投标金额；</w:t>
      </w:r>
      <w:r>
        <w:rPr>
          <w:rFonts w:ascii="宋体" w:hAnsi="宋体" w:eastAsia="宋体" w:cs="宋体"/>
          <w:b w:val="0"/>
          <w:bCs/>
          <w:color w:val="000000"/>
          <w:sz w:val="24"/>
          <w:szCs w:val="24"/>
          <w:highlight w:val="none"/>
          <w:lang w:val="en-US" w:eastAsia="zh-CN" w:bidi="ar-SA"/>
        </w:rPr>
      </w:r>
      <w:r/>
    </w:p>
    <w:p>
      <w:pPr>
        <w:pStyle w:val="1159"/>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（7）“工程一切险、第三者责任险、安全生产责任险、人身意外伤害险”控制价总费率按0.4%计（不可竞争费率），“工伤保险”控制价费率按</w:t>
      </w:r>
      <w:r>
        <w:rPr>
          <w:rFonts w:hint="eastAsia" w:ascii="Times New Roman" w:hAnsi="Times New Roman" w:eastAsia="宋体" w:cs="Times New Roman"/>
          <w:b w:val="0"/>
          <w:bCs/>
          <w:sz w:val="24"/>
          <w:szCs w:val="24"/>
          <w:highlight w:val="none"/>
          <w:lang w:val="en-US" w:eastAsia="zh-CN" w:bidi="ar-SA"/>
        </w:rPr>
        <w:t xml:space="preserve">0.3</w:t>
      </w:r>
      <w:r>
        <w:rPr>
          <w:rFonts w:ascii="Times New Roman" w:hAnsi="Times New Roman" w:eastAsia="宋体" w:cs="Times New Roman"/>
          <w:b w:val="0"/>
          <w:bCs/>
          <w:sz w:val="24"/>
          <w:szCs w:val="24"/>
          <w:highlight w:val="none"/>
          <w:lang w:val="en-US" w:eastAsia="zh-CN" w:bidi="ar-SA"/>
        </w:rPr>
        <w:t xml:space="preserve">%</w:t>
      </w:r>
      <w:r>
        <w:rPr>
          <w:rFonts w:hint="eastAsia" w:ascii="Times New Roman" w:hAnsi="Times New Roman" w:eastAsia="宋体" w:cs="Times New Roman"/>
          <w:b w:val="0"/>
          <w:bCs/>
          <w:sz w:val="24"/>
          <w:szCs w:val="24"/>
          <w:highlight w:val="none"/>
          <w:lang w:val="en-US" w:eastAsia="zh-CN" w:bidi="ar-SA"/>
        </w:rPr>
        <w:t xml:space="preserve">计（不可竞争费率），结算时按实际交费情况凭票据计算，并采用总额控制；</w:t>
      </w:r>
      <w:r>
        <w:rPr>
          <w:rFonts w:hint="eastAsia" w:ascii="Times New Roman" w:hAnsi="Times New Roman" w:eastAsia="宋体" w:cs="Times New Roman"/>
          <w:b w:val="0"/>
          <w:bCs/>
          <w:sz w:val="24"/>
          <w:szCs w:val="24"/>
          <w:highlight w:val="none"/>
          <w:lang w:val="en-US" w:eastAsia="zh-CN" w:bidi="ar-SA"/>
        </w:rPr>
      </w:r>
      <w:r/>
    </w:p>
    <w:p>
      <w:pPr>
        <w:pStyle w:val="1159"/>
        <w:ind w:firstLine="480"/>
        <w:jc w:val="both"/>
        <w:keepLines w:val="0"/>
        <w:keepNext w:val="0"/>
        <w:pageBreakBefore w:val="0"/>
        <w:spacing w:line="360" w:lineRule="auto"/>
        <w:widowControl w:val="off"/>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（8）本工程税金计9%，</w:t>
      </w:r>
      <w:r>
        <w:rPr>
          <w:rFonts w:hint="eastAsia" w:ascii="Times New Roman" w:hAnsi="Times New Roman" w:eastAsia="宋体" w:cs="Times New Roman"/>
          <w:b w:val="0"/>
          <w:bCs/>
          <w:color w:val="000000"/>
          <w:sz w:val="24"/>
          <w:szCs w:val="24"/>
          <w:highlight w:val="none"/>
          <w:lang w:val="en-US" w:eastAsia="zh-CN" w:bidi="ar-SA"/>
        </w:rPr>
        <w:t xml:space="preserve">预留金计110000元（不可竞争费用）</w:t>
      </w:r>
      <w:r>
        <w:rPr>
          <w:rFonts w:hint="eastAsia" w:ascii="Times New Roman" w:hAnsi="Times New Roman" w:eastAsia="宋体" w:cs="Times New Roman"/>
          <w:b w:val="0"/>
          <w:bCs/>
          <w:sz w:val="24"/>
          <w:szCs w:val="24"/>
          <w:highlight w:val="none"/>
          <w:lang w:val="en-US" w:eastAsia="zh-CN" w:bidi="ar-SA"/>
        </w:rPr>
        <w:t xml:space="preserve">，清单中未列出的零星项目在预留金中支出。</w:t>
      </w:r>
      <w:r>
        <w:rPr>
          <w:rFonts w:hint="eastAsia" w:ascii="Times New Roman" w:hAnsi="Times New Roman" w:eastAsia="宋体" w:cs="Times New Roman"/>
          <w:b w:val="0"/>
          <w:bCs/>
          <w:sz w:val="24"/>
          <w:szCs w:val="24"/>
          <w:highlight w:val="none"/>
          <w:lang w:val="en-US" w:eastAsia="zh-CN" w:bidi="ar-SA"/>
        </w:rPr>
      </w:r>
      <w:r/>
    </w:p>
    <w:p>
      <w:pPr>
        <w:pStyle w:val="1159"/>
        <w:jc w:val="both"/>
        <w:spacing w:line="480" w:lineRule="exact"/>
        <w:widowControl w:val="off"/>
        <w:rPr>
          <w:rFonts w:hint="eastAsia" w:ascii="Times New Roman" w:hAnsi="Times New Roman" w:eastAsia="宋体" w:cs="宋体"/>
          <w:b/>
          <w:sz w:val="24"/>
          <w:highlight w:val="none"/>
        </w:rPr>
      </w:pPr>
      <w:r>
        <w:rPr>
          <w:rFonts w:hint="eastAsia" w:ascii="Times New Roman" w:hAnsi="Times New Roman" w:eastAsia="宋体" w:cs="宋体"/>
          <w:b/>
          <w:sz w:val="24"/>
          <w:highlight w:val="none"/>
          <w:lang w:val="en-US" w:eastAsia="zh-CN"/>
        </w:rPr>
        <w:t xml:space="preserve">五、</w:t>
      </w:r>
      <w:r>
        <w:rPr>
          <w:rFonts w:hint="eastAsia" w:ascii="Times New Roman" w:hAnsi="Times New Roman" w:eastAsia="宋体" w:cs="宋体"/>
          <w:b/>
          <w:sz w:val="24"/>
          <w:highlight w:val="none"/>
        </w:rPr>
        <w:t xml:space="preserve">报价方式</w:t>
      </w:r>
      <w:r>
        <w:rPr>
          <w:rFonts w:hint="eastAsia" w:ascii="Times New Roman" w:hAnsi="Times New Roman" w:eastAsia="宋体" w:cs="宋体"/>
          <w:b/>
          <w:sz w:val="24"/>
          <w:highlight w:val="none"/>
        </w:rPr>
      </w:r>
      <w:r/>
    </w:p>
    <w:p>
      <w:pPr>
        <w:pStyle w:val="1159"/>
        <w:ind w:firstLine="482"/>
        <w:jc w:val="both"/>
        <w:spacing w:line="480" w:lineRule="exact"/>
        <w:widowControl w:val="off"/>
        <w:rPr>
          <w:rFonts w:hint="eastAsia" w:ascii="Times New Roman" w:hAnsi="Times New Roman" w:eastAsia="宋体" w:cs="宋体"/>
          <w:b/>
          <w:sz w:val="24"/>
          <w:highlight w:val="none"/>
          <w:lang w:eastAsia="zh-CN"/>
        </w:rPr>
      </w:pPr>
      <w:r>
        <w:rPr>
          <w:rFonts w:hint="eastAsia" w:ascii="Times New Roman" w:hAnsi="Times New Roman" w:eastAsia="宋体" w:cs="宋体"/>
          <w:b/>
          <w:sz w:val="24"/>
          <w:highlight w:val="none"/>
        </w:rPr>
        <w:t xml:space="preserve">本项目</w:t>
      </w:r>
      <w:r>
        <w:rPr>
          <w:rFonts w:hint="eastAsia" w:ascii="Times New Roman" w:hAnsi="Times New Roman" w:eastAsia="宋体" w:cs="宋体"/>
          <w:b/>
          <w:sz w:val="24"/>
          <w:highlight w:val="none"/>
          <w:lang w:val="en-US" w:eastAsia="zh-CN"/>
        </w:rPr>
        <w:t xml:space="preserve">工程量</w:t>
      </w:r>
      <w:r>
        <w:rPr>
          <w:rFonts w:hint="eastAsia" w:ascii="Times New Roman" w:hAnsi="Times New Roman" w:eastAsia="宋体" w:cs="宋体"/>
          <w:b/>
          <w:sz w:val="24"/>
          <w:highlight w:val="none"/>
        </w:rPr>
        <w:t xml:space="preserve">清单中列明项目名称及内容的，报价为</w:t>
      </w:r>
      <w:r>
        <w:rPr>
          <w:rFonts w:hint="eastAsia" w:ascii="Times New Roman" w:hAnsi="Times New Roman" w:eastAsia="宋体" w:cs="宋体"/>
          <w:b/>
          <w:sz w:val="24"/>
          <w:highlight w:val="none"/>
          <w:u w:val="single"/>
        </w:rPr>
        <w:t xml:space="preserve">固定单价</w:t>
      </w:r>
      <w:r>
        <w:rPr>
          <w:rFonts w:hint="eastAsia" w:ascii="Times New Roman" w:hAnsi="Times New Roman" w:eastAsia="宋体" w:cs="宋体"/>
          <w:b/>
          <w:sz w:val="24"/>
          <w:highlight w:val="none"/>
          <w:u w:val="single"/>
          <w:lang w:eastAsia="zh-CN"/>
        </w:rPr>
        <w:t xml:space="preserve">，</w:t>
      </w:r>
      <w:r>
        <w:rPr>
          <w:rFonts w:hint="eastAsia" w:ascii="Times New Roman" w:hAnsi="Times New Roman" w:eastAsia="宋体" w:cs="宋体"/>
          <w:b/>
          <w:sz w:val="24"/>
          <w:highlight w:val="none"/>
          <w:u w:val="single"/>
          <w:lang w:val="en-US" w:eastAsia="zh-CN"/>
        </w:rPr>
        <w:t xml:space="preserve">工程量据实结算</w:t>
      </w:r>
      <w:r>
        <w:rPr>
          <w:rFonts w:hint="eastAsia" w:ascii="Times New Roman" w:hAnsi="Times New Roman" w:eastAsia="宋体" w:cs="宋体"/>
          <w:b/>
          <w:sz w:val="24"/>
          <w:highlight w:val="none"/>
          <w:lang w:eastAsia="zh-CN"/>
        </w:rPr>
        <w:t xml:space="preserve">。</w:t>
      </w:r>
      <w:r>
        <w:rPr>
          <w:rFonts w:hint="eastAsia" w:ascii="Times New Roman" w:hAnsi="Times New Roman" w:eastAsia="宋体" w:cs="宋体"/>
          <w:b/>
          <w:sz w:val="24"/>
          <w:highlight w:val="none"/>
          <w:lang w:eastAsia="zh-CN"/>
        </w:rPr>
      </w:r>
      <w:r/>
    </w:p>
    <w:p>
      <w:pPr>
        <w:pStyle w:val="1159"/>
        <w:ind w:firstLine="480"/>
        <w:jc w:val="both"/>
        <w:spacing w:line="480" w:lineRule="exact"/>
        <w:widowControl w:val="off"/>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报价货币为人民币，评审时以人民币为准。</w:t>
      </w:r>
      <w:r>
        <w:rPr>
          <w:rFonts w:hint="eastAsia" w:ascii="Times New Roman" w:hAnsi="Times New Roman" w:eastAsia="宋体" w:cs="宋体"/>
          <w:sz w:val="24"/>
          <w:highlight w:val="none"/>
        </w:rPr>
      </w:r>
      <w:r/>
    </w:p>
    <w:p>
      <w:pPr>
        <w:pStyle w:val="1159"/>
        <w:jc w:val="both"/>
        <w:spacing w:line="480" w:lineRule="exact"/>
        <w:widowControl w:val="off"/>
        <w:rPr>
          <w:rFonts w:hint="eastAsia" w:ascii="Times New Roman" w:hAnsi="Times New Roman" w:eastAsia="宋体" w:cs="宋体"/>
          <w:b/>
          <w:sz w:val="24"/>
          <w:highlight w:val="none"/>
          <w:lang w:val="en-US" w:eastAsia="zh-CN"/>
        </w:rPr>
      </w:pPr>
      <w:r>
        <w:rPr>
          <w:rFonts w:hint="eastAsia" w:ascii="Times New Roman" w:hAnsi="Times New Roman" w:eastAsia="宋体" w:cs="宋体"/>
          <w:b/>
          <w:sz w:val="24"/>
          <w:highlight w:val="none"/>
          <w:lang w:val="en-US" w:eastAsia="zh-CN"/>
        </w:rPr>
        <w:t xml:space="preserve">六、其他要求</w:t>
      </w:r>
      <w:r>
        <w:rPr>
          <w:rFonts w:hint="eastAsia" w:ascii="Times New Roman" w:hAnsi="Times New Roman" w:eastAsia="宋体" w:cs="宋体"/>
          <w:b/>
          <w:sz w:val="24"/>
          <w:highlight w:val="none"/>
          <w:lang w:val="en-US" w:eastAsia="zh-CN"/>
        </w:rPr>
      </w:r>
      <w:r/>
    </w:p>
    <w:p>
      <w:pPr>
        <w:pStyle w:val="1159"/>
        <w:ind w:firstLine="480"/>
        <w:jc w:val="both"/>
        <w:spacing w:line="480" w:lineRule="exact"/>
        <w:widowControl w:val="off"/>
        <w:rPr>
          <w:rFonts w:ascii="Times New Roman" w:hAnsi="Times New Roman"/>
          <w:sz w:val="24"/>
          <w:szCs w:val="24"/>
          <w:highlight w:val="none"/>
        </w:rPr>
      </w:pP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1159"/>
        <w:ind w:firstLine="480"/>
        <w:jc w:val="both"/>
        <w:spacing w:line="48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1159"/>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59"/>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59"/>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1159"/>
        <w:jc w:val="center"/>
        <w:spacing w:line="360" w:lineRule="auto"/>
        <w:rPr>
          <w:b/>
          <w:color w:val="000000"/>
          <w:sz w:val="36"/>
          <w:szCs w:val="36"/>
          <w:highlight w:val="none"/>
        </w:rPr>
        <w:outlineLvl w:val="0"/>
      </w:pPr>
      <w:r/>
      <w:bookmarkStart w:id="296"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3"/>
      <w:r>
        <w:rPr>
          <w:b/>
          <w:color w:val="000000"/>
          <w:sz w:val="36"/>
          <w:szCs w:val="36"/>
          <w:highlight w:val="none"/>
        </w:rPr>
        <w:t xml:space="preserve">拟签订的合同文本</w:t>
      </w:r>
      <w:bookmarkEnd w:id="294"/>
      <w:r/>
      <w:bookmarkEnd w:id="296"/>
      <w:r>
        <w:rPr>
          <w:b/>
          <w:color w:val="000000"/>
          <w:sz w:val="36"/>
          <w:szCs w:val="36"/>
          <w:highlight w:val="none"/>
        </w:rPr>
      </w:r>
      <w:r/>
    </w:p>
    <w:p>
      <w:pPr>
        <w:pStyle w:val="1425"/>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9"/>
        <w:jc w:val="center"/>
        <w:keepLines/>
        <w:keepNext/>
        <w:spacing w:before="100" w:after="0" w:line="400" w:lineRule="exact"/>
        <w:widowControl w:val="off"/>
        <w:rPr>
          <w:rFonts w:ascii="Times New Roman" w:hAnsi="Times New Roman" w:eastAsia="黑体" w:cs="宋体"/>
          <w:sz w:val="32"/>
          <w:szCs w:val="32"/>
          <w:highlight w:val="none"/>
          <w:lang w:val="en-US" w:eastAsia="zh-CN" w:bidi="ar-SA"/>
        </w:rPr>
        <w:outlineLvl w:val="1"/>
      </w:pPr>
      <w:r/>
      <w:bookmarkStart w:id="297" w:name="_Toc229305361"/>
      <w:r/>
      <w:bookmarkStart w:id="298" w:name="_Toc222032670"/>
      <w:r/>
      <w:bookmarkStart w:id="299" w:name="_Toc222033852"/>
      <w:r/>
      <w:bookmarkStart w:id="300" w:name="_Toc221948339"/>
      <w:r/>
      <w:bookmarkStart w:id="301" w:name="_Toc222029501"/>
      <w:r/>
      <w:bookmarkStart w:id="302" w:name="_Toc222031003"/>
      <w:r/>
      <w:bookmarkStart w:id="303" w:name="_Toc229408496"/>
      <w:r/>
      <w:bookmarkStart w:id="304" w:name="_Toc221950661"/>
      <w:r/>
      <w:bookmarkStart w:id="305" w:name="_Toc102121936"/>
      <w:r>
        <w:rPr>
          <w:rFonts w:hint="eastAsia" w:ascii="Times New Roman" w:hAnsi="Times New Roman" w:eastAsia="黑体" w:cs="宋体"/>
          <w:sz w:val="32"/>
          <w:szCs w:val="32"/>
          <w:highlight w:val="none"/>
          <w:lang w:val="en-US" w:eastAsia="zh-CN" w:bidi="ar-SA"/>
        </w:rPr>
        <w:t xml:space="preserve">第1节  通用合同条款</w:t>
      </w:r>
      <w:bookmarkEnd w:id="297"/>
      <w:r/>
      <w:bookmarkEnd w:id="298"/>
      <w:r/>
      <w:bookmarkEnd w:id="299"/>
      <w:r/>
      <w:bookmarkEnd w:id="300"/>
      <w:r/>
      <w:bookmarkEnd w:id="301"/>
      <w:r/>
      <w:bookmarkEnd w:id="302"/>
      <w:r/>
      <w:bookmarkEnd w:id="303"/>
      <w:r/>
      <w:bookmarkEnd w:id="304"/>
      <w:r/>
      <w:bookmarkEnd w:id="305"/>
      <w:r>
        <w:rPr>
          <w:rFonts w:ascii="Times New Roman" w:hAnsi="Times New Roman" w:eastAsia="黑体" w:cs="宋体"/>
          <w:sz w:val="32"/>
          <w:szCs w:val="32"/>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306" w:name="_Toc102121937"/>
      <w:r/>
      <w:bookmarkStart w:id="307" w:name="_Toc222033853"/>
      <w:r/>
      <w:bookmarkStart w:id="308" w:name="_Toc222031004"/>
      <w:r/>
      <w:bookmarkStart w:id="309" w:name="_Toc222029502"/>
      <w:r/>
      <w:bookmarkStart w:id="310" w:name="_Toc229305362"/>
      <w:r/>
      <w:bookmarkStart w:id="311" w:name="_Toc221950662"/>
      <w:r/>
      <w:bookmarkStart w:id="312" w:name="_Toc229408497"/>
      <w:r/>
      <w:bookmarkStart w:id="313" w:name="_Toc222032671"/>
      <w:r>
        <w:rPr>
          <w:rFonts w:hint="eastAsia" w:ascii="宋体" w:hAnsi="宋体" w:eastAsia="宋体" w:cs="宋体"/>
          <w:sz w:val="30"/>
          <w:szCs w:val="30"/>
          <w:highlight w:val="none"/>
          <w:lang w:val="en-US" w:eastAsia="zh-CN" w:bidi="ar-SA"/>
        </w:rPr>
        <w:t xml:space="preserve">1. 一般约定</w:t>
      </w:r>
      <w:bookmarkEnd w:id="306"/>
      <w:r/>
      <w:bookmarkEnd w:id="307"/>
      <w:r/>
      <w:bookmarkEnd w:id="308"/>
      <w:r/>
      <w:bookmarkEnd w:id="309"/>
      <w:r/>
      <w:bookmarkEnd w:id="310"/>
      <w:r/>
      <w:bookmarkEnd w:id="311"/>
      <w:r/>
      <w:bookmarkEnd w:id="312"/>
      <w:r/>
      <w:bookmarkEnd w:id="313"/>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14" w:name="_Toc102121938"/>
      <w:r/>
      <w:bookmarkStart w:id="315" w:name="_Toc221950667"/>
      <w:r>
        <w:rPr>
          <w:rFonts w:hint="eastAsia" w:ascii="宋体" w:hAnsi="宋体" w:eastAsia="宋体" w:cs="宋体"/>
          <w:sz w:val="28"/>
          <w:szCs w:val="28"/>
          <w:highlight w:val="none"/>
          <w:lang w:val="en-US" w:eastAsia="zh-CN" w:bidi="ar-SA"/>
        </w:rPr>
        <w:t xml:space="preserve">1.1词语定义</w:t>
      </w:r>
      <w:bookmarkEnd w:id="314"/>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通用合同条款、专用合同条款中的下列词语应具有本款所赋予的含义。</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 合同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1.1.1.1 合同文件（或称合同）：指合同协议书、中标通知书、投标函及投标函附录、专用合同条款、通用合同条款、技术标准和要求、图纸、已标价工程量清单，以及其他合同文件。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1.1.1.2 合同协议书：指第1.5款所指的合同协议书。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1.1.1.3 中标通知书：指发包人通知承包人中标的函件。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1.1.1.4 投标函：指构成合同文件组成部分的由承包人填写并签署的投标函。</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1.1.1.5 投标函附录：指附在投标函后构成合同文件的投标函附录。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1.1.1.6  技术标准和要求：</w:t>
      </w:r>
      <w:bookmarkEnd w:id="315"/>
      <w:r>
        <w:rPr>
          <w:rFonts w:hint="eastAsia" w:ascii="宋体" w:hAnsi="宋体" w:eastAsia="宋体" w:cs="宋体"/>
          <w:sz w:val="24"/>
          <w:szCs w:val="20"/>
          <w:highlight w:val="none"/>
        </w:rPr>
        <w:t xml:space="preserve">指构成合同文件组成部分的名为技术标准和要求（合同技术条款）的文件，包括合同双方当事人约定对其所做的修改或补充。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16" w:name="_Toc221950668"/>
      <w:r>
        <w:rPr>
          <w:rFonts w:hint="eastAsia" w:ascii="宋体" w:hAnsi="宋体" w:eastAsia="宋体" w:cs="宋体"/>
          <w:sz w:val="24"/>
          <w:szCs w:val="20"/>
          <w:highlight w:val="none"/>
        </w:rPr>
        <w:t xml:space="preserve">1.1.1.7  图纸：指列入合同的招标图纸、投标图纸和发包人按合同约定向承包人提供的施工图纸和其他图纸(包括配套说明和有关资料)。</w:t>
      </w:r>
      <w:bookmarkEnd w:id="316"/>
      <w:r>
        <w:rPr>
          <w:rFonts w:hint="eastAsia" w:ascii="宋体" w:hAnsi="宋体" w:eastAsia="宋体" w:cs="宋体"/>
          <w:sz w:val="24"/>
          <w:szCs w:val="20"/>
          <w:highlight w:val="none"/>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1.1.1.8 已标价工程量清单：指构成合同文件组成部分的由承包人按照规定的格式和要求填写并标明价格的工程量清单。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1.1.1.9 其他合同文件：指经合同双方当事人确认构成合同文件的其他文件。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17" w:name="_Toc221950669"/>
      <w:r>
        <w:rPr>
          <w:rFonts w:hint="eastAsia" w:ascii="宋体" w:hAnsi="宋体" w:eastAsia="宋体" w:cs="宋体"/>
          <w:sz w:val="24"/>
          <w:szCs w:val="20"/>
          <w:highlight w:val="none"/>
        </w:rPr>
        <w:t xml:space="preserve">1.1.2</w:t>
      </w:r>
      <w:bookmarkEnd w:id="317"/>
      <w:r>
        <w:rPr>
          <w:rFonts w:hint="eastAsia" w:ascii="宋体" w:hAnsi="宋体" w:eastAsia="宋体" w:cs="宋体"/>
          <w:sz w:val="24"/>
          <w:szCs w:val="20"/>
          <w:highlight w:val="none"/>
        </w:rPr>
        <w:t xml:space="preserve"> 合同当事人和人员。</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1.1.2.1 合同当事人:指发包人和（或）承包人。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1.1.2.2 发包人：指专用合同条款中指明并与承包人在合同协议书中签字的当事人。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1.1.2.3 承包人：指专用条款中指明并与发包人在合同协议书中签字的当事人。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1.1.2.4 承包人项目负责人：指承包人派驻施工场地的全权负责人。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1.1.2.5 分包人：指专用条款中指明的，从承包人处分包合同中某一部分工程，并与其签订分包合同的分包人。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1.1.2.6 监理人：指在专用合同条款中指明的，受发包人委托对合同履行实施管理的法人或其他组织。</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1.1.2.7 总监理工程师（总监）：指由监理人委派常驻施工场地对合同履行实施管理的全权负责人。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1.1.3工程和设备</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1.1.3.1 工程：指永久工程和（或）临时工程。</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1.1.3.2 永久工程：指按合同约定建造并移交给发包人的工程，包括工程设备。</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1.1.3.3 临时工程：指为完成合同约定的永久工程所修建的各类临时性工程，不包括施工设备。</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1.1.3.4 单位工程：指专用合同条款中指明特定范围的永久工程。</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1.1.3.5 工程设备：指构成或计划构成永久工程一部分的机电设备、金属结构设备、仪器装置及其他类似的设备和装置。</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1.1.3.6 施工设备：指为完成合同约定的各项工作所需的设备、器具和其他物品，不包括临时工程和材料。</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1.1.3.7 临时设施：指为完成合同约定的各项工作所服务的临时性生产和生活设施。</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1.1.3.8 承包人设备：指承包人自带的施工设备。</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1.1.3.9 施工场地（或称工地、现场）：指用于合同工程施工的场所，以及在合同中指定作为施工场地组成部分的其他场所，包括永久占地和临时占地。</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18" w:name="_Toc221950674"/>
      <w:r>
        <w:rPr>
          <w:rFonts w:hint="eastAsia" w:ascii="宋体" w:hAnsi="宋体" w:eastAsia="宋体" w:cs="宋体"/>
          <w:sz w:val="24"/>
          <w:szCs w:val="20"/>
          <w:highlight w:val="none"/>
        </w:rPr>
        <w:t xml:space="preserve">1.1.3.10 永久占地：指发包人为建设本合同工程永久征用的场地。</w:t>
      </w:r>
      <w:bookmarkEnd w:id="318"/>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19" w:name="_Toc221950675"/>
      <w:r>
        <w:rPr>
          <w:rFonts w:hint="eastAsia" w:ascii="宋体" w:hAnsi="宋体" w:eastAsia="宋体" w:cs="宋体"/>
          <w:sz w:val="24"/>
          <w:szCs w:val="20"/>
          <w:highlight w:val="none"/>
        </w:rPr>
        <w:t xml:space="preserve">1.1.3.11 临时占地：指发包人为建设本合同工程临时征用，并应在完工后须按合同要求退还的场地</w:t>
      </w:r>
      <w:bookmarkEnd w:id="319"/>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20" w:name="_Toc221950676"/>
      <w:r>
        <w:rPr>
          <w:rFonts w:hint="eastAsia" w:ascii="宋体" w:hAnsi="宋体" w:eastAsia="宋体" w:cs="宋体"/>
          <w:sz w:val="24"/>
          <w:szCs w:val="20"/>
          <w:highlight w:val="none"/>
        </w:rPr>
        <w:t xml:space="preserve">1.1.4 </w:t>
      </w:r>
      <w:bookmarkEnd w:id="320"/>
      <w:r>
        <w:rPr>
          <w:rFonts w:hint="eastAsia" w:ascii="宋体" w:hAnsi="宋体" w:eastAsia="宋体" w:cs="宋体"/>
          <w:sz w:val="24"/>
          <w:szCs w:val="20"/>
          <w:highlight w:val="none"/>
        </w:rPr>
        <w:t xml:space="preserve">日期：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1.1.4.1 开工通知：指监理人按第11.1款通知承包人开工的函件。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1.1.4.2 开工日期：指监理人按第11.1款发出的开工通知中写明的开工日期。</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1.1.4.3工期：指承包人在投标函中承诺的完成合同工程所需的期限，包括按第11.3款、第11.4款和第11.6款约定所作的变更。</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1.1.4.4 竣工日期：即合同工程完工日期，指第1.1.4.3目约定工期届满时的日期。实际完工日期以合同工程完工证书中写明的日期为准。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1.1.4.5 缺陷责任期：即工程质量保修期，指履行第19.2款约定的缺陷责任的期限，包括根据第19.3款约定所作的延长，具体期限由专用合同条款约定。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1.1.4.6 基准日期：指投标截止时间前28天的日期。</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1.1.4.7 天：除特别指明外，指日历天。合同中按天计算时间的，开始当天不计入，从次日开始计算。期限最后一天的截止时间为当天24:00。</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 合同价格和费用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1.1.5.1 签约合同价：指签定合同时合同协议书中写明的，包括了暂列金额、暂估价的合同总金额。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1.1.5.2 合同价格：指承包人按合同约定完成了包括缺陷责任期内的全部承包工作后，发包人应付给承包人的金额，包括在履行合同过程中按合同约定进行的变更和调整。</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1.1.5.3 费用：指为履行合同所发生的或将要发生的所有合理开支，包括管理费和应分摊的其他费用，但不包括利润。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1.1.5.4 暂列金额：指已标价工程量清单中所列的暂列金额，用于在签订协议书时尚未确定或不可预见变更的施工及其所需材料、工程设备、服务等的金额，包括以计日工方式支付的金额。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1.1.5.5暂估价：指发包人在工程量清单中给定的用于支付必然发生但暂时不能确定价格的材料、设备以及专业工程的金额。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1.1.5.6 计日工：指对零星工作采取的一种计价方式，按合同中的计日工子目及其单价计价付款。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1.1.5.7 质量保证金（或称保留金）：指按第17.4.1项约定用于保证在缺陷责任期内履行缺陷修复义务的金额。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21" w:name="_Toc221950693"/>
      <w:r>
        <w:rPr>
          <w:rFonts w:hint="eastAsia" w:ascii="宋体" w:hAnsi="宋体" w:eastAsia="宋体" w:cs="宋体"/>
          <w:sz w:val="24"/>
          <w:szCs w:val="20"/>
          <w:highlight w:val="none"/>
        </w:rPr>
        <w:t xml:space="preserve">1.1.6 其他</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1.1.6.1 书面形式：指合同文件、信函、电报、传真等可以有形地表现所载内容的形式。</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22" w:name="_Toc152045613"/>
      <w:r/>
      <w:bookmarkStart w:id="323" w:name="_Toc179632631"/>
      <w:r/>
      <w:bookmarkStart w:id="324" w:name="_Toc144974581"/>
      <w:r/>
      <w:bookmarkStart w:id="325" w:name="_Toc152042391"/>
      <w:r/>
      <w:bookmarkStart w:id="326" w:name="_Toc102121939"/>
      <w:r>
        <w:rPr>
          <w:rFonts w:hint="eastAsia" w:ascii="宋体" w:hAnsi="宋体" w:eastAsia="宋体" w:cs="宋体"/>
          <w:sz w:val="28"/>
          <w:szCs w:val="28"/>
          <w:highlight w:val="none"/>
          <w:lang w:val="en-US" w:eastAsia="zh-CN" w:bidi="ar-SA"/>
        </w:rPr>
        <w:t xml:space="preserve">1.2 语言文字</w:t>
      </w:r>
      <w:bookmarkEnd w:id="322"/>
      <w:r/>
      <w:bookmarkEnd w:id="323"/>
      <w:r/>
      <w:bookmarkEnd w:id="324"/>
      <w:r/>
      <w:bookmarkEnd w:id="325"/>
      <w:r/>
      <w:bookmarkEnd w:id="326"/>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除专用术语外，合同使用的语言文字为中文。必要时专用术语应附有中文注释。</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27" w:name="_Toc152042392"/>
      <w:r/>
      <w:bookmarkStart w:id="328" w:name="_Toc144974582"/>
      <w:r/>
      <w:bookmarkStart w:id="329" w:name="_Toc179632632"/>
      <w:r/>
      <w:bookmarkStart w:id="330" w:name="_Toc102121940"/>
      <w:r/>
      <w:bookmarkStart w:id="331" w:name="_Toc152045614"/>
      <w:r>
        <w:rPr>
          <w:rFonts w:hint="eastAsia" w:ascii="宋体" w:hAnsi="宋体" w:eastAsia="宋体" w:cs="宋体"/>
          <w:sz w:val="28"/>
          <w:szCs w:val="28"/>
          <w:highlight w:val="none"/>
          <w:lang w:val="en-US" w:eastAsia="zh-CN" w:bidi="ar-SA"/>
        </w:rPr>
        <w:t xml:space="preserve">1.3 法律</w:t>
      </w:r>
      <w:bookmarkEnd w:id="327"/>
      <w:r/>
      <w:bookmarkEnd w:id="328"/>
      <w:r/>
      <w:bookmarkEnd w:id="329"/>
      <w:r/>
      <w:bookmarkEnd w:id="330"/>
      <w:r/>
      <w:bookmarkEnd w:id="33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适用于合同的法律包括中华人民共和国法律、行政法规、部门规章，以及工程所在地的地方法规、自治条例、单行条例和地方政府规章。</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32" w:name="_Toc152045615"/>
      <w:r/>
      <w:bookmarkStart w:id="333" w:name="_Toc179632633"/>
      <w:r/>
      <w:bookmarkStart w:id="334" w:name="_Toc152042393"/>
      <w:r/>
      <w:bookmarkStart w:id="335" w:name="_Toc144974583"/>
      <w:r/>
      <w:bookmarkStart w:id="336" w:name="_Toc102121941"/>
      <w:r>
        <w:rPr>
          <w:rFonts w:hint="eastAsia" w:ascii="宋体" w:hAnsi="宋体" w:eastAsia="宋体" w:cs="宋体"/>
          <w:sz w:val="28"/>
          <w:szCs w:val="28"/>
          <w:highlight w:val="none"/>
          <w:lang w:val="en-US" w:eastAsia="zh-CN" w:bidi="ar-SA"/>
        </w:rPr>
        <w:t xml:space="preserve">1.4 合同文件的优先顺序</w:t>
      </w:r>
      <w:bookmarkEnd w:id="332"/>
      <w:r/>
      <w:bookmarkEnd w:id="333"/>
      <w:r/>
      <w:bookmarkEnd w:id="334"/>
      <w:r/>
      <w:bookmarkEnd w:id="335"/>
      <w:r/>
      <w:bookmarkEnd w:id="336"/>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组成合同的各项文件应互相解释，互为说明。除专用合同条款另有约定外，解释合同文件的优先顺序如下：</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（1）合同协议书；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（2）中标通知书；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（3）投标函及投标函附录；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（4）专用合同条款；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（5）通用合同条款；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（6）技术标准和要求；</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（7）图纸；</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（8）已标价工程量清单；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（9）其他合同文件。</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37" w:name="_Toc179632634"/>
      <w:r/>
      <w:bookmarkStart w:id="338" w:name="_Toc152045616"/>
      <w:r/>
      <w:bookmarkStart w:id="339" w:name="_Toc152042394"/>
      <w:r/>
      <w:bookmarkStart w:id="340" w:name="_Toc102121942"/>
      <w:r/>
      <w:bookmarkStart w:id="341" w:name="_Toc144974584"/>
      <w:r>
        <w:rPr>
          <w:rFonts w:hint="eastAsia" w:ascii="宋体" w:hAnsi="宋体" w:eastAsia="宋体" w:cs="宋体"/>
          <w:sz w:val="28"/>
          <w:szCs w:val="28"/>
          <w:highlight w:val="none"/>
          <w:lang w:val="en-US" w:eastAsia="zh-CN" w:bidi="ar-SA"/>
        </w:rPr>
        <w:t xml:space="preserve">1.5 合同协议书</w:t>
      </w:r>
      <w:bookmarkEnd w:id="337"/>
      <w:r/>
      <w:bookmarkEnd w:id="338"/>
      <w:r/>
      <w:bookmarkEnd w:id="339"/>
      <w:r/>
      <w:bookmarkEnd w:id="340"/>
      <w:r/>
      <w:bookmarkEnd w:id="34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42" w:name="_Toc102121943"/>
      <w:r>
        <w:rPr>
          <w:rFonts w:hint="eastAsia" w:ascii="宋体" w:hAnsi="宋体" w:eastAsia="宋体" w:cs="宋体"/>
          <w:sz w:val="28"/>
          <w:szCs w:val="28"/>
          <w:highlight w:val="none"/>
          <w:lang w:val="en-US" w:eastAsia="zh-CN" w:bidi="ar-SA"/>
        </w:rPr>
        <w:t xml:space="preserve">1.6图纸和承包人文件</w:t>
      </w:r>
      <w:bookmarkEnd w:id="34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End w:id="321"/>
      <w:r/>
      <w:bookmarkStart w:id="343" w:name="_Toc221950695"/>
      <w:r>
        <w:rPr>
          <w:rFonts w:hint="eastAsia" w:ascii="宋体" w:hAnsi="宋体" w:eastAsia="宋体" w:cs="宋体"/>
          <w:sz w:val="24"/>
          <w:szCs w:val="20"/>
          <w:highlight w:val="none"/>
        </w:rPr>
        <w:t xml:space="preserve">1.6.1图纸的提供</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End w:id="343"/>
      <w:r>
        <w:rPr>
          <w:rFonts w:hint="eastAsia" w:ascii="宋体" w:hAnsi="宋体" w:eastAsia="宋体" w:cs="宋体"/>
          <w:sz w:val="24"/>
          <w:szCs w:val="20"/>
          <w:highlight w:val="none"/>
        </w:rPr>
        <w:t xml:space="preserve">1.6.2 承包人提供的文件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　　承包人提供的文件应按技术标准和要求（合同技术条款）约定的期限和数量提供给监理人。监理人应按技术标准和要求（合同技术条款）约定的期限批复承包人。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1.6.3 图纸的修改</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1.6.4 图纸的错误</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承包人发现发包人提供的图纸存在明显错误或疏忽，应及时通知监理人。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1.6.5 图纸和承包人文件的保管</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监理人和承包人均应在施工场地各保存一套完整的包含第1.6.1项、第1.6.2项、第1.6.3项约定内容的图纸和承包人文件。</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44" w:name="_Toc102121944"/>
      <w:r/>
      <w:bookmarkStart w:id="345" w:name="_Toc221950701"/>
      <w:r>
        <w:rPr>
          <w:rFonts w:hint="eastAsia" w:ascii="宋体" w:hAnsi="宋体" w:eastAsia="宋体" w:cs="宋体"/>
          <w:sz w:val="28"/>
          <w:szCs w:val="28"/>
          <w:highlight w:val="none"/>
          <w:lang w:val="en-US" w:eastAsia="zh-CN" w:bidi="ar-SA"/>
        </w:rPr>
        <w:t xml:space="preserve">1.7联络</w:t>
      </w:r>
      <w:bookmarkEnd w:id="344"/>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1.7.1 与合同有关的通知、批准、证明、证书、指示、要求、请求、同意、意见、确定和决定等，均应采用书面形式。</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1.7.2  第1.7.1项中的通知、批准、证明、证书、指示、要求、请求、同意、意见、确定和决定等来往函件，均应在合同约定的期限内送达指定地点和接收人，并办理签收手续。来往函件的送期限在技术标准和要求（合同技术条款）中约定，送达地点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1.7.3  来往函件均应按合同约定的期限及时发出和答复，不得无故扣压和拖延，亦不得拒收。否则，由此造成的后果由责任方负责。</w:t>
      </w:r>
      <w:bookmarkEnd w:id="345"/>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46" w:name="_Toc102121945"/>
      <w:r/>
      <w:bookmarkStart w:id="347" w:name="_Toc179632637"/>
      <w:r/>
      <w:bookmarkStart w:id="348" w:name="_Toc152042397"/>
      <w:r/>
      <w:bookmarkStart w:id="349" w:name="_Toc144974587"/>
      <w:r/>
      <w:bookmarkStart w:id="350" w:name="_Toc152045619"/>
      <w:r>
        <w:rPr>
          <w:rFonts w:hint="eastAsia" w:ascii="宋体" w:hAnsi="宋体" w:eastAsia="宋体" w:cs="宋体"/>
          <w:sz w:val="28"/>
          <w:szCs w:val="28"/>
          <w:highlight w:val="none"/>
          <w:lang w:val="en-US" w:eastAsia="zh-CN" w:bidi="ar-SA"/>
        </w:rPr>
        <w:t xml:space="preserve">1.8 转让</w:t>
      </w:r>
      <w:bookmarkEnd w:id="346"/>
      <w:r/>
      <w:bookmarkEnd w:id="347"/>
      <w:r/>
      <w:bookmarkEnd w:id="348"/>
      <w:r/>
      <w:bookmarkEnd w:id="349"/>
      <w:r/>
      <w:bookmarkEnd w:id="35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除合同另有约定外，未经对方当事人同意，一方当事人不得将合同权利全部或部分转让给第三人，也不得全部或部分转移合同义务。</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51" w:name="_Toc152042398"/>
      <w:r/>
      <w:bookmarkStart w:id="352" w:name="_Toc102121946"/>
      <w:r/>
      <w:bookmarkStart w:id="353" w:name="_Toc179632638"/>
      <w:r/>
      <w:bookmarkStart w:id="354" w:name="_Toc152045620"/>
      <w:r/>
      <w:bookmarkStart w:id="355" w:name="_Toc144974588"/>
      <w:r>
        <w:rPr>
          <w:rFonts w:hint="eastAsia" w:ascii="宋体" w:hAnsi="宋体" w:eastAsia="宋体" w:cs="宋体"/>
          <w:sz w:val="28"/>
          <w:szCs w:val="28"/>
          <w:highlight w:val="none"/>
          <w:lang w:val="en-US" w:eastAsia="zh-CN" w:bidi="ar-SA"/>
        </w:rPr>
        <w:t xml:space="preserve">1.9 严禁贿赂</w:t>
      </w:r>
      <w:bookmarkEnd w:id="351"/>
      <w:r/>
      <w:bookmarkEnd w:id="352"/>
      <w:r/>
      <w:bookmarkEnd w:id="353"/>
      <w:r/>
      <w:bookmarkEnd w:id="354"/>
      <w:r/>
      <w:bookmarkEnd w:id="355"/>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合同双方当事人不得以贿赂或变相贿赂的方式，谋取不当利益或损害对方权益。因贿赂造成对方损失的，行为人应赔偿损失，并承担相应的法律责任。</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56" w:name="_Toc102121947"/>
      <w:r/>
      <w:bookmarkStart w:id="357" w:name="_Toc179632639"/>
      <w:r/>
      <w:bookmarkStart w:id="358" w:name="_Toc152042399"/>
      <w:r/>
      <w:bookmarkStart w:id="359" w:name="_Toc144974589"/>
      <w:r/>
      <w:bookmarkStart w:id="360" w:name="_Toc152045621"/>
      <w:r>
        <w:rPr>
          <w:rFonts w:hint="eastAsia" w:ascii="宋体" w:hAnsi="宋体" w:eastAsia="宋体" w:cs="宋体"/>
          <w:sz w:val="28"/>
          <w:szCs w:val="28"/>
          <w:highlight w:val="none"/>
          <w:lang w:val="en-US" w:eastAsia="zh-CN" w:bidi="ar-SA"/>
        </w:rPr>
        <w:t xml:space="preserve">1.10 化石、文物</w:t>
      </w:r>
      <w:bookmarkEnd w:id="356"/>
      <w:r/>
      <w:bookmarkEnd w:id="357"/>
      <w:r/>
      <w:bookmarkEnd w:id="358"/>
      <w:r/>
      <w:bookmarkEnd w:id="359"/>
      <w:r/>
      <w:bookmarkEnd w:id="36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1.10.2 承包人发现文物后不及时报告或隐瞒不报，致使文物丢失或损坏的，应赔偿损失，并承担相应的法律责任。</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61" w:name="_Toc102121948"/>
      <w:r>
        <w:rPr>
          <w:rFonts w:hint="eastAsia" w:ascii="宋体" w:hAnsi="宋体" w:eastAsia="宋体" w:cs="宋体"/>
          <w:sz w:val="28"/>
          <w:szCs w:val="28"/>
          <w:highlight w:val="none"/>
          <w:lang w:val="en-US" w:eastAsia="zh-CN" w:bidi="ar-SA"/>
        </w:rPr>
        <w:t xml:space="preserve">1.11专利技术</w:t>
      </w:r>
      <w:bookmarkEnd w:id="36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1.11.2 承包人在投标文件中采用专利技术的，专利技术的使用费包含在投标报价内。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1.11.3 承包人的技术秘密和声明需要保密的资料和信息，发包人和监理人不得为合同以外的目的泄露给他人。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62" w:name="_Toc221950710"/>
      <w:r>
        <w:rPr>
          <w:rFonts w:hint="eastAsia" w:ascii="宋体" w:hAnsi="宋体" w:eastAsia="宋体" w:cs="宋体"/>
          <w:sz w:val="24"/>
          <w:szCs w:val="20"/>
          <w:highlight w:val="none"/>
        </w:rPr>
        <w:t xml:space="preserve">1.11.4  合同实施过程中，发包人要求承包人采用专利技术的，发包人应办理相应的使用手续，承包人应按发包人约定的条件使用，并承担使用专利技术的相关试验工作。所需的费用由发包人承担。</w:t>
      </w:r>
      <w:bookmarkEnd w:id="362"/>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sz w:val="24"/>
          <w:szCs w:val="20"/>
          <w:highlight w:val="none"/>
        </w:rPr>
        <w:outlineLvl w:val="2"/>
      </w:pPr>
      <w:r/>
      <w:bookmarkStart w:id="363" w:name="_Toc179632641"/>
      <w:r/>
      <w:bookmarkStart w:id="364" w:name="_Toc144974591"/>
      <w:r/>
      <w:bookmarkStart w:id="365" w:name="_Toc152045623"/>
      <w:r/>
      <w:bookmarkStart w:id="366" w:name="_Toc152042401"/>
      <w:r>
        <w:rPr>
          <w:rFonts w:hint="eastAsia" w:ascii="宋体" w:hAnsi="宋体" w:eastAsia="宋体" w:cs="宋体"/>
          <w:sz w:val="24"/>
          <w:szCs w:val="20"/>
          <w:highlight w:val="none"/>
        </w:rPr>
        <w:t xml:space="preserve">1.12 图纸和文件的保密</w:t>
      </w:r>
      <w:bookmarkEnd w:id="363"/>
      <w:r/>
      <w:bookmarkEnd w:id="364"/>
      <w:r/>
      <w:bookmarkEnd w:id="365"/>
      <w:r/>
      <w:bookmarkEnd w:id="366"/>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1.12.1 发包人提供的图纸和文件，未经发包人同意，承包人不得为合同以外的目的泄露给他人或公开发表与引用。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1.12.2 承包人提供的文件，未经承包人同意，发包人和监理人不得为合同以外的目的泄露给他人或公开发表与引用。</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367" w:name="_Toc222032672"/>
      <w:r/>
      <w:bookmarkStart w:id="368" w:name="_Toc222033854"/>
      <w:r/>
      <w:bookmarkStart w:id="369" w:name="_Toc229305363"/>
      <w:r/>
      <w:bookmarkStart w:id="370" w:name="_Toc222031005"/>
      <w:r/>
      <w:bookmarkStart w:id="371" w:name="_Toc229408498"/>
      <w:r/>
      <w:bookmarkStart w:id="372" w:name="_Toc222029503"/>
      <w:r/>
      <w:bookmarkStart w:id="373" w:name="_Toc221950713"/>
      <w:r/>
      <w:bookmarkStart w:id="374" w:name="_Toc102121949"/>
      <w:r>
        <w:rPr>
          <w:rFonts w:hint="eastAsia" w:ascii="宋体" w:hAnsi="宋体" w:eastAsia="宋体" w:cs="宋体"/>
          <w:sz w:val="30"/>
          <w:szCs w:val="30"/>
          <w:highlight w:val="none"/>
          <w:lang w:val="en-US" w:eastAsia="zh-CN" w:bidi="ar-SA"/>
        </w:rPr>
        <w:t xml:space="preserve">2. 发包人义务</w:t>
      </w:r>
      <w:bookmarkEnd w:id="367"/>
      <w:r/>
      <w:bookmarkEnd w:id="368"/>
      <w:r/>
      <w:bookmarkEnd w:id="369"/>
      <w:r/>
      <w:bookmarkEnd w:id="370"/>
      <w:r/>
      <w:bookmarkEnd w:id="371"/>
      <w:r/>
      <w:bookmarkEnd w:id="372"/>
      <w:r/>
      <w:bookmarkEnd w:id="373"/>
      <w:r/>
      <w:bookmarkEnd w:id="374"/>
      <w:r/>
      <w:bookmarkStart w:id="375" w:name="_Toc221950720"/>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76" w:name="_Toc144974593"/>
      <w:r/>
      <w:bookmarkStart w:id="377" w:name="_Toc152045625"/>
      <w:r/>
      <w:bookmarkStart w:id="378" w:name="_Toc152042403"/>
      <w:r/>
      <w:bookmarkStart w:id="379" w:name="_Toc179632643"/>
      <w:r/>
      <w:bookmarkStart w:id="380" w:name="_Toc102121950"/>
      <w:r>
        <w:rPr>
          <w:rFonts w:hint="eastAsia" w:ascii="宋体" w:hAnsi="宋体" w:eastAsia="宋体" w:cs="宋体"/>
          <w:sz w:val="28"/>
          <w:szCs w:val="28"/>
          <w:highlight w:val="none"/>
          <w:lang w:val="en-US" w:eastAsia="zh-CN" w:bidi="ar-SA"/>
        </w:rPr>
        <w:t xml:space="preserve">2.1 遵守法律</w:t>
      </w:r>
      <w:bookmarkEnd w:id="376"/>
      <w:r/>
      <w:bookmarkEnd w:id="377"/>
      <w:r/>
      <w:bookmarkEnd w:id="378"/>
      <w:r/>
      <w:bookmarkEnd w:id="379"/>
      <w:r/>
      <w:bookmarkEnd w:id="38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发包人在履行合同过程中应遵守法律，并保证承包人免于承担因发包人违反法律而引起的任何责任。</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81" w:name="_Toc144974594"/>
      <w:r/>
      <w:bookmarkStart w:id="382" w:name="_Toc179632644"/>
      <w:r/>
      <w:bookmarkStart w:id="383" w:name="_Toc152045626"/>
      <w:r/>
      <w:bookmarkStart w:id="384" w:name="_Toc102121951"/>
      <w:r/>
      <w:bookmarkStart w:id="385" w:name="_Toc152042404"/>
      <w:r>
        <w:rPr>
          <w:rFonts w:hint="eastAsia" w:ascii="宋体" w:hAnsi="宋体" w:eastAsia="宋体" w:cs="宋体"/>
          <w:sz w:val="28"/>
          <w:szCs w:val="28"/>
          <w:highlight w:val="none"/>
          <w:lang w:val="en-US" w:eastAsia="zh-CN" w:bidi="ar-SA"/>
        </w:rPr>
        <w:t xml:space="preserve">2.2 发出开工通知</w:t>
      </w:r>
      <w:bookmarkEnd w:id="381"/>
      <w:r/>
      <w:bookmarkEnd w:id="382"/>
      <w:r/>
      <w:bookmarkEnd w:id="383"/>
      <w:r/>
      <w:bookmarkEnd w:id="384"/>
      <w:r/>
      <w:bookmarkEnd w:id="385"/>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发包人应委托监理人按第11.1款的约定向承包人发出开工通知。</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86" w:name="_Toc102121952"/>
      <w:r>
        <w:rPr>
          <w:rFonts w:hint="eastAsia" w:ascii="宋体" w:hAnsi="宋体" w:eastAsia="宋体" w:cs="宋体"/>
          <w:sz w:val="28"/>
          <w:szCs w:val="28"/>
          <w:highlight w:val="none"/>
          <w:lang w:val="en-US" w:eastAsia="zh-CN" w:bidi="ar-SA"/>
        </w:rPr>
        <w:t xml:space="preserve">2.3提供施工场地</w:t>
      </w:r>
      <w:bookmarkEnd w:id="386"/>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2.3.1发包人应在合同双方签定合同协议书后的14天内，将本合同工程的施工场地范围图提交给承包人。发包人提供的施工用地范围图应标明用地范围内永久占地与临时占地的范围和界限，以及指明提供给承包人用于施工场地布置的范围和界限及其有关资料</w:t>
      </w:r>
      <w:bookmarkEnd w:id="375"/>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2.3.2发包人提供的施工用地范围在专用合同条款中约定。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387" w:name="_Toc221950721"/>
      <w:r>
        <w:rPr>
          <w:rFonts w:hint="eastAsia" w:ascii="宋体" w:hAnsi="宋体" w:eastAsia="宋体" w:cs="宋体"/>
          <w:sz w:val="24"/>
          <w:szCs w:val="20"/>
          <w:highlight w:val="none"/>
        </w:rPr>
        <w:t xml:space="preserve">2.3.3除专用合同条款另有约定外，发包人应按技术标准和要求（合同技术条款）的约定，向承包人提供施工场地内的工程地质图纸和报告，以及地下障碍物图纸等施工场地有关资料</w:t>
      </w:r>
      <w:bookmarkEnd w:id="387"/>
      <w:r>
        <w:rPr>
          <w:rFonts w:hint="eastAsia" w:ascii="宋体" w:hAnsi="宋体" w:eastAsia="宋体" w:cs="宋体"/>
          <w:sz w:val="24"/>
          <w:szCs w:val="20"/>
          <w:highlight w:val="none"/>
        </w:rPr>
        <w:t xml:space="preserve">，并保证资料的真实、准确、完整。</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88" w:name="_Toc144974596"/>
      <w:r/>
      <w:bookmarkStart w:id="389" w:name="_Toc102121953"/>
      <w:r/>
      <w:bookmarkStart w:id="390" w:name="_Toc152042406"/>
      <w:r/>
      <w:bookmarkStart w:id="391" w:name="_Toc152045628"/>
      <w:r/>
      <w:bookmarkStart w:id="392" w:name="_Toc179632646"/>
      <w:r>
        <w:rPr>
          <w:rFonts w:hint="eastAsia" w:ascii="宋体" w:hAnsi="宋体" w:eastAsia="宋体" w:cs="宋体"/>
          <w:sz w:val="28"/>
          <w:szCs w:val="28"/>
          <w:highlight w:val="none"/>
          <w:lang w:val="en-US" w:eastAsia="zh-CN" w:bidi="ar-SA"/>
        </w:rPr>
        <w:t xml:space="preserve">2.4 协助承包人办理证件和批件</w:t>
      </w:r>
      <w:bookmarkEnd w:id="388"/>
      <w:r/>
      <w:bookmarkEnd w:id="389"/>
      <w:r/>
      <w:bookmarkEnd w:id="390"/>
      <w:r/>
      <w:bookmarkEnd w:id="391"/>
      <w:r/>
      <w:bookmarkEnd w:id="39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发包人应协助承包人办理法律规定的有关施工证件和批件。</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93" w:name="_Toc152042407"/>
      <w:r/>
      <w:bookmarkStart w:id="394" w:name="_Toc144974597"/>
      <w:r/>
      <w:bookmarkStart w:id="395" w:name="_Toc179632647"/>
      <w:r/>
      <w:bookmarkStart w:id="396" w:name="_Toc152045629"/>
      <w:r/>
      <w:bookmarkStart w:id="397" w:name="_Toc102121954"/>
      <w:r>
        <w:rPr>
          <w:rFonts w:hint="eastAsia" w:ascii="宋体" w:hAnsi="宋体" w:eastAsia="宋体" w:cs="宋体"/>
          <w:sz w:val="28"/>
          <w:szCs w:val="28"/>
          <w:highlight w:val="none"/>
          <w:lang w:val="en-US" w:eastAsia="zh-CN" w:bidi="ar-SA"/>
        </w:rPr>
        <w:t xml:space="preserve">2.5 组织设计交底</w:t>
      </w:r>
      <w:bookmarkEnd w:id="393"/>
      <w:r/>
      <w:bookmarkEnd w:id="394"/>
      <w:r/>
      <w:bookmarkEnd w:id="395"/>
      <w:r/>
      <w:bookmarkEnd w:id="396"/>
      <w:r/>
      <w:bookmarkEnd w:id="39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发包人应根据合同进度计划，组织设计单位向承包人进行设计交底。</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398" w:name="_Toc179632648"/>
      <w:r/>
      <w:bookmarkStart w:id="399" w:name="_Toc152042408"/>
      <w:r/>
      <w:bookmarkStart w:id="400" w:name="_Toc144974598"/>
      <w:r/>
      <w:bookmarkStart w:id="401" w:name="_Toc152045630"/>
      <w:r/>
      <w:bookmarkStart w:id="402" w:name="_Toc102121955"/>
      <w:r>
        <w:rPr>
          <w:rFonts w:hint="eastAsia" w:ascii="宋体" w:hAnsi="宋体" w:eastAsia="宋体" w:cs="宋体"/>
          <w:sz w:val="28"/>
          <w:szCs w:val="28"/>
          <w:highlight w:val="none"/>
          <w:lang w:val="en-US" w:eastAsia="zh-CN" w:bidi="ar-SA"/>
        </w:rPr>
        <w:t xml:space="preserve">2.6 支付合同价款</w:t>
      </w:r>
      <w:bookmarkEnd w:id="398"/>
      <w:r/>
      <w:bookmarkEnd w:id="399"/>
      <w:r/>
      <w:bookmarkEnd w:id="400"/>
      <w:r/>
      <w:bookmarkEnd w:id="401"/>
      <w:r/>
      <w:bookmarkEnd w:id="40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发包人应按合同约定向承包人及时支付合同价款。</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03" w:name="_Toc102121956"/>
      <w:r/>
      <w:bookmarkStart w:id="404" w:name="_Toc144974599"/>
      <w:r/>
      <w:bookmarkStart w:id="405" w:name="_Toc179632649"/>
      <w:r/>
      <w:bookmarkStart w:id="406" w:name="_Toc152042409"/>
      <w:r/>
      <w:bookmarkStart w:id="407" w:name="_Toc152045631"/>
      <w:r>
        <w:rPr>
          <w:rFonts w:hint="eastAsia" w:ascii="宋体" w:hAnsi="宋体" w:eastAsia="宋体" w:cs="宋体"/>
          <w:sz w:val="28"/>
          <w:szCs w:val="28"/>
          <w:highlight w:val="none"/>
          <w:lang w:val="en-US" w:eastAsia="zh-CN" w:bidi="ar-SA"/>
        </w:rPr>
        <w:t xml:space="preserve">2.7 组织竣工验收</w:t>
      </w:r>
      <w:bookmarkEnd w:id="404"/>
      <w:r/>
      <w:bookmarkEnd w:id="405"/>
      <w:r/>
      <w:bookmarkEnd w:id="406"/>
      <w:r/>
      <w:bookmarkEnd w:id="407"/>
      <w:r>
        <w:rPr>
          <w:rFonts w:hint="eastAsia" w:ascii="宋体" w:hAnsi="宋体" w:eastAsia="宋体" w:cs="宋体"/>
          <w:sz w:val="28"/>
          <w:szCs w:val="28"/>
          <w:highlight w:val="none"/>
          <w:lang w:val="en-US" w:eastAsia="zh-CN" w:bidi="ar-SA"/>
        </w:rPr>
        <w:t xml:space="preserve">（组织法人验收）</w:t>
      </w:r>
      <w:bookmarkEnd w:id="403"/>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发包人应按合同约定及时组织法人验收。</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08" w:name="_Toc102121957"/>
      <w:r>
        <w:rPr>
          <w:rFonts w:hint="eastAsia" w:ascii="宋体" w:hAnsi="宋体" w:eastAsia="宋体" w:cs="宋体"/>
          <w:sz w:val="28"/>
          <w:szCs w:val="28"/>
          <w:highlight w:val="none"/>
          <w:lang w:val="en-US" w:eastAsia="zh-CN" w:bidi="ar-SA"/>
        </w:rPr>
        <w:t xml:space="preserve">2.8其它义务</w:t>
      </w:r>
      <w:bookmarkEnd w:id="40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其它义务在专用合同条款中补充约定。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409" w:name="_Toc222029504"/>
      <w:r/>
      <w:bookmarkStart w:id="410" w:name="_Toc229305364"/>
      <w:r/>
      <w:bookmarkStart w:id="411" w:name="_Toc222032673"/>
      <w:r/>
      <w:bookmarkStart w:id="412" w:name="_Toc222033855"/>
      <w:r/>
      <w:bookmarkStart w:id="413" w:name="_Toc229408499"/>
      <w:r/>
      <w:bookmarkStart w:id="414" w:name="_Toc221950732"/>
      <w:r/>
      <w:bookmarkStart w:id="415" w:name="_Toc102121958"/>
      <w:r/>
      <w:bookmarkStart w:id="416" w:name="_Toc222031006"/>
      <w:r>
        <w:rPr>
          <w:rFonts w:hint="eastAsia" w:ascii="宋体" w:hAnsi="宋体" w:eastAsia="宋体" w:cs="宋体"/>
          <w:sz w:val="30"/>
          <w:szCs w:val="30"/>
          <w:highlight w:val="none"/>
          <w:lang w:val="en-US" w:eastAsia="zh-CN" w:bidi="ar-SA"/>
        </w:rPr>
        <w:t xml:space="preserve">3. 监理人</w:t>
      </w:r>
      <w:bookmarkEnd w:id="409"/>
      <w:r/>
      <w:bookmarkEnd w:id="410"/>
      <w:r/>
      <w:bookmarkEnd w:id="411"/>
      <w:r/>
      <w:bookmarkEnd w:id="412"/>
      <w:r/>
      <w:bookmarkEnd w:id="413"/>
      <w:r/>
      <w:bookmarkEnd w:id="414"/>
      <w:r/>
      <w:bookmarkEnd w:id="415"/>
      <w:r/>
      <w:bookmarkEnd w:id="416"/>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17" w:name="_Toc102121959"/>
      <w:r/>
      <w:bookmarkStart w:id="418" w:name="_Toc221950735"/>
      <w:r>
        <w:rPr>
          <w:rFonts w:hint="eastAsia" w:ascii="宋体" w:hAnsi="宋体" w:eastAsia="宋体" w:cs="宋体"/>
          <w:sz w:val="28"/>
          <w:szCs w:val="28"/>
          <w:highlight w:val="none"/>
          <w:lang w:val="en-US" w:eastAsia="zh-CN" w:bidi="ar-SA"/>
        </w:rPr>
        <w:t xml:space="preserve">3.1监理人的职责和权利</w:t>
      </w:r>
      <w:bookmarkEnd w:id="417"/>
      <w:r>
        <w:rPr>
          <w:rFonts w:hint="eastAsia" w:ascii="宋体" w:hAnsi="宋体" w:eastAsia="宋体" w:cs="宋体"/>
          <w:sz w:val="28"/>
          <w:szCs w:val="28"/>
          <w:highlight w:val="none"/>
          <w:lang w:val="en-US" w:eastAsia="zh-CN" w:bidi="ar-SA"/>
        </w:rPr>
      </w:r>
      <w:r/>
    </w:p>
    <w:p>
      <w:pPr>
        <w:pStyle w:val="1159"/>
        <w:ind w:right="248" w:firstLine="511"/>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3.1.1监理人受发包人的委托，享有合同约定的权力。监理人的权力范围在专用合同条款中约定。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End w:id="418"/>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3.1.2 监理人发出的任何指示应视为已得到发包人的批准，但监理人无权免除或变更合同约定的发包人和承包人的权利、义务和责任。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3.1.3 合同约定应由承包人承担的义务和责任，不因监理人对承包人提交文件的审查或批准，对工程、材料和设备的检查和检验，以及为实施监理作出的指示等职务行为而减轻或解除。</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19" w:name="_Toc179632653"/>
      <w:r/>
      <w:bookmarkStart w:id="420" w:name="_Toc144974603"/>
      <w:r/>
      <w:bookmarkStart w:id="421" w:name="_Toc152042413"/>
      <w:r/>
      <w:bookmarkStart w:id="422" w:name="_Toc102121960"/>
      <w:r/>
      <w:bookmarkStart w:id="423" w:name="_Toc152045635"/>
      <w:r>
        <w:rPr>
          <w:rFonts w:hint="eastAsia" w:ascii="宋体" w:hAnsi="宋体" w:eastAsia="宋体" w:cs="宋体"/>
          <w:sz w:val="28"/>
          <w:szCs w:val="28"/>
          <w:highlight w:val="none"/>
          <w:lang w:val="en-US" w:eastAsia="zh-CN" w:bidi="ar-SA"/>
        </w:rPr>
        <w:t xml:space="preserve">3.2 总监理工程师</w:t>
      </w:r>
      <w:bookmarkEnd w:id="419"/>
      <w:r/>
      <w:bookmarkEnd w:id="420"/>
      <w:r/>
      <w:bookmarkEnd w:id="421"/>
      <w:r/>
      <w:bookmarkEnd w:id="422"/>
      <w:r/>
      <w:bookmarkEnd w:id="423"/>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24" w:name="_Toc152042414"/>
      <w:r/>
      <w:bookmarkStart w:id="425" w:name="_Toc179632654"/>
      <w:r/>
      <w:bookmarkStart w:id="426" w:name="_Toc144974604"/>
      <w:r/>
      <w:bookmarkStart w:id="427" w:name="_Toc102121961"/>
      <w:r/>
      <w:bookmarkStart w:id="428" w:name="_Toc152045636"/>
      <w:r>
        <w:rPr>
          <w:rFonts w:hint="eastAsia" w:ascii="宋体" w:hAnsi="宋体" w:eastAsia="宋体" w:cs="宋体"/>
          <w:sz w:val="28"/>
          <w:szCs w:val="28"/>
          <w:highlight w:val="none"/>
          <w:lang w:val="en-US" w:eastAsia="zh-CN" w:bidi="ar-SA"/>
        </w:rPr>
        <w:t xml:space="preserve">3.3 监理人员</w:t>
      </w:r>
      <w:bookmarkEnd w:id="424"/>
      <w:r/>
      <w:bookmarkEnd w:id="425"/>
      <w:r/>
      <w:bookmarkEnd w:id="426"/>
      <w:r/>
      <w:bookmarkEnd w:id="427"/>
      <w:r/>
      <w:bookmarkEnd w:id="42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3.3.3 承包人对总监理工程师授权的监理人员发出的指示有疑问的，可向总监理工程师提出书面异议，总监理工程师应在48小时内对该指示予以确认、更改或撤销。</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3.3.4 除专用合同条款另有约定外，总监理工程师不应将第3.5款约定应由总监理工程师作出确定的权力授权或委托给其他监理人员。</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29" w:name="_Toc144974605"/>
      <w:r/>
      <w:bookmarkStart w:id="430" w:name="_Toc152045637"/>
      <w:r/>
      <w:bookmarkStart w:id="431" w:name="_Toc152042415"/>
      <w:r/>
      <w:bookmarkStart w:id="432" w:name="_Toc102121962"/>
      <w:r/>
      <w:bookmarkStart w:id="433" w:name="_Toc179632655"/>
      <w:r>
        <w:rPr>
          <w:rFonts w:hint="eastAsia" w:ascii="宋体" w:hAnsi="宋体" w:eastAsia="宋体" w:cs="宋体"/>
          <w:sz w:val="28"/>
          <w:szCs w:val="28"/>
          <w:highlight w:val="none"/>
          <w:lang w:val="en-US" w:eastAsia="zh-CN" w:bidi="ar-SA"/>
        </w:rPr>
        <w:t xml:space="preserve">3.4 监理人的指示</w:t>
      </w:r>
      <w:bookmarkEnd w:id="429"/>
      <w:r/>
      <w:bookmarkEnd w:id="430"/>
      <w:r/>
      <w:bookmarkEnd w:id="431"/>
      <w:r/>
      <w:bookmarkEnd w:id="432"/>
      <w:r/>
      <w:bookmarkEnd w:id="433"/>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3.4.1 监理人应按第3.1款的约定向承包人发出指示，监理人的指示应盖有监理人授权的施工场地机构章，并由总监理工程师或总监理工程师按第3.3.1项约定授权的监理人员签字。</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3.4.2 承包人收到监理人按第3.4.1项作出的指示后应遵照执行。指示构成变更的，应按第15条处理。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3.4.4 除合同另有约定外，承包人只从总监理工程师或按第3.3.1项被授权的监理人员处取得指示。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3.4.5 由于监理人未能按合同约定发出指示、指示延误或指示错误而导致承包人费用增加和（或）工期延误的，由发包人承担赔偿责任。 </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34" w:name="_Toc144974606"/>
      <w:r/>
      <w:bookmarkStart w:id="435" w:name="_Toc152045638"/>
      <w:r/>
      <w:bookmarkStart w:id="436" w:name="_Toc102121963"/>
      <w:r/>
      <w:bookmarkStart w:id="437" w:name="_Toc179632656"/>
      <w:r/>
      <w:bookmarkStart w:id="438" w:name="_Toc152042416"/>
      <w:r>
        <w:rPr>
          <w:rFonts w:hint="eastAsia" w:ascii="宋体" w:hAnsi="宋体" w:eastAsia="宋体" w:cs="宋体"/>
          <w:sz w:val="28"/>
          <w:szCs w:val="28"/>
          <w:highlight w:val="none"/>
          <w:lang w:val="en-US" w:eastAsia="zh-CN" w:bidi="ar-SA"/>
        </w:rPr>
        <w:t xml:space="preserve">3.5 商定或确定</w:t>
      </w:r>
      <w:bookmarkEnd w:id="434"/>
      <w:r/>
      <w:bookmarkEnd w:id="435"/>
      <w:r/>
      <w:bookmarkEnd w:id="436"/>
      <w:r/>
      <w:bookmarkEnd w:id="437"/>
      <w:r/>
      <w:bookmarkEnd w:id="43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3.5.1合同约定总监理工程师应按照本款对任何事项进行商定或确定时，总监理工程师应与合同当事人协商，尽量达成一致。不能达成一致的，总监理工程师应认真研究后审慎确定。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439" w:name="_Toc229305365"/>
      <w:r/>
      <w:bookmarkStart w:id="440" w:name="_Toc229408500"/>
      <w:r/>
      <w:bookmarkStart w:id="441" w:name="_Toc222029505"/>
      <w:r/>
      <w:bookmarkStart w:id="442" w:name="_Toc221950744"/>
      <w:r/>
      <w:bookmarkStart w:id="443" w:name="_Toc222031007"/>
      <w:r/>
      <w:bookmarkStart w:id="444" w:name="_Toc222032674"/>
      <w:r/>
      <w:bookmarkStart w:id="445" w:name="_Toc222033856"/>
      <w:r/>
      <w:bookmarkStart w:id="446" w:name="_Toc102121964"/>
      <w:r>
        <w:rPr>
          <w:rFonts w:hint="eastAsia" w:ascii="宋体" w:hAnsi="宋体" w:eastAsia="宋体" w:cs="宋体"/>
          <w:sz w:val="30"/>
          <w:szCs w:val="30"/>
          <w:highlight w:val="none"/>
          <w:lang w:val="en-US" w:eastAsia="zh-CN" w:bidi="ar-SA"/>
        </w:rPr>
        <w:t xml:space="preserve">4. 承包人</w:t>
      </w:r>
      <w:bookmarkEnd w:id="439"/>
      <w:r/>
      <w:bookmarkEnd w:id="440"/>
      <w:r/>
      <w:bookmarkEnd w:id="441"/>
      <w:r/>
      <w:bookmarkEnd w:id="442"/>
      <w:r/>
      <w:bookmarkEnd w:id="443"/>
      <w:r/>
      <w:bookmarkEnd w:id="444"/>
      <w:r/>
      <w:bookmarkEnd w:id="445"/>
      <w:r/>
      <w:bookmarkEnd w:id="446"/>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47" w:name="_Toc221950747"/>
      <w:r/>
      <w:bookmarkStart w:id="448" w:name="_Toc102121965"/>
      <w:r>
        <w:rPr>
          <w:rFonts w:hint="eastAsia" w:ascii="宋体" w:hAnsi="宋体" w:eastAsia="宋体" w:cs="宋体"/>
          <w:sz w:val="28"/>
          <w:szCs w:val="28"/>
          <w:highlight w:val="none"/>
          <w:lang w:val="en-US" w:eastAsia="zh-CN" w:bidi="ar-SA"/>
        </w:rPr>
        <w:t xml:space="preserve">4.1承包人的一般义务</w:t>
      </w:r>
      <w:bookmarkEnd w:id="44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4.1.1 遵守法律</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承包人在履行合同过程中应遵守法律，并保证发包人免于承担因承包人违反法律而引起的任何责任。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4.1.2 依法纳税</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承包人应按有关法律规定纳税，应缴纳的税金包括在合同价格内。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4.1.3 </w:t>
      </w:r>
      <w:bookmarkEnd w:id="447"/>
      <w:r/>
      <w:bookmarkStart w:id="449" w:name="_Toc221950748"/>
      <w:r>
        <w:rPr>
          <w:rFonts w:hint="eastAsia" w:ascii="宋体" w:hAnsi="宋体" w:eastAsia="宋体" w:cs="宋体"/>
          <w:sz w:val="24"/>
          <w:szCs w:val="20"/>
          <w:highlight w:val="none"/>
        </w:rPr>
        <w:t xml:space="preserve">完成各项承包工作</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合同约定以及监理人根据第3.4款作出的指示，实施、完成全部工程，并修补工程中的任何缺陷。除第5.2款、第6.2款另有外，承包人应提供为完成合同工作所需的劳务、材料、施工设备、工程设备和其它物品，并按合同约定负责临时设施的设计、建造、运行、维护、管理和拆除。</w:t>
      </w:r>
      <w:bookmarkEnd w:id="449"/>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4.1.4 对施工作业和施工方法的完备性负责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承包人应按合同约定的工作内容和施工进度要求，编制施工组织设计和施工措施计划，并对所有施工作业和施工方法的完备性和安全可靠性负责。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4.1.5 保证工程施工和人员的安全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承包人应按第9.2款约定采取施工安全措施，确保工程及其人员、材料、设备和设施的安全，防止因工程施工造成的人身伤害和财产损失。</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4.1.6 负责施工场地及其周边环境与生态的保护工作</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承包人应按照第9.4款约定负责施工场地及其周边环境与生态的保护工作。</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4.1.7 避免施工对公众与他人的利益造成损害</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4.1.8 为他人提供方便</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4.1.9 工程的维护和照管</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除合同另有约定外，工程完工证书颁发前，承包人应负责照管和维护工程。合同工程完工证书颁发时尚有部分未完工程的，承包人还应负责该未完工程的照管和维护工作，直至完工后移交给发包人为止。</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4.1.10  其它义务</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其它义务在专用合同条款中补充约定。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50" w:name="_Toc221950749"/>
      <w:r/>
      <w:bookmarkStart w:id="451" w:name="_Toc102121966"/>
      <w:r>
        <w:rPr>
          <w:rFonts w:hint="eastAsia" w:ascii="宋体" w:hAnsi="宋体" w:eastAsia="宋体" w:cs="宋体"/>
          <w:sz w:val="28"/>
          <w:szCs w:val="28"/>
          <w:highlight w:val="none"/>
          <w:lang w:val="en-US" w:eastAsia="zh-CN" w:bidi="ar-SA"/>
        </w:rPr>
        <w:t xml:space="preserve">4.2 </w:t>
      </w:r>
      <w:bookmarkEnd w:id="450"/>
      <w:r/>
      <w:bookmarkStart w:id="452" w:name="_Toc221950751"/>
      <w:r>
        <w:rPr>
          <w:rFonts w:hint="eastAsia" w:ascii="宋体" w:hAnsi="宋体" w:eastAsia="宋体" w:cs="宋体"/>
          <w:sz w:val="28"/>
          <w:szCs w:val="28"/>
          <w:highlight w:val="none"/>
          <w:lang w:val="en-US" w:eastAsia="zh-CN" w:bidi="ar-SA"/>
        </w:rPr>
        <w:t xml:space="preserve">履约担保</w:t>
      </w:r>
      <w:bookmarkEnd w:id="45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End w:id="452"/>
      <w:r/>
      <w:bookmarkStart w:id="453" w:name="_Toc221950754"/>
      <w:r>
        <w:rPr>
          <w:rFonts w:hint="eastAsia" w:ascii="宋体" w:hAnsi="宋体" w:eastAsia="宋体" w:cs="宋体"/>
          <w:sz w:val="24"/>
          <w:szCs w:val="20"/>
          <w:highlight w:val="none"/>
        </w:rPr>
        <w:t xml:space="preserve">承包人应保证其履约担保在发包人颁发合同工程完工证书前一直有效。发包人应在合同工程完工证书颁布发后28天内将履约担保退还给承包人。</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54" w:name="_Toc102121967"/>
      <w:r>
        <w:rPr>
          <w:rFonts w:hint="eastAsia" w:ascii="宋体" w:hAnsi="宋体" w:eastAsia="宋体" w:cs="宋体"/>
          <w:sz w:val="28"/>
          <w:szCs w:val="28"/>
          <w:highlight w:val="none"/>
          <w:lang w:val="en-US" w:eastAsia="zh-CN" w:bidi="ar-SA"/>
        </w:rPr>
        <w:t xml:space="preserve">4.3分包</w:t>
      </w:r>
      <w:bookmarkEnd w:id="454"/>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4.3.1 承包人不得将其承包的全部工程转包给第三人，或将其承包的全部工程肢解后以分包的名义转包给第三人。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4.3.2 承包人不得将工程主体、关键性工作分包给第三人。除专用合同条款另有约定外，未经发包人同意，承包人不得将工程的其他部分或工作分包给第三人。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4.3.3 分包人的资格能力应与其分包工程的标准和规模相适应。</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4.3.4 按投标函附录约定分包工程的，承包人应向发包人和监理人提交分包合同副本。</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4.3.5 承包人应与分包人就分包工程向发包人承担连带责任。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4.3.6分包工程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得增加承包人的额外费用；因承包人原因形成指定分包条件的，承包人应承担指定分包所增加的费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由指定分包人造成的与其分包工作有关的一切索赔、诉讼和损失赔偿由指定分包人直接对发包人负责，承包人不对此承担责任。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4.3.8承包人和发包人应当签订分包合同，并履行合同约定的义务。分包合同必须遵循承包合同的各项原则，满足相应条款的要求。发包人可以对分包合同实施情况进行监督检查。承包人应将分包合同副本提交发包人和监理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4.3.9除4.3.7项规定的指定分包外，承包人对其分包项目的实施以及分包人的行为向发包人负全部责任。承包人应对分包项目的工程进度、质量、安全、计量和验收等实施监督和管理。</w:t>
      </w:r>
      <w:bookmarkEnd w:id="453"/>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4.3.10分包人应按专用合同条款的约定设立项目管理机构组织管理分包工程的施工活动。</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55" w:name="_Toc102121968"/>
      <w:r/>
      <w:bookmarkStart w:id="456" w:name="_Toc179632661"/>
      <w:r/>
      <w:bookmarkStart w:id="457" w:name="_Toc152045643"/>
      <w:r/>
      <w:bookmarkStart w:id="458" w:name="_Toc144974611"/>
      <w:r/>
      <w:bookmarkStart w:id="459" w:name="_Toc152042421"/>
      <w:r>
        <w:rPr>
          <w:rFonts w:hint="eastAsia" w:ascii="宋体" w:hAnsi="宋体" w:eastAsia="宋体" w:cs="宋体"/>
          <w:sz w:val="28"/>
          <w:szCs w:val="28"/>
          <w:highlight w:val="none"/>
          <w:lang w:val="en-US" w:eastAsia="zh-CN" w:bidi="ar-SA"/>
        </w:rPr>
        <w:t xml:space="preserve">4.4 联合体</w:t>
      </w:r>
      <w:bookmarkEnd w:id="455"/>
      <w:r/>
      <w:bookmarkEnd w:id="456"/>
      <w:r/>
      <w:bookmarkEnd w:id="457"/>
      <w:r/>
      <w:bookmarkEnd w:id="458"/>
      <w:r/>
      <w:bookmarkEnd w:id="45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4.4.1 联合体各方应共同与发包人签订合同协议书。联合体各方应为履行合同承担连带责任。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4.4.2 联合体协议经发包人确认后作为合同附件。在履行合同过程中，未经发包人同意，不得修改联合体协议。</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4.4.3 联合体牵头人负责与发包人和监理人联系，并接受指示，负责组织联合体各成员全面履行合同。</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60" w:name="_Toc102121969"/>
      <w:r/>
      <w:bookmarkStart w:id="461" w:name="_Toc179632662"/>
      <w:r/>
      <w:bookmarkStart w:id="462" w:name="_Toc144974612"/>
      <w:r/>
      <w:bookmarkStart w:id="463" w:name="_Toc152045644"/>
      <w:r/>
      <w:bookmarkStart w:id="464" w:name="_Toc152042422"/>
      <w:r>
        <w:rPr>
          <w:rFonts w:hint="eastAsia" w:ascii="宋体" w:hAnsi="宋体" w:eastAsia="宋体" w:cs="宋体"/>
          <w:sz w:val="28"/>
          <w:szCs w:val="28"/>
          <w:highlight w:val="none"/>
          <w:lang w:val="en-US" w:eastAsia="zh-CN" w:bidi="ar-SA"/>
        </w:rPr>
        <w:t xml:space="preserve">4.5 承包人</w:t>
      </w:r>
      <w:bookmarkEnd w:id="461"/>
      <w:r/>
      <w:bookmarkEnd w:id="462"/>
      <w:r/>
      <w:bookmarkEnd w:id="463"/>
      <w:r/>
      <w:bookmarkEnd w:id="464"/>
      <w:r>
        <w:rPr>
          <w:rFonts w:hint="eastAsia" w:ascii="宋体" w:hAnsi="宋体" w:eastAsia="宋体" w:cs="宋体"/>
          <w:sz w:val="28"/>
          <w:szCs w:val="28"/>
          <w:highlight w:val="none"/>
          <w:lang w:val="en-US" w:eastAsia="zh-CN" w:bidi="ar-SA"/>
        </w:rPr>
        <w:t xml:space="preserve">项目负责人</w:t>
      </w:r>
      <w:bookmarkEnd w:id="46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4.5.1承包人应按合同约定指派项目负责人，并在约定的期限内到职。承包人更换项目负责人应事先征得发包人同意，并应在更换14天前通知发包人和监理人。承包人项目负责人短期离开施工场地，应事先征得监理人同意，并委派代表代行其职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4.5.2 承包人项目负责人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4.5.3承包人为履行合同发出的一切函件均应盖有承包人授权的施工场地管理机构章，并由承包人项目负责人或其授权代表签字。</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4.5.4 承包人项目负责人可以授权其下属人员履行其某项职责，但事先应将这些人员的姓名和授权范围通知监理人。</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65" w:name="_Toc152045645"/>
      <w:r/>
      <w:bookmarkStart w:id="466" w:name="_Toc144974613"/>
      <w:r/>
      <w:bookmarkStart w:id="467" w:name="_Toc152042423"/>
      <w:r/>
      <w:bookmarkStart w:id="468" w:name="_Toc179632663"/>
      <w:r/>
      <w:bookmarkStart w:id="469" w:name="_Toc102121970"/>
      <w:r>
        <w:rPr>
          <w:rFonts w:hint="eastAsia" w:ascii="宋体" w:hAnsi="宋体" w:eastAsia="宋体" w:cs="宋体"/>
          <w:sz w:val="28"/>
          <w:szCs w:val="28"/>
          <w:highlight w:val="none"/>
          <w:lang w:val="en-US" w:eastAsia="zh-CN" w:bidi="ar-SA"/>
        </w:rPr>
        <w:t xml:space="preserve">4.6 承包人人员的管理</w:t>
      </w:r>
      <w:bookmarkEnd w:id="465"/>
      <w:r/>
      <w:bookmarkEnd w:id="466"/>
      <w:r/>
      <w:bookmarkEnd w:id="467"/>
      <w:r/>
      <w:bookmarkEnd w:id="468"/>
      <w:r/>
      <w:bookmarkEnd w:id="46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4.6.1 承包人应在接到开工通知后5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4.6.2 为完成合同约定的各项工作，承包人应向施工场地派遣或雇佣足够数量的下列人员：</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（1）具有相应资格的专业技工和合格的普工；</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（2）具有相应施工经验的技术人员；</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（3）具有相应岗位资格的各级管理人员。</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4.6.3 承包人安排在施工场地的主要管理人员和技术骨干应相对稳定。承包人更换主要管理人员和技术骨干时，应取得监理人的同意。</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4.6.4 特殊岗位的工作人员均应持有相应的资格证明，监理人有权随时检查。监理人认为有必要时，可进行现场考核。</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70" w:name="_Toc152045646"/>
      <w:r/>
      <w:bookmarkStart w:id="471" w:name="_Toc144974614"/>
      <w:r/>
      <w:bookmarkStart w:id="472" w:name="_Toc179632664"/>
      <w:r/>
      <w:bookmarkStart w:id="473" w:name="_Toc102121971"/>
      <w:r/>
      <w:bookmarkStart w:id="474" w:name="_Toc152042424"/>
      <w:r>
        <w:rPr>
          <w:rFonts w:hint="eastAsia" w:ascii="宋体" w:hAnsi="宋体" w:eastAsia="宋体" w:cs="宋体"/>
          <w:sz w:val="28"/>
          <w:szCs w:val="28"/>
          <w:highlight w:val="none"/>
          <w:lang w:val="en-US" w:eastAsia="zh-CN" w:bidi="ar-SA"/>
        </w:rPr>
        <w:t xml:space="preserve">4.7 撤换承包人项目负责人和其他人员</w:t>
      </w:r>
      <w:bookmarkEnd w:id="470"/>
      <w:r/>
      <w:bookmarkEnd w:id="471"/>
      <w:r/>
      <w:bookmarkEnd w:id="472"/>
      <w:r/>
      <w:bookmarkEnd w:id="473"/>
      <w:r/>
      <w:bookmarkEnd w:id="474"/>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承包人应对其项目负责人和其他人员进行有效管理。监理人要求撤换不能胜任本职工作、行为不端或玩忽职守的承包人项目负责人和其他人员的，承包人应予以撤换。</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75" w:name="_Toc152045647"/>
      <w:r/>
      <w:bookmarkStart w:id="476" w:name="_Toc144974615"/>
      <w:r/>
      <w:bookmarkStart w:id="477" w:name="_Toc152042425"/>
      <w:r/>
      <w:bookmarkStart w:id="478" w:name="_Toc179632665"/>
      <w:r/>
      <w:bookmarkStart w:id="479" w:name="_Toc102121972"/>
      <w:r>
        <w:rPr>
          <w:rFonts w:hint="eastAsia" w:ascii="宋体" w:hAnsi="宋体" w:eastAsia="宋体" w:cs="宋体"/>
          <w:sz w:val="28"/>
          <w:szCs w:val="28"/>
          <w:highlight w:val="none"/>
          <w:lang w:val="en-US" w:eastAsia="zh-CN" w:bidi="ar-SA"/>
        </w:rPr>
        <w:t xml:space="preserve">4.8 保障承包人人员的合法权益</w:t>
      </w:r>
      <w:bookmarkEnd w:id="475"/>
      <w:r/>
      <w:bookmarkEnd w:id="476"/>
      <w:r/>
      <w:bookmarkEnd w:id="477"/>
      <w:r/>
      <w:bookmarkEnd w:id="478"/>
      <w:r/>
      <w:bookmarkEnd w:id="47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4.8.1 承包人应与其雇佣的人员签订劳动合同，并按时发放工资。</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4.8.3 承包人应为其雇佣人员提供必要的食宿条件，以及符合环境保护和卫生要求的生活环境，在远离城镇的施工场地，还应配备必要的伤病防治和急救的医务人员与医疗设施。</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4.8.5 承包人应按有关法律规定和合同约定，为其雇佣人员办理保险。</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4.8.6 承包人应负责处理其雇佣人员因工伤亡事故的善后事宜。</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80" w:name="_Toc102121973"/>
      <w:r/>
      <w:bookmarkStart w:id="481" w:name="_Toc152045648"/>
      <w:r/>
      <w:bookmarkStart w:id="482" w:name="_Toc152042426"/>
      <w:r/>
      <w:bookmarkStart w:id="483" w:name="_Toc144974616"/>
      <w:r/>
      <w:bookmarkStart w:id="484" w:name="_Toc179632666"/>
      <w:r>
        <w:rPr>
          <w:rFonts w:hint="eastAsia" w:ascii="宋体" w:hAnsi="宋体" w:eastAsia="宋体" w:cs="宋体"/>
          <w:sz w:val="28"/>
          <w:szCs w:val="28"/>
          <w:highlight w:val="none"/>
          <w:lang w:val="en-US" w:eastAsia="zh-CN" w:bidi="ar-SA"/>
        </w:rPr>
        <w:t xml:space="preserve">4.9 工程价款应专款专用</w:t>
      </w:r>
      <w:bookmarkEnd w:id="480"/>
      <w:r/>
      <w:bookmarkEnd w:id="481"/>
      <w:r/>
      <w:bookmarkEnd w:id="482"/>
      <w:r/>
      <w:bookmarkEnd w:id="483"/>
      <w:r/>
      <w:bookmarkEnd w:id="484"/>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发包人按合同约定支付给承包人的各项价款应专用于合同工程。</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4"/>
          <w:highlight w:val="none"/>
          <w:lang w:val="en-US" w:eastAsia="zh-CN" w:bidi="ar-SA"/>
        </w:rPr>
        <w:outlineLvl w:val="1"/>
      </w:pPr>
      <w:r/>
      <w:bookmarkStart w:id="485" w:name="_Toc152042427"/>
      <w:r/>
      <w:bookmarkStart w:id="486" w:name="_Toc102121974"/>
      <w:r/>
      <w:bookmarkStart w:id="487" w:name="_Toc152045649"/>
      <w:r/>
      <w:bookmarkStart w:id="488" w:name="_Toc179632667"/>
      <w:r/>
      <w:bookmarkStart w:id="489" w:name="_Toc144974617"/>
      <w:r>
        <w:rPr>
          <w:rFonts w:hint="eastAsia" w:ascii="宋体" w:hAnsi="宋体" w:eastAsia="宋体" w:cs="宋体"/>
          <w:sz w:val="28"/>
          <w:szCs w:val="28"/>
          <w:highlight w:val="none"/>
          <w:lang w:val="en-US" w:eastAsia="zh-CN" w:bidi="ar-SA"/>
        </w:rPr>
        <w:t xml:space="preserve">4.10 承包人现场查勘</w:t>
      </w:r>
      <w:bookmarkEnd w:id="485"/>
      <w:r/>
      <w:bookmarkEnd w:id="486"/>
      <w:r/>
      <w:bookmarkEnd w:id="487"/>
      <w:r/>
      <w:bookmarkEnd w:id="488"/>
      <w:r/>
      <w:bookmarkEnd w:id="489"/>
      <w:r>
        <w:rPr>
          <w:rFonts w:hint="eastAsia" w:ascii="宋体" w:hAnsi="宋体" w:eastAsia="宋体" w:cs="宋体"/>
          <w:sz w:val="24"/>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4.10.1 发包人应将其持有的现场地质勘探资料、水文气象资料提供给承包人，并对其准确性负责。但承包人应对其阅读上述有关资料后所作出的解释和推断负责。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90" w:name="_Toc102121975"/>
      <w:r>
        <w:rPr>
          <w:rFonts w:hint="eastAsia" w:ascii="宋体" w:hAnsi="宋体" w:eastAsia="宋体" w:cs="宋体"/>
          <w:sz w:val="28"/>
          <w:szCs w:val="28"/>
          <w:highlight w:val="none"/>
          <w:lang w:val="en-US" w:eastAsia="zh-CN" w:bidi="ar-SA"/>
        </w:rPr>
        <w:t xml:space="preserve">4.11不利物质条件</w:t>
      </w:r>
      <w:bookmarkEnd w:id="49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4.11.1除专用合同条款另有约定外，不利的物质条件是指在施工中遭遇不可预见的外界障碍或自然条件造成施工受阻。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4.11.2 承包人遇到不利物质条件时，应采取适应不利物质条件的合理措施继续施工，并及时通知监理人。承包人应有权根据第23.1款的约定，要求延长工期及增加费用。监理人收到此类要求后，应在分析上述外界障碍或自然条件是否不可预见及不可预见程度的基础上，按照通用合同条款第15条的约定办理． </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491" w:name="_Toc229408501"/>
      <w:r/>
      <w:bookmarkStart w:id="492" w:name="_Toc222031008"/>
      <w:r/>
      <w:bookmarkStart w:id="493" w:name="_Toc221950770"/>
      <w:r/>
      <w:bookmarkStart w:id="494" w:name="_Toc222033857"/>
      <w:r/>
      <w:bookmarkStart w:id="495" w:name="_Toc222029506"/>
      <w:r/>
      <w:bookmarkStart w:id="496" w:name="_Toc102121976"/>
      <w:r/>
      <w:bookmarkStart w:id="497" w:name="_Toc222032675"/>
      <w:r/>
      <w:bookmarkStart w:id="498" w:name="_Toc229305366"/>
      <w:r>
        <w:rPr>
          <w:rFonts w:hint="eastAsia" w:ascii="宋体" w:hAnsi="宋体" w:eastAsia="宋体" w:cs="宋体"/>
          <w:sz w:val="30"/>
          <w:szCs w:val="30"/>
          <w:highlight w:val="none"/>
          <w:lang w:val="en-US" w:eastAsia="zh-CN" w:bidi="ar-SA"/>
        </w:rPr>
        <w:t xml:space="preserve">5. 材料和工程设备</w:t>
      </w:r>
      <w:bookmarkEnd w:id="491"/>
      <w:r/>
      <w:bookmarkEnd w:id="492"/>
      <w:r/>
      <w:bookmarkEnd w:id="493"/>
      <w:r/>
      <w:bookmarkEnd w:id="494"/>
      <w:r/>
      <w:bookmarkEnd w:id="495"/>
      <w:r/>
      <w:bookmarkEnd w:id="496"/>
      <w:r/>
      <w:bookmarkEnd w:id="497"/>
      <w:r/>
      <w:bookmarkEnd w:id="498"/>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499" w:name="_Toc102121977"/>
      <w:r/>
      <w:bookmarkStart w:id="500" w:name="_Toc221950773"/>
      <w:r>
        <w:rPr>
          <w:rFonts w:hint="eastAsia" w:ascii="宋体" w:hAnsi="宋体" w:eastAsia="宋体" w:cs="宋体"/>
          <w:sz w:val="28"/>
          <w:szCs w:val="28"/>
          <w:highlight w:val="none"/>
          <w:lang w:val="en-US" w:eastAsia="zh-CN" w:bidi="ar-SA"/>
        </w:rPr>
        <w:t xml:space="preserve">5.1承包人提供的材料和工程设备</w:t>
      </w:r>
      <w:bookmarkEnd w:id="49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5.1.1</w:t>
      </w:r>
      <w:bookmarkEnd w:id="500"/>
      <w:r>
        <w:rPr>
          <w:rFonts w:hint="eastAsia" w:ascii="宋体" w:hAnsi="宋体" w:eastAsia="宋体" w:cs="宋体"/>
          <w:sz w:val="24"/>
          <w:szCs w:val="20"/>
          <w:highlight w:val="none"/>
        </w:rPr>
        <w:t xml:space="preserve"> 除5.2款约定由发包人提供的材料和工程设备外，承包人负责采购、验收、运输和保管完成本合同工作所需的材料和工程设备。承包人应对其采购的材料和工程设备负责。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501" w:name="_Toc221950779"/>
      <w:r>
        <w:rPr>
          <w:rFonts w:hint="eastAsia" w:ascii="宋体" w:hAnsi="宋体" w:eastAsia="宋体" w:cs="宋体"/>
          <w:sz w:val="24"/>
          <w:szCs w:val="20"/>
          <w:highlight w:val="none"/>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02" w:name="_Toc102121978"/>
      <w:r>
        <w:rPr>
          <w:rFonts w:hint="eastAsia" w:ascii="宋体" w:hAnsi="宋体" w:eastAsia="宋体" w:cs="宋体"/>
          <w:sz w:val="28"/>
          <w:szCs w:val="28"/>
          <w:highlight w:val="none"/>
          <w:lang w:val="en-US" w:eastAsia="zh-CN" w:bidi="ar-SA"/>
        </w:rPr>
        <w:t xml:space="preserve">5.2发包人提供的材料和工程设备</w:t>
      </w:r>
      <w:bookmarkEnd w:id="50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5.2.1 发包人提供的材料和工程设备，应在专用合同条款中写明材料和工程设备的名称、规格、数量、价格、交货方式、交货地点和计划交货日期等。</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5.2.2 承包人应根据合同进度计划的安排，向监理人报送要求发包人交货的日期计划。发包人应按照监理人与合同双方当事人商定的交货日期，向承包人提交材料和工程设备。</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5.2.4 发包人要求向承包人提前交货的，承包人不得拒绝，但发包人应承担承包人由此增加的费用。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5.2.5 承包人要求更改交货日期或地点的，应事先报请监理人批准。由于承包人要求更改交货时间或地点所增加的费用和（或）工期延误由承包人承担。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03" w:name="_Toc152042432"/>
      <w:r/>
      <w:bookmarkStart w:id="504" w:name="_Toc144974622"/>
      <w:r/>
      <w:bookmarkStart w:id="505" w:name="_Toc102121979"/>
      <w:r/>
      <w:bookmarkStart w:id="506" w:name="_Toc152045654"/>
      <w:r/>
      <w:bookmarkStart w:id="507" w:name="_Toc179632672"/>
      <w:r>
        <w:rPr>
          <w:rFonts w:hint="eastAsia" w:ascii="宋体" w:hAnsi="宋体" w:eastAsia="宋体" w:cs="宋体"/>
          <w:sz w:val="28"/>
          <w:szCs w:val="28"/>
          <w:highlight w:val="none"/>
          <w:lang w:val="en-US" w:eastAsia="zh-CN" w:bidi="ar-SA"/>
        </w:rPr>
        <w:t xml:space="preserve">5.3 材料和工程设备专用于合同工程</w:t>
      </w:r>
      <w:bookmarkEnd w:id="503"/>
      <w:r/>
      <w:bookmarkEnd w:id="504"/>
      <w:r/>
      <w:bookmarkEnd w:id="505"/>
      <w:r/>
      <w:bookmarkEnd w:id="506"/>
      <w:r/>
      <w:bookmarkEnd w:id="50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5.3.1运入施工场地的材料、工程设备，包括备品备件、安装专用工器具与随机资料，必须专用于合同工程，未经监理人同意，承包人不得运出施工场地或挪作他用。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08" w:name="_Toc152042433"/>
      <w:r/>
      <w:bookmarkStart w:id="509" w:name="_Toc179632673"/>
      <w:r/>
      <w:bookmarkStart w:id="510" w:name="_Toc152045655"/>
      <w:r/>
      <w:bookmarkStart w:id="511" w:name="_Toc144974623"/>
      <w:r/>
      <w:bookmarkStart w:id="512" w:name="_Toc102121980"/>
      <w:r>
        <w:rPr>
          <w:rFonts w:hint="eastAsia" w:ascii="宋体" w:hAnsi="宋体" w:eastAsia="宋体" w:cs="宋体"/>
          <w:sz w:val="28"/>
          <w:szCs w:val="28"/>
          <w:highlight w:val="none"/>
          <w:lang w:val="en-US" w:eastAsia="zh-CN" w:bidi="ar-SA"/>
        </w:rPr>
        <w:t xml:space="preserve">5.4 禁止使用不合格的材料和工程设备</w:t>
      </w:r>
      <w:bookmarkEnd w:id="508"/>
      <w:r/>
      <w:bookmarkEnd w:id="509"/>
      <w:r/>
      <w:bookmarkEnd w:id="510"/>
      <w:r/>
      <w:bookmarkEnd w:id="511"/>
      <w:r/>
      <w:bookmarkEnd w:id="51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5.4.1 监理人有权拒绝承包人提供的不合格材料或工程设备，并要求承包人立即进行更换。监理人应在更换后再次进行检查和检验，由此增加的费用和（或）工期延误由承包人承担。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5.4.2 监理人发现承包人使用了不合格的材料和工程设备，应即时发出指示要求承包人立即改正，并禁止在工程中继续使用不合格的材料和工程设备。</w:t>
      </w:r>
      <w:r>
        <w:rPr>
          <w:rFonts w:hint="eastAsia" w:ascii="宋体" w:hAnsi="宋体" w:eastAsia="宋体" w:cs="宋体"/>
          <w:sz w:val="24"/>
          <w:szCs w:val="20"/>
          <w:highlight w:val="none"/>
        </w:rPr>
      </w:r>
      <w:r/>
    </w:p>
    <w:p>
      <w:pPr>
        <w:pStyle w:val="1159"/>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5.4.3 发包人提供的材料或工程设备不符合合同要求的，承包人有权拒绝，并可要求发包人更换，由此增加的费用和（或）工期延误由发包人承担。</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End w:id="501"/>
      <w:r/>
      <w:bookmarkStart w:id="513" w:name="_Toc222029507"/>
      <w:r/>
      <w:bookmarkStart w:id="514" w:name="_Toc222033858"/>
      <w:r/>
      <w:bookmarkStart w:id="515" w:name="_Toc222031009"/>
      <w:r/>
      <w:bookmarkStart w:id="516" w:name="_Toc229408502"/>
      <w:r/>
      <w:bookmarkStart w:id="517" w:name="_Toc221950785"/>
      <w:r/>
      <w:bookmarkStart w:id="518" w:name="_Toc222032676"/>
      <w:r/>
      <w:bookmarkStart w:id="519" w:name="_Toc102121981"/>
      <w:r/>
      <w:bookmarkStart w:id="520" w:name="_Toc229305367"/>
      <w:r>
        <w:rPr>
          <w:rFonts w:hint="eastAsia" w:ascii="宋体" w:hAnsi="宋体" w:eastAsia="宋体" w:cs="宋体"/>
          <w:sz w:val="30"/>
          <w:szCs w:val="30"/>
          <w:highlight w:val="none"/>
          <w:lang w:val="en-US" w:eastAsia="zh-CN" w:bidi="ar-SA"/>
        </w:rPr>
        <w:t xml:space="preserve">6. 施工设备和临时设施</w:t>
      </w:r>
      <w:bookmarkEnd w:id="513"/>
      <w:r/>
      <w:bookmarkEnd w:id="514"/>
      <w:r/>
      <w:bookmarkEnd w:id="515"/>
      <w:r/>
      <w:bookmarkEnd w:id="516"/>
      <w:r/>
      <w:bookmarkEnd w:id="517"/>
      <w:r/>
      <w:bookmarkEnd w:id="518"/>
      <w:r/>
      <w:bookmarkEnd w:id="519"/>
      <w:r/>
      <w:bookmarkEnd w:id="520"/>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21" w:name="_Toc229305368"/>
      <w:r/>
      <w:bookmarkStart w:id="522" w:name="_Toc222032677"/>
      <w:r/>
      <w:bookmarkStart w:id="523" w:name="_Toc222033859"/>
      <w:r/>
      <w:bookmarkStart w:id="524" w:name="_Toc222031010"/>
      <w:r/>
      <w:bookmarkStart w:id="525" w:name="_Toc221950795"/>
      <w:r/>
      <w:bookmarkStart w:id="526" w:name="_Toc222029508"/>
      <w:r/>
      <w:bookmarkStart w:id="527" w:name="_Toc152045657"/>
      <w:r/>
      <w:bookmarkStart w:id="528" w:name="_Toc152042435"/>
      <w:r/>
      <w:bookmarkStart w:id="529" w:name="_Toc144974625"/>
      <w:r/>
      <w:bookmarkStart w:id="530" w:name="_Toc179632675"/>
      <w:r/>
      <w:bookmarkStart w:id="531" w:name="_Toc102121982"/>
      <w:r/>
      <w:bookmarkStart w:id="532" w:name="_Toc229408503"/>
      <w:r>
        <w:rPr>
          <w:rFonts w:hint="eastAsia" w:ascii="宋体" w:hAnsi="宋体" w:eastAsia="宋体" w:cs="宋体"/>
          <w:sz w:val="28"/>
          <w:szCs w:val="28"/>
          <w:highlight w:val="none"/>
          <w:lang w:val="en-US" w:eastAsia="zh-CN" w:bidi="ar-SA"/>
        </w:rPr>
        <w:t xml:space="preserve">6.1 承包人提供的施工设备和临时设施</w:t>
      </w:r>
      <w:bookmarkEnd w:id="527"/>
      <w:r/>
      <w:bookmarkEnd w:id="528"/>
      <w:r/>
      <w:bookmarkEnd w:id="529"/>
      <w:r/>
      <w:bookmarkEnd w:id="530"/>
      <w:r/>
      <w:bookmarkEnd w:id="53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6.1.2除专用合同条款另有约定外，承包人应自行承担修建临时设施的费用，需要临时占地的，应由发包人办理申请手续并承担相应费用。</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33" w:name="_Toc102121983"/>
      <w:r/>
      <w:bookmarkStart w:id="534" w:name="_Toc152042436"/>
      <w:r/>
      <w:bookmarkStart w:id="535" w:name="_Toc144974626"/>
      <w:r/>
      <w:bookmarkStart w:id="536" w:name="_Toc179632676"/>
      <w:r/>
      <w:bookmarkStart w:id="537" w:name="_Toc152045658"/>
      <w:r>
        <w:rPr>
          <w:rFonts w:hint="eastAsia" w:ascii="宋体" w:hAnsi="宋体" w:eastAsia="宋体" w:cs="宋体"/>
          <w:sz w:val="28"/>
          <w:szCs w:val="28"/>
          <w:highlight w:val="none"/>
          <w:lang w:val="en-US" w:eastAsia="zh-CN" w:bidi="ar-SA"/>
        </w:rPr>
        <w:t xml:space="preserve">6.2 发包人提供的施工设备和临时设施</w:t>
      </w:r>
      <w:bookmarkEnd w:id="533"/>
      <w:r/>
      <w:bookmarkEnd w:id="534"/>
      <w:r/>
      <w:bookmarkEnd w:id="535"/>
      <w:r/>
      <w:bookmarkEnd w:id="536"/>
      <w:r/>
      <w:bookmarkEnd w:id="53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发包人提供的施工设备或临时设施在专用合同条款中约定。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38" w:name="_Toc152042437"/>
      <w:r/>
      <w:bookmarkStart w:id="539" w:name="_Toc152045659"/>
      <w:r/>
      <w:bookmarkStart w:id="540" w:name="_Toc144974627"/>
      <w:r/>
      <w:bookmarkStart w:id="541" w:name="_Toc179632677"/>
      <w:r/>
      <w:bookmarkStart w:id="542" w:name="_Toc102121984"/>
      <w:r>
        <w:rPr>
          <w:rFonts w:hint="eastAsia" w:ascii="宋体" w:hAnsi="宋体" w:eastAsia="宋体" w:cs="宋体"/>
          <w:sz w:val="28"/>
          <w:szCs w:val="28"/>
          <w:highlight w:val="none"/>
          <w:lang w:val="en-US" w:eastAsia="zh-CN" w:bidi="ar-SA"/>
        </w:rPr>
        <w:t xml:space="preserve">6.3 要求承包人增加或更换施工设备</w:t>
      </w:r>
      <w:bookmarkEnd w:id="538"/>
      <w:r/>
      <w:bookmarkEnd w:id="539"/>
      <w:r/>
      <w:bookmarkEnd w:id="540"/>
      <w:r/>
      <w:bookmarkEnd w:id="541"/>
      <w:r/>
      <w:bookmarkEnd w:id="54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43" w:name="_Toc102121985"/>
      <w:r/>
      <w:bookmarkStart w:id="544" w:name="_Toc179632678"/>
      <w:r/>
      <w:bookmarkStart w:id="545" w:name="_Toc152042438"/>
      <w:r/>
      <w:bookmarkStart w:id="546" w:name="_Toc152045660"/>
      <w:r/>
      <w:bookmarkStart w:id="547" w:name="_Toc144974628"/>
      <w:r>
        <w:rPr>
          <w:rFonts w:hint="eastAsia" w:ascii="宋体" w:hAnsi="宋体" w:eastAsia="宋体" w:cs="宋体"/>
          <w:sz w:val="28"/>
          <w:szCs w:val="28"/>
          <w:highlight w:val="none"/>
          <w:lang w:val="en-US" w:eastAsia="zh-CN" w:bidi="ar-SA"/>
        </w:rPr>
        <w:t xml:space="preserve">6.4 施工设备和临时设施专用于合同工程</w:t>
      </w:r>
      <w:bookmarkEnd w:id="543"/>
      <w:r/>
      <w:bookmarkEnd w:id="544"/>
      <w:r/>
      <w:bookmarkEnd w:id="545"/>
      <w:r/>
      <w:bookmarkEnd w:id="546"/>
      <w:r/>
      <w:bookmarkEnd w:id="54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6.4.2 经监理人同意，承包人可根据合同进度计划撤走闲置的施工设备。</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548" w:name="_Toc102121986"/>
      <w:r>
        <w:rPr>
          <w:rFonts w:hint="eastAsia" w:ascii="宋体" w:hAnsi="宋体" w:eastAsia="宋体" w:cs="宋体"/>
          <w:sz w:val="30"/>
          <w:szCs w:val="30"/>
          <w:highlight w:val="none"/>
          <w:lang w:val="en-US" w:eastAsia="zh-CN" w:bidi="ar-SA"/>
        </w:rPr>
        <w:t xml:space="preserve">7. 交通运输</w:t>
      </w:r>
      <w:bookmarkEnd w:id="521"/>
      <w:r/>
      <w:bookmarkEnd w:id="522"/>
      <w:r/>
      <w:bookmarkEnd w:id="523"/>
      <w:r/>
      <w:bookmarkEnd w:id="524"/>
      <w:r/>
      <w:bookmarkEnd w:id="525"/>
      <w:r/>
      <w:bookmarkEnd w:id="526"/>
      <w:r/>
      <w:bookmarkEnd w:id="532"/>
      <w:r/>
      <w:bookmarkEnd w:id="548"/>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49" w:name="_Toc102121987"/>
      <w:r>
        <w:rPr>
          <w:rFonts w:hint="eastAsia" w:ascii="宋体" w:hAnsi="宋体" w:eastAsia="宋体" w:cs="宋体"/>
          <w:sz w:val="28"/>
          <w:szCs w:val="28"/>
          <w:highlight w:val="none"/>
          <w:lang w:val="en-US" w:eastAsia="zh-CN" w:bidi="ar-SA"/>
        </w:rPr>
        <w:t xml:space="preserve">7.1道路通行权和场外设施</w:t>
      </w:r>
      <w:bookmarkEnd w:id="54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50" w:name="_Toc102121988"/>
      <w:r/>
      <w:bookmarkStart w:id="551" w:name="_Toc221950800"/>
      <w:r>
        <w:rPr>
          <w:rFonts w:hint="eastAsia" w:ascii="宋体" w:hAnsi="宋体" w:eastAsia="宋体" w:cs="宋体"/>
          <w:sz w:val="28"/>
          <w:szCs w:val="28"/>
          <w:highlight w:val="none"/>
          <w:lang w:val="en-US" w:eastAsia="zh-CN" w:bidi="ar-SA"/>
        </w:rPr>
        <w:t xml:space="preserve">7.2场内施工道路</w:t>
      </w:r>
      <w:bookmarkEnd w:id="55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bookmarkEnd w:id="551"/>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552" w:name="_Toc221950801"/>
      <w:r>
        <w:rPr>
          <w:rFonts w:hint="eastAsia" w:ascii="宋体" w:hAnsi="宋体" w:eastAsia="宋体" w:cs="宋体"/>
          <w:sz w:val="24"/>
          <w:szCs w:val="20"/>
          <w:highlight w:val="none"/>
        </w:rPr>
        <w:t xml:space="preserve">7.2.2  承包人修建的临时道路和交通设施,应免费提供发包人、监理人，以及与本合同有关的其他承包人使用。</w:t>
      </w:r>
      <w:bookmarkEnd w:id="552"/>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53" w:name="_Toc144974632"/>
      <w:r/>
      <w:bookmarkStart w:id="554" w:name="_Toc179632682"/>
      <w:r/>
      <w:bookmarkStart w:id="555" w:name="_Toc152042442"/>
      <w:r/>
      <w:bookmarkStart w:id="556" w:name="_Toc102121989"/>
      <w:r/>
      <w:bookmarkStart w:id="557" w:name="_Toc152045664"/>
      <w:r>
        <w:rPr>
          <w:rFonts w:hint="eastAsia" w:ascii="宋体" w:hAnsi="宋体" w:eastAsia="宋体" w:cs="宋体"/>
          <w:sz w:val="28"/>
          <w:szCs w:val="28"/>
          <w:highlight w:val="none"/>
          <w:lang w:val="en-US" w:eastAsia="zh-CN" w:bidi="ar-SA"/>
        </w:rPr>
        <w:t xml:space="preserve">7.3 场外交通</w:t>
      </w:r>
      <w:bookmarkEnd w:id="553"/>
      <w:r/>
      <w:bookmarkEnd w:id="554"/>
      <w:r/>
      <w:bookmarkEnd w:id="555"/>
      <w:r/>
      <w:bookmarkEnd w:id="556"/>
      <w:r/>
      <w:bookmarkEnd w:id="55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7.3.1 承包人车辆外出行驶所需的场外公共道路的通行费、养路费和税款等由承包人承担。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7.3.2 承包人应遵守有关交通法规，严格按照道路和桥梁的限制荷重安全行驶，并服从交通管理部门的检查和监督。</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58" w:name="_Toc152042443"/>
      <w:r/>
      <w:bookmarkStart w:id="559" w:name="_Toc152045665"/>
      <w:r/>
      <w:bookmarkStart w:id="560" w:name="_Toc144974633"/>
      <w:r/>
      <w:bookmarkStart w:id="561" w:name="_Toc179632683"/>
      <w:r/>
      <w:bookmarkStart w:id="562" w:name="_Toc102121990"/>
      <w:r>
        <w:rPr>
          <w:rFonts w:hint="eastAsia" w:ascii="宋体" w:hAnsi="宋体" w:eastAsia="宋体" w:cs="宋体"/>
          <w:sz w:val="28"/>
          <w:szCs w:val="28"/>
          <w:highlight w:val="none"/>
          <w:lang w:val="en-US" w:eastAsia="zh-CN" w:bidi="ar-SA"/>
        </w:rPr>
        <w:t xml:space="preserve">7.4 超大件和超重件的运输</w:t>
      </w:r>
      <w:bookmarkEnd w:id="558"/>
      <w:r/>
      <w:bookmarkEnd w:id="559"/>
      <w:r/>
      <w:bookmarkEnd w:id="560"/>
      <w:r/>
      <w:bookmarkEnd w:id="561"/>
      <w:r/>
      <w:bookmarkEnd w:id="56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63" w:name="_Toc152045666"/>
      <w:r/>
      <w:bookmarkStart w:id="564" w:name="_Toc144974634"/>
      <w:r/>
      <w:bookmarkStart w:id="565" w:name="_Toc179632684"/>
      <w:r/>
      <w:bookmarkStart w:id="566" w:name="_Toc152042444"/>
      <w:r/>
      <w:bookmarkStart w:id="567" w:name="_Toc102121991"/>
      <w:r>
        <w:rPr>
          <w:rFonts w:hint="eastAsia" w:ascii="宋体" w:hAnsi="宋体" w:eastAsia="宋体" w:cs="宋体"/>
          <w:sz w:val="28"/>
          <w:szCs w:val="28"/>
          <w:highlight w:val="none"/>
          <w:lang w:val="en-US" w:eastAsia="zh-CN" w:bidi="ar-SA"/>
        </w:rPr>
        <w:t xml:space="preserve">7.5 道路和桥梁的损坏责任</w:t>
      </w:r>
      <w:bookmarkEnd w:id="563"/>
      <w:r/>
      <w:bookmarkEnd w:id="564"/>
      <w:r/>
      <w:bookmarkEnd w:id="565"/>
      <w:r/>
      <w:bookmarkEnd w:id="566"/>
      <w:r/>
      <w:bookmarkEnd w:id="56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因承包人运输造成施工场地内外公共道路和桥梁损坏的，由承包人承担修复损坏的全部费用和可能引起的赔偿。</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68" w:name="_Toc144974635"/>
      <w:r/>
      <w:bookmarkStart w:id="569" w:name="_Toc152045667"/>
      <w:r/>
      <w:bookmarkStart w:id="570" w:name="_Toc179632685"/>
      <w:r/>
      <w:bookmarkStart w:id="571" w:name="_Toc152042445"/>
      <w:r/>
      <w:bookmarkStart w:id="572" w:name="_Toc102121992"/>
      <w:r>
        <w:rPr>
          <w:rFonts w:hint="eastAsia" w:ascii="宋体" w:hAnsi="宋体" w:eastAsia="宋体" w:cs="宋体"/>
          <w:sz w:val="28"/>
          <w:szCs w:val="28"/>
          <w:highlight w:val="none"/>
          <w:lang w:val="en-US" w:eastAsia="zh-CN" w:bidi="ar-SA"/>
        </w:rPr>
        <w:t xml:space="preserve">7.6 水路和航空运输</w:t>
      </w:r>
      <w:bookmarkEnd w:id="568"/>
      <w:r/>
      <w:bookmarkEnd w:id="569"/>
      <w:r/>
      <w:bookmarkEnd w:id="570"/>
      <w:r/>
      <w:bookmarkEnd w:id="571"/>
      <w:r/>
      <w:bookmarkEnd w:id="57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本条上述各款的内容适用于水路运输和航空运输，其中“道路”一词的涵义包括河道、航线、船闸、机场、码头、堤防以及水路或航空运输中其他相似结构物；“车辆”一词的涵义包括船舶和飞机等。 </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573" w:name="_Toc221950810"/>
      <w:r/>
      <w:bookmarkStart w:id="574" w:name="_Toc102121993"/>
      <w:r/>
      <w:bookmarkStart w:id="575" w:name="_Toc222031011"/>
      <w:r/>
      <w:bookmarkStart w:id="576" w:name="_Toc229408504"/>
      <w:r/>
      <w:bookmarkStart w:id="577" w:name="_Toc222032678"/>
      <w:r/>
      <w:bookmarkStart w:id="578" w:name="_Toc222029509"/>
      <w:r/>
      <w:bookmarkStart w:id="579" w:name="_Toc229305369"/>
      <w:r/>
      <w:bookmarkStart w:id="580" w:name="_Toc222033860"/>
      <w:r>
        <w:rPr>
          <w:rFonts w:hint="eastAsia" w:ascii="宋体" w:hAnsi="宋体" w:eastAsia="宋体" w:cs="宋体"/>
          <w:sz w:val="30"/>
          <w:szCs w:val="30"/>
          <w:highlight w:val="none"/>
          <w:lang w:val="en-US" w:eastAsia="zh-CN" w:bidi="ar-SA"/>
        </w:rPr>
        <w:t xml:space="preserve">8. 测量放线</w:t>
      </w:r>
      <w:bookmarkEnd w:id="573"/>
      <w:r/>
      <w:bookmarkEnd w:id="574"/>
      <w:r/>
      <w:bookmarkEnd w:id="575"/>
      <w:r/>
      <w:bookmarkEnd w:id="576"/>
      <w:r/>
      <w:bookmarkEnd w:id="577"/>
      <w:r/>
      <w:bookmarkEnd w:id="578"/>
      <w:r/>
      <w:bookmarkEnd w:id="579"/>
      <w:r/>
      <w:bookmarkEnd w:id="580"/>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81" w:name="_Toc102121994"/>
      <w:r/>
      <w:bookmarkStart w:id="582" w:name="_Toc221950814"/>
      <w:r>
        <w:rPr>
          <w:rFonts w:hint="eastAsia" w:ascii="宋体" w:hAnsi="宋体" w:eastAsia="宋体" w:cs="宋体"/>
          <w:sz w:val="28"/>
          <w:szCs w:val="28"/>
          <w:highlight w:val="none"/>
          <w:lang w:val="en-US" w:eastAsia="zh-CN" w:bidi="ar-SA"/>
        </w:rPr>
        <w:t xml:space="preserve">8.1施工控制网</w:t>
      </w:r>
      <w:bookmarkEnd w:id="58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8.1.1除专用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8.1.2承包人应负责管理施工控制网点。施工控制网点丢失或损坏的，承包人应及时修复。承包人应承担施工控制网点的管理与修复费用，并在工程竣工后将施工控制网点移交发包人。</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83" w:name="_Toc152042448"/>
      <w:r/>
      <w:bookmarkStart w:id="584" w:name="_Toc102121995"/>
      <w:r/>
      <w:bookmarkStart w:id="585" w:name="_Toc152045670"/>
      <w:r/>
      <w:bookmarkStart w:id="586" w:name="_Toc144974638"/>
      <w:r/>
      <w:bookmarkStart w:id="587" w:name="_Toc179632688"/>
      <w:r>
        <w:rPr>
          <w:rFonts w:hint="eastAsia" w:ascii="宋体" w:hAnsi="宋体" w:eastAsia="宋体" w:cs="宋体"/>
          <w:sz w:val="28"/>
          <w:szCs w:val="28"/>
          <w:highlight w:val="none"/>
          <w:lang w:val="en-US" w:eastAsia="zh-CN" w:bidi="ar-SA"/>
        </w:rPr>
        <w:t xml:space="preserve">8.2 施工测量</w:t>
      </w:r>
      <w:bookmarkEnd w:id="583"/>
      <w:r/>
      <w:bookmarkEnd w:id="584"/>
      <w:r/>
      <w:bookmarkEnd w:id="585"/>
      <w:r/>
      <w:bookmarkEnd w:id="586"/>
      <w:r/>
      <w:bookmarkEnd w:id="58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8.2.1承包人应负责施工过程中的全部施工测量放线工作，并配置合格的人员、仪器、设备和其他物品。</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8.2.2监理人可以指示承包人进行抽样复测，当复测中发现错误或出现超过合同约定的误差时，承包人应按监理人指示进行修正或补测，并承担相应的复测费用。</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88" w:name="_Toc152045671"/>
      <w:r/>
      <w:bookmarkStart w:id="589" w:name="_Toc102121996"/>
      <w:r/>
      <w:bookmarkStart w:id="590" w:name="_Toc144974639"/>
      <w:r/>
      <w:bookmarkStart w:id="591" w:name="_Toc179632689"/>
      <w:r/>
      <w:bookmarkStart w:id="592" w:name="_Toc152042449"/>
      <w:r>
        <w:rPr>
          <w:rFonts w:hint="eastAsia" w:ascii="宋体" w:hAnsi="宋体" w:eastAsia="宋体" w:cs="宋体"/>
          <w:sz w:val="28"/>
          <w:szCs w:val="28"/>
          <w:highlight w:val="none"/>
          <w:lang w:val="en-US" w:eastAsia="zh-CN" w:bidi="ar-SA"/>
        </w:rPr>
        <w:t xml:space="preserve">8.3 基准资料错误的责任</w:t>
      </w:r>
      <w:bookmarkEnd w:id="588"/>
      <w:r/>
      <w:bookmarkEnd w:id="589"/>
      <w:r/>
      <w:bookmarkEnd w:id="590"/>
      <w:r/>
      <w:bookmarkEnd w:id="591"/>
      <w:r/>
      <w:bookmarkEnd w:id="59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593" w:name="_Toc152042450"/>
      <w:r/>
      <w:bookmarkStart w:id="594" w:name="_Toc179632690"/>
      <w:r/>
      <w:bookmarkStart w:id="595" w:name="_Toc144974640"/>
      <w:r/>
      <w:bookmarkStart w:id="596" w:name="_Toc102121997"/>
      <w:r/>
      <w:bookmarkStart w:id="597" w:name="_Toc152045672"/>
      <w:r>
        <w:rPr>
          <w:rFonts w:hint="eastAsia" w:ascii="宋体" w:hAnsi="宋体" w:eastAsia="宋体" w:cs="宋体"/>
          <w:sz w:val="28"/>
          <w:szCs w:val="28"/>
          <w:highlight w:val="none"/>
          <w:lang w:val="en-US" w:eastAsia="zh-CN" w:bidi="ar-SA"/>
        </w:rPr>
        <w:t xml:space="preserve">8.4 监理人使用施工控制网</w:t>
      </w:r>
      <w:bookmarkEnd w:id="593"/>
      <w:r/>
      <w:bookmarkEnd w:id="594"/>
      <w:r/>
      <w:bookmarkEnd w:id="595"/>
      <w:r/>
      <w:bookmarkEnd w:id="596"/>
      <w:r/>
      <w:bookmarkEnd w:id="59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监理人需要使用施工控制网的，承包人应提供必要的协助，发包人不再为此支付费用。</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End w:id="582"/>
      <w:r/>
      <w:bookmarkStart w:id="598" w:name="_Toc102121998"/>
      <w:r/>
      <w:bookmarkStart w:id="599" w:name="_Toc221950821"/>
      <w:r>
        <w:rPr>
          <w:rFonts w:hint="eastAsia" w:ascii="宋体" w:hAnsi="宋体" w:eastAsia="宋体" w:cs="宋体"/>
          <w:sz w:val="28"/>
          <w:szCs w:val="28"/>
          <w:highlight w:val="none"/>
          <w:lang w:val="en-US" w:eastAsia="zh-CN" w:bidi="ar-SA"/>
        </w:rPr>
        <w:t xml:space="preserve">8.5补充地质勘探</w:t>
      </w:r>
      <w:bookmarkEnd w:id="598"/>
      <w:r/>
      <w:bookmarkEnd w:id="59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Start w:id="600" w:name="_Toc221950822"/>
      <w:r>
        <w:rPr>
          <w:rFonts w:hint="eastAsia" w:ascii="宋体" w:hAnsi="宋体" w:eastAsia="宋体" w:cs="宋体"/>
          <w:sz w:val="24"/>
          <w:szCs w:val="20"/>
          <w:highlight w:val="none"/>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所需进行的补充地质勘探，其费用由承包人承担。</w:t>
      </w:r>
      <w:bookmarkEnd w:id="600"/>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601" w:name="_Toc222032679"/>
      <w:r/>
      <w:bookmarkStart w:id="602" w:name="_Toc222033861"/>
      <w:r/>
      <w:bookmarkStart w:id="603" w:name="_Toc102121999"/>
      <w:r/>
      <w:bookmarkStart w:id="604" w:name="_Toc222031012"/>
      <w:r/>
      <w:bookmarkStart w:id="605" w:name="_Toc229305370"/>
      <w:r/>
      <w:bookmarkStart w:id="606" w:name="_Toc229408505"/>
      <w:r/>
      <w:bookmarkStart w:id="607" w:name="_Toc222029510"/>
      <w:r/>
      <w:bookmarkStart w:id="608" w:name="_Toc221950823"/>
      <w:r>
        <w:rPr>
          <w:rFonts w:hint="eastAsia" w:ascii="宋体" w:hAnsi="宋体" w:eastAsia="宋体" w:cs="宋体"/>
          <w:sz w:val="30"/>
          <w:szCs w:val="30"/>
          <w:highlight w:val="none"/>
          <w:lang w:val="en-US" w:eastAsia="zh-CN" w:bidi="ar-SA"/>
        </w:rPr>
        <w:t xml:space="preserve">9. 施工安全、治安保卫和环境保护</w:t>
      </w:r>
      <w:bookmarkEnd w:id="601"/>
      <w:r/>
      <w:bookmarkEnd w:id="602"/>
      <w:r/>
      <w:bookmarkEnd w:id="603"/>
      <w:r/>
      <w:bookmarkEnd w:id="604"/>
      <w:r/>
      <w:bookmarkEnd w:id="605"/>
      <w:r/>
      <w:bookmarkEnd w:id="606"/>
      <w:r/>
      <w:bookmarkEnd w:id="607"/>
      <w:r/>
      <w:bookmarkEnd w:id="608"/>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09" w:name="_Toc102122000"/>
      <w:r/>
      <w:bookmarkStart w:id="610" w:name="_Toc221950826"/>
      <w:r>
        <w:rPr>
          <w:rFonts w:hint="eastAsia" w:ascii="宋体" w:hAnsi="宋体" w:eastAsia="宋体" w:cs="宋体"/>
          <w:sz w:val="28"/>
          <w:szCs w:val="28"/>
          <w:highlight w:val="none"/>
          <w:lang w:val="en-US" w:eastAsia="zh-CN" w:bidi="ar-SA"/>
        </w:rPr>
        <w:t xml:space="preserve">9.1发包人的施工安全责任</w:t>
      </w:r>
      <w:bookmarkEnd w:id="60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End w:id="610"/>
      <w:r/>
      <w:bookmarkStart w:id="611" w:name="_Toc221950836"/>
      <w:r>
        <w:rPr>
          <w:rFonts w:hint="eastAsia" w:ascii="宋体" w:hAnsi="宋体" w:eastAsia="宋体" w:cs="宋体"/>
          <w:sz w:val="24"/>
          <w:szCs w:val="20"/>
          <w:highlight w:val="none"/>
        </w:rPr>
        <w:t xml:space="preserve">9.1.1 发包人应按合同约定履行安全职责，发包人委托监理人根据国家有关安全的法律、法规、强制性标准以及部门规章，对承包人的安全责任改选情况进行监督和检查。监理人的监督检查不减轻承包人应负的安全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9.1.2 发包人应对其现场机构雇佣的全部人员的工伤事故承担责任，但由于承包人原因造成发包人人员工伤的，应由承包人承担责任。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9.1.3 发包人应负责赔偿以下各种情况造成的第三者人身伤亡和财产损失：</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 工程或工程的任何部分对土地的占用所造成的第三者财产损失；</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 由于发包人原因在施工场地及其毗邻地带造成的第三者人身伤亡和财产损失。</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9.1.5发包人按照已标价工程量清单所列金额和合同约定的计量支付规定，支付安全作业环境及安全施工措施所需费用。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9.1.6发包人负责组织工程参建单位编制保证安全生产的措施方案。工程开工前，就落实安全生产的措施进行全面系统的布置，进一步明确承包人的安全生产责任。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9.1.7发包人负责在拆除工程和爆破工程施工14天前向有关部门或机构报送相关备案资料。</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12" w:name="_Toc102122001"/>
      <w:r>
        <w:rPr>
          <w:rFonts w:hint="eastAsia" w:ascii="宋体" w:hAnsi="宋体" w:eastAsia="宋体" w:cs="宋体"/>
          <w:sz w:val="28"/>
          <w:szCs w:val="28"/>
          <w:highlight w:val="none"/>
          <w:lang w:val="en-US" w:eastAsia="zh-CN" w:bidi="ar-SA"/>
        </w:rPr>
        <w:t xml:space="preserve">9.2承包人的施工安全责任</w:t>
      </w:r>
      <w:bookmarkEnd w:id="61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9.2.2 承包人应加强施工作业安全管理，特别应加强易燃、易爆材料、火工器材、有毒与腐蚀性材料和其他危险品的管理，以及对爆破作业和地下工程施工等危险作业的管理。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9.2.3 承包人应严格按照国家安全标准制定施工安全操作规程，配备必要的安全生产和劳动保护设施，加强对承包人人员的安全教育，并发放安全工作手册和劳动保护用具。</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9.2.6 承包人应对其履行合同所雇佣的全部人员，包括分包人人员的工伤事故承担责任，但由于发包人原因造成承包人人员工伤事故的，应由发包人承担责任。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9.2.7 由于承包人原因在施工场地内及其毗邻地带造成的第三者人员伤亡和财产损失，由承包人负责赔偿。</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9.2.8承包人已标价工程量清单应包含工程安全作业环境及安全施工措施所需费用。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9.2.10承包人应设立安全生产管理机构，施工现场应有专职安全生产管理人员。</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9.2.11承包人应负责对特种作业人员进行专门的安全作业培训，并保证特种作业人员持证上岗。</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9.2.12承包人应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9.2.13承包人在使用施工起重机构和整体提升脚手架、模板等自升式架设设施前，应组织有关单位进行验收。</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13" w:name="_Toc152045676"/>
      <w:r/>
      <w:bookmarkStart w:id="614" w:name="_Toc179632694"/>
      <w:r/>
      <w:bookmarkStart w:id="615" w:name="_Toc152042454"/>
      <w:r/>
      <w:bookmarkStart w:id="616" w:name="_Toc144974644"/>
      <w:r/>
      <w:bookmarkStart w:id="617" w:name="_Toc102122002"/>
      <w:r/>
      <w:bookmarkStart w:id="618" w:name="_Toc152042456"/>
      <w:r/>
      <w:bookmarkStart w:id="619" w:name="_Toc152045678"/>
      <w:r/>
      <w:bookmarkStart w:id="620" w:name="_Toc179632696"/>
      <w:r/>
      <w:bookmarkStart w:id="621" w:name="_Toc144974646"/>
      <w:r>
        <w:rPr>
          <w:rFonts w:hint="eastAsia" w:ascii="宋体" w:hAnsi="宋体" w:eastAsia="宋体" w:cs="宋体"/>
          <w:sz w:val="28"/>
          <w:szCs w:val="28"/>
          <w:highlight w:val="none"/>
          <w:lang w:val="en-US" w:eastAsia="zh-CN" w:bidi="ar-SA"/>
        </w:rPr>
        <w:t xml:space="preserve">9.3 治安保卫</w:t>
      </w:r>
      <w:bookmarkEnd w:id="613"/>
      <w:r/>
      <w:bookmarkEnd w:id="614"/>
      <w:r/>
      <w:bookmarkEnd w:id="615"/>
      <w:r/>
      <w:bookmarkEnd w:id="616"/>
      <w:r/>
      <w:bookmarkEnd w:id="61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9.3.1 除合同另有约定外，发包人应与当地公安部门协商，在现场建立治安管理机构或联防组织，统一管理施工场地的治安保卫事项，履行合同工程的治安保卫职责。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9.3.2 发包人和承包人除应协助现场治安管理机构或联防组织维护施工场地的社会治安外，还应做好包括生活区在内的各自管辖区的治安保卫工作。</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22" w:name="_Toc144974645"/>
      <w:r/>
      <w:bookmarkStart w:id="623" w:name="_Toc152042455"/>
      <w:r/>
      <w:bookmarkStart w:id="624" w:name="_Toc152045677"/>
      <w:r/>
      <w:bookmarkStart w:id="625" w:name="_Toc102122003"/>
      <w:r/>
      <w:bookmarkStart w:id="626" w:name="_Toc179632695"/>
      <w:r>
        <w:rPr>
          <w:rFonts w:hint="eastAsia" w:ascii="宋体" w:hAnsi="宋体" w:eastAsia="宋体" w:cs="宋体"/>
          <w:sz w:val="28"/>
          <w:szCs w:val="28"/>
          <w:highlight w:val="none"/>
          <w:lang w:val="en-US" w:eastAsia="zh-CN" w:bidi="ar-SA"/>
        </w:rPr>
        <w:t xml:space="preserve">9.4 环境保护</w:t>
      </w:r>
      <w:bookmarkEnd w:id="622"/>
      <w:r/>
      <w:bookmarkEnd w:id="623"/>
      <w:r/>
      <w:bookmarkEnd w:id="624"/>
      <w:r/>
      <w:bookmarkEnd w:id="625"/>
      <w:r/>
      <w:bookmarkEnd w:id="626"/>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9.4.1 承包人在施工过程中，应遵守有关环境保护的法律，履行合同约定的环境保护义务，并对违反法律和合同约定义务所造成的环境破坏、人身伤害和财产损失负责。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9.4.2 承包人应按合同约定的环保工作内容，编制施工环保措施计划，报送监理人审批。</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9.4.4 承包人应按合同约定采取有效措施，对施工开挖的边坡及时进行支护,维护排水设施，并进行水土保护，避免因施工造成的地质灾害。</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9.4.5 承包人应按国家饮用水管理标准定期对饮用水源进行监测，防止施工活动污染饮用水源。</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9.4.6 承包人应按合同约定，加强对噪声、粉尘、废气、废水和废油的控制，努力降低噪声，控制粉尘和废气浓度，做好废水和废油的治理和排放。</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End w:id="618"/>
      <w:r/>
      <w:bookmarkEnd w:id="619"/>
      <w:r/>
      <w:bookmarkEnd w:id="620"/>
      <w:r/>
      <w:bookmarkEnd w:id="621"/>
      <w:r/>
      <w:bookmarkStart w:id="627" w:name="_Toc102122004"/>
      <w:r>
        <w:rPr>
          <w:rFonts w:hint="eastAsia" w:ascii="宋体" w:hAnsi="宋体" w:eastAsia="宋体" w:cs="宋体"/>
          <w:sz w:val="28"/>
          <w:szCs w:val="28"/>
          <w:highlight w:val="none"/>
          <w:lang w:val="en-US" w:eastAsia="zh-CN" w:bidi="ar-SA"/>
        </w:rPr>
        <w:t xml:space="preserve">9.5事故处理</w:t>
      </w:r>
      <w:bookmarkEnd w:id="62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9.5.1发包人负责组织制定本建设项目的质量与安全事故应急预案，建立质量与安全事故应急处置指挥部。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9.5.2承包人应对易发生质量和安全事故的部位、环节的进行监控，配备救援器材、设备并定期组织演练。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9.5.3工程开工前，承包人应根据本工程特点制定施工现场施工质量与安全事故应急预案，并报发包人备案。</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9.5.4施工过程中发生事故时，发包人、承包人应立即启动应急预案。</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9.5.5事故调查处理由发包人按相关规定履行手续，承包人应配合。</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28" w:name="_Toc102122005"/>
      <w:r>
        <w:rPr>
          <w:rFonts w:hint="eastAsia" w:ascii="宋体" w:hAnsi="宋体" w:eastAsia="宋体" w:cs="宋体"/>
          <w:sz w:val="28"/>
          <w:szCs w:val="28"/>
          <w:highlight w:val="none"/>
          <w:lang w:val="en-US" w:eastAsia="zh-CN" w:bidi="ar-SA"/>
        </w:rPr>
        <w:t xml:space="preserve">9.6 水土保持</w:t>
      </w:r>
      <w:bookmarkEnd w:id="611"/>
      <w:r/>
      <w:bookmarkEnd w:id="62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Start w:id="629" w:name="_Toc221950837"/>
      <w:r>
        <w:rPr>
          <w:rFonts w:hint="eastAsia" w:ascii="宋体" w:hAnsi="宋体" w:eastAsia="宋体" w:cs="宋体"/>
          <w:sz w:val="24"/>
          <w:szCs w:val="20"/>
          <w:highlight w:val="none"/>
        </w:rPr>
        <w:t xml:space="preserve">9.6.1 发包人应及时向承包人提供水土保持方案。</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9.6.2承包人在施工过程中，应遵守有关水土保持的法律，履行合同约定的水土保持义务，并对其违反法律和合同约定义务所造成的水土流失灾害、人身伤害和财产损失负责。</w:t>
      </w:r>
      <w:bookmarkEnd w:id="629"/>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630" w:name="_Toc221950839"/>
      <w:r>
        <w:rPr>
          <w:rFonts w:hint="eastAsia" w:ascii="宋体" w:hAnsi="宋体" w:eastAsia="宋体" w:cs="宋体"/>
          <w:sz w:val="24"/>
          <w:szCs w:val="20"/>
          <w:highlight w:val="none"/>
        </w:rPr>
        <w:t xml:space="preserve">9.6.3 承包人的水土保持措施计划，应满足技术标准和要求（合同技术条款）约定的要求</w:t>
      </w:r>
      <w:bookmarkEnd w:id="630"/>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31" w:name="_Toc102122006"/>
      <w:r>
        <w:rPr>
          <w:rFonts w:hint="eastAsia" w:ascii="宋体" w:hAnsi="宋体" w:eastAsia="宋体" w:cs="宋体"/>
          <w:sz w:val="28"/>
          <w:szCs w:val="28"/>
          <w:highlight w:val="none"/>
          <w:lang w:val="en-US" w:eastAsia="zh-CN" w:bidi="ar-SA"/>
        </w:rPr>
        <w:t xml:space="preserve">9.7文明工地</w:t>
      </w:r>
      <w:bookmarkEnd w:id="63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9.7.1发包人应按专用合同条款的约定，负责建立创建文明建设工地的组织机构，制定创建文明建设工地的规划和办法。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9.7.2承包人应按创建文明建设工地的规划和办法，履行职责，承担相应责任。所需费用应含在已标价工程量清单中。</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32" w:name="_Toc102122007"/>
      <w:r>
        <w:rPr>
          <w:rFonts w:hint="eastAsia" w:ascii="宋体" w:hAnsi="宋体" w:eastAsia="宋体" w:cs="宋体"/>
          <w:sz w:val="28"/>
          <w:szCs w:val="28"/>
          <w:highlight w:val="none"/>
          <w:lang w:val="en-US" w:eastAsia="zh-CN" w:bidi="ar-SA"/>
        </w:rPr>
        <w:t xml:space="preserve">9.8防汛度汛</w:t>
      </w:r>
      <w:bookmarkEnd w:id="63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9.8.1发包人负责组织工程参建单位编制本工程的度汛方案和措施。</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9.8.2承包人应根据发包人编制的本工程度汛方案和措施，制定相应的度汛方案，报发包人批准后实施。</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633" w:name="_Toc222032680"/>
      <w:r/>
      <w:bookmarkStart w:id="634" w:name="_Toc222033862"/>
      <w:r/>
      <w:bookmarkStart w:id="635" w:name="_Toc229305371"/>
      <w:r/>
      <w:bookmarkStart w:id="636" w:name="_Toc222029511"/>
      <w:r/>
      <w:bookmarkStart w:id="637" w:name="_Toc222031013"/>
      <w:r/>
      <w:bookmarkStart w:id="638" w:name="_Toc221950840"/>
      <w:r/>
      <w:bookmarkStart w:id="639" w:name="_Toc102122008"/>
      <w:r/>
      <w:bookmarkStart w:id="640" w:name="_Toc229408506"/>
      <w:r>
        <w:rPr>
          <w:rFonts w:hint="eastAsia" w:ascii="宋体" w:hAnsi="宋体" w:eastAsia="宋体" w:cs="宋体"/>
          <w:sz w:val="30"/>
          <w:szCs w:val="30"/>
          <w:highlight w:val="none"/>
          <w:lang w:val="en-US" w:eastAsia="zh-CN" w:bidi="ar-SA"/>
        </w:rPr>
        <w:t xml:space="preserve">10  进度计划</w:t>
      </w:r>
      <w:bookmarkEnd w:id="633"/>
      <w:r/>
      <w:bookmarkEnd w:id="634"/>
      <w:r/>
      <w:bookmarkEnd w:id="635"/>
      <w:r/>
      <w:bookmarkEnd w:id="636"/>
      <w:r/>
      <w:bookmarkEnd w:id="637"/>
      <w:r/>
      <w:bookmarkEnd w:id="638"/>
      <w:r/>
      <w:bookmarkEnd w:id="639"/>
      <w:r/>
      <w:bookmarkEnd w:id="640"/>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41" w:name="_Toc102122009"/>
      <w:r/>
      <w:bookmarkStart w:id="642" w:name="_Toc221950843"/>
      <w:r>
        <w:rPr>
          <w:rFonts w:hint="eastAsia" w:ascii="宋体" w:hAnsi="宋体" w:eastAsia="宋体" w:cs="宋体"/>
          <w:sz w:val="28"/>
          <w:szCs w:val="28"/>
          <w:highlight w:val="none"/>
          <w:lang w:val="en-US" w:eastAsia="zh-CN" w:bidi="ar-SA"/>
        </w:rPr>
        <w:t xml:space="preserve">10.1合同进度计划</w:t>
      </w:r>
      <w:bookmarkEnd w:id="64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End w:id="642"/>
      <w:r/>
      <w:bookmarkStart w:id="643" w:name="_Toc221950845"/>
      <w:r>
        <w:rPr>
          <w:rFonts w:hint="eastAsia" w:ascii="宋体" w:hAnsi="宋体" w:eastAsia="宋体" w:cs="宋体"/>
          <w:sz w:val="24"/>
          <w:szCs w:val="20"/>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44" w:name="_Toc102122010"/>
      <w:r>
        <w:rPr>
          <w:rFonts w:hint="eastAsia" w:ascii="宋体" w:hAnsi="宋体" w:eastAsia="宋体" w:cs="宋体"/>
          <w:sz w:val="28"/>
          <w:szCs w:val="28"/>
          <w:highlight w:val="none"/>
          <w:lang w:val="en-US" w:eastAsia="zh-CN" w:bidi="ar-SA"/>
        </w:rPr>
        <w:t xml:space="preserve">10.2合同进度计划的修订</w:t>
      </w:r>
      <w:bookmarkEnd w:id="644"/>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不论何种原因造成施工进度计划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bookmarkEnd w:id="643"/>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45" w:name="_Toc221950846"/>
      <w:r/>
      <w:bookmarkStart w:id="646" w:name="_Toc102122011"/>
      <w:r>
        <w:rPr>
          <w:rFonts w:hint="eastAsia" w:ascii="宋体" w:hAnsi="宋体" w:eastAsia="宋体" w:cs="宋体"/>
          <w:sz w:val="28"/>
          <w:szCs w:val="28"/>
          <w:highlight w:val="none"/>
          <w:lang w:val="en-US" w:eastAsia="zh-CN" w:bidi="ar-SA"/>
        </w:rPr>
        <w:t xml:space="preserve">10.3  单位工程进度计划</w:t>
      </w:r>
      <w:bookmarkEnd w:id="645"/>
      <w:r/>
      <w:bookmarkEnd w:id="646"/>
      <w:r>
        <w:rPr>
          <w:rFonts w:hint="eastAsia" w:ascii="宋体" w:hAnsi="宋体" w:eastAsia="宋体" w:cs="宋体"/>
          <w:sz w:val="28"/>
          <w:szCs w:val="28"/>
          <w:highlight w:val="none"/>
          <w:lang w:val="en-US" w:eastAsia="zh-CN" w:bidi="ar-SA"/>
        </w:rPr>
      </w:r>
      <w:r/>
    </w:p>
    <w:p>
      <w:pPr>
        <w:pStyle w:val="1159"/>
        <w:ind w:right="248" w:firstLine="480"/>
        <w:spacing w:line="360" w:lineRule="auto"/>
        <w:rPr>
          <w:rFonts w:hint="eastAsia" w:ascii="宋体" w:hAnsi="宋体" w:eastAsia="宋体" w:cs="宋体"/>
          <w:sz w:val="24"/>
          <w:szCs w:val="20"/>
          <w:highlight w:val="none"/>
        </w:rPr>
      </w:pPr>
      <w:r/>
      <w:bookmarkStart w:id="647" w:name="_Toc221950847"/>
      <w:r>
        <w:rPr>
          <w:rFonts w:hint="eastAsia" w:ascii="宋体" w:hAnsi="宋体" w:eastAsia="宋体" w:cs="宋体"/>
          <w:sz w:val="24"/>
          <w:szCs w:val="20"/>
          <w:highlight w:val="none"/>
        </w:rPr>
        <w:t xml:space="preserve">监理人认为有必要时，承包人应按监理人指示的内容和期限，并根据合同进度计划的进度控制要求，编制单位工程进度计划，提交监理人审批。</w:t>
      </w:r>
      <w:bookmarkEnd w:id="647"/>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48" w:name="_Toc102122012"/>
      <w:r/>
      <w:bookmarkStart w:id="649" w:name="_Toc221950848"/>
      <w:r>
        <w:rPr>
          <w:rFonts w:hint="eastAsia" w:ascii="宋体" w:hAnsi="宋体" w:eastAsia="宋体" w:cs="宋体"/>
          <w:sz w:val="28"/>
          <w:szCs w:val="28"/>
          <w:highlight w:val="none"/>
          <w:lang w:val="en-US" w:eastAsia="zh-CN" w:bidi="ar-SA"/>
        </w:rPr>
        <w:t xml:space="preserve">10.4提交资金流估算表</w:t>
      </w:r>
      <w:bookmarkEnd w:id="648"/>
      <w:r/>
      <w:bookmarkEnd w:id="649"/>
      <w:r>
        <w:rPr>
          <w:rFonts w:hint="eastAsia" w:ascii="宋体" w:hAnsi="宋体" w:eastAsia="宋体" w:cs="宋体"/>
          <w:sz w:val="28"/>
          <w:szCs w:val="28"/>
          <w:highlight w:val="none"/>
          <w:lang w:val="en-US" w:eastAsia="zh-CN" w:bidi="ar-SA"/>
        </w:rPr>
      </w:r>
      <w:r/>
    </w:p>
    <w:p>
      <w:pPr>
        <w:pStyle w:val="1159"/>
        <w:ind w:right="248" w:firstLine="480"/>
        <w:spacing w:line="360" w:lineRule="auto"/>
        <w:rPr>
          <w:rFonts w:hint="eastAsia" w:ascii="宋体" w:hAnsi="宋体" w:eastAsia="宋体" w:cs="宋体"/>
          <w:sz w:val="24"/>
          <w:szCs w:val="20"/>
          <w:highlight w:val="none"/>
        </w:rPr>
      </w:pPr>
      <w:r/>
      <w:bookmarkStart w:id="650" w:name="_Toc221950849"/>
      <w:r>
        <w:rPr>
          <w:rFonts w:hint="eastAsia" w:ascii="宋体" w:hAnsi="宋体" w:eastAsia="宋体" w:cs="宋体"/>
          <w:sz w:val="24"/>
          <w:szCs w:val="20"/>
          <w:highlight w:val="none"/>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650"/>
      <w:r>
        <w:rPr>
          <w:rFonts w:hint="eastAsia" w:ascii="宋体" w:hAnsi="宋体" w:eastAsia="宋体" w:cs="宋体"/>
          <w:sz w:val="24"/>
          <w:szCs w:val="20"/>
          <w:highlight w:val="none"/>
        </w:rPr>
      </w:r>
      <w:r/>
    </w:p>
    <w:p>
      <w:pPr>
        <w:pStyle w:val="1159"/>
        <w:ind w:right="248"/>
        <w:spacing w:line="360" w:lineRule="auto"/>
        <w:rPr>
          <w:rFonts w:hint="eastAsia" w:ascii="宋体" w:hAnsi="宋体" w:eastAsia="宋体" w:cs="宋体"/>
          <w:szCs w:val="21"/>
          <w:highlight w:val="none"/>
        </w:rPr>
      </w:pPr>
      <w:r/>
      <w:bookmarkStart w:id="651" w:name="_Toc221950850"/>
      <w:r>
        <w:rPr>
          <w:rFonts w:hint="eastAsia" w:ascii="宋体" w:hAnsi="宋体" w:eastAsia="宋体" w:cs="宋体"/>
          <w:b/>
          <w:sz w:val="24"/>
          <w:szCs w:val="20"/>
          <w:highlight w:val="none"/>
        </w:rPr>
        <w:t xml:space="preserve">资金流估算表</w:t>
      </w:r>
      <w:r>
        <w:rPr>
          <w:rFonts w:hint="eastAsia" w:ascii="宋体" w:hAnsi="宋体" w:eastAsia="宋体" w:cs="宋体"/>
          <w:szCs w:val="21"/>
          <w:highlight w:val="none"/>
        </w:rPr>
        <w:t xml:space="preserve">(参考格式)          金额单位</w:t>
      </w:r>
      <w:bookmarkEnd w:id="651"/>
      <w:r>
        <w:rPr>
          <w:rFonts w:hint="eastAsia" w:ascii="宋体" w:hAnsi="宋体" w:eastAsia="宋体" w:cs="宋体"/>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403"/>
        <w:gridCol w:w="992"/>
        <w:gridCol w:w="1276"/>
        <w:gridCol w:w="992"/>
        <w:gridCol w:w="993"/>
        <w:gridCol w:w="992"/>
        <w:gridCol w:w="766"/>
        <w:gridCol w:w="1050"/>
        <w:gridCol w:w="1155"/>
      </w:tblGrid>
      <w:tr>
        <w:trPr/>
        <w:tc>
          <w:tcPr>
            <w:tcW w:w="414" w:type="dxa"/>
            <w:vAlign w:val="center"/>
            <w:textDirection w:val="lrTb"/>
            <w:noWrap/>
          </w:tcPr>
          <w:p>
            <w:pPr>
              <w:pStyle w:val="1159"/>
              <w:ind w:right="248"/>
              <w:jc w:val="center"/>
              <w:spacing w:line="360" w:lineRule="auto"/>
              <w:rPr>
                <w:rFonts w:hint="eastAsia" w:ascii="宋体" w:hAnsi="宋体" w:eastAsia="宋体" w:cs="宋体"/>
                <w:sz w:val="15"/>
                <w:szCs w:val="15"/>
                <w:highlight w:val="none"/>
              </w:rPr>
            </w:pPr>
            <w:r/>
            <w:bookmarkStart w:id="652" w:name="_Toc221950851"/>
            <w:r>
              <w:rPr>
                <w:rFonts w:hint="eastAsia" w:ascii="宋体" w:hAnsi="宋体" w:eastAsia="宋体" w:cs="宋体"/>
                <w:sz w:val="15"/>
                <w:szCs w:val="15"/>
                <w:highlight w:val="none"/>
              </w:rPr>
              <w:t xml:space="preserve">年</w:t>
            </w:r>
            <w:bookmarkEnd w:id="652"/>
            <w:r>
              <w:rPr>
                <w:rFonts w:hint="eastAsia" w:ascii="宋体" w:hAnsi="宋体" w:eastAsia="宋体" w:cs="宋体"/>
                <w:sz w:val="15"/>
                <w:szCs w:val="15"/>
                <w:highlight w:val="none"/>
              </w:rPr>
            </w:r>
            <w:r/>
          </w:p>
        </w:tc>
        <w:tc>
          <w:tcPr>
            <w:tcW w:w="403" w:type="dxa"/>
            <w:vAlign w:val="center"/>
            <w:textDirection w:val="lrTb"/>
            <w:noWrap/>
          </w:tcPr>
          <w:p>
            <w:pPr>
              <w:pStyle w:val="1159"/>
              <w:ind w:right="248"/>
              <w:jc w:val="center"/>
              <w:spacing w:line="360" w:lineRule="auto"/>
              <w:rPr>
                <w:rFonts w:hint="eastAsia" w:ascii="宋体" w:hAnsi="宋体" w:eastAsia="宋体" w:cs="宋体"/>
                <w:sz w:val="15"/>
                <w:szCs w:val="15"/>
                <w:highlight w:val="none"/>
              </w:rPr>
            </w:pPr>
            <w:r/>
            <w:bookmarkStart w:id="653" w:name="_Toc221950852"/>
            <w:r>
              <w:rPr>
                <w:rFonts w:hint="eastAsia" w:ascii="宋体" w:hAnsi="宋体" w:eastAsia="宋体" w:cs="宋体"/>
                <w:sz w:val="15"/>
                <w:szCs w:val="15"/>
                <w:highlight w:val="none"/>
              </w:rPr>
              <w:t xml:space="preserve">月</w:t>
            </w:r>
            <w:bookmarkEnd w:id="653"/>
            <w:r>
              <w:rPr>
                <w:rFonts w:hint="eastAsia" w:ascii="宋体" w:hAnsi="宋体" w:eastAsia="宋体" w:cs="宋体"/>
                <w:sz w:val="15"/>
                <w:szCs w:val="15"/>
                <w:highlight w:val="none"/>
              </w:rPr>
            </w:r>
            <w:r/>
          </w:p>
        </w:tc>
        <w:tc>
          <w:tcPr>
            <w:tcW w:w="992" w:type="dxa"/>
            <w:vAlign w:val="center"/>
            <w:textDirection w:val="lrTb"/>
            <w:noWrap/>
          </w:tcPr>
          <w:p>
            <w:pPr>
              <w:pStyle w:val="1159"/>
              <w:ind w:right="7"/>
              <w:jc w:val="center"/>
              <w:spacing w:line="360" w:lineRule="auto"/>
              <w:rPr>
                <w:rFonts w:hint="eastAsia" w:ascii="宋体" w:hAnsi="宋体" w:eastAsia="宋体" w:cs="宋体"/>
                <w:sz w:val="15"/>
                <w:szCs w:val="15"/>
                <w:highlight w:val="none"/>
              </w:rPr>
            </w:pPr>
            <w:r/>
            <w:bookmarkStart w:id="654" w:name="_Toc221950853"/>
            <w:r>
              <w:rPr>
                <w:rFonts w:hint="eastAsia" w:ascii="宋体" w:hAnsi="宋体" w:eastAsia="宋体" w:cs="宋体"/>
                <w:sz w:val="15"/>
                <w:szCs w:val="15"/>
                <w:highlight w:val="none"/>
              </w:rPr>
              <w:t xml:space="preserve">工程</w:t>
            </w:r>
            <w:bookmarkEnd w:id="654"/>
            <w:r/>
            <w:bookmarkStart w:id="655" w:name="_Toc221950854"/>
            <w:r>
              <w:rPr>
                <w:rFonts w:hint="eastAsia" w:ascii="宋体" w:hAnsi="宋体" w:eastAsia="宋体" w:cs="宋体"/>
                <w:sz w:val="15"/>
                <w:szCs w:val="15"/>
                <w:highlight w:val="none"/>
              </w:rPr>
              <w:t xml:space="preserve">预付款</w:t>
            </w:r>
            <w:bookmarkEnd w:id="655"/>
            <w:r>
              <w:rPr>
                <w:rFonts w:hint="eastAsia" w:ascii="宋体" w:hAnsi="宋体" w:eastAsia="宋体" w:cs="宋体"/>
                <w:sz w:val="15"/>
                <w:szCs w:val="15"/>
                <w:highlight w:val="none"/>
              </w:rPr>
            </w:r>
            <w:r/>
          </w:p>
        </w:tc>
        <w:tc>
          <w:tcPr>
            <w:tcW w:w="1276" w:type="dxa"/>
            <w:vAlign w:val="center"/>
            <w:textDirection w:val="lrTb"/>
            <w:noWrap/>
          </w:tcPr>
          <w:p>
            <w:pPr>
              <w:pStyle w:val="1159"/>
              <w:jc w:val="center"/>
              <w:spacing w:line="360" w:lineRule="auto"/>
              <w:rPr>
                <w:rFonts w:hint="eastAsia" w:ascii="宋体" w:hAnsi="宋体" w:eastAsia="宋体" w:cs="宋体"/>
                <w:sz w:val="15"/>
                <w:szCs w:val="15"/>
                <w:highlight w:val="none"/>
              </w:rPr>
            </w:pPr>
            <w:r/>
            <w:bookmarkStart w:id="656" w:name="_Toc221950855"/>
            <w:r>
              <w:rPr>
                <w:rFonts w:hint="eastAsia" w:ascii="宋体" w:hAnsi="宋体" w:eastAsia="宋体" w:cs="宋体"/>
                <w:sz w:val="15"/>
                <w:szCs w:val="15"/>
                <w:highlight w:val="none"/>
              </w:rPr>
              <w:t xml:space="preserve">完成工作量付款</w:t>
            </w:r>
            <w:bookmarkEnd w:id="656"/>
            <w:r>
              <w:rPr>
                <w:rFonts w:hint="eastAsia" w:ascii="宋体" w:hAnsi="宋体" w:eastAsia="宋体" w:cs="宋体"/>
                <w:sz w:val="15"/>
                <w:szCs w:val="15"/>
                <w:highlight w:val="none"/>
              </w:rPr>
            </w:r>
            <w:r/>
          </w:p>
        </w:tc>
        <w:tc>
          <w:tcPr>
            <w:tcW w:w="992" w:type="dxa"/>
            <w:vAlign w:val="center"/>
            <w:textDirection w:val="lrTb"/>
            <w:noWrap/>
          </w:tcPr>
          <w:p>
            <w:pPr>
              <w:pStyle w:val="1159"/>
              <w:jc w:val="center"/>
              <w:spacing w:line="360" w:lineRule="auto"/>
              <w:rPr>
                <w:rFonts w:hint="eastAsia" w:ascii="宋体" w:hAnsi="宋体" w:eastAsia="宋体" w:cs="宋体"/>
                <w:sz w:val="15"/>
                <w:szCs w:val="15"/>
                <w:highlight w:val="none"/>
              </w:rPr>
            </w:pPr>
            <w:r/>
            <w:bookmarkStart w:id="657" w:name="_Toc221950856"/>
            <w:r>
              <w:rPr>
                <w:rFonts w:hint="eastAsia" w:ascii="宋体" w:hAnsi="宋体" w:eastAsia="宋体" w:cs="宋体"/>
                <w:sz w:val="15"/>
                <w:szCs w:val="15"/>
                <w:highlight w:val="none"/>
              </w:rPr>
              <w:t xml:space="preserve">保留金</w:t>
            </w:r>
            <w:bookmarkEnd w:id="657"/>
            <w:r/>
            <w:bookmarkStart w:id="658" w:name="_Toc221950857"/>
            <w:r>
              <w:rPr>
                <w:rFonts w:hint="eastAsia" w:ascii="宋体" w:hAnsi="宋体" w:eastAsia="宋体" w:cs="宋体"/>
                <w:sz w:val="15"/>
                <w:szCs w:val="15"/>
                <w:highlight w:val="none"/>
              </w:rPr>
              <w:t xml:space="preserve">扣留</w:t>
            </w:r>
            <w:bookmarkEnd w:id="658"/>
            <w:r>
              <w:rPr>
                <w:rFonts w:hint="eastAsia" w:ascii="宋体" w:hAnsi="宋体" w:eastAsia="宋体" w:cs="宋体"/>
                <w:sz w:val="15"/>
                <w:szCs w:val="15"/>
                <w:highlight w:val="none"/>
              </w:rPr>
            </w:r>
            <w:r/>
          </w:p>
        </w:tc>
        <w:tc>
          <w:tcPr>
            <w:tcW w:w="993" w:type="dxa"/>
            <w:vAlign w:val="center"/>
            <w:textDirection w:val="lrTb"/>
            <w:noWrap/>
          </w:tcPr>
          <w:p>
            <w:pPr>
              <w:pStyle w:val="1159"/>
              <w:ind w:right="-21"/>
              <w:jc w:val="center"/>
              <w:spacing w:line="360" w:lineRule="auto"/>
              <w:rPr>
                <w:rFonts w:hint="eastAsia" w:ascii="宋体" w:hAnsi="宋体" w:eastAsia="宋体" w:cs="宋体"/>
                <w:sz w:val="15"/>
                <w:szCs w:val="15"/>
                <w:highlight w:val="none"/>
              </w:rPr>
            </w:pPr>
            <w:r/>
            <w:bookmarkStart w:id="659" w:name="_Toc221950858"/>
            <w:r>
              <w:rPr>
                <w:rFonts w:hint="eastAsia" w:ascii="宋体" w:hAnsi="宋体" w:eastAsia="宋体" w:cs="宋体"/>
                <w:sz w:val="15"/>
                <w:szCs w:val="15"/>
                <w:highlight w:val="none"/>
              </w:rPr>
              <w:t xml:space="preserve">材料款</w:t>
            </w:r>
            <w:bookmarkEnd w:id="659"/>
            <w:r/>
            <w:bookmarkStart w:id="660" w:name="_Toc221950859"/>
            <w:r>
              <w:rPr>
                <w:rFonts w:hint="eastAsia" w:ascii="宋体" w:hAnsi="宋体" w:eastAsia="宋体" w:cs="宋体"/>
                <w:sz w:val="15"/>
                <w:szCs w:val="15"/>
                <w:highlight w:val="none"/>
              </w:rPr>
              <w:t xml:space="preserve">扣除</w:t>
            </w:r>
            <w:bookmarkEnd w:id="660"/>
            <w:r>
              <w:rPr>
                <w:rFonts w:hint="eastAsia" w:ascii="宋体" w:hAnsi="宋体" w:eastAsia="宋体" w:cs="宋体"/>
                <w:sz w:val="15"/>
                <w:szCs w:val="15"/>
                <w:highlight w:val="none"/>
              </w:rPr>
            </w:r>
            <w:r/>
          </w:p>
        </w:tc>
        <w:tc>
          <w:tcPr>
            <w:tcW w:w="992" w:type="dxa"/>
            <w:vAlign w:val="center"/>
            <w:textDirection w:val="lrTb"/>
            <w:noWrap/>
          </w:tcPr>
          <w:p>
            <w:pPr>
              <w:pStyle w:val="1159"/>
              <w:ind w:right="-21"/>
              <w:jc w:val="center"/>
              <w:spacing w:line="360" w:lineRule="auto"/>
              <w:rPr>
                <w:rFonts w:hint="eastAsia" w:ascii="宋体" w:hAnsi="宋体" w:eastAsia="宋体" w:cs="宋体"/>
                <w:sz w:val="15"/>
                <w:szCs w:val="15"/>
                <w:highlight w:val="none"/>
              </w:rPr>
            </w:pPr>
            <w:r/>
            <w:bookmarkStart w:id="661" w:name="_Toc221950860"/>
            <w:r>
              <w:rPr>
                <w:rFonts w:hint="eastAsia" w:ascii="宋体" w:hAnsi="宋体" w:eastAsia="宋体" w:cs="宋体"/>
                <w:sz w:val="15"/>
                <w:szCs w:val="15"/>
                <w:highlight w:val="none"/>
              </w:rPr>
              <w:t xml:space="preserve">预付款</w:t>
            </w:r>
            <w:bookmarkEnd w:id="661"/>
            <w:r/>
            <w:bookmarkStart w:id="662" w:name="_Toc221950861"/>
            <w:r>
              <w:rPr>
                <w:rFonts w:hint="eastAsia" w:ascii="宋体" w:hAnsi="宋体" w:eastAsia="宋体" w:cs="宋体"/>
                <w:sz w:val="15"/>
                <w:szCs w:val="15"/>
                <w:highlight w:val="none"/>
              </w:rPr>
              <w:t xml:space="preserve">扣还</w:t>
            </w:r>
            <w:bookmarkEnd w:id="662"/>
            <w:r>
              <w:rPr>
                <w:rFonts w:hint="eastAsia" w:ascii="宋体" w:hAnsi="宋体" w:eastAsia="宋体" w:cs="宋体"/>
                <w:sz w:val="15"/>
                <w:szCs w:val="15"/>
                <w:highlight w:val="none"/>
              </w:rPr>
            </w:r>
            <w:r/>
          </w:p>
        </w:tc>
        <w:tc>
          <w:tcPr>
            <w:tcW w:w="766" w:type="dxa"/>
            <w:vAlign w:val="center"/>
            <w:textDirection w:val="lrTb"/>
            <w:noWrap/>
          </w:tcPr>
          <w:p>
            <w:pPr>
              <w:pStyle w:val="1159"/>
              <w:jc w:val="center"/>
              <w:spacing w:line="360" w:lineRule="auto"/>
              <w:rPr>
                <w:rFonts w:hint="eastAsia" w:ascii="宋体" w:hAnsi="宋体" w:eastAsia="宋体" w:cs="宋体"/>
                <w:sz w:val="15"/>
                <w:szCs w:val="15"/>
                <w:highlight w:val="none"/>
              </w:rPr>
            </w:pPr>
            <w:r/>
            <w:bookmarkStart w:id="663" w:name="_Toc221950862"/>
            <w:r>
              <w:rPr>
                <w:rFonts w:hint="eastAsia" w:ascii="宋体" w:hAnsi="宋体" w:eastAsia="宋体" w:cs="宋体"/>
                <w:sz w:val="15"/>
                <w:szCs w:val="15"/>
                <w:highlight w:val="none"/>
              </w:rPr>
              <w:t xml:space="preserve">其他</w:t>
            </w:r>
            <w:bookmarkEnd w:id="663"/>
            <w:r>
              <w:rPr>
                <w:rFonts w:hint="eastAsia" w:ascii="宋体" w:hAnsi="宋体" w:eastAsia="宋体" w:cs="宋体"/>
                <w:sz w:val="15"/>
                <w:szCs w:val="15"/>
                <w:highlight w:val="none"/>
              </w:rPr>
            </w:r>
            <w:r/>
          </w:p>
        </w:tc>
        <w:tc>
          <w:tcPr>
            <w:tcW w:w="1050" w:type="dxa"/>
            <w:vAlign w:val="center"/>
            <w:textDirection w:val="lrTb"/>
            <w:noWrap/>
          </w:tcPr>
          <w:p>
            <w:pPr>
              <w:pStyle w:val="1159"/>
              <w:jc w:val="center"/>
              <w:spacing w:line="360" w:lineRule="auto"/>
              <w:rPr>
                <w:rFonts w:hint="eastAsia" w:ascii="宋体" w:hAnsi="宋体" w:eastAsia="宋体" w:cs="宋体"/>
                <w:sz w:val="15"/>
                <w:szCs w:val="15"/>
                <w:highlight w:val="none"/>
              </w:rPr>
            </w:pPr>
            <w:r/>
            <w:bookmarkStart w:id="664" w:name="_Toc221950863"/>
            <w:r>
              <w:rPr>
                <w:rFonts w:hint="eastAsia" w:ascii="宋体" w:hAnsi="宋体" w:eastAsia="宋体" w:cs="宋体"/>
                <w:sz w:val="15"/>
                <w:szCs w:val="15"/>
                <w:highlight w:val="none"/>
              </w:rPr>
              <w:t xml:space="preserve">应收款</w:t>
            </w:r>
            <w:bookmarkEnd w:id="664"/>
            <w:r>
              <w:rPr>
                <w:rFonts w:hint="eastAsia" w:ascii="宋体" w:hAnsi="宋体" w:eastAsia="宋体" w:cs="宋体"/>
                <w:sz w:val="15"/>
                <w:szCs w:val="15"/>
                <w:highlight w:val="none"/>
              </w:rPr>
            </w:r>
            <w:r/>
          </w:p>
        </w:tc>
        <w:tc>
          <w:tcPr>
            <w:tcW w:w="1155" w:type="dxa"/>
            <w:vAlign w:val="center"/>
            <w:textDirection w:val="lrTb"/>
            <w:noWrap/>
          </w:tcPr>
          <w:p>
            <w:pPr>
              <w:pStyle w:val="1159"/>
              <w:jc w:val="center"/>
              <w:spacing w:line="360" w:lineRule="auto"/>
              <w:rPr>
                <w:rFonts w:hint="eastAsia" w:ascii="宋体" w:hAnsi="宋体" w:eastAsia="宋体" w:cs="宋体"/>
                <w:sz w:val="15"/>
                <w:szCs w:val="15"/>
                <w:highlight w:val="none"/>
              </w:rPr>
            </w:pPr>
            <w:r/>
            <w:bookmarkStart w:id="665" w:name="_Toc221950864"/>
            <w:r>
              <w:rPr>
                <w:rFonts w:hint="eastAsia" w:ascii="宋体" w:hAnsi="宋体" w:eastAsia="宋体" w:cs="宋体"/>
                <w:sz w:val="15"/>
                <w:szCs w:val="15"/>
                <w:highlight w:val="none"/>
              </w:rPr>
              <w:t xml:space="preserve">累计</w:t>
            </w:r>
            <w:bookmarkEnd w:id="665"/>
            <w:r/>
            <w:bookmarkStart w:id="666" w:name="_Toc221950865"/>
            <w:r>
              <w:rPr>
                <w:rFonts w:hint="eastAsia" w:ascii="宋体" w:hAnsi="宋体" w:eastAsia="宋体" w:cs="宋体"/>
                <w:sz w:val="15"/>
                <w:szCs w:val="15"/>
                <w:highlight w:val="none"/>
              </w:rPr>
              <w:t xml:space="preserve">应收款</w:t>
            </w:r>
            <w:bookmarkEnd w:id="666"/>
            <w:r>
              <w:rPr>
                <w:rFonts w:hint="eastAsia" w:ascii="宋体" w:hAnsi="宋体" w:eastAsia="宋体" w:cs="宋体"/>
                <w:sz w:val="15"/>
                <w:szCs w:val="15"/>
                <w:highlight w:val="none"/>
              </w:rPr>
            </w:r>
            <w:r/>
          </w:p>
        </w:tc>
      </w:tr>
      <w:tr>
        <w:trPr/>
        <w:tc>
          <w:tcPr>
            <w:tcW w:w="414"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403"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276"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3"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766" w:type="dxa"/>
            <w:vAlign w:val="top"/>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050" w:type="dxa"/>
            <w:vAlign w:val="top"/>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155"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r>
      <w:tr>
        <w:trPr/>
        <w:tc>
          <w:tcPr>
            <w:tcW w:w="414"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403"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276"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3"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766" w:type="dxa"/>
            <w:vAlign w:val="top"/>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050" w:type="dxa"/>
            <w:vAlign w:val="top"/>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155"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r>
      <w:tr>
        <w:trPr/>
        <w:tc>
          <w:tcPr>
            <w:tcW w:w="414"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403"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276"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3"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992"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766" w:type="dxa"/>
            <w:vAlign w:val="top"/>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050" w:type="dxa"/>
            <w:vAlign w:val="top"/>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1155" w:type="dxa"/>
            <w:vAlign w:val="center"/>
            <w:textDirection w:val="lrTb"/>
            <w:noWrap/>
          </w:tcPr>
          <w:p>
            <w:pPr>
              <w:pStyle w:val="1159"/>
              <w:ind w:right="248"/>
              <w:jc w:val="cente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r>
    </w:tbl>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667" w:name="_Toc102122013"/>
      <w:r/>
      <w:bookmarkStart w:id="668" w:name="_Toc222031014"/>
      <w:r/>
      <w:bookmarkStart w:id="669" w:name="_Toc229408507"/>
      <w:r/>
      <w:bookmarkStart w:id="670" w:name="_Toc222032681"/>
      <w:r/>
      <w:bookmarkStart w:id="671" w:name="_Toc222029512"/>
      <w:r/>
      <w:bookmarkStart w:id="672" w:name="_Toc229305372"/>
      <w:r/>
      <w:bookmarkStart w:id="673" w:name="_Toc222033863"/>
      <w:r/>
      <w:bookmarkStart w:id="674" w:name="_Toc221950866"/>
      <w:r>
        <w:rPr>
          <w:rFonts w:hint="eastAsia" w:ascii="宋体" w:hAnsi="宋体" w:eastAsia="宋体" w:cs="宋体"/>
          <w:sz w:val="30"/>
          <w:szCs w:val="30"/>
          <w:highlight w:val="none"/>
          <w:lang w:val="en-US" w:eastAsia="zh-CN" w:bidi="ar-SA"/>
        </w:rPr>
        <w:t xml:space="preserve">11  开工和竣工</w:t>
      </w:r>
      <w:bookmarkEnd w:id="668"/>
      <w:r/>
      <w:bookmarkEnd w:id="669"/>
      <w:r/>
      <w:bookmarkEnd w:id="670"/>
      <w:r/>
      <w:bookmarkEnd w:id="671"/>
      <w:r/>
      <w:bookmarkEnd w:id="672"/>
      <w:r/>
      <w:bookmarkEnd w:id="673"/>
      <w:r/>
      <w:bookmarkEnd w:id="674"/>
      <w:r>
        <w:rPr>
          <w:rFonts w:hint="eastAsia" w:ascii="宋体" w:hAnsi="宋体" w:eastAsia="宋体" w:cs="宋体"/>
          <w:sz w:val="30"/>
          <w:szCs w:val="30"/>
          <w:highlight w:val="none"/>
          <w:lang w:val="en-US" w:eastAsia="zh-CN" w:bidi="ar-SA"/>
        </w:rPr>
        <w:t xml:space="preserve">（完工）</w:t>
      </w:r>
      <w:bookmarkEnd w:id="667"/>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75" w:name="_Toc102122014"/>
      <w:r/>
      <w:bookmarkStart w:id="676" w:name="_Toc221950869"/>
      <w:r>
        <w:rPr>
          <w:rFonts w:hint="eastAsia" w:ascii="宋体" w:hAnsi="宋体" w:eastAsia="宋体" w:cs="宋体"/>
          <w:sz w:val="28"/>
          <w:szCs w:val="28"/>
          <w:highlight w:val="none"/>
          <w:lang w:val="en-US" w:eastAsia="zh-CN" w:bidi="ar-SA"/>
        </w:rPr>
        <w:t xml:space="preserve">11.1开工</w:t>
      </w:r>
      <w:bookmarkEnd w:id="675"/>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11.1.1 监理人应在开工日期5天前向承包人发出开工通知。监理人在发出开工通知前应获得发包人同意。工期自监理人发出的开工通知中载明的开工日期起计算。承包人应在开工日期后尽快施工。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11.1.3  若发包人未能按合同约定向承包人提供开工的必要条件，承包人有权要求延长工期。监理人应在收到承包人的书面要求后，按第3.5款的约定，与合同双方商定或确定增加的费用和延长的工期。</w:t>
      </w:r>
      <w:bookmarkEnd w:id="676"/>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bookmarkStart w:id="677" w:name="_Toc221950870"/>
      <w:r>
        <w:rPr>
          <w:rFonts w:hint="eastAsia" w:ascii="宋体" w:hAnsi="宋体" w:eastAsia="宋体" w:cs="宋体"/>
          <w:sz w:val="24"/>
          <w:szCs w:val="20"/>
          <w:highlight w:val="none"/>
        </w:rPr>
        <w:t xml:space="preserve">11.1.4  承包人在接到开工通知5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677"/>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78" w:name="_Toc144974652"/>
      <w:r/>
      <w:bookmarkStart w:id="679" w:name="_Toc152045684"/>
      <w:r/>
      <w:bookmarkStart w:id="680" w:name="_Toc102122015"/>
      <w:r/>
      <w:bookmarkStart w:id="681" w:name="_Toc179632702"/>
      <w:r/>
      <w:bookmarkStart w:id="682" w:name="_Toc152042462"/>
      <w:r>
        <w:rPr>
          <w:rFonts w:hint="eastAsia" w:ascii="宋体" w:hAnsi="宋体" w:eastAsia="宋体" w:cs="宋体"/>
          <w:sz w:val="28"/>
          <w:szCs w:val="28"/>
          <w:highlight w:val="none"/>
          <w:lang w:val="en-US" w:eastAsia="zh-CN" w:bidi="ar-SA"/>
        </w:rPr>
        <w:t xml:space="preserve">11.2 竣工</w:t>
      </w:r>
      <w:bookmarkEnd w:id="678"/>
      <w:r/>
      <w:bookmarkEnd w:id="679"/>
      <w:r/>
      <w:bookmarkEnd w:id="681"/>
      <w:r/>
      <w:bookmarkEnd w:id="682"/>
      <w:r>
        <w:rPr>
          <w:rFonts w:hint="eastAsia" w:ascii="宋体" w:hAnsi="宋体" w:eastAsia="宋体" w:cs="宋体"/>
          <w:sz w:val="28"/>
          <w:szCs w:val="28"/>
          <w:highlight w:val="none"/>
          <w:lang w:val="en-US" w:eastAsia="zh-CN" w:bidi="ar-SA"/>
        </w:rPr>
        <w:t xml:space="preserve">（完工）</w:t>
      </w:r>
      <w:bookmarkEnd w:id="68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承包人应在第1.1.4.3目约定的期限内完成合同工程。合同工程实际完工日期在合同工程完工证书中明确。</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83" w:name="_Toc179632703"/>
      <w:r/>
      <w:bookmarkStart w:id="684" w:name="_Toc102122016"/>
      <w:r/>
      <w:bookmarkStart w:id="685" w:name="_Toc152045685"/>
      <w:r/>
      <w:bookmarkStart w:id="686" w:name="_Toc144974653"/>
      <w:r/>
      <w:bookmarkStart w:id="687" w:name="_Toc152042463"/>
      <w:r>
        <w:rPr>
          <w:rFonts w:hint="eastAsia" w:ascii="宋体" w:hAnsi="宋体" w:eastAsia="宋体" w:cs="宋体"/>
          <w:sz w:val="28"/>
          <w:szCs w:val="28"/>
          <w:highlight w:val="none"/>
          <w:lang w:val="en-US" w:eastAsia="zh-CN" w:bidi="ar-SA"/>
        </w:rPr>
        <w:t xml:space="preserve">11.3 发包人的工期延误</w:t>
      </w:r>
      <w:bookmarkEnd w:id="683"/>
      <w:r/>
      <w:bookmarkEnd w:id="684"/>
      <w:r/>
      <w:bookmarkEnd w:id="685"/>
      <w:r/>
      <w:bookmarkEnd w:id="686"/>
      <w:r/>
      <w:bookmarkEnd w:id="68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在履行合同过程中，由于发包人的下列原因造成工期延误的，承包人有权要求发包人延长工期和（或）增加费用，并支付合理利润。需要修订合同进度计划的，按照第10.2款的约定办理。</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（1）增加合同工作内容；</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（2）改变合同中任何一项工作的质量要求或其他特性；</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（3）发包人迟延提供材料、工程设备或变更交货地点的；</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（4）因发包人原因导致的暂停施工；</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（5）提供图纸延误；</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（6）未按合同约定及时支付预付款、进度款；</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（7）发包人造成工期延误的其他原因。</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88" w:name="_Toc102122017"/>
      <w:r>
        <w:rPr>
          <w:rFonts w:hint="eastAsia" w:ascii="宋体" w:hAnsi="宋体" w:eastAsia="宋体" w:cs="宋体"/>
          <w:sz w:val="28"/>
          <w:szCs w:val="28"/>
          <w:highlight w:val="none"/>
          <w:lang w:val="en-US" w:eastAsia="zh-CN" w:bidi="ar-SA"/>
        </w:rPr>
        <w:t xml:space="preserve">11.4异常恶劣的气候条件</w:t>
      </w:r>
      <w:bookmarkEnd w:id="688"/>
      <w:r>
        <w:rPr>
          <w:rFonts w:hint="eastAsia" w:ascii="宋体" w:hAnsi="宋体" w:eastAsia="宋体" w:cs="宋体"/>
          <w:sz w:val="28"/>
          <w:szCs w:val="28"/>
          <w:highlight w:val="none"/>
          <w:lang w:val="en-US" w:eastAsia="zh-CN" w:bidi="ar-SA"/>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11.4.2异常恶劣气候条件造成的工期延误和工程损坏，应由发包人与承包人参照本合同通用合同条款第21.3款的约定共同协商处理。</w:t>
      </w:r>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11.4.3 本合同工程界定异常恶劣气候条件的范围在专用合同条款中约定。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89" w:name="_Toc102122018"/>
      <w:r>
        <w:rPr>
          <w:rFonts w:hint="eastAsia" w:ascii="宋体" w:hAnsi="宋体" w:eastAsia="宋体" w:cs="宋体"/>
          <w:sz w:val="28"/>
          <w:szCs w:val="28"/>
          <w:highlight w:val="none"/>
          <w:lang w:val="en-US" w:eastAsia="zh-CN" w:bidi="ar-SA"/>
        </w:rPr>
        <w:t xml:space="preserve">11.5  承包人工期延误</w:t>
      </w:r>
      <w:bookmarkEnd w:id="689"/>
      <w:r>
        <w:rPr>
          <w:rFonts w:hint="eastAsia" w:ascii="宋体" w:hAnsi="宋体" w:eastAsia="宋体" w:cs="宋体"/>
          <w:sz w:val="28"/>
          <w:szCs w:val="28"/>
          <w:highlight w:val="none"/>
          <w:lang w:val="en-US" w:eastAsia="zh-CN" w:bidi="ar-SA"/>
        </w:rPr>
        <w:t xml:space="preserve"> </w:t>
      </w:r>
      <w:r>
        <w:rPr>
          <w:rFonts w:hint="eastAsia" w:ascii="宋体" w:hAnsi="宋体" w:eastAsia="宋体" w:cs="宋体"/>
          <w:sz w:val="28"/>
          <w:szCs w:val="28"/>
          <w:highlight w:val="none"/>
          <w:lang w:val="en-US" w:eastAsia="zh-CN" w:bidi="ar-SA"/>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bookmarkStart w:id="690" w:name="_Toc221950882"/>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691" w:name="_Toc102122019"/>
      <w:r>
        <w:rPr>
          <w:rFonts w:hint="eastAsia" w:ascii="宋体" w:hAnsi="宋体" w:eastAsia="宋体" w:cs="宋体"/>
          <w:sz w:val="28"/>
          <w:szCs w:val="28"/>
          <w:highlight w:val="none"/>
          <w:lang w:val="en-US" w:eastAsia="zh-CN" w:bidi="ar-SA"/>
        </w:rPr>
        <w:t xml:space="preserve">11.6工期提前</w:t>
      </w:r>
      <w:bookmarkEnd w:id="691"/>
      <w:r>
        <w:rPr>
          <w:rFonts w:hint="eastAsia" w:ascii="宋体" w:hAnsi="宋体" w:eastAsia="宋体" w:cs="宋体"/>
          <w:sz w:val="28"/>
          <w:szCs w:val="28"/>
          <w:highlight w:val="none"/>
          <w:lang w:val="en-US" w:eastAsia="zh-CN" w:bidi="ar-SA"/>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发包人要求提前完工的，双方协商一致后应签订提前完工协议，协议内容包括：</w:t>
      </w:r>
      <w:bookmarkEnd w:id="690"/>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692" w:name="_Toc221950883"/>
      <w:r>
        <w:rPr>
          <w:rFonts w:hint="eastAsia" w:ascii="宋体" w:hAnsi="宋体" w:eastAsia="宋体" w:cs="宋体"/>
          <w:sz w:val="24"/>
          <w:szCs w:val="20"/>
          <w:highlight w:val="none"/>
        </w:rPr>
        <w:t xml:space="preserve">（1） 提前的时间和修订后的进度计划。</w:t>
      </w:r>
      <w:bookmarkEnd w:id="692"/>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693" w:name="_Toc221950884"/>
      <w:r>
        <w:rPr>
          <w:rFonts w:hint="eastAsia" w:ascii="宋体" w:hAnsi="宋体" w:eastAsia="宋体" w:cs="宋体"/>
          <w:sz w:val="24"/>
          <w:szCs w:val="20"/>
          <w:highlight w:val="none"/>
        </w:rPr>
        <w:t xml:space="preserve">（2）承包人的赶工措施。</w:t>
      </w:r>
      <w:bookmarkEnd w:id="693"/>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694" w:name="_Toc221950885"/>
      <w:r>
        <w:rPr>
          <w:rFonts w:hint="eastAsia" w:ascii="宋体" w:hAnsi="宋体" w:eastAsia="宋体" w:cs="宋体"/>
          <w:sz w:val="24"/>
          <w:szCs w:val="20"/>
          <w:highlight w:val="none"/>
        </w:rPr>
        <w:t xml:space="preserve">（3）发包人为赶工提供的条件。</w:t>
      </w:r>
      <w:bookmarkEnd w:id="694"/>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695" w:name="_Toc221950886"/>
      <w:r>
        <w:rPr>
          <w:rFonts w:hint="eastAsia" w:ascii="宋体" w:hAnsi="宋体" w:eastAsia="宋体" w:cs="宋体"/>
          <w:sz w:val="24"/>
          <w:szCs w:val="20"/>
          <w:highlight w:val="none"/>
        </w:rPr>
        <w:t xml:space="preserve">（4）</w:t>
      </w:r>
      <w:bookmarkEnd w:id="695"/>
      <w:r>
        <w:rPr>
          <w:rFonts w:hint="eastAsia" w:ascii="宋体" w:hAnsi="宋体" w:eastAsia="宋体" w:cs="宋体"/>
          <w:sz w:val="24"/>
          <w:szCs w:val="20"/>
          <w:highlight w:val="none"/>
        </w:rPr>
        <w:t xml:space="preserve">赶工费用（包括利润和奖金）</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696" w:name="_Toc222032682"/>
      <w:r/>
      <w:bookmarkStart w:id="697" w:name="_Toc102122020"/>
      <w:r/>
      <w:bookmarkStart w:id="698" w:name="_Toc221950888"/>
      <w:r/>
      <w:bookmarkStart w:id="699" w:name="_Toc222031015"/>
      <w:r/>
      <w:bookmarkStart w:id="700" w:name="_Toc222029513"/>
      <w:r/>
      <w:bookmarkStart w:id="701" w:name="_Toc229408508"/>
      <w:r/>
      <w:bookmarkStart w:id="702" w:name="_Toc222033864"/>
      <w:r/>
      <w:bookmarkStart w:id="703" w:name="_Toc229305373"/>
      <w:r>
        <w:rPr>
          <w:rFonts w:hint="eastAsia" w:ascii="宋体" w:hAnsi="宋体" w:eastAsia="宋体" w:cs="宋体"/>
          <w:sz w:val="30"/>
          <w:szCs w:val="30"/>
          <w:highlight w:val="none"/>
          <w:lang w:val="en-US" w:eastAsia="zh-CN" w:bidi="ar-SA"/>
        </w:rPr>
        <w:t xml:space="preserve">12. 暂停施工</w:t>
      </w:r>
      <w:bookmarkEnd w:id="696"/>
      <w:r/>
      <w:bookmarkEnd w:id="697"/>
      <w:r/>
      <w:bookmarkEnd w:id="698"/>
      <w:r/>
      <w:bookmarkEnd w:id="699"/>
      <w:r/>
      <w:bookmarkEnd w:id="700"/>
      <w:r/>
      <w:bookmarkEnd w:id="701"/>
      <w:r/>
      <w:bookmarkEnd w:id="702"/>
      <w:r/>
      <w:bookmarkEnd w:id="703"/>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04" w:name="_Toc144974659"/>
      <w:r/>
      <w:bookmarkStart w:id="705" w:name="_Toc152042468"/>
      <w:r/>
      <w:bookmarkStart w:id="706" w:name="_Toc179632708"/>
      <w:r/>
      <w:bookmarkStart w:id="707" w:name="_Toc102122021"/>
      <w:r/>
      <w:bookmarkStart w:id="708" w:name="_Toc152045690"/>
      <w:r>
        <w:rPr>
          <w:rFonts w:hint="eastAsia" w:ascii="宋体" w:hAnsi="宋体" w:eastAsia="宋体" w:cs="宋体"/>
          <w:sz w:val="28"/>
          <w:szCs w:val="28"/>
          <w:highlight w:val="none"/>
          <w:lang w:val="en-US" w:eastAsia="zh-CN" w:bidi="ar-SA"/>
        </w:rPr>
        <w:t xml:space="preserve">12.1 承包人暂停施工的责任</w:t>
      </w:r>
      <w:bookmarkEnd w:id="704"/>
      <w:r/>
      <w:bookmarkEnd w:id="705"/>
      <w:r/>
      <w:bookmarkEnd w:id="706"/>
      <w:r/>
      <w:bookmarkEnd w:id="707"/>
      <w:r/>
      <w:bookmarkEnd w:id="70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因下列暂停施工增加的费用和（或）工期延误由承包人承担：</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（1）承包人违约引起的暂停施工；</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（2）由于承包人原因为工程合理施工和安全保障所必需的暂停施工；</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（3）承包人擅自暂停施工；</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（4）承包人其他原因引起的暂停施工；</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（5）专用合同条款约定由承包人承担的其他暂停施工。</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09" w:name="_Toc102122022"/>
      <w:r/>
      <w:bookmarkStart w:id="710" w:name="_Toc221950893"/>
      <w:r>
        <w:rPr>
          <w:rFonts w:hint="eastAsia" w:ascii="宋体" w:hAnsi="宋体" w:eastAsia="宋体" w:cs="宋体"/>
          <w:sz w:val="28"/>
          <w:szCs w:val="28"/>
          <w:highlight w:val="none"/>
          <w:lang w:val="en-US" w:eastAsia="zh-CN" w:bidi="ar-SA"/>
        </w:rPr>
        <w:t xml:space="preserve">12.2发包人暂停施工的责任</w:t>
      </w:r>
      <w:bookmarkEnd w:id="709"/>
      <w:r>
        <w:rPr>
          <w:rFonts w:hint="eastAsia" w:ascii="宋体" w:hAnsi="宋体" w:eastAsia="宋体" w:cs="宋体"/>
          <w:sz w:val="28"/>
          <w:szCs w:val="28"/>
          <w:highlight w:val="none"/>
          <w:lang w:val="en-US" w:eastAsia="zh-CN" w:bidi="ar-SA"/>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由于发包人原因引起的暂停施工造成工期延误的，承包人有权要求发包人延长工期和（或）增加费用，并支付合理利润。</w:t>
      </w:r>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属于下列任何一种情况引起的暂停施工，均为发包人的责任：</w:t>
      </w:r>
      <w:bookmarkEnd w:id="710"/>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711" w:name="_Toc221950894"/>
      <w:r>
        <w:rPr>
          <w:rFonts w:hint="eastAsia" w:ascii="宋体" w:hAnsi="宋体" w:eastAsia="宋体" w:cs="宋体"/>
          <w:sz w:val="24"/>
          <w:szCs w:val="20"/>
          <w:highlight w:val="none"/>
        </w:rPr>
        <w:t xml:space="preserve">(1)由于发包人违约引起的暂停施工。</w:t>
      </w:r>
      <w:bookmarkEnd w:id="711"/>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712" w:name="_Toc221950895"/>
      <w:r>
        <w:rPr>
          <w:rFonts w:hint="eastAsia" w:ascii="宋体" w:hAnsi="宋体" w:eastAsia="宋体" w:cs="宋体"/>
          <w:sz w:val="24"/>
          <w:szCs w:val="20"/>
          <w:highlight w:val="none"/>
        </w:rPr>
        <w:t xml:space="preserve">(2)由于不可抗力的自然或社会因素引起的暂停施工。</w:t>
      </w:r>
      <w:bookmarkEnd w:id="712"/>
      <w:r>
        <w:rPr>
          <w:rFonts w:hint="eastAsia" w:ascii="宋体" w:hAnsi="宋体" w:eastAsia="宋体" w:cs="宋体"/>
          <w:sz w:val="24"/>
          <w:szCs w:val="20"/>
          <w:highlight w:val="none"/>
        </w:rPr>
      </w:r>
      <w:r/>
    </w:p>
    <w:p>
      <w:pPr>
        <w:pStyle w:val="1159"/>
        <w:ind w:right="248" w:firstLine="480"/>
        <w:spacing w:line="360" w:lineRule="auto"/>
        <w:rPr>
          <w:rFonts w:hint="eastAsia" w:ascii="宋体" w:hAnsi="宋体" w:eastAsia="宋体" w:cs="宋体"/>
          <w:sz w:val="24"/>
          <w:szCs w:val="20"/>
          <w:highlight w:val="none"/>
        </w:rPr>
      </w:pPr>
      <w:r/>
      <w:bookmarkStart w:id="713" w:name="_Toc221950896"/>
      <w:r>
        <w:rPr>
          <w:rFonts w:hint="eastAsia" w:ascii="宋体" w:hAnsi="宋体" w:eastAsia="宋体" w:cs="宋体"/>
          <w:sz w:val="24"/>
          <w:szCs w:val="20"/>
          <w:highlight w:val="none"/>
        </w:rPr>
        <w:t xml:space="preserve">(3)专用合同条款中约定的其它由于发包人原因引起的暂停施工。</w:t>
      </w:r>
      <w:bookmarkEnd w:id="713"/>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14" w:name="_Toc179632710"/>
      <w:r/>
      <w:bookmarkStart w:id="715" w:name="_Toc152045692"/>
      <w:r/>
      <w:bookmarkStart w:id="716" w:name="_Toc152042470"/>
      <w:r/>
      <w:bookmarkStart w:id="717" w:name="_Toc102122023"/>
      <w:r/>
      <w:bookmarkStart w:id="718" w:name="_Toc144974661"/>
      <w:r>
        <w:rPr>
          <w:rFonts w:hint="eastAsia" w:ascii="宋体" w:hAnsi="宋体" w:eastAsia="宋体" w:cs="宋体"/>
          <w:sz w:val="28"/>
          <w:szCs w:val="28"/>
          <w:highlight w:val="none"/>
          <w:lang w:val="en-US" w:eastAsia="zh-CN" w:bidi="ar-SA"/>
        </w:rPr>
        <w:t xml:space="preserve">12.3 监理人暂停施工指示</w:t>
      </w:r>
      <w:bookmarkEnd w:id="714"/>
      <w:r/>
      <w:bookmarkEnd w:id="715"/>
      <w:r/>
      <w:bookmarkEnd w:id="716"/>
      <w:r/>
      <w:bookmarkEnd w:id="717"/>
      <w:r/>
      <w:bookmarkEnd w:id="71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19" w:name="_Toc144974662"/>
      <w:r/>
      <w:bookmarkStart w:id="720" w:name="_Toc152042471"/>
      <w:r/>
      <w:bookmarkStart w:id="721" w:name="_Toc102122024"/>
      <w:r/>
      <w:bookmarkStart w:id="722" w:name="_Toc179632711"/>
      <w:r/>
      <w:bookmarkStart w:id="723" w:name="_Toc152045693"/>
      <w:r>
        <w:rPr>
          <w:rFonts w:hint="eastAsia" w:ascii="宋体" w:hAnsi="宋体" w:eastAsia="宋体" w:cs="宋体"/>
          <w:sz w:val="28"/>
          <w:szCs w:val="28"/>
          <w:highlight w:val="none"/>
          <w:lang w:val="en-US" w:eastAsia="zh-CN" w:bidi="ar-SA"/>
        </w:rPr>
        <w:t xml:space="preserve">12.4 暂停施工后的复工</w:t>
      </w:r>
      <w:bookmarkEnd w:id="719"/>
      <w:r/>
      <w:bookmarkEnd w:id="720"/>
      <w:r/>
      <w:bookmarkEnd w:id="721"/>
      <w:r/>
      <w:bookmarkEnd w:id="722"/>
      <w:r/>
      <w:bookmarkEnd w:id="723"/>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12.4.2 承包人无故拖延和拒绝复工的，由此增加的费用和工期延误由承包人承担；因发包人原因无法按时复工的，承包人有权要求发包人延长工期和（或）增加费用，并支付合理利润。</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24" w:name="_Toc152045694"/>
      <w:r/>
      <w:bookmarkStart w:id="725" w:name="_Toc152042472"/>
      <w:r/>
      <w:bookmarkStart w:id="726" w:name="_Toc144974663"/>
      <w:r/>
      <w:bookmarkStart w:id="727" w:name="_Toc102122025"/>
      <w:r/>
      <w:bookmarkStart w:id="728" w:name="_Toc179632712"/>
      <w:r>
        <w:rPr>
          <w:rFonts w:hint="eastAsia" w:ascii="宋体" w:hAnsi="宋体" w:eastAsia="宋体" w:cs="宋体"/>
          <w:sz w:val="28"/>
          <w:szCs w:val="28"/>
          <w:highlight w:val="none"/>
          <w:lang w:val="en-US" w:eastAsia="zh-CN" w:bidi="ar-SA"/>
        </w:rPr>
        <w:t xml:space="preserve">12.5 暂停施工持续56天以上</w:t>
      </w:r>
      <w:bookmarkEnd w:id="724"/>
      <w:r/>
      <w:bookmarkEnd w:id="725"/>
      <w:r/>
      <w:bookmarkEnd w:id="726"/>
      <w:r/>
      <w:bookmarkEnd w:id="727"/>
      <w:r/>
      <w:bookmarkEnd w:id="728"/>
      <w:r>
        <w:rPr>
          <w:rFonts w:hint="eastAsia" w:ascii="宋体" w:hAnsi="宋体" w:eastAsia="宋体" w:cs="宋体"/>
          <w:sz w:val="28"/>
          <w:szCs w:val="28"/>
          <w:highlight w:val="none"/>
          <w:lang w:val="en-US" w:eastAsia="zh-CN" w:bidi="ar-SA"/>
        </w:rPr>
      </w:r>
      <w:r/>
    </w:p>
    <w:p>
      <w:pPr>
        <w:pStyle w:val="1159"/>
        <w:ind w:firstLine="47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约定办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12.5.2 由于承包人责任引起的暂停施工，如承包人在收到监理人暂停施工指示后56天内不认真采取有效的复工措施，造成工期延误，可视为承包人违约，应按第22.1款的约定办理。</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729" w:name="_Toc102122026"/>
      <w:r/>
      <w:bookmarkStart w:id="730" w:name="_Toc221950903"/>
      <w:r/>
      <w:bookmarkStart w:id="731" w:name="_Toc222029514"/>
      <w:r/>
      <w:bookmarkStart w:id="732" w:name="_Toc229408509"/>
      <w:r/>
      <w:bookmarkStart w:id="733" w:name="_Toc229305374"/>
      <w:r/>
      <w:bookmarkStart w:id="734" w:name="_Toc222033865"/>
      <w:r/>
      <w:bookmarkStart w:id="735" w:name="_Toc222031016"/>
      <w:r/>
      <w:bookmarkStart w:id="736" w:name="_Toc222032683"/>
      <w:r>
        <w:rPr>
          <w:rFonts w:hint="eastAsia" w:ascii="宋体" w:hAnsi="宋体" w:eastAsia="宋体" w:cs="宋体"/>
          <w:sz w:val="30"/>
          <w:szCs w:val="30"/>
          <w:highlight w:val="none"/>
          <w:lang w:val="en-US" w:eastAsia="zh-CN" w:bidi="ar-SA"/>
        </w:rPr>
        <w:t xml:space="preserve">13. 工程质量</w:t>
      </w:r>
      <w:bookmarkEnd w:id="729"/>
      <w:r/>
      <w:bookmarkEnd w:id="730"/>
      <w:r/>
      <w:bookmarkEnd w:id="731"/>
      <w:r/>
      <w:bookmarkEnd w:id="732"/>
      <w:r/>
      <w:bookmarkEnd w:id="733"/>
      <w:r/>
      <w:bookmarkEnd w:id="734"/>
      <w:r/>
      <w:bookmarkEnd w:id="735"/>
      <w:r/>
      <w:bookmarkEnd w:id="736"/>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37" w:name="_Toc221950917"/>
      <w:r/>
      <w:bookmarkStart w:id="738" w:name="_Toc222031017"/>
      <w:r/>
      <w:bookmarkStart w:id="739" w:name="_Toc229305375"/>
      <w:r/>
      <w:bookmarkStart w:id="740" w:name="_Toc222033866"/>
      <w:r/>
      <w:bookmarkStart w:id="741" w:name="_Toc222032684"/>
      <w:r/>
      <w:bookmarkStart w:id="742" w:name="_Toc222029515"/>
      <w:r/>
      <w:bookmarkStart w:id="743" w:name="_Toc179632714"/>
      <w:r/>
      <w:bookmarkStart w:id="744" w:name="_Toc102122027"/>
      <w:r/>
      <w:bookmarkStart w:id="745" w:name="_Toc152045696"/>
      <w:r/>
      <w:bookmarkStart w:id="746" w:name="_Toc152042474"/>
      <w:r/>
      <w:bookmarkStart w:id="747" w:name="_Toc144974665"/>
      <w:r>
        <w:rPr>
          <w:rFonts w:hint="eastAsia" w:ascii="宋体" w:hAnsi="宋体" w:eastAsia="宋体" w:cs="宋体"/>
          <w:sz w:val="28"/>
          <w:szCs w:val="28"/>
          <w:highlight w:val="none"/>
          <w:lang w:val="en-US" w:eastAsia="zh-CN" w:bidi="ar-SA"/>
        </w:rPr>
        <w:t xml:space="preserve">13.1 工程质量要求</w:t>
      </w:r>
      <w:bookmarkEnd w:id="743"/>
      <w:r/>
      <w:bookmarkEnd w:id="744"/>
      <w:r/>
      <w:bookmarkEnd w:id="745"/>
      <w:r/>
      <w:bookmarkEnd w:id="746"/>
      <w:r/>
      <w:bookmarkEnd w:id="74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13.1.1 工程质量验收按合同约定验收标准执行。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13.1.2 因承包人原因造成工程质量达不到合同约定验收标准的，监理人有权要求承包人返工直至符合合同要求为止，由此造成的费用增加和（或）工期延误由承包人承担。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13.1.3 因发包人原因造成工程质量达不到合同约定验收标准的，发包人应承担由于承包人返工造成的费用增加和（或）工期延误，并支付承包人合理利润。</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48" w:name="_Toc179632715"/>
      <w:r/>
      <w:bookmarkStart w:id="749" w:name="_Toc152045697"/>
      <w:r/>
      <w:bookmarkStart w:id="750" w:name="_Toc102122028"/>
      <w:r/>
      <w:bookmarkStart w:id="751" w:name="_Toc144974666"/>
      <w:r/>
      <w:bookmarkStart w:id="752" w:name="_Toc152042475"/>
      <w:r>
        <w:rPr>
          <w:rFonts w:hint="eastAsia" w:ascii="宋体" w:hAnsi="宋体" w:eastAsia="宋体" w:cs="宋体"/>
          <w:sz w:val="28"/>
          <w:szCs w:val="28"/>
          <w:highlight w:val="none"/>
          <w:lang w:val="en-US" w:eastAsia="zh-CN" w:bidi="ar-SA"/>
        </w:rPr>
        <w:t xml:space="preserve">13.2 承包人的质量管理</w:t>
      </w:r>
      <w:bookmarkEnd w:id="748"/>
      <w:r/>
      <w:bookmarkEnd w:id="749"/>
      <w:r/>
      <w:bookmarkEnd w:id="750"/>
      <w:r/>
      <w:bookmarkEnd w:id="751"/>
      <w:r/>
      <w:bookmarkEnd w:id="75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监批。监理人应在技术标准和要求（合同技术条款）约定期限内批复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13.2.2 承包人应加强对施工人员的质量教育和技术培训，定期考核施工人员的劳动技能，严格执行规范和操作规程。</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53" w:name="_Toc152045698"/>
      <w:r/>
      <w:bookmarkStart w:id="754" w:name="_Toc144974667"/>
      <w:r/>
      <w:bookmarkStart w:id="755" w:name="_Toc179632716"/>
      <w:r/>
      <w:bookmarkStart w:id="756" w:name="_Toc102122029"/>
      <w:r/>
      <w:bookmarkStart w:id="757" w:name="_Toc152042476"/>
      <w:r>
        <w:rPr>
          <w:rFonts w:hint="eastAsia" w:ascii="宋体" w:hAnsi="宋体" w:eastAsia="宋体" w:cs="宋体"/>
          <w:sz w:val="28"/>
          <w:szCs w:val="28"/>
          <w:highlight w:val="none"/>
          <w:lang w:val="en-US" w:eastAsia="zh-CN" w:bidi="ar-SA"/>
        </w:rPr>
        <w:t xml:space="preserve">13.3 承包人的质量检查</w:t>
      </w:r>
      <w:bookmarkEnd w:id="753"/>
      <w:r/>
      <w:bookmarkEnd w:id="754"/>
      <w:r/>
      <w:bookmarkEnd w:id="755"/>
      <w:r/>
      <w:bookmarkEnd w:id="756"/>
      <w:r/>
      <w:bookmarkEnd w:id="75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承包人应按合同约定对材料、工程设备以及工程的所有部位及其施工工艺进行全过程的质量检查和检验，并作详细记录，编制工程质量报表，报送监理人审查。</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58" w:name="_Toc152042477"/>
      <w:r/>
      <w:bookmarkStart w:id="759" w:name="_Toc102122030"/>
      <w:r/>
      <w:bookmarkStart w:id="760" w:name="_Toc144974668"/>
      <w:r/>
      <w:bookmarkStart w:id="761" w:name="_Toc179632717"/>
      <w:r/>
      <w:bookmarkStart w:id="762" w:name="_Toc152045699"/>
      <w:r>
        <w:rPr>
          <w:rFonts w:hint="eastAsia" w:ascii="宋体" w:hAnsi="宋体" w:eastAsia="宋体" w:cs="宋体"/>
          <w:sz w:val="28"/>
          <w:szCs w:val="28"/>
          <w:highlight w:val="none"/>
          <w:lang w:val="en-US" w:eastAsia="zh-CN" w:bidi="ar-SA"/>
        </w:rPr>
        <w:t xml:space="preserve">13.4 监理人的质量检查</w:t>
      </w:r>
      <w:bookmarkEnd w:id="758"/>
      <w:r/>
      <w:bookmarkEnd w:id="759"/>
      <w:r/>
      <w:bookmarkEnd w:id="760"/>
      <w:r/>
      <w:bookmarkEnd w:id="761"/>
      <w:r/>
      <w:bookmarkEnd w:id="76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63" w:name="_Toc144974669"/>
      <w:r/>
      <w:bookmarkStart w:id="764" w:name="_Toc152045700"/>
      <w:r/>
      <w:bookmarkStart w:id="765" w:name="_Toc102122031"/>
      <w:r/>
      <w:bookmarkStart w:id="766" w:name="_Toc179632718"/>
      <w:r/>
      <w:bookmarkStart w:id="767" w:name="_Toc152042478"/>
      <w:r>
        <w:rPr>
          <w:rFonts w:hint="eastAsia" w:ascii="宋体" w:hAnsi="宋体" w:eastAsia="宋体" w:cs="宋体"/>
          <w:sz w:val="28"/>
          <w:szCs w:val="28"/>
          <w:highlight w:val="none"/>
          <w:lang w:val="en-US" w:eastAsia="zh-CN" w:bidi="ar-SA"/>
        </w:rPr>
        <w:t xml:space="preserve">13.5 工程隐蔽部位覆盖前的检查</w:t>
      </w:r>
      <w:bookmarkEnd w:id="763"/>
      <w:r/>
      <w:bookmarkEnd w:id="764"/>
      <w:r/>
      <w:bookmarkEnd w:id="765"/>
      <w:r/>
      <w:bookmarkEnd w:id="766"/>
      <w:r/>
      <w:bookmarkEnd w:id="76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13.5.1 通知监理人检查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13.5.2 监理人未到场检查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13.5.3 监理人重新检查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13.5.4 承包人私自覆盖</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承包人未通知监理人到场检查，私自将工程隐蔽部位覆盖的，监理人有权指示承包人钻孔探测或揭开检查，由此增加的费用和（或）工期延误由承包人承担。</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68" w:name="_Toc102122032"/>
      <w:r/>
      <w:bookmarkStart w:id="769" w:name="_Toc152042479"/>
      <w:r/>
      <w:bookmarkStart w:id="770" w:name="_Toc144974670"/>
      <w:r/>
      <w:bookmarkStart w:id="771" w:name="_Toc152045701"/>
      <w:r/>
      <w:bookmarkStart w:id="772" w:name="_Toc179632719"/>
      <w:r>
        <w:rPr>
          <w:rFonts w:hint="eastAsia" w:ascii="宋体" w:hAnsi="宋体" w:eastAsia="宋体" w:cs="宋体"/>
          <w:sz w:val="28"/>
          <w:szCs w:val="28"/>
          <w:highlight w:val="none"/>
          <w:lang w:val="en-US" w:eastAsia="zh-CN" w:bidi="ar-SA"/>
        </w:rPr>
        <w:t xml:space="preserve">13.6 清除不合格工程</w:t>
      </w:r>
      <w:bookmarkEnd w:id="768"/>
      <w:r/>
      <w:bookmarkEnd w:id="769"/>
      <w:r/>
      <w:bookmarkEnd w:id="770"/>
      <w:r/>
      <w:bookmarkEnd w:id="771"/>
      <w:r/>
      <w:bookmarkEnd w:id="77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13.6.2 由于发包人提供的材料或工程设备不合格造成的工程不合格，需要承包人采取措施补救的，发包人应承担由此增加的费用和（或）工期延误，并支付承包人合理利润。</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73" w:name="_Toc102122033"/>
      <w:r>
        <w:rPr>
          <w:rFonts w:hint="eastAsia" w:ascii="宋体" w:hAnsi="宋体" w:eastAsia="宋体" w:cs="宋体"/>
          <w:sz w:val="28"/>
          <w:szCs w:val="28"/>
          <w:highlight w:val="none"/>
          <w:lang w:val="en-US" w:eastAsia="zh-CN" w:bidi="ar-SA"/>
        </w:rPr>
        <w:t xml:space="preserve">13.7 质量评定</w:t>
      </w:r>
      <w:bookmarkEnd w:id="773"/>
      <w:r>
        <w:rPr>
          <w:rFonts w:hint="eastAsia" w:ascii="宋体" w:hAnsi="宋体" w:eastAsia="宋体" w:cs="宋体"/>
          <w:sz w:val="28"/>
          <w:szCs w:val="28"/>
          <w:highlight w:val="none"/>
          <w:lang w:val="en-US" w:eastAsia="zh-CN" w:bidi="ar-SA"/>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13.7.1发包人应组织进行工程项目划分，并确定单位工程、主要分部工程、重要隐蔽单元工程和关键部位单元工程。</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13.7.2工程实施过程中，单位工程、主要分部工程、重要隐蔽单元工程和关键部位单元工程的项目划分需要调整时，承包人应报发包人确认。</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13.7.3承包人应在单元（工序）工程质量自评合格后，报监理人核定质量等级并签证认可。</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13.7.4除专用合同条款另有约定外，承包人应在重要隐蔽单元工程及关键部位单元工程质量自评合格后以及监理人抽检后，由监理人组织承包人等单位组成的联合小组，共同检查核定其质量等级并填写签证表。发包人按有关规定完成质量结论报工程质量监督机构核备手续。</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13.7.5承包人应在分部工程质量自评合格后，报监理人复核和发包人认定。发包人负责按有关规定完成分部工程质量结论报工程质量监督机构核备（核定）手续。</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13.7.6承包人应在单位工程质量自评合格后，报监理人复核和发包人认定。发包人负责按有关规定完成单位工程质量结论报工程质量监督机构核定手续。</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13.7.7除专用合同条款另有约定外，工程质量等级分为合格和优良，应分别达到约定的标准。</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74" w:name="_Toc102122034"/>
      <w:r>
        <w:rPr>
          <w:rFonts w:hint="eastAsia" w:ascii="宋体" w:hAnsi="宋体" w:eastAsia="宋体" w:cs="宋体"/>
          <w:sz w:val="28"/>
          <w:szCs w:val="28"/>
          <w:highlight w:val="none"/>
          <w:lang w:val="en-US" w:eastAsia="zh-CN" w:bidi="ar-SA"/>
        </w:rPr>
        <w:t xml:space="preserve">13.8 质量事故处理</w:t>
      </w:r>
      <w:bookmarkEnd w:id="774"/>
      <w:r>
        <w:rPr>
          <w:rFonts w:hint="eastAsia" w:ascii="宋体" w:hAnsi="宋体" w:eastAsia="宋体" w:cs="宋体"/>
          <w:sz w:val="28"/>
          <w:szCs w:val="28"/>
          <w:highlight w:val="none"/>
          <w:lang w:val="en-US" w:eastAsia="zh-CN" w:bidi="ar-SA"/>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13.8.1发生质量事故时，承包人应及时向发包人和监理人报告。</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13.8.2质量事故调查处理由发包人按相关规定履行手续，承包人应配合。</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13.8.3承包人应对质量缺陷进行备案。发包人委托监理人对质量缺陷备案情况进行监督检查并履行相关手续。</w:t>
      </w:r>
      <w:r>
        <w:rPr>
          <w:rFonts w:hint="eastAsia" w:ascii="宋体" w:hAnsi="宋体" w:eastAsia="宋体" w:cs="宋体"/>
          <w:sz w:val="24"/>
          <w:szCs w:val="20"/>
          <w:highlight w:val="none"/>
        </w:rPr>
      </w:r>
      <w:r/>
    </w:p>
    <w:p>
      <w:pPr>
        <w:pStyle w:val="1159"/>
        <w:ind w:right="-7"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13.8.4除专用合同条款另有约定外，工程竣工验收时，发包人负责向竣工验收委员会汇报并提交历次质量缺陷处理的备案资料。</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775" w:name="_Toc229408510"/>
      <w:r/>
      <w:bookmarkStart w:id="776" w:name="_Toc102122035"/>
      <w:r>
        <w:rPr>
          <w:rFonts w:hint="eastAsia" w:ascii="宋体" w:hAnsi="宋体" w:eastAsia="宋体" w:cs="宋体"/>
          <w:sz w:val="30"/>
          <w:szCs w:val="30"/>
          <w:highlight w:val="none"/>
          <w:lang w:val="en-US" w:eastAsia="zh-CN" w:bidi="ar-SA"/>
        </w:rPr>
        <w:t xml:space="preserve">14. 试验和检验</w:t>
      </w:r>
      <w:bookmarkEnd w:id="737"/>
      <w:r/>
      <w:bookmarkEnd w:id="738"/>
      <w:r/>
      <w:bookmarkEnd w:id="739"/>
      <w:r/>
      <w:bookmarkEnd w:id="740"/>
      <w:r/>
      <w:bookmarkEnd w:id="741"/>
      <w:r/>
      <w:bookmarkEnd w:id="742"/>
      <w:r/>
      <w:bookmarkEnd w:id="775"/>
      <w:r/>
      <w:bookmarkEnd w:id="776"/>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77" w:name="_Toc102122036"/>
      <w:r>
        <w:rPr>
          <w:rFonts w:hint="eastAsia" w:ascii="宋体" w:hAnsi="宋体" w:eastAsia="宋体" w:cs="宋体"/>
          <w:sz w:val="28"/>
          <w:szCs w:val="28"/>
          <w:highlight w:val="none"/>
          <w:lang w:val="en-US" w:eastAsia="zh-CN" w:bidi="ar-SA"/>
        </w:rPr>
        <w:t xml:space="preserve">14.1材料、工程设备和工程的试验和检验</w:t>
      </w:r>
      <w:bookmarkEnd w:id="77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14.1.2 监理人未按合同约定派员参加试验和检验的，除监理人另有指示外，承包人可自行试验和检验，并应立即将试验和检验结果报送监理人，监理人应签字确认。</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14.1.4承包人应按相关规定和标准对水泥、钢材等原材料与中间产品质量进行检验，并报监理人复核。</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14.1.6对专用合同条款约定的试块、试件及有关材料，监理人实行见证取样。见证取样资料由承包人制备，记录应真实齐全，监理人、承包人等参与见证取样人员均应在相关文件上签字。</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78" w:name="_Toc179632722"/>
      <w:r/>
      <w:bookmarkStart w:id="779" w:name="_Toc152042482"/>
      <w:r/>
      <w:bookmarkStart w:id="780" w:name="_Toc144974673"/>
      <w:r/>
      <w:bookmarkStart w:id="781" w:name="_Toc152045704"/>
      <w:r/>
      <w:bookmarkStart w:id="782" w:name="_Toc102122037"/>
      <w:r>
        <w:rPr>
          <w:rFonts w:hint="eastAsia" w:ascii="宋体" w:hAnsi="宋体" w:eastAsia="宋体" w:cs="宋体"/>
          <w:sz w:val="28"/>
          <w:szCs w:val="28"/>
          <w:highlight w:val="none"/>
          <w:lang w:val="en-US" w:eastAsia="zh-CN" w:bidi="ar-SA"/>
        </w:rPr>
        <w:t xml:space="preserve">14.2 现场材料试验</w:t>
      </w:r>
      <w:bookmarkEnd w:id="778"/>
      <w:r/>
      <w:bookmarkEnd w:id="779"/>
      <w:r/>
      <w:bookmarkEnd w:id="780"/>
      <w:r/>
      <w:bookmarkEnd w:id="781"/>
      <w:r/>
      <w:bookmarkEnd w:id="78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14.2.1 承包人根据合同约定或监理人指示进行的现场材料试验，应由承包人提供试验场所、试验人员、试验设备器材以及其他必要的试验条件。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14.2.2 监理人在必要时可以使用承包人的试验场所、试验设备器材以及其他试验条件，进行以工程质量检查为目的的复核性材料试验，承包人应予以协助。</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sz w:val="24"/>
          <w:szCs w:val="20"/>
          <w:highlight w:val="none"/>
        </w:rPr>
        <w:outlineLvl w:val="2"/>
      </w:pPr>
      <w:r/>
      <w:bookmarkStart w:id="783" w:name="_Toc179632723"/>
      <w:r/>
      <w:bookmarkStart w:id="784" w:name="_Toc152042483"/>
      <w:r/>
      <w:bookmarkStart w:id="785" w:name="_Toc144974674"/>
      <w:r/>
      <w:bookmarkStart w:id="786" w:name="_Toc152045705"/>
      <w:r>
        <w:rPr>
          <w:rFonts w:hint="eastAsia" w:ascii="宋体" w:hAnsi="宋体" w:eastAsia="宋体" w:cs="宋体"/>
          <w:sz w:val="24"/>
          <w:szCs w:val="20"/>
          <w:highlight w:val="none"/>
        </w:rPr>
        <w:t xml:space="preserve">14.3 现场工艺试验</w:t>
      </w:r>
      <w:bookmarkEnd w:id="783"/>
      <w:r/>
      <w:bookmarkEnd w:id="784"/>
      <w:r/>
      <w:bookmarkEnd w:id="785"/>
      <w:r/>
      <w:bookmarkEnd w:id="786"/>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787" w:name="_Toc222032685"/>
      <w:r/>
      <w:bookmarkStart w:id="788" w:name="_Toc229305376"/>
      <w:r/>
      <w:bookmarkStart w:id="789" w:name="_Toc221950924"/>
      <w:r/>
      <w:bookmarkStart w:id="790" w:name="_Toc222033867"/>
      <w:r/>
      <w:bookmarkStart w:id="791" w:name="_Toc222029516"/>
      <w:r/>
      <w:bookmarkStart w:id="792" w:name="_Toc102122038"/>
      <w:r/>
      <w:bookmarkStart w:id="793" w:name="_Toc222031018"/>
      <w:r/>
      <w:bookmarkStart w:id="794" w:name="_Toc229408511"/>
      <w:r>
        <w:rPr>
          <w:rFonts w:hint="eastAsia" w:ascii="宋体" w:hAnsi="宋体" w:eastAsia="宋体" w:cs="宋体"/>
          <w:sz w:val="30"/>
          <w:szCs w:val="30"/>
          <w:highlight w:val="none"/>
          <w:lang w:val="en-US" w:eastAsia="zh-CN" w:bidi="ar-SA"/>
        </w:rPr>
        <w:t xml:space="preserve">15. 变更</w:t>
      </w:r>
      <w:bookmarkEnd w:id="787"/>
      <w:r/>
      <w:bookmarkEnd w:id="788"/>
      <w:r/>
      <w:bookmarkEnd w:id="789"/>
      <w:r/>
      <w:bookmarkEnd w:id="790"/>
      <w:r/>
      <w:bookmarkEnd w:id="791"/>
      <w:r/>
      <w:bookmarkEnd w:id="792"/>
      <w:r/>
      <w:bookmarkEnd w:id="793"/>
      <w:r/>
      <w:bookmarkEnd w:id="794"/>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95" w:name="_Toc102122039"/>
      <w:r/>
      <w:bookmarkStart w:id="796" w:name="_Toc221950925"/>
      <w:r>
        <w:rPr>
          <w:rFonts w:hint="eastAsia" w:ascii="宋体" w:hAnsi="宋体" w:eastAsia="宋体" w:cs="宋体"/>
          <w:sz w:val="28"/>
          <w:szCs w:val="28"/>
          <w:highlight w:val="none"/>
          <w:lang w:val="en-US" w:eastAsia="zh-CN" w:bidi="ar-SA"/>
        </w:rPr>
        <w:t xml:space="preserve">15.1 变更的范围和内容</w:t>
      </w:r>
      <w:bookmarkEnd w:id="795"/>
      <w:r/>
      <w:bookmarkEnd w:id="796"/>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在履行合同中发生以下情形之一，应按照本条规定进行变更。</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（1）取消合同中任何一项工作，但被取消的工作不能转由发包人或其它人实施；</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（2）改变合同中任何一项工作的质量或其它特性；</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（3）改变合同工程的基线、标高、位置或尺寸；</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（4）改变合同中任何一项工作的施工时间或改变已批准的施工工艺或顺序；</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（5）为完成工程需要追加的额外工作。</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（6）增加或减少专用合同条款中约定的关键项目工程量超过其工程总量的一定数量的百分比。</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797" w:name="_Toc179632726"/>
      <w:r/>
      <w:bookmarkStart w:id="798" w:name="_Toc152045708"/>
      <w:r/>
      <w:bookmarkStart w:id="799" w:name="_Toc221950942"/>
      <w:r/>
      <w:bookmarkStart w:id="800" w:name="_Toc152042486"/>
      <w:r/>
      <w:bookmarkStart w:id="801" w:name="_Toc102122040"/>
      <w:r/>
      <w:bookmarkStart w:id="802" w:name="_Toc144974677"/>
      <w:r>
        <w:rPr>
          <w:rFonts w:hint="eastAsia" w:ascii="宋体" w:hAnsi="宋体" w:eastAsia="宋体" w:cs="宋体"/>
          <w:sz w:val="28"/>
          <w:szCs w:val="28"/>
          <w:highlight w:val="none"/>
          <w:lang w:val="en-US" w:eastAsia="zh-CN" w:bidi="ar-SA"/>
        </w:rPr>
        <w:t xml:space="preserve">15.2 变更权</w:t>
      </w:r>
      <w:bookmarkEnd w:id="797"/>
      <w:r/>
      <w:bookmarkEnd w:id="798"/>
      <w:r/>
      <w:bookmarkEnd w:id="800"/>
      <w:r/>
      <w:bookmarkEnd w:id="801"/>
      <w:r/>
      <w:bookmarkEnd w:id="80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在履行合同过程中，经发包人同意，监理人可按第15.3款约定的变更程序向承包人作出变更指示，承包人应遵照执行。没有监理人的变更指示，承包人不得擅自变更。</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03" w:name="_Toc144974678"/>
      <w:r/>
      <w:bookmarkStart w:id="804" w:name="_Toc179632727"/>
      <w:r/>
      <w:bookmarkStart w:id="805" w:name="_Toc152042487"/>
      <w:r/>
      <w:bookmarkStart w:id="806" w:name="_Toc152045709"/>
      <w:r/>
      <w:bookmarkStart w:id="807" w:name="_Toc102122041"/>
      <w:r>
        <w:rPr>
          <w:rFonts w:hint="eastAsia" w:ascii="宋体" w:hAnsi="宋体" w:eastAsia="宋体" w:cs="宋体"/>
          <w:sz w:val="28"/>
          <w:szCs w:val="28"/>
          <w:highlight w:val="none"/>
          <w:lang w:val="en-US" w:eastAsia="zh-CN" w:bidi="ar-SA"/>
        </w:rPr>
        <w:t xml:space="preserve">15.3 变更程序</w:t>
      </w:r>
      <w:bookmarkEnd w:id="803"/>
      <w:r/>
      <w:bookmarkEnd w:id="804"/>
      <w:r/>
      <w:bookmarkEnd w:id="805"/>
      <w:r/>
      <w:bookmarkEnd w:id="806"/>
      <w:r/>
      <w:bookmarkEnd w:id="80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15.3.1 变更的提出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（2）在合同履行过程中，发生第15.1款约定情形的，监理人应按照第15.3.3项约定向承包人发出变更指示。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（4）若承包人收到监理人的变更意向书后认为难以实施此项变更，应立即通知监理人，说明原因并附详细依据。监理人与承包人和发包人协商后确定撤销、改变或不改变原变更意向书。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15.3.2 变更估价</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（2）变更工作影响工期的，承包人应提出调整工期的具体细节。监理人认为有必要时，可要求承包人提交要求提前或延长工期的施工进度计划及相应施工措施等详细资料。</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（3）除专用合同条款对期限另有约定外，监理人收到承包人变更报价书后的14天内，根据第15.4款约定的估价原则，按照第3.5款商定或确定变更价格。</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15.3.3 变更指示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（1）变更指示只能由监理人发出。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（2）变更指示应说明变更的目的、范围、变更内容以及变更的工程量及其进度和技术要求，并附有关图纸和文件。承包人收到变更指示后，应按变更指示进行变更工作。</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08" w:name="_Toc152042488"/>
      <w:r/>
      <w:bookmarkStart w:id="809" w:name="_Toc102122042"/>
      <w:r/>
      <w:bookmarkStart w:id="810" w:name="_Toc179632728"/>
      <w:r/>
      <w:bookmarkStart w:id="811" w:name="_Toc152045710"/>
      <w:r/>
      <w:bookmarkStart w:id="812" w:name="_Toc144974679"/>
      <w:r>
        <w:rPr>
          <w:rFonts w:hint="eastAsia" w:ascii="宋体" w:hAnsi="宋体" w:eastAsia="宋体" w:cs="宋体"/>
          <w:sz w:val="28"/>
          <w:szCs w:val="28"/>
          <w:highlight w:val="none"/>
          <w:lang w:val="en-US" w:eastAsia="zh-CN" w:bidi="ar-SA"/>
        </w:rPr>
        <w:t xml:space="preserve">15.4 变更的估价原则</w:t>
      </w:r>
      <w:bookmarkEnd w:id="808"/>
      <w:r/>
      <w:bookmarkEnd w:id="809"/>
      <w:r/>
      <w:bookmarkEnd w:id="810"/>
      <w:r/>
      <w:bookmarkEnd w:id="811"/>
      <w:r/>
      <w:bookmarkEnd w:id="81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除专用合同条款另有约定外，因变更引起的价格调整按照本款约定处理。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15.4.1 已标价工程量清单中有适用于变更工作的子目的，采用该子目的单价。</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15.4.2 已标价工程量清单中无适用于变更工作的子目，但有类似子目的，可在合理范围内参照类似子目的单价，由监理人按第3.5款商定或确定变更工作的单价。</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15.4.3 已标价工程量清单中无适用或类似子目的单价，可按照成本加利润的原则，由监理人按第3.5款商定或确定变更工作的单价。</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13" w:name="_Toc152042489"/>
      <w:r/>
      <w:bookmarkStart w:id="814" w:name="_Toc179632729"/>
      <w:r/>
      <w:bookmarkStart w:id="815" w:name="_Toc152045711"/>
      <w:r/>
      <w:bookmarkStart w:id="816" w:name="_Toc102122043"/>
      <w:r/>
      <w:bookmarkStart w:id="817" w:name="_Toc144974680"/>
      <w:r>
        <w:rPr>
          <w:rFonts w:hint="eastAsia" w:ascii="宋体" w:hAnsi="宋体" w:eastAsia="宋体" w:cs="宋体"/>
          <w:sz w:val="28"/>
          <w:szCs w:val="28"/>
          <w:highlight w:val="none"/>
          <w:lang w:val="en-US" w:eastAsia="zh-CN" w:bidi="ar-SA"/>
        </w:rPr>
        <w:t xml:space="preserve">15.5 承包人的合理化建议</w:t>
      </w:r>
      <w:bookmarkEnd w:id="813"/>
      <w:r/>
      <w:bookmarkEnd w:id="814"/>
      <w:r/>
      <w:bookmarkEnd w:id="815"/>
      <w:r/>
      <w:bookmarkEnd w:id="816"/>
      <w:r/>
      <w:bookmarkEnd w:id="81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15.5.2 承包人提出的合理化建议降低了合同价格、缩短了工期或者提高了工程经济效益的，发包人可按国家有关规定在专用合同条款中约定给予奖励。</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18" w:name="_Toc179632730"/>
      <w:r/>
      <w:bookmarkStart w:id="819" w:name="_Toc102122044"/>
      <w:r/>
      <w:bookmarkStart w:id="820" w:name="_Toc152045712"/>
      <w:r/>
      <w:bookmarkStart w:id="821" w:name="_Toc152042490"/>
      <w:r/>
      <w:bookmarkStart w:id="822" w:name="_Toc144974681"/>
      <w:r>
        <w:rPr>
          <w:rFonts w:hint="eastAsia" w:ascii="宋体" w:hAnsi="宋体" w:eastAsia="宋体" w:cs="宋体"/>
          <w:sz w:val="28"/>
          <w:szCs w:val="28"/>
          <w:highlight w:val="none"/>
          <w:lang w:val="en-US" w:eastAsia="zh-CN" w:bidi="ar-SA"/>
        </w:rPr>
        <w:t xml:space="preserve">15.6 暂列金额</w:t>
      </w:r>
      <w:bookmarkEnd w:id="818"/>
      <w:r/>
      <w:bookmarkEnd w:id="819"/>
      <w:r/>
      <w:bookmarkEnd w:id="820"/>
      <w:r/>
      <w:bookmarkEnd w:id="821"/>
      <w:r/>
      <w:bookmarkEnd w:id="82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暂列金额只能按照监理人的指示使用，并对合同价格进行相应调整。</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23" w:name="_Toc179632731"/>
      <w:r/>
      <w:bookmarkStart w:id="824" w:name="_Toc102122045"/>
      <w:r/>
      <w:bookmarkStart w:id="825" w:name="_Toc152045713"/>
      <w:r/>
      <w:bookmarkStart w:id="826" w:name="_Toc152042491"/>
      <w:r/>
      <w:bookmarkStart w:id="827" w:name="_Toc144974682"/>
      <w:r>
        <w:rPr>
          <w:rFonts w:hint="eastAsia" w:ascii="宋体" w:hAnsi="宋体" w:eastAsia="宋体" w:cs="宋体"/>
          <w:sz w:val="28"/>
          <w:szCs w:val="28"/>
          <w:highlight w:val="none"/>
          <w:lang w:val="en-US" w:eastAsia="zh-CN" w:bidi="ar-SA"/>
        </w:rPr>
        <w:t xml:space="preserve">15.7 计日工</w:t>
      </w:r>
      <w:bookmarkEnd w:id="823"/>
      <w:r/>
      <w:bookmarkEnd w:id="824"/>
      <w:r/>
      <w:bookmarkEnd w:id="825"/>
      <w:r/>
      <w:bookmarkEnd w:id="826"/>
      <w:r/>
      <w:bookmarkEnd w:id="82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15.7.1 发包人认为有必要时，由监理人通知承包人以计日工方式实施变更的零星工作。其价款按列入已标价工程量清单中的计日工计价子目及其单价进行计算。</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15.7.2 采用计日工计价的任何一项变更工作，应从暂列金额中支付，承包人应在该项变更的实施过程中，每天提交以下报表和有关凭证报送监理人审批：</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（1）工作名称、内容和数量；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（2）投入该工作所有人员的姓名、工种、级别和耗用工时；</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（3）投入该工作的材料类别和数量；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（4）投入该工作的施工设备型号、台数和耗用台时；</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（5）监理人要求提交的其他资料和凭证。</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15.7.3 计日工由承包人汇总后，按第17.3.2项的约定列入进度付款申请单，由监理人复核并经发包人同意后列入进度付款。</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28" w:name="_Toc102122046"/>
      <w:r>
        <w:rPr>
          <w:rFonts w:hint="eastAsia" w:ascii="宋体" w:hAnsi="宋体" w:eastAsia="宋体" w:cs="宋体"/>
          <w:sz w:val="28"/>
          <w:szCs w:val="28"/>
          <w:highlight w:val="none"/>
          <w:lang w:val="en-US" w:eastAsia="zh-CN" w:bidi="ar-SA"/>
        </w:rPr>
        <w:t xml:space="preserve">15.8 暂估价</w:t>
      </w:r>
      <w:bookmarkEnd w:id="799"/>
      <w:r/>
      <w:bookmarkEnd w:id="828"/>
      <w:r>
        <w:rPr>
          <w:rFonts w:hint="eastAsia" w:ascii="宋体" w:hAnsi="宋体" w:eastAsia="宋体" w:cs="宋体"/>
          <w:sz w:val="28"/>
          <w:szCs w:val="28"/>
          <w:highlight w:val="none"/>
          <w:lang w:val="en-US" w:eastAsia="zh-CN" w:bidi="ar-SA"/>
        </w:rPr>
      </w:r>
      <w:r/>
    </w:p>
    <w:p>
      <w:pPr>
        <w:pStyle w:val="1159"/>
        <w:ind w:firstLine="484"/>
        <w:spacing w:line="400" w:lineRule="exact"/>
        <w:rPr>
          <w:rFonts w:hint="eastAsia" w:ascii="宋体" w:hAnsi="宋体" w:eastAsia="宋体" w:cs="宋体"/>
          <w:sz w:val="24"/>
          <w:szCs w:val="20"/>
          <w:highlight w:val="none"/>
        </w:rPr>
      </w:pPr>
      <w:r/>
      <w:bookmarkStart w:id="829" w:name="_Toc222032686"/>
      <w:r/>
      <w:bookmarkStart w:id="830" w:name="_Toc221950944"/>
      <w:r/>
      <w:bookmarkStart w:id="831" w:name="_Toc222033868"/>
      <w:r/>
      <w:bookmarkStart w:id="832" w:name="_Toc222031019"/>
      <w:r/>
      <w:bookmarkStart w:id="833" w:name="_Toc229305377"/>
      <w:r/>
      <w:bookmarkStart w:id="834" w:name="_Toc222029517"/>
      <w:r/>
      <w:bookmarkStart w:id="835" w:name="_Toc229408512"/>
      <w:r>
        <w:rPr>
          <w:rFonts w:hint="eastAsia" w:ascii="宋体" w:hAnsi="宋体" w:eastAsia="宋体" w:cs="宋体"/>
          <w:sz w:val="24"/>
          <w:szCs w:val="20"/>
          <w:highlight w:val="none"/>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与工程量清单中所列金额差以及相应的税金等其他费用列入合同价格。必须招标的暂估价项目招标组织形式、发包人和承包人组织招标时双方的权利义务关系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836" w:name="_Toc102122047"/>
      <w:r>
        <w:rPr>
          <w:rFonts w:hint="eastAsia" w:ascii="宋体" w:hAnsi="宋体" w:eastAsia="宋体" w:cs="宋体"/>
          <w:sz w:val="30"/>
          <w:szCs w:val="30"/>
          <w:highlight w:val="none"/>
          <w:lang w:val="en-US" w:eastAsia="zh-CN" w:bidi="ar-SA"/>
        </w:rPr>
        <w:t xml:space="preserve">16. 价格调整</w:t>
      </w:r>
      <w:bookmarkEnd w:id="829"/>
      <w:r/>
      <w:bookmarkEnd w:id="830"/>
      <w:r/>
      <w:bookmarkEnd w:id="831"/>
      <w:r/>
      <w:bookmarkEnd w:id="832"/>
      <w:r/>
      <w:bookmarkEnd w:id="833"/>
      <w:r/>
      <w:bookmarkEnd w:id="834"/>
      <w:r/>
      <w:bookmarkEnd w:id="835"/>
      <w:r/>
      <w:bookmarkEnd w:id="836"/>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37" w:name="_Toc221950945"/>
      <w:r/>
      <w:bookmarkStart w:id="838" w:name="_Toc102122048"/>
      <w:r>
        <w:rPr>
          <w:rFonts w:hint="eastAsia" w:ascii="宋体" w:hAnsi="宋体" w:eastAsia="宋体" w:cs="宋体"/>
          <w:sz w:val="28"/>
          <w:szCs w:val="28"/>
          <w:highlight w:val="none"/>
          <w:lang w:val="en-US" w:eastAsia="zh-CN" w:bidi="ar-SA"/>
        </w:rPr>
        <w:t xml:space="preserve">16.1 物价波动引起的价格调整</w:t>
      </w:r>
      <w:bookmarkEnd w:id="837"/>
      <w:r/>
      <w:bookmarkEnd w:id="83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由于物价波动原因引起合同价格需要调整的，其价格调整方式在专用合同条款中约定。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16.1.1 采用价格指数调整价格差额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16.1.1.1 价格调整公式</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因人工、材料和设备等价格波动影响合同价格时，根据投标函附录中的价格指数和权重表约定的数据，按以下公式计算差额并调整合同价格。</w:t>
      </w:r>
      <w:r>
        <w:rPr>
          <w:rFonts w:hint="eastAsia" w:ascii="宋体" w:hAnsi="宋体" w:eastAsia="宋体" w:cs="宋体"/>
          <w:sz w:val="24"/>
          <w:szCs w:val="20"/>
          <w:highlight w:val="none"/>
        </w:rPr>
      </w:r>
      <w:r/>
    </w:p>
    <w:p>
      <w:pPr>
        <w:pStyle w:val="1159"/>
        <w:ind w:right="248" w:firstLine="835"/>
        <w:spacing w:line="1200" w:lineRule="exact"/>
        <w:rPr>
          <w:rFonts w:hint="eastAsia" w:ascii="宋体" w:hAnsi="宋体" w:eastAsia="宋体" w:cs="宋体"/>
          <w:szCs w:val="20"/>
          <w:highlight w:val="none"/>
        </w:rPr>
      </w:pPr>
      <w:r>
        <w:rPr>
          <w:rFonts w:hint="eastAsia" w:ascii="宋体" w:hAnsi="宋体" w:eastAsia="宋体" w:cs="宋体"/>
          <w:position w:val="-34"/>
          <w:szCs w:val="20"/>
          <w:highlight w:val="none"/>
        </w:rPr>
        <w:object w:dxaOrig="6120" w:dyaOrig="79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6.0pt;height:39.8pt;mso-wrap-distance-left:0.0pt;mso-wrap-distance-top:0.0pt;mso-wrap-distance-right:0.0pt;mso-wrap-distance-bottom:0.0pt;" filled="f" stroked="f">
            <v:path textboxrect="0,0,0,0"/>
            <v:imagedata r:id="rId27" o:title=""/>
          </v:shape>
          <o:OLEObject DrawAspect="Content" r:id="rId28" ObjectID="_1525044" ProgID="Equation.3" ShapeID="_x0000_i4" Type="Embed"/>
        </w:object>
      </w:r>
      <w:r>
        <w:rPr>
          <w:rFonts w:hint="eastAsia" w:ascii="宋体" w:hAnsi="宋体" w:eastAsia="宋体" w:cs="宋体"/>
          <w:szCs w:val="20"/>
          <w:highlight w:val="none"/>
        </w:rPr>
      </w:r>
      <w:r/>
    </w:p>
    <w:p>
      <w:pPr>
        <w:pStyle w:val="1159"/>
        <w:ind w:firstLine="420"/>
        <w:spacing w:line="400" w:lineRule="exact"/>
        <w:tabs>
          <w:tab w:val="left" w:pos="1260" w:leader="none"/>
        </w:tabs>
        <w:rPr>
          <w:rFonts w:hint="eastAsia" w:ascii="宋体" w:hAnsi="宋体" w:eastAsia="宋体" w:cs="宋体"/>
          <w:szCs w:val="20"/>
          <w:highlight w:val="none"/>
        </w:rPr>
      </w:pPr>
      <w:r>
        <w:rPr>
          <w:rFonts w:hint="eastAsia" w:ascii="宋体" w:hAnsi="宋体" w:eastAsia="宋体" w:cs="宋体"/>
          <w:szCs w:val="20"/>
          <w:highlight w:val="none"/>
        </w:rPr>
      </w:r>
      <w:r/>
    </w:p>
    <w:p>
      <w:pPr>
        <w:pStyle w:val="1159"/>
        <w:ind w:firstLine="480"/>
        <w:spacing w:line="400" w:lineRule="exact"/>
        <w:tabs>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式中： △P -- 需调整的价格差额；</w:t>
      </w:r>
      <w:r>
        <w:rPr>
          <w:rFonts w:hint="eastAsia" w:ascii="宋体" w:hAnsi="宋体" w:eastAsia="宋体" w:cs="宋体"/>
          <w:sz w:val="24"/>
          <w:szCs w:val="20"/>
          <w:highlight w:val="none"/>
        </w:rPr>
      </w:r>
      <w:r/>
    </w:p>
    <w:p>
      <w:pPr>
        <w:pStyle w:val="1159"/>
        <w:spacing w:line="400" w:lineRule="exact"/>
        <w:tabs>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P0 --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宋体" w:hAnsi="宋体" w:eastAsia="宋体" w:cs="宋体"/>
          <w:sz w:val="24"/>
          <w:szCs w:val="20"/>
          <w:highlight w:val="none"/>
        </w:rPr>
      </w:r>
      <w:r/>
    </w:p>
    <w:p>
      <w:pPr>
        <w:pStyle w:val="1159"/>
        <w:spacing w:line="400" w:lineRule="exact"/>
        <w:tabs>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ab/>
      </w:r>
      <w:bookmarkStart w:id="839" w:name="_Toc144974686"/>
      <w:r/>
      <w:bookmarkStart w:id="840" w:name="_Toc152042495"/>
      <w:r>
        <w:rPr>
          <w:rFonts w:hint="eastAsia" w:ascii="宋体" w:hAnsi="宋体" w:eastAsia="宋体" w:cs="宋体"/>
          <w:sz w:val="24"/>
          <w:szCs w:val="20"/>
          <w:highlight w:val="none"/>
        </w:rPr>
        <w:t xml:space="preserve">A -- 定值权重(即不调部分的权重)；</w:t>
      </w:r>
      <w:bookmarkEnd w:id="839"/>
      <w:r/>
      <w:bookmarkEnd w:id="840"/>
      <w:r>
        <w:rPr>
          <w:rFonts w:hint="eastAsia" w:ascii="宋体" w:hAnsi="宋体" w:eastAsia="宋体" w:cs="宋体"/>
          <w:sz w:val="24"/>
          <w:szCs w:val="20"/>
          <w:highlight w:val="none"/>
        </w:rPr>
      </w:r>
      <w:r/>
    </w:p>
    <w:p>
      <w:pPr>
        <w:pStyle w:val="1159"/>
        <w:spacing w:line="400" w:lineRule="exact"/>
        <w:tabs>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B1; B2 ;B3·····Bn -- 各可调因子的变值权重(即可调部分的权重)为各可调因子在投标函投标总报价中所占的比例；</w:t>
      </w:r>
      <w:r>
        <w:rPr>
          <w:rFonts w:hint="eastAsia" w:ascii="宋体" w:hAnsi="宋体" w:eastAsia="宋体" w:cs="宋体"/>
          <w:sz w:val="24"/>
          <w:szCs w:val="20"/>
          <w:highlight w:val="none"/>
        </w:rPr>
      </w:r>
      <w:r/>
    </w:p>
    <w:p>
      <w:pPr>
        <w:pStyle w:val="1159"/>
        <w:spacing w:line="400" w:lineRule="exact"/>
        <w:tabs>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Ft1 ;Ft2 ;Ft3·····Ftn -- 各可调因子的现行价格指数，指第17.3.3项、第17.5.2项和第17.6.2项约定的付款证书相关周期最后一天的前42天的各可调因子的价格指数；</w:t>
      </w:r>
      <w:r>
        <w:rPr>
          <w:rFonts w:hint="eastAsia" w:ascii="宋体" w:hAnsi="宋体" w:eastAsia="宋体" w:cs="宋体"/>
          <w:sz w:val="24"/>
          <w:szCs w:val="20"/>
          <w:highlight w:val="none"/>
        </w:rPr>
      </w:r>
      <w:r/>
    </w:p>
    <w:p>
      <w:pPr>
        <w:pStyle w:val="1159"/>
        <w:spacing w:line="400" w:lineRule="exact"/>
        <w:tabs>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ab/>
      </w:r>
      <w:r>
        <w:rPr>
          <w:rFonts w:hint="eastAsia" w:ascii="宋体" w:hAnsi="宋体" w:eastAsia="宋体" w:cs="宋体"/>
          <w:sz w:val="24"/>
          <w:szCs w:val="20"/>
          <w:highlight w:val="none"/>
        </w:rPr>
        <w:t xml:space="preserve">Fo1; Fo2; Fo3·····Fon -- 各可调因子的基本价格指数，指基准日期的各可调因子的价格指数。</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16.1.1.2 暂时确定调整差额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在计算调整差额时得不到现行价格指数的，可暂用上一次价格指数计算，并在以后的付款中再按实际价格指数进行调整。</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16.1.1.3 权重的调整</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按第15.1款约定的变更导致原定合同中的权重不合理时，由监理人与承包人和发包人协商后进行调整。</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16.1.1.4 承包人工期延误后的价格调整</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16.1.2 采用造价信息调整价格差额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工程造价信息的来源以及价格调整的项目和系数在专用合同条款中约定。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41" w:name="_Toc179632735"/>
      <w:r/>
      <w:bookmarkStart w:id="842" w:name="_Toc152045717"/>
      <w:r/>
      <w:bookmarkStart w:id="843" w:name="_Toc152042496"/>
      <w:r/>
      <w:bookmarkStart w:id="844" w:name="_Toc102122049"/>
      <w:r/>
      <w:bookmarkStart w:id="845" w:name="_Toc144974688"/>
      <w:r>
        <w:rPr>
          <w:rFonts w:hint="eastAsia" w:ascii="宋体" w:hAnsi="宋体" w:eastAsia="宋体" w:cs="宋体"/>
          <w:sz w:val="28"/>
          <w:szCs w:val="28"/>
          <w:highlight w:val="none"/>
          <w:lang w:val="en-US" w:eastAsia="zh-CN" w:bidi="ar-SA"/>
        </w:rPr>
        <w:t xml:space="preserve">16.2 法律变化引起的价格调整</w:t>
      </w:r>
      <w:bookmarkEnd w:id="841"/>
      <w:r/>
      <w:bookmarkEnd w:id="842"/>
      <w:r/>
      <w:bookmarkEnd w:id="843"/>
      <w:r/>
      <w:bookmarkEnd w:id="844"/>
      <w:r/>
      <w:bookmarkEnd w:id="845"/>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846" w:name="_Toc222033869"/>
      <w:r/>
      <w:bookmarkStart w:id="847" w:name="_Toc222029518"/>
      <w:r/>
      <w:bookmarkStart w:id="848" w:name="_Toc229305378"/>
      <w:r/>
      <w:bookmarkStart w:id="849" w:name="_Toc222032687"/>
      <w:r/>
      <w:bookmarkStart w:id="850" w:name="_Toc221950995"/>
      <w:r/>
      <w:bookmarkStart w:id="851" w:name="_Toc229408513"/>
      <w:r/>
      <w:bookmarkStart w:id="852" w:name="_Toc222031020"/>
      <w:r/>
      <w:bookmarkStart w:id="853" w:name="_Toc102122050"/>
      <w:r>
        <w:rPr>
          <w:rFonts w:hint="eastAsia" w:ascii="宋体" w:hAnsi="宋体" w:eastAsia="宋体" w:cs="宋体"/>
          <w:sz w:val="30"/>
          <w:szCs w:val="30"/>
          <w:highlight w:val="none"/>
          <w:lang w:val="en-US" w:eastAsia="zh-CN" w:bidi="ar-SA"/>
        </w:rPr>
        <w:t xml:space="preserve">17. 计量与支付</w:t>
      </w:r>
      <w:bookmarkEnd w:id="846"/>
      <w:r/>
      <w:bookmarkEnd w:id="847"/>
      <w:r/>
      <w:bookmarkEnd w:id="848"/>
      <w:r/>
      <w:bookmarkEnd w:id="849"/>
      <w:r/>
      <w:bookmarkEnd w:id="850"/>
      <w:r/>
      <w:bookmarkEnd w:id="851"/>
      <w:r/>
      <w:bookmarkEnd w:id="852"/>
      <w:r/>
      <w:bookmarkEnd w:id="853"/>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54" w:name="_Toc221950996"/>
      <w:r/>
      <w:bookmarkStart w:id="855" w:name="_Toc102122051"/>
      <w:r>
        <w:rPr>
          <w:rFonts w:hint="eastAsia" w:ascii="宋体" w:hAnsi="宋体" w:eastAsia="宋体" w:cs="宋体"/>
          <w:sz w:val="28"/>
          <w:szCs w:val="28"/>
          <w:highlight w:val="none"/>
          <w:lang w:val="en-US" w:eastAsia="zh-CN" w:bidi="ar-SA"/>
        </w:rPr>
        <w:t xml:space="preserve">17.1 计量</w:t>
      </w:r>
      <w:bookmarkEnd w:id="854"/>
      <w:r/>
      <w:bookmarkEnd w:id="855"/>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Start w:id="856" w:name="_Toc221951004"/>
      <w:r>
        <w:rPr>
          <w:rFonts w:hint="eastAsia" w:ascii="宋体" w:hAnsi="宋体" w:eastAsia="宋体" w:cs="宋体"/>
          <w:sz w:val="24"/>
          <w:szCs w:val="20"/>
          <w:highlight w:val="none"/>
        </w:rPr>
        <w:t xml:space="preserve">17.1.1 计量单位</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计量采用国家法定的计量单位。</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17.1.2 计量方法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结算工程量应按工程量清单中约定的方法计算。</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17.1.3 计量周期</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除专用合同条款另有约定外，单价子目已完成工程量按月计量，总价子目的计量周期按批准的支付分解报告确定。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17.1.4 单价子目的计量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（1）已标价工程量清单中的单价子目工程量为估算工程量。结算工程量是承包人实际完成的，并按合同约定的计量方法进行计量的工程量。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（2）承包人对已完成的工程进行计量，向监理人提交进度付款申请单、已完成工程量报表和有关计量资料。</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（4）监理人认为有必要时，可通知承包人共同进行联合测量、计量，承包人应遵照执行。</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17.1.5 总价子目的计量 </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总价子目的分解和计量按照下述约定进行。</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（1）总价子目的计量和支付应以总价为基础，不因第16.1款中的因素而进行调整。承包人实际完成的工程量，是进行工程目标管理和控制进度支付的依据。</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（3）监理人对承包人提交的上述资料进行复核，以确定分阶段实际完成的工程量和工程形象目标。对其有异议的，可要求承包人按第8.2款约定进行共同复核和抽样复测。</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（4）除按照第15条约定的变更外，总价子目的工程量是承包人用于结算的最终工程量。 </w:t>
      </w:r>
      <w:bookmarkEnd w:id="856"/>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57" w:name="_Toc144974691"/>
      <w:r/>
      <w:bookmarkStart w:id="858" w:name="_Toc152045720"/>
      <w:r/>
      <w:bookmarkStart w:id="859" w:name="_Toc152042499"/>
      <w:r/>
      <w:bookmarkStart w:id="860" w:name="_Toc221951006"/>
      <w:r/>
      <w:bookmarkStart w:id="861" w:name="_Toc179632738"/>
      <w:r/>
      <w:bookmarkStart w:id="862" w:name="_Toc102122052"/>
      <w:r>
        <w:rPr>
          <w:rFonts w:hint="eastAsia" w:ascii="宋体" w:hAnsi="宋体" w:eastAsia="宋体" w:cs="宋体"/>
          <w:sz w:val="28"/>
          <w:szCs w:val="28"/>
          <w:highlight w:val="none"/>
          <w:lang w:val="en-US" w:eastAsia="zh-CN" w:bidi="ar-SA"/>
        </w:rPr>
        <w:t xml:space="preserve">17.2 预付款</w:t>
      </w:r>
      <w:bookmarkEnd w:id="857"/>
      <w:r/>
      <w:bookmarkEnd w:id="858"/>
      <w:r/>
      <w:bookmarkEnd w:id="859"/>
      <w:r/>
      <w:bookmarkEnd w:id="861"/>
      <w:r/>
      <w:bookmarkEnd w:id="86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17.2.1 预付款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17.2.2 预付款保函（担保）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（1）承包人应在收到第一次工程预付款的同时向发包人提交工程预付款担保，担保金额应与第一次工程预付款金额相同，工程预付款担保在第一次工程预付款被发包人扣回前一直有效。</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（2）工程材料预付款的担保在专用合同条款中约定。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（3）预付款担保的担保金额可根据预付款扣回的金额相应递减。</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17.2.3 预付款的扣回与还清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End w:id="860"/>
      <w:r/>
      <w:bookmarkStart w:id="863" w:name="_Toc221951013"/>
      <w:r/>
      <w:bookmarkStart w:id="864" w:name="_Toc152045721"/>
      <w:r/>
      <w:bookmarkStart w:id="865" w:name="_Toc179632739"/>
      <w:r/>
      <w:bookmarkStart w:id="866" w:name="_Toc144974692"/>
      <w:r/>
      <w:bookmarkStart w:id="867" w:name="_Toc152042500"/>
      <w:r>
        <w:rPr>
          <w:rFonts w:hint="eastAsia" w:ascii="宋体" w:hAnsi="宋体" w:eastAsia="宋体" w:cs="宋体"/>
          <w:b/>
          <w:bCs/>
          <w:sz w:val="28"/>
          <w:szCs w:val="28"/>
          <w:highlight w:val="none"/>
        </w:rPr>
        <w:t xml:space="preserve">17.3 工程进度付款</w:t>
      </w:r>
      <w:bookmarkEnd w:id="864"/>
      <w:r/>
      <w:bookmarkEnd w:id="865"/>
      <w:r/>
      <w:bookmarkEnd w:id="866"/>
      <w:r/>
      <w:bookmarkEnd w:id="867"/>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17.3.1 付款周期</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付款周期同计量周期。</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17.3.2 进度付款申请单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（1）截至本次付款周期末已实施工程的价款；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（2）根据第15条应增加和扣减的变更金额；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（3）根据第23条应增加和扣减的索赔金额；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（4）根据第17.2款约定应支付的预付款和扣减的返还预付款；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（5）根据第17.4.1项约定应扣减的质量保证金；</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（6）根据合同应增加和扣减的其他金额。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17.3.3 进度付款证书和支付时间</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（2）发包人应在监理人收到进度付款申请单后的28天内，将进度应付款支付给承包人。发包人不按期支付的，按专用合同条款的约定支付逾期付款违约金。</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（3）监理人出具进度付款证书，不应视为监理人已同意、批准或接受了承包人完成的该部分工作。</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（4）进度付款涉及政府投资资金的，按照国库集中支付等国家相关规定和专用合同条款的约定办理。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17.3.4 工程进度付款的修正</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68" w:name="_Toc102122053"/>
      <w:r>
        <w:rPr>
          <w:rFonts w:hint="eastAsia" w:ascii="宋体" w:hAnsi="宋体" w:eastAsia="宋体" w:cs="宋体"/>
          <w:sz w:val="28"/>
          <w:szCs w:val="28"/>
          <w:highlight w:val="none"/>
          <w:lang w:val="en-US" w:eastAsia="zh-CN" w:bidi="ar-SA"/>
        </w:rPr>
        <w:t xml:space="preserve">17.4 质量保证金</w:t>
      </w:r>
      <w:bookmarkEnd w:id="863"/>
      <w:r/>
      <w:bookmarkEnd w:id="868"/>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Start w:id="869" w:name="_Toc221951015"/>
      <w:r>
        <w:rPr>
          <w:rFonts w:hint="eastAsia" w:ascii="宋体" w:hAnsi="宋体" w:eastAsia="宋体" w:cs="宋体"/>
          <w:sz w:val="24"/>
          <w:szCs w:val="20"/>
          <w:highlight w:val="none"/>
        </w:rPr>
        <w:t xml:space="preserve">17.4.1监理人应从第一个工程进度付款周期开始，在发包人的进度付款中，按专用合同条款约定扣留质量保证金，直至扣留的工程质量保证金总额达到专用合同条款约定的金额或比例为止。质量保证金的计算额度不止包括预付款的支付与扣回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70" w:name="_Toc102122054"/>
      <w:r>
        <w:rPr>
          <w:rFonts w:hint="eastAsia" w:ascii="宋体" w:hAnsi="宋体" w:eastAsia="宋体" w:cs="宋体"/>
          <w:sz w:val="28"/>
          <w:szCs w:val="28"/>
          <w:highlight w:val="none"/>
          <w:lang w:val="en-US" w:eastAsia="zh-CN" w:bidi="ar-SA"/>
        </w:rPr>
        <w:t xml:space="preserve">17.5 竣工结算</w:t>
      </w:r>
      <w:bookmarkEnd w:id="869"/>
      <w:r>
        <w:rPr>
          <w:rFonts w:hint="eastAsia" w:ascii="宋体" w:hAnsi="宋体" w:eastAsia="宋体" w:cs="宋体"/>
          <w:sz w:val="28"/>
          <w:szCs w:val="28"/>
          <w:highlight w:val="none"/>
          <w:lang w:val="en-US" w:eastAsia="zh-CN" w:bidi="ar-SA"/>
        </w:rPr>
        <w:t xml:space="preserve">（完工结算）</w:t>
      </w:r>
      <w:bookmarkEnd w:id="87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17.5.1 竣工（完工）付款申请单</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承包人应在工程接收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（2）监理人对完工付款申请单有异议的，有权要求承包人进行修正和提供补充资料。经监理人和承包人协商后，由承包人向监理人提交修正后的完工付款申请单。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17.5.2 竣工（完工）付款证书及支付时间</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监理人在收到承包人提交的竣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（2）发包人应在监理人出具完工付款证书后的14天内，将应支付款支付给承包人。发包人不按期支付的，按第17.3.3（2）目的约定，将逾期付款违约金支付给承包人。</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（3）承包人对发包人签认的完工付款证书有异议的，发包人可出具完工付款申请单中承包人已同意部分的临时付款证书。存在争议的部分，按第24条的约定办理。</w:t>
      </w:r>
      <w:r>
        <w:rPr>
          <w:rFonts w:hint="eastAsia" w:ascii="宋体" w:hAnsi="宋体" w:eastAsia="宋体" w:cs="宋体"/>
          <w:sz w:val="24"/>
          <w:szCs w:val="20"/>
          <w:highlight w:val="none"/>
        </w:rPr>
      </w:r>
      <w:r/>
    </w:p>
    <w:p>
      <w:pPr>
        <w:pStyle w:val="1159"/>
        <w:ind w:firstLine="7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（4）完工付款涉及政府投资资金的，按第17.3.3（４）目的约定办理。</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71" w:name="_Toc102122055"/>
      <w:r/>
      <w:bookmarkStart w:id="872" w:name="_Toc221951017"/>
      <w:r>
        <w:rPr>
          <w:rFonts w:hint="eastAsia" w:ascii="宋体" w:hAnsi="宋体" w:eastAsia="宋体" w:cs="宋体"/>
          <w:sz w:val="28"/>
          <w:szCs w:val="28"/>
          <w:highlight w:val="none"/>
          <w:lang w:val="en-US" w:eastAsia="zh-CN" w:bidi="ar-SA"/>
        </w:rPr>
        <w:t xml:space="preserve">17.6 最终结清</w:t>
      </w:r>
      <w:bookmarkEnd w:id="871"/>
      <w:r/>
      <w:bookmarkEnd w:id="87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17.6.1 最终结清申请单</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（1）工程质量保修责任终止证书签发后，承包人应按监理人批准的格式提交最终结清申请单。提交最终结清申请单的份数在专用合同条款中约定。</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（2）发包人对最终结清申请单内容有异议的，有权要求承包人进行修正和提供补充资料，由承包人向监理人提交修正后的最终结清申请单。</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17.6.2 最终结清证书和支付时间</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（2）发包人应在监理人出具最终结清证书后的14天内，将应支付款支付给承包人。发包人不按期支付的，按第17.3.3（2）目的约定，将逾期付款违约金支付给承包人。</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（3）承包人对发包人签认的最终结清证书有异议的，按第24条的约定办理。</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（4）最终结清付款涉及政府投资资金的，按第17.3.3（４）目的约定办理。</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73" w:name="_Toc102122056"/>
      <w:r>
        <w:rPr>
          <w:rFonts w:hint="eastAsia" w:ascii="宋体" w:hAnsi="宋体" w:eastAsia="宋体" w:cs="宋体"/>
          <w:sz w:val="28"/>
          <w:szCs w:val="28"/>
          <w:highlight w:val="none"/>
          <w:lang w:val="en-US" w:eastAsia="zh-CN" w:bidi="ar-SA"/>
        </w:rPr>
        <w:t xml:space="preserve">17.7竣工财务决算</w:t>
      </w:r>
      <w:bookmarkEnd w:id="873"/>
      <w:r>
        <w:rPr>
          <w:rFonts w:hint="eastAsia" w:ascii="宋体" w:hAnsi="宋体" w:eastAsia="宋体" w:cs="宋体"/>
          <w:sz w:val="28"/>
          <w:szCs w:val="28"/>
          <w:highlight w:val="none"/>
          <w:lang w:val="en-US" w:eastAsia="zh-CN" w:bidi="ar-SA"/>
        </w:rPr>
      </w:r>
      <w:r/>
    </w:p>
    <w:p>
      <w:pPr>
        <w:pStyle w:val="1159"/>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发包人负责编制本工程项目竣工财务决算，承包人应按专用合同条款的约定提供竣工财务决算编制所需的相关材料。</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74" w:name="_Toc102122057"/>
      <w:r>
        <w:rPr>
          <w:rFonts w:hint="eastAsia" w:ascii="宋体" w:hAnsi="宋体" w:eastAsia="宋体" w:cs="宋体"/>
          <w:sz w:val="28"/>
          <w:szCs w:val="28"/>
          <w:highlight w:val="none"/>
          <w:lang w:val="en-US" w:eastAsia="zh-CN" w:bidi="ar-SA"/>
        </w:rPr>
        <w:t xml:space="preserve">17.8竣工审计</w:t>
      </w:r>
      <w:bookmarkEnd w:id="874"/>
      <w:r>
        <w:rPr>
          <w:rFonts w:hint="eastAsia" w:ascii="宋体" w:hAnsi="宋体" w:eastAsia="宋体" w:cs="宋体"/>
          <w:sz w:val="28"/>
          <w:szCs w:val="28"/>
          <w:highlight w:val="none"/>
          <w:lang w:val="en-US" w:eastAsia="zh-CN" w:bidi="ar-SA"/>
        </w:rPr>
      </w:r>
      <w:r/>
    </w:p>
    <w:p>
      <w:pPr>
        <w:pStyle w:val="1159"/>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发包人负责完成本工程竣工审计手续，承包人应完成相关配合工作。</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875" w:name="_Toc221951019"/>
      <w:r/>
      <w:bookmarkStart w:id="876" w:name="_Toc229408514"/>
      <w:r/>
      <w:bookmarkStart w:id="877" w:name="_Toc222032688"/>
      <w:r/>
      <w:bookmarkStart w:id="878" w:name="_Toc222033870"/>
      <w:r/>
      <w:bookmarkStart w:id="879" w:name="_Toc102122058"/>
      <w:r/>
      <w:bookmarkStart w:id="880" w:name="_Toc229305379"/>
      <w:r/>
      <w:bookmarkStart w:id="881" w:name="_Toc222029519"/>
      <w:r/>
      <w:bookmarkStart w:id="882" w:name="_Toc222031021"/>
      <w:r>
        <w:rPr>
          <w:rFonts w:hint="eastAsia" w:ascii="宋体" w:hAnsi="宋体" w:eastAsia="宋体" w:cs="宋体"/>
          <w:sz w:val="30"/>
          <w:szCs w:val="30"/>
          <w:highlight w:val="none"/>
          <w:lang w:val="en-US" w:eastAsia="zh-CN" w:bidi="ar-SA"/>
        </w:rPr>
        <w:t xml:space="preserve">18. 竣工验收</w:t>
      </w:r>
      <w:bookmarkEnd w:id="875"/>
      <w:r/>
      <w:bookmarkEnd w:id="876"/>
      <w:r/>
      <w:bookmarkEnd w:id="877"/>
      <w:r/>
      <w:bookmarkEnd w:id="878"/>
      <w:r/>
      <w:bookmarkEnd w:id="880"/>
      <w:r/>
      <w:bookmarkEnd w:id="881"/>
      <w:r/>
      <w:bookmarkEnd w:id="882"/>
      <w:r>
        <w:rPr>
          <w:rFonts w:hint="eastAsia" w:ascii="宋体" w:hAnsi="宋体" w:eastAsia="宋体" w:cs="宋体"/>
          <w:sz w:val="30"/>
          <w:szCs w:val="30"/>
          <w:highlight w:val="none"/>
          <w:lang w:val="en-US" w:eastAsia="zh-CN" w:bidi="ar-SA"/>
        </w:rPr>
        <w:t xml:space="preserve">（验收）</w:t>
      </w:r>
      <w:bookmarkEnd w:id="879"/>
      <w:r>
        <w:rPr>
          <w:rFonts w:hint="eastAsia" w:ascii="宋体" w:hAnsi="宋体" w:eastAsia="宋体" w:cs="宋体"/>
          <w:sz w:val="30"/>
          <w:szCs w:val="30"/>
          <w:highlight w:val="none"/>
          <w:lang w:val="en-US" w:eastAsia="zh-CN" w:bidi="ar-SA"/>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83" w:name="_Toc222029520"/>
      <w:r/>
      <w:bookmarkStart w:id="884" w:name="_Toc102122059"/>
      <w:r/>
      <w:bookmarkStart w:id="885" w:name="_Toc229305380"/>
      <w:r/>
      <w:bookmarkStart w:id="886" w:name="_Toc222032689"/>
      <w:r/>
      <w:bookmarkStart w:id="887" w:name="_Toc222031022"/>
      <w:r/>
      <w:bookmarkStart w:id="888" w:name="_Toc222033871"/>
      <w:r/>
      <w:bookmarkStart w:id="889" w:name="_Toc221951044"/>
      <w:r>
        <w:rPr>
          <w:rFonts w:hint="eastAsia" w:ascii="宋体" w:hAnsi="宋体" w:eastAsia="宋体" w:cs="宋体"/>
          <w:sz w:val="28"/>
          <w:szCs w:val="28"/>
          <w:highlight w:val="none"/>
          <w:lang w:val="en-US" w:eastAsia="zh-CN" w:bidi="ar-SA"/>
        </w:rPr>
        <w:t xml:space="preserve">18.1 验收工作分类</w:t>
      </w:r>
      <w:bookmarkEnd w:id="884"/>
      <w:r>
        <w:rPr>
          <w:rFonts w:hint="eastAsia" w:ascii="宋体" w:hAnsi="宋体" w:eastAsia="宋体" w:cs="宋体"/>
          <w:sz w:val="28"/>
          <w:szCs w:val="28"/>
          <w:highlight w:val="none"/>
          <w:lang w:val="en-US" w:eastAsia="zh-CN" w:bidi="ar-SA"/>
        </w:rPr>
      </w:r>
      <w:r/>
    </w:p>
    <w:p>
      <w:pPr>
        <w:pStyle w:val="1159"/>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0" w:name="_Toc102122060"/>
      <w:r>
        <w:rPr>
          <w:rFonts w:hint="eastAsia" w:ascii="宋体" w:hAnsi="宋体" w:eastAsia="宋体" w:cs="宋体"/>
          <w:sz w:val="28"/>
          <w:szCs w:val="28"/>
          <w:highlight w:val="none"/>
          <w:lang w:val="en-US" w:eastAsia="zh-CN" w:bidi="ar-SA"/>
        </w:rPr>
        <w:t xml:space="preserve">18.2分部工程验收</w:t>
      </w:r>
      <w:bookmarkEnd w:id="890"/>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18.2.1分部工程具备验收条件时，承包人应向发包人提交验收申请报告，发包人应在收到验收申请报告之日起10个工作日内决定是否同意进行验收。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18.2.2除专用合同条款另有约定外，监理人主持分部工程验收，承包人应派符合条件的代表参加验收工作组。</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18.2.3分部工程验收通过后，发包人向承包人发送分部工程验收鉴定书。承包人应及时完成分部工程验收鉴定书载明应由承包人处理的遗留问题。</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1" w:name="_Toc102122061"/>
      <w:r>
        <w:rPr>
          <w:rFonts w:hint="eastAsia" w:ascii="宋体" w:hAnsi="宋体" w:eastAsia="宋体" w:cs="宋体"/>
          <w:sz w:val="28"/>
          <w:szCs w:val="28"/>
          <w:highlight w:val="none"/>
          <w:lang w:val="en-US" w:eastAsia="zh-CN" w:bidi="ar-SA"/>
        </w:rPr>
        <w:t xml:space="preserve">18.3单位工程验收</w:t>
      </w:r>
      <w:bookmarkEnd w:id="891"/>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18.3.1单位工程具备验收条件时，承包人应向发包人提交验收申请报告，发包人应在收到验收申请报告之日起10个工作日内决定是否同意进行验收。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18.3.2发包人主持单位工程验收，承包人应派符合条件的代表参加验收工作组。</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18.3.3单位工程验收通过后，发包人向承包人发送单位工程验收鉴定书。承包人应及时完成单位工程验收鉴定书载明应由承包人处理的遗留问题。</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18.3.4 需提前投入使用的单位工程在专用合同条款中明确。</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2" w:name="_Toc102122062"/>
      <w:r>
        <w:rPr>
          <w:rFonts w:hint="eastAsia" w:ascii="宋体" w:hAnsi="宋体" w:eastAsia="宋体" w:cs="宋体"/>
          <w:sz w:val="28"/>
          <w:szCs w:val="28"/>
          <w:highlight w:val="none"/>
          <w:lang w:val="en-US" w:eastAsia="zh-CN" w:bidi="ar-SA"/>
        </w:rPr>
        <w:t xml:space="preserve">18.4合同工程完工验收</w:t>
      </w:r>
      <w:bookmarkEnd w:id="892"/>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 4.1合同工程具备验收条件时，承包人应向发包人提交验收申请报告，发包人应在收到验收申请报告之日起20个工作日内决定是否同意进行验收。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18.4.2发包人主持合同工程完工验收，承包人应派符合条件的代表参加验收工作组。</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18.4.3合同工程完工验收通过后，发包人向承包人发送合同工程完工验收鉴定书。承包人应及时完成合同工程完工验收鉴定书载明应由承包人处理的遗留问题。</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18.4.4合同工程完工验收通过后，发包人与承包人应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30个工作日内向承包人颁发合同工程完工证书。</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3" w:name="_Toc102122063"/>
      <w:r>
        <w:rPr>
          <w:rFonts w:hint="eastAsia" w:ascii="宋体" w:hAnsi="宋体" w:eastAsia="宋体" w:cs="宋体"/>
          <w:sz w:val="28"/>
          <w:szCs w:val="28"/>
          <w:highlight w:val="none"/>
          <w:lang w:val="en-US" w:eastAsia="zh-CN" w:bidi="ar-SA"/>
        </w:rPr>
        <w:t xml:space="preserve">18.5阶段验收</w:t>
      </w:r>
      <w:bookmarkEnd w:id="893"/>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18.5.2承包人应及时完成阶段验收鉴定书载明应由承包人处理的遗留问题。</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4" w:name="_Toc102122064"/>
      <w:r>
        <w:rPr>
          <w:rFonts w:hint="eastAsia" w:ascii="宋体" w:hAnsi="宋体" w:eastAsia="宋体" w:cs="宋体"/>
          <w:sz w:val="28"/>
          <w:szCs w:val="28"/>
          <w:highlight w:val="none"/>
          <w:lang w:val="en-US" w:eastAsia="zh-CN" w:bidi="ar-SA"/>
        </w:rPr>
        <w:t xml:space="preserve">18.6  专项验收</w:t>
      </w:r>
      <w:bookmarkEnd w:id="894"/>
      <w:r>
        <w:rPr>
          <w:rFonts w:hint="eastAsia" w:ascii="宋体" w:hAnsi="宋体" w:eastAsia="宋体" w:cs="宋体"/>
          <w:sz w:val="28"/>
          <w:szCs w:val="28"/>
          <w:highlight w:val="none"/>
          <w:lang w:val="en-US" w:eastAsia="zh-CN" w:bidi="ar-SA"/>
        </w:rPr>
        <w:t xml:space="preserve">  </w:t>
      </w:r>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18.6.1发包人负责提出专项验收申请报告。承包人应按专项验收的相关规定参加专项验收。专项验收的具体类别在专用合同条款中约定。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18.6.2承包应及时完成专项成果性文件载明应由承包人处理的遗留问题。</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5" w:name="_Toc102122065"/>
      <w:r>
        <w:rPr>
          <w:rFonts w:hint="eastAsia" w:ascii="宋体" w:hAnsi="宋体" w:eastAsia="宋体" w:cs="宋体"/>
          <w:sz w:val="28"/>
          <w:szCs w:val="28"/>
          <w:highlight w:val="none"/>
          <w:lang w:val="en-US" w:eastAsia="zh-CN" w:bidi="ar-SA"/>
        </w:rPr>
        <w:t xml:space="preserve">18.7 竣工验收</w:t>
      </w:r>
      <w:bookmarkEnd w:id="895"/>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18.7.1申请竣工验收前，发包人组织竣工验收自查，承包人应派代表参加。</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18.7.2竣工验收分为竣工技术预验收和竣工验收两个阶段，发包人应通知承包人派代表参加技术预验收和竣工验收。</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18.7.3专用合同条款约定工程需要进行技术鉴定的，承包人应提交有关资料并完成配合工作。</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18.7.4竣工验收需要进行质量检测的，所需费用由发包人承担，但因承包人原因造成质量不合格的除外。</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18.7.5工程质量保修期满以及竣工验收遗留问题和尾工处理完成并通过验收后，发包人负责将处理情况和验收成果报送竣工验收主持单位，申请领取工程竣工证书，并发送承包人。</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28"/>
          <w:szCs w:val="28"/>
          <w:highlight w:val="none"/>
          <w:lang w:val="en-US" w:eastAsia="zh-CN" w:bidi="ar-SA"/>
        </w:rPr>
        <w:outlineLvl w:val="1"/>
      </w:pPr>
      <w:r/>
      <w:bookmarkStart w:id="896" w:name="_Toc102122066"/>
      <w:r>
        <w:rPr>
          <w:rFonts w:hint="eastAsia" w:ascii="宋体" w:hAnsi="宋体" w:eastAsia="宋体" w:cs="宋体"/>
          <w:sz w:val="28"/>
          <w:szCs w:val="28"/>
          <w:highlight w:val="none"/>
          <w:lang w:val="en-US" w:eastAsia="zh-CN" w:bidi="ar-SA"/>
        </w:rPr>
        <w:t xml:space="preserve">18.8 施工期运行</w:t>
      </w:r>
      <w:bookmarkEnd w:id="896"/>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18.8.2在施工期运行中发现工程或工程设备损坏或存在缺陷的，由承包人按第19.2款约定进行修复。</w:t>
      </w:r>
      <w:r>
        <w:rPr>
          <w:rFonts w:hint="eastAsia" w:ascii="宋体" w:hAnsi="宋体" w:eastAsia="宋体" w:cs="宋体"/>
          <w:sz w:val="24"/>
          <w:szCs w:val="20"/>
          <w:highlight w:val="none"/>
        </w:rPr>
      </w:r>
      <w:r/>
    </w:p>
    <w:p>
      <w:pPr>
        <w:pStyle w:val="1159"/>
        <w:ind w:right="248"/>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18.9 试运行</w:t>
      </w:r>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18.9.1除专用合同条款另有约定外，承包人应按规定进行工程及工程设备试运行，负责提供试运行所需的人员、器材和必要的条件，并承担全部试运行费用。</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hint="eastAsia" w:ascii="宋体" w:hAnsi="宋体" w:eastAsia="宋体" w:cs="宋体"/>
          <w:sz w:val="24"/>
          <w:szCs w:val="20"/>
          <w:highlight w:val="none"/>
        </w:rPr>
      </w:r>
      <w:r/>
    </w:p>
    <w:p>
      <w:pPr>
        <w:pStyle w:val="1159"/>
        <w:ind w:right="248"/>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18.10 竣工（完工）清场</w:t>
      </w:r>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1810.1工程项目竣工（完工）清场的工作范围和内容在技术标准和要求（合同技术条款）中约定。</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18.10.2承包未按监理人的要求恢复临时占地，或者场地清理未达到合同约定的，发包人有权委托其它人恢复或清理，所发生的金额从拟支付给承包人的款项中扣除。</w:t>
      </w:r>
      <w:r>
        <w:rPr>
          <w:rFonts w:hint="eastAsia" w:ascii="宋体" w:hAnsi="宋体" w:eastAsia="宋体" w:cs="宋体"/>
          <w:sz w:val="24"/>
          <w:szCs w:val="20"/>
          <w:highlight w:val="none"/>
        </w:rPr>
      </w:r>
      <w:r/>
    </w:p>
    <w:p>
      <w:pPr>
        <w:pStyle w:val="1159"/>
        <w:ind w:right="248"/>
        <w:spacing w:line="360" w:lineRule="auto"/>
        <w:rPr>
          <w:rFonts w:hint="eastAsia" w:ascii="宋体" w:hAnsi="宋体" w:eastAsia="宋体" w:cs="宋体"/>
          <w:b/>
          <w:bCs/>
          <w:sz w:val="28"/>
          <w:szCs w:val="28"/>
          <w:highlight w:val="none"/>
        </w:rPr>
      </w:pPr>
      <w:r/>
      <w:bookmarkStart w:id="897" w:name="_Toc229408515"/>
      <w:r>
        <w:rPr>
          <w:rFonts w:hint="eastAsia" w:ascii="宋体" w:hAnsi="宋体" w:eastAsia="宋体" w:cs="宋体"/>
          <w:b/>
          <w:bCs/>
          <w:sz w:val="28"/>
          <w:szCs w:val="28"/>
          <w:highlight w:val="none"/>
        </w:rPr>
        <w:t xml:space="preserve">18.11施工队伍的撤离</w:t>
      </w:r>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合同工程接收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898" w:name="_Toc102122067"/>
      <w:r>
        <w:rPr>
          <w:rFonts w:hint="eastAsia" w:ascii="宋体" w:hAnsi="宋体" w:eastAsia="宋体" w:cs="宋体"/>
          <w:sz w:val="30"/>
          <w:szCs w:val="30"/>
          <w:highlight w:val="none"/>
          <w:lang w:val="en-US" w:eastAsia="zh-CN" w:bidi="ar-SA"/>
        </w:rPr>
        <w:t xml:space="preserve">19. 缺陷责任与保修责任</w:t>
      </w:r>
      <w:bookmarkEnd w:id="883"/>
      <w:r/>
      <w:bookmarkEnd w:id="885"/>
      <w:r/>
      <w:bookmarkEnd w:id="886"/>
      <w:r/>
      <w:bookmarkEnd w:id="887"/>
      <w:r/>
      <w:bookmarkEnd w:id="888"/>
      <w:r/>
      <w:bookmarkEnd w:id="889"/>
      <w:r/>
      <w:bookmarkEnd w:id="897"/>
      <w:r/>
      <w:bookmarkEnd w:id="898"/>
      <w:r>
        <w:rPr>
          <w:rFonts w:hint="eastAsia" w:ascii="宋体" w:hAnsi="宋体" w:eastAsia="宋体" w:cs="宋体"/>
          <w:sz w:val="30"/>
          <w:szCs w:val="30"/>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宋体"/>
          <w:sz w:val="28"/>
          <w:szCs w:val="28"/>
          <w:highlight w:val="none"/>
          <w:lang w:val="en-US" w:eastAsia="zh-CN" w:bidi="ar-SA"/>
        </w:rPr>
        <w:outlineLvl w:val="2"/>
      </w:pPr>
      <w:r/>
      <w:bookmarkStart w:id="899" w:name="_Toc221951045"/>
      <w:r>
        <w:rPr>
          <w:rFonts w:hint="eastAsia" w:ascii="宋体" w:hAnsi="宋体" w:eastAsia="宋体" w:cs="宋体"/>
          <w:sz w:val="28"/>
          <w:szCs w:val="28"/>
          <w:highlight w:val="none"/>
          <w:lang w:val="en-US" w:eastAsia="zh-CN" w:bidi="ar-SA"/>
        </w:rPr>
        <w:t xml:space="preserve">19.1 缺陷责任期（工程质量保修期）的起算时间</w:t>
      </w:r>
      <w:bookmarkEnd w:id="899"/>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Start w:id="900" w:name="_Toc221951047"/>
      <w:r/>
      <w:bookmarkStart w:id="901" w:name="_Toc179632754"/>
      <w:r/>
      <w:bookmarkStart w:id="902" w:name="_Toc152045736"/>
      <w:r/>
      <w:bookmarkStart w:id="903" w:name="_Toc152042515"/>
      <w:r/>
      <w:bookmarkStart w:id="904" w:name="_Toc144974707"/>
      <w:r>
        <w:rPr>
          <w:rFonts w:hint="eastAsia" w:ascii="宋体" w:hAnsi="宋体" w:eastAsia="宋体" w:cs="宋体"/>
          <w:sz w:val="24"/>
          <w:szCs w:val="20"/>
          <w:highlight w:val="none"/>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bookmarkEnd w:id="900"/>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19.2 缺陷责任</w:t>
      </w:r>
      <w:bookmarkEnd w:id="901"/>
      <w:r/>
      <w:bookmarkEnd w:id="902"/>
      <w:r/>
      <w:bookmarkEnd w:id="903"/>
      <w:r/>
      <w:bookmarkEnd w:id="904"/>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19.2.1 承包人应在缺陷责任期内对已交付使用的工程承担缺陷责任。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19.2.4 承包人不能在合理时间内修复缺陷的，发包人可自行修复或委托其他人修复，所需费用和利润的承担，按第19.2.3项约定办理。</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05" w:name="_Toc152042516"/>
      <w:r/>
      <w:bookmarkStart w:id="906" w:name="_Toc179632755"/>
      <w:r/>
      <w:bookmarkStart w:id="907" w:name="_Toc144974708"/>
      <w:r/>
      <w:bookmarkStart w:id="908" w:name="_Toc152045737"/>
      <w:r>
        <w:rPr>
          <w:rFonts w:hint="eastAsia" w:ascii="宋体" w:hAnsi="宋体" w:eastAsia="宋体" w:cs="宋体"/>
          <w:b/>
          <w:bCs/>
          <w:sz w:val="28"/>
          <w:szCs w:val="28"/>
          <w:highlight w:val="none"/>
        </w:rPr>
        <w:t xml:space="preserve">19.3 缺陷责任期的延长</w:t>
      </w:r>
      <w:bookmarkEnd w:id="905"/>
      <w:r/>
      <w:bookmarkEnd w:id="906"/>
      <w:r/>
      <w:bookmarkEnd w:id="907"/>
      <w:r/>
      <w:bookmarkEnd w:id="908"/>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由于承包人原因造成某项缺陷或损坏使某项工程或工程设备不能按原定目标使用而需要再次检查、检验和修复的，发包人有权要求承包人相应延长缺陷责任期，但缺陷责任期最长不超过2年。</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09" w:name="_Toc152042517"/>
      <w:r/>
      <w:bookmarkStart w:id="910" w:name="_Toc144974709"/>
      <w:r/>
      <w:bookmarkStart w:id="911" w:name="_Toc179632756"/>
      <w:r/>
      <w:bookmarkStart w:id="912" w:name="_Toc152045738"/>
      <w:r>
        <w:rPr>
          <w:rFonts w:hint="eastAsia" w:ascii="宋体" w:hAnsi="宋体" w:eastAsia="宋体" w:cs="宋体"/>
          <w:b/>
          <w:bCs/>
          <w:sz w:val="28"/>
          <w:szCs w:val="28"/>
          <w:highlight w:val="none"/>
        </w:rPr>
        <w:t xml:space="preserve">19.4 进一步试验和试运行</w:t>
      </w:r>
      <w:bookmarkEnd w:id="909"/>
      <w:r/>
      <w:bookmarkEnd w:id="910"/>
      <w:r/>
      <w:bookmarkEnd w:id="911"/>
      <w:r/>
      <w:bookmarkEnd w:id="912"/>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13" w:name="_Toc179632757"/>
      <w:r/>
      <w:bookmarkStart w:id="914" w:name="_Toc152045739"/>
      <w:r/>
      <w:bookmarkStart w:id="915" w:name="_Toc144974710"/>
      <w:r/>
      <w:bookmarkStart w:id="916" w:name="_Toc152042518"/>
      <w:r>
        <w:rPr>
          <w:rFonts w:hint="eastAsia" w:ascii="宋体" w:hAnsi="宋体" w:eastAsia="宋体" w:cs="宋体"/>
          <w:b/>
          <w:bCs/>
          <w:sz w:val="28"/>
          <w:szCs w:val="28"/>
          <w:highlight w:val="none"/>
        </w:rPr>
        <w:t xml:space="preserve">19.5 承包人的进入权</w:t>
      </w:r>
      <w:bookmarkEnd w:id="913"/>
      <w:r/>
      <w:bookmarkEnd w:id="914"/>
      <w:r/>
      <w:bookmarkEnd w:id="915"/>
      <w:r/>
      <w:bookmarkEnd w:id="916"/>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缺陷责任期内承包人为缺陷修复工作需要，有权进入工程现场，但应遵守发包人的保安和保密规定。</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17" w:name="_Toc152042519"/>
      <w:r/>
      <w:bookmarkStart w:id="918" w:name="_Toc152045740"/>
      <w:r/>
      <w:bookmarkStart w:id="919" w:name="_Toc179632758"/>
      <w:r/>
      <w:bookmarkStart w:id="920" w:name="_Toc144974711"/>
      <w:r>
        <w:rPr>
          <w:rFonts w:hint="eastAsia" w:ascii="宋体" w:hAnsi="宋体" w:eastAsia="宋体" w:cs="宋体"/>
          <w:b/>
          <w:bCs/>
          <w:sz w:val="28"/>
          <w:szCs w:val="28"/>
          <w:highlight w:val="none"/>
        </w:rPr>
        <w:t xml:space="preserve">19.6 缺陷责任期终止证书</w:t>
      </w:r>
      <w:bookmarkEnd w:id="917"/>
      <w:r/>
      <w:bookmarkEnd w:id="918"/>
      <w:r/>
      <w:bookmarkEnd w:id="919"/>
      <w:r/>
      <w:bookmarkEnd w:id="920"/>
      <w:r>
        <w:rPr>
          <w:rFonts w:hint="eastAsia" w:ascii="宋体" w:hAnsi="宋体" w:eastAsia="宋体" w:cs="宋体"/>
          <w:b/>
          <w:bCs/>
          <w:sz w:val="28"/>
          <w:szCs w:val="28"/>
          <w:highlight w:val="none"/>
        </w:rPr>
        <w:t xml:space="preserve">（工程质量保修责任终止证书）</w:t>
      </w:r>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合同工程完工验收或投入使用验收后，发包人与承包人应办理工程交接手续，承包人应向发包人递交工程质量保修书。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缺陷责任期（工程质量保修期）满后30个工作日内，发包人应向承包人颁发工程质量保修责任终止证书，并退还剩余的质量保证金，但保修责任范围内的质量缺陷未处理完成的应除外。</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21" w:name="_Toc222032690"/>
      <w:r/>
      <w:bookmarkStart w:id="922" w:name="_Toc229408516"/>
      <w:r/>
      <w:bookmarkStart w:id="923" w:name="_Toc222033872"/>
      <w:r/>
      <w:bookmarkStart w:id="924" w:name="_Toc152045741"/>
      <w:r/>
      <w:bookmarkStart w:id="925" w:name="_Toc229305381"/>
      <w:r/>
      <w:bookmarkStart w:id="926" w:name="_Toc221951060"/>
      <w:r/>
      <w:bookmarkStart w:id="927" w:name="_Toc222031023"/>
      <w:r/>
      <w:bookmarkStart w:id="928" w:name="_Toc222029521"/>
      <w:r/>
      <w:bookmarkStart w:id="929" w:name="_Toc144974712"/>
      <w:r/>
      <w:bookmarkStart w:id="930" w:name="_Toc179632759"/>
      <w:r/>
      <w:bookmarkStart w:id="931" w:name="_Toc152042520"/>
      <w:r>
        <w:rPr>
          <w:rFonts w:hint="eastAsia" w:ascii="宋体" w:hAnsi="宋体" w:eastAsia="宋体" w:cs="宋体"/>
          <w:b/>
          <w:bCs/>
          <w:sz w:val="28"/>
          <w:szCs w:val="28"/>
          <w:highlight w:val="none"/>
        </w:rPr>
        <w:t xml:space="preserve">19.7 保修责任</w:t>
      </w:r>
      <w:bookmarkEnd w:id="924"/>
      <w:r/>
      <w:bookmarkEnd w:id="929"/>
      <w:r/>
      <w:bookmarkEnd w:id="930"/>
      <w:r/>
      <w:bookmarkEnd w:id="931"/>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932" w:name="_Toc102122068"/>
      <w:r>
        <w:rPr>
          <w:rFonts w:hint="eastAsia" w:ascii="宋体" w:hAnsi="宋体" w:eastAsia="宋体" w:cs="宋体"/>
          <w:sz w:val="30"/>
          <w:szCs w:val="30"/>
          <w:highlight w:val="none"/>
          <w:lang w:val="en-US" w:eastAsia="zh-CN" w:bidi="ar-SA"/>
        </w:rPr>
        <w:t xml:space="preserve">20. 保险</w:t>
      </w:r>
      <w:bookmarkEnd w:id="921"/>
      <w:r/>
      <w:bookmarkEnd w:id="922"/>
      <w:r/>
      <w:bookmarkEnd w:id="923"/>
      <w:r/>
      <w:bookmarkEnd w:id="925"/>
      <w:r/>
      <w:bookmarkEnd w:id="926"/>
      <w:r/>
      <w:bookmarkEnd w:id="927"/>
      <w:r/>
      <w:bookmarkEnd w:id="928"/>
      <w:r/>
      <w:bookmarkEnd w:id="932"/>
      <w:r>
        <w:rPr>
          <w:rFonts w:hint="eastAsia" w:ascii="宋体" w:hAnsi="宋体" w:eastAsia="宋体" w:cs="宋体"/>
          <w:sz w:val="30"/>
          <w:szCs w:val="30"/>
          <w:highlight w:val="none"/>
          <w:lang w:val="en-US" w:eastAsia="zh-CN" w:bidi="ar-SA"/>
        </w:rPr>
      </w:r>
      <w:r/>
    </w:p>
    <w:p>
      <w:pPr>
        <w:pStyle w:val="1159"/>
        <w:keepLines/>
        <w:keepNext/>
        <w:spacing w:line="400" w:lineRule="exact"/>
        <w:rPr>
          <w:rFonts w:hint="eastAsia" w:ascii="宋体" w:hAnsi="宋体" w:eastAsia="宋体" w:cs="宋体"/>
          <w:b/>
          <w:bCs/>
          <w:sz w:val="28"/>
          <w:szCs w:val="28"/>
          <w:highlight w:val="none"/>
        </w:rPr>
        <w:outlineLvl w:val="2"/>
      </w:pPr>
      <w:r/>
      <w:bookmarkStart w:id="933" w:name="_Toc179632761"/>
      <w:r/>
      <w:bookmarkStart w:id="934" w:name="_Toc144974714"/>
      <w:r/>
      <w:bookmarkStart w:id="935" w:name="_Toc152045743"/>
      <w:r/>
      <w:bookmarkStart w:id="936" w:name="_Toc152042522"/>
      <w:r>
        <w:rPr>
          <w:rFonts w:hint="eastAsia" w:ascii="宋体" w:hAnsi="宋体" w:eastAsia="宋体" w:cs="宋体"/>
          <w:b/>
          <w:bCs/>
          <w:sz w:val="28"/>
          <w:szCs w:val="28"/>
          <w:highlight w:val="none"/>
        </w:rPr>
        <w:t xml:space="preserve">20.1 工程保险</w:t>
      </w:r>
      <w:bookmarkEnd w:id="933"/>
      <w:r/>
      <w:bookmarkEnd w:id="934"/>
      <w:r/>
      <w:bookmarkEnd w:id="935"/>
      <w:r/>
      <w:bookmarkEnd w:id="936"/>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37" w:name="_Toc144974715"/>
      <w:r/>
      <w:bookmarkStart w:id="938" w:name="_Toc152045744"/>
      <w:r/>
      <w:bookmarkStart w:id="939" w:name="_Toc179632762"/>
      <w:r/>
      <w:bookmarkStart w:id="940" w:name="_Toc152042523"/>
      <w:r>
        <w:rPr>
          <w:rFonts w:hint="eastAsia" w:ascii="宋体" w:hAnsi="宋体" w:eastAsia="宋体" w:cs="宋体"/>
          <w:b/>
          <w:bCs/>
          <w:sz w:val="28"/>
          <w:szCs w:val="28"/>
          <w:highlight w:val="none"/>
        </w:rPr>
        <w:t xml:space="preserve">20.2 人员工伤事故的保险</w:t>
      </w:r>
      <w:bookmarkEnd w:id="937"/>
      <w:r/>
      <w:bookmarkEnd w:id="938"/>
      <w:r/>
      <w:bookmarkEnd w:id="939"/>
      <w:r/>
      <w:bookmarkEnd w:id="940"/>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20.2.1 承包人员工伤事故的保险</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承包人应依照有关法律规定参加工伤保险，为其履行合同所雇佣的全部人员，缴纳工伤保险费，并要求其分包人也进行此项保险。</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20.2.2 发包人员工伤事故的保险</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发包人应依照有关法律规定参加工伤保险，为其现场机构雇佣的全部人员，缴纳工伤保险费，并要求其监理人也进行此项保险。</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41" w:name="_Toc179632763"/>
      <w:r/>
      <w:bookmarkStart w:id="942" w:name="_Toc152045745"/>
      <w:r/>
      <w:bookmarkStart w:id="943" w:name="_Toc152042524"/>
      <w:r/>
      <w:bookmarkStart w:id="944" w:name="_Toc144974716"/>
      <w:r>
        <w:rPr>
          <w:rFonts w:hint="eastAsia" w:ascii="宋体" w:hAnsi="宋体" w:eastAsia="宋体" w:cs="宋体"/>
          <w:b/>
          <w:bCs/>
          <w:sz w:val="28"/>
          <w:szCs w:val="28"/>
          <w:highlight w:val="none"/>
        </w:rPr>
        <w:t xml:space="preserve">20.3 人身意外伤害险</w:t>
      </w:r>
      <w:bookmarkEnd w:id="941"/>
      <w:r/>
      <w:bookmarkEnd w:id="942"/>
      <w:r/>
      <w:bookmarkEnd w:id="943"/>
      <w:r/>
      <w:bookmarkEnd w:id="944"/>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20.3.1 发包人应在整个施工期间为其现场机构雇用的全部人员，投保人身意外伤害险，缴纳保险费，并要求其监理人也进行此项保险。</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20.3.2 承包人应在整个施工期间为其现场机构雇用的全部人员，投保人身意外伤害险，缴纳保险费，并要求其分包人也进行此项保险。</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45" w:name="_Toc152045746"/>
      <w:r/>
      <w:bookmarkStart w:id="946" w:name="_Toc152042525"/>
      <w:r/>
      <w:bookmarkStart w:id="947" w:name="_Toc144974717"/>
      <w:r/>
      <w:bookmarkStart w:id="948" w:name="_Toc179632764"/>
      <w:r>
        <w:rPr>
          <w:rFonts w:hint="eastAsia" w:ascii="宋体" w:hAnsi="宋体" w:eastAsia="宋体" w:cs="宋体"/>
          <w:b/>
          <w:bCs/>
          <w:sz w:val="28"/>
          <w:szCs w:val="28"/>
          <w:highlight w:val="none"/>
        </w:rPr>
        <w:t xml:space="preserve">20.4 第三者责任险</w:t>
      </w:r>
      <w:bookmarkEnd w:id="945"/>
      <w:r/>
      <w:bookmarkEnd w:id="946"/>
      <w:r/>
      <w:bookmarkEnd w:id="947"/>
      <w:r/>
      <w:bookmarkEnd w:id="948"/>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20.4.2 在缺陷责任期终止证书颁发前，承包人应以承包人和发包人的共同名义，投保第20.4.1项约定的第三者责任险，其保险费率、保险金额等有关内容在专用合同条款中约定。</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49" w:name="_Toc152045747"/>
      <w:r/>
      <w:bookmarkStart w:id="950" w:name="_Toc152042526"/>
      <w:r/>
      <w:bookmarkStart w:id="951" w:name="_Toc179632765"/>
      <w:r/>
      <w:bookmarkStart w:id="952" w:name="_Toc144974718"/>
      <w:r>
        <w:rPr>
          <w:rFonts w:hint="eastAsia" w:ascii="宋体" w:hAnsi="宋体" w:eastAsia="宋体" w:cs="宋体"/>
          <w:b/>
          <w:bCs/>
          <w:sz w:val="28"/>
          <w:szCs w:val="28"/>
          <w:highlight w:val="none"/>
        </w:rPr>
        <w:t xml:space="preserve">20.5 其他保险</w:t>
      </w:r>
      <w:bookmarkEnd w:id="949"/>
      <w:r/>
      <w:bookmarkEnd w:id="950"/>
      <w:r/>
      <w:bookmarkEnd w:id="951"/>
      <w:r/>
      <w:bookmarkEnd w:id="952"/>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除专用合同条款另有约定外，承包人应为其施工设备、进场的材料和工程设备等办理保险。</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53" w:name="_Toc144974719"/>
      <w:r/>
      <w:bookmarkStart w:id="954" w:name="_Toc179632766"/>
      <w:r/>
      <w:bookmarkStart w:id="955" w:name="_Toc152042527"/>
      <w:r/>
      <w:bookmarkStart w:id="956" w:name="_Toc152045748"/>
      <w:r>
        <w:rPr>
          <w:rFonts w:hint="eastAsia" w:ascii="宋体" w:hAnsi="宋体" w:eastAsia="宋体" w:cs="宋体"/>
          <w:b/>
          <w:bCs/>
          <w:sz w:val="28"/>
          <w:szCs w:val="28"/>
          <w:highlight w:val="none"/>
        </w:rPr>
        <w:t xml:space="preserve">20.6 对各项保险的一般要求</w:t>
      </w:r>
      <w:bookmarkEnd w:id="953"/>
      <w:r/>
      <w:bookmarkEnd w:id="954"/>
      <w:r/>
      <w:bookmarkEnd w:id="955"/>
      <w:r/>
      <w:bookmarkEnd w:id="956"/>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20.6.1 保险凭证</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承包人应在专用合同条款约定的期限内向发包人提交各项保险生效的证据和保险单副本，保险单必须与专用合同条款约定的条件保持一致。</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20.6.2 保险合同条款的变动</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承包人需要变动保险合同条款时，应事先征得发包人同意，并通知监理人。保险人作出变动的，承包人应在收到保险人通知后立即通知发包人和监理人。</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20.6.3 持续保险</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承包人应与保险人保持联系，使保险人能够随时了解工程实施中的变动，并确保按保险合同条款要求持续保险。</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20.6.4 保险金不足的补偿</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保险金不足以补偿损失时，应由承包人和发包人各自负责补偿的范围和金额在专用合同条款中约定。</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20.6.5 未按约定投保的补救</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（1）由于负有投保义务的一方当事人未按合同约定办理保险，或未能使保险持续有效的，另一方当事人可代为办理，所需费用由对方当事人承担。</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（2）由于负有投保义务的一方当事人未按合同约定办理某项保险，导致受益人未能得到保险人的赔偿，原应从该项保险得到的保险金应由负有投保义务的一方当事人支付。</w:t>
      </w:r>
      <w:r>
        <w:rPr>
          <w:rFonts w:hint="eastAsia" w:ascii="宋体" w:hAnsi="宋体" w:eastAsia="宋体" w:cs="宋体"/>
          <w:sz w:val="24"/>
          <w:szCs w:val="20"/>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20.6.6 报告义务</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当保险事故发生时，投保人应按照保险单规定的条件和期限及时向保险人报告。</w:t>
      </w:r>
      <w:r>
        <w:rPr>
          <w:rFonts w:hint="eastAsia" w:ascii="宋体" w:hAnsi="宋体" w:eastAsia="宋体" w:cs="宋体"/>
          <w:sz w:val="24"/>
          <w:szCs w:val="20"/>
          <w:highlight w:val="none"/>
        </w:rPr>
      </w:r>
      <w:r/>
    </w:p>
    <w:p>
      <w:pPr>
        <w:pStyle w:val="1159"/>
        <w:jc w:val="both"/>
        <w:keepLines/>
        <w:keepNext/>
        <w:spacing w:before="240" w:after="120" w:line="240" w:lineRule="auto"/>
        <w:widowControl w:val="off"/>
        <w:rPr>
          <w:rFonts w:hint="eastAsia" w:ascii="宋体" w:hAnsi="宋体" w:eastAsia="宋体" w:cs="宋体"/>
          <w:sz w:val="28"/>
          <w:szCs w:val="28"/>
          <w:highlight w:val="none"/>
          <w:lang w:val="en-US" w:eastAsia="zh-CN" w:bidi="ar-SA"/>
        </w:rPr>
        <w:outlineLvl w:val="2"/>
      </w:pPr>
      <w:r/>
      <w:bookmarkStart w:id="957" w:name="_Toc221951074"/>
      <w:r>
        <w:rPr>
          <w:rFonts w:hint="eastAsia" w:ascii="宋体" w:hAnsi="宋体" w:eastAsia="宋体" w:cs="宋体"/>
          <w:sz w:val="28"/>
          <w:szCs w:val="28"/>
          <w:highlight w:val="none"/>
          <w:lang w:val="en-US" w:eastAsia="zh-CN" w:bidi="ar-SA"/>
        </w:rPr>
        <w:t xml:space="preserve">20.7 风险责任的转移</w:t>
      </w:r>
      <w:bookmarkEnd w:id="957"/>
      <w:r>
        <w:rPr>
          <w:rFonts w:hint="eastAsia" w:ascii="宋体" w:hAnsi="宋体" w:eastAsia="宋体" w:cs="宋体"/>
          <w:sz w:val="28"/>
          <w:szCs w:val="28"/>
          <w:highlight w:val="none"/>
          <w:lang w:val="en-US" w:eastAsia="zh-CN" w:bidi="ar-SA"/>
        </w:rPr>
      </w:r>
      <w:r/>
    </w:p>
    <w:p>
      <w:pPr>
        <w:pStyle w:val="1159"/>
        <w:ind w:firstLine="480"/>
        <w:spacing w:line="400" w:lineRule="exact"/>
        <w:rPr>
          <w:rFonts w:hint="eastAsia" w:ascii="宋体" w:hAnsi="宋体" w:eastAsia="宋体" w:cs="宋体"/>
          <w:sz w:val="24"/>
          <w:szCs w:val="20"/>
          <w:highlight w:val="none"/>
        </w:rPr>
      </w:pPr>
      <w:r/>
      <w:bookmarkStart w:id="958" w:name="_Toc221951075"/>
      <w:r>
        <w:rPr>
          <w:rFonts w:hint="eastAsia" w:ascii="宋体" w:hAnsi="宋体" w:eastAsia="宋体" w:cs="宋体"/>
          <w:sz w:val="24"/>
          <w:szCs w:val="20"/>
          <w:highlight w:val="none"/>
        </w:rPr>
        <w:t xml:space="preserve">工程通过合同工程完工验收并移交给发包人后，原由承包人应承担的风险责任，以及保险的责任、权利和义务同时转移给发包人，但承包人在缺陷责任期（工程质量保修期）前造成损失和损坏情形除外。</w:t>
      </w:r>
      <w:bookmarkEnd w:id="958"/>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959" w:name="_Toc221951076"/>
      <w:r/>
      <w:bookmarkStart w:id="960" w:name="_Toc222031024"/>
      <w:r/>
      <w:bookmarkStart w:id="961" w:name="_Toc222032691"/>
      <w:r/>
      <w:bookmarkStart w:id="962" w:name="_Toc222033873"/>
      <w:r/>
      <w:bookmarkStart w:id="963" w:name="_Toc229408517"/>
      <w:r/>
      <w:bookmarkStart w:id="964" w:name="_Toc222029522"/>
      <w:r/>
      <w:bookmarkStart w:id="965" w:name="_Toc102122069"/>
      <w:r/>
      <w:bookmarkStart w:id="966" w:name="_Toc229305382"/>
      <w:r>
        <w:rPr>
          <w:rFonts w:hint="eastAsia" w:ascii="宋体" w:hAnsi="宋体" w:eastAsia="宋体" w:cs="宋体"/>
          <w:sz w:val="30"/>
          <w:szCs w:val="30"/>
          <w:highlight w:val="none"/>
          <w:lang w:val="en-US" w:eastAsia="zh-CN" w:bidi="ar-SA"/>
        </w:rPr>
        <w:t xml:space="preserve">21. 不可抗力</w:t>
      </w:r>
      <w:bookmarkEnd w:id="959"/>
      <w:r/>
      <w:bookmarkEnd w:id="960"/>
      <w:r/>
      <w:bookmarkEnd w:id="961"/>
      <w:r/>
      <w:bookmarkEnd w:id="962"/>
      <w:r/>
      <w:bookmarkEnd w:id="963"/>
      <w:r/>
      <w:bookmarkEnd w:id="964"/>
      <w:r/>
      <w:bookmarkEnd w:id="965"/>
      <w:r/>
      <w:bookmarkEnd w:id="966"/>
      <w:r>
        <w:rPr>
          <w:rFonts w:hint="eastAsia" w:ascii="宋体" w:hAnsi="宋体" w:eastAsia="宋体" w:cs="宋体"/>
          <w:sz w:val="30"/>
          <w:szCs w:val="30"/>
          <w:highlight w:val="none"/>
          <w:lang w:val="en-US" w:eastAsia="zh-CN" w:bidi="ar-SA"/>
        </w:rPr>
      </w:r>
      <w:r/>
    </w:p>
    <w:p>
      <w:pPr>
        <w:pStyle w:val="1159"/>
        <w:keepLines/>
        <w:keepNext/>
        <w:spacing w:line="400" w:lineRule="exact"/>
        <w:rPr>
          <w:rFonts w:hint="eastAsia" w:ascii="宋体" w:hAnsi="宋体" w:eastAsia="宋体" w:cs="宋体"/>
          <w:b/>
          <w:bCs/>
          <w:sz w:val="28"/>
          <w:szCs w:val="28"/>
          <w:highlight w:val="none"/>
        </w:rPr>
        <w:outlineLvl w:val="2"/>
      </w:pPr>
      <w:r/>
      <w:bookmarkStart w:id="967" w:name="_Toc179632768"/>
      <w:r/>
      <w:bookmarkStart w:id="968" w:name="_Toc152045750"/>
      <w:r/>
      <w:bookmarkStart w:id="969" w:name="_Toc152042529"/>
      <w:r/>
      <w:bookmarkStart w:id="970" w:name="_Toc144974721"/>
      <w:r/>
      <w:bookmarkStart w:id="971" w:name="_Toc222032692"/>
      <w:r/>
      <w:bookmarkStart w:id="972" w:name="_Toc229305383"/>
      <w:r/>
      <w:bookmarkStart w:id="973" w:name="_Toc221951083"/>
      <w:r/>
      <w:bookmarkStart w:id="974" w:name="_Toc229408518"/>
      <w:r/>
      <w:bookmarkStart w:id="975" w:name="_Toc222029523"/>
      <w:r/>
      <w:bookmarkStart w:id="976" w:name="_Toc222033874"/>
      <w:r/>
      <w:bookmarkStart w:id="977" w:name="_Toc222031025"/>
      <w:r>
        <w:rPr>
          <w:rFonts w:hint="eastAsia" w:ascii="宋体" w:hAnsi="宋体" w:eastAsia="宋体" w:cs="宋体"/>
          <w:b/>
          <w:bCs/>
          <w:sz w:val="28"/>
          <w:szCs w:val="28"/>
          <w:highlight w:val="none"/>
        </w:rPr>
        <w:t xml:space="preserve">21.1 不可抗力的确认</w:t>
      </w:r>
      <w:bookmarkEnd w:id="967"/>
      <w:r/>
      <w:bookmarkEnd w:id="968"/>
      <w:r/>
      <w:bookmarkEnd w:id="969"/>
      <w:r/>
      <w:bookmarkEnd w:id="970"/>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78" w:name="_Toc152042530"/>
      <w:r/>
      <w:bookmarkStart w:id="979" w:name="_Toc144974722"/>
      <w:r/>
      <w:bookmarkStart w:id="980" w:name="_Toc179632769"/>
      <w:r/>
      <w:bookmarkStart w:id="981" w:name="_Toc152045751"/>
      <w:r>
        <w:rPr>
          <w:rFonts w:hint="eastAsia" w:ascii="宋体" w:hAnsi="宋体" w:eastAsia="宋体" w:cs="宋体"/>
          <w:b/>
          <w:bCs/>
          <w:sz w:val="28"/>
          <w:szCs w:val="28"/>
          <w:highlight w:val="none"/>
        </w:rPr>
        <w:t xml:space="preserve">21.2 不可抗力的通知</w:t>
      </w:r>
      <w:bookmarkEnd w:id="978"/>
      <w:r/>
      <w:bookmarkEnd w:id="979"/>
      <w:r/>
      <w:bookmarkEnd w:id="980"/>
      <w:r/>
      <w:bookmarkEnd w:id="981"/>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21.2.1 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82" w:name="_Toc152042531"/>
      <w:r/>
      <w:bookmarkStart w:id="983" w:name="_Toc152045752"/>
      <w:r/>
      <w:bookmarkStart w:id="984" w:name="_Toc144974723"/>
      <w:r/>
      <w:bookmarkStart w:id="985" w:name="_Toc179632770"/>
      <w:r>
        <w:rPr>
          <w:rFonts w:hint="eastAsia" w:ascii="宋体" w:hAnsi="宋体" w:eastAsia="宋体" w:cs="宋体"/>
          <w:b/>
          <w:bCs/>
          <w:sz w:val="28"/>
          <w:szCs w:val="28"/>
          <w:highlight w:val="none"/>
        </w:rPr>
        <w:t xml:space="preserve">21.3 不可抗力后果及其处理</w:t>
      </w:r>
      <w:bookmarkEnd w:id="982"/>
      <w:r/>
      <w:bookmarkEnd w:id="983"/>
      <w:r/>
      <w:bookmarkEnd w:id="984"/>
      <w:r/>
      <w:bookmarkEnd w:id="985"/>
      <w:r>
        <w:rPr>
          <w:rFonts w:hint="eastAsia" w:ascii="宋体" w:hAnsi="宋体" w:eastAsia="宋体" w:cs="宋体"/>
          <w:b/>
          <w:bCs/>
          <w:sz w:val="28"/>
          <w:szCs w:val="28"/>
          <w:highlight w:val="none"/>
        </w:rPr>
      </w:r>
      <w:r/>
    </w:p>
    <w:p>
      <w:pPr>
        <w:pStyle w:val="1159"/>
        <w:ind w:firstLine="480"/>
        <w:spacing w:line="3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21.3.1 不可抗力造成损害的责任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除专用合同条款另有约定外，不可抗力导致的人员伤亡、财产损失、费用增加和（或）工期延误等后果，由合同双方按以下原则承担：</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（1）永久工程，包括已运至施工场地的材料和工程设备的损害，以及因工程损害造成的第三者人员伤亡和财产损失由发包人承担；</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（2）承包人设备的损坏由承包人承担；</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（3）发包人和承包人各自承担其人员伤亡和其他财产损失及其相关费用；</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（4）承包人的停工损失由承包人承担，但停工期间应监理人要求照管工程和清理、修复工程的金额由发包人承担；</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（5）不能按期竣工的，应合理延长工期，承包人不需支付逾期竣工违约金。发包人要求赶工的，承包人应采取赶工措施，赶工费用由发包人承担。</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21.3.2 延迟履行期间发生的不可抗力</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合同一方当事人延迟履行，在延迟履行期间发生不可抗力的，不免除其责任。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21.3.3 避免和减少不可抗力损失</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不可抗力发生后，发包人和承包人均应采取措施尽量避免和减少损失的扩大，任何一方没有采取有效措施导致损失扩大的，应对扩大的损失承担责任。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21.3.4 因不可抗力解除合同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986" w:name="_Toc102122070"/>
      <w:r>
        <w:rPr>
          <w:rFonts w:hint="eastAsia" w:ascii="宋体" w:hAnsi="宋体" w:eastAsia="宋体" w:cs="宋体"/>
          <w:sz w:val="30"/>
          <w:szCs w:val="30"/>
          <w:highlight w:val="none"/>
          <w:lang w:val="en-US" w:eastAsia="zh-CN" w:bidi="ar-SA"/>
        </w:rPr>
        <w:t xml:space="preserve">22. 违约</w:t>
      </w:r>
      <w:bookmarkEnd w:id="971"/>
      <w:r/>
      <w:bookmarkEnd w:id="972"/>
      <w:r/>
      <w:bookmarkEnd w:id="973"/>
      <w:r/>
      <w:bookmarkEnd w:id="974"/>
      <w:r/>
      <w:bookmarkEnd w:id="975"/>
      <w:r/>
      <w:bookmarkEnd w:id="976"/>
      <w:r/>
      <w:bookmarkEnd w:id="977"/>
      <w:r/>
      <w:bookmarkEnd w:id="986"/>
      <w:r>
        <w:rPr>
          <w:rFonts w:hint="eastAsia" w:ascii="宋体" w:hAnsi="宋体" w:eastAsia="宋体" w:cs="宋体"/>
          <w:sz w:val="30"/>
          <w:szCs w:val="30"/>
          <w:highlight w:val="none"/>
          <w:lang w:val="en-US" w:eastAsia="zh-CN" w:bidi="ar-SA"/>
        </w:rPr>
      </w:r>
      <w:r/>
    </w:p>
    <w:p>
      <w:pPr>
        <w:pStyle w:val="1159"/>
        <w:keepLines/>
        <w:keepNext/>
        <w:spacing w:line="400" w:lineRule="exact"/>
        <w:rPr>
          <w:rFonts w:hint="eastAsia" w:ascii="宋体" w:hAnsi="宋体" w:eastAsia="宋体" w:cs="宋体"/>
          <w:b/>
          <w:bCs/>
          <w:sz w:val="28"/>
          <w:szCs w:val="28"/>
          <w:highlight w:val="none"/>
        </w:rPr>
        <w:outlineLvl w:val="2"/>
      </w:pPr>
      <w:r/>
      <w:bookmarkStart w:id="987" w:name="_Toc144974725"/>
      <w:r/>
      <w:bookmarkStart w:id="988" w:name="_Toc179632772"/>
      <w:r/>
      <w:bookmarkStart w:id="989" w:name="_Toc152042533"/>
      <w:r/>
      <w:bookmarkStart w:id="990" w:name="_Toc152045754"/>
      <w:r>
        <w:rPr>
          <w:rFonts w:hint="eastAsia" w:ascii="宋体" w:hAnsi="宋体" w:eastAsia="宋体" w:cs="宋体"/>
          <w:b/>
          <w:bCs/>
          <w:sz w:val="28"/>
          <w:szCs w:val="28"/>
          <w:highlight w:val="none"/>
        </w:rPr>
        <w:t xml:space="preserve">22.1 承包人违约</w:t>
      </w:r>
      <w:bookmarkEnd w:id="987"/>
      <w:r/>
      <w:bookmarkEnd w:id="988"/>
      <w:r/>
      <w:bookmarkEnd w:id="989"/>
      <w:r/>
      <w:bookmarkEnd w:id="990"/>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22.1.1 承包人违约的情形</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在履行合同过程中发生的下列情况属承包人违约：</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（1）承包人违反第1.8款或第4.3款的约定，私自将合同的全部或部分权利转让给其他人，或私自将合同的全部或部分义务转移给其他人；</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（2）承包人违反第5.3款或第6.4款的约定，未经监理人批准，私自将已按合同约定进入施工场地的施工设备、临时设施或材料撤离施工场地；</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（3）承包人违反第5.4款的约定使用了不合格材料或工程设备，工程质量达不到标准要求，又拒绝清除不合格工程；</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（4）承包人未能按合同进度计划及时完成合同约定的工作，已造成或预期造成工期延误；</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（5）承包人在缺陷责任期（工程质量保修期）内，未能对合同工程完工验收鉴定书中所列的缺陷清单的内容或缺陷责任期（工程质量保修期）内发生的缺陷进行修复，而又拒绝按监理人指示再进行修补；</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（6）承包人无法继续履行或明确表示不履行或实质上已停止履行合同；</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（7）承包人不按合同约定履行义务的其他情况。</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22.1.2 对承包人违约的处理</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（1）承包人发生第22.1.1（6）目约定的违约情况时，发包人可通知承包人立即解除合同，并按有关法律处理。</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（2）承包人发生除第22.1.1（6）目约定以外的其他违约情况时，监理人可向承包人发出整改通知，要求其在指定的期限内改正。承包人应承担其违约所引起的费用增加和（或）工期延误。</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（3）经检查证明承包人已采取了有效措施纠正违约行为，具备复工条件的，可由监理人签发复工通知复工。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22.1.3 承包人违约解除合同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22.1.4 合同解除后的估价、付款和结清</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（1）合同解除后，监理人按第3.5款商定或确定承包人实际完成工作的价值，以及承包人已提供的材料、施工设备、工程设备和临时工程等的价值。 </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（2）合同解除后，发包人应暂停对承包人的一切付款，查清各项付款和已扣款金额，包括承包人应支付的违约金。 </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（3）合同解除后，发包人应按第23.4款的约定向承包人索赔由于解除合同给发包人造成的损失。</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（4）合同双方确认上述往来款项后，出具最终结清付款证书，结清全部合同款项。</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（5）发包人和承包人未能就解除合同后的结清达成一致而形成争议的，按第24条的约定办理。</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22.1.5 协议利益的转让</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因承包人违约解除合同的，发包人有权要求承包人将其为实施合同而签订的材料和设备的订货协议或任何服务协议利益转让给发包人，并在解除合同后的14天内，依法办理转让手续。 </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22.1.6 紧急情况下无能力或不愿进行抢救</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91" w:name="_Toc179632773"/>
      <w:r/>
      <w:bookmarkStart w:id="992" w:name="_Toc152042534"/>
      <w:r/>
      <w:bookmarkStart w:id="993" w:name="_Toc152045755"/>
      <w:r/>
      <w:bookmarkStart w:id="994" w:name="_Toc144974726"/>
      <w:r>
        <w:rPr>
          <w:rFonts w:hint="eastAsia" w:ascii="宋体" w:hAnsi="宋体" w:eastAsia="宋体" w:cs="宋体"/>
          <w:b/>
          <w:bCs/>
          <w:sz w:val="28"/>
          <w:szCs w:val="28"/>
          <w:highlight w:val="none"/>
        </w:rPr>
        <w:t xml:space="preserve">22.2 发包人违约</w:t>
      </w:r>
      <w:bookmarkEnd w:id="991"/>
      <w:r/>
      <w:bookmarkEnd w:id="992"/>
      <w:r/>
      <w:bookmarkEnd w:id="993"/>
      <w:r/>
      <w:bookmarkEnd w:id="994"/>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22.2.1 发包人违约的情形</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在履行合同过程中发生的下列情形，属发包人违约：</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（1）发包人未能按合同约定支付预付款或合同价款，或拖延、拒绝批准付款申请和支付凭证，导致付款延误的；</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（2）发包人原因造成停工的；</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（3）监理人无正当理由没有在约定期限内发出复工指示，导致承包人无法复工的；</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（4）发包人无法继续履行或明确表示不履行或实质上已停止履行合同的；</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（5）发包人不履行合同约定其他义务的。</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22.2.2 承包人有权暂停施工</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22.2.3 发包人违约解除合同 </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（1）发生第22.2.1（4）目的违约情况时，承包人可书面通知发包人解除合同。   </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22.2.4 解除合同后的付款</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因发包人违约解除合同的，发包人应在解除合同后28天内向承包人支付下列金额，承包人应在此期限内及时向发包人提交要求支付下列金额的有关资料和凭证：</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（1）合同解除日以前所完成工作的价款；</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（2）承包人为该工程施工订购并已付款的材料、工程设备和其他物品的金额。发包人付还后，该材料、工程设备和其他物品归发包人所有；</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（3）承包人为完成工程所发生的，而发包人未支付的金额；</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（4）承包人撤离施工场地以及遣散承包人人员的金额；</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（5）由于解除合同应赔偿的承包人损失；</w:t>
      </w:r>
      <w:r>
        <w:rPr>
          <w:rFonts w:hint="eastAsia" w:ascii="宋体" w:hAnsi="宋体" w:eastAsia="宋体" w:cs="宋体"/>
          <w:sz w:val="24"/>
          <w:szCs w:val="20"/>
          <w:highlight w:val="none"/>
        </w:rPr>
      </w:r>
      <w:r/>
    </w:p>
    <w:p>
      <w:pPr>
        <w:pStyle w:val="1159"/>
        <w:ind w:firstLine="82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（6）按合同约定在合同解除日前应支付给承包人的其他金额。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发包人应按本项约定支付上述金额并退还质量保证金和履约担保，但有权要求承包人支付应偿还给发包人的各项金额。</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22.2.5 解除合同后的承包人撤离</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995" w:name="_Toc152045756"/>
      <w:r/>
      <w:bookmarkStart w:id="996" w:name="_Toc152042535"/>
      <w:r/>
      <w:bookmarkStart w:id="997" w:name="_Toc179632774"/>
      <w:r>
        <w:rPr>
          <w:rFonts w:hint="eastAsia" w:ascii="宋体" w:hAnsi="宋体" w:eastAsia="宋体" w:cs="宋体"/>
          <w:b/>
          <w:bCs/>
          <w:sz w:val="28"/>
          <w:szCs w:val="28"/>
          <w:highlight w:val="none"/>
        </w:rPr>
        <w:t xml:space="preserve">22.3 第三人造成的违约</w:t>
      </w:r>
      <w:bookmarkEnd w:id="995"/>
      <w:r/>
      <w:bookmarkEnd w:id="996"/>
      <w:r/>
      <w:bookmarkEnd w:id="997"/>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998" w:name="_Toc229408519"/>
      <w:r/>
      <w:bookmarkStart w:id="999" w:name="_Toc221951088"/>
      <w:r/>
      <w:bookmarkStart w:id="1000" w:name="_Toc222031026"/>
      <w:r/>
      <w:bookmarkStart w:id="1001" w:name="_Toc102122071"/>
      <w:r/>
      <w:bookmarkStart w:id="1002" w:name="_Toc222029524"/>
      <w:r/>
      <w:bookmarkStart w:id="1003" w:name="_Toc222032693"/>
      <w:r/>
      <w:bookmarkStart w:id="1004" w:name="_Toc229305384"/>
      <w:r/>
      <w:bookmarkStart w:id="1005" w:name="_Toc222033875"/>
      <w:r>
        <w:rPr>
          <w:rFonts w:hint="eastAsia" w:ascii="宋体" w:hAnsi="宋体" w:eastAsia="宋体" w:cs="宋体"/>
          <w:sz w:val="30"/>
          <w:szCs w:val="30"/>
          <w:highlight w:val="none"/>
          <w:lang w:val="en-US" w:eastAsia="zh-CN" w:bidi="ar-SA"/>
        </w:rPr>
        <w:t xml:space="preserve">23. 索赔</w:t>
      </w:r>
      <w:bookmarkEnd w:id="998"/>
      <w:r/>
      <w:bookmarkEnd w:id="999"/>
      <w:r/>
      <w:bookmarkEnd w:id="1000"/>
      <w:r/>
      <w:bookmarkEnd w:id="1001"/>
      <w:r/>
      <w:bookmarkEnd w:id="1002"/>
      <w:r/>
      <w:bookmarkEnd w:id="1003"/>
      <w:r/>
      <w:bookmarkEnd w:id="1004"/>
      <w:r/>
      <w:bookmarkEnd w:id="1005"/>
      <w:r>
        <w:rPr>
          <w:rFonts w:hint="eastAsia" w:ascii="宋体" w:hAnsi="宋体" w:eastAsia="宋体" w:cs="宋体"/>
          <w:sz w:val="30"/>
          <w:szCs w:val="30"/>
          <w:highlight w:val="none"/>
          <w:lang w:val="en-US" w:eastAsia="zh-CN" w:bidi="ar-SA"/>
        </w:rPr>
      </w:r>
      <w:r/>
    </w:p>
    <w:p>
      <w:pPr>
        <w:pStyle w:val="1159"/>
        <w:keepLines/>
        <w:keepNext/>
        <w:spacing w:line="400" w:lineRule="exact"/>
        <w:rPr>
          <w:rFonts w:hint="eastAsia" w:ascii="宋体" w:hAnsi="宋体" w:eastAsia="宋体" w:cs="宋体"/>
          <w:b/>
          <w:bCs/>
          <w:sz w:val="28"/>
          <w:szCs w:val="28"/>
          <w:highlight w:val="none"/>
        </w:rPr>
        <w:outlineLvl w:val="2"/>
      </w:pPr>
      <w:r/>
      <w:bookmarkStart w:id="1006" w:name="_Toc179632776"/>
      <w:r/>
      <w:bookmarkStart w:id="1007" w:name="_Toc152042537"/>
      <w:r/>
      <w:bookmarkStart w:id="1008" w:name="_Toc152045758"/>
      <w:r/>
      <w:bookmarkStart w:id="1009" w:name="_Toc221951097"/>
      <w:r/>
      <w:bookmarkStart w:id="1010" w:name="_Toc144974728"/>
      <w:r>
        <w:rPr>
          <w:rFonts w:hint="eastAsia" w:ascii="宋体" w:hAnsi="宋体" w:eastAsia="宋体" w:cs="宋体"/>
          <w:b/>
          <w:bCs/>
          <w:sz w:val="28"/>
          <w:szCs w:val="28"/>
          <w:highlight w:val="none"/>
        </w:rPr>
        <w:t xml:space="preserve">23.1 承包人索赔的提出</w:t>
      </w:r>
      <w:bookmarkEnd w:id="1006"/>
      <w:r/>
      <w:bookmarkEnd w:id="1007"/>
      <w:r/>
      <w:bookmarkEnd w:id="1008"/>
      <w:r/>
      <w:bookmarkEnd w:id="1010"/>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根据合同约定，承包人认为有权得到追加付款和（或）延长工期的，应按以下程序向发包人提出索赔：</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（3）索赔事件具有连续影响的，承包人应按合理时间间隔继续递交延续索赔通知，说明连续影响的实际情况和记录，列出累计的追加付款金额和（或）工期延长天数；</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（4）在索赔事件影响结束后的28天内，承包人应向监理人递交最终索赔通知书，说明最终要求索赔的追加付款金额和延长的工期，并附必要的记录和证明材料。</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1011" w:name="_Toc144974729"/>
      <w:r/>
      <w:bookmarkStart w:id="1012" w:name="_Toc152045759"/>
      <w:r/>
      <w:bookmarkStart w:id="1013" w:name="_Toc179632777"/>
      <w:r/>
      <w:bookmarkStart w:id="1014" w:name="_Toc152042538"/>
      <w:r>
        <w:rPr>
          <w:rFonts w:hint="eastAsia" w:ascii="宋体" w:hAnsi="宋体" w:eastAsia="宋体" w:cs="宋体"/>
          <w:b/>
          <w:bCs/>
          <w:sz w:val="28"/>
          <w:szCs w:val="28"/>
          <w:highlight w:val="none"/>
        </w:rPr>
        <w:t xml:space="preserve">23.2 承包人索赔处理程序</w:t>
      </w:r>
      <w:bookmarkEnd w:id="1011"/>
      <w:r/>
      <w:bookmarkEnd w:id="1012"/>
      <w:r/>
      <w:bookmarkEnd w:id="1013"/>
      <w:r/>
      <w:bookmarkEnd w:id="1014"/>
      <w:r>
        <w:rPr>
          <w:rFonts w:hint="eastAsia" w:ascii="宋体" w:hAnsi="宋体" w:eastAsia="宋体" w:cs="宋体"/>
          <w:b/>
          <w:bCs/>
          <w:sz w:val="28"/>
          <w:szCs w:val="28"/>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（1）监理人收到承包人提交的索赔通知书后，应及时审查索赔通知书的内容、查验承包人的记录和证明材料，必要时监理人可要求承包人提交全部原始记录副本。</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（2）监理人应按第3.5款商定或确定追加的付款和（或）延长的工期，并在收到上述索赔通知书或有关索赔的进一步证明材料后的42天内，将索赔处理结果答复承包人。</w:t>
      </w:r>
      <w:r>
        <w:rPr>
          <w:rFonts w:hint="eastAsia" w:ascii="宋体" w:hAnsi="宋体" w:eastAsia="宋体" w:cs="宋体"/>
          <w:sz w:val="24"/>
          <w:szCs w:val="20"/>
          <w:highlight w:val="none"/>
        </w:rPr>
      </w:r>
      <w:r/>
    </w:p>
    <w:p>
      <w:pPr>
        <w:pStyle w:val="1159"/>
        <w:ind w:firstLine="41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（3）承包人接受索赔处理结果的，发包人应在作出索赔处理结果答复后28天内完成赔付。承包人不接受索赔处理结果的，按第24条的约定办理。</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1015" w:name="_Toc152045760"/>
      <w:r/>
      <w:bookmarkStart w:id="1016" w:name="_Toc179632778"/>
      <w:r/>
      <w:bookmarkStart w:id="1017" w:name="_Toc152042539"/>
      <w:r/>
      <w:bookmarkStart w:id="1018" w:name="_Toc144974730"/>
      <w:r>
        <w:rPr>
          <w:rFonts w:hint="eastAsia" w:ascii="宋体" w:hAnsi="宋体" w:eastAsia="宋体" w:cs="宋体"/>
          <w:b/>
          <w:bCs/>
          <w:sz w:val="28"/>
          <w:szCs w:val="28"/>
          <w:highlight w:val="none"/>
        </w:rPr>
        <w:t xml:space="preserve">23.3 承包人提出索赔的期限</w:t>
      </w:r>
      <w:bookmarkEnd w:id="1015"/>
      <w:r/>
      <w:bookmarkEnd w:id="1016"/>
      <w:r/>
      <w:bookmarkEnd w:id="1017"/>
      <w:r/>
      <w:bookmarkEnd w:id="1018"/>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23.3.1 承包人按第17.5款的约定接受了完工付款证书后，应被认为已无权再提出在合同工程完工证书颁发前所发生的任何索赔。</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23.3.2 承包人按第17.6款的约定提交的最终结清申请单中，只限于提出合同工程完工证书颁发后发生的索赔。提出索赔的期限自接受最终结清证书时终止。 </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1019" w:name="_Toc152042540"/>
      <w:r/>
      <w:bookmarkStart w:id="1020" w:name="_Toc144974731"/>
      <w:r/>
      <w:bookmarkStart w:id="1021" w:name="_Toc179632779"/>
      <w:r/>
      <w:bookmarkStart w:id="1022" w:name="_Toc152045761"/>
      <w:r>
        <w:rPr>
          <w:rFonts w:hint="eastAsia" w:ascii="宋体" w:hAnsi="宋体" w:eastAsia="宋体" w:cs="宋体"/>
          <w:b/>
          <w:bCs/>
          <w:sz w:val="28"/>
          <w:szCs w:val="28"/>
          <w:highlight w:val="none"/>
        </w:rPr>
        <w:t xml:space="preserve">23.4 发包人的索赔</w:t>
      </w:r>
      <w:bookmarkEnd w:id="1019"/>
      <w:r/>
      <w:bookmarkEnd w:id="1020"/>
      <w:r/>
      <w:bookmarkEnd w:id="1021"/>
      <w:r/>
      <w:bookmarkEnd w:id="1022"/>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bookmarkEnd w:id="1009"/>
      <w:r>
        <w:rPr>
          <w:rFonts w:hint="eastAsia" w:ascii="宋体" w:hAnsi="宋体" w:eastAsia="宋体" w:cs="宋体"/>
          <w:sz w:val="24"/>
          <w:szCs w:val="20"/>
          <w:highlight w:val="none"/>
        </w:rPr>
      </w:r>
      <w:r/>
    </w:p>
    <w:p>
      <w:pPr>
        <w:pStyle w:val="1159"/>
        <w:jc w:val="both"/>
        <w:keepLines/>
        <w:keepNext/>
        <w:spacing w:before="480" w:after="120" w:line="240" w:lineRule="auto"/>
        <w:widowControl w:val="off"/>
        <w:rPr>
          <w:rFonts w:hint="eastAsia" w:ascii="宋体" w:hAnsi="宋体" w:eastAsia="宋体" w:cs="宋体"/>
          <w:sz w:val="30"/>
          <w:szCs w:val="30"/>
          <w:highlight w:val="none"/>
          <w:lang w:val="en-US" w:eastAsia="zh-CN" w:bidi="ar-SA"/>
        </w:rPr>
        <w:outlineLvl w:val="1"/>
      </w:pPr>
      <w:r/>
      <w:bookmarkStart w:id="1023" w:name="_Toc229305385"/>
      <w:r/>
      <w:bookmarkStart w:id="1024" w:name="_Toc222032694"/>
      <w:r/>
      <w:bookmarkStart w:id="1025" w:name="_Toc221951098"/>
      <w:r/>
      <w:bookmarkStart w:id="1026" w:name="_Toc222033876"/>
      <w:r/>
      <w:bookmarkStart w:id="1027" w:name="_Toc222029525"/>
      <w:r/>
      <w:bookmarkStart w:id="1028" w:name="_Toc102122072"/>
      <w:r/>
      <w:bookmarkStart w:id="1029" w:name="_Toc229408520"/>
      <w:r/>
      <w:bookmarkStart w:id="1030" w:name="_Toc222031027"/>
      <w:r>
        <w:rPr>
          <w:rFonts w:hint="eastAsia" w:ascii="宋体" w:hAnsi="宋体" w:eastAsia="宋体" w:cs="宋体"/>
          <w:sz w:val="30"/>
          <w:szCs w:val="30"/>
          <w:highlight w:val="none"/>
          <w:lang w:val="en-US" w:eastAsia="zh-CN" w:bidi="ar-SA"/>
        </w:rPr>
        <w:t xml:space="preserve">24. 争议的解决</w:t>
      </w:r>
      <w:bookmarkEnd w:id="1023"/>
      <w:r/>
      <w:bookmarkEnd w:id="1024"/>
      <w:r/>
      <w:bookmarkEnd w:id="1025"/>
      <w:r/>
      <w:bookmarkEnd w:id="1026"/>
      <w:r/>
      <w:bookmarkEnd w:id="1027"/>
      <w:r/>
      <w:bookmarkEnd w:id="1028"/>
      <w:r/>
      <w:bookmarkEnd w:id="1029"/>
      <w:r/>
      <w:bookmarkEnd w:id="1030"/>
      <w:r>
        <w:rPr>
          <w:rFonts w:hint="eastAsia" w:ascii="宋体" w:hAnsi="宋体" w:eastAsia="宋体" w:cs="宋体"/>
          <w:sz w:val="30"/>
          <w:szCs w:val="30"/>
          <w:highlight w:val="none"/>
          <w:lang w:val="en-US" w:eastAsia="zh-CN" w:bidi="ar-SA"/>
        </w:rPr>
      </w:r>
      <w:r/>
    </w:p>
    <w:p>
      <w:pPr>
        <w:pStyle w:val="1159"/>
        <w:keepLines/>
        <w:keepNext/>
        <w:spacing w:line="400" w:lineRule="exact"/>
        <w:rPr>
          <w:rFonts w:hint="eastAsia" w:ascii="宋体" w:hAnsi="宋体" w:eastAsia="宋体" w:cs="宋体"/>
          <w:b/>
          <w:bCs/>
          <w:sz w:val="28"/>
          <w:szCs w:val="28"/>
          <w:highlight w:val="none"/>
        </w:rPr>
        <w:outlineLvl w:val="2"/>
      </w:pPr>
      <w:r/>
      <w:bookmarkStart w:id="1031" w:name="_Toc152045763"/>
      <w:r/>
      <w:bookmarkStart w:id="1032" w:name="_Toc152042542"/>
      <w:r/>
      <w:bookmarkStart w:id="1033" w:name="_Toc144974733"/>
      <w:r/>
      <w:bookmarkStart w:id="1034" w:name="_Toc179632781"/>
      <w:r>
        <w:rPr>
          <w:rFonts w:hint="eastAsia" w:ascii="宋体" w:hAnsi="宋体" w:eastAsia="宋体" w:cs="宋体"/>
          <w:b/>
          <w:bCs/>
          <w:sz w:val="28"/>
          <w:szCs w:val="28"/>
          <w:highlight w:val="none"/>
        </w:rPr>
        <w:t xml:space="preserve">24.1 争议的解决方式</w:t>
      </w:r>
      <w:bookmarkEnd w:id="1031"/>
      <w:r/>
      <w:bookmarkEnd w:id="1032"/>
      <w:r/>
      <w:bookmarkEnd w:id="1033"/>
      <w:r/>
      <w:bookmarkEnd w:id="1034"/>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（1）向约定的仲裁委员会申请仲裁；</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（2）向有管辖权的人民法院提起诉讼。</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1035" w:name="_Toc144974734"/>
      <w:r/>
      <w:bookmarkStart w:id="1036" w:name="_Toc152042543"/>
      <w:r/>
      <w:bookmarkStart w:id="1037" w:name="_Toc152045764"/>
      <w:r/>
      <w:bookmarkStart w:id="1038" w:name="_Toc179632782"/>
      <w:r>
        <w:rPr>
          <w:rFonts w:hint="eastAsia" w:ascii="宋体" w:hAnsi="宋体" w:eastAsia="宋体" w:cs="宋体"/>
          <w:b/>
          <w:bCs/>
          <w:sz w:val="28"/>
          <w:szCs w:val="28"/>
          <w:highlight w:val="none"/>
        </w:rPr>
        <w:t xml:space="preserve">24.2 友好解决</w:t>
      </w:r>
      <w:bookmarkEnd w:id="1035"/>
      <w:r/>
      <w:bookmarkEnd w:id="1036"/>
      <w:r/>
      <w:bookmarkEnd w:id="1037"/>
      <w:r/>
      <w:bookmarkEnd w:id="1038"/>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在提请争议评审、仲裁或者诉讼前，以及在争议评审、仲裁或诉讼过程中，发包人和承包人均可共同努力友好协商解决争议。</w:t>
      </w:r>
      <w:r>
        <w:rPr>
          <w:rFonts w:hint="eastAsia" w:ascii="宋体" w:hAnsi="宋体" w:eastAsia="宋体" w:cs="宋体"/>
          <w:sz w:val="24"/>
          <w:szCs w:val="20"/>
          <w:highlight w:val="none"/>
        </w:rPr>
      </w:r>
      <w:r/>
    </w:p>
    <w:p>
      <w:pPr>
        <w:pStyle w:val="1159"/>
        <w:keepLines/>
        <w:keepNext/>
        <w:spacing w:line="400" w:lineRule="exact"/>
        <w:rPr>
          <w:rFonts w:hint="eastAsia" w:ascii="宋体" w:hAnsi="宋体" w:eastAsia="宋体" w:cs="宋体"/>
          <w:b/>
          <w:bCs/>
          <w:sz w:val="28"/>
          <w:szCs w:val="28"/>
          <w:highlight w:val="none"/>
        </w:rPr>
        <w:outlineLvl w:val="2"/>
      </w:pPr>
      <w:r/>
      <w:bookmarkStart w:id="1039" w:name="_Toc152045765"/>
      <w:r/>
      <w:bookmarkStart w:id="1040" w:name="_Toc152042544"/>
      <w:r/>
      <w:bookmarkStart w:id="1041" w:name="_Toc179632783"/>
      <w:r/>
      <w:bookmarkStart w:id="1042" w:name="_Toc144974735"/>
      <w:r>
        <w:rPr>
          <w:rFonts w:hint="eastAsia" w:ascii="宋体" w:hAnsi="宋体" w:eastAsia="宋体" w:cs="宋体"/>
          <w:b/>
          <w:bCs/>
          <w:sz w:val="28"/>
          <w:szCs w:val="28"/>
          <w:highlight w:val="none"/>
        </w:rPr>
        <w:t xml:space="preserve">24.3 争议评审</w:t>
      </w:r>
      <w:bookmarkEnd w:id="1039"/>
      <w:r/>
      <w:bookmarkEnd w:id="1040"/>
      <w:r/>
      <w:bookmarkEnd w:id="1041"/>
      <w:r/>
      <w:bookmarkEnd w:id="1042"/>
      <w:r>
        <w:rPr>
          <w:rFonts w:hint="eastAsia" w:ascii="宋体" w:hAnsi="宋体" w:eastAsia="宋体" w:cs="宋体"/>
          <w:b/>
          <w:bCs/>
          <w:sz w:val="28"/>
          <w:szCs w:val="28"/>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24.3.1 采用争议评审的，发包人和承包人应在开工日后的28天内或在争议发生后，协商成立争议评审组。争议评审组由有合同管理和工程实践经验的专家组成。</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24.3.2 合同双方的争议，应首先由申请人向争议评审组提交一份详细的评审申请报告，并附必要的文件、图纸和证明材料，申请人还应将上述报告的副本同时提交给被申请人和监理人。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24.3.3 被申请人在收到申请人评审申请报告副本后的28天内，向争议评审组提交一份答辩报告，并附证明材料。被申请人应将答辩报告的副本同时提交给申请人和监理人。</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24.3.6 发包人和承包人接受评审意见的，由监理人根据评审意见拟定执行协议，经争议双方签字后作为合同的补充文件，并遵照执行。</w:t>
      </w:r>
      <w:r>
        <w:rPr>
          <w:rFonts w:hint="eastAsia" w:ascii="宋体" w:hAnsi="宋体" w:eastAsia="宋体" w:cs="宋体"/>
          <w:sz w:val="24"/>
          <w:szCs w:val="20"/>
          <w:highlight w:val="none"/>
        </w:rPr>
      </w:r>
      <w:r/>
    </w:p>
    <w:p>
      <w:pPr>
        <w:pStyle w:val="1159"/>
        <w:ind w:firstLine="480"/>
        <w:spacing w:line="40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hint="eastAsia" w:ascii="宋体" w:hAnsi="宋体" w:eastAsia="宋体" w:cs="宋体"/>
          <w:sz w:val="24"/>
          <w:szCs w:val="20"/>
          <w:highlight w:val="none"/>
        </w:rPr>
      </w:r>
      <w:r/>
    </w:p>
    <w:p>
      <w:pPr>
        <w:pStyle w:val="1159"/>
        <w:jc w:val="both"/>
        <w:keepLines/>
        <w:keepNext/>
        <w:spacing w:before="240" w:after="120" w:line="240" w:lineRule="auto"/>
        <w:widowControl w:val="off"/>
        <w:rPr>
          <w:rFonts w:hint="eastAsia" w:ascii="宋体" w:hAnsi="宋体" w:eastAsia="宋体" w:cs="宋体"/>
          <w:sz w:val="28"/>
          <w:szCs w:val="28"/>
          <w:highlight w:val="none"/>
          <w:lang w:val="en-US" w:eastAsia="zh-CN" w:bidi="ar-SA"/>
        </w:rPr>
        <w:outlineLvl w:val="2"/>
      </w:pPr>
      <w:r/>
      <w:bookmarkStart w:id="1043" w:name="_Toc221951107"/>
      <w:r>
        <w:rPr>
          <w:rFonts w:hint="eastAsia" w:ascii="宋体" w:hAnsi="宋体" w:eastAsia="宋体" w:cs="宋体"/>
          <w:sz w:val="28"/>
          <w:szCs w:val="28"/>
          <w:highlight w:val="none"/>
          <w:lang w:val="en-US" w:eastAsia="zh-CN" w:bidi="ar-SA"/>
        </w:rPr>
        <w:t xml:space="preserve">24.4仲裁</w:t>
      </w:r>
      <w:bookmarkEnd w:id="1043"/>
      <w:r>
        <w:rPr>
          <w:rFonts w:hint="eastAsia" w:ascii="宋体" w:hAnsi="宋体" w:eastAsia="宋体" w:cs="宋体"/>
          <w:sz w:val="28"/>
          <w:szCs w:val="28"/>
          <w:highlight w:val="none"/>
          <w:lang w:val="en-US" w:eastAsia="zh-CN" w:bidi="ar-SA"/>
        </w:rPr>
      </w:r>
      <w:r/>
    </w:p>
    <w:p>
      <w:pPr>
        <w:pStyle w:val="1159"/>
        <w:ind w:firstLine="480"/>
        <w:spacing w:line="360" w:lineRule="auto"/>
        <w:rPr>
          <w:rFonts w:hint="eastAsia" w:ascii="宋体" w:hAnsi="宋体" w:eastAsia="宋体" w:cs="宋体"/>
          <w:sz w:val="24"/>
          <w:szCs w:val="20"/>
          <w:highlight w:val="none"/>
        </w:rPr>
      </w:pPr>
      <w:r/>
      <w:bookmarkStart w:id="1044" w:name="_Toc221951108"/>
      <w:r>
        <w:rPr>
          <w:rFonts w:hint="eastAsia" w:ascii="宋体" w:hAnsi="宋体" w:eastAsia="宋体" w:cs="宋体"/>
          <w:sz w:val="24"/>
          <w:szCs w:val="20"/>
          <w:highlight w:val="none"/>
        </w:rPr>
        <w:t xml:space="preserve">24.4.1若合同双方商定直接向仲裁机构申请仲裁，应签订仲裁协议并约定仲裁机构。</w:t>
      </w:r>
      <w:bookmarkEnd w:id="1044"/>
      <w:r/>
      <w:bookmarkStart w:id="1045" w:name="_Toc221951109"/>
      <w:r>
        <w:rPr>
          <w:rFonts w:hint="eastAsia" w:ascii="宋体" w:hAnsi="宋体" w:eastAsia="宋体" w:cs="宋体"/>
          <w:sz w:val="24"/>
          <w:szCs w:val="20"/>
          <w:highlight w:val="none"/>
        </w:rPr>
      </w:r>
      <w:r/>
    </w:p>
    <w:p>
      <w:pPr>
        <w:pStyle w:val="1159"/>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24.4.2若合同双方未能达成仲裁协议，则本合同的仲裁条款无效，任一方均有权向人民法院提起诉讼。</w:t>
      </w:r>
      <w:bookmarkEnd w:id="1045"/>
      <w:r>
        <w:rPr>
          <w:rFonts w:hint="eastAsia" w:ascii="宋体" w:hAnsi="宋体" w:eastAsia="宋体" w:cs="宋体"/>
          <w:sz w:val="24"/>
          <w:szCs w:val="20"/>
          <w:highlight w:val="none"/>
        </w:rPr>
      </w:r>
      <w:r/>
    </w:p>
    <w:p>
      <w:pPr>
        <w:pStyle w:val="1159"/>
        <w:ind w:right="248" w:firstLine="480"/>
        <w:spacing w:line="360" w:lineRule="auto"/>
        <w:rPr>
          <w:rFonts w:ascii="楷体_GB2312" w:hAnsi="Times New Roman" w:eastAsia="楷体_GB2312" w:cs="Times New Roman"/>
          <w:sz w:val="24"/>
          <w:szCs w:val="20"/>
          <w:highlight w:val="none"/>
        </w:rPr>
      </w:pPr>
      <w:r>
        <w:rPr>
          <w:rFonts w:ascii="楷体_GB2312" w:hAnsi="Times New Roman" w:eastAsia="楷体_GB2312" w:cs="Times New Roman"/>
          <w:sz w:val="24"/>
          <w:szCs w:val="20"/>
          <w:highlight w:val="none"/>
        </w:rPr>
      </w:r>
      <w:r/>
    </w:p>
    <w:p>
      <w:pPr>
        <w:pStyle w:val="1159"/>
        <w:jc w:val="left"/>
        <w:spacing w:line="360" w:lineRule="auto"/>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jc w:val="center"/>
        <w:keepLines/>
        <w:keepNext/>
        <w:spacing w:before="100" w:after="0" w:line="400" w:lineRule="exact"/>
        <w:widowControl w:val="off"/>
        <w:rPr>
          <w:rFonts w:ascii="宋体" w:hAnsi="Times New Roman" w:eastAsia="黑体" w:cs="宋体"/>
          <w:b/>
          <w:sz w:val="30"/>
          <w:szCs w:val="30"/>
          <w:highlight w:val="none"/>
          <w:lang w:val="en-US" w:eastAsia="zh-CN" w:bidi="ar-SA"/>
        </w:rPr>
        <w:outlineLvl w:val="1"/>
      </w:pPr>
      <w:r>
        <w:rPr>
          <w:rFonts w:ascii="Times New Roman" w:hAnsi="Times New Roman" w:eastAsia="黑体" w:cs="宋体"/>
          <w:sz w:val="28"/>
          <w:highlight w:val="none"/>
          <w:lang w:val="en-US" w:eastAsia="zh-CN" w:bidi="ar-SA"/>
        </w:rPr>
        <w:br w:type="page" w:clear="all"/>
      </w:r>
      <w:bookmarkStart w:id="1046" w:name="_Toc229408521"/>
      <w:r/>
      <w:bookmarkStart w:id="1047" w:name="_Toc102122073"/>
      <w:r/>
      <w:bookmarkStart w:id="1048" w:name="_Toc222031028"/>
      <w:r/>
      <w:bookmarkStart w:id="1049" w:name="_Toc222029526"/>
      <w:r/>
      <w:bookmarkStart w:id="1050" w:name="_Toc222033877"/>
      <w:r/>
      <w:bookmarkStart w:id="1051" w:name="_Toc221951110"/>
      <w:r/>
      <w:bookmarkStart w:id="1052" w:name="_Toc229305386"/>
      <w:r/>
      <w:bookmarkStart w:id="1053" w:name="_Toc222032695"/>
      <w:r/>
      <w:bookmarkStart w:id="1054" w:name="_Toc221948340"/>
      <w:r>
        <w:rPr>
          <w:rFonts w:hint="eastAsia" w:ascii="Times New Roman" w:hAnsi="Times New Roman" w:eastAsia="黑体" w:cs="宋体"/>
          <w:sz w:val="32"/>
          <w:szCs w:val="32"/>
          <w:highlight w:val="none"/>
          <w:lang w:val="en-US" w:eastAsia="zh-CN" w:bidi="ar-SA"/>
        </w:rPr>
        <w:t xml:space="preserve">第2节 专用合同条款</w:t>
      </w:r>
      <w:bookmarkEnd w:id="1046"/>
      <w:r/>
      <w:bookmarkEnd w:id="1047"/>
      <w:r/>
      <w:bookmarkEnd w:id="1048"/>
      <w:r/>
      <w:bookmarkEnd w:id="1049"/>
      <w:r/>
      <w:bookmarkEnd w:id="1050"/>
      <w:r/>
      <w:bookmarkEnd w:id="1051"/>
      <w:r/>
      <w:bookmarkEnd w:id="1052"/>
      <w:r/>
      <w:bookmarkEnd w:id="1053"/>
      <w:r/>
      <w:bookmarkEnd w:id="1054"/>
      <w:r>
        <w:rPr>
          <w:rFonts w:ascii="宋体" w:hAnsi="Times New Roman" w:eastAsia="黑体" w:cs="宋体"/>
          <w:b/>
          <w:sz w:val="30"/>
          <w:szCs w:val="30"/>
          <w:highlight w:val="none"/>
          <w:lang w:val="en-US" w:eastAsia="zh-CN" w:bidi="ar-SA"/>
        </w:rPr>
      </w:r>
      <w:r/>
    </w:p>
    <w:p>
      <w:pPr>
        <w:pStyle w:val="1159"/>
        <w:ind w:right="248"/>
        <w:spacing w:line="360" w:lineRule="auto"/>
        <w:rPr>
          <w:rFonts w:ascii="宋体" w:hAnsi="Times New Roman" w:eastAsia="宋体" w:cs="Times New Roman"/>
          <w:sz w:val="24"/>
          <w:szCs w:val="20"/>
          <w:highlight w:val="none"/>
        </w:rPr>
      </w:pPr>
      <w:r>
        <w:rPr>
          <w:rFonts w:ascii="宋体" w:hAnsi="Times New Roman" w:eastAsia="宋体" w:cs="Times New Roman"/>
          <w:sz w:val="24"/>
          <w:szCs w:val="20"/>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55" w:name="_Toc229305387"/>
      <w:r/>
      <w:bookmarkStart w:id="1056" w:name="_Toc222029527"/>
      <w:r/>
      <w:bookmarkStart w:id="1057" w:name="_Toc221951111"/>
      <w:r/>
      <w:bookmarkStart w:id="1058" w:name="_Toc222032696"/>
      <w:r/>
      <w:bookmarkStart w:id="1059" w:name="_Toc222031029"/>
      <w:r/>
      <w:bookmarkStart w:id="1060" w:name="_Toc222033878"/>
      <w:r>
        <w:rPr>
          <w:rFonts w:hint="eastAsia" w:ascii="宋体" w:hAnsi="宋体" w:eastAsia="宋体" w:cs="Times New Roman"/>
          <w:sz w:val="28"/>
          <w:szCs w:val="28"/>
          <w:highlight w:val="none"/>
          <w:lang w:val="en-US" w:eastAsia="zh-CN" w:bidi="ar-SA"/>
        </w:rPr>
        <w:t xml:space="preserve">1．一般约定</w:t>
      </w:r>
      <w:bookmarkEnd w:id="1055"/>
      <w:r/>
      <w:bookmarkEnd w:id="1056"/>
      <w:r/>
      <w:bookmarkEnd w:id="1057"/>
      <w:r/>
      <w:bookmarkEnd w:id="1058"/>
      <w:r/>
      <w:bookmarkEnd w:id="1059"/>
      <w:r/>
      <w:bookmarkEnd w:id="1060"/>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61" w:name="_Toc221951112"/>
      <w:r>
        <w:rPr>
          <w:rFonts w:ascii="宋体" w:hAnsi="宋体" w:eastAsia="宋体" w:cs="Times New Roman"/>
          <w:sz w:val="28"/>
          <w:szCs w:val="28"/>
          <w:highlight w:val="none"/>
          <w:lang w:val="en-US" w:eastAsia="zh-CN" w:bidi="ar-SA"/>
        </w:rPr>
        <w:t xml:space="preserve">1.1  </w:t>
      </w:r>
      <w:r>
        <w:rPr>
          <w:rFonts w:hint="eastAsia" w:ascii="宋体" w:hAnsi="宋体" w:eastAsia="宋体" w:cs="Times New Roman"/>
          <w:sz w:val="28"/>
          <w:szCs w:val="28"/>
          <w:highlight w:val="none"/>
          <w:lang w:val="en-US" w:eastAsia="zh-CN" w:bidi="ar-SA"/>
        </w:rPr>
        <w:t xml:space="preserve">词语定义</w:t>
      </w:r>
      <w:bookmarkEnd w:id="1061"/>
      <w:r>
        <w:rPr>
          <w:rFonts w:hint="eastAsia" w:ascii="宋体" w:hAnsi="宋体" w:eastAsia="宋体" w:cs="Times New Roman"/>
          <w:sz w:val="28"/>
          <w:szCs w:val="28"/>
          <w:highlight w:val="none"/>
          <w:lang w:val="en-US" w:eastAsia="zh-CN" w:bidi="ar-SA"/>
        </w:rPr>
      </w:r>
      <w:r/>
    </w:p>
    <w:p>
      <w:pPr>
        <w:pStyle w:val="1159"/>
        <w:spacing w:line="360" w:lineRule="auto"/>
        <w:rPr>
          <w:rFonts w:hint="eastAsia" w:ascii="宋体" w:hAnsi="宋体" w:eastAsia="宋体" w:cs="Times New Roman"/>
          <w:szCs w:val="21"/>
          <w:highlight w:val="none"/>
        </w:rPr>
        <w:outlineLvl w:val="0"/>
      </w:pPr>
      <w:r/>
      <w:bookmarkStart w:id="1062" w:name="_Toc221951113"/>
      <w:r/>
      <w:bookmarkStart w:id="1063" w:name="_Toc102122074"/>
      <w:r>
        <w:rPr>
          <w:rFonts w:hint="eastAsia" w:ascii="宋体" w:hAnsi="宋体" w:eastAsia="宋体" w:cs="Times New Roman"/>
          <w:szCs w:val="21"/>
          <w:highlight w:val="none"/>
        </w:rPr>
        <w:t xml:space="preserve">1.1.2  合同当事人和人员</w:t>
      </w:r>
      <w:bookmarkEnd w:id="1062"/>
      <w:r/>
      <w:bookmarkEnd w:id="1063"/>
      <w:r>
        <w:rPr>
          <w:rFonts w:hint="eastAsia" w:ascii="宋体" w:hAnsi="宋体" w:eastAsia="宋体" w:cs="Times New Roman"/>
          <w:szCs w:val="21"/>
          <w:highlight w:val="none"/>
        </w:rPr>
      </w:r>
      <w:r/>
    </w:p>
    <w:p>
      <w:pPr>
        <w:pStyle w:val="1159"/>
        <w:spacing w:line="360" w:lineRule="auto"/>
        <w:rPr>
          <w:rFonts w:hint="eastAsia" w:ascii="宋体" w:hAnsi="宋体" w:eastAsia="宋体" w:cs="Times New Roman"/>
          <w:szCs w:val="21"/>
          <w:highlight w:val="none"/>
        </w:rPr>
      </w:pPr>
      <w:r/>
      <w:bookmarkStart w:id="1064" w:name="_Toc221951114"/>
      <w:r>
        <w:rPr>
          <w:rFonts w:hint="eastAsia" w:ascii="宋体" w:hAnsi="宋体" w:eastAsia="宋体" w:cs="Times New Roman"/>
          <w:szCs w:val="21"/>
          <w:highlight w:val="none"/>
        </w:rPr>
        <w:t xml:space="preserve">1.1.2.2  发包人：</w:t>
      </w:r>
      <w:r>
        <w:rPr>
          <w:rFonts w:hint="eastAsia" w:ascii="宋体" w:hAnsi="宋体" w:eastAsia="宋体" w:cs="Times New Roman"/>
          <w:szCs w:val="21"/>
          <w:highlight w:val="none"/>
          <w:u w:val="single"/>
        </w:rPr>
        <w:t xml:space="preserve">                 (填入发包人的名称)</w:t>
      </w:r>
      <w:r>
        <w:rPr>
          <w:rFonts w:hint="eastAsia" w:ascii="宋体" w:hAnsi="宋体" w:eastAsia="宋体" w:cs="Times New Roman"/>
          <w:szCs w:val="21"/>
          <w:highlight w:val="none"/>
        </w:rPr>
        <w:t xml:space="preserve">。</w:t>
      </w:r>
      <w:bookmarkEnd w:id="1064"/>
      <w:r>
        <w:rPr>
          <w:rFonts w:hint="eastAsia" w:ascii="宋体" w:hAnsi="宋体" w:eastAsia="宋体" w:cs="Times New Roman"/>
          <w:szCs w:val="21"/>
          <w:highlight w:val="none"/>
        </w:rPr>
      </w:r>
      <w:r/>
    </w:p>
    <w:p>
      <w:pPr>
        <w:pStyle w:val="1159"/>
        <w:spacing w:line="360" w:lineRule="auto"/>
        <w:rPr>
          <w:rFonts w:hint="eastAsia" w:ascii="宋体" w:hAnsi="宋体" w:eastAsia="宋体" w:cs="Times New Roman"/>
          <w:szCs w:val="21"/>
          <w:highlight w:val="none"/>
        </w:rPr>
      </w:pPr>
      <w:r/>
      <w:bookmarkStart w:id="1065" w:name="_Toc221951115"/>
      <w:r>
        <w:rPr>
          <w:rFonts w:hint="eastAsia" w:ascii="宋体" w:hAnsi="宋体" w:eastAsia="宋体" w:cs="Times New Roman"/>
          <w:szCs w:val="21"/>
          <w:highlight w:val="none"/>
        </w:rPr>
        <w:t xml:space="preserve">1.1.2.3  承包人：</w:t>
      </w:r>
      <w:r>
        <w:rPr>
          <w:rFonts w:hint="eastAsia" w:ascii="宋体" w:hAnsi="宋体" w:eastAsia="宋体" w:cs="Times New Roman"/>
          <w:szCs w:val="21"/>
          <w:highlight w:val="none"/>
          <w:u w:val="single"/>
        </w:rPr>
        <w:t xml:space="preserve">                 (签约后填入承包人的名称)</w:t>
      </w:r>
      <w:r>
        <w:rPr>
          <w:rFonts w:hint="eastAsia" w:ascii="宋体" w:hAnsi="宋体" w:eastAsia="宋体" w:cs="Times New Roman"/>
          <w:szCs w:val="21"/>
          <w:highlight w:val="none"/>
        </w:rPr>
        <w:t xml:space="preserve">。</w:t>
      </w:r>
      <w:bookmarkEnd w:id="1065"/>
      <w:r>
        <w:rPr>
          <w:rFonts w:hint="eastAsia" w:ascii="宋体" w:hAnsi="宋体" w:eastAsia="宋体" w:cs="Times New Roman"/>
          <w:szCs w:val="21"/>
          <w:highlight w:val="none"/>
        </w:rPr>
      </w:r>
      <w:r/>
    </w:p>
    <w:p>
      <w:pPr>
        <w:pStyle w:val="1159"/>
        <w:spacing w:line="360" w:lineRule="auto"/>
        <w:rPr>
          <w:rFonts w:hint="eastAsia" w:ascii="宋体" w:hAnsi="宋体" w:eastAsia="宋体" w:cs="Times New Roman"/>
          <w:szCs w:val="21"/>
          <w:highlight w:val="none"/>
        </w:rPr>
      </w:pPr>
      <w:r/>
      <w:bookmarkStart w:id="1066" w:name="_Toc221951116"/>
      <w:r>
        <w:rPr>
          <w:rFonts w:hint="eastAsia" w:ascii="宋体" w:hAnsi="宋体" w:eastAsia="宋体" w:cs="Times New Roman"/>
          <w:szCs w:val="21"/>
          <w:highlight w:val="none"/>
        </w:rPr>
        <w:t xml:space="preserve">1.1.2.5  分包人：</w:t>
      </w:r>
      <w:r>
        <w:rPr>
          <w:rFonts w:hint="eastAsia" w:ascii="宋体" w:hAnsi="宋体" w:eastAsia="宋体" w:cs="Times New Roman"/>
          <w:szCs w:val="21"/>
          <w:highlight w:val="none"/>
          <w:u w:val="single"/>
        </w:rPr>
        <w:t xml:space="preserve">                 (签约后填入分包人的名称)</w:t>
      </w:r>
      <w:r>
        <w:rPr>
          <w:rFonts w:hint="eastAsia" w:ascii="宋体" w:hAnsi="宋体" w:eastAsia="宋体" w:cs="Times New Roman"/>
          <w:szCs w:val="21"/>
          <w:highlight w:val="none"/>
        </w:rPr>
        <w:t xml:space="preserve">。</w:t>
      </w:r>
      <w:bookmarkEnd w:id="1066"/>
      <w:r>
        <w:rPr>
          <w:rFonts w:hint="eastAsia" w:ascii="宋体" w:hAnsi="宋体" w:eastAsia="宋体" w:cs="Times New Roman"/>
          <w:szCs w:val="21"/>
          <w:highlight w:val="none"/>
        </w:rPr>
      </w:r>
      <w:r/>
    </w:p>
    <w:p>
      <w:pPr>
        <w:pStyle w:val="1159"/>
        <w:spacing w:line="360" w:lineRule="auto"/>
        <w:rPr>
          <w:rFonts w:hint="eastAsia" w:ascii="宋体" w:hAnsi="宋体" w:eastAsia="宋体" w:cs="Times New Roman"/>
          <w:szCs w:val="21"/>
          <w:highlight w:val="none"/>
        </w:rPr>
      </w:pPr>
      <w:r/>
      <w:bookmarkStart w:id="1067" w:name="_Toc221951117"/>
      <w:r>
        <w:rPr>
          <w:rFonts w:hint="eastAsia" w:ascii="宋体" w:hAnsi="宋体" w:eastAsia="宋体" w:cs="Times New Roman"/>
          <w:szCs w:val="21"/>
          <w:highlight w:val="none"/>
        </w:rPr>
        <w:t xml:space="preserve">1.1.2.6  监理人：</w:t>
      </w:r>
      <w:r>
        <w:rPr>
          <w:rFonts w:ascii="Times New Roman" w:hAnsi="Times New Roman" w:eastAsia="宋体" w:cs="Times New Roman"/>
          <w:szCs w:val="20"/>
          <w:highlight w:val="none"/>
        </w:rPr>
        <w:fldChar w:fldCharType="begin"/>
      </w:r>
      <w:r>
        <w:rPr>
          <w:rFonts w:ascii="Times New Roman" w:hAnsi="Times New Roman" w:eastAsia="宋体" w:cs="Times New Roman"/>
          <w:szCs w:val="20"/>
          <w:highlight w:val="none"/>
        </w:rPr>
        <w:instrText xml:space="preserve"> HYPERLINK "http://www.czgcjy.com/czztb/sgqy/ShiGongQYInfoList.aspx?type=14" </w:instrText>
      </w:r>
      <w:r>
        <w:rPr>
          <w:rFonts w:ascii="Times New Roman" w:hAnsi="Times New Roman" w:eastAsia="宋体" w:cs="Times New Roman"/>
          <w:szCs w:val="20"/>
          <w:highlight w:val="none"/>
        </w:rPr>
        <w:fldChar w:fldCharType="separate"/>
      </w:r>
      <w:r>
        <w:rPr>
          <w:rFonts w:ascii="Times New Roman" w:hAnsi="Times New Roman" w:eastAsia="宋体" w:cs="Times New Roman"/>
          <w:szCs w:val="20"/>
          <w:highlight w:val="none"/>
        </w:rPr>
        <w:fldChar w:fldCharType="end"/>
      </w:r>
      <w:r>
        <w:rPr>
          <w:rFonts w:hint="eastAsia" w:ascii="宋体" w:hAnsi="宋体" w:eastAsia="宋体" w:cs="Times New Roman"/>
          <w:szCs w:val="21"/>
          <w:highlight w:val="none"/>
        </w:rPr>
        <w:t xml:space="preserve"> 。</w:t>
      </w:r>
      <w:bookmarkEnd w:id="1067"/>
      <w:r>
        <w:rPr>
          <w:rFonts w:hint="eastAsia" w:ascii="宋体" w:hAnsi="宋体" w:eastAsia="宋体" w:cs="Times New Roman"/>
          <w:szCs w:val="21"/>
          <w:highlight w:val="none"/>
        </w:rPr>
      </w:r>
      <w:r/>
    </w:p>
    <w:p>
      <w:pPr>
        <w:pStyle w:val="1159"/>
        <w:spacing w:line="360" w:lineRule="auto"/>
        <w:rPr>
          <w:rFonts w:hint="eastAsia" w:ascii="宋体" w:hAnsi="宋体" w:eastAsia="宋体" w:cs="Times New Roman"/>
          <w:szCs w:val="21"/>
          <w:highlight w:val="none"/>
        </w:rPr>
      </w:pPr>
      <w:r/>
      <w:bookmarkStart w:id="1068" w:name="_Toc221951125"/>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4  </w:t>
      </w:r>
      <w:r>
        <w:rPr>
          <w:rFonts w:hint="eastAsia" w:ascii="宋体" w:hAnsi="宋体" w:eastAsia="宋体" w:cs="Times New Roman"/>
          <w:szCs w:val="21"/>
          <w:highlight w:val="none"/>
        </w:rPr>
        <w:t xml:space="preserve">日期</w:t>
      </w:r>
      <w:bookmarkEnd w:id="1068"/>
      <w:r>
        <w:rPr>
          <w:rFonts w:hint="eastAsia" w:ascii="宋体" w:hAnsi="宋体" w:eastAsia="宋体" w:cs="Times New Roman"/>
          <w:szCs w:val="21"/>
          <w:highlight w:val="none"/>
        </w:rPr>
      </w:r>
      <w:r/>
    </w:p>
    <w:p>
      <w:pPr>
        <w:pStyle w:val="1159"/>
        <w:spacing w:line="360" w:lineRule="auto"/>
        <w:rPr>
          <w:rFonts w:hint="eastAsia" w:ascii="宋体" w:hAnsi="宋体" w:eastAsia="宋体" w:cs="Times New Roman"/>
          <w:szCs w:val="21"/>
          <w:highlight w:val="none"/>
        </w:rPr>
      </w:pPr>
      <w:r/>
      <w:bookmarkStart w:id="1069" w:name="_Toc221951126"/>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  缺陷责任期（工程质量保修期）：</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2</w:t>
      </w:r>
      <w:r>
        <w:rPr>
          <w:rFonts w:hint="eastAsia" w:ascii="宋体" w:hAnsi="宋体" w:eastAsia="宋体" w:cs="Times New Roman"/>
          <w:szCs w:val="21"/>
          <w:highlight w:val="none"/>
          <w:u w:val="single"/>
        </w:rPr>
        <w:t xml:space="preserve">年  </w:t>
      </w:r>
      <w:r>
        <w:rPr>
          <w:rFonts w:hint="eastAsia" w:ascii="宋体" w:hAnsi="宋体" w:eastAsia="宋体" w:cs="Times New Roman"/>
          <w:szCs w:val="21"/>
          <w:highlight w:val="none"/>
        </w:rPr>
        <w:t xml:space="preserve">。</w:t>
      </w:r>
      <w:bookmarkEnd w:id="1069"/>
      <w:r>
        <w:rPr>
          <w:rFonts w:hint="eastAsia" w:ascii="宋体" w:hAnsi="宋体"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70" w:name="_Toc168476287"/>
      <w:r/>
      <w:bookmarkStart w:id="1071" w:name="_Toc168475884"/>
      <w:r/>
      <w:bookmarkStart w:id="1072" w:name="_Toc144974827"/>
      <w:r>
        <w:rPr>
          <w:rFonts w:hint="eastAsia" w:ascii="宋体" w:hAnsi="宋体" w:eastAsia="宋体" w:cs="Times New Roman"/>
          <w:sz w:val="28"/>
          <w:szCs w:val="28"/>
          <w:highlight w:val="none"/>
          <w:lang w:val="en-US" w:eastAsia="zh-CN" w:bidi="ar-SA"/>
        </w:rPr>
        <w:t xml:space="preserve">1.4  合同文件的优先顺序</w:t>
      </w:r>
      <w:r>
        <w:rPr>
          <w:rFonts w:hint="eastAsia" w:ascii="宋体" w:hAnsi="宋体" w:eastAsia="宋体" w:cs="Times New Roman"/>
          <w:sz w:val="28"/>
          <w:szCs w:val="28"/>
          <w:highlight w:val="none"/>
          <w:lang w:val="en-US" w:eastAsia="zh-CN" w:bidi="ar-SA"/>
        </w:rPr>
      </w:r>
      <w:r/>
    </w:p>
    <w:p>
      <w:pPr>
        <w:pStyle w:val="1159"/>
        <w:ind w:firstLine="420"/>
        <w:spacing w:line="360" w:lineRule="auto"/>
        <w:rPr>
          <w:rFonts w:ascii="Times New Roman" w:hAnsi="Times New Roman" w:eastAsia="宋体" w:cs="Times New Roman"/>
          <w:szCs w:val="21"/>
          <w:highlight w:val="none"/>
          <w:u w:val="single"/>
        </w:rPr>
      </w:pPr>
      <w:r/>
      <w:bookmarkStart w:id="1073" w:name="_Toc221951128"/>
      <w:r>
        <w:rPr>
          <w:rFonts w:hint="eastAsia" w:ascii="宋体" w:hAnsi="宋体" w:eastAsia="宋体" w:cs="Times New Roman"/>
          <w:szCs w:val="21"/>
          <w:highlight w:val="none"/>
        </w:rPr>
        <w:t xml:space="preserve">进入合同的各项文件及其优先顺序</w:t>
      </w:r>
      <w:bookmarkEnd w:id="1073"/>
      <w:r>
        <w:rPr>
          <w:rFonts w:hint="eastAsia" w:ascii="宋体" w:hAnsi="宋体" w:eastAsia="宋体" w:cs="Times New Roman"/>
          <w:szCs w:val="21"/>
          <w:highlight w:val="none"/>
        </w:rPr>
        <w:t xml:space="preserve">是</w:t>
      </w:r>
      <w:r>
        <w:rPr>
          <w:rFonts w:hint="eastAsia" w:ascii="Times New Roman" w:hAnsi="Times New Roman" w:eastAsia="宋体" w:cs="Times New Roman"/>
          <w:szCs w:val="21"/>
          <w:highlight w:val="none"/>
          <w:u w:val="single"/>
        </w:rPr>
        <w:t xml:space="preserve">（1）合同协议书；（</w:t>
      </w:r>
      <w:r>
        <w:rPr>
          <w:rFonts w:ascii="Times New Roman" w:hAnsi="Times New Roman" w:eastAsia="宋体" w:cs="Times New Roman"/>
          <w:szCs w:val="21"/>
          <w:highlight w:val="none"/>
          <w:u w:val="single"/>
        </w:rPr>
        <w:t xml:space="preserve">2</w:t>
      </w:r>
      <w:r>
        <w:rPr>
          <w:rFonts w:hint="eastAsia" w:ascii="Times New Roman" w:hAnsi="Times New Roman" w:eastAsia="宋体" w:cs="Times New Roman"/>
          <w:szCs w:val="21"/>
          <w:highlight w:val="none"/>
          <w:u w:val="single"/>
        </w:rPr>
        <w:t xml:space="preserve">）中标通知书；（</w:t>
      </w:r>
      <w:r>
        <w:rPr>
          <w:rFonts w:ascii="Times New Roman" w:hAnsi="Times New Roman" w:eastAsia="宋体" w:cs="Times New Roman"/>
          <w:szCs w:val="21"/>
          <w:highlight w:val="none"/>
          <w:u w:val="single"/>
        </w:rPr>
        <w:t xml:space="preserve">3</w:t>
      </w:r>
      <w:r>
        <w:rPr>
          <w:rFonts w:hint="eastAsia" w:ascii="Times New Roman" w:hAnsi="Times New Roman" w:eastAsia="宋体" w:cs="Times New Roman"/>
          <w:szCs w:val="21"/>
          <w:highlight w:val="none"/>
          <w:u w:val="single"/>
        </w:rPr>
        <w:t xml:space="preserve">）投标函及投标函附录；（</w:t>
      </w:r>
      <w:r>
        <w:rPr>
          <w:rFonts w:ascii="Times New Roman" w:hAnsi="Times New Roman" w:eastAsia="宋体" w:cs="Times New Roman"/>
          <w:szCs w:val="21"/>
          <w:highlight w:val="none"/>
          <w:u w:val="single"/>
        </w:rPr>
        <w:t xml:space="preserve">4</w:t>
      </w:r>
      <w:r>
        <w:rPr>
          <w:rFonts w:hint="eastAsia" w:ascii="Times New Roman" w:hAnsi="Times New Roman" w:eastAsia="宋体" w:cs="Times New Roman"/>
          <w:szCs w:val="21"/>
          <w:highlight w:val="none"/>
          <w:u w:val="single"/>
        </w:rPr>
        <w:t xml:space="preserve">）专用合同条款；（</w:t>
      </w:r>
      <w:r>
        <w:rPr>
          <w:rFonts w:ascii="Times New Roman" w:hAnsi="Times New Roman" w:eastAsia="宋体" w:cs="Times New Roman"/>
          <w:szCs w:val="21"/>
          <w:highlight w:val="none"/>
          <w:u w:val="single"/>
        </w:rPr>
        <w:t xml:space="preserve">5</w:t>
      </w:r>
      <w:r>
        <w:rPr>
          <w:rFonts w:hint="eastAsia" w:ascii="Times New Roman" w:hAnsi="Times New Roman" w:eastAsia="宋体" w:cs="Times New Roman"/>
          <w:szCs w:val="21"/>
          <w:highlight w:val="none"/>
          <w:u w:val="single"/>
        </w:rPr>
        <w:t xml:space="preserve">）通用合同条款；（</w:t>
      </w:r>
      <w:r>
        <w:rPr>
          <w:rFonts w:ascii="Times New Roman" w:hAnsi="Times New Roman" w:eastAsia="宋体" w:cs="Times New Roman"/>
          <w:szCs w:val="21"/>
          <w:highlight w:val="none"/>
          <w:u w:val="single"/>
        </w:rPr>
        <w:t xml:space="preserve">6</w:t>
      </w:r>
      <w:r>
        <w:rPr>
          <w:rFonts w:hint="eastAsia" w:ascii="Times New Roman" w:hAnsi="Times New Roman" w:eastAsia="宋体" w:cs="Times New Roman"/>
          <w:szCs w:val="21"/>
          <w:highlight w:val="none"/>
          <w:u w:val="single"/>
        </w:rPr>
        <w:t xml:space="preserve">）技术标准和要求；（</w:t>
      </w:r>
      <w:r>
        <w:rPr>
          <w:rFonts w:ascii="Times New Roman" w:hAnsi="Times New Roman" w:eastAsia="宋体" w:cs="Times New Roman"/>
          <w:szCs w:val="21"/>
          <w:highlight w:val="none"/>
          <w:u w:val="single"/>
        </w:rPr>
        <w:t xml:space="preserve">7</w:t>
      </w:r>
      <w:r>
        <w:rPr>
          <w:rFonts w:hint="eastAsia" w:ascii="Times New Roman" w:hAnsi="Times New Roman" w:eastAsia="宋体" w:cs="Times New Roman"/>
          <w:szCs w:val="21"/>
          <w:highlight w:val="none"/>
          <w:u w:val="single"/>
        </w:rPr>
        <w:t xml:space="preserve">）图纸；（</w:t>
      </w:r>
      <w:r>
        <w:rPr>
          <w:rFonts w:ascii="Times New Roman" w:hAnsi="Times New Roman" w:eastAsia="宋体" w:cs="Times New Roman"/>
          <w:szCs w:val="21"/>
          <w:highlight w:val="none"/>
          <w:u w:val="single"/>
        </w:rPr>
        <w:t xml:space="preserve">8</w:t>
      </w:r>
      <w:r>
        <w:rPr>
          <w:rFonts w:hint="eastAsia" w:ascii="Times New Roman" w:hAnsi="Times New Roman" w:eastAsia="宋体" w:cs="Times New Roman"/>
          <w:szCs w:val="21"/>
          <w:highlight w:val="none"/>
          <w:u w:val="single"/>
        </w:rPr>
        <w:t xml:space="preserve">）已标价工程量清单；（</w:t>
      </w:r>
      <w:r>
        <w:rPr>
          <w:rFonts w:ascii="Times New Roman" w:hAnsi="Times New Roman" w:eastAsia="宋体" w:cs="Times New Roman"/>
          <w:szCs w:val="21"/>
          <w:highlight w:val="none"/>
          <w:u w:val="single"/>
        </w:rPr>
        <w:t xml:space="preserve">9</w:t>
      </w:r>
      <w:r>
        <w:rPr>
          <w:rFonts w:hint="eastAsia" w:ascii="Times New Roman" w:hAnsi="Times New Roman" w:eastAsia="宋体" w:cs="Times New Roman"/>
          <w:szCs w:val="21"/>
          <w:highlight w:val="none"/>
          <w:u w:val="single"/>
        </w:rPr>
        <w:t xml:space="preserve">）其他合同文件。 </w:t>
      </w:r>
      <w:r>
        <w:rPr>
          <w:rFonts w:ascii="Times New Roman" w:hAnsi="Times New Roman" w:eastAsia="宋体" w:cs="Times New Roman"/>
          <w:szCs w:val="21"/>
          <w:highlight w:val="none"/>
          <w:u w:val="singl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74" w:name="_Toc221951129"/>
      <w:r>
        <w:rPr>
          <w:rFonts w:hint="eastAsia" w:ascii="宋体" w:hAnsi="宋体" w:eastAsia="宋体" w:cs="Times New Roman"/>
          <w:sz w:val="28"/>
          <w:szCs w:val="28"/>
          <w:highlight w:val="none"/>
          <w:lang w:val="en-US" w:eastAsia="zh-CN" w:bidi="ar-SA"/>
        </w:rPr>
        <w:t xml:space="preserve">1.7  联络</w:t>
      </w:r>
      <w:bookmarkEnd w:id="1074"/>
      <w:r>
        <w:rPr>
          <w:rFonts w:hint="eastAsia" w:ascii="宋体" w:hAnsi="宋体" w:eastAsia="宋体" w:cs="Times New Roman"/>
          <w:sz w:val="28"/>
          <w:szCs w:val="28"/>
          <w:highlight w:val="none"/>
          <w:lang w:val="en-US" w:eastAsia="zh-CN" w:bidi="ar-SA"/>
        </w:rPr>
      </w:r>
      <w:r/>
    </w:p>
    <w:p>
      <w:pPr>
        <w:pStyle w:val="1159"/>
        <w:spacing w:line="360" w:lineRule="auto"/>
        <w:rPr>
          <w:rFonts w:hint="eastAsia" w:ascii="宋体" w:hAnsi="宋体" w:eastAsia="宋体" w:cs="Times New Roman"/>
          <w:sz w:val="24"/>
          <w:szCs w:val="20"/>
          <w:highlight w:val="none"/>
        </w:rPr>
        <w:outlineLvl w:val="0"/>
      </w:pPr>
      <w:r/>
      <w:bookmarkStart w:id="1075" w:name="_Toc221951130"/>
      <w:r/>
      <w:bookmarkStart w:id="1076" w:name="_Toc102122075"/>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  来往函件均应按技术标准和要求（合同技术条款）约定的期限送达 </w:t>
      </w:r>
      <w:r>
        <w:rPr>
          <w:rFonts w:hint="eastAsia" w:ascii="宋体" w:hAnsi="宋体" w:eastAsia="宋体" w:cs="Times New Roman"/>
          <w:szCs w:val="21"/>
          <w:highlight w:val="none"/>
          <w:u w:val="single"/>
        </w:rPr>
        <w:t xml:space="preserve">常州市新北区罗溪镇人民政府</w:t>
      </w:r>
      <w:r>
        <w:rPr>
          <w:rFonts w:hint="eastAsia" w:ascii="宋体" w:hAnsi="宋体" w:eastAsia="宋体" w:cs="Times New Roman"/>
          <w:szCs w:val="21"/>
          <w:highlight w:val="none"/>
        </w:rPr>
        <w:t xml:space="preserve">。</w:t>
      </w:r>
      <w:bookmarkEnd w:id="1075"/>
      <w:r/>
      <w:bookmarkEnd w:id="1076"/>
      <w:r>
        <w:rPr>
          <w:rFonts w:hint="eastAsia" w:ascii="宋体" w:hAnsi="宋体" w:eastAsia="宋体" w:cs="Times New Roman"/>
          <w:sz w:val="24"/>
          <w:szCs w:val="20"/>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77" w:name="_Toc222033879"/>
      <w:r/>
      <w:bookmarkStart w:id="1078" w:name="_Toc222031030"/>
      <w:r/>
      <w:bookmarkStart w:id="1079" w:name="_Toc229305388"/>
      <w:r/>
      <w:bookmarkStart w:id="1080" w:name="_Toc222032697"/>
      <w:r/>
      <w:bookmarkStart w:id="1081" w:name="_Toc222029528"/>
      <w:r/>
      <w:bookmarkStart w:id="1082" w:name="_Toc221951131"/>
      <w:r>
        <w:rPr>
          <w:rFonts w:hint="eastAsia" w:ascii="宋体" w:hAnsi="宋体" w:eastAsia="宋体" w:cs="Times New Roman"/>
          <w:sz w:val="28"/>
          <w:szCs w:val="28"/>
          <w:highlight w:val="none"/>
          <w:lang w:val="en-US" w:eastAsia="zh-CN" w:bidi="ar-SA"/>
        </w:rPr>
        <w:t xml:space="preserve">2  发包人义务</w:t>
      </w:r>
      <w:bookmarkEnd w:id="1077"/>
      <w:r/>
      <w:bookmarkEnd w:id="1078"/>
      <w:r/>
      <w:bookmarkEnd w:id="1079"/>
      <w:r/>
      <w:bookmarkEnd w:id="1080"/>
      <w:r/>
      <w:bookmarkEnd w:id="1081"/>
      <w:r/>
      <w:bookmarkEnd w:id="1082"/>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83" w:name="_Toc221951132"/>
      <w:r>
        <w:rPr>
          <w:rFonts w:hint="eastAsia" w:ascii="宋体" w:hAnsi="宋体" w:eastAsia="宋体" w:cs="Times New Roman"/>
          <w:sz w:val="28"/>
          <w:szCs w:val="28"/>
          <w:highlight w:val="none"/>
          <w:lang w:val="en-US" w:eastAsia="zh-CN" w:bidi="ar-SA"/>
        </w:rPr>
        <w:t xml:space="preserve">2.3提供施工场地</w:t>
      </w:r>
      <w:bookmarkEnd w:id="1083"/>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ascii="Times New Roman" w:hAnsi="Times New Roman" w:eastAsia="宋体" w:cs="Times New Roman"/>
          <w:b/>
          <w:bCs/>
          <w:sz w:val="24"/>
          <w:szCs w:val="20"/>
          <w:highlight w:val="none"/>
        </w:rPr>
      </w:pPr>
      <w:r/>
      <w:bookmarkStart w:id="1084" w:name="_Toc221951133"/>
      <w:r>
        <w:rPr>
          <w:rFonts w:hint="eastAsia" w:ascii="宋体" w:hAnsi="Times New Roman" w:eastAsia="宋体" w:cs="Times New Roman"/>
          <w:szCs w:val="21"/>
          <w:highlight w:val="none"/>
        </w:rPr>
        <w:t xml:space="preserve">2.3.2发包人提供的施工场地范围为：</w:t>
      </w:r>
      <w:bookmarkEnd w:id="1084"/>
      <w:r>
        <w:rPr>
          <w:rFonts w:hint="eastAsia" w:ascii="Times New Roman" w:hAnsi="Times New Roman" w:eastAsia="宋体" w:cs="Times New Roman"/>
          <w:szCs w:val="21"/>
          <w:highlight w:val="none"/>
          <w:u w:val="single"/>
        </w:rPr>
        <w:t xml:space="preserve">在签订协议书时商定</w:t>
      </w:r>
      <w:r>
        <w:rPr>
          <w:rFonts w:hint="eastAsia" w:ascii="Times New Roman" w:hAnsi="Times New Roman" w:eastAsia="宋体" w:cs="Times New Roman"/>
          <w:b/>
          <w:bCs/>
          <w:sz w:val="24"/>
          <w:szCs w:val="20"/>
          <w:highlight w:val="none"/>
        </w:rPr>
        <w:t xml:space="preserve">。  </w:t>
      </w:r>
      <w:r>
        <w:rPr>
          <w:rFonts w:ascii="Times New Roman" w:hAnsi="Times New Roman" w:eastAsia="宋体" w:cs="Times New Roman"/>
          <w:b/>
          <w:bCs/>
          <w:sz w:val="24"/>
          <w:szCs w:val="20"/>
          <w:highlight w:val="none"/>
        </w:rPr>
      </w:r>
      <w:r/>
    </w:p>
    <w:p>
      <w:pPr>
        <w:pStyle w:val="1159"/>
        <w:ind w:right="248" w:firstLine="48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2.3.3承包人自行勘察的施工场地范围为：</w:t>
      </w:r>
      <w:r>
        <w:rPr>
          <w:rFonts w:hint="eastAsia" w:ascii="Times New Roman" w:hAnsi="Times New Roman" w:eastAsia="宋体" w:cs="Times New Roman"/>
          <w:szCs w:val="21"/>
          <w:highlight w:val="none"/>
          <w:u w:val="single"/>
        </w:rPr>
        <w:t xml:space="preserve">在签订协议书时商定</w:t>
      </w:r>
      <w:r>
        <w:rPr>
          <w:rFonts w:hint="eastAsia" w:ascii="宋体" w:hAnsi="Times New Roman" w:eastAsia="宋体" w:cs="Times New Roman"/>
          <w:szCs w:val="21"/>
          <w:highlight w:val="none"/>
        </w:rPr>
        <w:t xml:space="preserve">。</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85" w:name="_Toc221951134"/>
      <w:r>
        <w:rPr>
          <w:rFonts w:hint="eastAsia" w:ascii="宋体" w:hAnsi="宋体" w:eastAsia="宋体" w:cs="Times New Roman"/>
          <w:sz w:val="28"/>
          <w:szCs w:val="28"/>
          <w:highlight w:val="none"/>
          <w:lang w:val="en-US" w:eastAsia="zh-CN" w:bidi="ar-SA"/>
        </w:rPr>
        <w:t xml:space="preserve">2.8其它义务</w:t>
      </w:r>
      <w:bookmarkEnd w:id="1085"/>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ascii="宋体" w:hAnsi="Times New Roman" w:eastAsia="宋体" w:cs="Times New Roman"/>
          <w:szCs w:val="21"/>
          <w:highlight w:val="none"/>
        </w:rPr>
      </w:pPr>
      <w:r/>
      <w:bookmarkStart w:id="1086" w:name="_Toc229305389"/>
      <w:r/>
      <w:bookmarkStart w:id="1087" w:name="_Toc222032698"/>
      <w:r/>
      <w:bookmarkStart w:id="1088" w:name="_Toc221951140"/>
      <w:r/>
      <w:bookmarkStart w:id="1089" w:name="_Toc222031031"/>
      <w:r/>
      <w:bookmarkStart w:id="1090" w:name="_Toc222029529"/>
      <w:r/>
      <w:bookmarkStart w:id="1091" w:name="_Toc222033880"/>
      <w:r>
        <w:rPr>
          <w:rFonts w:hint="eastAsia" w:ascii="宋体" w:hAnsi="Times New Roman" w:eastAsia="宋体" w:cs="Times New Roman"/>
          <w:szCs w:val="21"/>
          <w:highlight w:val="none"/>
        </w:rPr>
        <w:t xml:space="preserve">其它义务在专用合同条款中补充约定。</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3  监理人</w:t>
      </w:r>
      <w:bookmarkEnd w:id="1086"/>
      <w:r/>
      <w:bookmarkEnd w:id="1087"/>
      <w:r/>
      <w:bookmarkEnd w:id="1088"/>
      <w:r/>
      <w:bookmarkEnd w:id="1089"/>
      <w:r/>
      <w:bookmarkEnd w:id="1090"/>
      <w:r/>
      <w:bookmarkEnd w:id="1091"/>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92" w:name="_Toc221951141"/>
      <w:r>
        <w:rPr>
          <w:rFonts w:hint="eastAsia" w:ascii="宋体" w:hAnsi="宋体" w:eastAsia="宋体" w:cs="Times New Roman"/>
          <w:sz w:val="28"/>
          <w:szCs w:val="28"/>
          <w:highlight w:val="none"/>
          <w:lang w:val="en-US" w:eastAsia="zh-CN" w:bidi="ar-SA"/>
        </w:rPr>
        <w:t xml:space="preserve">3.1  监理人的职责和权力</w:t>
      </w:r>
      <w:bookmarkEnd w:id="1092"/>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宋体" w:hAnsi="Times New Roman" w:eastAsia="宋体" w:cs="Times New Roman"/>
          <w:szCs w:val="21"/>
          <w:highlight w:val="none"/>
        </w:rPr>
      </w:pPr>
      <w:r/>
      <w:bookmarkStart w:id="1093" w:name="_Toc222031032"/>
      <w:r/>
      <w:bookmarkStart w:id="1094" w:name="_Toc222033881"/>
      <w:r/>
      <w:bookmarkStart w:id="1095" w:name="_Toc222029530"/>
      <w:r/>
      <w:bookmarkStart w:id="1096" w:name="_Toc222032699"/>
      <w:r/>
      <w:bookmarkStart w:id="1097" w:name="_Toc229305390"/>
      <w:r/>
      <w:bookmarkStart w:id="1098" w:name="_Toc221951150"/>
      <w:r>
        <w:rPr>
          <w:rFonts w:hint="eastAsia" w:ascii="宋体" w:hAnsi="Times New Roman" w:eastAsia="宋体" w:cs="Times New Roman"/>
          <w:szCs w:val="21"/>
          <w:highlight w:val="none"/>
        </w:rPr>
        <w:t xml:space="preserve">3.1　监理人的职责和权力</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3.1.1　监理人在行使下列权利前，必须得到发包人的批准。</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1）按第11.5款规定，确定延长完工期限；</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2）按第15条规定，当变更引起任何合同价格变动时作出变更决定；</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3）按第17条规定，工程量的计量；</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4  承包人</w:t>
      </w:r>
      <w:bookmarkEnd w:id="1093"/>
      <w:r/>
      <w:bookmarkEnd w:id="1094"/>
      <w:r/>
      <w:bookmarkEnd w:id="1095"/>
      <w:r/>
      <w:bookmarkEnd w:id="1096"/>
      <w:r/>
      <w:bookmarkEnd w:id="1097"/>
      <w:r/>
      <w:bookmarkEnd w:id="1098"/>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099" w:name="_Toc221951153"/>
      <w:r>
        <w:rPr>
          <w:rFonts w:hint="eastAsia" w:ascii="宋体" w:hAnsi="宋体" w:eastAsia="宋体" w:cs="Times New Roman"/>
          <w:sz w:val="28"/>
          <w:szCs w:val="28"/>
          <w:highlight w:val="none"/>
          <w:lang w:val="en-US" w:eastAsia="zh-CN" w:bidi="ar-SA"/>
        </w:rPr>
        <w:t xml:space="preserve">4.3  分包</w:t>
      </w:r>
      <w:bookmarkEnd w:id="1099"/>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4.3.2　本工程不允许分包。</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4.5　承包人项目负责人（建造师）</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bCs/>
          <w:szCs w:val="21"/>
          <w:highlight w:val="none"/>
        </w:rPr>
      </w:pPr>
      <w:r>
        <w:rPr>
          <w:rFonts w:hint="eastAsia" w:ascii="宋体" w:hAnsi="Times New Roman" w:eastAsia="宋体" w:cs="Times New Roman"/>
          <w:szCs w:val="21"/>
          <w:highlight w:val="none"/>
        </w:rPr>
        <w:t xml:space="preserve">4.5.1 承包人“项目负责人（建造师）、项目副经理、技术负责人短期离开工地，应事先征得书面批准。3天以内（含3 天）报监理人批准，报发包人核备，同时应委派代表代行其职，3天以上报监理人转报发包人批准。一般情况，以上人员每人每月离开工地不得超过8天。”</w:t>
      </w:r>
      <w:r>
        <w:rPr>
          <w:rFonts w:ascii="宋体" w:hAnsi="Times New Roman" w:eastAsia="宋体" w:cs="Times New Roman"/>
          <w:bCs/>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00" w:name="_Toc222033882"/>
      <w:r/>
      <w:bookmarkStart w:id="1101" w:name="_Toc222032700"/>
      <w:r/>
      <w:bookmarkStart w:id="1102" w:name="_Toc221951160"/>
      <w:r/>
      <w:bookmarkStart w:id="1103" w:name="_Toc222031033"/>
      <w:r/>
      <w:bookmarkStart w:id="1104" w:name="_Toc222029531"/>
      <w:r/>
      <w:bookmarkStart w:id="1105" w:name="_Toc229305391"/>
      <w:r>
        <w:rPr>
          <w:rFonts w:hint="eastAsia" w:ascii="宋体" w:hAnsi="宋体" w:eastAsia="宋体" w:cs="Times New Roman"/>
          <w:sz w:val="28"/>
          <w:szCs w:val="28"/>
          <w:highlight w:val="none"/>
          <w:lang w:val="en-US" w:eastAsia="zh-CN" w:bidi="ar-SA"/>
        </w:rPr>
        <w:t xml:space="preserve">5  材料和工程设备</w:t>
      </w:r>
      <w:bookmarkEnd w:id="1100"/>
      <w:r/>
      <w:bookmarkEnd w:id="1101"/>
      <w:r/>
      <w:bookmarkEnd w:id="1102"/>
      <w:r/>
      <w:bookmarkEnd w:id="1103"/>
      <w:r/>
      <w:bookmarkEnd w:id="1104"/>
      <w:r/>
      <w:bookmarkEnd w:id="1105"/>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06" w:name="_Toc221951163"/>
      <w:r>
        <w:rPr>
          <w:rFonts w:ascii="宋体" w:hAnsi="宋体" w:eastAsia="宋体" w:cs="Times New Roman"/>
          <w:sz w:val="28"/>
          <w:szCs w:val="28"/>
          <w:highlight w:val="none"/>
          <w:lang w:val="en-US" w:eastAsia="zh-CN" w:bidi="ar-SA"/>
        </w:rPr>
        <w:t xml:space="preserve">5</w:t>
      </w:r>
      <w:r>
        <w:rPr>
          <w:rFonts w:hint="eastAsia" w:ascii="宋体" w:hAnsi="宋体" w:eastAsia="宋体" w:cs="Times New Roman"/>
          <w:sz w:val="28"/>
          <w:szCs w:val="28"/>
          <w:highlight w:val="none"/>
          <w:lang w:val="en-US" w:eastAsia="zh-CN" w:bidi="ar-SA"/>
        </w:rPr>
        <w:t xml:space="preserve">.</w:t>
      </w:r>
      <w:r>
        <w:rPr>
          <w:rFonts w:ascii="宋体" w:hAnsi="宋体" w:eastAsia="宋体" w:cs="Times New Roman"/>
          <w:sz w:val="28"/>
          <w:szCs w:val="28"/>
          <w:highlight w:val="none"/>
          <w:lang w:val="en-US" w:eastAsia="zh-CN" w:bidi="ar-SA"/>
        </w:rPr>
        <w:t xml:space="preserve">2</w:t>
      </w:r>
      <w:r>
        <w:rPr>
          <w:rFonts w:hint="eastAsia" w:ascii="宋体" w:hAnsi="宋体" w:eastAsia="宋体" w:cs="Times New Roman"/>
          <w:sz w:val="28"/>
          <w:szCs w:val="28"/>
          <w:highlight w:val="none"/>
          <w:lang w:val="en-US" w:eastAsia="zh-CN" w:bidi="ar-SA"/>
        </w:rPr>
        <w:t xml:space="preserve">  发包人提供的材料和工程设备</w:t>
      </w:r>
      <w:bookmarkEnd w:id="1106"/>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宋体" w:hAnsi="Times New Roman" w:eastAsia="宋体" w:cs="Times New Roman"/>
          <w:szCs w:val="21"/>
          <w:highlight w:val="none"/>
        </w:rPr>
      </w:pPr>
      <w:r/>
      <w:bookmarkStart w:id="1107" w:name="_Toc222031034"/>
      <w:r/>
      <w:bookmarkStart w:id="1108" w:name="_Toc229305392"/>
      <w:r/>
      <w:bookmarkStart w:id="1109" w:name="_Toc222032701"/>
      <w:r/>
      <w:bookmarkStart w:id="1110" w:name="_Toc222029532"/>
      <w:r/>
      <w:bookmarkStart w:id="1111" w:name="_Toc221951166"/>
      <w:r/>
      <w:bookmarkStart w:id="1112" w:name="_Toc222033883"/>
      <w:r>
        <w:rPr>
          <w:rFonts w:hint="eastAsia" w:ascii="宋体" w:hAnsi="Times New Roman" w:eastAsia="宋体" w:cs="Times New Roman"/>
          <w:szCs w:val="21"/>
          <w:highlight w:val="none"/>
        </w:rPr>
        <w:t xml:space="preserve">发包人不提供任何工程设备。但材料与设备的采购需经发包人同意。</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End w:id="1107"/>
      <w:r/>
      <w:bookmarkEnd w:id="1108"/>
      <w:r/>
      <w:bookmarkEnd w:id="1109"/>
      <w:r/>
      <w:bookmarkEnd w:id="1110"/>
      <w:r/>
      <w:bookmarkEnd w:id="1111"/>
      <w:r/>
      <w:bookmarkEnd w:id="1112"/>
      <w:r/>
      <w:bookmarkStart w:id="1113" w:name="_Toc221951178"/>
      <w:r/>
      <w:bookmarkStart w:id="1114" w:name="_Toc222032702"/>
      <w:r/>
      <w:bookmarkStart w:id="1115" w:name="_Toc222031035"/>
      <w:r/>
      <w:bookmarkStart w:id="1116" w:name="_Toc222029533"/>
      <w:r/>
      <w:bookmarkStart w:id="1117" w:name="_Toc222033884"/>
      <w:r>
        <w:rPr>
          <w:rFonts w:hint="eastAsia" w:ascii="宋体" w:hAnsi="宋体" w:eastAsia="宋体" w:cs="Times New Roman"/>
          <w:sz w:val="28"/>
          <w:szCs w:val="28"/>
          <w:highlight w:val="none"/>
          <w:lang w:val="en-US" w:eastAsia="zh-CN" w:bidi="ar-SA"/>
        </w:rPr>
        <w:t xml:space="preserve">7  交通运输</w:t>
      </w:r>
      <w:bookmarkEnd w:id="1113"/>
      <w:r/>
      <w:bookmarkEnd w:id="1114"/>
      <w:r/>
      <w:bookmarkEnd w:id="1115"/>
      <w:r/>
      <w:bookmarkEnd w:id="1116"/>
      <w:r/>
      <w:bookmarkEnd w:id="1117"/>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7.3场外交通</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7.3.3承包人应加强船只、车辆的管理，严禁使用无证、报废车辆上路，严禁超载运输，遵守当地交通规则，承担与此相关的责任和费用。</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7.3.4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9 施工安全、治安保卫和环境保护</w:t>
      </w:r>
      <w:r>
        <w:rPr>
          <w:rFonts w:hint="eastAsia" w:ascii="宋体" w:hAnsi="宋体" w:eastAsia="宋体" w:cs="Times New Roman"/>
          <w:sz w:val="28"/>
          <w:szCs w:val="28"/>
          <w:highlight w:val="none"/>
          <w:lang w:val="en-US" w:eastAsia="zh-CN" w:bidi="ar-SA"/>
        </w:rPr>
      </w:r>
      <w:r/>
    </w:p>
    <w:p>
      <w:pPr>
        <w:pStyle w:val="1159"/>
        <w:ind w:right="248"/>
        <w:spacing w:line="360" w:lineRule="auto"/>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9.4环境保护</w:t>
      </w:r>
      <w:r>
        <w:rPr>
          <w:rFonts w:ascii="Times New Roman" w:hAnsi="Times New Roman" w:eastAsia="宋体" w:cs="Times New Roman"/>
          <w:b/>
          <w:bCs/>
          <w:sz w:val="32"/>
          <w:szCs w:val="32"/>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安全文明施工，扬尘管理、环境保护等所需费用已含在投标报价中。</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18" w:name="_Toc222032705"/>
      <w:r/>
      <w:bookmarkStart w:id="1119" w:name="_Toc222029536"/>
      <w:r/>
      <w:bookmarkStart w:id="1120" w:name="_Toc222033887"/>
      <w:r/>
      <w:bookmarkStart w:id="1121" w:name="_Toc222031038"/>
      <w:r/>
      <w:bookmarkStart w:id="1122" w:name="_Toc229305394"/>
      <w:r/>
      <w:bookmarkStart w:id="1123" w:name="_Toc221951188"/>
      <w:r>
        <w:rPr>
          <w:rFonts w:hint="eastAsia" w:ascii="宋体" w:hAnsi="宋体" w:eastAsia="宋体" w:cs="Times New Roman"/>
          <w:sz w:val="28"/>
          <w:szCs w:val="28"/>
          <w:highlight w:val="none"/>
          <w:lang w:val="en-US" w:eastAsia="zh-CN" w:bidi="ar-SA"/>
        </w:rPr>
        <w:t xml:space="preserve">11  开工和竣工</w:t>
      </w:r>
      <w:bookmarkEnd w:id="1118"/>
      <w:r/>
      <w:bookmarkEnd w:id="1119"/>
      <w:r/>
      <w:bookmarkEnd w:id="1120"/>
      <w:r/>
      <w:bookmarkEnd w:id="1121"/>
      <w:r/>
      <w:bookmarkEnd w:id="1122"/>
      <w:r/>
      <w:bookmarkEnd w:id="1123"/>
      <w:r>
        <w:rPr>
          <w:rFonts w:hint="eastAsia" w:ascii="宋体" w:hAnsi="宋体" w:eastAsia="宋体" w:cs="Times New Roman"/>
          <w:sz w:val="28"/>
          <w:szCs w:val="28"/>
          <w:highlight w:val="none"/>
          <w:lang w:val="en-US" w:eastAsia="zh-CN" w:bidi="ar-SA"/>
        </w:rPr>
        <w:t xml:space="preserve">（完工）</w:t>
      </w:r>
      <w:r>
        <w:rPr>
          <w:rFonts w:hint="eastAsia" w:ascii="宋体" w:hAnsi="宋体" w:eastAsia="宋体" w:cs="Times New Roman"/>
          <w:sz w:val="28"/>
          <w:szCs w:val="28"/>
          <w:highlight w:val="none"/>
          <w:lang w:val="en-US" w:eastAsia="zh-CN" w:bidi="ar-SA"/>
        </w:rPr>
      </w:r>
      <w:r/>
    </w:p>
    <w:p>
      <w:pPr>
        <w:pStyle w:val="1159"/>
        <w:spacing w:line="400" w:lineRule="atLeast"/>
        <w:rPr>
          <w:rFonts w:ascii="Times New Roman" w:hAnsi="Times New Roman" w:eastAsia="宋体" w:cs="Times New Roman"/>
          <w:b/>
          <w:bCs/>
          <w:sz w:val="32"/>
          <w:szCs w:val="32"/>
          <w:highlight w:val="none"/>
        </w:rPr>
      </w:pPr>
      <w:r/>
      <w:bookmarkStart w:id="1124" w:name="_Toc222029537"/>
      <w:r/>
      <w:bookmarkStart w:id="1125" w:name="_Toc222033888"/>
      <w:r/>
      <w:bookmarkStart w:id="1126" w:name="_Toc222031039"/>
      <w:r/>
      <w:bookmarkStart w:id="1127" w:name="_Toc229305395"/>
      <w:r/>
      <w:bookmarkStart w:id="1128" w:name="_Toc221951206"/>
      <w:r/>
      <w:bookmarkStart w:id="1129" w:name="_Toc222032706"/>
      <w:r>
        <w:rPr>
          <w:rFonts w:hint="eastAsia" w:ascii="Times New Roman" w:hAnsi="Times New Roman" w:eastAsia="宋体" w:cs="Times New Roman"/>
          <w:b/>
          <w:bCs/>
          <w:sz w:val="32"/>
          <w:szCs w:val="32"/>
          <w:highlight w:val="none"/>
        </w:rPr>
        <w:t xml:space="preserve">11.5　承包人工期延误</w:t>
      </w:r>
      <w:r>
        <w:rPr>
          <w:rFonts w:ascii="Times New Roman" w:hAnsi="Times New Roman" w:eastAsia="宋体" w:cs="Times New Roman"/>
          <w:b/>
          <w:bCs/>
          <w:sz w:val="32"/>
          <w:szCs w:val="32"/>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(1)逾期完工违约金1000元/天。</w:t>
      </w:r>
      <w:r>
        <w:rPr>
          <w:rFonts w:ascii="宋体" w:hAnsi="Times New Roman" w:eastAsia="宋体" w:cs="Times New Roman"/>
          <w:szCs w:val="21"/>
          <w:highlight w:val="none"/>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(2)全部逾期完工违约金的总限额不超过签约合同价的5% 。</w:t>
      </w:r>
      <w:r>
        <w:rPr>
          <w:rFonts w:ascii="宋体" w:hAnsi="Times New Roman" w:eastAsia="宋体" w:cs="Times New Roman"/>
          <w:szCs w:val="21"/>
          <w:highlight w:val="none"/>
        </w:rPr>
      </w:r>
      <w:r/>
    </w:p>
    <w:p>
      <w:pPr>
        <w:pStyle w:val="1159"/>
        <w:spacing w:line="400" w:lineRule="atLeast"/>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11.6　工期提前</w:t>
      </w:r>
      <w:r>
        <w:rPr>
          <w:rFonts w:ascii="Times New Roman" w:hAnsi="Times New Roman" w:eastAsia="宋体" w:cs="Times New Roman"/>
          <w:b/>
          <w:bCs/>
          <w:sz w:val="32"/>
          <w:szCs w:val="32"/>
          <w:highlight w:val="none"/>
        </w:rPr>
      </w:r>
      <w:r/>
    </w:p>
    <w:p>
      <w:pPr>
        <w:pStyle w:val="1159"/>
        <w:ind w:firstLine="642"/>
        <w:jc w:val="both"/>
        <w:keepLines/>
        <w:keepNext/>
        <w:spacing w:before="240" w:after="120" w:line="240" w:lineRule="auto"/>
        <w:widowControl w:val="off"/>
        <w:rPr>
          <w:rFonts w:hint="eastAsia" w:ascii="宋体" w:hAnsi="宋体" w:eastAsia="宋体" w:cs="Times New Roman"/>
          <w:sz w:val="21"/>
          <w:szCs w:val="21"/>
          <w:highlight w:val="none"/>
          <w:lang w:val="en-US" w:eastAsia="zh-CN" w:bidi="ar-SA"/>
        </w:rPr>
        <w:outlineLvl w:val="2"/>
      </w:pPr>
      <w:r>
        <w:rPr>
          <w:rFonts w:hint="eastAsia" w:ascii="宋体" w:hAnsi="宋体" w:eastAsia="宋体" w:cs="Times New Roman"/>
          <w:sz w:val="21"/>
          <w:szCs w:val="21"/>
          <w:highlight w:val="none"/>
          <w:lang w:val="en-US" w:eastAsia="zh-CN" w:bidi="ar-SA"/>
        </w:rPr>
        <w:t xml:space="preserve">工期提前的奖金约定：</w:t>
      </w:r>
      <w:r>
        <w:rPr>
          <w:rFonts w:hint="eastAsia" w:ascii="宋体" w:hAnsi="宋体" w:eastAsia="宋体" w:cs="Times New Roman"/>
          <w:sz w:val="21"/>
          <w:szCs w:val="21"/>
          <w:highlight w:val="none"/>
          <w:u w:val="single"/>
          <w:lang w:val="en-US" w:eastAsia="zh-CN" w:bidi="ar-SA"/>
        </w:rPr>
        <w:t xml:space="preserve">　无　</w:t>
      </w: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End w:id="1124"/>
      <w:r/>
      <w:bookmarkEnd w:id="1125"/>
      <w:r/>
      <w:bookmarkEnd w:id="1126"/>
      <w:r/>
      <w:bookmarkEnd w:id="1127"/>
      <w:r/>
      <w:bookmarkEnd w:id="1128"/>
      <w:r/>
      <w:bookmarkEnd w:id="1129"/>
      <w:r>
        <w:rPr>
          <w:rFonts w:hint="eastAsia" w:ascii="宋体" w:hAnsi="宋体" w:eastAsia="宋体" w:cs="Times New Roman"/>
          <w:sz w:val="28"/>
          <w:szCs w:val="28"/>
          <w:highlight w:val="none"/>
          <w:lang w:val="en-US" w:eastAsia="zh-CN" w:bidi="ar-SA"/>
        </w:rPr>
        <w:t xml:space="preserve">13  工程质量</w:t>
      </w:r>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13.7质量评定</w:t>
      </w:r>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13.7.7工程合格标准为：</w:t>
      </w:r>
      <w:r>
        <w:rPr>
          <w:rFonts w:hint="eastAsia" w:ascii="宋体" w:hAnsi="Times New Roman" w:eastAsia="宋体" w:cs="Times New Roman"/>
          <w:szCs w:val="21"/>
          <w:highlight w:val="none"/>
          <w:u w:val="single"/>
        </w:rPr>
        <w:t xml:space="preserve"> 合格 </w:t>
      </w:r>
      <w:r>
        <w:rPr>
          <w:rFonts w:hint="eastAsia" w:ascii="宋体" w:hAnsi="Times New Roman" w:eastAsia="宋体" w:cs="Times New Roman"/>
          <w:szCs w:val="21"/>
          <w:highlight w:val="none"/>
        </w:rPr>
        <w:t xml:space="preserve">；</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ascii="宋体" w:hAnsi="宋体" w:eastAsia="宋体" w:cs="Times New Roman"/>
          <w:sz w:val="28"/>
          <w:szCs w:val="28"/>
          <w:highlight w:val="none"/>
          <w:lang w:val="en-US" w:eastAsia="zh-CN" w:bidi="ar-SA"/>
        </w:rPr>
        <w:t xml:space="preserve">14. </w:t>
      </w:r>
      <w:r>
        <w:rPr>
          <w:rFonts w:hint="eastAsia" w:ascii="宋体" w:hAnsi="宋体" w:eastAsia="宋体" w:cs="Times New Roman"/>
          <w:sz w:val="28"/>
          <w:szCs w:val="28"/>
          <w:highlight w:val="none"/>
          <w:lang w:val="en-US" w:eastAsia="zh-CN" w:bidi="ar-SA"/>
        </w:rPr>
        <w:t xml:space="preserve">试验和检验</w:t>
      </w:r>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1"/>
          <w:szCs w:val="21"/>
          <w:highlight w:val="none"/>
          <w:lang w:val="en-US" w:eastAsia="zh-CN" w:bidi="ar-SA"/>
        </w:rPr>
        <w:outlineLvl w:val="2"/>
      </w:pPr>
      <w:r/>
      <w:bookmarkStart w:id="1130" w:name="_Toc316371892"/>
      <w:r/>
      <w:bookmarkStart w:id="1131" w:name="_Toc221951213"/>
      <w:r/>
      <w:bookmarkStart w:id="1132" w:name="_Toc222032708"/>
      <w:r/>
      <w:bookmarkStart w:id="1133" w:name="_Toc222033890"/>
      <w:r/>
      <w:bookmarkStart w:id="1134" w:name="_Toc229305396"/>
      <w:r/>
      <w:bookmarkStart w:id="1135" w:name="_Toc222029539"/>
      <w:r/>
      <w:bookmarkStart w:id="1136" w:name="_Toc222031041"/>
      <w:r>
        <w:rPr>
          <w:rFonts w:hint="eastAsia" w:ascii="宋体" w:hAnsi="宋体" w:eastAsia="宋体" w:cs="Times New Roman"/>
          <w:sz w:val="21"/>
          <w:szCs w:val="21"/>
          <w:highlight w:val="none"/>
          <w:lang w:val="en-US" w:eastAsia="zh-CN" w:bidi="ar-SA"/>
        </w:rPr>
        <w:t xml:space="preserve">14.1.4承包人应对本工程所用主要材料按规定进行试验和检验</w:t>
      </w:r>
      <w:bookmarkEnd w:id="1130"/>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15  变更</w:t>
      </w:r>
      <w:bookmarkEnd w:id="1131"/>
      <w:r/>
      <w:bookmarkEnd w:id="1132"/>
      <w:r/>
      <w:bookmarkEnd w:id="1133"/>
      <w:r/>
      <w:bookmarkEnd w:id="1134"/>
      <w:r/>
      <w:bookmarkEnd w:id="1135"/>
      <w:r/>
      <w:bookmarkEnd w:id="1136"/>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37" w:name="_Toc221951214"/>
      <w:r>
        <w:rPr>
          <w:rFonts w:hint="eastAsia" w:ascii="宋体" w:hAnsi="宋体" w:eastAsia="宋体" w:cs="Times New Roman"/>
          <w:sz w:val="28"/>
          <w:szCs w:val="28"/>
          <w:highlight w:val="none"/>
          <w:lang w:val="en-US" w:eastAsia="zh-CN" w:bidi="ar-SA"/>
        </w:rPr>
        <w:t xml:space="preserve">15.1  变更的范围和内容</w:t>
      </w:r>
      <w:bookmarkEnd w:id="1137"/>
      <w:r>
        <w:rPr>
          <w:rFonts w:hint="eastAsia" w:ascii="宋体" w:hAnsi="宋体" w:eastAsia="宋体" w:cs="Times New Roman"/>
          <w:sz w:val="28"/>
          <w:szCs w:val="28"/>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bookmarkStart w:id="1138" w:name="_Toc343170445"/>
      <w:r/>
      <w:bookmarkStart w:id="1139" w:name="_Toc343151965"/>
      <w:r/>
      <w:bookmarkStart w:id="1140" w:name="_Toc221951218"/>
      <w:r>
        <w:rPr>
          <w:rFonts w:hint="eastAsia" w:ascii="宋体" w:hAnsi="Times New Roman" w:eastAsia="宋体" w:cs="Times New Roman"/>
          <w:sz w:val="21"/>
          <w:szCs w:val="21"/>
          <w:highlight w:val="none"/>
          <w:lang w:val="en-US" w:eastAsia="zh-CN" w:bidi="ar-SA"/>
        </w:rPr>
        <w:t xml:space="preserve">(1)由于甲方要求的变更造成实际工程量与招标文件中《工程量清单》的数量无论是增加或减少，结算时工程量按实结算，综合单价不作调整；</w:t>
      </w:r>
      <w:r>
        <w:rPr>
          <w:rFonts w:ascii="宋体" w:hAnsi="Times New Roman" w:eastAsia="宋体" w:cs="Times New Roman"/>
          <w:sz w:val="21"/>
          <w:szCs w:val="21"/>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rPr>
          <w:rFonts w:hint="eastAsia" w:ascii="宋体" w:hAnsi="Times New Roman" w:eastAsia="宋体" w:cs="Times New Roman"/>
          <w:sz w:val="21"/>
          <w:szCs w:val="21"/>
          <w:highlight w:val="none"/>
          <w:lang w:val="en-US" w:eastAsia="zh-CN" w:bidi="ar-SA"/>
        </w:rPr>
        <w:t xml:space="preserve">(2)因设计变更需调整合同价格时，按以下原则确定其单价或合价：</w:t>
      </w:r>
      <w:bookmarkEnd w:id="1138"/>
      <w:r/>
      <w:bookmarkEnd w:id="1139"/>
      <w:r>
        <w:rPr>
          <w:rFonts w:ascii="宋体" w:hAnsi="Times New Roman" w:eastAsia="宋体" w:cs="Times New Roman"/>
          <w:sz w:val="21"/>
          <w:szCs w:val="21"/>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rPr>
          <w:rFonts w:hint="eastAsia" w:ascii="宋体" w:hAnsi="Times New Roman" w:eastAsia="宋体" w:cs="Times New Roman"/>
          <w:sz w:val="21"/>
          <w:szCs w:val="21"/>
          <w:highlight w:val="none"/>
          <w:lang w:val="en-US" w:eastAsia="zh-CN" w:bidi="ar-SA"/>
        </w:rPr>
        <w:t xml:space="preserve">①本合同《工程量清单》中有适用于变更工作的项目时，应采用该项目的单价；</w:t>
      </w:r>
      <w:r>
        <w:rPr>
          <w:rFonts w:ascii="宋体" w:hAnsi="Times New Roman" w:eastAsia="宋体" w:cs="Times New Roman"/>
          <w:sz w:val="21"/>
          <w:szCs w:val="21"/>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rPr>
          <w:rFonts w:hint="eastAsia" w:ascii="宋体" w:hAnsi="Times New Roman" w:eastAsia="宋体" w:cs="Times New Roman"/>
          <w:sz w:val="21"/>
          <w:szCs w:val="21"/>
          <w:highlight w:val="none"/>
          <w:lang w:val="en-US" w:eastAsia="zh-CN" w:bidi="ar-SA"/>
        </w:rPr>
        <w:t xml:space="preserve">②本合同《工程量清单》中无适用于变更工作的项目时，则可在合理的范围内参考类似项目的单价或合价作为变更估价的基础，由发包人、监理人、跟踪审计与承包人协商确定变更后的单价或合价；</w:t>
      </w:r>
      <w:r>
        <w:rPr>
          <w:rFonts w:ascii="宋体" w:hAnsi="Times New Roman" w:eastAsia="宋体" w:cs="Times New Roman"/>
          <w:sz w:val="21"/>
          <w:szCs w:val="21"/>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rPr>
          <w:rFonts w:hint="eastAsia" w:ascii="宋体" w:hAnsi="Times New Roman" w:eastAsia="宋体" w:cs="Times New Roman"/>
          <w:sz w:val="21"/>
          <w:szCs w:val="21"/>
          <w:highlight w:val="none"/>
          <w:lang w:val="en-US" w:eastAsia="zh-CN" w:bidi="ar-SA"/>
        </w:rPr>
        <w:t xml:space="preserve">③本合同《工程量清单》中无类似项目的单价或合价可供参考，则应由承包人按照工程预算价编制的依据（包括现行的计价表、材料、人工、机械预算价格等）编制综合单价【并需按照投标下浮率（中标价/预算价）同比例下浮】，并经发包人、跟踪审计、监理三方确认后作为结算依据。</w:t>
      </w:r>
      <w:bookmarkStart w:id="1141" w:name="_Toc343170446"/>
      <w:r/>
      <w:bookmarkStart w:id="1142" w:name="_Toc343151966"/>
      <w:r>
        <w:rPr>
          <w:rFonts w:ascii="宋体" w:hAnsi="Times New Roman" w:eastAsia="宋体" w:cs="Times New Roman"/>
          <w:sz w:val="21"/>
          <w:szCs w:val="21"/>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rPr>
          <w:rFonts w:hint="eastAsia" w:ascii="宋体" w:hAnsi="Times New Roman" w:eastAsia="宋体" w:cs="Times New Roman"/>
          <w:sz w:val="21"/>
          <w:szCs w:val="21"/>
          <w:highlight w:val="none"/>
          <w:lang w:val="en-US" w:eastAsia="zh-CN" w:bidi="ar-SA"/>
        </w:rPr>
        <w:t xml:space="preserve">(3)发包人保留变更或调整工程量的权利，承包人不得拒绝变更，更不得以变更为由提出不合理的要求。变更价格的确定参见15.1(2)条的约定。变更导致工期的顺延由发包人、跟踪审计、监理三方确认。</w:t>
      </w:r>
      <w:bookmarkEnd w:id="1141"/>
      <w:r/>
      <w:bookmarkEnd w:id="1142"/>
      <w:r>
        <w:rPr>
          <w:rFonts w:ascii="宋体" w:hAnsi="Times New Roman" w:eastAsia="宋体" w:cs="Times New Roman"/>
          <w:sz w:val="21"/>
          <w:szCs w:val="21"/>
          <w:highlight w:val="none"/>
          <w:lang w:val="en-US" w:eastAsia="zh-CN" w:bidi="ar-SA"/>
        </w:rPr>
      </w:r>
      <w:r/>
    </w:p>
    <w:p>
      <w:pPr>
        <w:pStyle w:val="1159"/>
        <w:ind w:firstLine="420"/>
        <w:jc w:val="both"/>
        <w:spacing w:line="460" w:lineRule="exact"/>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（4）工程结算时，单价按承包人投标所报综合单价，数量按实结算。投标报价中以项或总额报价的项目结算时不随工程量变化而调整。</w:t>
      </w:r>
      <w:r>
        <w:rPr>
          <w:rFonts w:hint="eastAsia" w:ascii="宋体" w:hAnsi="宋体" w:eastAsia="宋体" w:cs="Times New Roman"/>
          <w:sz w:val="21"/>
          <w:szCs w:val="21"/>
          <w:highlight w:val="none"/>
          <w:lang w:val="en-US" w:eastAsia="zh-CN" w:bidi="ar-SA"/>
        </w:rPr>
      </w:r>
      <w:r/>
    </w:p>
    <w:p>
      <w:pPr>
        <w:pStyle w:val="1159"/>
        <w:ind w:firstLine="420"/>
        <w:jc w:val="both"/>
        <w:spacing w:line="460" w:lineRule="exact"/>
        <w:widowControl w:val="off"/>
        <w:rPr>
          <w:rFonts w:ascii="宋体"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（5）甲方要求变更工程量的结算方法：由承包人提出，经监理和发包人审定后的数量进行结算。</w:t>
      </w:r>
      <w:bookmarkEnd w:id="1140"/>
      <w:r>
        <w:rPr>
          <w:rFonts w:ascii="宋体" w:hAnsi="Times New Roman" w:eastAsia="宋体" w:cs="Times New Roman"/>
          <w:sz w:val="21"/>
          <w:szCs w:val="21"/>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43" w:name="_Toc229305397"/>
      <w:r>
        <w:rPr>
          <w:rFonts w:hint="eastAsia" w:ascii="宋体" w:hAnsi="宋体" w:eastAsia="宋体" w:cs="Times New Roman"/>
          <w:sz w:val="28"/>
          <w:szCs w:val="28"/>
          <w:highlight w:val="none"/>
          <w:lang w:val="en-US" w:eastAsia="zh-CN" w:bidi="ar-SA"/>
        </w:rPr>
        <w:t xml:space="preserve">16 价格调整</w:t>
      </w:r>
      <w:bookmarkEnd w:id="1143"/>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16.1 物价波动引起的价格调整</w:t>
      </w:r>
      <w:r>
        <w:rPr>
          <w:rFonts w:hint="eastAsia" w:ascii="宋体" w:hAnsi="宋体" w:eastAsia="宋体" w:cs="Times New Roman"/>
          <w:sz w:val="28"/>
          <w:szCs w:val="28"/>
          <w:highlight w:val="none"/>
          <w:lang w:val="en-US" w:eastAsia="zh-CN" w:bidi="ar-SA"/>
        </w:rPr>
      </w:r>
      <w:r/>
    </w:p>
    <w:p>
      <w:pPr>
        <w:pStyle w:val="1159"/>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物价波动引起的价格调整方式：</w:t>
      </w:r>
      <w:r>
        <w:rPr>
          <w:rFonts w:hint="eastAsia" w:ascii="宋体" w:hAnsi="宋体" w:eastAsia="宋体" w:cs="Times New Roman"/>
          <w:sz w:val="20"/>
          <w:szCs w:val="20"/>
          <w:highlight w:val="none"/>
          <w:u w:val="single"/>
        </w:rPr>
        <w:t xml:space="preserve">不调整</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44" w:name="_Toc222031042"/>
      <w:r/>
      <w:bookmarkStart w:id="1145" w:name="_Toc229305398"/>
      <w:r/>
      <w:bookmarkStart w:id="1146" w:name="_Toc222033891"/>
      <w:r/>
      <w:bookmarkStart w:id="1147" w:name="_Toc222032709"/>
      <w:r/>
      <w:bookmarkStart w:id="1148" w:name="_Toc222029540"/>
      <w:r/>
      <w:bookmarkStart w:id="1149" w:name="_Toc221951223"/>
      <w:r>
        <w:rPr>
          <w:rFonts w:hint="eastAsia" w:ascii="宋体" w:hAnsi="宋体" w:eastAsia="宋体" w:cs="Times New Roman"/>
          <w:sz w:val="28"/>
          <w:szCs w:val="28"/>
          <w:highlight w:val="none"/>
          <w:lang w:val="en-US" w:eastAsia="zh-CN" w:bidi="ar-SA"/>
        </w:rPr>
        <w:t xml:space="preserve">17  计量与支付</w:t>
      </w:r>
      <w:bookmarkEnd w:id="1144"/>
      <w:r/>
      <w:bookmarkEnd w:id="1145"/>
      <w:r/>
      <w:bookmarkEnd w:id="1146"/>
      <w:r/>
      <w:bookmarkEnd w:id="1147"/>
      <w:r/>
      <w:bookmarkEnd w:id="1148"/>
      <w:r/>
      <w:bookmarkEnd w:id="1149"/>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50" w:name="_Toc221951224"/>
      <w:r>
        <w:rPr>
          <w:rFonts w:hint="eastAsia" w:ascii="宋体" w:hAnsi="宋体" w:eastAsia="宋体" w:cs="Times New Roman"/>
          <w:sz w:val="28"/>
          <w:szCs w:val="28"/>
          <w:highlight w:val="none"/>
          <w:lang w:val="en-US" w:eastAsia="zh-CN" w:bidi="ar-SA"/>
        </w:rPr>
        <w:t xml:space="preserve">17.2预付款</w:t>
      </w:r>
      <w:bookmarkEnd w:id="1150"/>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hint="eastAsia" w:ascii="宋体" w:hAnsi="宋体" w:eastAsia="宋体" w:cs="Times New Roman"/>
          <w:szCs w:val="21"/>
          <w:highlight w:val="none"/>
        </w:rPr>
      </w:pPr>
      <w:r/>
      <w:bookmarkStart w:id="1151" w:name="_Toc221951226"/>
      <w:r>
        <w:rPr>
          <w:rFonts w:hint="eastAsia" w:ascii="宋体" w:hAnsi="宋体" w:eastAsia="宋体" w:cs="Times New Roman"/>
          <w:szCs w:val="21"/>
          <w:highlight w:val="none"/>
        </w:rPr>
        <w:t xml:space="preserve">17.2.1</w:t>
      </w:r>
      <w:r>
        <w:rPr>
          <w:rFonts w:ascii="宋体" w:hAnsi="宋体" w:eastAsia="宋体" w:cs="Times New Roman"/>
          <w:szCs w:val="21"/>
          <w:highlight w:val="none"/>
        </w:rPr>
        <w:t xml:space="preserve">预付款</w:t>
      </w:r>
      <w:bookmarkEnd w:id="1151"/>
      <w:r>
        <w:rPr>
          <w:rFonts w:hint="eastAsia" w:ascii="宋体" w:hAnsi="宋体" w:eastAsia="宋体" w:cs="Times New Roman"/>
          <w:szCs w:val="21"/>
          <w:highlight w:val="none"/>
        </w:rPr>
      </w:r>
      <w:r/>
    </w:p>
    <w:p>
      <w:pPr>
        <w:pStyle w:val="1159"/>
        <w:ind w:right="248" w:firstLine="480"/>
        <w:spacing w:line="360" w:lineRule="auto"/>
        <w:rPr>
          <w:rFonts w:ascii="Times New Roman" w:hAnsi="Times New Roman" w:eastAsia="宋体" w:cs="Times New Roman"/>
          <w:szCs w:val="20"/>
          <w:highlight w:val="none"/>
        </w:rPr>
      </w:pPr>
      <w:r/>
      <w:bookmarkStart w:id="1152" w:name="_Toc221951235"/>
      <w:r>
        <w:rPr>
          <w:rFonts w:hint="eastAsia" w:ascii="Times New Roman" w:hAnsi="Times New Roman" w:eastAsia="宋体" w:cs="Times New Roman"/>
          <w:szCs w:val="20"/>
          <w:highlight w:val="none"/>
          <w:u w:val="single"/>
        </w:rPr>
        <w:t xml:space="preserve">本工程无预付工程款</w:t>
      </w:r>
      <w:r>
        <w:rPr>
          <w:rFonts w:hint="eastAsia" w:ascii="Times New Roman" w:hAnsi="Times New Roman" w:eastAsia="宋体" w:cs="Times New Roman"/>
          <w:szCs w:val="20"/>
          <w:highlight w:val="none"/>
        </w:rPr>
        <w:t xml:space="preserve">。</w:t>
      </w:r>
      <w:r>
        <w:rPr>
          <w:rFonts w:ascii="Times New Roman" w:hAnsi="Times New Roman" w:eastAsia="宋体" w:cs="Times New Roman"/>
          <w:szCs w:val="20"/>
          <w:highlight w:val="none"/>
        </w:rPr>
      </w:r>
      <w:r/>
    </w:p>
    <w:p>
      <w:pPr>
        <w:pStyle w:val="1159"/>
        <w:ind w:right="248" w:firstLine="480"/>
        <w:spacing w:line="360" w:lineRule="auto"/>
        <w:rPr>
          <w:rFonts w:ascii="Times New Roman" w:hAnsi="Times New Roman" w:eastAsia="宋体" w:cs="Times New Roman"/>
          <w:szCs w:val="20"/>
          <w:highlight w:val="none"/>
          <w:u w:val="single"/>
        </w:rPr>
      </w:pPr>
      <w:r/>
      <w:bookmarkStart w:id="1153" w:name="_Toc221951237"/>
      <w:r>
        <w:rPr>
          <w:rFonts w:hint="eastAsia" w:ascii="Times New Roman" w:hAnsi="Times New Roman" w:eastAsia="宋体" w:cs="Times New Roman"/>
          <w:szCs w:val="20"/>
          <w:highlight w:val="none"/>
        </w:rPr>
        <w:t xml:space="preserve">17.2.3 预付款的扣回与还清</w:t>
      </w:r>
      <w:bookmarkEnd w:id="1153"/>
      <w:r>
        <w:rPr>
          <w:rFonts w:hint="eastAsia" w:ascii="Times New Roman" w:hAnsi="Times New Roman" w:eastAsia="宋体" w:cs="Times New Roman"/>
          <w:szCs w:val="20"/>
          <w:highlight w:val="none"/>
        </w:rPr>
        <w:t xml:space="preserve">：</w:t>
      </w:r>
      <w:r>
        <w:rPr>
          <w:rFonts w:ascii="Times New Roman" w:hAnsi="Times New Roman" w:eastAsia="宋体" w:cs="Times New Roman"/>
          <w:szCs w:val="20"/>
          <w:highlight w:val="none"/>
          <w:u w:val="single"/>
        </w:rPr>
      </w:r>
      <w:r/>
    </w:p>
    <w:p>
      <w:pPr>
        <w:pStyle w:val="1159"/>
        <w:ind w:right="248" w:firstLine="480"/>
        <w:spacing w:line="360" w:lineRule="auto"/>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工程材料预付款的扣回与还清约定为：</w:t>
      </w:r>
      <w:r>
        <w:rPr>
          <w:rFonts w:hint="eastAsia" w:ascii="Times New Roman" w:hAnsi="Times New Roman" w:eastAsia="宋体" w:cs="Times New Roman"/>
          <w:szCs w:val="20"/>
          <w:highlight w:val="none"/>
          <w:u w:val="single"/>
        </w:rPr>
        <w:t xml:space="preserve">   /     </w:t>
      </w:r>
      <w:r>
        <w:rPr>
          <w:rFonts w:hint="eastAsia" w:ascii="Times New Roman" w:hAnsi="Times New Roman" w:eastAsia="宋体" w:cs="Times New Roman"/>
          <w:szCs w:val="20"/>
          <w:highlight w:val="none"/>
        </w:rPr>
        <w:t xml:space="preserve">。</w:t>
      </w:r>
      <w:r>
        <w:rPr>
          <w:rFonts w:ascii="Times New Roman" w:hAnsi="Times New Roman" w:eastAsia="宋体" w:cs="Times New Roman"/>
          <w:szCs w:val="20"/>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17.</w:t>
      </w:r>
      <w:r>
        <w:rPr>
          <w:rFonts w:ascii="宋体" w:hAnsi="宋体" w:eastAsia="宋体" w:cs="Times New Roman"/>
          <w:sz w:val="28"/>
          <w:szCs w:val="28"/>
          <w:highlight w:val="none"/>
          <w:lang w:val="en-US" w:eastAsia="zh-CN" w:bidi="ar-SA"/>
        </w:rPr>
        <w:t xml:space="preserve">3</w:t>
      </w:r>
      <w:r>
        <w:rPr>
          <w:rFonts w:hint="eastAsia" w:ascii="宋体" w:hAnsi="宋体" w:eastAsia="宋体" w:cs="Times New Roman"/>
          <w:sz w:val="28"/>
          <w:szCs w:val="28"/>
          <w:highlight w:val="none"/>
          <w:lang w:val="en-US" w:eastAsia="zh-CN" w:bidi="ar-SA"/>
        </w:rPr>
        <w:t xml:space="preserve"> </w:t>
      </w:r>
      <w:bookmarkEnd w:id="1152"/>
      <w:r>
        <w:rPr>
          <w:rFonts w:hint="eastAsia" w:ascii="宋体" w:hAnsi="宋体" w:eastAsia="宋体" w:cs="Times New Roman"/>
          <w:sz w:val="28"/>
          <w:szCs w:val="28"/>
          <w:highlight w:val="none"/>
          <w:lang w:val="en-US" w:eastAsia="zh-CN" w:bidi="ar-SA"/>
        </w:rPr>
        <w:t xml:space="preserve">进度款</w:t>
      </w:r>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1工程款按工程形象进度支付，每月25日前，承包人报送经监理核准的工程月报量，次月15日前支付由发包人指定的跟踪审计及发包人核定的已完成工程造价40%的月进度款；由于变更及签证的增加工程款，在进度款中暂不支付，归入竣工结算中待结算审定后支付。</w:t>
      </w:r>
      <w:r>
        <w:rPr>
          <w:rFonts w:hint="eastAsia" w:ascii="宋体" w:hAnsi="宋体" w:eastAsia="宋体" w:cs="Times New Roman"/>
          <w:szCs w:val="21"/>
          <w:highlight w:val="none"/>
        </w:rPr>
      </w:r>
      <w:r/>
    </w:p>
    <w:p>
      <w:pPr>
        <w:pStyle w:val="1159"/>
        <w:ind w:right="248" w:firstLine="48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工程完工验收合格后付至合同价的50%。</w:t>
      </w:r>
      <w:r>
        <w:rPr>
          <w:rFonts w:hint="eastAsia" w:ascii="宋体" w:hAnsi="宋体" w:eastAsia="宋体" w:cs="Times New Roman"/>
          <w:szCs w:val="21"/>
          <w:highlight w:val="none"/>
        </w:rPr>
      </w:r>
      <w:r/>
    </w:p>
    <w:p>
      <w:pPr>
        <w:pStyle w:val="1159"/>
        <w:ind w:right="248" w:firstLine="48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承包人在工程完工验收合格一个月内提交全套完整的结算资料，发包人在收到全套完整结算资料后四个月内完成工程结算审定，开具审定单；如因承包人原因，提交资料不完整，经发包人催促后承包人仍未提供的，发包人可根据已有资料进行审查，发包人也可以延期进行审计，责任由承包人承担；在发包人审定后，付至审定价的60%。</w:t>
      </w:r>
      <w:r>
        <w:rPr>
          <w:rFonts w:hint="eastAsia" w:ascii="宋体" w:hAnsi="宋体" w:eastAsia="宋体" w:cs="Times New Roman"/>
          <w:szCs w:val="21"/>
          <w:highlight w:val="none"/>
        </w:rPr>
      </w:r>
      <w:r/>
    </w:p>
    <w:p>
      <w:pPr>
        <w:pStyle w:val="1159"/>
        <w:ind w:right="248" w:firstLine="48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余款（除保修金外）从工程竣工验收合格审定完成之日算起，两年内分四次付至审定价的97%（付款时间为每年六月份、十二月份各支付一次，余款不计利息）。</w:t>
      </w:r>
      <w:r>
        <w:rPr>
          <w:rFonts w:hint="eastAsia" w:ascii="宋体" w:hAnsi="宋体" w:eastAsia="宋体" w:cs="Times New Roman"/>
          <w:szCs w:val="21"/>
          <w:highlight w:val="none"/>
        </w:rPr>
      </w:r>
      <w:r/>
    </w:p>
    <w:p>
      <w:pPr>
        <w:pStyle w:val="1159"/>
        <w:ind w:right="248" w:firstLine="48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保修金为审定价的3%，在竣工验收合格满二年后支付（施工单位应办理质保期满告知单、提供交接验收单，保修金不计利息）。</w:t>
      </w:r>
      <w:r>
        <w:rPr>
          <w:rFonts w:hint="eastAsia" w:ascii="宋体" w:hAnsi="宋体" w:eastAsia="宋体" w:cs="Times New Roman"/>
          <w:szCs w:val="21"/>
          <w:highlight w:val="none"/>
        </w:rPr>
      </w:r>
      <w:r/>
    </w:p>
    <w:p>
      <w:pPr>
        <w:pStyle w:val="1159"/>
        <w:ind w:right="248"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以上各阶段付款前，承包人必须提供合规的增值税专用发票并在工程结算审定后提供剩余部分工程款的增值税专用发票，若承包人延迟提供合规的增值税专用发票，则发包人有权顺延付款，且发包人不承担逾期付款的违约责任。</w:t>
      </w:r>
      <w:r>
        <w:rPr>
          <w:rFonts w:hint="eastAsia" w:ascii="宋体" w:hAnsi="宋体"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54" w:name="_Toc221951260"/>
      <w:r>
        <w:rPr>
          <w:rFonts w:ascii="宋体" w:hAnsi="宋体" w:eastAsia="宋体" w:cs="Times New Roman"/>
          <w:sz w:val="28"/>
          <w:szCs w:val="28"/>
          <w:highlight w:val="none"/>
          <w:lang w:val="en-US" w:eastAsia="zh-CN" w:bidi="ar-SA"/>
        </w:rPr>
        <w:t xml:space="preserve">17</w:t>
      </w:r>
      <w:r>
        <w:rPr>
          <w:rFonts w:hint="eastAsia" w:ascii="宋体" w:hAnsi="宋体" w:eastAsia="宋体" w:cs="Times New Roman"/>
          <w:sz w:val="28"/>
          <w:szCs w:val="28"/>
          <w:highlight w:val="none"/>
          <w:lang w:val="en-US" w:eastAsia="zh-CN" w:bidi="ar-SA"/>
        </w:rPr>
        <w:t xml:space="preserve">.</w:t>
      </w:r>
      <w:r>
        <w:rPr>
          <w:rFonts w:ascii="宋体" w:hAnsi="宋体" w:eastAsia="宋体" w:cs="Times New Roman"/>
          <w:sz w:val="28"/>
          <w:szCs w:val="28"/>
          <w:highlight w:val="none"/>
          <w:lang w:val="en-US" w:eastAsia="zh-CN" w:bidi="ar-SA"/>
        </w:rPr>
        <w:t xml:space="preserve">4</w:t>
      </w:r>
      <w:r>
        <w:rPr>
          <w:rFonts w:hint="eastAsia" w:ascii="宋体" w:hAnsi="宋体" w:eastAsia="宋体" w:cs="Times New Roman"/>
          <w:sz w:val="28"/>
          <w:szCs w:val="28"/>
          <w:highlight w:val="none"/>
          <w:lang w:val="en-US" w:eastAsia="zh-CN" w:bidi="ar-SA"/>
        </w:rPr>
        <w:t xml:space="preserve">  质量保证金</w:t>
      </w:r>
      <w:bookmarkEnd w:id="1154"/>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Times New Roman" w:hAnsi="Times New Roman" w:eastAsia="宋体" w:cs="Times New Roman"/>
          <w:szCs w:val="20"/>
          <w:highlight w:val="none"/>
        </w:rPr>
      </w:pPr>
      <w:r/>
      <w:bookmarkStart w:id="1155" w:name="_Toc221951262"/>
      <w:r>
        <w:rPr>
          <w:rFonts w:hint="eastAsia" w:ascii="宋体" w:hAnsi="Times New Roman" w:eastAsia="宋体" w:cs="Times New Roman"/>
          <w:szCs w:val="21"/>
          <w:highlight w:val="none"/>
        </w:rPr>
        <w:t xml:space="preserve">17.4.1</w:t>
      </w:r>
      <w:bookmarkEnd w:id="1155"/>
      <w:r>
        <w:rPr>
          <w:rFonts w:hint="eastAsia" w:ascii="Times New Roman" w:hAnsi="Times New Roman" w:eastAsia="宋体" w:cs="Times New Roman"/>
          <w:szCs w:val="20"/>
          <w:highlight w:val="none"/>
        </w:rPr>
        <w:t xml:space="preserve">质量保证金总额为竣工审定价的</w:t>
      </w:r>
      <w:r>
        <w:rPr>
          <w:rFonts w:hint="eastAsia" w:ascii="Times New Roman" w:hAnsi="Times New Roman" w:eastAsia="宋体" w:cs="Times New Roman"/>
          <w:szCs w:val="20"/>
          <w:highlight w:val="none"/>
          <w:u w:val="single"/>
        </w:rPr>
        <w:t xml:space="preserve">　3　</w:t>
      </w:r>
      <w:r>
        <w:rPr>
          <w:rFonts w:hint="eastAsia" w:ascii="Times New Roman" w:hAnsi="Times New Roman" w:eastAsia="宋体" w:cs="Times New Roman"/>
          <w:szCs w:val="20"/>
          <w:highlight w:val="none"/>
        </w:rPr>
        <w:t xml:space="preserve">%，待质保期满后支付。</w:t>
      </w:r>
      <w:r>
        <w:rPr>
          <w:rFonts w:ascii="Times New Roman" w:hAnsi="Times New Roman" w:eastAsia="宋体" w:cs="Times New Roman"/>
          <w:szCs w:val="20"/>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56" w:name="_Toc221951265"/>
      <w:r>
        <w:rPr>
          <w:rFonts w:hint="eastAsia" w:ascii="宋体" w:hAnsi="宋体" w:eastAsia="宋体" w:cs="Times New Roman"/>
          <w:sz w:val="28"/>
          <w:szCs w:val="28"/>
          <w:highlight w:val="none"/>
          <w:lang w:val="en-US" w:eastAsia="zh-CN" w:bidi="ar-SA"/>
        </w:rPr>
        <w:t xml:space="preserve">17.5  竣工（完工）结算</w:t>
      </w:r>
      <w:bookmarkEnd w:id="1156"/>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竣工(完工)结算：结算审计，核减额超过送审价的 </w:t>
      </w:r>
      <w:r>
        <w:rPr>
          <w:rFonts w:ascii="Times New Roman" w:hAnsi="Times New Roman" w:eastAsia="宋体" w:cs="Times New Roman"/>
          <w:szCs w:val="20"/>
          <w:highlight w:val="none"/>
        </w:rPr>
        <w:t xml:space="preserve">5</w:t>
      </w:r>
      <w:r>
        <w:rPr>
          <w:rFonts w:hint="eastAsia" w:ascii="Times New Roman" w:hAnsi="Times New Roman" w:eastAsia="宋体" w:cs="Times New Roman"/>
          <w:szCs w:val="20"/>
          <w:highlight w:val="none"/>
        </w:rPr>
        <w:t xml:space="preserve"> %，审计费由承包方承担，并从工程款中等额扣除。</w:t>
      </w:r>
      <w:r>
        <w:rPr>
          <w:rFonts w:ascii="Times New Roman" w:hAnsi="Times New Roman" w:eastAsia="宋体" w:cs="Times New Roman"/>
          <w:szCs w:val="20"/>
          <w:highlight w:val="none"/>
        </w:rPr>
      </w:r>
      <w:r/>
    </w:p>
    <w:p>
      <w:pPr>
        <w:pStyle w:val="1159"/>
        <w:ind w:right="248" w:firstLine="420"/>
        <w:spacing w:line="360" w:lineRule="auto"/>
        <w:rPr>
          <w:rFonts w:ascii="Times New Roman" w:hAnsi="Times New Roman" w:eastAsia="宋体" w:cs="Times New Roman"/>
          <w:szCs w:val="20"/>
          <w:highlight w:val="none"/>
        </w:rPr>
      </w:pPr>
      <w:r/>
      <w:bookmarkStart w:id="1157" w:name="_Toc221951266"/>
      <w:r>
        <w:rPr>
          <w:rFonts w:hint="eastAsia" w:ascii="Times New Roman" w:hAnsi="Times New Roman" w:eastAsia="宋体" w:cs="Times New Roman"/>
          <w:szCs w:val="20"/>
          <w:highlight w:val="none"/>
        </w:rPr>
        <w:t xml:space="preserve">17.5.1  竣工（完工）付款申请单</w:t>
      </w:r>
      <w:bookmarkEnd w:id="1157"/>
      <w:r>
        <w:rPr>
          <w:rFonts w:ascii="Times New Roman" w:hAnsi="Times New Roman" w:eastAsia="宋体" w:cs="Times New Roman"/>
          <w:szCs w:val="20"/>
          <w:highlight w:val="none"/>
        </w:rPr>
      </w:r>
      <w:r/>
    </w:p>
    <w:p>
      <w:pPr>
        <w:pStyle w:val="1159"/>
        <w:ind w:right="248" w:firstLine="420"/>
        <w:spacing w:line="360" w:lineRule="auto"/>
        <w:rPr>
          <w:rFonts w:ascii="宋体" w:hAnsi="Times New Roman" w:eastAsia="宋体" w:cs="Times New Roman"/>
          <w:szCs w:val="21"/>
          <w:highlight w:val="none"/>
        </w:rPr>
      </w:pPr>
      <w:r/>
      <w:bookmarkStart w:id="1158" w:name="_Toc221951267"/>
      <w:r>
        <w:rPr>
          <w:rFonts w:hint="eastAsia" w:ascii="Times New Roman" w:hAnsi="Times New Roman" w:eastAsia="宋体" w:cs="Times New Roman"/>
          <w:szCs w:val="20"/>
          <w:highlight w:val="none"/>
        </w:rPr>
        <w:t xml:space="preserve">（1）承包人应提交竣工付款申请单一式</w:t>
      </w:r>
      <w:r>
        <w:rPr>
          <w:rFonts w:hint="eastAsia" w:ascii="Times New Roman" w:hAnsi="Times New Roman" w:eastAsia="宋体" w:cs="Times New Roman"/>
          <w:szCs w:val="20"/>
          <w:highlight w:val="none"/>
          <w:u w:val="single"/>
        </w:rPr>
        <w:t xml:space="preserve">   2    </w:t>
      </w:r>
      <w:r>
        <w:rPr>
          <w:rFonts w:hint="eastAsia" w:ascii="Times New Roman" w:hAnsi="Times New Roman" w:eastAsia="宋体" w:cs="Times New Roman"/>
          <w:szCs w:val="20"/>
          <w:highlight w:val="none"/>
        </w:rPr>
        <w:t xml:space="preserve">份。</w:t>
      </w:r>
      <w:bookmarkEnd w:id="1158"/>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59" w:name="_Toc221951268"/>
      <w:r>
        <w:rPr>
          <w:rFonts w:hint="eastAsia" w:ascii="宋体" w:hAnsi="宋体" w:eastAsia="宋体" w:cs="Times New Roman"/>
          <w:sz w:val="28"/>
          <w:szCs w:val="28"/>
          <w:highlight w:val="none"/>
          <w:lang w:val="en-US" w:eastAsia="zh-CN" w:bidi="ar-SA"/>
        </w:rPr>
        <w:t xml:space="preserve">17.6  最终结清</w:t>
      </w:r>
      <w:bookmarkEnd w:id="1159"/>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ascii="Times New Roman" w:hAnsi="Times New Roman" w:eastAsia="宋体" w:cs="Times New Roman"/>
          <w:szCs w:val="20"/>
          <w:highlight w:val="none"/>
        </w:rPr>
      </w:pPr>
      <w:r/>
      <w:bookmarkStart w:id="1160" w:name="_Toc221951269"/>
      <w:r>
        <w:rPr>
          <w:rFonts w:ascii="Times New Roman" w:hAnsi="Times New Roman" w:eastAsia="宋体" w:cs="Times New Roman"/>
          <w:szCs w:val="20"/>
          <w:highlight w:val="none"/>
        </w:rPr>
        <w:t xml:space="preserve">17</w:t>
      </w:r>
      <w:r>
        <w:rPr>
          <w:rFonts w:hint="eastAsia" w:ascii="Times New Roman" w:hAnsi="Times New Roman" w:eastAsia="宋体" w:cs="Times New Roman"/>
          <w:szCs w:val="20"/>
          <w:highlight w:val="none"/>
        </w:rPr>
        <w:t xml:space="preserve">.</w:t>
      </w:r>
      <w:r>
        <w:rPr>
          <w:rFonts w:ascii="Times New Roman" w:hAnsi="Times New Roman" w:eastAsia="宋体" w:cs="Times New Roman"/>
          <w:szCs w:val="20"/>
          <w:highlight w:val="none"/>
        </w:rPr>
        <w:t xml:space="preserve">61</w:t>
      </w:r>
      <w:r>
        <w:rPr>
          <w:rFonts w:hint="eastAsia" w:ascii="Times New Roman" w:hAnsi="Times New Roman" w:eastAsia="宋体" w:cs="Times New Roman"/>
          <w:szCs w:val="20"/>
          <w:highlight w:val="none"/>
        </w:rPr>
        <w:t xml:space="preserve">  最终结清申请单</w:t>
      </w:r>
      <w:bookmarkEnd w:id="1160"/>
      <w:r>
        <w:rPr>
          <w:rFonts w:ascii="Times New Roman" w:hAnsi="Times New Roman" w:eastAsia="宋体" w:cs="Times New Roman"/>
          <w:szCs w:val="20"/>
          <w:highlight w:val="none"/>
        </w:rPr>
      </w:r>
      <w:r/>
    </w:p>
    <w:p>
      <w:pPr>
        <w:pStyle w:val="1159"/>
        <w:ind w:right="248" w:firstLine="480"/>
        <w:spacing w:line="360" w:lineRule="auto"/>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(1)承包人应提交最终结清申请单一式</w:t>
      </w:r>
      <w:r>
        <w:rPr>
          <w:rFonts w:hint="eastAsia" w:ascii="Times New Roman" w:hAnsi="Times New Roman" w:eastAsia="宋体" w:cs="Times New Roman"/>
          <w:szCs w:val="20"/>
          <w:highlight w:val="none"/>
          <w:u w:val="single"/>
        </w:rPr>
        <w:t xml:space="preserve">　2　</w:t>
      </w:r>
      <w:r>
        <w:rPr>
          <w:rFonts w:hint="eastAsia" w:ascii="Times New Roman" w:hAnsi="Times New Roman" w:eastAsia="宋体" w:cs="Times New Roman"/>
          <w:szCs w:val="20"/>
          <w:highlight w:val="none"/>
        </w:rPr>
        <w:t xml:space="preserve">份；</w:t>
      </w:r>
      <w:r>
        <w:rPr>
          <w:rFonts w:ascii="Times New Roman" w:hAnsi="Times New Roman" w:eastAsia="宋体" w:cs="Times New Roman"/>
          <w:szCs w:val="20"/>
          <w:highlight w:val="none"/>
        </w:rPr>
      </w:r>
      <w:r/>
    </w:p>
    <w:p>
      <w:pPr>
        <w:pStyle w:val="1159"/>
        <w:ind w:right="248" w:firstLine="480"/>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0"/>
          <w:highlight w:val="none"/>
        </w:rPr>
        <w:t xml:space="preserve">并提供经监理人审核过的电子文档</w:t>
      </w:r>
      <w:r>
        <w:rPr>
          <w:rFonts w:hint="eastAsia" w:ascii="Times New Roman" w:hAnsi="Times New Roman" w:eastAsia="宋体" w:cs="Times New Roman"/>
          <w:szCs w:val="20"/>
          <w:highlight w:val="none"/>
          <w:u w:val="single"/>
        </w:rPr>
        <w:t xml:space="preserve">  1 </w:t>
      </w:r>
      <w:r>
        <w:rPr>
          <w:rFonts w:hint="eastAsia" w:ascii="Times New Roman" w:hAnsi="Times New Roman" w:eastAsia="宋体" w:cs="Times New Roman"/>
          <w:szCs w:val="20"/>
          <w:highlight w:val="none"/>
        </w:rPr>
        <w:t xml:space="preserve">份。</w:t>
      </w:r>
      <w:r>
        <w:rPr>
          <w:rFonts w:ascii="Times New Roman"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61" w:name="_Toc221951271"/>
      <w:r/>
      <w:bookmarkStart w:id="1162" w:name="_Toc222031043"/>
      <w:r/>
      <w:bookmarkStart w:id="1163" w:name="_Toc222032710"/>
      <w:r/>
      <w:bookmarkStart w:id="1164" w:name="_Toc222033892"/>
      <w:r/>
      <w:bookmarkStart w:id="1165" w:name="_Toc222029541"/>
      <w:r/>
      <w:bookmarkStart w:id="1166" w:name="_Toc229305399"/>
      <w:r>
        <w:rPr>
          <w:rFonts w:hint="eastAsia" w:ascii="宋体" w:hAnsi="宋体" w:eastAsia="宋体" w:cs="Times New Roman"/>
          <w:sz w:val="28"/>
          <w:szCs w:val="28"/>
          <w:highlight w:val="none"/>
          <w:lang w:val="en-US" w:eastAsia="zh-CN" w:bidi="ar-SA"/>
        </w:rPr>
        <w:t xml:space="preserve">18  竣工验收</w:t>
      </w:r>
      <w:bookmarkEnd w:id="1161"/>
      <w:r/>
      <w:bookmarkEnd w:id="1162"/>
      <w:r/>
      <w:bookmarkEnd w:id="1163"/>
      <w:r/>
      <w:bookmarkEnd w:id="1164"/>
      <w:r/>
      <w:bookmarkEnd w:id="1165"/>
      <w:r/>
      <w:bookmarkEnd w:id="1166"/>
      <w:r>
        <w:rPr>
          <w:rFonts w:hint="eastAsia" w:ascii="宋体" w:hAnsi="宋体" w:eastAsia="宋体" w:cs="Times New Roman"/>
          <w:sz w:val="28"/>
          <w:szCs w:val="28"/>
          <w:highlight w:val="none"/>
          <w:lang w:val="en-US" w:eastAsia="zh-CN" w:bidi="ar-SA"/>
        </w:rPr>
        <w:t xml:space="preserve">（验收）</w:t>
      </w:r>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67" w:name="_Toc221951272"/>
      <w:r>
        <w:rPr>
          <w:rFonts w:hint="eastAsia" w:ascii="宋体" w:hAnsi="宋体" w:eastAsia="宋体" w:cs="Times New Roman"/>
          <w:sz w:val="28"/>
          <w:szCs w:val="28"/>
          <w:highlight w:val="none"/>
          <w:lang w:val="en-US" w:eastAsia="zh-CN" w:bidi="ar-SA"/>
        </w:rPr>
        <w:t xml:space="preserve">18.1 </w:t>
      </w:r>
      <w:bookmarkEnd w:id="1167"/>
      <w:r>
        <w:rPr>
          <w:rFonts w:hint="eastAsia" w:ascii="宋体" w:hAnsi="宋体" w:eastAsia="宋体" w:cs="Times New Roman"/>
          <w:sz w:val="28"/>
          <w:szCs w:val="28"/>
          <w:highlight w:val="none"/>
          <w:lang w:val="en-US" w:eastAsia="zh-CN" w:bidi="ar-SA"/>
        </w:rPr>
        <w:t xml:space="preserve">验收工作分类</w:t>
      </w:r>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ascii="宋体" w:hAnsi="Times New Roman" w:eastAsia="宋体" w:cs="Times New Roman"/>
          <w:szCs w:val="21"/>
          <w:highlight w:val="none"/>
        </w:rPr>
      </w:pPr>
      <w:r/>
      <w:bookmarkStart w:id="1168" w:name="_Toc221951274"/>
      <w:r>
        <w:rPr>
          <w:rFonts w:hint="eastAsia" w:ascii="宋体" w:hAnsi="Times New Roman" w:eastAsia="宋体" w:cs="Times New Roman"/>
          <w:szCs w:val="21"/>
          <w:highlight w:val="none"/>
        </w:rPr>
        <w:t xml:space="preserve">本合同法人验收包括：</w:t>
      </w:r>
      <w:r>
        <w:rPr>
          <w:rFonts w:hint="eastAsia" w:ascii="宋体" w:hAnsi="Times New Roman" w:eastAsia="宋体" w:cs="Times New Roman"/>
          <w:szCs w:val="21"/>
          <w:highlight w:val="none"/>
          <w:u w:val="single"/>
        </w:rPr>
        <w:t xml:space="preserve">完工验收 </w:t>
      </w:r>
      <w:r>
        <w:rPr>
          <w:rFonts w:hint="eastAsia" w:ascii="宋体" w:hAnsi="Times New Roman" w:eastAsia="宋体" w:cs="Times New Roman"/>
          <w:szCs w:val="21"/>
          <w:highlight w:val="none"/>
        </w:rPr>
        <w:t xml:space="preserve">；</w:t>
      </w:r>
      <w:r>
        <w:rPr>
          <w:rFonts w:ascii="宋体" w:hAnsi="Times New Roman" w:eastAsia="宋体" w:cs="Times New Roman"/>
          <w:szCs w:val="21"/>
          <w:highlight w:val="none"/>
        </w:rPr>
      </w:r>
      <w:r/>
    </w:p>
    <w:p>
      <w:pPr>
        <w:pStyle w:val="1159"/>
        <w:ind w:right="248" w:firstLine="48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政府验收包括：</w:t>
      </w:r>
      <w:r>
        <w:rPr>
          <w:rFonts w:hint="eastAsia" w:ascii="宋体" w:hAnsi="Times New Roman" w:eastAsia="宋体" w:cs="Times New Roman"/>
          <w:szCs w:val="21"/>
          <w:highlight w:val="none"/>
          <w:u w:val="single"/>
        </w:rPr>
        <w:t xml:space="preserve"> 竣工验收 </w:t>
      </w:r>
      <w:r>
        <w:rPr>
          <w:rFonts w:hint="eastAsia" w:ascii="宋体" w:hAnsi="Times New Roman" w:eastAsia="宋体" w:cs="Times New Roman"/>
          <w:szCs w:val="21"/>
          <w:highlight w:val="none"/>
        </w:rPr>
        <w:t xml:space="preserve">。</w:t>
      </w:r>
      <w:r>
        <w:rPr>
          <w:rFonts w:ascii="宋体" w:hAnsi="Times New Roman" w:eastAsia="宋体" w:cs="Times New Roman"/>
          <w:szCs w:val="21"/>
          <w:highlight w:val="none"/>
        </w:rPr>
      </w:r>
      <w:r/>
    </w:p>
    <w:p>
      <w:pPr>
        <w:pStyle w:val="1159"/>
        <w:ind w:right="248" w:firstLine="48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验收条件为：</w:t>
      </w:r>
      <w:r>
        <w:rPr>
          <w:rFonts w:hint="eastAsia" w:ascii="宋体" w:hAnsi="Times New Roman" w:eastAsia="宋体" w:cs="Times New Roman"/>
          <w:szCs w:val="21"/>
          <w:highlight w:val="none"/>
          <w:u w:val="single"/>
        </w:rPr>
        <w:t xml:space="preserve"> 合同工程全部完成，工程质量合格 。</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End w:id="1168"/>
      <w:r/>
      <w:bookmarkStart w:id="1169" w:name="_Toc221951289"/>
      <w:r>
        <w:rPr>
          <w:rFonts w:hint="eastAsia" w:ascii="宋体" w:hAnsi="宋体" w:eastAsia="宋体" w:cs="Times New Roman"/>
          <w:sz w:val="28"/>
          <w:szCs w:val="28"/>
          <w:highlight w:val="none"/>
          <w:lang w:val="en-US" w:eastAsia="zh-CN" w:bidi="ar-SA"/>
        </w:rPr>
        <w:t xml:space="preserve">18.7 竣工</w:t>
      </w:r>
      <w:bookmarkEnd w:id="1169"/>
      <w:r>
        <w:rPr>
          <w:rFonts w:hint="eastAsia" w:ascii="宋体" w:hAnsi="宋体" w:eastAsia="宋体" w:cs="Times New Roman"/>
          <w:sz w:val="28"/>
          <w:szCs w:val="28"/>
          <w:highlight w:val="none"/>
          <w:lang w:val="en-US" w:eastAsia="zh-CN" w:bidi="ar-SA"/>
        </w:rPr>
        <w:t xml:space="preserve">验收</w:t>
      </w:r>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宋体" w:hAnsi="Times New Roman" w:eastAsia="宋体" w:cs="Times New Roman"/>
          <w:szCs w:val="21"/>
          <w:highlight w:val="none"/>
        </w:rPr>
      </w:pPr>
      <w:r/>
      <w:bookmarkStart w:id="1170" w:name="_Toc221951290"/>
      <w:r>
        <w:rPr>
          <w:rFonts w:hint="eastAsia" w:ascii="宋体" w:hAnsi="Times New Roman" w:eastAsia="宋体" w:cs="Times New Roman"/>
          <w:szCs w:val="21"/>
          <w:highlight w:val="none"/>
        </w:rPr>
        <w:t xml:space="preserve">18.7.3本工程</w:t>
      </w:r>
      <w:r>
        <w:rPr>
          <w:rFonts w:hint="eastAsia" w:ascii="宋体" w:hAnsi="Times New Roman" w:eastAsia="宋体" w:cs="Times New Roman"/>
          <w:szCs w:val="21"/>
          <w:highlight w:val="none"/>
          <w:u w:val="single"/>
        </w:rPr>
        <w:t xml:space="preserve"> 须通过  </w:t>
      </w:r>
      <w:r>
        <w:rPr>
          <w:rFonts w:hint="eastAsia" w:ascii="宋体" w:hAnsi="Times New Roman" w:eastAsia="宋体" w:cs="Times New Roman"/>
          <w:szCs w:val="21"/>
          <w:highlight w:val="none"/>
        </w:rPr>
        <w:t xml:space="preserve">竣工验收。</w:t>
      </w:r>
      <w:bookmarkEnd w:id="1170"/>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19  缺陷责任与保修责任</w:t>
      </w:r>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19.1 缺陷责任期（工程质量保修期）的起算时间</w:t>
      </w:r>
      <w:r>
        <w:rPr>
          <w:rFonts w:hint="eastAsia" w:ascii="宋体" w:hAnsi="宋体" w:eastAsia="宋体" w:cs="Times New Roman"/>
          <w:sz w:val="28"/>
          <w:szCs w:val="28"/>
          <w:highlight w:val="none"/>
          <w:lang w:val="en-US" w:eastAsia="zh-CN" w:bidi="ar-SA"/>
        </w:rPr>
      </w:r>
      <w:r/>
    </w:p>
    <w:p>
      <w:pPr>
        <w:pStyle w:val="1159"/>
        <w:ind w:right="248" w:firstLine="42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本工程缺陷责任期（工程质量保修）计算如下：完工验收后</w:t>
      </w:r>
      <w:r>
        <w:rPr>
          <w:rFonts w:hint="eastAsia" w:ascii="宋体" w:hAnsi="Times New Roman" w:eastAsia="宋体" w:cs="Times New Roman"/>
          <w:szCs w:val="21"/>
          <w:highlight w:val="none"/>
          <w:u w:val="single"/>
        </w:rPr>
        <w:t xml:space="preserve"> </w:t>
      </w:r>
      <w:r>
        <w:rPr>
          <w:rFonts w:ascii="宋体" w:hAnsi="Times New Roman" w:eastAsia="宋体" w:cs="Times New Roman"/>
          <w:szCs w:val="21"/>
          <w:highlight w:val="none"/>
          <w:u w:val="single"/>
        </w:rPr>
        <w:t xml:space="preserve">2 </w:t>
      </w:r>
      <w:r>
        <w:rPr>
          <w:rFonts w:hint="eastAsia" w:ascii="宋体" w:hAnsi="Times New Roman" w:eastAsia="宋体" w:cs="Times New Roman"/>
          <w:szCs w:val="21"/>
          <w:highlight w:val="none"/>
        </w:rPr>
        <w:t xml:space="preserve">年。</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71" w:name="_Toc222033893"/>
      <w:r/>
      <w:bookmarkStart w:id="1172" w:name="_Toc221951299"/>
      <w:r/>
      <w:bookmarkStart w:id="1173" w:name="_Toc222031044"/>
      <w:r/>
      <w:bookmarkStart w:id="1174" w:name="_Toc222029542"/>
      <w:r/>
      <w:bookmarkStart w:id="1175" w:name="_Toc229305400"/>
      <w:r/>
      <w:bookmarkStart w:id="1176" w:name="_Toc222032711"/>
      <w:r>
        <w:rPr>
          <w:rFonts w:hint="eastAsia" w:ascii="宋体" w:hAnsi="宋体" w:eastAsia="宋体" w:cs="Times New Roman"/>
          <w:sz w:val="28"/>
          <w:szCs w:val="28"/>
          <w:highlight w:val="none"/>
          <w:lang w:val="en-US" w:eastAsia="zh-CN" w:bidi="ar-SA"/>
        </w:rPr>
        <w:t xml:space="preserve">20  保险</w:t>
      </w:r>
      <w:bookmarkEnd w:id="1171"/>
      <w:r/>
      <w:bookmarkEnd w:id="1172"/>
      <w:r/>
      <w:bookmarkEnd w:id="1173"/>
      <w:r/>
      <w:bookmarkEnd w:id="1174"/>
      <w:r/>
      <w:bookmarkEnd w:id="1175"/>
      <w:r/>
      <w:bookmarkEnd w:id="1176"/>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77" w:name="_Toc221951321"/>
      <w:r>
        <w:rPr>
          <w:rFonts w:hint="eastAsia" w:ascii="宋体" w:hAnsi="宋体" w:eastAsia="宋体" w:cs="Times New Roman"/>
          <w:sz w:val="28"/>
          <w:szCs w:val="28"/>
          <w:highlight w:val="none"/>
          <w:lang w:val="en-US" w:eastAsia="zh-CN" w:bidi="ar-SA"/>
        </w:rPr>
        <w:t xml:space="preserve">20.1  工程保险</w:t>
      </w:r>
      <w:bookmarkEnd w:id="1177"/>
      <w:r>
        <w:rPr>
          <w:rFonts w:hint="eastAsia" w:ascii="宋体" w:hAnsi="宋体" w:eastAsia="宋体" w:cs="Times New Roman"/>
          <w:sz w:val="28"/>
          <w:szCs w:val="28"/>
          <w:highlight w:val="none"/>
          <w:lang w:val="en-US" w:eastAsia="zh-CN" w:bidi="ar-SA"/>
        </w:rPr>
      </w:r>
      <w:r/>
    </w:p>
    <w:p>
      <w:pPr>
        <w:pStyle w:val="1159"/>
        <w:ind w:right="248" w:firstLine="480"/>
        <w:spacing w:line="360" w:lineRule="auto"/>
        <w:rPr>
          <w:rFonts w:ascii="宋体" w:hAnsi="Times New Roman" w:eastAsia="宋体" w:cs="Times New Roman"/>
          <w:szCs w:val="21"/>
          <w:highlight w:val="none"/>
        </w:rPr>
      </w:pPr>
      <w:r/>
      <w:bookmarkStart w:id="1178" w:name="_Toc221951323"/>
      <w:r>
        <w:rPr>
          <w:rFonts w:hint="eastAsia" w:ascii="宋体" w:hAnsi="Times New Roman" w:eastAsia="宋体" w:cs="Times New Roman"/>
          <w:szCs w:val="21"/>
          <w:highlight w:val="none"/>
        </w:rPr>
        <w:t xml:space="preserve">建筑工程一切险和（或）安装工程一切险投保人：</w:t>
      </w:r>
      <w:r>
        <w:rPr>
          <w:rFonts w:hint="eastAsia" w:ascii="宋体" w:hAnsi="Times New Roman" w:eastAsia="宋体" w:cs="Times New Roman"/>
          <w:szCs w:val="21"/>
          <w:highlight w:val="none"/>
          <w:u w:val="single"/>
        </w:rPr>
        <w:t xml:space="preserve">   承包人    </w:t>
      </w:r>
      <w:r>
        <w:rPr>
          <w:rFonts w:hint="eastAsia" w:ascii="宋体" w:hAnsi="Times New Roman" w:eastAsia="宋体" w:cs="Times New Roman"/>
          <w:szCs w:val="21"/>
          <w:highlight w:val="none"/>
        </w:rPr>
        <w:t xml:space="preserve">； </w:t>
      </w:r>
      <w:r>
        <w:rPr>
          <w:rFonts w:ascii="宋体" w:hAnsi="Times New Roman" w:eastAsia="宋体" w:cs="Times New Roman"/>
          <w:szCs w:val="21"/>
          <w:highlight w:val="none"/>
        </w:rPr>
      </w:r>
      <w:r/>
    </w:p>
    <w:p>
      <w:pPr>
        <w:pStyle w:val="1159"/>
        <w:ind w:right="248" w:firstLine="480"/>
        <w:spacing w:line="360" w:lineRule="auto"/>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投保内容：</w:t>
      </w:r>
      <w:r>
        <w:rPr>
          <w:rFonts w:hint="eastAsia" w:ascii="宋体" w:hAnsi="Times New Roman" w:eastAsia="宋体" w:cs="Times New Roman"/>
          <w:szCs w:val="21"/>
          <w:highlight w:val="none"/>
          <w:u w:val="single"/>
        </w:rPr>
        <w:t xml:space="preserve">  由承包人自主确定 （含工伤险）    </w:t>
      </w:r>
      <w:r>
        <w:rPr>
          <w:rFonts w:hint="eastAsia" w:ascii="宋体" w:hAnsi="Times New Roman" w:eastAsia="宋体" w:cs="Times New Roman"/>
          <w:szCs w:val="21"/>
          <w:highlight w:val="none"/>
        </w:rPr>
        <w:t xml:space="preserve">；</w:t>
      </w:r>
      <w:r>
        <w:rPr>
          <w:rFonts w:ascii="宋体" w:hAnsi="Times New Roman" w:eastAsia="宋体" w:cs="Times New Roman"/>
          <w:szCs w:val="21"/>
          <w:highlight w:val="none"/>
        </w:rPr>
      </w:r>
      <w:r/>
    </w:p>
    <w:p>
      <w:pPr>
        <w:pStyle w:val="1159"/>
        <w:ind w:firstLine="420"/>
        <w:spacing w:line="400" w:lineRule="atLeast"/>
        <w:rPr>
          <w:rFonts w:ascii="宋体" w:hAnsi="Times New Roman" w:eastAsia="宋体" w:cs="Times New Roman"/>
          <w:szCs w:val="21"/>
          <w:highlight w:val="none"/>
          <w:u w:val="single"/>
        </w:rPr>
      </w:pPr>
      <w:r>
        <w:rPr>
          <w:rFonts w:hint="eastAsia" w:ascii="宋体" w:hAnsi="Times New Roman" w:eastAsia="宋体" w:cs="Times New Roman"/>
          <w:szCs w:val="21"/>
          <w:highlight w:val="none"/>
        </w:rPr>
        <w:t xml:space="preserve">保险金额、保险费率和保险期限：</w:t>
      </w:r>
      <w:r>
        <w:rPr>
          <w:rFonts w:hint="eastAsia" w:ascii="宋体" w:hAnsi="Times New Roman" w:eastAsia="宋体" w:cs="Times New Roman"/>
          <w:szCs w:val="21"/>
          <w:highlight w:val="none"/>
          <w:u w:val="single"/>
        </w:rPr>
        <w:t xml:space="preserve"> 按措施项目清单计价表中规定确定。工程结算时，需提供所购买的保险凭证进行支付。</w:t>
      </w:r>
      <w:r>
        <w:rPr>
          <w:rFonts w:ascii="宋体" w:hAnsi="Times New Roman" w:eastAsia="宋体" w:cs="Times New Roman"/>
          <w:szCs w:val="21"/>
          <w:highlight w:val="none"/>
          <w:u w:val="singl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20.4  第三者责任险</w:t>
      </w:r>
      <w:bookmarkEnd w:id="1178"/>
      <w:r>
        <w:rPr>
          <w:rFonts w:hint="eastAsia" w:ascii="宋体" w:hAnsi="宋体" w:eastAsia="宋体" w:cs="Times New Roman"/>
          <w:sz w:val="28"/>
          <w:szCs w:val="28"/>
          <w:highlight w:val="none"/>
          <w:lang w:val="en-US" w:eastAsia="zh-CN" w:bidi="ar-SA"/>
        </w:rPr>
      </w:r>
      <w:r/>
    </w:p>
    <w:p>
      <w:pPr>
        <w:pStyle w:val="1159"/>
        <w:ind w:firstLine="420"/>
        <w:spacing w:line="400" w:lineRule="atLeast"/>
        <w:rPr>
          <w:rFonts w:ascii="宋体" w:hAnsi="Times New Roman" w:eastAsia="宋体" w:cs="Times New Roman"/>
          <w:szCs w:val="21"/>
          <w:highlight w:val="none"/>
          <w:u w:val="single"/>
        </w:rPr>
      </w:pPr>
      <w:r/>
      <w:bookmarkStart w:id="1179" w:name="_Toc221951325"/>
      <w:r>
        <w:rPr>
          <w:rFonts w:hint="eastAsia" w:ascii="宋体" w:hAnsi="Times New Roman" w:eastAsia="宋体" w:cs="Times New Roman"/>
          <w:szCs w:val="21"/>
          <w:highlight w:val="none"/>
        </w:rPr>
        <w:t xml:space="preserve">20.4.2  第三者责任险由承包人根据工程和自身的情况自主确定是否投保，并承担其相应的责任。承包人投保与否，并不免除其应负的在其管辖区内及其毗邻带发生的第三者人员人身伤害和财产损失的赔偿责任，其赔偿费用应包括赔偿费、诉讼费和其它费用。</w:t>
      </w:r>
      <w:bookmarkEnd w:id="1179"/>
      <w:r>
        <w:rPr>
          <w:rFonts w:ascii="宋体" w:hAnsi="Times New Roman" w:eastAsia="宋体" w:cs="Times New Roman"/>
          <w:szCs w:val="21"/>
          <w:highlight w:val="none"/>
          <w:u w:val="single"/>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80" w:name="_Toc222029543"/>
      <w:r/>
      <w:bookmarkStart w:id="1181" w:name="_Toc221951334"/>
      <w:r/>
      <w:bookmarkStart w:id="1182" w:name="_Toc222032712"/>
      <w:r/>
      <w:bookmarkStart w:id="1183" w:name="_Toc222033894"/>
      <w:r/>
      <w:bookmarkStart w:id="1184" w:name="_Toc229305401"/>
      <w:r/>
      <w:bookmarkStart w:id="1185" w:name="_Toc222031045"/>
      <w:r>
        <w:rPr>
          <w:rFonts w:ascii="宋体" w:hAnsi="宋体" w:eastAsia="宋体" w:cs="Times New Roman"/>
          <w:sz w:val="28"/>
          <w:szCs w:val="28"/>
          <w:highlight w:val="none"/>
          <w:lang w:val="en-US" w:eastAsia="zh-CN" w:bidi="ar-SA"/>
        </w:rPr>
        <w:t xml:space="preserve">24</w:t>
      </w:r>
      <w:r>
        <w:rPr>
          <w:rFonts w:hint="eastAsia" w:ascii="宋体" w:hAnsi="宋体" w:eastAsia="宋体" w:cs="Times New Roman"/>
          <w:sz w:val="28"/>
          <w:szCs w:val="28"/>
          <w:highlight w:val="none"/>
          <w:lang w:val="en-US" w:eastAsia="zh-CN" w:bidi="ar-SA"/>
        </w:rPr>
        <w:t xml:space="preserve">. 争议的解决</w:t>
      </w:r>
      <w:bookmarkEnd w:id="1180"/>
      <w:r/>
      <w:bookmarkEnd w:id="1181"/>
      <w:r/>
      <w:bookmarkEnd w:id="1182"/>
      <w:r/>
      <w:bookmarkEnd w:id="1183"/>
      <w:r/>
      <w:bookmarkEnd w:id="1184"/>
      <w:r/>
      <w:bookmarkEnd w:id="1185"/>
      <w:r>
        <w:rPr>
          <w:rFonts w:hint="eastAsia" w:ascii="宋体" w:hAnsi="宋体" w:eastAsia="宋体" w:cs="Times New Roman"/>
          <w:sz w:val="28"/>
          <w:szCs w:val="28"/>
          <w:highlight w:val="none"/>
          <w:lang w:val="en-US" w:eastAsia="zh-CN" w:bidi="ar-SA"/>
        </w:rPr>
      </w:r>
      <w:r/>
    </w:p>
    <w:p>
      <w:pPr>
        <w:pStyle w:val="1159"/>
        <w:jc w:val="both"/>
        <w:keepLines/>
        <w:keepNext/>
        <w:spacing w:before="240" w:after="120" w:line="240" w:lineRule="auto"/>
        <w:widowControl w:val="off"/>
        <w:rPr>
          <w:rFonts w:hint="eastAsia" w:ascii="宋体" w:hAnsi="宋体" w:eastAsia="宋体" w:cs="Times New Roman"/>
          <w:sz w:val="28"/>
          <w:szCs w:val="28"/>
          <w:highlight w:val="none"/>
          <w:lang w:val="en-US" w:eastAsia="zh-CN" w:bidi="ar-SA"/>
        </w:rPr>
        <w:outlineLvl w:val="2"/>
      </w:pPr>
      <w:r/>
      <w:bookmarkStart w:id="1186" w:name="_Toc221951335"/>
      <w:r>
        <w:rPr>
          <w:rFonts w:hint="eastAsia" w:ascii="宋体" w:hAnsi="宋体" w:eastAsia="宋体" w:cs="Times New Roman"/>
          <w:sz w:val="28"/>
          <w:szCs w:val="28"/>
          <w:highlight w:val="none"/>
          <w:lang w:val="en-US" w:eastAsia="zh-CN" w:bidi="ar-SA"/>
        </w:rPr>
        <w:t xml:space="preserve">24.1 争议的解决方式</w:t>
      </w:r>
      <w:r>
        <w:rPr>
          <w:rFonts w:hint="eastAsia" w:ascii="宋体" w:hAnsi="宋体" w:eastAsia="宋体" w:cs="Times New Roman"/>
          <w:sz w:val="28"/>
          <w:szCs w:val="28"/>
          <w:highlight w:val="none"/>
          <w:lang w:val="en-US" w:eastAsia="zh-CN" w:bidi="ar-SA"/>
        </w:rPr>
      </w:r>
      <w:r/>
    </w:p>
    <w:p>
      <w:pPr>
        <w:pStyle w:val="1159"/>
        <w:ind w:firstLine="420"/>
        <w:spacing w:line="400" w:lineRule="atLeast"/>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合同当事人友好协商解决不成、不愿提请争议评审或不接受争议评审组意见的，约定的合同争议解决方式：</w:t>
      </w:r>
      <w:r>
        <w:rPr>
          <w:rFonts w:hint="eastAsia" w:ascii="宋体" w:hAnsi="Times New Roman" w:eastAsia="宋体" w:cs="Times New Roman"/>
          <w:szCs w:val="21"/>
          <w:highlight w:val="none"/>
          <w:u w:val="single"/>
        </w:rPr>
        <w:t xml:space="preserve">提交常州仲裁委仲裁</w:t>
      </w:r>
      <w:r>
        <w:rPr>
          <w:rFonts w:hint="eastAsia" w:ascii="宋体" w:hAnsi="Times New Roman" w:eastAsia="宋体" w:cs="Times New Roman"/>
          <w:szCs w:val="21"/>
          <w:highlight w:val="none"/>
        </w:rPr>
        <w:t xml:space="preserve">。</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sz w:val="28"/>
          <w:szCs w:val="21"/>
          <w:highlight w:val="none"/>
          <w:lang w:val="en-US" w:eastAsia="zh-CN" w:bidi="ar-SA"/>
        </w:rPr>
        <w:outlineLvl w:val="2"/>
      </w:pPr>
      <w:r>
        <w:rPr>
          <w:rFonts w:hint="eastAsia" w:ascii="宋体" w:hAnsi="宋体" w:eastAsia="宋体" w:cs="Times New Roman"/>
          <w:sz w:val="28"/>
          <w:szCs w:val="21"/>
          <w:highlight w:val="none"/>
          <w:lang w:val="en-US" w:eastAsia="zh-CN" w:bidi="ar-SA"/>
        </w:rPr>
        <w:t xml:space="preserve">24.2疫情防控要求</w:t>
      </w:r>
      <w:r>
        <w:rPr>
          <w:rFonts w:hint="eastAsia" w:ascii="宋体" w:hAnsi="宋体" w:eastAsia="宋体" w:cs="Times New Roman"/>
          <w:sz w:val="28"/>
          <w:szCs w:val="21"/>
          <w:highlight w:val="none"/>
          <w:lang w:val="en-US" w:eastAsia="zh-CN" w:bidi="ar-SA"/>
        </w:rPr>
      </w:r>
      <w:r/>
    </w:p>
    <w:p>
      <w:pPr>
        <w:pStyle w:val="1159"/>
        <w:ind w:firstLine="420"/>
        <w:spacing w:line="400" w:lineRule="atLeast"/>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1.承包人需符合项目属地的疫情防控管理的相关条款。</w:t>
      </w:r>
      <w:r>
        <w:rPr>
          <w:rFonts w:ascii="宋体" w:hAnsi="Times New Roman" w:eastAsia="宋体" w:cs="Times New Roman"/>
          <w:szCs w:val="21"/>
          <w:highlight w:val="none"/>
        </w:rPr>
      </w:r>
      <w:r/>
    </w:p>
    <w:p>
      <w:pPr>
        <w:pStyle w:val="1159"/>
        <w:jc w:val="both"/>
        <w:keepLines/>
        <w:keepNext/>
        <w:spacing w:before="240" w:after="120" w:line="240" w:lineRule="auto"/>
        <w:widowControl w:val="off"/>
        <w:rPr>
          <w:rFonts w:hint="eastAsia" w:ascii="宋体" w:hAnsi="宋体" w:eastAsia="宋体" w:cs="Times New Roman"/>
          <w:bCs/>
          <w:sz w:val="28"/>
          <w:szCs w:val="28"/>
          <w:highlight w:val="none"/>
          <w:lang w:val="en-US" w:eastAsia="zh-CN" w:bidi="ar-SA"/>
        </w:rPr>
        <w:outlineLvl w:val="2"/>
      </w:pPr>
      <w:r>
        <w:rPr>
          <w:rFonts w:hint="eastAsia" w:ascii="宋体" w:hAnsi="宋体" w:eastAsia="宋体" w:cs="Times New Roman"/>
          <w:sz w:val="28"/>
          <w:szCs w:val="28"/>
          <w:highlight w:val="none"/>
          <w:lang w:val="en-US" w:eastAsia="zh-CN" w:bidi="ar-SA"/>
        </w:rPr>
        <w:t xml:space="preserve">2</w:t>
      </w:r>
      <w:r>
        <w:rPr>
          <w:rFonts w:ascii="宋体" w:hAnsi="宋体" w:eastAsia="宋体" w:cs="Times New Roman"/>
          <w:sz w:val="28"/>
          <w:szCs w:val="28"/>
          <w:highlight w:val="none"/>
          <w:lang w:val="en-US" w:eastAsia="zh-CN" w:bidi="ar-SA"/>
        </w:rPr>
        <w:t xml:space="preserve">5</w:t>
      </w:r>
      <w:r>
        <w:rPr>
          <w:rFonts w:hint="eastAsia" w:ascii="宋体" w:hAnsi="宋体" w:eastAsia="宋体" w:cs="Times New Roman"/>
          <w:sz w:val="28"/>
          <w:szCs w:val="28"/>
          <w:highlight w:val="none"/>
          <w:lang w:val="en-US" w:eastAsia="zh-CN" w:bidi="ar-SA"/>
        </w:rPr>
        <w:t xml:space="preserve">其他</w:t>
      </w:r>
      <w:r>
        <w:rPr>
          <w:rFonts w:hint="eastAsia" w:ascii="宋体" w:hAnsi="宋体" w:eastAsia="宋体" w:cs="Times New Roman"/>
          <w:bCs/>
          <w:sz w:val="28"/>
          <w:szCs w:val="28"/>
          <w:highlight w:val="none"/>
          <w:lang w:val="en-US" w:eastAsia="zh-CN" w:bidi="ar-SA"/>
        </w:rPr>
      </w:r>
      <w:r/>
    </w:p>
    <w:p>
      <w:pPr>
        <w:pStyle w:val="1159"/>
        <w:ind w:firstLine="420"/>
        <w:spacing w:line="400" w:lineRule="atLeast"/>
        <w:rPr>
          <w:rFonts w:ascii="宋体" w:hAnsi="Times New Roman" w:eastAsia="宋体" w:cs="Times New Roman"/>
          <w:szCs w:val="21"/>
          <w:highlight w:val="none"/>
        </w:rPr>
      </w:pPr>
      <w:r>
        <w:rPr>
          <w:rFonts w:ascii="宋体" w:hAnsi="Times New Roman" w:eastAsia="宋体" w:cs="Times New Roman"/>
          <w:szCs w:val="21"/>
          <w:highlight w:val="none"/>
        </w:rPr>
        <w:t xml:space="preserve">1</w:t>
      </w:r>
      <w:r>
        <w:rPr>
          <w:rFonts w:hint="eastAsia" w:ascii="宋体" w:hAnsi="Times New Roman" w:eastAsia="宋体" w:cs="Times New Roman"/>
          <w:szCs w:val="21"/>
          <w:highlight w:val="none"/>
        </w:rPr>
        <w:t xml:space="preserve">.承包人严格服从发包人和监理公司的管理，确保工程质量，工程质量不合格，除返工至合格外，另按合同总价的25%承担违约金，并承担由此造成的一切损失。。</w:t>
      </w:r>
      <w:bookmarkEnd w:id="1186"/>
      <w:r>
        <w:rPr>
          <w:rFonts w:ascii="宋体" w:hAnsi="Times New Roman" w:eastAsia="宋体" w:cs="Times New Roman"/>
          <w:szCs w:val="21"/>
          <w:highlight w:val="none"/>
        </w:rPr>
      </w:r>
      <w:r/>
    </w:p>
    <w:p>
      <w:pPr>
        <w:pStyle w:val="1159"/>
        <w:ind w:firstLine="420"/>
        <w:spacing w:line="400" w:lineRule="atLeast"/>
        <w:rPr>
          <w:rFonts w:ascii="宋体" w:hAnsi="Times New Roman" w:eastAsia="宋体" w:cs="Times New Roman"/>
          <w:szCs w:val="21"/>
          <w:highlight w:val="none"/>
        </w:rPr>
      </w:pPr>
      <w:r>
        <w:rPr>
          <w:rFonts w:hint="eastAsia" w:ascii="宋体" w:hAnsi="Times New Roman" w:eastAsia="宋体" w:cs="Times New Roman"/>
          <w:szCs w:val="21"/>
          <w:highlight w:val="none"/>
        </w:rPr>
        <w:t xml:space="preserve">2</w:t>
      </w:r>
      <w:r>
        <w:rPr>
          <w:rFonts w:ascii="宋体" w:hAnsi="Times New Roman" w:eastAsia="宋体" w:cs="Times New Roman"/>
          <w:szCs w:val="21"/>
          <w:highlight w:val="none"/>
        </w:rPr>
        <w:t xml:space="preserve">.</w:t>
      </w:r>
      <w:r>
        <w:rPr>
          <w:rFonts w:hint="eastAsia" w:ascii="宋体" w:hAnsi="Times New Roman" w:eastAsia="宋体" w:cs="Times New Roman"/>
          <w:szCs w:val="21"/>
          <w:highlight w:val="none"/>
        </w:rPr>
        <w:t xml:space="preserve"> 承包人同意本工程结算审计核减超过5%以上部分所产生的审计费用由承包人自行支付。</w:t>
      </w:r>
      <w:r>
        <w:rPr>
          <w:rFonts w:ascii="宋体" w:hAnsi="Times New Roman" w:eastAsia="宋体" w:cs="Times New Roman"/>
          <w:szCs w:val="21"/>
          <w:highlight w:val="none"/>
        </w:rPr>
      </w:r>
      <w:r/>
    </w:p>
    <w:p>
      <w:pPr>
        <w:pStyle w:val="1159"/>
        <w:spacing w:line="480" w:lineRule="auto"/>
        <w:rPr>
          <w:rFonts w:hint="eastAsia" w:ascii="宋体" w:hAnsi="宋体" w:eastAsia="宋体" w:cs="宋体"/>
          <w:b w:val="0"/>
          <w:szCs w:val="21"/>
          <w:highlight w:val="none"/>
          <w:shd w:val="clear" w:color="auto" w:fill="ffffff"/>
        </w:rPr>
      </w:pPr>
      <w:r>
        <w:rPr>
          <w:rFonts w:hint="eastAsia" w:ascii="宋体" w:hAnsi="宋体" w:eastAsia="宋体" w:cs="宋体"/>
          <w:b w:val="0"/>
          <w:szCs w:val="21"/>
          <w:highlight w:val="none"/>
          <w:shd w:val="clear" w:color="auto" w:fill="ffffff"/>
        </w:rPr>
      </w:r>
      <w:r/>
    </w:p>
    <w:p>
      <w:pPr>
        <w:pStyle w:val="1159"/>
        <w:spacing w:line="400" w:lineRule="atLeast"/>
        <w:rPr>
          <w:rFonts w:ascii="Times New Roman" w:hAnsi="Times New Roman" w:eastAsia="宋体" w:cs="Times New Roman"/>
          <w:bCs/>
          <w:szCs w:val="20"/>
          <w:highlight w:val="none"/>
        </w:rPr>
      </w:pPr>
      <w:r>
        <w:rPr>
          <w:rFonts w:ascii="Times New Roman" w:hAnsi="Times New Roman" w:eastAsia="宋体" w:cs="Times New Roman"/>
          <w:bCs/>
          <w:szCs w:val="20"/>
          <w:highlight w:val="none"/>
        </w:rPr>
      </w:r>
      <w:r/>
    </w:p>
    <w:p>
      <w:pPr>
        <w:pStyle w:val="1159"/>
        <w:spacing w:line="360" w:lineRule="auto"/>
        <w:rPr>
          <w:rFonts w:ascii="Times New Roman" w:hAnsi="Times New Roman" w:eastAsia="宋体" w:cs="Times New Roman"/>
          <w:szCs w:val="20"/>
          <w:highlight w:val="none"/>
        </w:rPr>
      </w:pPr>
      <w:r>
        <w:rPr>
          <w:rFonts w:hint="eastAsia" w:ascii="Times New Roman" w:hAnsi="Times New Roman" w:eastAsia="宋体" w:cs="Times New Roman"/>
          <w:szCs w:val="20"/>
          <w:highlight w:val="none"/>
        </w:rPr>
        <w:br w:type="page" w:clear="all"/>
      </w:r>
      <w:r>
        <w:rPr>
          <w:rFonts w:hint="eastAsia" w:ascii="Times New Roman" w:hAnsi="Times New Roman" w:eastAsia="宋体" w:cs="Times New Roman"/>
          <w:szCs w:val="20"/>
          <w:highlight w:val="none"/>
        </w:rPr>
        <w:t xml:space="preserve">附件一：</w:t>
      </w:r>
      <w:bookmarkEnd w:id="1070"/>
      <w:r/>
      <w:bookmarkEnd w:id="1071"/>
      <w:r/>
      <w:bookmarkEnd w:id="1072"/>
      <w:r>
        <w:rPr>
          <w:rFonts w:ascii="Times New Roman" w:hAnsi="Times New Roman" w:eastAsia="宋体" w:cs="Times New Roman"/>
          <w:szCs w:val="20"/>
          <w:highlight w:val="none"/>
        </w:rPr>
      </w:r>
      <w:r/>
    </w:p>
    <w:p>
      <w:pPr>
        <w:pStyle w:val="1159"/>
        <w:spacing w:line="400" w:lineRule="exact"/>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jc w:val="center"/>
        <w:spacing w:line="440" w:lineRule="exact"/>
        <w:rPr>
          <w:rFonts w:ascii="黑体" w:hAnsi="Times New Roman" w:eastAsia="黑体" w:cs="Times New Roman"/>
          <w:sz w:val="28"/>
          <w:szCs w:val="28"/>
          <w:highlight w:val="none"/>
        </w:rPr>
      </w:pPr>
      <w:r>
        <w:rPr>
          <w:rFonts w:hint="eastAsia" w:ascii="黑体" w:hAnsi="Times New Roman" w:eastAsia="黑体" w:cs="Times New Roman"/>
          <w:sz w:val="28"/>
          <w:szCs w:val="28"/>
          <w:highlight w:val="none"/>
        </w:rPr>
        <w:t xml:space="preserve">合 同 协 议 书 </w:t>
      </w:r>
      <w:r>
        <w:rPr>
          <w:rFonts w:ascii="黑体" w:hAnsi="Times New Roman" w:eastAsia="黑体" w:cs="Times New Roman"/>
          <w:sz w:val="28"/>
          <w:szCs w:val="28"/>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（发包人名称，以下简称“发包人”）为实施（项目名称），已接受（承包人名称，以下简称“承包人”）对该项目标段的施标。发包人和承包人共同达成如下协议。</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bookmarkStart w:id="1187" w:name="_Toc168475885"/>
      <w:r/>
      <w:bookmarkStart w:id="1188" w:name="_Toc144974828"/>
      <w:r/>
      <w:bookmarkStart w:id="1189" w:name="_Toc168476288"/>
      <w:r>
        <w:rPr>
          <w:rFonts w:ascii="Times New Roman" w:hAnsi="Times New Roman" w:eastAsia="宋体" w:cs="Times New Roman"/>
          <w:szCs w:val="21"/>
          <w:highlight w:val="none"/>
        </w:rPr>
        <w:t xml:space="preserve">1. 本协议书与下列文件一起构成合同文件：</w:t>
      </w:r>
      <w:bookmarkEnd w:id="1187"/>
      <w:r/>
      <w:bookmarkEnd w:id="1188"/>
      <w:r/>
      <w:bookmarkEnd w:id="1189"/>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（1）中标通知书；</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（2）投标函及投标函附录；</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（3）专用合同条款；</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（4）通用合同条款；</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（5）技术标准和要求</w:t>
      </w:r>
      <w:r>
        <w:rPr>
          <w:rFonts w:hint="eastAsia" w:ascii="Times New Roman" w:hAnsi="Times New Roman" w:eastAsia="宋体" w:cs="Times New Roman"/>
          <w:szCs w:val="21"/>
          <w:highlight w:val="none"/>
        </w:rPr>
        <w:t xml:space="preserve">（合同技术条款）</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（6）图纸；</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（7）已标价工程量清单；</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（8）其他合同文件。</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bookmarkStart w:id="1190" w:name="_Toc168475886"/>
      <w:r/>
      <w:bookmarkStart w:id="1191" w:name="_Toc168476289"/>
      <w:r/>
      <w:bookmarkStart w:id="1192" w:name="_Toc144974829"/>
      <w:r>
        <w:rPr>
          <w:rFonts w:ascii="Times New Roman" w:hAnsi="Times New Roman" w:eastAsia="宋体" w:cs="Times New Roman"/>
          <w:szCs w:val="21"/>
          <w:highlight w:val="none"/>
        </w:rPr>
        <w:t xml:space="preserve">2. 上述文件互相补充和解释，如有不明确或不一致之处，以合同约定次序在先者为准。</w:t>
      </w:r>
      <w:bookmarkEnd w:id="1190"/>
      <w:r/>
      <w:bookmarkEnd w:id="1191"/>
      <w:r/>
      <w:bookmarkEnd w:id="1192"/>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 签约合同价：人民币（大写）元（¥）。</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 </w:t>
      </w:r>
      <w:r>
        <w:rPr>
          <w:rFonts w:hint="eastAsia" w:ascii="Times New Roman" w:hAnsi="Times New Roman" w:eastAsia="宋体" w:cs="Times New Roman"/>
          <w:szCs w:val="21"/>
          <w:highlight w:val="none"/>
        </w:rPr>
        <w:t xml:space="preserve">承包人项目负责人</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 工程质量符合标准。</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 承包人承诺按合同约定承担工程的实施、完成及缺陷修复。</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 发包人承诺按合同约定的条件、时间和方式向承包人支付合同价款。</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8. 承包人</w:t>
      </w:r>
      <w:r>
        <w:rPr>
          <w:rFonts w:hint="eastAsia" w:ascii="Times New Roman" w:hAnsi="Times New Roman" w:eastAsia="宋体" w:cs="Times New Roman"/>
          <w:szCs w:val="21"/>
          <w:highlight w:val="none"/>
        </w:rPr>
        <w:t xml:space="preserve">承诺执行</w:t>
      </w:r>
      <w:r>
        <w:rPr>
          <w:rFonts w:ascii="Times New Roman" w:hAnsi="Times New Roman" w:eastAsia="宋体" w:cs="Times New Roman"/>
          <w:szCs w:val="21"/>
          <w:highlight w:val="none"/>
        </w:rPr>
        <w:t xml:space="preserve">监理人开工</w:t>
      </w:r>
      <w:r>
        <w:rPr>
          <w:rFonts w:hint="eastAsia" w:ascii="Times New Roman" w:hAnsi="Times New Roman" w:eastAsia="宋体" w:cs="Times New Roman"/>
          <w:szCs w:val="21"/>
          <w:highlight w:val="none"/>
        </w:rPr>
        <w:t xml:space="preserve">通知</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rPr>
        <w:t xml:space="preserve">计划</w:t>
      </w:r>
      <w:r>
        <w:rPr>
          <w:rFonts w:ascii="Times New Roman" w:hAnsi="Times New Roman" w:eastAsia="宋体" w:cs="Times New Roman"/>
          <w:szCs w:val="21"/>
          <w:highlight w:val="none"/>
        </w:rPr>
        <w:t xml:space="preserve">工期为天。</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9. 本协议书一式份，合同双方各执一份。</w:t>
      </w:r>
      <w:r>
        <w:rPr>
          <w:rFonts w:ascii="Times New Roman" w:hAnsi="Times New Roman" w:eastAsia="宋体" w:cs="Times New Roman"/>
          <w:szCs w:val="21"/>
          <w:highlight w:val="none"/>
        </w:rPr>
      </w:r>
      <w:r/>
    </w:p>
    <w:p>
      <w:pPr>
        <w:pStyle w:val="1159"/>
        <w:ind w:firstLine="462"/>
        <w:spacing w:line="440" w:lineRule="exact"/>
        <w:rPr>
          <w:rFonts w:ascii="Times New Roman" w:hAnsi="Times New Roman" w:eastAsia="宋体" w:cs="Times New Roman"/>
          <w:szCs w:val="21"/>
          <w:highlight w:val="none"/>
        </w:rPr>
      </w:pPr>
      <w:r/>
      <w:bookmarkStart w:id="1193" w:name="_Toc144974830"/>
      <w:r/>
      <w:bookmarkStart w:id="1194" w:name="_Toc168476290"/>
      <w:r/>
      <w:bookmarkStart w:id="1195" w:name="_Toc168475887"/>
      <w:r>
        <w:rPr>
          <w:rFonts w:ascii="Times New Roman" w:hAnsi="Times New Roman" w:eastAsia="宋体" w:cs="Times New Roman"/>
          <w:szCs w:val="21"/>
          <w:highlight w:val="none"/>
        </w:rPr>
        <w:t xml:space="preserve">10. 合同未尽事宜，双方另行签订补充协议。补充协议是合同的组成部分。</w:t>
      </w:r>
      <w:bookmarkEnd w:id="1193"/>
      <w:r/>
      <w:bookmarkEnd w:id="1194"/>
      <w:r/>
      <w:bookmarkEnd w:id="1195"/>
      <w:r>
        <w:rPr>
          <w:rFonts w:ascii="Times New Roman" w:hAnsi="Times New Roman" w:eastAsia="宋体" w:cs="Times New Roman"/>
          <w:szCs w:val="21"/>
          <w:highlight w:val="none"/>
        </w:rPr>
      </w:r>
      <w:r/>
    </w:p>
    <w:p>
      <w:pPr>
        <w:pStyle w:val="1159"/>
        <w:spacing w:line="300" w:lineRule="auto"/>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spacing w:line="300" w:lineRule="auto"/>
        <w:rPr>
          <w:rFonts w:ascii="Times New Roman" w:hAnsi="Times New Roman" w:eastAsia="宋体" w:cs="Times New Roman"/>
          <w:szCs w:val="20"/>
          <w:highlight w:val="none"/>
        </w:rPr>
      </w:pPr>
      <w:r>
        <w:rPr>
          <w:rFonts w:ascii="Times New Roman" w:hAnsi="Times New Roman" w:eastAsia="宋体" w:cs="Times New Roman"/>
          <w:szCs w:val="20"/>
          <w:highlight w:val="none"/>
        </w:rPr>
        <w:t xml:space="preserve">发包人：（盖单位章）</w:t>
      </w:r>
      <w:r>
        <w:rPr>
          <w:rFonts w:hint="eastAsia" w:ascii="Times New Roman" w:hAnsi="Times New Roman" w:eastAsia="宋体" w:cs="Times New Roman"/>
          <w:szCs w:val="20"/>
          <w:highlight w:val="none"/>
        </w:rPr>
        <w:t xml:space="preserve"> </w:t>
      </w:r>
      <w:r>
        <w:rPr>
          <w:rFonts w:ascii="Times New Roman" w:hAnsi="Times New Roman" w:eastAsia="宋体" w:cs="Times New Roman"/>
          <w:szCs w:val="20"/>
          <w:highlight w:val="none"/>
        </w:rPr>
        <w:t xml:space="preserve">               承包人：（盖单位章）</w:t>
      </w:r>
      <w:r>
        <w:rPr>
          <w:rFonts w:ascii="Times New Roman" w:hAnsi="Times New Roman" w:eastAsia="宋体" w:cs="Times New Roman"/>
          <w:szCs w:val="20"/>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法定代表人或其委托代理人：（签字）</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 法定代表人或其委托代理人：（签字）</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年</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  月  日</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                         年</w:t>
      </w:r>
      <w:r>
        <w:rPr>
          <w:rFonts w:hint="eastAsia" w:ascii="Times New Roman" w:hAnsi="Times New Roman" w:eastAsia="宋体" w:cs="Times New Roman"/>
          <w:szCs w:val="21"/>
          <w:highlight w:val="none"/>
        </w:rPr>
        <w:t xml:space="preserve"> </w:t>
      </w:r>
      <w:r>
        <w:rPr>
          <w:rFonts w:ascii="Times New Roman" w:hAnsi="Times New Roman" w:eastAsia="宋体" w:cs="Times New Roman"/>
          <w:szCs w:val="21"/>
          <w:highlight w:val="none"/>
        </w:rPr>
        <w:t xml:space="preserve"> 月  日</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 w:val="20"/>
          <w:szCs w:val="20"/>
          <w:highlight w:val="none"/>
        </w:rPr>
      </w:pPr>
      <w:r>
        <w:rPr>
          <w:rFonts w:ascii="Times New Roman" w:hAnsi="Times New Roman" w:eastAsia="宋体" w:cs="Times New Roman"/>
          <w:sz w:val="20"/>
          <w:szCs w:val="20"/>
          <w:highlight w:val="none"/>
        </w:rPr>
      </w:r>
      <w:r/>
    </w:p>
    <w:p>
      <w:pPr>
        <w:pStyle w:val="1159"/>
        <w:spacing w:line="360" w:lineRule="auto"/>
        <w:rPr>
          <w:rFonts w:ascii="Times New Roman" w:hAnsi="Times New Roman" w:eastAsia="宋体" w:cs="Times New Roman"/>
          <w:szCs w:val="20"/>
          <w:highlight w:val="none"/>
        </w:rPr>
      </w:pPr>
      <w:r/>
      <w:bookmarkStart w:id="1196" w:name="_Toc168476291"/>
      <w:r/>
      <w:bookmarkStart w:id="1197" w:name="_Toc144974831"/>
      <w:r/>
      <w:bookmarkStart w:id="1198" w:name="_Toc168475888"/>
      <w:r>
        <w:rPr>
          <w:rFonts w:hint="eastAsia" w:ascii="Times New Roman" w:hAnsi="Times New Roman" w:eastAsia="宋体" w:cs="Times New Roman"/>
          <w:szCs w:val="20"/>
          <w:highlight w:val="none"/>
        </w:rPr>
        <w:br w:type="page" w:clear="all"/>
      </w:r>
      <w:r>
        <w:rPr>
          <w:rFonts w:hint="eastAsia" w:ascii="Times New Roman" w:hAnsi="Times New Roman" w:eastAsia="宋体" w:cs="Times New Roman"/>
          <w:szCs w:val="20"/>
          <w:highlight w:val="none"/>
        </w:rPr>
        <w:t xml:space="preserve">附件二：</w:t>
      </w:r>
      <w:bookmarkEnd w:id="1196"/>
      <w:r/>
      <w:bookmarkEnd w:id="1197"/>
      <w:r/>
      <w:bookmarkEnd w:id="1198"/>
      <w:r>
        <w:rPr>
          <w:rFonts w:ascii="Times New Roman" w:hAnsi="Times New Roman" w:eastAsia="宋体" w:cs="Times New Roman"/>
          <w:szCs w:val="20"/>
          <w:highlight w:val="none"/>
        </w:rPr>
      </w:r>
      <w:r/>
    </w:p>
    <w:p>
      <w:pPr>
        <w:pStyle w:val="1159"/>
        <w:spacing w:line="400" w:lineRule="exact"/>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jc w:val="center"/>
        <w:spacing w:line="440" w:lineRule="exact"/>
        <w:rPr>
          <w:rFonts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rPr>
        <w:t xml:space="preserve">履 约 担 保 </w:t>
      </w:r>
      <w:r>
        <w:rPr>
          <w:rFonts w:ascii="Times New Roman" w:hAnsi="Times New Roman" w:eastAsia="黑体" w:cs="Times New Roman"/>
          <w:sz w:val="28"/>
          <w:szCs w:val="28"/>
          <w:highlight w:val="none"/>
        </w:rPr>
      </w:r>
      <w:r/>
    </w:p>
    <w:p>
      <w:pPr>
        <w:pStyle w:val="1159"/>
        <w:spacing w:line="440" w:lineRule="exact"/>
        <w:rPr>
          <w:rFonts w:ascii="Times New Roman" w:hAnsi="Times New Roman" w:eastAsia="宋体" w:cs="Times New Roman"/>
          <w:sz w:val="20"/>
          <w:szCs w:val="20"/>
          <w:highlight w:val="none"/>
        </w:rPr>
      </w:pPr>
      <w:r>
        <w:rPr>
          <w:rFonts w:ascii="Times New Roman" w:hAnsi="Times New Roman" w:eastAsia="宋体" w:cs="Times New Roman"/>
          <w:sz w:val="20"/>
          <w:szCs w:val="20"/>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rPr>
        <w:t xml:space="preserve">（发包人名称）：</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525"/>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鉴于（发包人名称</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以下简称“发包人”）接受（承包人名称</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以下称“承包人”）于年月日</w:t>
      </w:r>
      <w:r>
        <w:rPr>
          <w:rFonts w:hint="eastAsia" w:ascii="Times New Roman" w:hAnsi="Times New Roman" w:eastAsia="宋体" w:cs="Times New Roman"/>
          <w:szCs w:val="21"/>
          <w:highlight w:val="none"/>
        </w:rPr>
        <w:t xml:space="preserve">递交的</w:t>
      </w:r>
      <w:r>
        <w:rPr>
          <w:rFonts w:ascii="Times New Roman" w:hAnsi="Times New Roman" w:eastAsia="宋体" w:cs="Times New Roman"/>
          <w:szCs w:val="21"/>
          <w:highlight w:val="none"/>
        </w:rPr>
        <w:t xml:space="preserve">（项目名称）</w:t>
      </w:r>
      <w:r>
        <w:rPr>
          <w:rFonts w:hint="eastAsia" w:ascii="Times New Roman" w:hAnsi="Times New Roman" w:eastAsia="宋体" w:cs="Times New Roman"/>
          <w:szCs w:val="21"/>
          <w:highlight w:val="none"/>
          <w:u w:val="single"/>
        </w:rPr>
        <w:t xml:space="preserve">（</w:t>
      </w:r>
      <w:r>
        <w:rPr>
          <w:rFonts w:ascii="Times New Roman" w:hAnsi="Times New Roman" w:eastAsia="宋体" w:cs="Times New Roman"/>
          <w:szCs w:val="21"/>
          <w:highlight w:val="none"/>
        </w:rPr>
        <w:t xml:space="preserve">标段</w:t>
      </w:r>
      <w:r>
        <w:rPr>
          <w:rFonts w:hint="eastAsia" w:ascii="Times New Roman" w:hAnsi="Times New Roman" w:eastAsia="宋体" w:cs="Times New Roman"/>
          <w:szCs w:val="21"/>
          <w:highlight w:val="none"/>
        </w:rPr>
        <w:t xml:space="preserve">名称）</w:t>
      </w:r>
      <w:r>
        <w:rPr>
          <w:rFonts w:ascii="Times New Roman" w:hAnsi="Times New Roman" w:eastAsia="宋体" w:cs="Times New Roman"/>
          <w:szCs w:val="21"/>
          <w:highlight w:val="none"/>
        </w:rPr>
        <w:t xml:space="preserve">的投标</w:t>
      </w:r>
      <w:r>
        <w:rPr>
          <w:rFonts w:hint="eastAsia" w:ascii="Times New Roman" w:hAnsi="Times New Roman" w:eastAsia="宋体" w:cs="Times New Roman"/>
          <w:szCs w:val="21"/>
          <w:highlight w:val="none"/>
        </w:rPr>
        <w:t xml:space="preserve">文件</w:t>
      </w:r>
      <w:r>
        <w:rPr>
          <w:rFonts w:ascii="Times New Roman" w:hAnsi="Times New Roman" w:eastAsia="宋体" w:cs="Times New Roman"/>
          <w:szCs w:val="21"/>
          <w:highlight w:val="none"/>
        </w:rPr>
        <w:t xml:space="preserve">。我</w:t>
      </w:r>
      <w:r>
        <w:rPr>
          <w:rFonts w:hint="eastAsia" w:ascii="Times New Roman" w:hAnsi="Times New Roman" w:eastAsia="宋体" w:cs="Times New Roman"/>
          <w:szCs w:val="21"/>
          <w:highlight w:val="none"/>
        </w:rPr>
        <w:t xml:space="preserve">方</w:t>
      </w:r>
      <w:r>
        <w:rPr>
          <w:rFonts w:ascii="Times New Roman" w:hAnsi="Times New Roman" w:eastAsia="宋体" w:cs="Times New Roman"/>
          <w:szCs w:val="21"/>
          <w:highlight w:val="none"/>
        </w:rPr>
        <w:t xml:space="preserve">愿意无条件地、不可撤销地就承包人履行与你方订立的合同，向你方提供担保。</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 担保金额人民币（大写） 元（¥）。</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 担保有效期自发包人与承包人签订的合同生效之日起至发包人签发</w:t>
      </w:r>
      <w:r>
        <w:rPr>
          <w:rFonts w:hint="eastAsia" w:ascii="Times New Roman" w:hAnsi="Times New Roman" w:eastAsia="宋体" w:cs="Times New Roman"/>
          <w:szCs w:val="21"/>
          <w:highlight w:val="none"/>
        </w:rPr>
        <w:t xml:space="preserve">工程完工证书之日</w:t>
      </w:r>
      <w:r>
        <w:rPr>
          <w:rFonts w:ascii="Times New Roman" w:hAnsi="Times New Roman" w:eastAsia="宋体" w:cs="Times New Roman"/>
          <w:szCs w:val="21"/>
          <w:highlight w:val="none"/>
        </w:rPr>
        <w:t xml:space="preserve">止。</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 在本</w:t>
      </w:r>
      <w:r>
        <w:rPr>
          <w:rFonts w:hint="eastAsia" w:ascii="Times New Roman" w:hAnsi="Times New Roman" w:eastAsia="宋体" w:cs="Times New Roman"/>
          <w:szCs w:val="21"/>
          <w:highlight w:val="none"/>
        </w:rPr>
        <w:t xml:space="preserve">担保</w:t>
      </w:r>
      <w:r>
        <w:rPr>
          <w:rFonts w:ascii="Times New Roman" w:hAnsi="Times New Roman" w:eastAsia="宋体" w:cs="Times New Roman"/>
          <w:szCs w:val="21"/>
          <w:highlight w:val="none"/>
        </w:rPr>
        <w:t xml:space="preserve">有效期内，因承包人违反合同约定的义务给你方造成经济损失时，我</w:t>
      </w:r>
      <w:r>
        <w:rPr>
          <w:rFonts w:hint="eastAsia" w:ascii="Times New Roman" w:hAnsi="Times New Roman" w:eastAsia="宋体" w:cs="Times New Roman"/>
          <w:szCs w:val="21"/>
          <w:highlight w:val="none"/>
        </w:rPr>
        <w:t xml:space="preserve">方</w:t>
      </w:r>
      <w:r>
        <w:rPr>
          <w:rFonts w:ascii="Times New Roman" w:hAnsi="Times New Roman" w:eastAsia="宋体" w:cs="Times New Roman"/>
          <w:szCs w:val="21"/>
          <w:highlight w:val="none"/>
        </w:rPr>
        <w:t xml:space="preserve">在收到你方以书面形式提出的在担保金额内的赔偿要求后，无条件地在７天内予以支付。</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 发包人和承包人按《通用合同条款》第15条变更合同时，我</w:t>
      </w:r>
      <w:r>
        <w:rPr>
          <w:rFonts w:hint="eastAsia" w:ascii="Times New Roman" w:hAnsi="Times New Roman" w:eastAsia="宋体" w:cs="Times New Roman"/>
          <w:szCs w:val="21"/>
          <w:highlight w:val="none"/>
        </w:rPr>
        <w:t xml:space="preserve">方</w:t>
      </w:r>
      <w:r>
        <w:rPr>
          <w:rFonts w:ascii="Times New Roman" w:hAnsi="Times New Roman" w:eastAsia="宋体" w:cs="Times New Roman"/>
          <w:szCs w:val="21"/>
          <w:highlight w:val="none"/>
        </w:rPr>
        <w:t xml:space="preserve">承担本</w:t>
      </w:r>
      <w:r>
        <w:rPr>
          <w:rFonts w:hint="eastAsia" w:ascii="Times New Roman" w:hAnsi="Times New Roman" w:eastAsia="宋体" w:cs="Times New Roman"/>
          <w:szCs w:val="21"/>
          <w:highlight w:val="none"/>
        </w:rPr>
        <w:t xml:space="preserve">担保</w:t>
      </w:r>
      <w:r>
        <w:rPr>
          <w:rFonts w:ascii="Times New Roman" w:hAnsi="Times New Roman" w:eastAsia="宋体" w:cs="Times New Roman"/>
          <w:szCs w:val="21"/>
          <w:highlight w:val="none"/>
        </w:rPr>
        <w:t xml:space="preserve">规定的义务不变。</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担 保 人</w:t>
      </w:r>
      <w:r>
        <w:rPr>
          <w:rFonts w:ascii="Times New Roman" w:hAnsi="Times New Roman" w:eastAsia="宋体" w:cs="Times New Roman"/>
          <w:szCs w:val="21"/>
          <w:highlight w:val="none"/>
        </w:rPr>
        <w:t xml:space="preserve">：（盖单位章）</w:t>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法定代表人或</w:t>
      </w:r>
      <w:r>
        <w:rPr>
          <w:rFonts w:hint="eastAsia" w:ascii="Times New Roman" w:hAnsi="Times New Roman" w:eastAsia="宋体" w:cs="Times New Roman"/>
          <w:szCs w:val="21"/>
          <w:highlight w:val="none"/>
        </w:rPr>
        <w:t xml:space="preserve">委托代理</w:t>
      </w:r>
      <w:r>
        <w:rPr>
          <w:rFonts w:ascii="Times New Roman" w:hAnsi="Times New Roman" w:eastAsia="宋体" w:cs="Times New Roman"/>
          <w:szCs w:val="21"/>
          <w:highlight w:val="none"/>
        </w:rPr>
        <w:t xml:space="preserve">人：（签字）</w:t>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地    址：</w:t>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邮政编码：</w:t>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    话：</w:t>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传真</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年月日</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jc w:val="left"/>
        <w:spacing w:line="240" w:lineRule="auto"/>
        <w:widowControl/>
        <w:rPr>
          <w:rFonts w:ascii="Times New Roman" w:hAnsi="Times New Roman" w:eastAsia="宋体" w:cs="Times New Roman"/>
          <w:szCs w:val="20"/>
          <w:highlight w:val="none"/>
        </w:rPr>
      </w:pPr>
      <w:r/>
      <w:bookmarkStart w:id="1199" w:name="_Toc168476292"/>
      <w:r/>
      <w:bookmarkStart w:id="1200" w:name="_Toc168475889"/>
      <w:r/>
      <w:bookmarkStart w:id="1201" w:name="_Toc144974833"/>
      <w:r>
        <w:rPr>
          <w:rFonts w:ascii="Times New Roman" w:hAnsi="Times New Roman" w:eastAsia="宋体" w:cs="Times New Roman"/>
          <w:szCs w:val="20"/>
          <w:highlight w:val="none"/>
        </w:rPr>
        <w:br w:type="page" w:clear="all"/>
      </w:r>
      <w:r>
        <w:rPr>
          <w:rFonts w:hint="eastAsia" w:ascii="Times New Roman" w:hAnsi="Times New Roman" w:eastAsia="宋体" w:cs="Times New Roman"/>
          <w:szCs w:val="20"/>
          <w:highlight w:val="none"/>
        </w:rPr>
        <w:t xml:space="preserve">附件三：</w:t>
      </w:r>
      <w:bookmarkEnd w:id="1199"/>
      <w:r/>
      <w:bookmarkEnd w:id="1200"/>
      <w:r/>
      <w:bookmarkEnd w:id="1201"/>
      <w:r>
        <w:rPr>
          <w:rFonts w:ascii="Times New Roman" w:hAnsi="Times New Roman" w:eastAsia="宋体" w:cs="Times New Roman"/>
          <w:szCs w:val="20"/>
          <w:highlight w:val="none"/>
        </w:rPr>
      </w:r>
      <w:r/>
    </w:p>
    <w:p>
      <w:pPr>
        <w:pStyle w:val="1159"/>
        <w:spacing w:line="400" w:lineRule="exact"/>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jc w:val="center"/>
        <w:spacing w:line="440" w:lineRule="exact"/>
        <w:rPr>
          <w:rFonts w:ascii="Times New Roman" w:hAnsi="Times New Roman" w:eastAsia="黑体" w:cs="Times New Roman"/>
          <w:sz w:val="28"/>
          <w:szCs w:val="28"/>
          <w:highlight w:val="none"/>
        </w:rPr>
      </w:pPr>
      <w:r>
        <w:rPr>
          <w:rFonts w:ascii="Times New Roman" w:hAnsi="Times New Roman" w:eastAsia="黑体" w:cs="Times New Roman"/>
          <w:sz w:val="28"/>
          <w:szCs w:val="28"/>
          <w:highlight w:val="none"/>
        </w:rPr>
        <w:t xml:space="preserve">预付款</w:t>
      </w:r>
      <w:r>
        <w:rPr>
          <w:rFonts w:hint="eastAsia" w:ascii="Times New Roman" w:hAnsi="Times New Roman" w:eastAsia="黑体" w:cs="Times New Roman"/>
          <w:sz w:val="28"/>
          <w:szCs w:val="28"/>
          <w:highlight w:val="none"/>
        </w:rPr>
        <w:t xml:space="preserve">担</w:t>
      </w:r>
      <w:r>
        <w:rPr>
          <w:rFonts w:ascii="Times New Roman" w:hAnsi="Times New Roman" w:eastAsia="黑体" w:cs="Times New Roman"/>
          <w:sz w:val="28"/>
          <w:szCs w:val="28"/>
          <w:highlight w:val="none"/>
        </w:rPr>
        <w:t xml:space="preserve">保函</w:t>
      </w:r>
      <w:r>
        <w:rPr>
          <w:rFonts w:ascii="Times New Roman" w:hAnsi="Times New Roman" w:eastAsia="黑体" w:cs="Times New Roman"/>
          <w:sz w:val="28"/>
          <w:szCs w:val="28"/>
          <w:highlight w:val="none"/>
        </w:rPr>
      </w:r>
      <w:r/>
    </w:p>
    <w:p>
      <w:pPr>
        <w:pStyle w:val="1159"/>
        <w:spacing w:line="440" w:lineRule="exact"/>
        <w:rPr>
          <w:rFonts w:ascii="Times New Roman" w:hAnsi="Times New Roman" w:eastAsia="黑体" w:cs="Times New Roman"/>
          <w:sz w:val="20"/>
          <w:szCs w:val="20"/>
          <w:highlight w:val="none"/>
        </w:rPr>
      </w:pPr>
      <w:r>
        <w:rPr>
          <w:rFonts w:ascii="Times New Roman" w:hAnsi="Times New Roman" w:eastAsia="黑体" w:cs="Times New Roman"/>
          <w:sz w:val="20"/>
          <w:szCs w:val="20"/>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rPr>
        <w:t xml:space="preserve"> （发包人名称）：</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根据（承包人名称</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以下称“承包人”）与（发包人名称</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以下简称“发包人”）于 年月日签订的（项目名称）</w:t>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t xml:space="preserve">标段</w:t>
      </w:r>
      <w:r>
        <w:rPr>
          <w:rFonts w:hint="eastAsia" w:ascii="Times New Roman" w:hAnsi="Times New Roman" w:eastAsia="宋体" w:cs="Times New Roman"/>
          <w:szCs w:val="21"/>
          <w:highlight w:val="none"/>
        </w:rPr>
        <w:t xml:space="preserve">名称）</w:t>
      </w:r>
      <w:r>
        <w:rPr>
          <w:rFonts w:ascii="Times New Roman" w:hAnsi="Times New Roman" w:eastAsia="宋体" w:cs="Times New Roman"/>
          <w:szCs w:val="21"/>
          <w:highlight w:val="none"/>
        </w:rPr>
        <w:t xml:space="preserve">合同</w:t>
      </w:r>
      <w:r>
        <w:rPr>
          <w:rFonts w:hint="eastAsia" w:ascii="Times New Roman" w:hAnsi="Times New Roman" w:eastAsia="宋体" w:cs="Times New Roman"/>
          <w:szCs w:val="21"/>
          <w:highlight w:val="none"/>
        </w:rPr>
        <w:t xml:space="preserve">协议书</w:t>
      </w:r>
      <w:r>
        <w:rPr>
          <w:rFonts w:ascii="Times New Roman" w:hAnsi="Times New Roman" w:eastAsia="宋体" w:cs="Times New Roman"/>
          <w:szCs w:val="21"/>
          <w:highlight w:val="none"/>
        </w:rPr>
        <w:t xml:space="preserve">，承包人按约定的金额向发包人提交一份预付款担保，即有权得到发包人支付相等金额的预付款。我</w:t>
      </w:r>
      <w:r>
        <w:rPr>
          <w:rFonts w:hint="eastAsia" w:ascii="Times New Roman" w:hAnsi="Times New Roman" w:eastAsia="宋体" w:cs="Times New Roman"/>
          <w:szCs w:val="21"/>
          <w:highlight w:val="none"/>
        </w:rPr>
        <w:t xml:space="preserve">方</w:t>
      </w:r>
      <w:r>
        <w:rPr>
          <w:rFonts w:ascii="Times New Roman" w:hAnsi="Times New Roman" w:eastAsia="宋体" w:cs="Times New Roman"/>
          <w:szCs w:val="21"/>
          <w:highlight w:val="none"/>
        </w:rPr>
        <w:t xml:space="preserve">愿意就</w:t>
      </w:r>
      <w:r>
        <w:rPr>
          <w:rFonts w:hint="eastAsia" w:ascii="Times New Roman" w:hAnsi="Times New Roman" w:eastAsia="宋体" w:cs="Times New Roman"/>
          <w:szCs w:val="21"/>
          <w:highlight w:val="none"/>
        </w:rPr>
        <w:t xml:space="preserve">你方提供给承包人的预付款提供担保。</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 担保金额人民币（大写） 元（¥）。</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 担保有效期自预付款支付给承包人起生效，至发包人签发的</w:t>
      </w:r>
      <w:r>
        <w:rPr>
          <w:rFonts w:hint="eastAsia" w:ascii="Times New Roman" w:hAnsi="Times New Roman" w:eastAsia="宋体" w:cs="Times New Roman"/>
          <w:szCs w:val="21"/>
          <w:highlight w:val="none"/>
        </w:rPr>
        <w:t xml:space="preserve">进度付款证书说明已完全扣清止。</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 在本</w:t>
      </w:r>
      <w:r>
        <w:rPr>
          <w:rFonts w:hint="eastAsia" w:ascii="Times New Roman" w:hAnsi="Times New Roman" w:eastAsia="宋体" w:cs="Times New Roman"/>
          <w:szCs w:val="21"/>
          <w:highlight w:val="none"/>
        </w:rPr>
        <w:t xml:space="preserve">担保</w:t>
      </w:r>
      <w:r>
        <w:rPr>
          <w:rFonts w:ascii="Times New Roman" w:hAnsi="Times New Roman" w:eastAsia="宋体" w:cs="Times New Roman"/>
          <w:szCs w:val="21"/>
          <w:highlight w:val="none"/>
        </w:rPr>
        <w:t xml:space="preserve">有效期内，因承包人违反合同约定的义务而要求收回预付款</w:t>
      </w:r>
      <w:r>
        <w:rPr>
          <w:rFonts w:hint="eastAsia" w:ascii="Times New Roman" w:hAnsi="Times New Roman" w:eastAsia="宋体" w:cs="Times New Roman"/>
          <w:szCs w:val="21"/>
          <w:highlight w:val="none"/>
        </w:rPr>
        <w:t xml:space="preserve">时</w:t>
      </w:r>
      <w:r>
        <w:rPr>
          <w:rFonts w:ascii="Times New Roman" w:hAnsi="Times New Roman" w:eastAsia="宋体" w:cs="Times New Roman"/>
          <w:szCs w:val="21"/>
          <w:highlight w:val="none"/>
        </w:rPr>
        <w:t xml:space="preserve">，我</w:t>
      </w:r>
      <w:r>
        <w:rPr>
          <w:rFonts w:hint="eastAsia" w:ascii="Times New Roman" w:hAnsi="Times New Roman" w:eastAsia="宋体" w:cs="Times New Roman"/>
          <w:szCs w:val="21"/>
          <w:highlight w:val="none"/>
        </w:rPr>
        <w:t xml:space="preserve">方</w:t>
      </w:r>
      <w:r>
        <w:rPr>
          <w:rFonts w:ascii="Times New Roman" w:hAnsi="Times New Roman" w:eastAsia="宋体" w:cs="Times New Roman"/>
          <w:szCs w:val="21"/>
          <w:highlight w:val="none"/>
        </w:rPr>
        <w:t xml:space="preserve">在收到你方的书面通知后，</w:t>
      </w:r>
      <w:r>
        <w:rPr>
          <w:rFonts w:hint="eastAsia" w:ascii="Times New Roman" w:hAnsi="Times New Roman" w:eastAsia="宋体" w:cs="Times New Roman"/>
          <w:szCs w:val="21"/>
          <w:highlight w:val="none"/>
        </w:rPr>
        <w:t xml:space="preserve">无条件地</w:t>
      </w:r>
      <w:r>
        <w:rPr>
          <w:rFonts w:ascii="Times New Roman" w:hAnsi="Times New Roman" w:eastAsia="宋体" w:cs="Times New Roman"/>
          <w:szCs w:val="21"/>
          <w:highlight w:val="none"/>
        </w:rPr>
        <w:t xml:space="preserve">在７天内予以支付。但本</w:t>
      </w:r>
      <w:r>
        <w:rPr>
          <w:rFonts w:hint="eastAsia" w:ascii="Times New Roman" w:hAnsi="Times New Roman" w:eastAsia="宋体" w:cs="Times New Roman"/>
          <w:szCs w:val="21"/>
          <w:highlight w:val="none"/>
        </w:rPr>
        <w:t xml:space="preserve">担保</w:t>
      </w:r>
      <w:r>
        <w:rPr>
          <w:rFonts w:ascii="Times New Roman" w:hAnsi="Times New Roman" w:eastAsia="宋体" w:cs="Times New Roman"/>
          <w:szCs w:val="21"/>
          <w:highlight w:val="none"/>
        </w:rPr>
        <w:t xml:space="preserve">的担保金额，在任何时候不应超过预付款金额减去发包人按合同约定在向承包人签发的进度付款证书中</w:t>
      </w:r>
      <w:r>
        <w:rPr>
          <w:rFonts w:hint="eastAsia" w:ascii="Times New Roman" w:hAnsi="Times New Roman" w:eastAsia="宋体" w:cs="Times New Roman"/>
          <w:szCs w:val="21"/>
          <w:highlight w:val="none"/>
        </w:rPr>
        <w:t xml:space="preserve">已</w:t>
      </w:r>
      <w:r>
        <w:rPr>
          <w:rFonts w:ascii="Times New Roman" w:hAnsi="Times New Roman" w:eastAsia="宋体" w:cs="Times New Roman"/>
          <w:szCs w:val="21"/>
          <w:highlight w:val="none"/>
        </w:rPr>
        <w:t xml:space="preserve">扣</w:t>
      </w:r>
      <w:r>
        <w:rPr>
          <w:rFonts w:hint="eastAsia" w:ascii="Times New Roman" w:hAnsi="Times New Roman" w:eastAsia="宋体" w:cs="Times New Roman"/>
          <w:szCs w:val="21"/>
          <w:highlight w:val="none"/>
        </w:rPr>
        <w:t xml:space="preserve">回</w:t>
      </w:r>
      <w:r>
        <w:rPr>
          <w:rFonts w:ascii="Times New Roman" w:hAnsi="Times New Roman" w:eastAsia="宋体" w:cs="Times New Roman"/>
          <w:szCs w:val="21"/>
          <w:highlight w:val="none"/>
        </w:rPr>
        <w:t xml:space="preserve">的金额。</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4. 发包人和承包人按《通用合同条款》第15条变更合同时，我</w:t>
      </w:r>
      <w:r>
        <w:rPr>
          <w:rFonts w:hint="eastAsia" w:ascii="Times New Roman" w:hAnsi="Times New Roman" w:eastAsia="宋体" w:cs="Times New Roman"/>
          <w:szCs w:val="21"/>
          <w:highlight w:val="none"/>
        </w:rPr>
        <w:t xml:space="preserve">方</w:t>
      </w:r>
      <w:r>
        <w:rPr>
          <w:rFonts w:ascii="Times New Roman" w:hAnsi="Times New Roman" w:eastAsia="宋体" w:cs="Times New Roman"/>
          <w:szCs w:val="21"/>
          <w:highlight w:val="none"/>
        </w:rPr>
        <w:t xml:space="preserve">承担本</w:t>
      </w:r>
      <w:r>
        <w:rPr>
          <w:rFonts w:hint="eastAsia" w:ascii="Times New Roman" w:hAnsi="Times New Roman" w:eastAsia="宋体" w:cs="Times New Roman"/>
          <w:szCs w:val="21"/>
          <w:highlight w:val="none"/>
        </w:rPr>
        <w:t xml:space="preserve">担保</w:t>
      </w:r>
      <w:r>
        <w:rPr>
          <w:rFonts w:ascii="Times New Roman" w:hAnsi="Times New Roman" w:eastAsia="宋体" w:cs="Times New Roman"/>
          <w:szCs w:val="21"/>
          <w:highlight w:val="none"/>
        </w:rPr>
        <w:t xml:space="preserve">规定的义务不变。</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326"/>
        <w:spacing w:line="6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spacing w:line="360" w:lineRule="auto"/>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spacing w:line="360" w:lineRule="auto"/>
        <w:rPr>
          <w:rFonts w:ascii="Times New Roman" w:hAnsi="Times New Roman" w:eastAsia="宋体" w:cs="Times New Roman"/>
          <w:szCs w:val="20"/>
          <w:highlight w:val="none"/>
        </w:rPr>
      </w:pPr>
      <w:r>
        <w:rPr>
          <w:rFonts w:ascii="Times New Roman" w:hAnsi="Times New Roman" w:eastAsia="宋体" w:cs="Times New Roman"/>
          <w:szCs w:val="20"/>
          <w:highlight w:val="none"/>
        </w:rPr>
      </w:r>
      <w:r/>
    </w:p>
    <w:p>
      <w:pPr>
        <w:pStyle w:val="1159"/>
        <w:jc w:val="right"/>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担 保 人</w:t>
      </w:r>
      <w:r>
        <w:rPr>
          <w:rFonts w:ascii="Times New Roman" w:hAnsi="Times New Roman" w:eastAsia="宋体" w:cs="Times New Roman"/>
          <w:szCs w:val="21"/>
          <w:highlight w:val="none"/>
        </w:rPr>
        <w:t xml:space="preserve">：（盖单位章）</w:t>
      </w:r>
      <w:r>
        <w:rPr>
          <w:rFonts w:ascii="Times New Roman" w:hAnsi="Times New Roman" w:eastAsia="宋体" w:cs="Times New Roman"/>
          <w:szCs w:val="21"/>
          <w:highlight w:val="none"/>
        </w:rPr>
      </w:r>
      <w:r/>
    </w:p>
    <w:p>
      <w:pPr>
        <w:pStyle w:val="1159"/>
        <w:jc w:val="right"/>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法定代表人或</w:t>
      </w:r>
      <w:r>
        <w:rPr>
          <w:rFonts w:hint="eastAsia" w:ascii="Times New Roman" w:hAnsi="Times New Roman" w:eastAsia="宋体" w:cs="Times New Roman"/>
          <w:szCs w:val="21"/>
          <w:highlight w:val="none"/>
        </w:rPr>
        <w:t xml:space="preserve">委托代理</w:t>
      </w:r>
      <w:r>
        <w:rPr>
          <w:rFonts w:ascii="Times New Roman" w:hAnsi="Times New Roman" w:eastAsia="宋体" w:cs="Times New Roman"/>
          <w:szCs w:val="21"/>
          <w:highlight w:val="none"/>
        </w:rPr>
        <w:t xml:space="preserve">人：（签字）</w:t>
      </w:r>
      <w:r>
        <w:rPr>
          <w:rFonts w:ascii="Times New Roman" w:hAnsi="Times New Roman" w:eastAsia="宋体" w:cs="Times New Roman"/>
          <w:szCs w:val="21"/>
          <w:highlight w:val="none"/>
        </w:rPr>
      </w:r>
      <w:r/>
    </w:p>
    <w:p>
      <w:pPr>
        <w:pStyle w:val="1159"/>
        <w:jc w:val="center"/>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地    址：</w:t>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rPr>
      </w:r>
      <w:r/>
    </w:p>
    <w:p>
      <w:pPr>
        <w:pStyle w:val="1159"/>
        <w:jc w:val="center"/>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  </w:t>
      </w:r>
      <w:r>
        <w:rPr>
          <w:rFonts w:ascii="Times New Roman" w:hAnsi="Times New Roman" w:eastAsia="宋体" w:cs="Times New Roman"/>
          <w:szCs w:val="21"/>
          <w:highlight w:val="none"/>
        </w:rPr>
        <w:t xml:space="preserve">邮政编码：</w:t>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u w:val="single"/>
        </w:rPr>
        <w:tab/>
      </w:r>
      <w:r>
        <w:rPr>
          <w:rFonts w:ascii="Times New Roman" w:hAnsi="Times New Roman" w:eastAsia="宋体" w:cs="Times New Roman"/>
          <w:szCs w:val="21"/>
          <w:highlight w:val="none"/>
        </w:rPr>
      </w:r>
      <w:r/>
    </w:p>
    <w:p>
      <w:pPr>
        <w:pStyle w:val="1159"/>
        <w:jc w:val="center"/>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电    话：</w:t>
      </w:r>
      <w:r>
        <w:rPr>
          <w:rFonts w:ascii="Times New Roman" w:hAnsi="Times New Roman" w:eastAsia="宋体" w:cs="Times New Roman"/>
          <w:szCs w:val="21"/>
          <w:highlight w:val="none"/>
        </w:rPr>
      </w:r>
      <w:r/>
    </w:p>
    <w:p>
      <w:pPr>
        <w:pStyle w:val="1159"/>
        <w:jc w:val="center"/>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传真</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1159"/>
        <w:ind w:firstLine="481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620"/>
        <w:spacing w:line="440" w:lineRule="exact"/>
        <w:rPr>
          <w:rFonts w:ascii="宋体" w:hAnsi="Times New Roman" w:eastAsia="宋体" w:cs="Times New Roman"/>
          <w:sz w:val="24"/>
          <w:szCs w:val="21"/>
          <w:highlight w:val="none"/>
          <w:u w:val="single"/>
        </w:rPr>
      </w:pPr>
      <w:r>
        <w:rPr>
          <w:rFonts w:ascii="Times New Roman" w:hAnsi="Times New Roman" w:eastAsia="宋体" w:cs="Times New Roman"/>
          <w:szCs w:val="21"/>
          <w:highlight w:val="none"/>
        </w:rPr>
        <w:t xml:space="preserve"> 年月日</w:t>
      </w:r>
      <w:r>
        <w:rPr>
          <w:rFonts w:ascii="宋体" w:hAnsi="Times New Roman" w:eastAsia="宋体" w:cs="Times New Roman"/>
          <w:sz w:val="24"/>
          <w:szCs w:val="21"/>
          <w:highlight w:val="none"/>
          <w:u w:val="single"/>
        </w:rPr>
      </w:r>
      <w:r/>
    </w:p>
    <w:p>
      <w:pPr>
        <w:pStyle w:val="1159"/>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spacing w:line="360" w:lineRule="auto"/>
        <w:rPr>
          <w:rFonts w:hint="eastAsia" w:ascii="Times New Roman" w:hAnsi="Times New Roman" w:eastAsia="宋体" w:cs="Times New Roman"/>
          <w:szCs w:val="21"/>
          <w:highlight w:val="none"/>
        </w:rPr>
        <w:sectPr>
          <w:headerReference w:type="default" r:id="rId14"/>
          <w:footnotePr/>
          <w:endnotePr/>
          <w:type w:val="nextPage"/>
          <w:pgSz w:w="11907" w:h="16840" w:orient="portrait"/>
          <w:pgMar w:top="1134" w:right="1701" w:bottom="1134" w:left="1701" w:header="1247" w:footer="1247" w:gutter="0"/>
          <w:cols w:num="1" w:sep="0" w:space="1701" w:equalWidth="1"/>
          <w:docGrid w:linePitch="360"/>
        </w:sectPr>
      </w:pPr>
      <w:r>
        <w:rPr>
          <w:rFonts w:hint="eastAsia" w:ascii="Times New Roman" w:hAnsi="Times New Roman" w:eastAsia="宋体" w:cs="Times New Roman"/>
          <w:szCs w:val="21"/>
          <w:highlight w:val="none"/>
        </w:rPr>
      </w:r>
      <w:r/>
    </w:p>
    <w:p>
      <w:pPr>
        <w:pStyle w:val="1159"/>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附件四：</w:t>
      </w:r>
      <w:r>
        <w:rPr>
          <w:rFonts w:ascii="Times New Roman" w:hAnsi="Times New Roman" w:eastAsia="宋体" w:cs="Times New Roman"/>
          <w:szCs w:val="21"/>
          <w:highlight w:val="none"/>
        </w:rPr>
      </w:r>
      <w:r/>
    </w:p>
    <w:p>
      <w:pPr>
        <w:pStyle w:val="1159"/>
        <w:jc w:val="center"/>
        <w:spacing w:line="440" w:lineRule="exact"/>
        <w:rPr>
          <w:rFonts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rPr>
        <w:t xml:space="preserve">廉政合同</w:t>
      </w:r>
      <w:r>
        <w:rPr>
          <w:rFonts w:ascii="Times New Roman" w:hAnsi="Times New Roman" w:eastAsia="黑体" w:cs="Times New Roman"/>
          <w:sz w:val="28"/>
          <w:szCs w:val="28"/>
          <w:highlight w:val="none"/>
        </w:rPr>
        <w:t xml:space="preserve">(</w:t>
      </w:r>
      <w:r>
        <w:rPr>
          <w:rFonts w:hint="eastAsia" w:ascii="Times New Roman" w:hAnsi="Times New Roman" w:eastAsia="黑体" w:cs="Times New Roman"/>
          <w:sz w:val="28"/>
          <w:szCs w:val="28"/>
          <w:highlight w:val="none"/>
        </w:rPr>
        <w:t xml:space="preserve">建设单位与施工单位格式</w:t>
      </w:r>
      <w:r>
        <w:rPr>
          <w:rFonts w:ascii="Times New Roman" w:hAnsi="Times New Roman" w:eastAsia="黑体" w:cs="Times New Roman"/>
          <w:sz w:val="28"/>
          <w:szCs w:val="28"/>
          <w:highlight w:val="none"/>
        </w:rPr>
        <w:t xml:space="preserve">)</w:t>
      </w:r>
      <w:r>
        <w:rPr>
          <w:rFonts w:ascii="Times New Roman" w:hAnsi="Times New Roman" w:eastAsia="黑体" w:cs="Times New Roman"/>
          <w:sz w:val="28"/>
          <w:szCs w:val="28"/>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甲方：（建设单位）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乙方：（施工单位）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为贯彻落实党中央、国务院《关于实行党风廉政建设责任制的规定》，进一步加强重点水利工程建设中的党风廉政建设，保证工程建设优质、高效、有序地进行，经双方协商一致，自愿签订以下廉政合同。</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第一条：甲乙双方共同的权利和义务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（一）严格遵守党和国家有关法律法规及党风廉政建设各项规定。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（二）严格执行（施工合同）各项规定，自觉按合同办事。</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（三）双方的业务活动坚持公开、公正、公平、诚信的原则（除法律认定的商业秘密和合同文件另有规定之外），严禁损害国家和集体利益，违反工程建设管理规章制度。</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（四）建立健全党风廉政建设各项制度，开展党风廉政建设宣传教育，加强对本方工作人员的监督检查。</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（五）发现对方在业务活动中有违反廉政规定和本合同约定的行为时，有及时提醒和督促对方纠正的权利和义务，并严肃查处本方工作人员的违纪行为。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（六）发现对方在业务活动中有违反廉政规定和本合同约定的行为时，有权向对方主管部门或有关机关检举揭发。</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第二条：甲方在廉政建设方面的义务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（一）甲方及其工作人员不准在施工单位安插亲友及介绍销售不合规定的工程材料，不得指定需购物资设备的销售单位或部门。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（二）甲方及其工作人员不准索要或接受乙方的礼金、有价证券、支付凭证、贵重物品等财物。</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（三）甲方及其工作人员不准在乙方报销应由甲方或个人支付的费用。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（四）甲方工作人员不准参加乙方提供的宴请、娱乐活动；不准要求乙方提供交通工具、通讯工具、高档办公用品等。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（五）甲方及其工作人员不准要求或者接受乙方为其住房装修、婚丧嫁娶及配偶、子女、亲友出国（境）旅游提供方便。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（六）甲方及其工作人员不准要求乙方为其配偶、子女及有利害关系的人员安排工作或劳务；不准违反规定从事与乙方施工项目有关的材料设备供应、工程分包等经济活动。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（七）甲方应根据工程建设进度，及时足额支付工程款，不得拖欠工程款和农民工工资，不得超进度拨付工程款。</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（八）工程量变更必须认真履行有关程序和审批手续。</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第三条：乙方在廉政建设方面义务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（一）乙方不准以任何形式向甲方及其工作人员馈赠礼金、礼品、有价证券、支付凭证、贵重物品等财物。</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（二）乙方不准以任何名义为甲方及其工作人员报销应由甲方或个人支付的费用。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（三）乙方不准以任何理由邀请甲方工作人员参加对承建的施工项目有影响的宴请及娱乐活动；不准为其提供通讯工具、交通工具、高档办公用品等。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（四）乙方不准为甲方工作人员住房装修、婚丧嫁娶及配偶、子女、亲友出国（境）旅游提供方便；不准为甲方工作人员的配偶、子女及有利害关系的人员安排工作或劳务。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（五）乙方不准违反规定将承建的施工项目分包或非法转包。</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（六）乙方及其工作人员不准与该工程的监理单位串通，违反工程计量、资金支付、质量验评、竣工验收等有关规定和程序，损害甲方利益，影响工程质量、进度和安全。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（七）乙方应根据工程进度和工程款支付进度，及时足额兑付农民工工资等劳务人员报酬，不拖欠农民工工资，并建立有效的农民工工资支付制度，加强对农民工工资支付工作的管理。</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（八）乙方应采取措施，加强对自行采购的工程材料和物资的采购管理。对数量较大的工程建设材料和物资应通过公开招标、邀请招标或议标等形式进行采购，避免和防止工程建设材料和物资采购中的腐败行为。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（九）工程量变更必须认真履行有关程序和审批手续。</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第四条：违约责任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（一）甲方若违反本《廉政合同》有关规定的，对违法违纪人员，由甲方主管部门依据有关规定查处，给乙方造成的损失，按有关规定予以赔偿。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（二）乙方若违反本《廉政合同》有关规定的，对违法违纪人员，由乙方主管部门依据有关规定查处，给甲方造成的损失，按有关规定予以赔偿。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（三）甲、乙各方每发生一起违反本合同约定的事项和义务的，除承担本条（一）或（二）项的责任外，还必须向对方支付违约金</w:t>
      </w:r>
      <w:r>
        <w:rPr>
          <w:rFonts w:ascii="Times New Roman" w:hAnsi="Times New Roman" w:eastAsia="宋体" w:cs="Times New Roman"/>
          <w:szCs w:val="21"/>
          <w:highlight w:val="none"/>
        </w:rPr>
        <w:t xml:space="preserve">5000</w:t>
      </w:r>
      <w:r>
        <w:rPr>
          <w:rFonts w:hint="eastAsia" w:ascii="Times New Roman" w:hAnsi="Times New Roman" w:eastAsia="宋体" w:cs="Times New Roman"/>
          <w:szCs w:val="21"/>
          <w:highlight w:val="none"/>
        </w:rPr>
        <w:t xml:space="preserve">元。</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第五条：督查单位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双方约定：自愿接受工程建设执法监察组对合同执行情况的监督检查，接受提出本合同规定范围内的裁定意见。</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第六条：检查方式</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第七条：本合同有效期为工程开工之日起至该合同段工程项目竣工验收后止。</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第八条：本合同一式三份，甲、乙双方各执一份。</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甲方单位：（盖章）                      乙方单位：（盖章）</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法定代表人（或授权代理人）签字：        法定代表人（或授权代理人）签字：</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单位地址：                              单位地址：</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联系电话：                              联系电话：</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jc w:val="center"/>
        <w:spacing w:line="360" w:lineRule="auto"/>
        <w:rPr>
          <w:rFonts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rPr>
        <w:br w:type="page" w:clear="all"/>
      </w:r>
      <w:r>
        <w:rPr>
          <w:rFonts w:hint="eastAsia" w:ascii="Times New Roman" w:hAnsi="Times New Roman" w:eastAsia="黑体" w:cs="Times New Roman"/>
          <w:sz w:val="28"/>
          <w:szCs w:val="28"/>
          <w:highlight w:val="none"/>
        </w:rPr>
        <w:t xml:space="preserve">廉政合同(建设单位与监理单位格式)</w:t>
      </w:r>
      <w:r>
        <w:rPr>
          <w:rFonts w:ascii="Times New Roman" w:hAnsi="Times New Roman" w:eastAsia="黑体" w:cs="Times New Roman"/>
          <w:sz w:val="28"/>
          <w:szCs w:val="28"/>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甲方：（建设单位）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乙方：（监理单位）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为贯彻落实党中央、国务院《关于实行党风廉政建设责任制的规定》，进一步加强重点水利工程建设中的党风廉政建设，保证工程建设优质、高效、有序地进行，经双方协商一致，自愿签订以下廉政合同。</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第一条：甲乙双方共同的权利和义务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（一）严格遵守党和国家有关法律法规及党风廉政建设各项规定。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（二）严格执行（监理合同）各项规定，自觉按合同办事。</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（三）双方的业务活动坚持公开、公正、公平、诚信的原则（除法律认定的商业秘密和合同文件另有规定之外），严禁损害国家和集体利益，违反工程建设管理规章制度。</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（四）建立健全党风廉政建设各项制度，开展党风廉政建设宣传教育，加强对本方工作人员的监督检查。</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（五）发现对方在业务活动中有违反廉政规定和本合同约定的行为时，有及时提醒和督促对方纠正的权利和义务，并严肃查处本方工作人员的违纪行为。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（六）发现对方在业务活动中有违反廉政规定和本合同约定的行为时，有权向对方主管部门或有关机关检举揭发。</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第一条甲乙双方的权利和义务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(一)严格遵守党和国家有关法律</w:t>
      </w:r>
      <w:r>
        <w:rPr>
          <w:rFonts w:ascii="Times New Roman" w:hAnsi="Times New Roman" w:eastAsia="宋体" w:cs="Times New Roman"/>
          <w:szCs w:val="20"/>
          <w:highlight w:val="none"/>
        </w:rPr>
        <w:fldChar w:fldCharType="begin"/>
      </w:r>
      <w:r>
        <w:rPr>
          <w:rFonts w:ascii="Times New Roman" w:hAnsi="Times New Roman" w:eastAsia="宋体" w:cs="Times New Roman"/>
          <w:szCs w:val="20"/>
          <w:highlight w:val="none"/>
        </w:rPr>
        <w:instrText xml:space="preserve"> HYPERLINK "http://www.fdcew.com/fgwk/Index.html" \t "_blank" </w:instrText>
      </w:r>
      <w:r>
        <w:rPr>
          <w:rFonts w:ascii="Times New Roman" w:hAnsi="Times New Roman" w:eastAsia="宋体" w:cs="Times New Roman"/>
          <w:szCs w:val="20"/>
          <w:highlight w:val="none"/>
        </w:rPr>
        <w:fldChar w:fldCharType="separate"/>
      </w:r>
      <w:r>
        <w:rPr>
          <w:rFonts w:hint="eastAsia" w:ascii="Times New Roman" w:hAnsi="Times New Roman" w:eastAsia="宋体" w:cs="Times New Roman"/>
          <w:szCs w:val="21"/>
          <w:highlight w:val="none"/>
        </w:rPr>
        <w:t xml:space="preserve">法规</w:t>
      </w:r>
      <w:r>
        <w:rPr>
          <w:rFonts w:hint="eastAsia" w:ascii="Times New Roman" w:hAnsi="Times New Roman" w:eastAsia="宋体" w:cs="Times New Roman"/>
          <w:szCs w:val="21"/>
          <w:highlight w:val="none"/>
        </w:rPr>
        <w:fldChar w:fldCharType="end"/>
      </w:r>
      <w:r>
        <w:rPr>
          <w:rFonts w:hint="eastAsia" w:ascii="Times New Roman" w:hAnsi="Times New Roman" w:eastAsia="宋体" w:cs="Times New Roman"/>
          <w:szCs w:val="21"/>
          <w:highlight w:val="none"/>
        </w:rPr>
        <w:t xml:space="preserve">及交通部的有关规定。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(二)严格执行本工程监理服务合同协议书,自觉按协议书办事。</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(三)双方的业务活动坚持公开、公平、公正、诚信、透明的原则(除法律认定的商业秘密和合同文件另有规定之外),不得损害国家和集体利益,违反工程建设管理规章</w:t>
      </w:r>
      <w:r>
        <w:rPr>
          <w:rFonts w:ascii="Times New Roman" w:hAnsi="Times New Roman" w:eastAsia="宋体" w:cs="Times New Roman"/>
          <w:szCs w:val="20"/>
          <w:highlight w:val="none"/>
        </w:rPr>
        <w:fldChar w:fldCharType="begin"/>
      </w:r>
      <w:r>
        <w:rPr>
          <w:rFonts w:ascii="Times New Roman" w:hAnsi="Times New Roman" w:eastAsia="宋体" w:cs="Times New Roman"/>
          <w:szCs w:val="20"/>
          <w:highlight w:val="none"/>
        </w:rPr>
        <w:instrText xml:space="preserve"> HYPERLINK "http://www.fdcew.com/hypx/List_177.html" \t "_blank" </w:instrText>
      </w:r>
      <w:r>
        <w:rPr>
          <w:rFonts w:ascii="Times New Roman" w:hAnsi="Times New Roman" w:eastAsia="宋体" w:cs="Times New Roman"/>
          <w:szCs w:val="20"/>
          <w:highlight w:val="none"/>
        </w:rPr>
        <w:fldChar w:fldCharType="separate"/>
      </w:r>
      <w:r>
        <w:rPr>
          <w:rFonts w:hint="eastAsia" w:ascii="Times New Roman" w:hAnsi="Times New Roman" w:eastAsia="宋体" w:cs="Times New Roman"/>
          <w:szCs w:val="21"/>
          <w:highlight w:val="none"/>
        </w:rPr>
        <w:t xml:space="preserve">制度</w:t>
      </w:r>
      <w:r>
        <w:rPr>
          <w:rFonts w:hint="eastAsia" w:ascii="Times New Roman" w:hAnsi="Times New Roman" w:eastAsia="宋体" w:cs="Times New Roman"/>
          <w:szCs w:val="21"/>
          <w:highlight w:val="none"/>
        </w:rPr>
        <w:fldChar w:fldCharType="end"/>
      </w:r>
      <w:r>
        <w:rPr>
          <w:rFonts w:hint="eastAsia" w:ascii="Times New Roman" w:hAnsi="Times New Roman" w:eastAsia="宋体" w:cs="Times New Roman"/>
          <w:szCs w:val="21"/>
          <w:highlight w:val="none"/>
        </w:rPr>
        <w:t xml:space="preserve">。</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(四)建立健全廉政制度,开展廉政教育,设立廉政告示牌,公布举报电话,监督并认真查处违法违纪行为。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(五)发现对方在业务活动中有违反廉政规定的行为,有及时提醒对方纠正的权利和义务。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(六)发现对方严重违反本合同义务条款的行为,有向其上级有关部门举报、</w:t>
      </w:r>
      <w:r>
        <w:rPr>
          <w:rFonts w:ascii="Times New Roman" w:hAnsi="Times New Roman" w:eastAsia="宋体" w:cs="Times New Roman"/>
          <w:szCs w:val="20"/>
          <w:highlight w:val="none"/>
        </w:rPr>
        <w:fldChar w:fldCharType="begin"/>
      </w:r>
      <w:r>
        <w:rPr>
          <w:rFonts w:ascii="Times New Roman" w:hAnsi="Times New Roman" w:eastAsia="宋体" w:cs="Times New Roman"/>
          <w:szCs w:val="20"/>
          <w:highlight w:val="none"/>
        </w:rPr>
        <w:instrText xml:space="preserve"> HYPERLINK "http://www.fdcew.com/gw/List_205.html" \t "_blank" </w:instrText>
      </w:r>
      <w:r>
        <w:rPr>
          <w:rFonts w:ascii="Times New Roman" w:hAnsi="Times New Roman" w:eastAsia="宋体" w:cs="Times New Roman"/>
          <w:szCs w:val="20"/>
          <w:highlight w:val="none"/>
        </w:rPr>
        <w:fldChar w:fldCharType="separate"/>
      </w:r>
      <w:r>
        <w:rPr>
          <w:rFonts w:hint="eastAsia" w:ascii="Times New Roman" w:hAnsi="Times New Roman" w:eastAsia="宋体" w:cs="Times New Roman"/>
          <w:szCs w:val="21"/>
          <w:highlight w:val="none"/>
        </w:rPr>
        <w:t xml:space="preserve">建议</w:t>
      </w:r>
      <w:r>
        <w:rPr>
          <w:rFonts w:hint="eastAsia" w:ascii="Times New Roman" w:hAnsi="Times New Roman" w:eastAsia="宋体" w:cs="Times New Roman"/>
          <w:szCs w:val="21"/>
          <w:highlight w:val="none"/>
        </w:rPr>
        <w:fldChar w:fldCharType="end"/>
      </w:r>
      <w:r>
        <w:rPr>
          <w:rFonts w:hint="eastAsia" w:ascii="Times New Roman" w:hAnsi="Times New Roman" w:eastAsia="宋体" w:cs="Times New Roman"/>
          <w:szCs w:val="21"/>
          <w:highlight w:val="none"/>
        </w:rPr>
        <w:t xml:space="preserve">给予处理并要求告知处理结果的权利。</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第二条甲方的义务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(一)甲方及其工作人员不得索要或接受乙方的礼金、有价证券和贵重物品,不得在乙方报销任何应由甲方或个人支付的费用等。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(二)甲方工作人员不得参加乙方安排的超标准宴请和娱乐活动;不得接受乙方提供的通讯工具、交通工具和高档办公用品等。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(三)甲方及其工作人员不得要求或者接受乙方为其住房装修、婚丧嫁娶活动、配偶子女的工作安排以及出国出境、旅游等提供方便等。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(四)甲方工作人员的配偶、子女不得从事与甲方工程有关的监理分包项目。</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    第三条乙方义务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(一)乙方不得以任何理由向甲方及其工作人员行贿或馈赠礼金、有价证券、贵重礼品。</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(二)乙方不得以任何名义为甲方及其工作人员报销应由甲方单位或个人支付的任何费用。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(三)乙方不得以任何理由安排甲方工作人员参加超标准宴请及娱乐活动。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(四)乙方不得为甲方单位和个人购置或提供通讯工具、交通工具和高档办公用品等。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(五)乙方及其工作人员不得索取或接受</w:t>
      </w:r>
      <w:r>
        <w:rPr>
          <w:rFonts w:ascii="Times New Roman" w:hAnsi="Times New Roman" w:eastAsia="宋体" w:cs="Times New Roman"/>
          <w:szCs w:val="20"/>
          <w:highlight w:val="none"/>
        </w:rPr>
        <w:fldChar w:fldCharType="begin"/>
      </w:r>
      <w:r>
        <w:rPr>
          <w:rFonts w:ascii="Times New Roman" w:hAnsi="Times New Roman" w:eastAsia="宋体" w:cs="Times New Roman"/>
          <w:szCs w:val="20"/>
          <w:highlight w:val="none"/>
        </w:rPr>
        <w:instrText xml:space="preserve"> HYPERLINK "http://www.fdcew.com/Soft/jzsg/Index.html" \t "_blank" </w:instrText>
      </w:r>
      <w:r>
        <w:rPr>
          <w:rFonts w:ascii="Times New Roman" w:hAnsi="Times New Roman" w:eastAsia="宋体" w:cs="Times New Roman"/>
          <w:szCs w:val="20"/>
          <w:highlight w:val="none"/>
        </w:rPr>
        <w:fldChar w:fldCharType="separate"/>
      </w:r>
      <w:r>
        <w:rPr>
          <w:rFonts w:hint="eastAsia" w:ascii="Times New Roman" w:hAnsi="Times New Roman" w:eastAsia="宋体" w:cs="Times New Roman"/>
          <w:szCs w:val="21"/>
          <w:highlight w:val="none"/>
        </w:rPr>
        <w:t xml:space="preserve">施工</w:t>
      </w:r>
      <w:r>
        <w:rPr>
          <w:rFonts w:hint="eastAsia" w:ascii="Times New Roman" w:hAnsi="Times New Roman" w:eastAsia="宋体" w:cs="Times New Roman"/>
          <w:szCs w:val="21"/>
          <w:highlight w:val="none"/>
        </w:rPr>
        <w:fldChar w:fldCharType="end"/>
      </w:r>
      <w:r>
        <w:rPr>
          <w:rFonts w:hint="eastAsia" w:ascii="Times New Roman" w:hAnsi="Times New Roman" w:eastAsia="宋体" w:cs="Times New Roman"/>
          <w:szCs w:val="21"/>
          <w:highlight w:val="none"/>
        </w:rPr>
        <w:t xml:space="preserve">单位的礼金、有价证券和贵重物品,不得在施工单位报销任何应由乙方或个人支付的费用。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(六)乙方及其工作人员必须严格按照监理</w:t>
      </w:r>
      <w:r>
        <w:rPr>
          <w:rFonts w:ascii="Times New Roman" w:hAnsi="Times New Roman" w:eastAsia="宋体" w:cs="Times New Roman"/>
          <w:szCs w:val="20"/>
          <w:highlight w:val="none"/>
        </w:rPr>
        <w:fldChar w:fldCharType="begin"/>
      </w:r>
      <w:r>
        <w:rPr>
          <w:rFonts w:ascii="Times New Roman" w:hAnsi="Times New Roman" w:eastAsia="宋体" w:cs="Times New Roman"/>
          <w:szCs w:val="20"/>
          <w:highlight w:val="none"/>
        </w:rPr>
        <w:instrText xml:space="preserve"> HYPERLINK "http://www.fdcew.com/hypx/Index.html" \t "_blank" </w:instrText>
      </w:r>
      <w:r>
        <w:rPr>
          <w:rFonts w:ascii="Times New Roman" w:hAnsi="Times New Roman" w:eastAsia="宋体" w:cs="Times New Roman"/>
          <w:szCs w:val="20"/>
          <w:highlight w:val="none"/>
        </w:rPr>
        <w:fldChar w:fldCharType="separate"/>
      </w:r>
      <w:r>
        <w:rPr>
          <w:rFonts w:hint="eastAsia" w:ascii="Times New Roman" w:hAnsi="Times New Roman" w:eastAsia="宋体" w:cs="Times New Roman"/>
          <w:szCs w:val="21"/>
          <w:highlight w:val="none"/>
        </w:rPr>
        <w:t xml:space="preserve">规程</w:t>
      </w:r>
      <w:r>
        <w:rPr>
          <w:rFonts w:hint="eastAsia" w:ascii="Times New Roman" w:hAnsi="Times New Roman" w:eastAsia="宋体" w:cs="Times New Roman"/>
          <w:szCs w:val="21"/>
          <w:highlight w:val="none"/>
        </w:rPr>
        <w:fldChar w:fldCharType="end"/>
      </w:r>
      <w:r>
        <w:rPr>
          <w:rFonts w:hint="eastAsia" w:ascii="Times New Roman" w:hAnsi="Times New Roman" w:eastAsia="宋体" w:cs="Times New Roman"/>
          <w:szCs w:val="21"/>
          <w:highlight w:val="none"/>
        </w:rPr>
        <w:t xml:space="preserve">办事,不得与施工单位串通,损害甲方利益。</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第四条违约责任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甲方及其工作人员违反本合同第一、二条;按管理权限、依据有关规定,给予党纪、政纪或组织处理;涉嫌犯罪的,移交司法机关追究刑事责任;给乙方单位造成经济损失的,应予以赔偿。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五条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第六条本合同有效期为甲乙双方签署之日起至该工程项目竣工验收后止。</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第七条本合同作为本工程监理服务合同协议书的附件,与监理服务合同协议书具有同等的法律效力,经合同双方签署立即生效。</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本合同甲、乙双方各执一份。</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甲方单位：（盖章）                              乙方单位：（盖章）</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法定代表人（或授权代理人）签字：                法定代表人（或授权代理人）签字：</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单位地址：                                      单位地址：</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黑体" w:cs="Times New Roman"/>
          <w:sz w:val="28"/>
          <w:szCs w:val="28"/>
          <w:highlight w:val="none"/>
        </w:rPr>
      </w:pPr>
      <w:r>
        <w:rPr>
          <w:rFonts w:hint="eastAsia" w:ascii="Times New Roman" w:hAnsi="Times New Roman" w:eastAsia="宋体" w:cs="Times New Roman"/>
          <w:szCs w:val="21"/>
          <w:highlight w:val="none"/>
        </w:rPr>
        <w:t xml:space="preserve">联系电话：                                      联系电话：</w:t>
      </w:r>
      <w:r>
        <w:rPr>
          <w:rFonts w:ascii="Times New Roman" w:hAnsi="Times New Roman" w:eastAsia="黑体" w:cs="Times New Roman"/>
          <w:sz w:val="28"/>
          <w:szCs w:val="28"/>
          <w:highlight w:val="none"/>
        </w:rPr>
      </w:r>
      <w:r/>
    </w:p>
    <w:p>
      <w:pPr>
        <w:pStyle w:val="1159"/>
        <w:jc w:val="center"/>
        <w:spacing w:line="440" w:lineRule="exact"/>
        <w:rPr>
          <w:rFonts w:hint="eastAsia" w:ascii="Times New Roman" w:hAnsi="Times New Roman" w:eastAsia="黑体" w:cs="Times New Roman"/>
          <w:sz w:val="28"/>
          <w:szCs w:val="28"/>
          <w:highlight w:val="none"/>
        </w:rPr>
        <w:sectPr>
          <w:footnotePr/>
          <w:endnotePr/>
          <w:type w:val="nextPage"/>
          <w:pgSz w:w="11907" w:h="16840" w:orient="portrait"/>
          <w:pgMar w:top="1134" w:right="1701" w:bottom="1134" w:left="1701" w:header="1247" w:footer="1247" w:gutter="0"/>
          <w:cols w:num="1" w:sep="0" w:space="1701" w:equalWidth="1"/>
          <w:docGrid w:linePitch="360"/>
        </w:sectPr>
      </w:pPr>
      <w:r>
        <w:rPr>
          <w:rFonts w:hint="eastAsia" w:ascii="Times New Roman" w:hAnsi="Times New Roman" w:eastAsia="黑体" w:cs="Times New Roman"/>
          <w:sz w:val="28"/>
          <w:szCs w:val="28"/>
          <w:highlight w:val="none"/>
        </w:rPr>
      </w:r>
      <w:r/>
    </w:p>
    <w:p>
      <w:pPr>
        <w:pStyle w:val="1159"/>
        <w:jc w:val="center"/>
        <w:spacing w:line="440" w:lineRule="exact"/>
        <w:rPr>
          <w:rFonts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rPr>
        <w:t xml:space="preserve">廉政合同(监理单位与施工单位格式)</w:t>
      </w:r>
      <w:r>
        <w:rPr>
          <w:rFonts w:ascii="Times New Roman" w:hAnsi="Times New Roman" w:eastAsia="黑体" w:cs="Times New Roman"/>
          <w:sz w:val="28"/>
          <w:szCs w:val="28"/>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甲方：（监理单位）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乙方：（施工单位）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为贯彻落实党中央、国务院《关于实行党风廉政建设责任制的规定》，进一步加强重点水利工程建设中的党风廉政建设，保证工程建设优质、高效、有序地进行，经双方协商一致，自愿签订以下廉政合同。</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第一条：甲乙双方共同的权利和义务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（一）严格遵守党和国家有关法律法规及党风廉政建设各项规定。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（二）严格执行各自合同的各项规定，自觉按合同办事。</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（三）双方的业务活动坚持公开、公正、公平、诚信的原则（除法律认定的商业秘密和合同文件另有规定之外），严禁损害国家和集体利益，违反工程建设管理规章制度。</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（四）建立健全党风廉政建设各项制度，开展党风廉政建设宣传教育，加强对本方工作人员的监督检查。</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（五）发现对方在业务活动中有违反廉政规定和本合同约定的行为时，有及时提醒和督促对方纠正的权利和义务，并严肃查处本方工作人员的违纪行为。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（六）发现对方在业务活动中有违反廉政规定和本合同约定的行为时，有权向对方主管部门或有关机关检举揭发。</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第二条：甲方在廉政建设方面的义务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（一）甲方及其工作人员不准在施工单位安插亲友及介绍销售不合规定的工程材料，不得指定需购物资设备的销售单位或部门。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（二）甲方及其工作人员不准索要或接受乙方的礼金、有价证券、支付凭证、贵重物品等财物。</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（三）甲方及其工作人员不准在乙方报销应由甲方或个人支付的费用。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（四）甲方工作人员不准参加乙方提供的宴请、娱乐活动；不准要求乙方提供交通工具、通讯工具、高档办公用品等。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（五）甲方及其工作人员不准要求或者接受乙方为其住房装修、婚丧嫁娶及配偶、子女、亲友出国（境）旅游提供方便。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（六）甲方及其工作人员不准要求乙方为其配偶、子女及有利害关系的人员安排工作或劳务；不准违反规定从事与乙方施工项目有关的材料设备供应、工程分包等经济活动。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七）甲方应根据工程建设进度，及时做好计量。不得与乙方串通，违反工程计量、资金支付、质量验评、竣工验收等有关规定和程序，不得超进度计量，损害建设方利益，影响工程质量、进度和安全。及时足额支付工程款，不得拖欠工程款和农民工工资，</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（八）工程量变更必须认真履行有关程序和审批手续。</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第三条：乙方在廉政建设方面义务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（一）乙方不准以任何形式向甲方及其工作人员馈赠礼金、礼品、有价证券、支付凭证、贵重物品等财物。</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（二）乙方不准以任何名义为甲方及其工作人员报销应由甲方或个人支付的费用。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（三）乙方不准以任何理由邀请甲方工作人员参加对承建的施工项目有影响的宴请及娱乐活动；不准为其提供通讯工具、交通工具、高档办公用品等。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（四）乙方不准为甲方工作人员住房装修、婚丧嫁娶及配偶、子女、亲友出国（境）旅游提供方便；不准为甲方工作人员的配偶、子女及有利害关系的人员安排工作或劳务。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（五）乙方不准违反规定将承建的施工项目分包或非法转包。</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（六）乙方及其工作人员不准与该工程的甲方串通，违反工程计量、资金支付、质量验评、竣工验收等有关规定和程序，损害甲方利益，影响工程质量、进度和安全。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（七）乙方应根据工程进度和工程款支付进度，及时足额兑付农民工工资等劳务人员报酬，不拖欠农民工工资，并建立有效的农民工工资支付制度，加强对农民工工资支付工作的管理。</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（八）乙方应采取措施，加强对自行采购的工程材料和物资的采购管理。对数量较大的工程建设材料和物资应通过公开招标、邀请招标或议标等形式进行采购，避免和防止工程建设材料和物资采购中的腐败行为。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（九）工程量变更必须认真履行有关程序和审批手续。</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第四条：违约责任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（一）甲方若违反本《廉政合同》有关规定的，对违法违纪人员，由甲方主管部门依据有关规定查处，给乙方造成的损失，按有关规定予以赔偿。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（二）乙方若违反本《廉政合同》有关规定的，对违法违纪人员，由乙方主管部门依据有关规定查处，给甲方造成的损失，按有关规定予以赔偿。</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（三）甲、乙各方每发生一起违反本合同约定的事项和义务的，除承担本条（一）或（二）项的责任外，还必须向对方支付违约金5000元。</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第五条：督查单位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双方约定：自愿接受工程建设执法监察组对合同执行情况的监督检查，接受提出本合同规定范围内的裁定意见。</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第六条：检查方式</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第七条：本合同有效期为工程开工之日起至该合同段工程项目竣工验收后止。</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第八条：本合同一式三份，甲、乙双方各执一份。</w:t>
      </w:r>
      <w:bookmarkStart w:id="1202" w:name="_Toc237153210"/>
      <w:r/>
      <w:bookmarkStart w:id="1203" w:name="_Toc277167555"/>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甲方单位：（盖章）                     乙方单位：（盖章）</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法定代表人（或授权代理人）签字：       法定代表人（或授权代理人）签字：</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单位地址：                             单位地址：</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联系电话：                             联系电话：</w:t>
      </w:r>
      <w:r>
        <w:rPr>
          <w:rFonts w:ascii="Times New Roman" w:hAnsi="Times New Roman" w:eastAsia="宋体" w:cs="Times New Roman"/>
          <w:szCs w:val="21"/>
          <w:highlight w:val="none"/>
        </w:rPr>
      </w:r>
      <w:r/>
    </w:p>
    <w:p>
      <w:pPr>
        <w:pStyle w:val="1159"/>
        <w:ind w:hanging="18"/>
        <w:rPr>
          <w:szCs w:val="21"/>
          <w:highlight w:val="none"/>
        </w:rPr>
        <w:sectPr>
          <w:footnotePr/>
          <w:endnotePr/>
          <w:type w:val="nextPage"/>
          <w:pgSz w:w="11907" w:h="16840" w:orient="portrait"/>
          <w:pgMar w:top="1134" w:right="1701" w:bottom="1134" w:left="1701" w:header="1247" w:footer="1247" w:gutter="0"/>
          <w:cols w:num="1" w:sep="0" w:space="1701" w:equalWidth="1"/>
          <w:docGrid w:linePitch="360"/>
        </w:sectPr>
      </w:pPr>
      <w:r>
        <w:rPr>
          <w:szCs w:val="21"/>
          <w:highlight w:val="none"/>
        </w:rPr>
      </w:r>
      <w:r/>
    </w:p>
    <w:p>
      <w:pPr>
        <w:pStyle w:val="1159"/>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附件五：</w:t>
      </w:r>
      <w:bookmarkEnd w:id="1202"/>
      <w:r/>
      <w:bookmarkEnd w:id="1203"/>
      <w:r>
        <w:rPr>
          <w:rFonts w:ascii="Times New Roman" w:hAnsi="Times New Roman" w:eastAsia="宋体" w:cs="Times New Roman"/>
          <w:szCs w:val="21"/>
          <w:highlight w:val="none"/>
        </w:rPr>
      </w:r>
      <w:r/>
    </w:p>
    <w:p>
      <w:pPr>
        <w:pStyle w:val="1159"/>
        <w:jc w:val="center"/>
        <w:spacing w:line="360" w:lineRule="auto"/>
        <w:rPr>
          <w:rFonts w:ascii="Times New Roman" w:hAnsi="Times New Roman" w:eastAsia="黑体" w:cs="Times New Roman"/>
          <w:b/>
          <w:sz w:val="32"/>
          <w:szCs w:val="32"/>
          <w:highlight w:val="none"/>
        </w:rPr>
      </w:pPr>
      <w:r>
        <w:rPr>
          <w:rFonts w:hint="eastAsia" w:ascii="Times New Roman" w:hAnsi="Times New Roman" w:eastAsia="黑体" w:cs="Times New Roman"/>
          <w:sz w:val="28"/>
          <w:szCs w:val="28"/>
          <w:highlight w:val="none"/>
        </w:rPr>
        <w:t xml:space="preserve">资金安全合同</w:t>
      </w:r>
      <w:r>
        <w:rPr>
          <w:rFonts w:ascii="Times New Roman" w:hAnsi="Times New Roman" w:eastAsia="黑体" w:cs="Times New Roman"/>
          <w:b/>
          <w:sz w:val="32"/>
          <w:szCs w:val="32"/>
          <w:highlight w:val="none"/>
        </w:rPr>
      </w:r>
      <w:r/>
    </w:p>
    <w:p>
      <w:pPr>
        <w:pStyle w:val="1159"/>
        <w:jc w:val="center"/>
        <w:spacing w:line="400" w:lineRule="exact"/>
        <w:rPr>
          <w:rFonts w:ascii="Times New Roman" w:hAnsi="Times New Roman" w:eastAsia="宋体" w:cs="Times New Roman"/>
          <w:b/>
          <w:bCs/>
          <w:sz w:val="24"/>
          <w:szCs w:val="20"/>
          <w:highlight w:val="none"/>
        </w:rPr>
      </w:pPr>
      <w:r>
        <w:rPr>
          <w:rFonts w:ascii="Times New Roman" w:hAnsi="Times New Roman" w:eastAsia="宋体" w:cs="Times New Roman"/>
          <w:b/>
          <w:bCs/>
          <w:sz w:val="24"/>
          <w:szCs w:val="20"/>
          <w:highlight w:val="none"/>
        </w:rPr>
      </w:r>
      <w:r/>
    </w:p>
    <w:p>
      <w:pPr>
        <w:pStyle w:val="1159"/>
        <w:ind w:firstLine="420"/>
        <w:spacing w:line="440" w:lineRule="exact"/>
        <w:rPr>
          <w:rFonts w:ascii="Times New Roman" w:hAnsi="Times New Roman" w:eastAsia="宋体" w:cs="Times New Roman"/>
          <w:szCs w:val="21"/>
          <w:highlight w:val="none"/>
        </w:rPr>
      </w:pPr>
      <w:r/>
      <w:bookmarkStart w:id="1204" w:name="_Toc180145797"/>
      <w:r/>
      <w:bookmarkStart w:id="1205" w:name="_Toc188961551"/>
      <w:r/>
      <w:bookmarkStart w:id="1206" w:name="_Toc179712147"/>
      <w:r>
        <w:rPr>
          <w:rFonts w:hint="eastAsia" w:ascii="Times New Roman" w:hAnsi="Times New Roman" w:eastAsia="宋体" w:cs="Times New Roman"/>
          <w:szCs w:val="21"/>
          <w:highlight w:val="none"/>
        </w:rPr>
        <w:t xml:space="preserve">发包人：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承包人：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为贯彻落实财政部《水利基本建设资金管理办法》、国家四部委《关于加强公益性水利工程建设管理的若干意见》有关规定，确保江苏重点水利工程建设“四个安全”目标的实现，实现（以下简称“发包人”），与（以下简称“承包人”）协商一致，自愿签订以下资金安全合同。</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第一条发包人的权利和义务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（一）严格执行财政部《水利基本建设资金管理办法》中规定的水利基本建设资金管理原则（即分级管理、分级负责、专款专用、效益原则）等规定。</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（二）严格执行合同各项规定，自觉按合同办事，按照合同条款规定的时间和方式，及时支付预付款、工程进度款和保留金等。</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（三）对承包人申报的经济合同结算审核坚持公开、公正、公平、诚信的原则，严禁损害国家和集体利益，违反工程建设管理规章制度。</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（四）发包人不为承包人指定分包或指定原材料供应商。</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（六）发现承包人在业务活动中有违反资金安全的行为，及时提醒和督促承包人纠正，必要时停止资金支付，并向双方的主管单位或行业管理部门及监督部门通报。</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第二条承包人的权利和义务</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（一）承包人从发包人取得的资金必须用于承接的，承包人必须在工程所在地由发包人指定的银行开户，专户存储，专款专用，单独建账。</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（二）承包人从发包人取得的银行汇票、本票、支票不得转让给其他单位。施工进度款和工程预付款未经发包人同意不得转入后方公司。</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（三）承包人保证不外借、挪用、转移专项资金；不得通过权益转让、抵押、质押、担保等任何其他方式使用专项资金，确保资金安全。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（四）承包人专项资金支出的各项费用必须真实、合理并依据充分。费用支出要严格按内部相互牵制的审批流程操作，报销凭证要合法合理。严禁使用虚假凭证、发票，严禁报假账。</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（五）专项资金支出结算原则上用银行转账，不得以大额现金支付。</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（七）承包人不得违法转包和违规分包工程项目（招标文件中指定分包除外），否则发包人有权停止支付工程款。</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（八）承包人资金收支使用情况接受发包人及发包人主管部门和监督部门的监督，承包人要主动积极配合，如实提供相关账册和凭证。</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第三条违约责任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（三）甲、乙双方都应履行保密责任，不得将业务支出具体情况透露给本合同双方以外的其他单位或个人，否则受害方将依法追究相关责任。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第四条本合同有效期为工程合同签字之日起至该合同段工程项目竣工验收后止。</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第五条督查单位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双方约定：双方自愿接受对合同执行情况的监督检查，承、发包双方应积极配合督查单位的检查，包括提供有关资料和财务账册，接受提出本合同规定范围内的裁定意见。</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第六条本合同一式伍份，承、发包双方各执贰份。</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发包人：（盖章）                            承包人：（盖章）</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法定代表人：（签名）                        法定代表人：（签名）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或授权代理人：（签名）                      或授权代理人：（签名）</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单位地址：                                  单位地址：</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联系电话：                                  联系电话：</w:t>
      </w:r>
      <w:r>
        <w:rPr>
          <w:rFonts w:ascii="Times New Roman" w:hAnsi="Times New Roman" w:eastAsia="宋体" w:cs="Times New Roman"/>
          <w:szCs w:val="21"/>
          <w:highlight w:val="none"/>
        </w:rPr>
      </w:r>
      <w:r/>
    </w:p>
    <w:p>
      <w:pPr>
        <w:pStyle w:val="1159"/>
        <w:ind w:firstLine="420"/>
        <w:spacing w:line="360" w:lineRule="auto"/>
        <w:rPr>
          <w:rFonts w:ascii="Times New Roman" w:hAnsi="Times New Roman" w:eastAsia="宋体" w:cs="Times New Roman"/>
          <w:szCs w:val="21"/>
          <w:highlight w:val="none"/>
        </w:rPr>
      </w:pPr>
      <w:r/>
      <w:bookmarkEnd w:id="1204"/>
      <w:r/>
      <w:bookmarkEnd w:id="1205"/>
      <w:r/>
      <w:bookmarkEnd w:id="1206"/>
      <w:r>
        <w:rPr>
          <w:rFonts w:ascii="Times New Roman" w:hAnsi="Times New Roman" w:eastAsia="宋体" w:cs="Times New Roman"/>
          <w:szCs w:val="21"/>
          <w:highlight w:val="none"/>
        </w:rPr>
      </w:r>
      <w:r/>
    </w:p>
    <w:p>
      <w:pPr>
        <w:pStyle w:val="1159"/>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spacing w:line="360" w:lineRule="auto"/>
        <w:rPr>
          <w:rFonts w:hint="eastAsia" w:ascii="Times New Roman" w:hAnsi="Times New Roman" w:eastAsia="宋体" w:cs="Times New Roman"/>
          <w:szCs w:val="21"/>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hint="eastAsia" w:ascii="Times New Roman" w:hAnsi="Times New Roman" w:eastAsia="宋体" w:cs="Times New Roman"/>
          <w:szCs w:val="21"/>
          <w:highlight w:val="none"/>
        </w:rPr>
      </w:r>
      <w:r/>
    </w:p>
    <w:p>
      <w:pPr>
        <w:pStyle w:val="1159"/>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附件六：</w:t>
      </w:r>
      <w:r>
        <w:rPr>
          <w:rFonts w:ascii="Times New Roman" w:hAnsi="Times New Roman" w:eastAsia="宋体" w:cs="Times New Roman"/>
          <w:szCs w:val="21"/>
          <w:highlight w:val="none"/>
        </w:rPr>
      </w:r>
      <w:r/>
    </w:p>
    <w:p>
      <w:pPr>
        <w:pStyle w:val="1159"/>
        <w:jc w:val="center"/>
        <w:spacing w:line="360" w:lineRule="auto"/>
        <w:rPr>
          <w:rFonts w:ascii="Times New Roman" w:hAnsi="Times New Roman" w:eastAsia="宋体" w:cs="Times New Roman"/>
          <w:b/>
          <w:sz w:val="32"/>
          <w:szCs w:val="32"/>
          <w:highlight w:val="none"/>
        </w:rPr>
      </w:pPr>
      <w:r>
        <w:rPr>
          <w:rFonts w:hint="eastAsia" w:ascii="Times New Roman" w:hAnsi="Times New Roman" w:eastAsia="宋体" w:cs="Times New Roman"/>
          <w:b/>
          <w:sz w:val="32"/>
          <w:szCs w:val="32"/>
          <w:highlight w:val="none"/>
        </w:rPr>
        <w:t xml:space="preserve">安全生产合同</w:t>
      </w:r>
      <w:r>
        <w:rPr>
          <w:rFonts w:ascii="Times New Roman" w:hAnsi="Times New Roman" w:eastAsia="宋体" w:cs="Times New Roman"/>
          <w:b/>
          <w:sz w:val="32"/>
          <w:szCs w:val="32"/>
          <w:highlight w:val="none"/>
        </w:rPr>
      </w:r>
      <w:r/>
    </w:p>
    <w:p>
      <w:pPr>
        <w:pStyle w:val="1159"/>
        <w:ind w:firstLine="420"/>
        <w:jc w:val="center"/>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（发包人与承包人）</w:t>
      </w:r>
      <w:r>
        <w:rPr>
          <w:rFonts w:ascii="Times New Roman" w:hAnsi="Times New Roman" w:eastAsia="宋体" w:cs="Times New Roman"/>
          <w:szCs w:val="21"/>
          <w:highlight w:val="none"/>
        </w:rPr>
      </w:r>
      <w:r/>
    </w:p>
    <w:p>
      <w:pPr>
        <w:pStyle w:val="1159"/>
        <w:ind w:firstLine="422"/>
        <w:spacing w:line="440" w:lineRule="exact"/>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发包人：</w:t>
      </w:r>
      <w:r>
        <w:rPr>
          <w:rFonts w:ascii="Times New Roman" w:hAnsi="Times New Roman" w:eastAsia="宋体" w:cs="Times New Roman"/>
          <w:b/>
          <w:bCs/>
          <w:szCs w:val="21"/>
          <w:highlight w:val="none"/>
        </w:rPr>
      </w:r>
      <w:r/>
    </w:p>
    <w:p>
      <w:pPr>
        <w:pStyle w:val="1159"/>
        <w:ind w:firstLine="422"/>
        <w:spacing w:line="440" w:lineRule="exact"/>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承包人：</w:t>
      </w:r>
      <w:r>
        <w:rPr>
          <w:rFonts w:ascii="Times New Roman" w:hAnsi="Times New Roman" w:eastAsia="宋体" w:cs="Times New Roman"/>
          <w:b/>
          <w:bCs/>
          <w:szCs w:val="21"/>
          <w:highlight w:val="none"/>
        </w:rPr>
      </w:r>
      <w:r/>
    </w:p>
    <w:p>
      <w:pPr>
        <w:pStyle w:val="1159"/>
        <w:ind w:firstLine="420"/>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为在 施工合同的实施过程中创造安全、高效的施工环境，切实搞好本项目的安全管理工作，特签订此安全生产合同。具体如下：</w:t>
      </w:r>
      <w:r>
        <w:rPr>
          <w:rFonts w:ascii="Times New Roman" w:hAnsi="Times New Roman" w:eastAsia="宋体" w:cs="Times New Roman"/>
          <w:szCs w:val="21"/>
          <w:highlight w:val="none"/>
        </w:rPr>
      </w:r>
      <w:r/>
    </w:p>
    <w:p>
      <w:pPr>
        <w:pStyle w:val="1159"/>
        <w:ind w:firstLine="422"/>
        <w:spacing w:line="440" w:lineRule="exact"/>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一、发包人职责</w:t>
      </w:r>
      <w:r>
        <w:rPr>
          <w:rFonts w:ascii="Times New Roman" w:hAnsi="Times New Roman" w:eastAsia="宋体" w:cs="Times New Roman"/>
          <w:b/>
          <w:bCs/>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1．严格遵守国家有关安全生产的法律法规，认真执行工程承包合同中的有关安全要求。</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2．按照“安全第一、预防为主”和坚持“管生产必须管安全”的原则进行安全生产管理，做到生产与安全工作同时计划、布置、检查、总结和评比。</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3．定期召开安全生产协调会，及时传达中央及地方有关安全生产的精神。</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4．组织对承包人施工现场安全生产检查，建立安全生产责任制网络、汇总重要危险源、监督承包人及时处理发现的各种安全隐患。</w:t>
      </w:r>
      <w:r>
        <w:rPr>
          <w:rFonts w:ascii="Times New Roman" w:hAnsi="Times New Roman" w:eastAsia="宋体" w:cs="Times New Roman"/>
          <w:szCs w:val="21"/>
          <w:highlight w:val="none"/>
        </w:rPr>
      </w:r>
      <w:r/>
    </w:p>
    <w:p>
      <w:pPr>
        <w:pStyle w:val="1159"/>
        <w:ind w:firstLine="422"/>
        <w:spacing w:line="440" w:lineRule="exact"/>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二、承包人职责</w:t>
      </w:r>
      <w:r>
        <w:rPr>
          <w:rFonts w:ascii="Times New Roman" w:hAnsi="Times New Roman" w:eastAsia="宋体" w:cs="Times New Roman"/>
          <w:b/>
          <w:bCs/>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1．严格遵守国家有关安全生产的法律法规、有关安全生产的规定，认真执行工程承包合同中的有关安全要求，接受发包人和监理工程师对安全生产工作的指导。</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3．建立健全安全生产责任制网络。从派往项目实施的建造师到生产工人</w:t>
      </w:r>
      <w:r>
        <w:rPr>
          <w:rFonts w:hint="eastAsia" w:ascii="Times New Roman" w:hAnsi="Times New Roman" w:eastAsia="宋体" w:cs="Times New Roman"/>
          <w:szCs w:val="21"/>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建造师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4．承包人在任何时侯都应采取各种合理的预防措施，防止其人员发生任何违法、违禁、暴力、违规或妨碍治安的行为。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建造师必须承担管理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6．加强施工中交通运输安全管理，各种运输机械等需划定运输路线行驶。</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7．对于易燃易爆的材料除应专门有效封闭、妥善保管之外，还应配备有足够的消防设施，所有施工人员都应熟悉消防设备的性能和使用方法。</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8．操作人员上岗，必须按规定穿戴防护用品。施工负责人和安全检查员应随时检查劳动防护用品的穿戴情况，不按规定穿戴防护用品的人员不得上岗。</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10．施工现场必须具有相关的安全标志牌。</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11．建立主要危险源备案制度，要明确潜在隐患、防范措施和落实责任人。</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Times New Roman" w:hAnsi="Times New Roman" w:eastAsia="宋体" w:cs="Times New Roman"/>
          <w:szCs w:val="21"/>
          <w:highlight w:val="none"/>
        </w:rPr>
      </w:r>
      <w:r/>
    </w:p>
    <w:p>
      <w:pPr>
        <w:pStyle w:val="1159"/>
        <w:ind w:firstLine="422"/>
        <w:spacing w:line="440" w:lineRule="exact"/>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 xml:space="preserve">三、违约责任</w:t>
      </w:r>
      <w:r>
        <w:rPr>
          <w:rFonts w:ascii="Times New Roman" w:hAnsi="Times New Roman" w:eastAsia="宋体" w:cs="Times New Roman"/>
          <w:b/>
          <w:bCs/>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如因发包人或承包人违约造成安全事故，将报请有关部门依法追究责任。</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本合同一式二份，由双方法定代表人或其授权的代理人签署和加盖公章后生效，全部工程竣工验收后失效。</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发包方：（盖章）                              承包方：（盖章）</w:t>
      </w:r>
      <w:r>
        <w:rPr>
          <w:rFonts w:ascii="Times New Roman" w:hAnsi="Times New Roman" w:eastAsia="宋体" w:cs="Times New Roman"/>
          <w:szCs w:val="21"/>
          <w:highlight w:val="none"/>
        </w:rPr>
      </w:r>
      <w:r/>
    </w:p>
    <w:p>
      <w:pPr>
        <w:pStyle w:val="1159"/>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法定代表人（或授权代理人）：（签字）           法定代表人（或授权代理人）：（签字）             </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地址：                                        地址：</w:t>
      </w:r>
      <w:r>
        <w:rPr>
          <w:rFonts w:ascii="Times New Roman" w:hAnsi="Times New Roman" w:eastAsia="宋体" w:cs="Times New Roman"/>
          <w:szCs w:val="21"/>
          <w:highlight w:val="none"/>
        </w:rPr>
      </w:r>
      <w:r/>
    </w:p>
    <w:p>
      <w:pPr>
        <w:pStyle w:val="1159"/>
        <w:ind w:firstLine="420"/>
        <w:spacing w:line="44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电话：                                        电话：</w:t>
      </w:r>
      <w:r>
        <w:rPr>
          <w:rFonts w:ascii="Times New Roman" w:hAnsi="Times New Roman" w:eastAsia="宋体" w:cs="Times New Roman"/>
          <w:szCs w:val="21"/>
          <w:highlight w:val="none"/>
        </w:rPr>
      </w:r>
      <w:r/>
    </w:p>
    <w:p>
      <w:pPr>
        <w:pStyle w:val="1159"/>
        <w:spacing w:line="440" w:lineRule="exact"/>
        <w:rPr>
          <w:rFonts w:hint="eastAsia" w:ascii="Times New Roman" w:hAnsi="Times New Roman" w:eastAsia="宋体" w:cs="宋体"/>
          <w:b/>
          <w:bCs/>
          <w:color w:val="000000"/>
          <w:spacing w:val="-4"/>
          <w:sz w:val="24"/>
          <w:highlight w:val="none"/>
          <w:lang w:val="en-US" w:eastAsia="zh-CN"/>
        </w:rPr>
      </w:pPr>
      <w:r>
        <w:rPr>
          <w:rFonts w:hint="eastAsia" w:ascii="Times New Roman" w:hAnsi="Times New Roman" w:eastAsia="宋体" w:cs="宋体"/>
          <w:b/>
          <w:bCs/>
          <w:color w:val="000000"/>
          <w:spacing w:val="-4"/>
          <w:sz w:val="24"/>
          <w:highlight w:val="none"/>
          <w:lang w:val="en-US" w:eastAsia="zh-CN"/>
        </w:rPr>
      </w:r>
      <w:r/>
    </w:p>
    <w:p>
      <w:pPr>
        <w:pStyle w:val="1159"/>
        <w:spacing w:line="440" w:lineRule="exact"/>
        <w:rPr>
          <w:rFonts w:hint="eastAsia" w:ascii="宋体" w:hAnsi="宋体" w:eastAsia="宋体" w:cs="宋体"/>
          <w:b/>
          <w:bCs/>
          <w:color w:val="000000"/>
          <w:spacing w:val="-4"/>
          <w:sz w:val="24"/>
          <w:highlight w:val="none"/>
        </w:rPr>
      </w:pPr>
      <w:r>
        <w:rPr>
          <w:rFonts w:hint="eastAsia" w:ascii="宋体" w:hAnsi="宋体" w:eastAsia="宋体" w:cs="宋体"/>
          <w:b/>
          <w:bCs/>
          <w:color w:val="000000"/>
          <w:spacing w:val="-4"/>
          <w:sz w:val="24"/>
          <w:highlight w:val="none"/>
        </w:rPr>
      </w:r>
      <w:r/>
    </w:p>
    <w:p>
      <w:pPr>
        <w:pStyle w:val="1159"/>
        <w:spacing w:line="440" w:lineRule="exact"/>
        <w:rPr>
          <w:rFonts w:hint="eastAsia" w:ascii="宋体" w:hAnsi="宋体" w:eastAsia="宋体" w:cs="宋体"/>
          <w:b/>
          <w:bCs/>
          <w:color w:val="000000"/>
          <w:spacing w:val="-4"/>
          <w:sz w:val="24"/>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hint="eastAsia" w:ascii="宋体" w:hAnsi="宋体" w:eastAsia="宋体" w:cs="宋体"/>
          <w:b/>
          <w:bCs/>
          <w:color w:val="000000"/>
          <w:spacing w:val="-4"/>
          <w:sz w:val="24"/>
          <w:highlight w:val="none"/>
        </w:rPr>
      </w:r>
      <w:r/>
    </w:p>
    <w:p>
      <w:pPr>
        <w:pStyle w:val="1159"/>
        <w:ind w:right="0"/>
        <w:jc w:val="left"/>
        <w:spacing w:line="440" w:lineRule="exact"/>
        <w:rPr>
          <w:rFonts w:hint="eastAsia" w:ascii="Times New Roman" w:hAnsi="Times New Roman" w:eastAsia="宋体" w:cs="宋体"/>
          <w:b/>
          <w:bCs/>
          <w:color w:val="000000"/>
          <w:spacing w:val="-4"/>
          <w:sz w:val="24"/>
          <w:highlight w:val="none"/>
          <w:lang w:val="en-US" w:eastAsia="zh-CN"/>
        </w:rPr>
      </w:pPr>
      <w:r>
        <w:rPr>
          <w:rFonts w:hint="eastAsia" w:ascii="Times New Roman" w:hAnsi="Times New Roman" w:eastAsia="宋体" w:cs="宋体"/>
          <w:b/>
          <w:bCs/>
          <w:color w:val="000000"/>
          <w:spacing w:val="-4"/>
          <w:sz w:val="24"/>
          <w:highlight w:val="none"/>
          <w:lang w:val="en-US" w:eastAsia="zh-CN"/>
        </w:rPr>
        <w:t xml:space="preserve">附件七-1：</w:t>
      </w:r>
      <w:r>
        <w:rPr>
          <w:rFonts w:hint="eastAsia" w:ascii="Times New Roman" w:hAnsi="Times New Roman" w:eastAsia="宋体" w:cs="宋体"/>
          <w:b/>
          <w:bCs/>
          <w:color w:val="000000"/>
          <w:spacing w:val="-4"/>
          <w:sz w:val="24"/>
          <w:highlight w:val="none"/>
          <w:lang w:val="en-US" w:eastAsia="zh-CN"/>
        </w:rPr>
      </w:r>
      <w:r/>
    </w:p>
    <w:p>
      <w:pPr>
        <w:pStyle w:val="1159"/>
        <w:jc w:val="center"/>
        <w:spacing w:before="156" w:line="560" w:lineRule="exact"/>
        <w:widowControl/>
        <w:rPr>
          <w:rFonts w:ascii="Times New Roman" w:hAnsi="Times New Roman" w:eastAsia="方正小标宋简体" w:cs="Arial"/>
          <w:color w:val="000000"/>
          <w:sz w:val="36"/>
          <w:szCs w:val="36"/>
          <w:highlight w:val="none"/>
        </w:rPr>
      </w:pPr>
      <w:r>
        <w:rPr>
          <w:rFonts w:hint="eastAsia" w:ascii="Times New Roman" w:hAnsi="Times New Roman" w:eastAsia="方正小标宋简体" w:cs="Arial"/>
          <w:color w:val="000000"/>
          <w:spacing w:val="9"/>
          <w:sz w:val="36"/>
          <w:szCs w:val="36"/>
          <w:highlight w:val="none"/>
        </w:rPr>
        <w:t xml:space="preserve">政府采购履约验收通知单（参考样本）</w:t>
      </w:r>
      <w:r>
        <w:rPr>
          <w:rFonts w:ascii="Times New Roman" w:hAnsi="Times New Roman" w:eastAsia="方正小标宋简体" w:cs="Arial"/>
          <w:color w:val="000000"/>
          <w:sz w:val="36"/>
          <w:szCs w:val="36"/>
          <w:highlight w:val="none"/>
        </w:rPr>
      </w:r>
      <w:r/>
    </w:p>
    <w:p>
      <w:pPr>
        <w:pStyle w:val="1159"/>
        <w:ind w:left="118"/>
        <w:jc w:val="left"/>
        <w:spacing w:before="67" w:line="560" w:lineRule="exact"/>
        <w:widowControl/>
        <w:rPr>
          <w:rFonts w:hint="eastAsia" w:ascii="Times New Roman" w:hAnsi="Times New Roman" w:eastAsia="仿宋_GB2312" w:cs="Arial"/>
          <w:color w:val="000000"/>
          <w:sz w:val="24"/>
          <w:szCs w:val="31"/>
          <w:highlight w:val="none"/>
        </w:rPr>
      </w:pPr>
      <w:r>
        <w:rPr>
          <w:rFonts w:hint="eastAsia" w:ascii="Times New Roman" w:hAnsi="Times New Roman" w:eastAsia="仿宋_GB2312" w:cs="Arial"/>
          <w:color w:val="000000"/>
          <w:spacing w:val="5"/>
          <w:sz w:val="24"/>
          <w:szCs w:val="31"/>
          <w:highlight w:val="none"/>
        </w:rPr>
        <w:t xml:space="preserve">供应商：</w:t>
      </w:r>
      <w:r>
        <w:rPr>
          <w:rFonts w:hint="eastAsia" w:ascii="Times New Roman" w:hAnsi="Times New Roman" w:eastAsia="仿宋_GB2312" w:cs="Arial"/>
          <w:color w:val="000000"/>
          <w:sz w:val="24"/>
          <w:szCs w:val="31"/>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68"/>
        <w:gridCol w:w="2655"/>
        <w:gridCol w:w="1464"/>
        <w:gridCol w:w="2824"/>
      </w:tblGrid>
      <w:tr>
        <w:trPr>
          <w:trHeight w:val="542"/>
        </w:trPr>
        <w:tc>
          <w:tcPr>
            <w:tcW w:w="873"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pacing w:val="-2"/>
                <w:sz w:val="24"/>
                <w:highlight w:val="none"/>
              </w:rPr>
              <w:t xml:space="preserve">采购人</w:t>
            </w:r>
            <w:r>
              <w:rPr>
                <w:rFonts w:hint="eastAsia" w:ascii="Times New Roman" w:hAnsi="Times New Roman" w:eastAsia="黑体" w:cs="Arial"/>
                <w:color w:val="000000"/>
                <w:sz w:val="24"/>
                <w:highlight w:val="none"/>
              </w:rPr>
            </w:r>
            <w:r/>
          </w:p>
        </w:tc>
        <w:tc>
          <w:tcPr>
            <w:gridSpan w:val="3"/>
            <w:tcW w:w="6943"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项目名称</w:t>
            </w:r>
            <w:r>
              <w:rPr>
                <w:rFonts w:ascii="Times New Roman" w:hAnsi="Times New Roman" w:eastAsia="黑体" w:cs="Arial"/>
                <w:color w:val="000000"/>
                <w:sz w:val="24"/>
                <w:highlight w:val="none"/>
              </w:rPr>
            </w:r>
            <w:r/>
          </w:p>
        </w:tc>
        <w:tc>
          <w:tcPr>
            <w:gridSpan w:val="3"/>
            <w:tcW w:w="6943"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合同名称</w:t>
            </w:r>
            <w:r>
              <w:rPr>
                <w:rFonts w:ascii="Times New Roman" w:hAnsi="Times New Roman" w:eastAsia="黑体" w:cs="Arial"/>
                <w:color w:val="000000"/>
                <w:sz w:val="24"/>
                <w:highlight w:val="none"/>
              </w:rPr>
            </w:r>
            <w:r/>
          </w:p>
        </w:tc>
        <w:tc>
          <w:tcPr>
            <w:gridSpan w:val="3"/>
            <w:tcW w:w="6943"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合同编号</w:t>
            </w:r>
            <w:r>
              <w:rPr>
                <w:rFonts w:ascii="Times New Roman" w:hAnsi="Times New Roman" w:eastAsia="黑体" w:cs="Arial"/>
                <w:color w:val="000000"/>
                <w:sz w:val="24"/>
                <w:highlight w:val="none"/>
              </w:rPr>
            </w:r>
            <w:r/>
          </w:p>
        </w:tc>
        <w:tc>
          <w:tcPr>
            <w:tcW w:w="1578"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c>
          <w:tcPr>
            <w:tcW w:w="870"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合同金额</w:t>
            </w:r>
            <w:r>
              <w:rPr>
                <w:rFonts w:ascii="Times New Roman" w:hAnsi="Times New Roman" w:eastAsia="黑体" w:cs="Arial"/>
                <w:color w:val="000000"/>
                <w:sz w:val="24"/>
                <w:highlight w:val="none"/>
              </w:rPr>
            </w:r>
            <w:r/>
          </w:p>
        </w:tc>
        <w:tc>
          <w:tcPr>
            <w:tcW w:w="1677"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2"/>
                <w:sz w:val="24"/>
                <w:highlight w:val="none"/>
              </w:rPr>
              <w:t xml:space="preserve">验收时间</w:t>
            </w:r>
            <w:r>
              <w:rPr>
                <w:rFonts w:ascii="Times New Roman" w:hAnsi="Times New Roman" w:eastAsia="黑体" w:cs="Arial"/>
                <w:color w:val="000000"/>
                <w:sz w:val="24"/>
                <w:highlight w:val="none"/>
              </w:rPr>
            </w:r>
            <w:r/>
          </w:p>
        </w:tc>
        <w:tc>
          <w:tcPr>
            <w:tcW w:w="1578"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c>
          <w:tcPr>
            <w:tcW w:w="870"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2"/>
                <w:sz w:val="24"/>
                <w:highlight w:val="none"/>
              </w:rPr>
              <w:t xml:space="preserve">验收地点</w:t>
            </w:r>
            <w:r>
              <w:rPr>
                <w:rFonts w:ascii="Times New Roman" w:hAnsi="Times New Roman" w:eastAsia="黑体" w:cs="Arial"/>
                <w:color w:val="000000"/>
                <w:sz w:val="24"/>
                <w:highlight w:val="none"/>
              </w:rPr>
            </w:r>
            <w:r/>
          </w:p>
        </w:tc>
        <w:tc>
          <w:tcPr>
            <w:tcW w:w="1677"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4"/>
                <w:sz w:val="24"/>
                <w:highlight w:val="none"/>
              </w:rPr>
              <w:t xml:space="preserve">联系人</w:t>
            </w:r>
            <w:r>
              <w:rPr>
                <w:rFonts w:ascii="Times New Roman" w:hAnsi="Times New Roman" w:eastAsia="黑体" w:cs="Arial"/>
                <w:color w:val="000000"/>
                <w:sz w:val="24"/>
                <w:highlight w:val="none"/>
              </w:rPr>
            </w:r>
            <w:r/>
          </w:p>
        </w:tc>
        <w:tc>
          <w:tcPr>
            <w:tcW w:w="1578"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c>
          <w:tcPr>
            <w:tcW w:w="870"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联系电话</w:t>
            </w:r>
            <w:r>
              <w:rPr>
                <w:rFonts w:ascii="Times New Roman" w:hAnsi="Times New Roman" w:eastAsia="黑体" w:cs="Arial"/>
                <w:color w:val="000000"/>
                <w:sz w:val="24"/>
                <w:highlight w:val="none"/>
              </w:rPr>
            </w:r>
            <w:r/>
          </w:p>
        </w:tc>
        <w:tc>
          <w:tcPr>
            <w:tcW w:w="1677" w:type="dxa"/>
            <w:vAlign w:val="center"/>
            <w:textDirection w:val="lrTb"/>
            <w:noWrap w:val="false"/>
          </w:tcPr>
          <w:p>
            <w:pPr>
              <w:pStyle w:val="1159"/>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3"/>
        </w:trPr>
        <w:tc>
          <w:tcPr>
            <w:gridSpan w:val="4"/>
            <w:tcW w:w="8411" w:type="dxa"/>
            <w:vAlign w:val="center"/>
            <w:textDirection w:val="lrTb"/>
            <w:noWrap w:val="false"/>
          </w:tcPr>
          <w:p>
            <w:pPr>
              <w:pStyle w:val="1159"/>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1"/>
                <w:sz w:val="24"/>
                <w:highlight w:val="none"/>
              </w:rPr>
              <w:t xml:space="preserve">履约验收方案及工作要求</w:t>
            </w:r>
            <w:r>
              <w:rPr>
                <w:rFonts w:ascii="Times New Roman" w:hAnsi="Times New Roman" w:eastAsia="黑体" w:cs="Arial"/>
                <w:color w:val="000000"/>
                <w:sz w:val="24"/>
                <w:highlight w:val="none"/>
              </w:rPr>
            </w:r>
            <w:r/>
          </w:p>
        </w:tc>
      </w:tr>
      <w:tr>
        <w:trPr>
          <w:trHeight w:val="7570"/>
        </w:trPr>
        <w:tc>
          <w:tcPr>
            <w:gridSpan w:val="4"/>
            <w:tcW w:w="8411" w:type="dxa"/>
            <w:vAlign w:val="top"/>
            <w:textDirection w:val="lrTb"/>
            <w:noWrap w:val="false"/>
          </w:tcPr>
          <w:p>
            <w:pPr>
              <w:pStyle w:val="1159"/>
              <w:jc w:val="left"/>
              <w:spacing w:line="560" w:lineRule="exact"/>
              <w:widowControl/>
              <w:rPr>
                <w:rFonts w:ascii="Times New Roman" w:hAnsi="Times New Roman" w:eastAsia="Times New Roman" w:cs="Arial"/>
                <w:color w:val="000000"/>
                <w:sz w:val="24"/>
                <w:highlight w:val="none"/>
              </w:rPr>
            </w:pPr>
            <w:r>
              <w:rPr>
                <w:rFonts w:ascii="Times New Roman" w:hAnsi="Times New Roman" w:eastAsia="Times New Roman" w:cs="Arial"/>
                <w:color w:val="000000"/>
                <w:sz w:val="24"/>
                <w:highlight w:val="none"/>
              </w:rPr>
            </w:r>
            <w:r/>
          </w:p>
          <w:p>
            <w:pPr>
              <w:pStyle w:val="1159"/>
              <w:jc w:val="left"/>
              <w:spacing w:line="560" w:lineRule="exact"/>
              <w:widowControl/>
              <w:rPr>
                <w:rFonts w:ascii="Times New Roman" w:hAnsi="Times New Roman" w:eastAsia="Times New Roman" w:cs="Arial"/>
                <w:color w:val="000000"/>
                <w:sz w:val="24"/>
                <w:highlight w:val="none"/>
              </w:rPr>
            </w:pPr>
            <w:r>
              <w:rPr>
                <w:rFonts w:ascii="Times New Roman" w:hAnsi="Times New Roman" w:eastAsia="Times New Roman" w:cs="Arial"/>
                <w:color w:val="000000"/>
                <w:sz w:val="24"/>
                <w:highlight w:val="none"/>
              </w:rPr>
            </w:r>
            <w:r/>
          </w:p>
          <w:p>
            <w:pPr>
              <w:pStyle w:val="1159"/>
              <w:jc w:val="left"/>
              <w:spacing w:line="560" w:lineRule="exact"/>
              <w:widowControl/>
              <w:rPr>
                <w:rFonts w:ascii="Times New Roman" w:hAnsi="Times New Roman" w:eastAsia="等线" w:cs="Arial"/>
                <w:color w:val="000000"/>
                <w:sz w:val="24"/>
                <w:highlight w:val="none"/>
              </w:rPr>
            </w:pPr>
            <w:r>
              <w:rPr>
                <w:rFonts w:ascii="Times New Roman" w:hAnsi="Times New Roman" w:eastAsia="等线" w:cs="Arial"/>
                <w:color w:val="000000"/>
                <w:sz w:val="24"/>
                <w:highlight w:val="none"/>
              </w:rPr>
            </w:r>
            <w:r/>
          </w:p>
          <w:p>
            <w:pPr>
              <w:pStyle w:val="1159"/>
              <w:jc w:val="left"/>
              <w:spacing w:line="560" w:lineRule="exact"/>
              <w:widowControl/>
              <w:rPr>
                <w:rFonts w:hint="eastAsia" w:ascii="Times New Roman" w:hAnsi="Times New Roman" w:eastAsia="等线" w:cs="Arial"/>
                <w:color w:val="000000"/>
                <w:sz w:val="24"/>
                <w:highlight w:val="none"/>
              </w:rPr>
            </w:pPr>
            <w:r>
              <w:rPr>
                <w:rFonts w:hint="eastAsia" w:ascii="Times New Roman" w:hAnsi="Times New Roman" w:eastAsia="等线" w:cs="Arial"/>
                <w:color w:val="000000"/>
                <w:sz w:val="24"/>
                <w:highlight w:val="none"/>
              </w:rPr>
            </w:r>
            <w:r/>
          </w:p>
          <w:p>
            <w:pPr>
              <w:pStyle w:val="1159"/>
              <w:jc w:val="left"/>
              <w:spacing w:line="560" w:lineRule="exact"/>
              <w:widowControl/>
              <w:rPr>
                <w:rFonts w:ascii="Times New Roman" w:hAnsi="Times New Roman" w:eastAsia="Times New Roman" w:cs="Arial"/>
                <w:color w:val="000000"/>
                <w:sz w:val="24"/>
                <w:highlight w:val="none"/>
              </w:rPr>
            </w:pPr>
            <w:r>
              <w:rPr>
                <w:rFonts w:ascii="Times New Roman" w:hAnsi="Times New Roman" w:eastAsia="Times New Roman" w:cs="Arial"/>
                <w:color w:val="000000"/>
                <w:sz w:val="24"/>
                <w:highlight w:val="none"/>
              </w:rPr>
            </w:r>
            <w:r/>
          </w:p>
          <w:p>
            <w:pPr>
              <w:pStyle w:val="1159"/>
              <w:ind w:left="5545" w:right="1890" w:hanging="561"/>
              <w:jc w:val="left"/>
              <w:spacing w:before="91" w:line="560" w:lineRule="exact"/>
              <w:widowControl/>
              <w:rPr>
                <w:rFonts w:ascii="Times New Roman" w:hAnsi="Times New Roman" w:eastAsia="黑体" w:cs="Arial"/>
                <w:color w:val="000000"/>
                <w:spacing w:val="-2"/>
                <w:sz w:val="24"/>
                <w:highlight w:val="none"/>
              </w:rPr>
            </w:pPr>
            <w:r>
              <w:rPr>
                <w:rFonts w:ascii="Times New Roman" w:hAnsi="Times New Roman" w:eastAsia="黑体" w:cs="Arial"/>
                <w:color w:val="000000"/>
                <w:spacing w:val="-2"/>
                <w:sz w:val="24"/>
                <w:highlight w:val="none"/>
              </w:rPr>
            </w:r>
            <w:r/>
          </w:p>
          <w:p>
            <w:pPr>
              <w:pStyle w:val="1159"/>
              <w:ind w:left="5545" w:right="1890" w:hanging="561"/>
              <w:jc w:val="left"/>
              <w:spacing w:before="91" w:line="560" w:lineRule="exact"/>
              <w:widowControl/>
              <w:rPr>
                <w:rFonts w:ascii="Times New Roman" w:hAnsi="Times New Roman" w:eastAsia="黑体" w:cs="Arial"/>
                <w:color w:val="000000"/>
                <w:spacing w:val="-2"/>
                <w:sz w:val="24"/>
                <w:highlight w:val="none"/>
              </w:rPr>
            </w:pPr>
            <w:r>
              <w:rPr>
                <w:rFonts w:ascii="Times New Roman" w:hAnsi="Times New Roman" w:eastAsia="黑体" w:cs="Arial"/>
                <w:color w:val="000000"/>
                <w:spacing w:val="-2"/>
                <w:sz w:val="24"/>
                <w:highlight w:val="none"/>
              </w:rPr>
            </w:r>
            <w:r/>
          </w:p>
          <w:p>
            <w:pPr>
              <w:pStyle w:val="1159"/>
              <w:ind w:left="105" w:right="1890" w:firstLine="5192"/>
              <w:jc w:val="left"/>
              <w:spacing w:before="91" w:line="560" w:lineRule="exact"/>
              <w:widowControl/>
              <w:rPr>
                <w:rFonts w:ascii="Times New Roman" w:hAnsi="Times New Roman" w:eastAsia="黑体" w:cs="Arial"/>
                <w:color w:val="000000"/>
                <w:spacing w:val="-2"/>
                <w:sz w:val="24"/>
                <w:highlight w:val="none"/>
              </w:rPr>
            </w:pPr>
            <w:r>
              <w:rPr>
                <w:rFonts w:hint="eastAsia" w:ascii="Times New Roman" w:hAnsi="Times New Roman" w:eastAsia="黑体" w:cs="Arial"/>
                <w:color w:val="000000"/>
                <w:spacing w:val="-2"/>
                <w:sz w:val="24"/>
                <w:highlight w:val="none"/>
              </w:rPr>
              <w:t xml:space="preserve">单位公章</w:t>
            </w:r>
            <w:r>
              <w:rPr>
                <w:rFonts w:ascii="Times New Roman" w:hAnsi="Times New Roman" w:eastAsia="黑体" w:cs="Arial"/>
                <w:color w:val="000000"/>
                <w:spacing w:val="-2"/>
                <w:sz w:val="24"/>
                <w:highlight w:val="none"/>
              </w:rPr>
            </w:r>
            <w:r/>
          </w:p>
          <w:p>
            <w:pPr>
              <w:pStyle w:val="1159"/>
              <w:ind w:left="5545" w:right="1890" w:hanging="561"/>
              <w:jc w:val="left"/>
              <w:spacing w:before="91"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6"/>
                <w:sz w:val="24"/>
                <w:highlight w:val="none"/>
              </w:rPr>
              <w:t xml:space="preserve"> </w:t>
            </w:r>
            <w:r>
              <w:rPr>
                <w:rFonts w:hint="eastAsia" w:ascii="Times New Roman" w:hAnsi="Times New Roman" w:eastAsia="黑体" w:cs="Arial"/>
                <w:color w:val="000000"/>
                <w:spacing w:val="-10"/>
                <w:sz w:val="24"/>
                <w:highlight w:val="none"/>
              </w:rPr>
              <w:t xml:space="preserve">年</w:t>
            </w:r>
            <w:r>
              <w:rPr>
                <w:rFonts w:hint="eastAsia" w:ascii="Times New Roman" w:hAnsi="Times New Roman" w:eastAsia="黑体" w:cs="Arial"/>
                <w:color w:val="000000"/>
                <w:spacing w:val="8"/>
                <w:sz w:val="24"/>
                <w:highlight w:val="none"/>
              </w:rPr>
              <w:t xml:space="preserve">  </w:t>
            </w:r>
            <w:r>
              <w:rPr>
                <w:rFonts w:hint="eastAsia" w:ascii="Times New Roman" w:hAnsi="Times New Roman" w:eastAsia="黑体" w:cs="Arial"/>
                <w:color w:val="000000"/>
                <w:spacing w:val="-10"/>
                <w:sz w:val="24"/>
                <w:highlight w:val="none"/>
              </w:rPr>
              <w:t xml:space="preserve">月</w:t>
            </w:r>
            <w:r>
              <w:rPr>
                <w:rFonts w:hint="eastAsia" w:ascii="Times New Roman" w:hAnsi="Times New Roman" w:eastAsia="黑体" w:cs="Arial"/>
                <w:color w:val="000000"/>
                <w:spacing w:val="28"/>
                <w:sz w:val="24"/>
                <w:highlight w:val="none"/>
              </w:rPr>
              <w:t xml:space="preserve">  </w:t>
            </w:r>
            <w:r>
              <w:rPr>
                <w:rFonts w:hint="eastAsia" w:ascii="Times New Roman" w:hAnsi="Times New Roman" w:eastAsia="黑体" w:cs="Arial"/>
                <w:color w:val="000000"/>
                <w:spacing w:val="-10"/>
                <w:sz w:val="24"/>
                <w:highlight w:val="none"/>
              </w:rPr>
              <w:t xml:space="preserve">日</w:t>
            </w:r>
            <w:r>
              <w:rPr>
                <w:rFonts w:ascii="Times New Roman" w:hAnsi="Times New Roman" w:eastAsia="黑体" w:cs="Arial"/>
                <w:color w:val="000000"/>
                <w:sz w:val="24"/>
                <w:highlight w:val="none"/>
              </w:rPr>
            </w:r>
            <w:r/>
          </w:p>
        </w:tc>
      </w:tr>
    </w:tbl>
    <w:p>
      <w:pPr>
        <w:pStyle w:val="1159"/>
        <w:ind w:firstLine="480"/>
        <w:jc w:val="both"/>
        <w:keepLines w:val="0"/>
        <w:keepNext w:val="0"/>
        <w:pageBreakBefore w:val="0"/>
        <w:spacing w:line="360" w:lineRule="auto"/>
        <w:widowControl w:val="off"/>
        <w:rPr>
          <w:rFonts w:hint="eastAsia" w:ascii="Times New Roman" w:hAnsi="Times New Roman" w:cs="宋体"/>
          <w:color w:val="000000"/>
          <w:sz w:val="24"/>
          <w:szCs w:val="24"/>
          <w:highlight w:val="none"/>
        </w:rPr>
        <w:sectPr>
          <w:headerReference w:type="default" r:id="rId15"/>
          <w:footnotePr/>
          <w:endnotePr/>
          <w:type w:val="nextPage"/>
          <w:pgSz w:w="11905" w:h="16838" w:orient="portrait"/>
          <w:pgMar w:top="1417" w:right="1701" w:bottom="1417" w:left="1797" w:header="851" w:footer="850" w:gutter="0"/>
          <w:cols w:num="1" w:sep="0" w:space="1701" w:equalWidth="1"/>
          <w:docGrid w:linePitch="360"/>
        </w:sectPr>
      </w:pPr>
      <w:r>
        <w:rPr>
          <w:rFonts w:hint="eastAsia" w:ascii="Times New Roman" w:hAnsi="Times New Roman" w:cs="宋体"/>
          <w:color w:val="000000"/>
          <w:sz w:val="24"/>
          <w:szCs w:val="24"/>
          <w:highlight w:val="none"/>
        </w:rPr>
      </w:r>
      <w:r/>
    </w:p>
    <w:p>
      <w:pPr>
        <w:pStyle w:val="1159"/>
        <w:spacing w:line="440" w:lineRule="exact"/>
        <w:rPr>
          <w:rFonts w:hint="eastAsia" w:ascii="Times New Roman" w:hAnsi="Times New Roman" w:eastAsia="宋体" w:cs="宋体"/>
          <w:b/>
          <w:bCs/>
          <w:color w:val="000000"/>
          <w:spacing w:val="-4"/>
          <w:sz w:val="24"/>
          <w:highlight w:val="none"/>
          <w:lang w:eastAsia="zh-CN"/>
        </w:rPr>
      </w:pPr>
      <w:r>
        <w:rPr>
          <w:rFonts w:ascii="Times New Roman" w:hAnsi="Times New Roman" w:eastAsia="宋体" w:cs="宋体"/>
          <w:b/>
          <w:bCs/>
          <w:color w:val="000000"/>
          <w:spacing w:val="-4"/>
          <w:sz w:val="24"/>
          <w:highlight w:val="none"/>
        </w:rPr>
        <w:t xml:space="preserve">附件</w:t>
      </w:r>
      <w:r>
        <w:rPr>
          <w:rFonts w:hint="eastAsia" w:ascii="Times New Roman" w:hAnsi="Times New Roman" w:eastAsia="宋体" w:cs="宋体"/>
          <w:b/>
          <w:bCs/>
          <w:color w:val="000000"/>
          <w:spacing w:val="-4"/>
          <w:sz w:val="24"/>
          <w:highlight w:val="none"/>
          <w:lang w:val="en-US" w:eastAsia="zh-CN"/>
        </w:rPr>
        <w:t xml:space="preserve">七-2：</w:t>
      </w:r>
      <w:r>
        <w:rPr>
          <w:rFonts w:hint="eastAsia" w:ascii="Times New Roman" w:hAnsi="Times New Roman" w:eastAsia="宋体" w:cs="宋体"/>
          <w:b/>
          <w:bCs/>
          <w:color w:val="000000"/>
          <w:spacing w:val="-4"/>
          <w:sz w:val="24"/>
          <w:highlight w:val="none"/>
          <w:lang w:eastAsia="zh-CN"/>
        </w:rPr>
      </w:r>
      <w:r/>
    </w:p>
    <w:p>
      <w:pPr>
        <w:pStyle w:val="1159"/>
        <w:jc w:val="center"/>
        <w:keepLines w:val="0"/>
        <w:keepNext w:val="0"/>
        <w:pageBreakBefore w:val="0"/>
        <w:spacing w:line="240" w:lineRule="auto"/>
        <w:widowControl w:val="off"/>
        <w:rPr>
          <w:rFonts w:hint="eastAsia" w:ascii="Times New Roman" w:hAnsi="Times New Roman" w:eastAsia="方正小标宋简体" w:cs="Arial"/>
          <w:color w:val="000000"/>
          <w:spacing w:val="9"/>
          <w:sz w:val="36"/>
          <w:szCs w:val="36"/>
          <w:highlight w:val="none"/>
        </w:rPr>
      </w:pPr>
      <w:r>
        <w:rPr>
          <w:rFonts w:hint="eastAsia" w:ascii="Times New Roman" w:hAnsi="Times New Roman" w:eastAsia="方正小标宋简体" w:cs="Arial"/>
          <w:color w:val="000000"/>
          <w:spacing w:val="9"/>
          <w:sz w:val="36"/>
          <w:szCs w:val="36"/>
          <w:highlight w:val="none"/>
        </w:rPr>
        <w:t xml:space="preserve">政府采购履约验收书参考样本(工程类)</w:t>
      </w:r>
      <w:r>
        <w:rPr>
          <w:rFonts w:hint="eastAsia" w:ascii="Times New Roman" w:hAnsi="Times New Roman" w:eastAsia="方正小标宋简体" w:cs="Arial"/>
          <w:color w:val="000000"/>
          <w:spacing w:val="9"/>
          <w:sz w:val="36"/>
          <w:szCs w:val="36"/>
          <w:highlight w:val="none"/>
        </w:rPr>
      </w:r>
      <w:r/>
    </w:p>
    <w:tbl>
      <w:tblPr>
        <w:tblW w:w="1417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972"/>
        <w:gridCol w:w="1842"/>
        <w:gridCol w:w="1993"/>
        <w:gridCol w:w="2118"/>
        <w:gridCol w:w="43"/>
        <w:gridCol w:w="2163"/>
        <w:gridCol w:w="2232"/>
      </w:tblGrid>
      <w:tr>
        <w:trPr>
          <w:trHeight w:val="646"/>
        </w:trPr>
        <w:tc>
          <w:tcPr>
            <w:tcW w:w="181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采购人</w:t>
            </w:r>
            <w:r>
              <w:rPr>
                <w:rFonts w:hint="eastAsia" w:ascii="Times New Roman" w:hAnsi="Times New Roman" w:cs="宋体"/>
                <w:sz w:val="21"/>
                <w:szCs w:val="21"/>
                <w:highlight w:val="none"/>
                <w:lang w:bidi="ar"/>
              </w:rPr>
            </w:r>
            <w:r/>
          </w:p>
        </w:tc>
        <w:tc>
          <w:tcPr>
            <w:tcW w:w="197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项目名称</w:t>
            </w:r>
            <w:r>
              <w:rPr>
                <w:rFonts w:ascii="Times New Roman" w:hAnsi="Times New Roman" w:cs="宋体"/>
                <w:sz w:val="21"/>
                <w:szCs w:val="21"/>
                <w:highlight w:val="none"/>
                <w:lang w:bidi="ar"/>
              </w:rPr>
            </w:r>
            <w:r/>
          </w:p>
        </w:tc>
        <w:tc>
          <w:tcPr>
            <w:tcW w:w="199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2118"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合同名称</w:t>
            </w:r>
            <w:r>
              <w:rPr>
                <w:rFonts w:ascii="Times New Roman" w:hAnsi="Times New Roman" w:cs="宋体"/>
                <w:sz w:val="21"/>
                <w:szCs w:val="21"/>
                <w:highlight w:val="none"/>
                <w:lang w:bidi="ar"/>
              </w:rPr>
            </w:r>
            <w:r/>
          </w:p>
        </w:tc>
        <w:tc>
          <w:tcPr>
            <w:gridSpan w:val="3"/>
            <w:tcW w:w="4438"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620"/>
        </w:trPr>
        <w:tc>
          <w:tcPr>
            <w:tcW w:w="181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供应商</w:t>
            </w:r>
            <w:r>
              <w:rPr>
                <w:rFonts w:ascii="Times New Roman" w:hAnsi="Times New Roman" w:cs="宋体"/>
                <w:sz w:val="21"/>
                <w:szCs w:val="21"/>
                <w:highlight w:val="none"/>
                <w:lang w:bidi="ar"/>
              </w:rPr>
            </w:r>
            <w:r/>
          </w:p>
        </w:tc>
        <w:tc>
          <w:tcPr>
            <w:tcW w:w="197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项目及合同编号</w:t>
            </w:r>
            <w:r>
              <w:rPr>
                <w:rFonts w:ascii="Times New Roman" w:hAnsi="Times New Roman" w:cs="宋体"/>
                <w:sz w:val="21"/>
                <w:szCs w:val="21"/>
                <w:highlight w:val="none"/>
                <w:lang w:bidi="ar"/>
              </w:rPr>
            </w:r>
            <w:r/>
          </w:p>
        </w:tc>
        <w:tc>
          <w:tcPr>
            <w:tcW w:w="199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2118"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合同金额</w:t>
            </w:r>
            <w:r>
              <w:rPr>
                <w:rFonts w:ascii="Times New Roman" w:hAnsi="Times New Roman" w:cs="宋体"/>
                <w:sz w:val="21"/>
                <w:szCs w:val="21"/>
                <w:highlight w:val="none"/>
                <w:lang w:bidi="ar"/>
              </w:rPr>
            </w:r>
            <w:r/>
          </w:p>
        </w:tc>
        <w:tc>
          <w:tcPr>
            <w:gridSpan w:val="3"/>
            <w:tcW w:w="4438"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595"/>
        </w:trPr>
        <w:tc>
          <w:tcPr>
            <w:tcW w:w="181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验收时间</w:t>
            </w:r>
            <w:r>
              <w:rPr>
                <w:rFonts w:hint="eastAsia" w:ascii="Times New Roman" w:hAnsi="Times New Roman" w:cs="宋体"/>
                <w:sz w:val="21"/>
                <w:szCs w:val="21"/>
                <w:highlight w:val="none"/>
                <w:lang w:bidi="ar"/>
              </w:rPr>
            </w:r>
            <w:r/>
          </w:p>
        </w:tc>
        <w:tc>
          <w:tcPr>
            <w:tcW w:w="197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验收地点</w:t>
            </w:r>
            <w:r>
              <w:rPr>
                <w:rFonts w:ascii="Times New Roman" w:hAnsi="Times New Roman" w:cs="宋体"/>
                <w:sz w:val="21"/>
                <w:szCs w:val="21"/>
                <w:highlight w:val="none"/>
                <w:lang w:bidi="ar"/>
              </w:rPr>
            </w:r>
            <w:r/>
          </w:p>
        </w:tc>
        <w:tc>
          <w:tcPr>
            <w:tcW w:w="199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2118"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验收组织形式</w:t>
            </w:r>
            <w:r>
              <w:rPr>
                <w:rFonts w:ascii="Times New Roman" w:hAnsi="Times New Roman" w:cs="宋体"/>
                <w:sz w:val="21"/>
                <w:szCs w:val="21"/>
                <w:highlight w:val="none"/>
                <w:lang w:bidi="ar"/>
              </w:rPr>
            </w:r>
            <w:r/>
          </w:p>
        </w:tc>
        <w:tc>
          <w:tcPr>
            <w:gridSpan w:val="3"/>
            <w:tcW w:w="4438"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□验收小组验收</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  □采购代理机构验收</w:t>
            </w:r>
            <w:r>
              <w:rPr>
                <w:rFonts w:hint="eastAsia" w:ascii="Times New Roman" w:hAnsi="Times New Roman" w:cs="宋体"/>
                <w:sz w:val="21"/>
                <w:szCs w:val="21"/>
                <w:highlight w:val="none"/>
                <w:lang w:bidi="ar"/>
              </w:rPr>
            </w:r>
            <w:r/>
          </w:p>
        </w:tc>
      </w:tr>
      <w:tr>
        <w:trPr>
          <w:trHeight w:val="526"/>
        </w:trPr>
        <w:tc>
          <w:tcPr>
            <w:tcW w:w="1812" w:type="dxa"/>
            <w:vAlign w:val="center"/>
            <w:vMerge w:val="restart"/>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验收内容</w:t>
            </w:r>
            <w:r>
              <w:rPr>
                <w:rFonts w:ascii="Times New Roman" w:hAnsi="Times New Roman" w:cs="宋体"/>
                <w:sz w:val="21"/>
                <w:szCs w:val="21"/>
                <w:highlight w:val="none"/>
                <w:lang w:bidi="ar"/>
              </w:rPr>
            </w:r>
            <w:r/>
          </w:p>
        </w:tc>
        <w:tc>
          <w:tcPr>
            <w:tcW w:w="197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施工内容</w:t>
            </w: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施工进度</w:t>
            </w:r>
            <w:r>
              <w:rPr>
                <w:rFonts w:hint="eastAsia" w:ascii="Times New Roman" w:hAnsi="Times New Roman" w:cs="宋体"/>
                <w:sz w:val="21"/>
                <w:szCs w:val="21"/>
                <w:highlight w:val="none"/>
                <w:lang w:bidi="ar"/>
              </w:rPr>
            </w:r>
            <w:r/>
          </w:p>
        </w:tc>
        <w:tc>
          <w:tcPr>
            <w:tcW w:w="199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施工质量</w:t>
            </w:r>
            <w:r>
              <w:rPr>
                <w:rFonts w:hint="eastAsia" w:ascii="Times New Roman" w:hAnsi="Times New Roman" w:cs="宋体"/>
                <w:sz w:val="21"/>
                <w:szCs w:val="21"/>
                <w:highlight w:val="none"/>
                <w:lang w:bidi="ar"/>
              </w:rPr>
            </w:r>
            <w:r/>
          </w:p>
        </w:tc>
        <w:tc>
          <w:tcPr>
            <w:gridSpan w:val="2"/>
            <w:tcW w:w="2161"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施工人员</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配备情况</w:t>
            </w:r>
            <w:r>
              <w:rPr>
                <w:rFonts w:hint="eastAsia" w:ascii="Times New Roman" w:hAnsi="Times New Roman" w:cs="宋体"/>
                <w:sz w:val="21"/>
                <w:szCs w:val="21"/>
                <w:highlight w:val="none"/>
                <w:lang w:bidi="ar"/>
              </w:rPr>
            </w:r>
            <w:r/>
          </w:p>
        </w:tc>
        <w:tc>
          <w:tcPr>
            <w:tcW w:w="2163"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施工设备</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配备情况</w:t>
            </w:r>
            <w:r>
              <w:rPr>
                <w:rFonts w:hint="eastAsia" w:ascii="Times New Roman" w:hAnsi="Times New Roman" w:cs="宋体"/>
                <w:sz w:val="21"/>
                <w:szCs w:val="21"/>
                <w:highlight w:val="none"/>
                <w:lang w:bidi="ar"/>
              </w:rPr>
            </w:r>
            <w:r/>
          </w:p>
        </w:tc>
        <w:tc>
          <w:tcPr>
            <w:tcW w:w="223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安全文明标准</w:t>
            </w:r>
            <w:r>
              <w:rPr>
                <w:rFonts w:hint="eastAsia" w:ascii="Times New Roman" w:hAnsi="Times New Roman" w:cs="宋体"/>
                <w:sz w:val="21"/>
                <w:szCs w:val="21"/>
                <w:highlight w:val="none"/>
                <w:lang w:bidi="ar"/>
              </w:rPr>
            </w:r>
            <w:r/>
          </w:p>
        </w:tc>
      </w:tr>
      <w:tr>
        <w:trPr>
          <w:trHeight w:val="703"/>
        </w:trPr>
        <w:tc>
          <w:tcPr>
            <w:tcW w:w="1812" w:type="dxa"/>
            <w:vAlign w:val="center"/>
            <w:vMerge w:val="continue"/>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ascii="Times New Roman" w:hAnsi="Times New Roman" w:cs="宋体"/>
                <w:sz w:val="21"/>
                <w:szCs w:val="21"/>
                <w:highlight w:val="none"/>
                <w:lang w:bidi="ar"/>
              </w:rPr>
            </w:r>
            <w:r/>
          </w:p>
        </w:tc>
        <w:tc>
          <w:tcPr>
            <w:tcW w:w="197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合格□ </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1993"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gridSpan w:val="2"/>
            <w:tcW w:w="2161"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2163"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223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r>
      <w:tr>
        <w:trPr>
          <w:trHeight w:val="860"/>
        </w:trPr>
        <w:tc>
          <w:tcPr>
            <w:tcW w:w="181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存在问题和</w:t>
            </w:r>
            <w:r>
              <w:rPr>
                <w:rFonts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改进意见</w:t>
            </w:r>
            <w:r>
              <w:rPr>
                <w:rFonts w:hint="eastAsia" w:ascii="Times New Roman" w:hAnsi="Times New Roman" w:cs="宋体"/>
                <w:sz w:val="21"/>
                <w:szCs w:val="21"/>
                <w:highlight w:val="none"/>
                <w:lang w:bidi="ar"/>
              </w:rPr>
            </w:r>
            <w:r/>
          </w:p>
        </w:tc>
        <w:tc>
          <w:tcPr>
            <w:gridSpan w:val="7"/>
            <w:tcW w:w="1236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679"/>
        </w:trPr>
        <w:tc>
          <w:tcPr>
            <w:tcW w:w="1812" w:type="dxa"/>
            <w:vAlign w:val="center"/>
            <w:textDirection w:val="lrTb"/>
            <w:noWrap w:val="false"/>
          </w:tcPr>
          <w:p>
            <w:pPr>
              <w:pStyle w:val="1159"/>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最终结论</w:t>
            </w:r>
            <w:r>
              <w:rPr>
                <w:rFonts w:ascii="Times New Roman" w:hAnsi="Times New Roman" w:cs="宋体"/>
                <w:sz w:val="21"/>
                <w:szCs w:val="21"/>
                <w:highlight w:val="none"/>
                <w:lang w:bidi="ar"/>
              </w:rPr>
            </w:r>
            <w:r/>
          </w:p>
        </w:tc>
        <w:tc>
          <w:tcPr>
            <w:gridSpan w:val="7"/>
            <w:tcW w:w="1236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                              不合格□</w:t>
            </w:r>
            <w:r>
              <w:rPr>
                <w:rFonts w:hint="eastAsia" w:ascii="Times New Roman" w:hAnsi="Times New Roman" w:cs="宋体"/>
                <w:sz w:val="21"/>
                <w:szCs w:val="21"/>
                <w:highlight w:val="none"/>
                <w:lang w:bidi="ar"/>
              </w:rPr>
            </w:r>
            <w:r/>
          </w:p>
        </w:tc>
      </w:tr>
      <w:tr>
        <w:trPr>
          <w:trHeight w:val="785"/>
        </w:trPr>
        <w:tc>
          <w:tcPr>
            <w:tcW w:w="1812"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验收小组成员</w:t>
            </w:r>
            <w:r>
              <w:rPr>
                <w:rFonts w:hint="eastAsia" w:ascii="Times New Roman" w:hAnsi="Times New Roman" w:cs="宋体"/>
                <w:sz w:val="21"/>
                <w:szCs w:val="21"/>
                <w:highlight w:val="none"/>
                <w:lang w:bidi="ar"/>
              </w:rPr>
            </w:r>
            <w:r/>
          </w:p>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签字</w:t>
            </w:r>
            <w:r>
              <w:rPr>
                <w:rFonts w:hint="eastAsia" w:ascii="Times New Roman" w:hAnsi="Times New Roman" w:cs="宋体"/>
                <w:sz w:val="21"/>
                <w:szCs w:val="21"/>
                <w:highlight w:val="none"/>
                <w:lang w:bidi="ar"/>
              </w:rPr>
            </w:r>
            <w:r/>
          </w:p>
        </w:tc>
        <w:tc>
          <w:tcPr>
            <w:gridSpan w:val="7"/>
            <w:tcW w:w="12363" w:type="dxa"/>
            <w:vAlign w:val="center"/>
            <w:textDirection w:val="lrTb"/>
            <w:noWrap w:val="false"/>
          </w:tcPr>
          <w:p>
            <w:pPr>
              <w:pStyle w:val="1159"/>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90"/>
        </w:trPr>
        <w:tc>
          <w:tcPr>
            <w:gridSpan w:val="8"/>
            <w:tcW w:w="14175" w:type="dxa"/>
            <w:vAlign w:val="center"/>
            <w:textDirection w:val="lrTb"/>
            <w:noWrap w:val="false"/>
          </w:tcPr>
          <w:p>
            <w:pPr>
              <w:pStyle w:val="1159"/>
              <w:jc w:val="both"/>
              <w:keepLines w:val="0"/>
              <w:keepNext w:val="0"/>
              <w:pageBreakBefore w:val="0"/>
              <w:spacing w:line="240" w:lineRule="auto"/>
              <w:widowControl w:val="off"/>
              <w:rPr>
                <w:rFonts w:hint="eastAsia" w:ascii="Times New Roman" w:hAnsi="Times New Roman" w:cs="宋体"/>
                <w:strike w:val="0"/>
                <w:sz w:val="21"/>
                <w:szCs w:val="21"/>
                <w:highlight w:val="none"/>
                <w:lang w:bidi="ar"/>
              </w:rPr>
            </w:pPr>
            <w:r>
              <w:rPr>
                <w:rFonts w:hint="eastAsia" w:ascii="Times New Roman" w:hAnsi="Times New Roman" w:cs="宋体"/>
                <w:strike w:val="0"/>
                <w:sz w:val="21"/>
                <w:szCs w:val="21"/>
                <w:highlight w:val="none"/>
                <w:lang w:bidi="ar"/>
              </w:rPr>
              <w:t xml:space="preserve">采购人意见</w:t>
            </w:r>
            <w:r>
              <w:rPr>
                <w:rFonts w:hint="eastAsia" w:ascii="Times New Roman" w:hAnsi="Times New Roman" w:cs="宋体"/>
                <w:strike w:val="0"/>
                <w:sz w:val="21"/>
                <w:szCs w:val="21"/>
                <w:highlight w:val="none"/>
                <w:lang w:bidi="ar"/>
              </w:rPr>
            </w:r>
            <w:r/>
          </w:p>
          <w:p>
            <w:pPr>
              <w:pStyle w:val="1159"/>
              <w:jc w:val="both"/>
              <w:keepLines w:val="0"/>
              <w:keepNext w:val="0"/>
              <w:pageBreakBefore w:val="0"/>
              <w:spacing w:line="240" w:lineRule="auto"/>
              <w:widowControl w:val="off"/>
              <w:rPr>
                <w:rFonts w:hint="eastAsia" w:ascii="Times New Roman" w:hAnsi="Times New Roman" w:cs="宋体"/>
                <w:strike w:val="0"/>
                <w:sz w:val="21"/>
                <w:szCs w:val="21"/>
                <w:highlight w:val="none"/>
                <w:lang w:bidi="ar"/>
              </w:rPr>
            </w:pPr>
            <w:r>
              <w:rPr>
                <w:rFonts w:hint="eastAsia" w:ascii="Times New Roman" w:hAnsi="Times New Roman" w:cs="宋体"/>
                <w:strike w:val="0"/>
                <w:sz w:val="21"/>
                <w:szCs w:val="21"/>
                <w:highlight w:val="none"/>
                <w:lang w:bidi="ar"/>
              </w:rPr>
            </w:r>
            <w:r/>
          </w:p>
          <w:p>
            <w:pPr>
              <w:pStyle w:val="1159"/>
              <w:jc w:val="both"/>
              <w:keepLines w:val="0"/>
              <w:keepNext w:val="0"/>
              <w:pageBreakBefore w:val="0"/>
              <w:spacing w:line="240" w:lineRule="auto"/>
              <w:widowControl w:val="off"/>
              <w:rPr>
                <w:rFonts w:ascii="Times New Roman" w:hAnsi="Times New Roman" w:cs="宋体"/>
                <w:strike/>
                <w:sz w:val="21"/>
                <w:szCs w:val="21"/>
                <w:highlight w:val="none"/>
                <w:lang w:bidi="ar"/>
              </w:rPr>
            </w:pPr>
            <w:r>
              <w:rPr>
                <w:rFonts w:hint="eastAsia" w:ascii="Times New Roman" w:hAnsi="Times New Roman" w:cs="宋体"/>
                <w:strike w:val="0"/>
                <w:sz w:val="21"/>
                <w:szCs w:val="21"/>
                <w:highlight w:val="none"/>
                <w:lang w:bidi="ar"/>
              </w:rPr>
              <w:t xml:space="preserve">经办人：  </w:t>
            </w:r>
            <w:r>
              <w:rPr>
                <w:rFonts w:hint="eastAsia" w:ascii="Times New Roman" w:hAnsi="Times New Roman" w:cs="宋体"/>
                <w:strike w:val="0"/>
                <w:sz w:val="21"/>
                <w:szCs w:val="21"/>
                <w:highlight w:val="none"/>
                <w:lang w:val="en-US" w:eastAsia="zh-CN" w:bidi="ar"/>
              </w:rPr>
              <w:t xml:space="preserve">    </w:t>
            </w:r>
            <w:r>
              <w:rPr>
                <w:rFonts w:hint="eastAsia" w:ascii="Times New Roman" w:hAnsi="Times New Roman" w:cs="宋体"/>
                <w:strike w:val="0"/>
                <w:sz w:val="21"/>
                <w:szCs w:val="21"/>
                <w:highlight w:val="none"/>
                <w:lang w:bidi="ar"/>
              </w:rPr>
              <w:t xml:space="preserve"> </w:t>
            </w:r>
            <w:r>
              <w:rPr>
                <w:rFonts w:hint="eastAsia" w:ascii="Times New Roman" w:hAnsi="Times New Roman" w:cs="宋体"/>
                <w:strike w:val="0"/>
                <w:sz w:val="21"/>
                <w:szCs w:val="21"/>
                <w:highlight w:val="none"/>
                <w:lang w:val="en-US" w:eastAsia="zh-CN" w:bidi="ar"/>
              </w:rPr>
              <w:t xml:space="preserve">    </w:t>
            </w:r>
            <w:r>
              <w:rPr>
                <w:rFonts w:hint="eastAsia" w:ascii="Times New Roman" w:hAnsi="Times New Roman" w:cs="宋体"/>
                <w:strike w:val="0"/>
                <w:sz w:val="21"/>
                <w:szCs w:val="21"/>
                <w:highlight w:val="none"/>
                <w:lang w:bidi="ar"/>
              </w:rPr>
              <w:t xml:space="preserve">    负责人：       </w:t>
            </w:r>
            <w:r>
              <w:rPr>
                <w:rFonts w:hint="eastAsia" w:ascii="Times New Roman" w:hAnsi="Times New Roman" w:cs="宋体"/>
                <w:strike w:val="0"/>
                <w:sz w:val="21"/>
                <w:szCs w:val="21"/>
                <w:highlight w:val="none"/>
                <w:lang w:val="en-US" w:eastAsia="zh-CN" w:bidi="ar"/>
              </w:rPr>
              <w:t xml:space="preserve">    </w:t>
            </w:r>
            <w:r>
              <w:rPr>
                <w:rFonts w:hint="eastAsia" w:ascii="Times New Roman" w:hAnsi="Times New Roman" w:cs="宋体"/>
                <w:strike w:val="0"/>
                <w:sz w:val="21"/>
                <w:szCs w:val="21"/>
                <w:highlight w:val="none"/>
                <w:lang w:bidi="ar"/>
              </w:rPr>
              <w:t xml:space="preserve">        （采购人公章）</w:t>
            </w:r>
            <w:r>
              <w:rPr>
                <w:rFonts w:ascii="Times New Roman" w:hAnsi="Times New Roman" w:cs="宋体"/>
                <w:strike/>
                <w:sz w:val="21"/>
                <w:szCs w:val="21"/>
                <w:highlight w:val="none"/>
                <w:lang w:bidi="ar"/>
              </w:rPr>
            </w:r>
            <w:r/>
          </w:p>
        </w:tc>
      </w:tr>
      <w:tr>
        <w:trPr>
          <w:trHeight w:val="1196"/>
        </w:trPr>
        <w:tc>
          <w:tcPr>
            <w:gridSpan w:val="8"/>
            <w:tcW w:w="14175" w:type="dxa"/>
            <w:vAlign w:val="top"/>
            <w:textDirection w:val="lrTb"/>
            <w:noWrap w:val="false"/>
          </w:tcPr>
          <w:p>
            <w:pPr>
              <w:pStyle w:val="1159"/>
              <w:jc w:val="left"/>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p>
            <w:pPr>
              <w:pStyle w:val="1159"/>
              <w:jc w:val="left"/>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供应商确认：</w:t>
            </w:r>
            <w:r>
              <w:rPr>
                <w:rFonts w:hint="eastAsia" w:ascii="Times New Roman" w:hAnsi="Times New Roman" w:cs="宋体"/>
                <w:sz w:val="21"/>
                <w:szCs w:val="21"/>
                <w:highlight w:val="none"/>
                <w:lang w:bidi="ar"/>
              </w:rPr>
            </w:r>
            <w:r/>
          </w:p>
          <w:p>
            <w:pPr>
              <w:pStyle w:val="1159"/>
              <w:jc w:val="left"/>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p>
            <w:pPr>
              <w:pStyle w:val="1159"/>
              <w:jc w:val="both"/>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（单位公章或授权代表签字）</w:t>
            </w:r>
            <w:r>
              <w:rPr>
                <w:rFonts w:hint="eastAsia" w:ascii="Times New Roman" w:hAnsi="Times New Roman" w:cs="宋体"/>
                <w:sz w:val="21"/>
                <w:szCs w:val="21"/>
                <w:highlight w:val="none"/>
                <w:lang w:bidi="ar"/>
              </w:rPr>
            </w:r>
            <w:r/>
          </w:p>
        </w:tc>
      </w:tr>
    </w:tbl>
    <w:p>
      <w:pPr>
        <w:pStyle w:val="1159"/>
        <w:jc w:val="left"/>
        <w:spacing w:line="560" w:lineRule="exact"/>
        <w:rPr>
          <w:rFonts w:ascii="Times New Roman" w:hAnsi="Times New Roman" w:cs="宋体"/>
          <w:b/>
          <w:bCs/>
          <w:sz w:val="20"/>
          <w:szCs w:val="20"/>
          <w:highlight w:val="none"/>
          <w:lang w:bidi="ar"/>
        </w:rPr>
      </w:pPr>
      <w:r>
        <w:rPr>
          <w:rFonts w:hint="eastAsia" w:ascii="Times New Roman" w:hAnsi="Times New Roman" w:cs="宋体"/>
          <w:b/>
          <w:bCs/>
          <w:sz w:val="20"/>
          <w:szCs w:val="20"/>
          <w:highlight w:val="none"/>
          <w:lang w:bidi="ar"/>
        </w:rPr>
        <w:t xml:space="preserve">说明：</w:t>
      </w:r>
      <w:r>
        <w:rPr>
          <w:rFonts w:ascii="Times New Roman" w:hAnsi="Times New Roman" w:cs="宋体"/>
          <w:b/>
          <w:bCs/>
          <w:sz w:val="20"/>
          <w:szCs w:val="20"/>
          <w:highlight w:val="none"/>
          <w:lang w:bidi="ar"/>
        </w:rPr>
        <w:t xml:space="preserve">1.</w:t>
      </w:r>
      <w:r>
        <w:rPr>
          <w:rFonts w:hint="eastAsia" w:ascii="Times New Roman" w:hAnsi="Times New Roman" w:cs="宋体"/>
          <w:b/>
          <w:bCs/>
          <w:sz w:val="20"/>
          <w:szCs w:val="20"/>
          <w:highlight w:val="none"/>
          <w:lang w:bidi="ar"/>
        </w:rPr>
        <w:t xml:space="preserve">该表为工程类项目履约验收的参考样表，采购人或采购代理机构可以根据工作实际进行调整。</w:t>
      </w:r>
      <w:r>
        <w:rPr>
          <w:rFonts w:ascii="Times New Roman" w:hAnsi="Times New Roman" w:cs="宋体"/>
          <w:b/>
          <w:bCs/>
          <w:sz w:val="20"/>
          <w:szCs w:val="20"/>
          <w:highlight w:val="none"/>
          <w:lang w:bidi="ar"/>
        </w:rPr>
      </w:r>
      <w:r/>
    </w:p>
    <w:p>
      <w:pPr>
        <w:pStyle w:val="1159"/>
        <w:ind w:firstLine="602"/>
        <w:jc w:val="left"/>
        <w:spacing w:line="560" w:lineRule="exact"/>
        <w:rPr>
          <w:rFonts w:ascii="Times New Roman" w:hAnsi="Times New Roman" w:cs="宋体"/>
          <w:b/>
          <w:bCs/>
          <w:sz w:val="20"/>
          <w:szCs w:val="20"/>
          <w:highlight w:val="none"/>
          <w:lang w:bidi="ar"/>
        </w:rPr>
      </w:pPr>
      <w:r>
        <w:rPr>
          <w:rFonts w:ascii="Times New Roman" w:hAnsi="Times New Roman" w:cs="宋体"/>
          <w:b/>
          <w:bCs/>
          <w:sz w:val="20"/>
          <w:szCs w:val="20"/>
          <w:highlight w:val="none"/>
          <w:lang w:bidi="ar"/>
        </w:rPr>
        <w:t xml:space="preserve">2.</w:t>
      </w:r>
      <w:r>
        <w:rPr>
          <w:rFonts w:hint="eastAsia" w:ascii="Times New Roman" w:hAnsi="Times New Roman" w:cs="宋体"/>
          <w:b/>
          <w:bCs/>
          <w:sz w:val="20"/>
          <w:szCs w:val="20"/>
          <w:highlight w:val="none"/>
          <w:lang w:bidi="ar"/>
        </w:rPr>
        <w:t xml:space="preserve">未</w:t>
      </w:r>
      <w:r>
        <w:rPr>
          <w:rFonts w:ascii="Times New Roman" w:hAnsi="Times New Roman" w:cs="宋体"/>
          <w:b/>
          <w:bCs/>
          <w:sz w:val="20"/>
          <w:szCs w:val="20"/>
          <w:highlight w:val="none"/>
          <w:lang w:bidi="ar"/>
        </w:rPr>
        <w:t xml:space="preserve">委托采购代理机构开展</w:t>
      </w:r>
      <w:r>
        <w:rPr>
          <w:rFonts w:hint="eastAsia" w:ascii="Times New Roman" w:hAnsi="Times New Roman" w:cs="宋体"/>
          <w:b/>
          <w:bCs/>
          <w:sz w:val="20"/>
          <w:szCs w:val="20"/>
          <w:highlight w:val="none"/>
          <w:lang w:bidi="ar"/>
        </w:rPr>
        <w:t xml:space="preserve">履约验收工作的，无需填写“采购代理机构意见”。</w:t>
      </w:r>
      <w:r>
        <w:rPr>
          <w:rFonts w:ascii="Times New Roman" w:hAnsi="Times New Roman" w:cs="宋体"/>
          <w:b/>
          <w:bCs/>
          <w:sz w:val="20"/>
          <w:szCs w:val="20"/>
          <w:highlight w:val="none"/>
          <w:lang w:bidi="ar"/>
        </w:rPr>
      </w:r>
      <w:r/>
    </w:p>
    <w:p>
      <w:pPr>
        <w:pStyle w:val="1159"/>
        <w:rPr>
          <w:rFonts w:ascii="Times New Roman" w:hAnsi="Times New Roman"/>
          <w:highlight w:val="none"/>
        </w:rPr>
      </w:pPr>
      <w:r>
        <w:rPr>
          <w:rFonts w:ascii="Times New Roman" w:hAnsi="Times New Roman"/>
          <w:highlight w:val="none"/>
        </w:rPr>
      </w:r>
      <w:r/>
    </w:p>
    <w:p>
      <w:pPr>
        <w:pStyle w:val="1159"/>
        <w:rPr>
          <w:rFonts w:ascii="Times New Roman" w:hAnsi="Times New Roman"/>
          <w:highlight w:val="none"/>
        </w:rPr>
      </w:pPr>
      <w:r>
        <w:rPr>
          <w:rFonts w:ascii="Times New Roman" w:hAnsi="Times New Roman"/>
          <w:highlight w:val="none"/>
        </w:rPr>
      </w:r>
      <w:r/>
    </w:p>
    <w:p>
      <w:pPr>
        <w:pStyle w:val="1159"/>
        <w:rPr>
          <w:highlight w:val="none"/>
        </w:rPr>
      </w:pPr>
      <w:r>
        <w:rPr>
          <w:highlight w:val="none"/>
        </w:rPr>
      </w:r>
      <w:r/>
    </w:p>
    <w:p>
      <w:pPr>
        <w:pStyle w:val="1159"/>
        <w:rPr>
          <w:highlight w:val="none"/>
        </w:rPr>
      </w:pPr>
      <w:r>
        <w:rPr>
          <w:highlight w:val="none"/>
        </w:rPr>
      </w:r>
      <w:r/>
    </w:p>
    <w:p>
      <w:pPr>
        <w:pStyle w:val="1159"/>
        <w:rPr>
          <w:highlight w:val="none"/>
        </w:rPr>
      </w:pPr>
      <w:r>
        <w:rPr>
          <w:highlight w:val="none"/>
        </w:rPr>
      </w:r>
      <w:r/>
    </w:p>
    <w:p>
      <w:pPr>
        <w:pStyle w:val="1159"/>
        <w:rPr>
          <w:highlight w:val="none"/>
        </w:rPr>
      </w:pPr>
      <w:r>
        <w:rPr>
          <w:highlight w:val="none"/>
        </w:rPr>
      </w:r>
      <w:r/>
    </w:p>
    <w:p>
      <w:pPr>
        <w:pStyle w:val="1159"/>
        <w:rPr>
          <w:rFonts w:ascii="宋体" w:hAnsi="宋体" w:cs="宋体"/>
          <w:color w:val="000000"/>
          <w:szCs w:val="21"/>
          <w:highlight w:val="none"/>
        </w:rPr>
      </w:pPr>
      <w:r>
        <w:rPr>
          <w:rFonts w:ascii="宋体" w:hAnsi="宋体" w:cs="宋体"/>
          <w:color w:val="000000"/>
          <w:szCs w:val="21"/>
          <w:highlight w:val="none"/>
        </w:rPr>
      </w:r>
      <w:r/>
    </w:p>
    <w:p>
      <w:pPr>
        <w:pStyle w:val="1159"/>
        <w:rPr>
          <w:rFonts w:ascii="宋体" w:hAnsi="宋体" w:cs="宋体"/>
          <w:color w:val="000000"/>
          <w:szCs w:val="21"/>
          <w:highlight w:val="none"/>
        </w:rPr>
      </w:pPr>
      <w:r>
        <w:rPr>
          <w:rFonts w:ascii="宋体" w:hAnsi="宋体" w:cs="宋体"/>
          <w:color w:val="000000"/>
          <w:szCs w:val="21"/>
          <w:highlight w:val="none"/>
        </w:rPr>
      </w:r>
      <w:r/>
    </w:p>
    <w:p>
      <w:pPr>
        <w:pStyle w:val="1159"/>
        <w:rPr>
          <w:rFonts w:ascii="宋体" w:hAnsi="宋体" w:cs="宋体"/>
          <w:color w:val="000000"/>
          <w:szCs w:val="21"/>
          <w:highlight w:val="none"/>
        </w:rPr>
      </w:pPr>
      <w:r>
        <w:rPr>
          <w:rFonts w:ascii="宋体" w:hAnsi="宋体" w:cs="宋体"/>
          <w:color w:val="000000"/>
          <w:szCs w:val="21"/>
          <w:highlight w:val="none"/>
        </w:rPr>
      </w:r>
      <w:r/>
    </w:p>
    <w:p>
      <w:pPr>
        <w:pStyle w:val="1159"/>
        <w:rPr>
          <w:rFonts w:ascii="宋体" w:hAnsi="宋体" w:cs="宋体"/>
          <w:color w:val="000000"/>
          <w:szCs w:val="21"/>
          <w:highlight w:val="none"/>
        </w:rPr>
      </w:pPr>
      <w:r>
        <w:rPr>
          <w:rFonts w:ascii="宋体" w:hAnsi="宋体" w:cs="宋体"/>
          <w:color w:val="000000"/>
          <w:szCs w:val="21"/>
          <w:highlight w:val="none"/>
        </w:rPr>
      </w:r>
      <w:r/>
    </w:p>
    <w:p>
      <w:pPr>
        <w:pStyle w:val="1159"/>
        <w:spacing w:line="440" w:lineRule="exact"/>
        <w:rPr>
          <w:rFonts w:ascii="Times New Roman" w:hAnsi="Times New Roman" w:cs="Times New Roman"/>
          <w:b/>
          <w:bCs/>
          <w:color w:val="000000"/>
          <w:spacing w:val="-4"/>
          <w:sz w:val="24"/>
          <w:szCs w:val="24"/>
          <w:highlight w:val="none"/>
        </w:rPr>
        <w:sectPr>
          <w:footnotePr/>
          <w:endnotePr/>
          <w:type w:val="nextPage"/>
          <w:pgSz w:w="16838" w:h="11905" w:orient="landscape"/>
          <w:pgMar w:top="1797" w:right="1417" w:bottom="1701" w:left="141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1159"/>
        <w:ind w:firstLine="1807"/>
        <w:keepLines/>
        <w:keepNext/>
        <w:spacing w:line="360" w:lineRule="auto"/>
        <w:widowControl/>
        <w:rPr>
          <w:rFonts w:ascii="宋体" w:hAnsi="宋体"/>
          <w:b/>
          <w:color w:val="000000"/>
          <w:sz w:val="30"/>
          <w:szCs w:val="30"/>
          <w:highlight w:val="none"/>
        </w:rPr>
        <w:outlineLvl w:val="0"/>
      </w:pPr>
      <w:r/>
      <w:bookmarkStart w:id="1207" w:name="_Toc77"/>
      <w:r/>
      <w:bookmarkStart w:id="1208"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1207"/>
      <w:r/>
      <w:bookmarkEnd w:id="1208"/>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1159"/>
              <w:jc w:val="center"/>
              <w:rPr>
                <w:rFonts w:ascii="宋体" w:hAnsi="宋体" w:cs="宋体"/>
                <w:b/>
                <w:color w:val="000000"/>
                <w:szCs w:val="21"/>
                <w:highlight w:val="none"/>
              </w:rPr>
            </w:pPr>
            <w:r/>
            <w:bookmarkStart w:id="1209" w:name="_Toc86202633"/>
            <w:r>
              <w:rPr>
                <w:rFonts w:hint="eastAsia" w:ascii="宋体" w:hAnsi="宋体" w:cs="宋体"/>
                <w:b/>
                <w:color w:val="000000"/>
                <w:szCs w:val="21"/>
                <w:highlight w:val="none"/>
                <w:lang w:bidi="ar"/>
              </w:rPr>
              <w:t xml:space="preserve">名称</w:t>
            </w:r>
            <w:bookmarkEnd w:id="1209"/>
            <w:r>
              <w:rPr>
                <w:rFonts w:ascii="宋体" w:hAnsi="宋体" w:cs="宋体"/>
                <w:b/>
                <w:color w:val="000000"/>
                <w:szCs w:val="21"/>
                <w:highlight w:val="none"/>
              </w:rPr>
            </w:r>
            <w:r/>
          </w:p>
        </w:tc>
        <w:tc>
          <w:tcPr>
            <w:tcW w:w="1701" w:type="dxa"/>
            <w:vAlign w:val="center"/>
            <w:textDirection w:val="lrTb"/>
            <w:noWrap w:val="false"/>
          </w:tcPr>
          <w:p>
            <w:pPr>
              <w:pStyle w:val="1159"/>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115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1159"/>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1701" w:type="dxa"/>
            <w:vAlign w:val="center"/>
            <w:vMerge w:val="restart"/>
            <w:textDirection w:val="lrTb"/>
            <w:noWrap w:val="false"/>
          </w:tcPr>
          <w:p>
            <w:pPr>
              <w:pStyle w:val="115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1159"/>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1159"/>
              <w:jc w:val="both"/>
              <w:rPr>
                <w:rFonts w:ascii="宋体" w:hAnsi="宋体" w:cs="宋体"/>
                <w:color w:val="000000"/>
                <w:szCs w:val="21"/>
                <w:highlight w:val="none"/>
              </w:rPr>
            </w:pPr>
            <w:r>
              <w:rPr>
                <w:rFonts w:hint="eastAsia" w:ascii="宋体" w:hAnsi="宋体" w:cs="宋体"/>
                <w:color w:val="ff0000"/>
                <w:szCs w:val="21"/>
                <w:highlight w:val="none"/>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115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1159"/>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9"/>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115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1159"/>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1159"/>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1159"/>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9"/>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1159"/>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1159"/>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1159"/>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1159"/>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1159"/>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1159"/>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1159"/>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1159"/>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1159"/>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1210"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1210"/>
      <w:r>
        <w:rPr>
          <w:b/>
          <w:color w:val="000000"/>
          <w:sz w:val="24"/>
          <w:highlight w:val="none"/>
        </w:rPr>
      </w:r>
      <w:r/>
    </w:p>
    <w:p>
      <w:pPr>
        <w:pStyle w:val="1159"/>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159"/>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59"/>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highlight w:val="none"/>
          <w:lang w:val="en-US" w:eastAsia="zh-CN"/>
        </w:rPr>
        <w:t xml:space="preserve">响应</w:t>
      </w:r>
      <w:r>
        <w:rPr>
          <w:b/>
          <w:color w:val="ff0000"/>
          <w:sz w:val="24"/>
          <w:highlight w:val="none"/>
        </w:rPr>
        <w:t xml:space="preserve">无效</w:t>
      </w:r>
      <w:r>
        <w:rPr>
          <w:rFonts w:hint="eastAsia"/>
          <w:b/>
          <w:color w:val="ff0000"/>
          <w:sz w:val="24"/>
          <w:highlight w:val="none"/>
          <w:lang w:val="en-US" w:eastAsia="zh-CN"/>
        </w:rPr>
        <w:t xml:space="preserve">或不享受</w:t>
      </w:r>
      <w:r>
        <w:rPr>
          <w:rFonts w:hint="eastAsia" w:ascii="宋体" w:hAnsi="宋体" w:cs="楷体"/>
          <w:b/>
          <w:bCs/>
          <w:color w:val="ff0000"/>
          <w:sz w:val="24"/>
          <w:highlight w:val="none"/>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59"/>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59"/>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1159"/>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159"/>
        <w:jc w:val="left"/>
        <w:widowControl/>
        <w:rPr>
          <w:color w:val="000000"/>
          <w:sz w:val="24"/>
          <w:highlight w:val="none"/>
        </w:rPr>
      </w:pPr>
      <w:r>
        <w:rPr>
          <w:color w:val="000000"/>
          <w:sz w:val="24"/>
          <w:highlight w:val="none"/>
        </w:rPr>
        <w:br w:type="page" w:clear="all"/>
      </w:r>
      <w:bookmarkEnd w:id="241"/>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color w:val="000000"/>
          <w:sz w:val="24"/>
          <w:highlight w:val="none"/>
        </w:rPr>
      </w:r>
      <w:r/>
    </w:p>
    <w:p>
      <w:pPr>
        <w:pStyle w:val="1159"/>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1159"/>
        <w:jc w:val="center"/>
        <w:rPr>
          <w:color w:val="000000"/>
          <w:szCs w:val="21"/>
          <w:highlight w:val="none"/>
        </w:rPr>
      </w:pPr>
      <w:r>
        <w:rPr>
          <w:color w:val="000000"/>
          <w:szCs w:val="21"/>
          <w:highlight w:val="none"/>
        </w:rPr>
      </w:r>
      <w:r/>
    </w:p>
    <w:p>
      <w:pPr>
        <w:pStyle w:val="1159"/>
        <w:jc w:val="center"/>
        <w:rPr>
          <w:b/>
          <w:color w:val="000000"/>
          <w:spacing w:val="60"/>
          <w:sz w:val="84"/>
          <w:szCs w:val="84"/>
          <w:highlight w:val="none"/>
        </w:rPr>
      </w:pPr>
      <w:r>
        <w:rPr>
          <w:b/>
          <w:color w:val="000000"/>
          <w:spacing w:val="60"/>
          <w:sz w:val="84"/>
          <w:szCs w:val="84"/>
          <w:highlight w:val="none"/>
        </w:rPr>
      </w:r>
      <w:r/>
    </w:p>
    <w:p>
      <w:pPr>
        <w:pStyle w:val="1159"/>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159"/>
        <w:jc w:val="center"/>
        <w:rPr>
          <w:b/>
          <w:color w:val="000000"/>
          <w:spacing w:val="60"/>
          <w:sz w:val="52"/>
          <w:szCs w:val="52"/>
          <w:highlight w:val="none"/>
        </w:rPr>
      </w:pPr>
      <w:r>
        <w:rPr>
          <w:b/>
          <w:color w:val="000000"/>
          <w:spacing w:val="60"/>
          <w:sz w:val="52"/>
          <w:szCs w:val="52"/>
          <w:highlight w:val="none"/>
        </w:rPr>
      </w:r>
      <w:r/>
    </w:p>
    <w:p>
      <w:pPr>
        <w:pStyle w:val="1159"/>
        <w:jc w:val="center"/>
        <w:rPr>
          <w:b/>
          <w:color w:val="000000"/>
          <w:spacing w:val="60"/>
          <w:sz w:val="52"/>
          <w:szCs w:val="52"/>
          <w:highlight w:val="none"/>
        </w:rPr>
      </w:pPr>
      <w:r>
        <w:rPr>
          <w:b/>
          <w:color w:val="000000"/>
          <w:spacing w:val="60"/>
          <w:sz w:val="52"/>
          <w:szCs w:val="52"/>
          <w:highlight w:val="none"/>
        </w:rPr>
      </w:r>
      <w:r/>
    </w:p>
    <w:p>
      <w:pPr>
        <w:pStyle w:val="1159"/>
        <w:jc w:val="center"/>
        <w:rPr>
          <w:b/>
          <w:color w:val="000000"/>
          <w:spacing w:val="60"/>
          <w:sz w:val="52"/>
          <w:szCs w:val="52"/>
          <w:highlight w:val="none"/>
        </w:rPr>
      </w:pPr>
      <w:r>
        <w:rPr>
          <w:b/>
          <w:color w:val="000000"/>
          <w:spacing w:val="60"/>
          <w:sz w:val="52"/>
          <w:szCs w:val="52"/>
          <w:highlight w:val="none"/>
        </w:rPr>
      </w:r>
      <w:r/>
    </w:p>
    <w:p>
      <w:pPr>
        <w:pStyle w:val="1159"/>
        <w:jc w:val="center"/>
        <w:rPr>
          <w:b/>
          <w:color w:val="000000"/>
          <w:spacing w:val="60"/>
          <w:sz w:val="52"/>
          <w:szCs w:val="52"/>
          <w:highlight w:val="none"/>
        </w:rPr>
      </w:pPr>
      <w:r>
        <w:rPr>
          <w:b/>
          <w:color w:val="000000"/>
          <w:spacing w:val="60"/>
          <w:sz w:val="52"/>
          <w:szCs w:val="52"/>
          <w:highlight w:val="none"/>
        </w:rPr>
      </w:r>
      <w:r/>
    </w:p>
    <w:p>
      <w:pPr>
        <w:pStyle w:val="1159"/>
        <w:jc w:val="center"/>
        <w:rPr>
          <w:b/>
          <w:color w:val="000000"/>
          <w:spacing w:val="60"/>
          <w:sz w:val="52"/>
          <w:szCs w:val="52"/>
          <w:highlight w:val="none"/>
        </w:rPr>
      </w:pPr>
      <w:r>
        <w:rPr>
          <w:b/>
          <w:color w:val="000000"/>
          <w:spacing w:val="60"/>
          <w:sz w:val="52"/>
          <w:szCs w:val="52"/>
          <w:highlight w:val="none"/>
        </w:rPr>
      </w:r>
      <w:r/>
    </w:p>
    <w:p>
      <w:pPr>
        <w:pStyle w:val="1159"/>
        <w:ind w:firstLine="542"/>
        <w:rPr>
          <w:b/>
          <w:color w:val="000000"/>
          <w:spacing w:val="20"/>
          <w:sz w:val="32"/>
          <w:szCs w:val="32"/>
          <w:highlight w:val="none"/>
        </w:rPr>
      </w:pPr>
      <w:r>
        <w:rPr>
          <w:b/>
          <w:color w:val="000000"/>
          <w:spacing w:val="20"/>
          <w:sz w:val="32"/>
          <w:szCs w:val="32"/>
          <w:highlight w:val="none"/>
        </w:rPr>
      </w:r>
      <w:r/>
    </w:p>
    <w:p>
      <w:pPr>
        <w:pStyle w:val="1159"/>
        <w:ind w:firstLine="542"/>
        <w:rPr>
          <w:b/>
          <w:color w:val="000000"/>
          <w:spacing w:val="20"/>
          <w:sz w:val="32"/>
          <w:szCs w:val="32"/>
          <w:highlight w:val="none"/>
        </w:rPr>
      </w:pPr>
      <w:r>
        <w:rPr>
          <w:b/>
          <w:color w:val="000000"/>
          <w:spacing w:val="20"/>
          <w:sz w:val="32"/>
          <w:szCs w:val="32"/>
          <w:highlight w:val="none"/>
        </w:rPr>
      </w:r>
      <w:r/>
    </w:p>
    <w:p>
      <w:pPr>
        <w:pStyle w:val="115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5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59"/>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5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59"/>
        <w:jc w:val="center"/>
        <w:rPr>
          <w:b/>
          <w:color w:val="000000"/>
          <w:sz w:val="32"/>
          <w:szCs w:val="32"/>
          <w:highlight w:val="none"/>
        </w:rPr>
      </w:pPr>
      <w:r>
        <w:rPr>
          <w:b/>
          <w:color w:val="000000"/>
          <w:sz w:val="32"/>
          <w:szCs w:val="32"/>
          <w:highlight w:val="none"/>
        </w:rPr>
      </w:r>
      <w:r/>
    </w:p>
    <w:p>
      <w:pPr>
        <w:pStyle w:val="1159"/>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1211" w:name="_Toc22347"/>
      <w:r/>
      <w:bookmarkStart w:id="1212" w:name="_Toc28326"/>
      <w:r>
        <w:rPr>
          <w:rFonts w:hint="eastAsia"/>
          <w:b/>
          <w:bCs/>
          <w:color w:val="000000"/>
          <w:sz w:val="32"/>
          <w:szCs w:val="32"/>
          <w:highlight w:val="none"/>
        </w:rPr>
        <w:t xml:space="preserve">二、报价一览表（实质性格式）</w:t>
      </w:r>
      <w:bookmarkEnd w:id="1211"/>
      <w:r/>
      <w:bookmarkEnd w:id="1212"/>
      <w:r>
        <w:rPr>
          <w:b/>
          <w:bCs/>
          <w:color w:val="000000"/>
          <w:sz w:val="32"/>
          <w:szCs w:val="32"/>
          <w:highlight w:val="none"/>
        </w:rPr>
      </w:r>
      <w:r/>
    </w:p>
    <w:p>
      <w:pPr>
        <w:pStyle w:val="1159"/>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1159"/>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1159"/>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1159"/>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1159"/>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1159"/>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9"/>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1159"/>
        <w:jc w:val="center"/>
        <w:spacing w:line="400" w:lineRule="exact"/>
        <w:rPr>
          <w:rFonts w:hint="eastAsia" w:ascii="宋体" w:hAnsi="宋体" w:eastAsia="宋体" w:cs="Times New Roman"/>
          <w:b/>
          <w:bCs w:val="0"/>
          <w:color w:val="000000"/>
          <w:sz w:val="28"/>
          <w:szCs w:val="28"/>
          <w:highlight w:val="none"/>
          <w:lang w:val="en-US" w:eastAsia="zh-CN"/>
        </w:rPr>
      </w:pPr>
      <w:r/>
      <w:bookmarkStart w:id="1213" w:name="_Toc226965831"/>
      <w:r/>
      <w:bookmarkStart w:id="1214" w:name="_Toc226965748"/>
      <w:r/>
      <w:bookmarkStart w:id="1215" w:name="_Toc226337254"/>
      <w:r/>
      <w:bookmarkStart w:id="1216" w:name="_Toc164608827"/>
      <w:r/>
      <w:bookmarkStart w:id="1217" w:name="_Toc265228396"/>
      <w:r/>
      <w:bookmarkStart w:id="1218" w:name="_Toc164608672"/>
      <w:r/>
      <w:bookmarkStart w:id="1219" w:name="_Toc305158900"/>
      <w:r/>
      <w:bookmarkStart w:id="1220" w:name="_Toc264969248"/>
      <w:r/>
      <w:bookmarkStart w:id="1221" w:name="_Toc305158826"/>
      <w:r/>
      <w:bookmarkStart w:id="1222" w:name="_Toc226309802"/>
      <w:r/>
      <w:bookmarkStart w:id="1223" w:name="_Toc195842923"/>
      <w:r>
        <w:rPr>
          <w:rFonts w:hint="eastAsia" w:ascii="宋体" w:hAnsi="宋体" w:eastAsia="宋体" w:cs="Times New Roman"/>
          <w:b/>
          <w:bCs w:val="0"/>
          <w:color w:val="000000"/>
          <w:sz w:val="28"/>
          <w:szCs w:val="28"/>
          <w:highlight w:val="none"/>
          <w:lang w:val="en-US" w:eastAsia="zh-CN"/>
        </w:rPr>
        <w:t xml:space="preserve">（一）报价</w:t>
      </w:r>
      <w:bookmarkEnd w:id="1213"/>
      <w:r/>
      <w:bookmarkEnd w:id="1214"/>
      <w:r/>
      <w:bookmarkEnd w:id="1215"/>
      <w:r/>
      <w:bookmarkEnd w:id="1216"/>
      <w:r/>
      <w:bookmarkEnd w:id="1217"/>
      <w:r/>
      <w:bookmarkEnd w:id="1218"/>
      <w:r/>
      <w:bookmarkEnd w:id="1219"/>
      <w:r/>
      <w:bookmarkEnd w:id="1220"/>
      <w:r/>
      <w:bookmarkEnd w:id="1221"/>
      <w:r/>
      <w:bookmarkEnd w:id="1222"/>
      <w:r/>
      <w:bookmarkEnd w:id="1223"/>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1159"/>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59"/>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1159"/>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1159"/>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1159"/>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1159"/>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1159"/>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1159"/>
              <w:jc w:val="center"/>
              <w:tabs>
                <w:tab w:val="left" w:pos="5580" w:leader="none"/>
              </w:tabs>
              <w:rPr>
                <w:sz w:val="24"/>
                <w:highlight w:val="none"/>
              </w:rPr>
            </w:pPr>
            <w:r>
              <w:rPr>
                <w:sz w:val="24"/>
                <w:highlight w:val="none"/>
              </w:rPr>
            </w:r>
            <w:r/>
          </w:p>
        </w:tc>
      </w:tr>
    </w:tbl>
    <w:p>
      <w:pPr>
        <w:pStyle w:val="1159"/>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1159"/>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1159"/>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9"/>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59"/>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9"/>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1159"/>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9"/>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1159"/>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1159"/>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1159"/>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1159"/>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1159"/>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1159"/>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1159"/>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9"/>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115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1159"/>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159"/>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61"/>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1161"/>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173"/>
        <w:rPr>
          <w:color w:val="000000"/>
          <w:highlight w:val="none"/>
        </w:rPr>
      </w:pPr>
      <w:r>
        <w:rPr>
          <w:color w:val="000000"/>
          <w:highlight w:val="none"/>
        </w:rPr>
      </w:r>
      <w:r/>
    </w:p>
    <w:p>
      <w:pPr>
        <w:pStyle w:val="1161"/>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1159"/>
        <w:spacing w:line="360" w:lineRule="auto"/>
        <w:widowControl/>
        <w:rPr>
          <w:rFonts w:ascii="宋体" w:hAnsi="宋体" w:cs="楷体"/>
          <w:b/>
          <w:color w:val="000000"/>
          <w:sz w:val="24"/>
          <w:highlight w:val="none"/>
        </w:rPr>
      </w:pPr>
      <w:r/>
      <w:bookmarkStart w:id="1224"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1159"/>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115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115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1159"/>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1159"/>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59"/>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1191"/>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411"/>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411"/>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411"/>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411"/>
        <w:ind w:firstLine="400"/>
        <w:rPr>
          <w:color w:val="000000"/>
          <w:highlight w:val="none"/>
        </w:rPr>
      </w:pPr>
      <w:r>
        <w:rPr>
          <w:color w:val="000000"/>
          <w:highlight w:val="none"/>
        </w:rPr>
      </w:r>
      <w:r/>
    </w:p>
    <w:p>
      <w:pPr>
        <w:pStyle w:val="1411"/>
        <w:ind w:firstLine="400"/>
        <w:rPr>
          <w:color w:val="000000"/>
          <w:highlight w:val="none"/>
        </w:rPr>
      </w:pPr>
      <w:r>
        <w:rPr>
          <w:color w:val="000000"/>
          <w:highlight w:val="none"/>
        </w:rPr>
      </w:r>
      <w:r/>
    </w:p>
    <w:p>
      <w:pPr>
        <w:pStyle w:val="1159"/>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115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41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115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1159"/>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1159"/>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411"/>
        <w:ind w:firstLine="400"/>
        <w:rPr>
          <w:color w:val="000000"/>
          <w:highlight w:val="none"/>
        </w:rPr>
      </w:pPr>
      <w:r>
        <w:rPr>
          <w:color w:val="000000"/>
          <w:highlight w:val="none"/>
        </w:rPr>
      </w:r>
      <w:r/>
    </w:p>
    <w:p>
      <w:pPr>
        <w:pStyle w:val="1191"/>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411"/>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1"/>
        <w:spacing w:line="440" w:lineRule="exact"/>
        <w:tabs>
          <w:tab w:val="left" w:pos="567" w:leader="none"/>
        </w:tabs>
        <w:rPr>
          <w:rFonts w:cs="楷体"/>
          <w:color w:val="000000"/>
          <w:highlight w:val="none"/>
        </w:rPr>
      </w:pPr>
      <w:r>
        <w:rPr>
          <w:rFonts w:cs="楷体"/>
          <w:color w:val="000000"/>
          <w:highlight w:val="none"/>
        </w:rPr>
      </w:r>
      <w:r/>
    </w:p>
    <w:p>
      <w:pPr>
        <w:pStyle w:val="1191"/>
        <w:spacing w:line="440" w:lineRule="exact"/>
        <w:tabs>
          <w:tab w:val="left" w:pos="567" w:leader="none"/>
        </w:tabs>
        <w:rPr>
          <w:rFonts w:cs="楷体"/>
          <w:color w:val="000000"/>
          <w:highlight w:val="none"/>
        </w:rPr>
      </w:pPr>
      <w:r>
        <w:rPr>
          <w:rFonts w:cs="楷体"/>
          <w:color w:val="000000"/>
          <w:highlight w:val="none"/>
        </w:rPr>
      </w:r>
      <w:r/>
    </w:p>
    <w:p>
      <w:pPr>
        <w:pStyle w:val="1191"/>
        <w:spacing w:line="440" w:lineRule="exact"/>
        <w:tabs>
          <w:tab w:val="left" w:pos="567" w:leader="none"/>
        </w:tabs>
        <w:rPr>
          <w:rFonts w:cs="楷体"/>
          <w:color w:val="000000"/>
          <w:highlight w:val="none"/>
        </w:rPr>
      </w:pPr>
      <w:r>
        <w:rPr>
          <w:rFonts w:cs="楷体"/>
          <w:color w:val="000000"/>
          <w:highlight w:val="none"/>
        </w:rPr>
      </w:r>
      <w:r/>
    </w:p>
    <w:p>
      <w:pPr>
        <w:pStyle w:val="1159"/>
        <w:jc w:val="left"/>
        <w:widowControl/>
        <w:rPr>
          <w:rFonts w:ascii="宋体" w:hAnsi="宋体" w:cs="楷体"/>
          <w:color w:val="000000"/>
          <w:sz w:val="24"/>
          <w:highlight w:val="none"/>
        </w:rPr>
      </w:pPr>
      <w:r>
        <w:rPr>
          <w:rFonts w:ascii="宋体" w:hAnsi="宋体" w:cs="楷体"/>
          <w:color w:val="000000"/>
          <w:sz w:val="24"/>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159"/>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1159"/>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1159"/>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59"/>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59"/>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59"/>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5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59"/>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1159"/>
        <w:jc w:val="center"/>
        <w:spacing w:before="240" w:after="240" w:line="360" w:lineRule="auto"/>
        <w:rPr>
          <w:rFonts w:hint="eastAsia" w:ascii="Times New Roman" w:hAnsi="Times New Roman" w:eastAsia="宋体" w:cs="Times New Roman"/>
          <w:b/>
          <w:bCs/>
          <w:color w:val="ff0000"/>
          <w:sz w:val="32"/>
          <w:szCs w:val="32"/>
          <w:highlight w:val="none"/>
        </w:rPr>
      </w:pPr>
      <w:r/>
      <w:bookmarkEnd w:id="1224"/>
      <w:r>
        <w:rPr>
          <w:rFonts w:hint="eastAsia" w:ascii="Times New Roman" w:hAnsi="Times New Roman" w:eastAsia="宋体" w:cs="Times New Roman"/>
          <w:b/>
          <w:bCs/>
          <w:color w:val="ff0000"/>
          <w:sz w:val="32"/>
          <w:szCs w:val="32"/>
          <w:highlight w:val="none"/>
          <w:lang w:val="en-US" w:eastAsia="zh-CN"/>
        </w:rPr>
        <w:t xml:space="preserve">六、</w:t>
      </w:r>
      <w:r>
        <w:rPr>
          <w:rFonts w:hint="eastAsia" w:ascii="Times New Roman" w:hAnsi="Times New Roman" w:eastAsia="宋体" w:cs="Times New Roman"/>
          <w:b/>
          <w:bCs/>
          <w:color w:val="ff0000"/>
          <w:sz w:val="32"/>
          <w:szCs w:val="32"/>
          <w:highlight w:val="none"/>
        </w:rPr>
        <w:t xml:space="preserve">关于符合本国产品标准的声明函（</w:t>
      </w:r>
      <w:r>
        <w:rPr>
          <w:rFonts w:hint="eastAsia" w:ascii="Times New Roman" w:hAnsi="Times New Roman" w:eastAsia="宋体" w:cs="Times New Roman"/>
          <w:b/>
          <w:bCs/>
          <w:color w:val="ff0000"/>
          <w:sz w:val="32"/>
          <w:szCs w:val="32"/>
          <w:highlight w:val="none"/>
          <w:lang w:val="en-US" w:eastAsia="zh-CN"/>
        </w:rPr>
        <w:t xml:space="preserve">实质性格式</w:t>
      </w:r>
      <w:r>
        <w:rPr>
          <w:rFonts w:hint="eastAsia" w:ascii="Times New Roman" w:hAnsi="Times New Roman" w:eastAsia="宋体" w:cs="Times New Roman"/>
          <w:b/>
          <w:bCs/>
          <w:color w:val="ff0000"/>
          <w:sz w:val="32"/>
          <w:szCs w:val="32"/>
          <w:highlight w:val="none"/>
        </w:rPr>
        <w:t xml:space="preserve">）</w:t>
      </w:r>
      <w:r>
        <w:rPr>
          <w:rFonts w:hint="eastAsia" w:ascii="Times New Roman" w:hAnsi="Times New Roman" w:eastAsia="宋体" w:cs="Times New Roman"/>
          <w:b/>
          <w:bCs/>
          <w:color w:val="ff0000"/>
          <w:sz w:val="32"/>
          <w:szCs w:val="32"/>
          <w:highlight w:val="none"/>
        </w:rPr>
      </w:r>
      <w:r/>
    </w:p>
    <w:p>
      <w:pPr>
        <w:pStyle w:val="1221"/>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1221"/>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highlight w:val="none"/>
        </w:rPr>
      </w:r>
      <w:r/>
    </w:p>
    <w:p>
      <w:pPr>
        <w:pStyle w:val="1221"/>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236"/>
          <w:rFonts w:hint="eastAsia" w:ascii="宋体" w:hAnsi="宋体" w:eastAsia="宋体" w:cs="宋体"/>
          <w:i w:val="0"/>
          <w:color w:val="ff0000"/>
          <w:sz w:val="24"/>
          <w:szCs w:val="24"/>
          <w:highlight w:val="none"/>
          <w:u w:val="single"/>
          <w:shd w:val="clear" w:color="auto" w:fill="ffffff"/>
        </w:rPr>
        <w:t xml:space="preserve">（产品名称1）</w:t>
      </w:r>
      <w:r>
        <w:rPr>
          <w:rStyle w:val="1236"/>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236"/>
          <w:rFonts w:hint="eastAsia" w:ascii="宋体" w:hAnsi="宋体" w:eastAsia="宋体" w:cs="宋体"/>
          <w:i w:val="0"/>
          <w:color w:val="ff0000"/>
          <w:sz w:val="24"/>
          <w:szCs w:val="24"/>
          <w:highlight w:val="none"/>
          <w:u w:val="single"/>
          <w:shd w:val="clear" w:color="auto" w:fill="ffffff"/>
        </w:rPr>
        <w:t xml:space="preserve">（厂名）</w:t>
      </w:r>
      <w:r>
        <w:rPr>
          <w:rStyle w:val="1236"/>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236"/>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236"/>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236"/>
          <w:rFonts w:hint="eastAsia" w:ascii="宋体" w:hAnsi="宋体" w:eastAsia="宋体" w:cs="宋体"/>
          <w:i w:val="0"/>
          <w:color w:val="ff0000"/>
          <w:sz w:val="24"/>
          <w:szCs w:val="24"/>
          <w:highlight w:val="none"/>
          <w:u w:val="single"/>
          <w:shd w:val="clear" w:color="auto" w:fill="ffffff"/>
        </w:rPr>
        <w:t xml:space="preserve">（规定比例）</w:t>
      </w:r>
      <w:r>
        <w:rPr>
          <w:rStyle w:val="1236"/>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236"/>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236"/>
          <w:rFonts w:hint="eastAsia" w:ascii="宋体" w:hAnsi="宋体" w:eastAsia="宋体" w:cs="宋体"/>
          <w:i w:val="0"/>
          <w:color w:val="ff0000"/>
          <w:sz w:val="24"/>
          <w:szCs w:val="24"/>
          <w:highlight w:val="none"/>
          <w:u w:val="single"/>
          <w:shd w:val="clear" w:color="auto" w:fill="ffffff"/>
        </w:rPr>
        <w:t xml:space="preserve">（关键组件）</w:t>
      </w:r>
      <w:r>
        <w:rPr>
          <w:rStyle w:val="1236"/>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236"/>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236"/>
          <w:rFonts w:hint="eastAsia" w:ascii="宋体" w:hAnsi="宋体" w:eastAsia="宋体" w:cs="宋体"/>
          <w:i w:val="0"/>
          <w:color w:val="ff0000"/>
          <w:sz w:val="24"/>
          <w:szCs w:val="24"/>
          <w:highlight w:val="none"/>
          <w:u w:val="single"/>
          <w:shd w:val="clear" w:color="auto" w:fill="ffffff"/>
        </w:rPr>
        <w:t xml:space="preserve">（关键工序）</w:t>
      </w:r>
      <w:r>
        <w:rPr>
          <w:rStyle w:val="1236"/>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rPr>
          <w:rFonts w:hint="eastAsia" w:ascii="宋体" w:hAnsi="宋体" w:eastAsia="宋体" w:cs="宋体"/>
          <w:color w:val="ff0000"/>
          <w:sz w:val="24"/>
          <w:szCs w:val="24"/>
          <w:highlight w:val="none"/>
        </w:rPr>
      </w:r>
      <w:r/>
    </w:p>
    <w:p>
      <w:pPr>
        <w:pStyle w:val="1221"/>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236"/>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236"/>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236"/>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236"/>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236"/>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236"/>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236"/>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236"/>
          <w:rFonts w:hint="eastAsia" w:ascii="宋体" w:hAnsi="宋体" w:eastAsia="宋体" w:cs="宋体"/>
          <w:i w:val="0"/>
          <w:color w:val="ff0000"/>
          <w:sz w:val="24"/>
          <w:szCs w:val="24"/>
          <w:highlight w:val="none"/>
          <w:u w:val="single"/>
          <w:shd w:val="clear" w:color="auto" w:fill="ffffff"/>
        </w:rPr>
        <w:t xml:space="preserve">（产品名称</w:t>
      </w:r>
      <w:r>
        <w:rPr>
          <w:rStyle w:val="1236"/>
          <w:rFonts w:hint="eastAsia" w:eastAsia="宋体" w:cs="宋体"/>
          <w:i w:val="0"/>
          <w:color w:val="ff0000"/>
          <w:sz w:val="24"/>
          <w:szCs w:val="24"/>
          <w:highlight w:val="none"/>
          <w:u w:val="single"/>
          <w:shd w:val="clear" w:color="auto" w:fill="ffffff"/>
          <w:lang w:val="en-US" w:eastAsia="zh-CN"/>
        </w:rPr>
        <w:t xml:space="preserve">2</w:t>
      </w:r>
      <w:r>
        <w:rPr>
          <w:rStyle w:val="1236"/>
          <w:rFonts w:hint="eastAsia" w:ascii="宋体" w:hAnsi="宋体" w:eastAsia="宋体" w:cs="宋体"/>
          <w:i w:val="0"/>
          <w:color w:val="ff0000"/>
          <w:sz w:val="24"/>
          <w:szCs w:val="24"/>
          <w:highlight w:val="none"/>
          <w:u w:val="single"/>
          <w:shd w:val="clear" w:color="auto" w:fill="ffffff"/>
        </w:rPr>
        <w:t xml:space="preserve">）</w:t>
      </w:r>
      <w:r>
        <w:rPr>
          <w:rFonts w:hint="eastAsia" w:ascii="宋体" w:hAnsi="宋体" w:eastAsia="宋体" w:cs="宋体"/>
          <w:color w:val="ff0000"/>
          <w:sz w:val="24"/>
          <w:szCs w:val="24"/>
          <w:highlight w:val="none"/>
          <w:shd w:val="clear" w:color="auto" w:fill="ffffff"/>
        </w:rPr>
        <w:t xml:space="preserve">的</w:t>
      </w:r>
      <w:r>
        <w:rPr>
          <w:rStyle w:val="1236"/>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rPr>
          <w:rFonts w:hint="eastAsia" w:ascii="宋体" w:hAnsi="宋体" w:eastAsia="宋体" w:cs="宋体"/>
          <w:color w:val="ff0000"/>
          <w:sz w:val="24"/>
          <w:szCs w:val="24"/>
          <w:highlight w:val="none"/>
        </w:rPr>
      </w:r>
      <w:r/>
    </w:p>
    <w:p>
      <w:pPr>
        <w:pStyle w:val="1221"/>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rPr>
      </w:r>
      <w:r/>
    </w:p>
    <w:p>
      <w:pPr>
        <w:pStyle w:val="1221"/>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p>
      <w:pPr>
        <w:pStyle w:val="1221"/>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公司（单位）名称（盖章）：　        </w:t>
      </w:r>
      <w:r>
        <w:rPr>
          <w:rFonts w:hint="eastAsia" w:ascii="宋体" w:hAnsi="宋体" w:eastAsia="宋体" w:cs="宋体"/>
          <w:color w:val="ff0000"/>
          <w:sz w:val="24"/>
          <w:szCs w:val="24"/>
          <w:highlight w:val="none"/>
        </w:rPr>
      </w:r>
      <w:r/>
    </w:p>
    <w:p>
      <w:pPr>
        <w:pStyle w:val="1221"/>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                                日期：　   年　  月　  日         </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__________________</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1.产品如有型号，请在“产品名称”栏一并填写。</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ff0000"/>
          <w:sz w:val="24"/>
          <w:szCs w:val="24"/>
          <w:highlight w:val="none"/>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shd w:val="clear" w:color="auto" w:fill="ffffff"/>
        </w:rPr>
      </w:pPr>
      <w:r>
        <w:rPr>
          <w:rFonts w:hint="eastAsia" w:ascii="宋体" w:hAnsi="宋体" w:eastAsia="宋体" w:cs="宋体"/>
          <w:color w:val="ff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ff0000"/>
          <w:sz w:val="24"/>
          <w:szCs w:val="24"/>
          <w:highlight w:val="none"/>
          <w:shd w:val="clear" w:color="auto" w:fill="ffffff"/>
        </w:rPr>
      </w:r>
      <w:r/>
    </w:p>
    <w:p>
      <w:pPr>
        <w:pStyle w:val="1221"/>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highlight w:val="none"/>
          <w:shd w:val="clear" w:color="auto" w:fill="ffffff"/>
        </w:rPr>
      </w:pPr>
      <w:r>
        <w:rPr>
          <w:rFonts w:hint="eastAsia" w:ascii="宋体" w:hAnsi="宋体" w:eastAsia="宋体" w:cs="宋体"/>
          <w:color w:val="ff0000"/>
          <w:sz w:val="24"/>
          <w:szCs w:val="24"/>
          <w:highlight w:val="none"/>
          <w:shd w:val="clear" w:color="auto" w:fill="ffffff"/>
        </w:rPr>
        <w:t xml:space="preserve">6.用斜线划除的地方无需填写。</w:t>
      </w:r>
      <w:r>
        <w:rPr>
          <w:rFonts w:hint="eastAsia" w:ascii="宋体" w:hAnsi="宋体" w:eastAsia="宋体" w:cs="宋体"/>
          <w:color w:val="ff0000"/>
          <w:sz w:val="24"/>
          <w:szCs w:val="24"/>
          <w:highlight w:val="none"/>
          <w:shd w:val="clear" w:color="auto" w:fill="ffffff"/>
        </w:rPr>
      </w:r>
      <w:r/>
    </w:p>
    <w:p>
      <w:pPr>
        <w:pStyle w:val="1159"/>
        <w:ind w:firstLine="2890"/>
        <w:spacing w:line="400" w:lineRule="exact"/>
        <w:rPr>
          <w:rFonts w:hint="eastAsia"/>
          <w:b/>
          <w:color w:val="000000"/>
          <w:spacing w:val="20"/>
          <w:sz w:val="32"/>
          <w:szCs w:val="32"/>
          <w:highlight w:val="none"/>
        </w:rPr>
        <w:sectPr>
          <w:headerReference w:type="even" r:id="rId16"/>
          <w:headerReference w:type="first" r:id="rId17"/>
          <w:footerReference w:type="even" r:id="rId25"/>
          <w:footerReference w:type="first" r:id="rId26"/>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1159"/>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191"/>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1159"/>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1159"/>
        <w:numPr>
          <w:ilvl w:val="1"/>
          <w:numId w:val="9"/>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1159"/>
        <w:numPr>
          <w:ilvl w:val="1"/>
          <w:numId w:val="9"/>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1159"/>
        <w:ind w:firstLine="480"/>
        <w:spacing w:line="400" w:lineRule="exact"/>
        <w:rPr>
          <w:rFonts w:ascii="宋体" w:hAnsi="宋体"/>
          <w:color w:val="000000"/>
          <w:sz w:val="24"/>
          <w:highlight w:val="none"/>
        </w:rPr>
      </w:pPr>
      <w:r>
        <w:rPr>
          <w:rFonts w:ascii="宋体" w:hAnsi="宋体"/>
          <w:color w:val="000000"/>
          <w:sz w:val="24"/>
          <w:highlight w:val="none"/>
        </w:rPr>
      </w:r>
      <w:r/>
    </w:p>
    <w:p>
      <w:pPr>
        <w:pStyle w:val="1159"/>
        <w:ind w:firstLine="480"/>
        <w:spacing w:line="400" w:lineRule="exact"/>
        <w:rPr>
          <w:rFonts w:ascii="宋体" w:hAnsi="宋体"/>
          <w:color w:val="000000"/>
          <w:sz w:val="24"/>
          <w:highlight w:val="none"/>
        </w:rPr>
      </w:pPr>
      <w:r>
        <w:rPr>
          <w:rFonts w:ascii="宋体" w:hAnsi="宋体"/>
          <w:color w:val="000000"/>
          <w:sz w:val="24"/>
          <w:highlight w:val="none"/>
        </w:rPr>
      </w:r>
      <w:r/>
    </w:p>
    <w:p>
      <w:pPr>
        <w:pStyle w:val="1159"/>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9"/>
        <w:jc w:val="center"/>
        <w:rPr>
          <w:rFonts w:ascii="宋体" w:hAnsi="宋体"/>
          <w:color w:val="000000"/>
          <w:sz w:val="24"/>
          <w:szCs w:val="20"/>
          <w:highlight w:val="none"/>
        </w:rPr>
      </w:pPr>
      <w:r>
        <w:rPr>
          <w:rFonts w:ascii="宋体" w:hAnsi="宋体"/>
          <w:color w:val="000000"/>
          <w:sz w:val="24"/>
          <w:szCs w:val="20"/>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b/>
          <w:color w:val="000000"/>
          <w:spacing w:val="20"/>
          <w:sz w:val="32"/>
          <w:szCs w:val="32"/>
          <w:highlight w:val="none"/>
        </w:rPr>
      </w:pPr>
      <w:r>
        <w:rPr>
          <w:b/>
          <w:color w:val="000000"/>
          <w:spacing w:val="20"/>
          <w:sz w:val="32"/>
          <w:szCs w:val="32"/>
          <w:highlight w:val="none"/>
        </w:rPr>
      </w:r>
      <w:r/>
    </w:p>
    <w:p>
      <w:pPr>
        <w:pStyle w:val="1159"/>
        <w:spacing w:line="400" w:lineRule="exact"/>
        <w:rPr>
          <w:b/>
          <w:color w:val="000000"/>
          <w:spacing w:val="20"/>
          <w:sz w:val="32"/>
          <w:szCs w:val="32"/>
          <w:highlight w:val="none"/>
        </w:rPr>
      </w:pPr>
      <w:r>
        <w:rPr>
          <w:b/>
          <w:color w:val="000000"/>
          <w:spacing w:val="20"/>
          <w:sz w:val="32"/>
          <w:szCs w:val="32"/>
          <w:highlight w:val="none"/>
        </w:rPr>
      </w:r>
      <w:r/>
    </w:p>
    <w:p>
      <w:pPr>
        <w:pStyle w:val="1159"/>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1159"/>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1159"/>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1159"/>
        <w:numPr>
          <w:ilvl w:val="0"/>
          <w:numId w:val="10"/>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1159"/>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9"/>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1159"/>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1159"/>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59"/>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b/>
          <w:color w:val="000000"/>
          <w:spacing w:val="20"/>
          <w:sz w:val="30"/>
          <w:szCs w:val="30"/>
          <w:highlight w:val="none"/>
        </w:rPr>
      </w:pPr>
      <w:r>
        <w:rPr>
          <w:b/>
          <w:color w:val="000000"/>
          <w:spacing w:val="20"/>
          <w:sz w:val="30"/>
          <w:szCs w:val="30"/>
          <w:highlight w:val="none"/>
        </w:rPr>
      </w:r>
      <w:r/>
    </w:p>
    <w:p>
      <w:pPr>
        <w:pStyle w:val="1159"/>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1159"/>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1159"/>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1159"/>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1159"/>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1159"/>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91"/>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1191"/>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1159"/>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1159"/>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9"/>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1191"/>
        <w:tabs>
          <w:tab w:val="left" w:pos="567" w:leader="none"/>
        </w:tabs>
        <w:rPr>
          <w:rFonts w:cs="楷体"/>
          <w:color w:val="000000"/>
          <w:szCs w:val="20"/>
          <w:highlight w:val="none"/>
        </w:rPr>
      </w:pPr>
      <w:r>
        <w:rPr>
          <w:rFonts w:cs="楷体"/>
          <w:color w:val="000000"/>
          <w:szCs w:val="20"/>
          <w:highlight w:val="none"/>
        </w:rPr>
      </w:r>
      <w:r/>
    </w:p>
    <w:p>
      <w:pPr>
        <w:pStyle w:val="1159"/>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1159"/>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1159"/>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1159"/>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1159"/>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1191"/>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1191"/>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1191"/>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1159"/>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1159"/>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1159"/>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1159"/>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411"/>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59"/>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59"/>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1159"/>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1159"/>
        <w:spacing w:line="440" w:lineRule="exact"/>
        <w:widowControl/>
        <w:rPr>
          <w:rFonts w:ascii="宋体" w:hAnsi="宋体"/>
          <w:b/>
          <w:color w:val="000000"/>
          <w:sz w:val="24"/>
          <w:highlight w:val="none"/>
        </w:rPr>
      </w:pPr>
      <w:r>
        <w:rPr>
          <w:rFonts w:ascii="宋体" w:hAnsi="宋体"/>
          <w:b/>
          <w:color w:val="000000"/>
          <w:sz w:val="24"/>
          <w:highlight w:val="none"/>
        </w:rPr>
      </w:r>
      <w:r/>
    </w:p>
    <w:p>
      <w:pPr>
        <w:pStyle w:val="1159"/>
        <w:spacing w:line="440" w:lineRule="exact"/>
        <w:widowControl/>
        <w:rPr>
          <w:rFonts w:ascii="宋体" w:hAnsi="宋体"/>
          <w:b/>
          <w:color w:val="000000"/>
          <w:sz w:val="24"/>
          <w:highlight w:val="none"/>
        </w:rPr>
      </w:pPr>
      <w:r>
        <w:rPr>
          <w:rFonts w:ascii="宋体" w:hAnsi="宋体"/>
          <w:b/>
          <w:color w:val="000000"/>
          <w:sz w:val="24"/>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413"/>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413"/>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1159"/>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1159"/>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9"/>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9"/>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9"/>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409"/>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159"/>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9"/>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1159"/>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9"/>
        <w:numPr>
          <w:ilvl w:val="0"/>
          <w:numId w:val="11"/>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1159"/>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9"/>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9"/>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9"/>
        <w:numPr>
          <w:ilvl w:val="0"/>
          <w:numId w:val="11"/>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1159"/>
        <w:numPr>
          <w:ilvl w:val="0"/>
          <w:numId w:val="11"/>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1159"/>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1159"/>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1159"/>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1159"/>
        <w:ind w:firstLine="471"/>
        <w:spacing w:line="360" w:lineRule="auto"/>
        <w:rPr>
          <w:color w:val="000000"/>
          <w:sz w:val="24"/>
          <w:highlight w:val="none"/>
        </w:rPr>
      </w:pPr>
      <w:r>
        <w:rPr>
          <w:color w:val="000000"/>
          <w:sz w:val="24"/>
          <w:highlight w:val="none"/>
        </w:rPr>
      </w:r>
      <w:r/>
    </w:p>
    <w:p>
      <w:pPr>
        <w:pStyle w:val="1159"/>
        <w:ind w:firstLine="471"/>
        <w:spacing w:line="360" w:lineRule="auto"/>
        <w:rPr>
          <w:color w:val="000000"/>
          <w:sz w:val="24"/>
          <w:highlight w:val="none"/>
        </w:rPr>
      </w:pPr>
      <w:r>
        <w:rPr>
          <w:color w:val="000000"/>
          <w:sz w:val="24"/>
          <w:highlight w:val="none"/>
        </w:rPr>
      </w:r>
      <w:r/>
    </w:p>
    <w:p>
      <w:pPr>
        <w:pStyle w:val="1159"/>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1159"/>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1159"/>
        <w:ind w:firstLine="471"/>
        <w:spacing w:line="360" w:lineRule="auto"/>
        <w:rPr>
          <w:color w:val="000000"/>
          <w:sz w:val="24"/>
          <w:highlight w:val="none"/>
        </w:rPr>
      </w:pPr>
      <w:r>
        <w:rPr>
          <w:color w:val="000000"/>
          <w:sz w:val="24"/>
          <w:highlight w:val="none"/>
        </w:rPr>
      </w:r>
      <w:r/>
    </w:p>
    <w:p>
      <w:pPr>
        <w:pStyle w:val="1159"/>
        <w:ind w:firstLine="471"/>
        <w:spacing w:line="360" w:lineRule="auto"/>
        <w:rPr>
          <w:color w:val="000000"/>
          <w:sz w:val="24"/>
          <w:highlight w:val="none"/>
        </w:rPr>
      </w:pPr>
      <w:r>
        <w:rPr>
          <w:color w:val="000000"/>
          <w:sz w:val="24"/>
          <w:highlight w:val="none"/>
        </w:rPr>
      </w:r>
      <w:r/>
    </w:p>
    <w:p>
      <w:pPr>
        <w:pStyle w:val="1159"/>
        <w:ind w:left="480"/>
        <w:jc w:val="right"/>
        <w:spacing w:line="360" w:lineRule="auto"/>
        <w:rPr>
          <w:color w:val="000000"/>
          <w:sz w:val="24"/>
          <w:highlight w:val="none"/>
        </w:rPr>
      </w:pPr>
      <w:r>
        <w:rPr>
          <w:color w:val="000000"/>
          <w:sz w:val="24"/>
          <w:highlight w:val="none"/>
        </w:rPr>
      </w:r>
      <w:r/>
    </w:p>
    <w:p>
      <w:pPr>
        <w:pStyle w:val="1159"/>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1159"/>
        <w:ind w:left="480"/>
        <w:jc w:val="right"/>
        <w:spacing w:line="360" w:lineRule="auto"/>
        <w:rPr>
          <w:b/>
          <w:color w:val="000000"/>
          <w:sz w:val="24"/>
          <w:highlight w:val="none"/>
        </w:rPr>
      </w:pPr>
      <w:r>
        <w:rPr>
          <w:b/>
          <w:color w:val="000000"/>
          <w:sz w:val="24"/>
          <w:highlight w:val="none"/>
        </w:rPr>
      </w:r>
      <w:r/>
    </w:p>
    <w:p>
      <w:pPr>
        <w:pStyle w:val="1159"/>
        <w:ind w:firstLine="480"/>
        <w:spacing w:line="360" w:lineRule="auto"/>
        <w:tabs>
          <w:tab w:val="left" w:pos="8280" w:leader="none"/>
        </w:tabs>
        <w:rPr>
          <w:color w:val="000000"/>
          <w:sz w:val="24"/>
          <w:highlight w:val="none"/>
        </w:rPr>
      </w:pPr>
      <w:r>
        <w:rPr>
          <w:color w:val="000000"/>
          <w:sz w:val="24"/>
          <w:highlight w:val="none"/>
        </w:rPr>
      </w:r>
      <w:r/>
    </w:p>
    <w:p>
      <w:pPr>
        <w:pStyle w:val="1159"/>
        <w:ind w:firstLine="480"/>
        <w:spacing w:line="360" w:lineRule="auto"/>
        <w:tabs>
          <w:tab w:val="left" w:pos="8280" w:leader="none"/>
        </w:tabs>
        <w:rPr>
          <w:color w:val="000000"/>
          <w:sz w:val="24"/>
          <w:highlight w:val="none"/>
        </w:rPr>
      </w:pPr>
      <w:r>
        <w:rPr>
          <w:color w:val="000000"/>
          <w:sz w:val="24"/>
          <w:highlight w:val="none"/>
        </w:rPr>
      </w:r>
      <w:r/>
    </w:p>
    <w:p>
      <w:pPr>
        <w:pStyle w:val="1159"/>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1162"/>
        <w:rPr>
          <w:color w:val="000000"/>
          <w:highlight w:val="none"/>
        </w:rPr>
      </w:pPr>
      <w:r>
        <w:rPr>
          <w:color w:val="000000"/>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rPr>
          <w:rFonts w:ascii="宋体" w:hAnsi="宋体" w:cs="宋体"/>
          <w:b/>
          <w:color w:val="000000"/>
          <w:sz w:val="28"/>
          <w:szCs w:val="28"/>
          <w:highlight w:val="none"/>
        </w:rPr>
      </w:pPr>
      <w:r>
        <w:rPr>
          <w:rFonts w:ascii="宋体" w:hAnsi="宋体" w:cs="宋体"/>
          <w:b/>
          <w:color w:val="000000"/>
          <w:sz w:val="28"/>
          <w:szCs w:val="28"/>
          <w:highlight w:val="none"/>
        </w:rPr>
      </w:r>
      <w:r/>
    </w:p>
    <w:p>
      <w:pPr>
        <w:pStyle w:val="1159"/>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1159"/>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1159"/>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1159"/>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1159"/>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1162"/>
        <w:rPr>
          <w:color w:val="000000"/>
          <w:highlight w:val="none"/>
        </w:rPr>
      </w:pPr>
      <w:r>
        <w:rPr>
          <w:color w:val="000000"/>
          <w:highlight w:val="none"/>
        </w:rPr>
      </w:r>
      <w:r/>
    </w:p>
    <w:p>
      <w:pPr>
        <w:pStyle w:val="1159"/>
        <w:rPr>
          <w:color w:val="000000"/>
          <w:highlight w:val="none"/>
        </w:rPr>
      </w:pPr>
      <w:r>
        <w:rPr>
          <w:color w:val="000000"/>
          <w:highlight w:val="none"/>
        </w:rPr>
      </w:r>
      <w:r/>
    </w:p>
    <w:p>
      <w:pPr>
        <w:pStyle w:val="1159"/>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1159"/>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1159"/>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1159"/>
        <w:spacing w:line="360" w:lineRule="auto"/>
        <w:rPr>
          <w:rFonts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ascii="宋体" w:hAnsi="宋体" w:cs="宋体"/>
          <w:color w:val="000000"/>
          <w:sz w:val="20"/>
          <w:szCs w:val="21"/>
          <w:highlight w:val="none"/>
          <w:lang w:bidi="ar"/>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116"/>
        <w:gridCol w:w="1645"/>
        <w:gridCol w:w="1668"/>
        <w:gridCol w:w="1780"/>
        <w:gridCol w:w="934"/>
      </w:tblGrid>
      <w:tr>
        <w:trPr>
          <w:cantSplit/>
          <w:trHeight w:val="920"/>
        </w:trPr>
        <w:tc>
          <w:tcPr>
            <w:tcW w:w="330" w:type="dxa"/>
            <w:vAlign w:val="center"/>
            <w:textDirection w:val="lrTb"/>
            <w:noWrap w:val="false"/>
          </w:tcPr>
          <w:p>
            <w:pPr>
              <w:pStyle w:val="1159"/>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序号</w:t>
            </w:r>
            <w:r>
              <w:rPr>
                <w:rFonts w:ascii="宋体" w:hAnsi="宋体" w:cs="宋体"/>
                <w:color w:val="000000"/>
                <w:sz w:val="24"/>
                <w:highlight w:val="none"/>
              </w:rPr>
            </w:r>
            <w:r/>
          </w:p>
        </w:tc>
        <w:tc>
          <w:tcPr>
            <w:tcW w:w="1213" w:type="dxa"/>
            <w:vAlign w:val="center"/>
            <w:textDirection w:val="lrTb"/>
            <w:noWrap w:val="false"/>
          </w:tcPr>
          <w:p>
            <w:pPr>
              <w:pStyle w:val="1159"/>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名称及内容</w:t>
            </w:r>
            <w:r>
              <w:rPr>
                <w:rFonts w:ascii="宋体" w:hAnsi="宋体" w:cs="宋体"/>
                <w:color w:val="000000"/>
                <w:sz w:val="24"/>
                <w:highlight w:val="none"/>
              </w:rPr>
            </w:r>
            <w:r/>
          </w:p>
        </w:tc>
        <w:tc>
          <w:tcPr>
            <w:tcW w:w="943" w:type="dxa"/>
            <w:vAlign w:val="center"/>
            <w:textDirection w:val="lrTb"/>
            <w:noWrap w:val="false"/>
          </w:tcPr>
          <w:p>
            <w:pPr>
              <w:pStyle w:val="1159"/>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磋商文件技术参数</w:t>
            </w:r>
            <w:r>
              <w:rPr>
                <w:rFonts w:ascii="宋体" w:hAnsi="宋体" w:cs="宋体"/>
                <w:color w:val="000000"/>
                <w:sz w:val="24"/>
                <w:highlight w:val="none"/>
              </w:rPr>
            </w:r>
            <w:r/>
          </w:p>
        </w:tc>
        <w:tc>
          <w:tcPr>
            <w:tcW w:w="956" w:type="dxa"/>
            <w:vAlign w:val="center"/>
            <w:textDirection w:val="lrTb"/>
            <w:noWrap w:val="false"/>
          </w:tcPr>
          <w:p>
            <w:pPr>
              <w:pStyle w:val="1159"/>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响应文件技术参数</w:t>
            </w:r>
            <w:r>
              <w:rPr>
                <w:rFonts w:ascii="宋体" w:hAnsi="宋体" w:cs="宋体"/>
                <w:color w:val="000000"/>
                <w:sz w:val="24"/>
                <w:highlight w:val="none"/>
              </w:rPr>
            </w:r>
            <w:r/>
          </w:p>
        </w:tc>
        <w:tc>
          <w:tcPr>
            <w:tcW w:w="1020" w:type="dxa"/>
            <w:vAlign w:val="center"/>
            <w:textDirection w:val="lrTb"/>
            <w:noWrap w:val="false"/>
          </w:tcPr>
          <w:p>
            <w:pPr>
              <w:pStyle w:val="1159"/>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证明材料</w:t>
            </w:r>
            <w:r>
              <w:rPr>
                <w:rFonts w:ascii="宋体" w:hAnsi="宋体" w:cs="宋体"/>
                <w:color w:val="000000"/>
                <w:sz w:val="24"/>
                <w:highlight w:val="none"/>
              </w:rPr>
            </w:r>
            <w:r/>
          </w:p>
        </w:tc>
        <w:tc>
          <w:tcPr>
            <w:tcW w:w="535" w:type="dxa"/>
            <w:vAlign w:val="center"/>
            <w:textDirection w:val="lrTb"/>
            <w:noWrap w:val="false"/>
          </w:tcPr>
          <w:p>
            <w:pPr>
              <w:pStyle w:val="1159"/>
              <w:ind w:firstLine="480"/>
              <w:jc w:val="center"/>
              <w:keepLines w:val="0"/>
              <w:keepNext w:val="0"/>
              <w:pageBreakBefore w:val="0"/>
              <w:widowControl w:val="off"/>
              <w:rPr>
                <w:rFonts w:ascii="宋体" w:hAnsi="宋体" w:cs="黑体"/>
                <w:bCs/>
                <w:color w:val="000000"/>
                <w:sz w:val="24"/>
                <w:highlight w:val="none"/>
              </w:rPr>
            </w:pPr>
            <w:r>
              <w:rPr>
                <w:rFonts w:ascii="宋体" w:hAnsi="宋体" w:cs="黑体"/>
                <w:bCs/>
                <w:color w:val="000000"/>
                <w:sz w:val="24"/>
                <w:highlight w:val="none"/>
              </w:rPr>
            </w:r>
            <w:r/>
          </w:p>
          <w:p>
            <w:pPr>
              <w:pStyle w:val="1159"/>
              <w:jc w:val="center"/>
              <w:keepLines w:val="0"/>
              <w:keepNext w:val="0"/>
              <w:pageBreakBefore w:val="0"/>
              <w:widowControl w:val="off"/>
              <w:rPr>
                <w:rFonts w:ascii="宋体" w:hAnsi="宋体" w:cs="黑体"/>
                <w:bCs/>
                <w:color w:val="000000"/>
                <w:sz w:val="24"/>
                <w:highlight w:val="none"/>
              </w:rPr>
            </w:pPr>
            <w:r>
              <w:rPr>
                <w:rFonts w:hint="eastAsia" w:ascii="宋体" w:hAnsi="宋体" w:cs="黑体"/>
                <w:bCs/>
                <w:color w:val="000000"/>
                <w:sz w:val="24"/>
                <w:highlight w:val="none"/>
              </w:rPr>
              <w:t xml:space="preserve">偏离情况</w:t>
            </w:r>
            <w:r>
              <w:rPr>
                <w:rFonts w:ascii="宋体" w:hAnsi="宋体" w:cs="黑体"/>
                <w:bCs/>
                <w:color w:val="000000"/>
                <w:sz w:val="24"/>
                <w:highlight w:val="none"/>
              </w:rPr>
            </w:r>
            <w:r/>
          </w:p>
          <w:p>
            <w:pPr>
              <w:pStyle w:val="1159"/>
              <w:jc w:val="center"/>
              <w:keepLines w:val="0"/>
              <w:keepNext w:val="0"/>
              <w:pageBreakBefore w:val="0"/>
              <w:widowControl w:val="off"/>
              <w:rPr>
                <w:rFonts w:ascii="宋体" w:hAnsi="宋体" w:cs="宋体"/>
                <w:color w:val="000000"/>
                <w:sz w:val="24"/>
                <w:highlight w:val="none"/>
              </w:rPr>
            </w:pPr>
            <w:r>
              <w:rPr>
                <w:rFonts w:ascii="宋体" w:hAnsi="宋体" w:cs="宋体"/>
                <w:color w:val="000000"/>
                <w:sz w:val="24"/>
                <w:highlight w:val="none"/>
              </w:rPr>
            </w:r>
            <w:r/>
          </w:p>
        </w:tc>
      </w:tr>
      <w:tr>
        <w:trPr>
          <w:trHeight w:val="363"/>
        </w:trPr>
        <w:tc>
          <w:tcPr>
            <w:tcW w:w="330" w:type="dxa"/>
            <w:vAlign w:val="center"/>
            <w:textDirection w:val="lrTb"/>
            <w:noWrap w:val="false"/>
          </w:tcPr>
          <w:p>
            <w:pPr>
              <w:pStyle w:val="1159"/>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1159"/>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535" w:type="dxa"/>
            <w:vAlign w:val="center"/>
            <w:textDirection w:val="lrTb"/>
            <w:noWrap w:val="false"/>
          </w:tcPr>
          <w:p>
            <w:pPr>
              <w:pStyle w:val="1159"/>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1159"/>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1159"/>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1159"/>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1159"/>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1159"/>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1159"/>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1159"/>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1159"/>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1159"/>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1159"/>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59"/>
        <w:spacing w:line="360" w:lineRule="auto"/>
        <w:rPr>
          <w:rFonts w:hint="eastAsia" w:ascii="黑体" w:hAnsi="Times New Roman" w:eastAsia="黑体" w:cs="黑体"/>
          <w:bCs/>
          <w:color w:val="000000"/>
          <w:sz w:val="24"/>
          <w:highlight w:val="none"/>
          <w:lang w:bidi="ar"/>
        </w:rPr>
      </w:pPr>
      <w:r>
        <w:rPr>
          <w:rFonts w:hint="eastAsia" w:ascii="黑体" w:hAnsi="Times New Roman" w:eastAsia="黑体" w:cs="黑体"/>
          <w:bCs/>
          <w:color w:val="000000"/>
          <w:sz w:val="24"/>
          <w:highlight w:val="none"/>
          <w:lang w:bidi="ar"/>
        </w:rPr>
      </w:r>
      <w:r/>
    </w:p>
    <w:p>
      <w:pPr>
        <w:pStyle w:val="1159"/>
        <w:ind w:firstLine="3360"/>
        <w:spacing w:line="360" w:lineRule="auto"/>
        <w:rPr>
          <w:rFonts w:ascii="黑体" w:eastAsia="黑体" w:cs="黑体"/>
          <w:bCs/>
          <w:color w:val="000000"/>
          <w:sz w:val="24"/>
          <w:highlight w:val="none"/>
          <w:lang w:bidi="ar"/>
        </w:rPr>
      </w:pPr>
      <w:r>
        <w:rPr>
          <w:rFonts w:hint="eastAsia" w:ascii="黑体" w:hAnsi="Times New Roman" w:eastAsia="黑体" w:cs="黑体"/>
          <w:bCs/>
          <w:color w:val="000000"/>
          <w:sz w:val="24"/>
          <w:highlight w:val="none"/>
          <w:lang w:bidi="ar"/>
        </w:rPr>
        <w:t xml:space="preserve">供应商名称（加盖CA电子公章）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1159"/>
        <w:ind w:firstLine="336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ascii="黑体" w:eastAsia="黑体" w:cs="黑体"/>
          <w:bCs/>
          <w:color w:val="000000"/>
          <w:sz w:val="24"/>
          <w:highlight w:val="none"/>
          <w:lang w:bidi="ar"/>
        </w:rPr>
      </w:r>
      <w:r/>
    </w:p>
    <w:p>
      <w:pPr>
        <w:pStyle w:val="1159"/>
        <w:keepLines w:val="0"/>
        <w:keepNext w:val="0"/>
        <w:pageBreakBefore w:val="0"/>
        <w:spacing w:line="360" w:lineRule="auto"/>
        <w:widowControl w:val="off"/>
        <w:rPr>
          <w:b/>
          <w:color w:val="000000"/>
          <w:sz w:val="24"/>
          <w:szCs w:val="20"/>
          <w:highlight w:val="none"/>
        </w:rPr>
      </w:pPr>
      <w:r>
        <w:rPr>
          <w:rFonts w:hint="eastAsia"/>
          <w:b/>
          <w:color w:val="000000"/>
          <w:sz w:val="24"/>
          <w:szCs w:val="20"/>
          <w:highlight w:val="none"/>
        </w:rPr>
        <w:t xml:space="preserve">注意事项：</w:t>
      </w:r>
      <w:r>
        <w:rPr>
          <w:b/>
          <w:color w:val="000000"/>
          <w:sz w:val="24"/>
          <w:szCs w:val="20"/>
          <w:highlight w:val="none"/>
        </w:rPr>
      </w:r>
      <w:r/>
    </w:p>
    <w:p>
      <w:pPr>
        <w:pStyle w:val="1159"/>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磋商文件</w:t>
      </w:r>
      <w:r>
        <w:rPr>
          <w:rFonts w:ascii="Times New Roman" w:hAnsi="Times New Roman" w:cs="Times New Roman"/>
          <w:b/>
          <w:bCs/>
          <w:color w:val="000000"/>
          <w:sz w:val="24"/>
          <w:highlight w:val="none"/>
        </w:rPr>
        <w:t xml:space="preserve">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1159"/>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w:t>
      </w:r>
      <w:r>
        <w:rPr>
          <w:rFonts w:hint="eastAsia" w:ascii="Times New Roman" w:hAnsi="Times New Roman" w:cs="Times New Roman"/>
          <w:b/>
          <w:bCs/>
          <w:color w:val="000000"/>
          <w:sz w:val="24"/>
          <w:highlight w:val="none"/>
          <w:lang w:eastAsia="zh-CN"/>
        </w:rPr>
        <w:t xml:space="preserve">磋商文件</w:t>
      </w:r>
      <w:r>
        <w:rPr>
          <w:rFonts w:ascii="Times New Roman" w:hAnsi="Times New Roman" w:cs="Times New Roman"/>
          <w:b/>
          <w:bCs/>
          <w:color w:val="000000"/>
          <w:sz w:val="24"/>
          <w:highlight w:val="none"/>
        </w:rPr>
        <w:t xml:space="preserve">要求需提供“证明材料”的，需填写证明材料名称；</w:t>
      </w:r>
      <w:r>
        <w:rPr>
          <w:rFonts w:hint="eastAsia" w:ascii="Times New Roman" w:hAnsi="Times New Roman" w:cs="Times New Roman"/>
          <w:b/>
          <w:bCs/>
          <w:color w:val="000000"/>
          <w:sz w:val="24"/>
          <w:highlight w:val="none"/>
          <w:lang w:eastAsia="zh-CN"/>
        </w:rPr>
        <w:t xml:space="preserve">磋商文件</w:t>
      </w:r>
      <w:r>
        <w:rPr>
          <w:rFonts w:ascii="Times New Roman" w:hAnsi="Times New Roman" w:cs="Times New Roman"/>
          <w:b/>
          <w:bCs/>
          <w:color w:val="000000"/>
          <w:sz w:val="24"/>
          <w:highlight w:val="none"/>
        </w:rPr>
        <w:t xml:space="preserve">未要求提供“证明材料”的，可不填写。</w:t>
      </w:r>
      <w:r>
        <w:rPr>
          <w:rFonts w:ascii="Times New Roman" w:hAnsi="Times New Roman" w:cs="Times New Roman"/>
          <w:b/>
          <w:bCs/>
          <w:color w:val="000000"/>
          <w:sz w:val="24"/>
          <w:highlight w:val="none"/>
        </w:rPr>
      </w:r>
      <w:r/>
    </w:p>
    <w:p>
      <w:pPr>
        <w:pStyle w:val="1159"/>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w:t>
      </w:r>
      <w:r>
        <w:rPr>
          <w:rFonts w:hint="eastAsia" w:ascii="Times New Roman" w:hAnsi="Times New Roman" w:cs="Times New Roman"/>
          <w:b/>
          <w:bCs/>
          <w:color w:val="000000"/>
          <w:sz w:val="24"/>
          <w:highlight w:val="none"/>
          <w:lang w:val="en-US" w:eastAsia="zh-CN"/>
        </w:rPr>
        <w:t xml:space="preserve">竞争性磋商</w:t>
      </w:r>
      <w:r>
        <w:rPr>
          <w:rFonts w:ascii="Times New Roman" w:hAnsi="Times New Roman" w:cs="Times New Roman"/>
          <w:b/>
          <w:bCs/>
          <w:color w:val="000000"/>
          <w:sz w:val="24"/>
          <w:highlight w:val="none"/>
        </w:rPr>
        <w:t xml:space="preserve">文件的要求存在偏离，偏离情况可填写“正偏离”或“负偏离”；如完全满足</w:t>
      </w:r>
      <w:r>
        <w:rPr>
          <w:rFonts w:hint="eastAsia" w:ascii="Times New Roman" w:hAnsi="Times New Roman" w:cs="Times New Roman"/>
          <w:b/>
          <w:bCs/>
          <w:color w:val="000000"/>
          <w:sz w:val="24"/>
          <w:highlight w:val="none"/>
          <w:lang w:val="en-US" w:eastAsia="zh-CN"/>
        </w:rPr>
        <w:t xml:space="preserve">竞争性磋商</w:t>
      </w:r>
      <w:r>
        <w:rPr>
          <w:rFonts w:ascii="Times New Roman" w:hAnsi="Times New Roman" w:cs="Times New Roman"/>
          <w:b/>
          <w:bCs/>
          <w:color w:val="000000"/>
          <w:sz w:val="24"/>
          <w:highlight w:val="none"/>
        </w:rPr>
        <w:t xml:space="preserve">文件要求，偏离情况填写“完全满足”即可。</w:t>
      </w:r>
      <w:r>
        <w:rPr>
          <w:rFonts w:ascii="Times New Roman" w:hAnsi="Times New Roman" w:cs="Times New Roman"/>
          <w:b/>
          <w:bCs/>
          <w:color w:val="000000"/>
          <w:sz w:val="24"/>
          <w:highlight w:val="none"/>
        </w:rPr>
      </w:r>
      <w:r/>
    </w:p>
    <w:p>
      <w:pPr>
        <w:pStyle w:val="1159"/>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1159"/>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115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1159"/>
        <w:spacing w:line="360" w:lineRule="auto"/>
        <w:rPr>
          <w:rFonts w:ascii="宋体" w:hAnsi="宋体"/>
          <w:color w:val="000000"/>
          <w:sz w:val="22"/>
          <w:highlight w:val="none"/>
        </w:rPr>
      </w:pPr>
      <w:r>
        <w:rPr>
          <w:rFonts w:ascii="宋体" w:hAnsi="宋体"/>
          <w:color w:val="000000"/>
          <w:sz w:val="22"/>
          <w:highlight w:val="none"/>
        </w:rPr>
      </w:r>
      <w:r/>
    </w:p>
    <w:p>
      <w:pPr>
        <w:pStyle w:val="11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59"/>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59"/>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1159"/>
        <w:spacing w:line="360" w:lineRule="auto"/>
        <w:rPr>
          <w:rFonts w:ascii="宋体" w:hAnsi="宋体"/>
          <w:color w:val="000000"/>
          <w:sz w:val="24"/>
          <w:highlight w:val="none"/>
        </w:rPr>
      </w:pPr>
      <w:r>
        <w:rPr>
          <w:rFonts w:ascii="宋体" w:hAnsi="宋体"/>
          <w:color w:val="000000"/>
          <w:sz w:val="24"/>
          <w:highlight w:val="none"/>
        </w:rPr>
      </w:r>
      <w:r/>
    </w:p>
    <w:p>
      <w:pPr>
        <w:pStyle w:val="1159"/>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9"/>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1159"/>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159"/>
        <w:rPr>
          <w:color w:val="000000"/>
          <w:sz w:val="24"/>
          <w:szCs w:val="20"/>
          <w:highlight w:val="none"/>
        </w:rPr>
      </w:pPr>
      <w:r>
        <w:rPr>
          <w:color w:val="000000"/>
          <w:sz w:val="22"/>
          <w:highlight w:val="none"/>
        </w:rPr>
        <w:br w:type="page" w:clear="all"/>
      </w:r>
      <w:bookmarkStart w:id="1225" w:name="_Toc288738397"/>
      <w:r/>
      <w:bookmarkStart w:id="1226" w:name="_Toc288738839"/>
      <w:r>
        <w:rPr>
          <w:color w:val="000000"/>
          <w:sz w:val="24"/>
          <w:szCs w:val="20"/>
          <w:highlight w:val="none"/>
        </w:rPr>
      </w:r>
      <w:r/>
    </w:p>
    <w:p>
      <w:pPr>
        <w:pStyle w:val="1159"/>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1225"/>
      <w:r/>
      <w:bookmarkEnd w:id="1226"/>
      <w:r>
        <w:rPr>
          <w:rFonts w:ascii="宋体" w:hAnsi="宋体"/>
          <w:b/>
          <w:color w:val="000000"/>
          <w:sz w:val="32"/>
          <w:szCs w:val="32"/>
          <w:highlight w:val="none"/>
        </w:rPr>
      </w:r>
      <w:r/>
    </w:p>
    <w:p>
      <w:pPr>
        <w:pStyle w:val="115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1159"/>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1159"/>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1159"/>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1159"/>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1159"/>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1159"/>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11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11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11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11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115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115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59"/>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9"/>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9"/>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9"/>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1159"/>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159"/>
        <w:spacing w:line="360" w:lineRule="auto"/>
        <w:rPr>
          <w:color w:val="000000"/>
          <w:sz w:val="24"/>
          <w:szCs w:val="20"/>
          <w:highlight w:val="none"/>
        </w:rPr>
      </w:pPr>
      <w:r>
        <w:rPr>
          <w:color w:val="000000"/>
          <w:sz w:val="24"/>
          <w:szCs w:val="20"/>
          <w:highlight w:val="none"/>
        </w:rPr>
      </w:r>
      <w:r/>
    </w:p>
    <w:p>
      <w:pPr>
        <w:pStyle w:val="115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9"/>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9"/>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1159"/>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1159"/>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1159"/>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1159"/>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1159"/>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9"/>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9"/>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9"/>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340"/>
        <w:rPr>
          <w:rFonts w:hint="eastAsia"/>
          <w:color w:val="000000"/>
          <w:highlight w:val="none"/>
        </w:rPr>
      </w:pPr>
      <w:r>
        <w:rPr>
          <w:rFonts w:hint="eastAsia"/>
          <w:color w:val="000000"/>
          <w:highlight w:val="none"/>
        </w:rPr>
      </w:r>
      <w:r/>
    </w:p>
    <w:p>
      <w:pPr>
        <w:pStyle w:val="1159"/>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9"/>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9"/>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1159"/>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1159"/>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p>
      <w:pPr>
        <w:pStyle w:val="1159"/>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Style w:val="1234"/>
      </w:rPr>
      <w:framePr w:wrap="around" w:vAnchor="text" w:hAnchor="margin" w:xAlign="center" w:y="1"/>
    </w:pPr>
    <w:r>
      <w:fldChar w:fldCharType="begin"/>
    </w:r>
    <w:r>
      <w:rPr>
        <w:rStyle w:val="1234"/>
      </w:rPr>
      <w:instrText xml:space="preserve">PAGE  </w:instrText>
    </w:r>
    <w:r>
      <w:fldChar w:fldCharType="end"/>
    </w:r>
    <w:r>
      <w:rPr>
        <w:rStyle w:val="1234"/>
      </w:rPr>
    </w:r>
    <w:r/>
  </w:p>
  <w:p>
    <w:pPr>
      <w:pStyle w:val="120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9"/>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5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115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1159"/>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115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1159"/>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Style w:val="1234"/>
      </w:rPr>
      <w:framePr w:wrap="around" w:vAnchor="text" w:hAnchor="margin" w:xAlign="right" w:y="1"/>
    </w:pPr>
    <w:r>
      <w:rPr>
        <w:rStyle w:val="1234"/>
      </w:rPr>
      <w:fldChar w:fldCharType="begin"/>
    </w:r>
    <w:r>
      <w:rPr>
        <w:rStyle w:val="1234"/>
      </w:rPr>
      <w:instrText xml:space="preserve">PAGE  </w:instrText>
    </w:r>
    <w:r>
      <w:rPr>
        <w:rStyle w:val="1234"/>
      </w:rPr>
      <w:fldChar w:fldCharType="end"/>
    </w:r>
    <w:r>
      <w:rPr>
        <w:rStyle w:val="1234"/>
      </w:rPr>
    </w:r>
    <w:r/>
  </w:p>
  <w:p>
    <w:pPr>
      <w:pStyle w:val="1208"/>
      <w:ind w:right="360"/>
      <w:tabs>
        <w:tab w:val="center" w:pos="4153" w:leader="none"/>
        <w:tab w:val="right" w:pos="8306" w:leader="none"/>
      </w:tabs>
    </w:pPr>
    <w:r/>
    <w:r/>
  </w:p>
  <w:p>
    <w:pPr>
      <w:pStyle w:val="115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rPr>
        <w:lang w:val="en-US" w:eastAsia="zh-CN"/>
      </w:rPr>
    </w:pPr>
    <w:r>
      <w:rPr>
        <w:lang w:val="en-US"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p>
    <w:pPr>
      <w:pStyle w:val="1159"/>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15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0"/>
      <w:isLgl w:val="false"/>
      <w:suff w:val="tab"/>
      <w:lvlText w:val="%1."/>
      <w:lvlJc w:val="left"/>
      <w:pPr>
        <w:pStyle w:val="1159"/>
        <w:ind w:left="420" w:hanging="420"/>
      </w:pPr>
    </w:lvl>
    <w:lvl w:ilvl="1">
      <w:start w:val="1"/>
      <w:numFmt w:val="decimal"/>
      <w:isLgl w:val="false"/>
      <w:suff w:val="tab"/>
      <w:lvlText w:val="（%2）"/>
      <w:lvlJc w:val="left"/>
      <w:pPr>
        <w:pStyle w:val="1159"/>
        <w:ind w:left="1140" w:hanging="720"/>
        <w:tabs>
          <w:tab w:val="num" w:pos="1140" w:leader="none"/>
        </w:tabs>
      </w:pPr>
      <w:rPr>
        <w:rFonts w:hint="eastAsia"/>
      </w:rPr>
    </w:lvl>
    <w:lvl w:ilvl="2">
      <w:start w:val="1"/>
      <w:numFmt w:val="lowerRoman"/>
      <w:isLgl w:val="false"/>
      <w:suff w:val="tab"/>
      <w:lvlText w:val="%3."/>
      <w:lvlJc w:val="right"/>
      <w:pPr>
        <w:pStyle w:val="1159"/>
        <w:ind w:left="1260" w:hanging="420"/>
      </w:pPr>
    </w:lvl>
    <w:lvl w:ilvl="3">
      <w:start w:val="1"/>
      <w:numFmt w:val="decimal"/>
      <w:isLgl w:val="false"/>
      <w:suff w:val="tab"/>
      <w:lvlText w:val="%4."/>
      <w:lvlJc w:val="left"/>
      <w:pPr>
        <w:pStyle w:val="1159"/>
        <w:ind w:left="1680" w:hanging="420"/>
      </w:pPr>
    </w:lvl>
    <w:lvl w:ilvl="4">
      <w:start w:val="1"/>
      <w:numFmt w:val="lowerLetter"/>
      <w:isLgl w:val="false"/>
      <w:suff w:val="tab"/>
      <w:lvlText w:val="%5)"/>
      <w:lvlJc w:val="left"/>
      <w:pPr>
        <w:pStyle w:val="1159"/>
        <w:ind w:left="2100" w:hanging="420"/>
      </w:pPr>
    </w:lvl>
    <w:lvl w:ilvl="5">
      <w:start w:val="1"/>
      <w:numFmt w:val="lowerRoman"/>
      <w:isLgl w:val="false"/>
      <w:suff w:val="tab"/>
      <w:lvlText w:val="%6."/>
      <w:lvlJc w:val="right"/>
      <w:pPr>
        <w:pStyle w:val="1159"/>
        <w:ind w:left="2520" w:hanging="420"/>
      </w:pPr>
    </w:lvl>
    <w:lvl w:ilvl="6">
      <w:start w:val="1"/>
      <w:numFmt w:val="decimal"/>
      <w:isLgl w:val="false"/>
      <w:suff w:val="tab"/>
      <w:lvlText w:val="%7."/>
      <w:lvlJc w:val="left"/>
      <w:pPr>
        <w:pStyle w:val="1159"/>
        <w:ind w:left="2940" w:hanging="420"/>
      </w:pPr>
    </w:lvl>
    <w:lvl w:ilvl="7">
      <w:start w:val="1"/>
      <w:numFmt w:val="lowerLetter"/>
      <w:isLgl w:val="false"/>
      <w:suff w:val="tab"/>
      <w:lvlText w:val="%8)"/>
      <w:lvlJc w:val="left"/>
      <w:pPr>
        <w:pStyle w:val="1159"/>
        <w:ind w:left="3360" w:hanging="420"/>
      </w:pPr>
    </w:lvl>
    <w:lvl w:ilvl="8">
      <w:start w:val="1"/>
      <w:numFmt w:val="lowerRoman"/>
      <w:isLgl w:val="false"/>
      <w:suff w:val="tab"/>
      <w:lvlText w:val="%9."/>
      <w:lvlJc w:val="right"/>
      <w:pPr>
        <w:pStyle w:val="1159"/>
        <w:ind w:left="3780" w:hanging="420"/>
      </w:pPr>
    </w:lvl>
  </w:abstractNum>
  <w:abstractNum w:abstractNumId="2">
    <w:multiLevelType w:val="hybridMultilevel"/>
    <w:lvl w:ilvl="0">
      <w:start w:val="1"/>
      <w:numFmt w:val="lowerLetter"/>
      <w:pStyle w:val="1345"/>
      <w:isLgl w:val="false"/>
      <w:suff w:val="tab"/>
      <w:lvlText w:val="%1)"/>
      <w:lvlJc w:val="left"/>
      <w:pPr>
        <w:pStyle w:val="1159"/>
        <w:ind w:left="902" w:hanging="420"/>
      </w:pPr>
      <w:rPr>
        <w:color w:val="000000"/>
      </w:rPr>
    </w:lvl>
    <w:lvl w:ilvl="1">
      <w:start w:val="1"/>
      <w:numFmt w:val="lowerLetter"/>
      <w:isLgl w:val="false"/>
      <w:suff w:val="tab"/>
      <w:lvlText w:val="%2)"/>
      <w:lvlJc w:val="left"/>
      <w:pPr>
        <w:pStyle w:val="1159"/>
        <w:ind w:left="1322" w:hanging="420"/>
      </w:pPr>
    </w:lvl>
    <w:lvl w:ilvl="2">
      <w:start w:val="1"/>
      <w:numFmt w:val="lowerRoman"/>
      <w:isLgl w:val="false"/>
      <w:suff w:val="tab"/>
      <w:lvlText w:val="%3."/>
      <w:lvlJc w:val="right"/>
      <w:pPr>
        <w:pStyle w:val="1159"/>
        <w:ind w:left="1742" w:hanging="420"/>
      </w:pPr>
    </w:lvl>
    <w:lvl w:ilvl="3">
      <w:start w:val="1"/>
      <w:numFmt w:val="decimal"/>
      <w:isLgl w:val="false"/>
      <w:suff w:val="tab"/>
      <w:lvlText w:val="%4."/>
      <w:lvlJc w:val="left"/>
      <w:pPr>
        <w:pStyle w:val="1159"/>
        <w:ind w:left="2162" w:hanging="420"/>
      </w:pPr>
    </w:lvl>
    <w:lvl w:ilvl="4">
      <w:start w:val="1"/>
      <w:numFmt w:val="lowerLetter"/>
      <w:isLgl w:val="false"/>
      <w:suff w:val="tab"/>
      <w:lvlText w:val="%5)"/>
      <w:lvlJc w:val="left"/>
      <w:pPr>
        <w:pStyle w:val="1159"/>
        <w:ind w:left="2582" w:hanging="420"/>
      </w:pPr>
    </w:lvl>
    <w:lvl w:ilvl="5">
      <w:start w:val="1"/>
      <w:numFmt w:val="lowerRoman"/>
      <w:isLgl w:val="false"/>
      <w:suff w:val="tab"/>
      <w:lvlText w:val="%6."/>
      <w:lvlJc w:val="right"/>
      <w:pPr>
        <w:pStyle w:val="1159"/>
        <w:ind w:left="3002" w:hanging="420"/>
      </w:pPr>
    </w:lvl>
    <w:lvl w:ilvl="6">
      <w:start w:val="1"/>
      <w:numFmt w:val="decimal"/>
      <w:isLgl w:val="false"/>
      <w:suff w:val="tab"/>
      <w:lvlText w:val="%7."/>
      <w:lvlJc w:val="left"/>
      <w:pPr>
        <w:pStyle w:val="1159"/>
        <w:ind w:left="3422" w:hanging="420"/>
      </w:pPr>
    </w:lvl>
    <w:lvl w:ilvl="7">
      <w:start w:val="1"/>
      <w:numFmt w:val="lowerLetter"/>
      <w:isLgl w:val="false"/>
      <w:suff w:val="tab"/>
      <w:lvlText w:val="%8)"/>
      <w:lvlJc w:val="left"/>
      <w:pPr>
        <w:pStyle w:val="1159"/>
        <w:ind w:left="3842" w:hanging="420"/>
      </w:pPr>
    </w:lvl>
    <w:lvl w:ilvl="8">
      <w:start w:val="1"/>
      <w:numFmt w:val="lowerRoman"/>
      <w:isLgl w:val="false"/>
      <w:suff w:val="tab"/>
      <w:lvlText w:val="%9."/>
      <w:lvlJc w:val="right"/>
      <w:pPr>
        <w:pStyle w:val="1159"/>
        <w:ind w:left="4262" w:hanging="420"/>
      </w:pPr>
    </w:lvl>
  </w:abstractNum>
  <w:abstractNum w:abstractNumId="3">
    <w:multiLevelType w:val="hybridMultilevel"/>
    <w:lvl w:ilvl="0">
      <w:start w:val="1"/>
      <w:numFmt w:val="decimal"/>
      <w:isLgl w:val="false"/>
      <w:suff w:val="tab"/>
      <w:lvlText w:val="%1."/>
      <w:lvlJc w:val="left"/>
      <w:pPr>
        <w:pStyle w:val="1159"/>
        <w:ind w:left="1965" w:hanging="705"/>
        <w:tabs>
          <w:tab w:val="num" w:pos="1965" w:leader="none"/>
        </w:tabs>
      </w:pPr>
    </w:lvl>
    <w:lvl w:ilvl="1">
      <w:start w:val="1"/>
      <w:numFmt w:val="decimal"/>
      <w:isLgl w:val="false"/>
      <w:suff w:val="tab"/>
      <w:lvlText w:val="（%2）"/>
      <w:lvlJc w:val="left"/>
      <w:pPr>
        <w:pStyle w:val="1159"/>
        <w:ind w:left="1140" w:hanging="720"/>
        <w:tabs>
          <w:tab w:val="num" w:pos="1140" w:leader="none"/>
        </w:tabs>
      </w:pPr>
    </w:lvl>
    <w:lvl w:ilvl="2">
      <w:start w:val="1"/>
      <w:numFmt w:val="lowerRoman"/>
      <w:isLgl w:val="false"/>
      <w:suff w:val="tab"/>
      <w:lvlText w:val="%3."/>
      <w:lvlJc w:val="right"/>
      <w:pPr>
        <w:pStyle w:val="1159"/>
        <w:ind w:left="1260" w:hanging="420"/>
        <w:tabs>
          <w:tab w:val="num" w:pos="1260" w:leader="none"/>
        </w:tabs>
      </w:pPr>
    </w:lvl>
    <w:lvl w:ilvl="3">
      <w:start w:val="1"/>
      <w:numFmt w:val="decimal"/>
      <w:isLgl w:val="false"/>
      <w:suff w:val="tab"/>
      <w:lvlText w:val="%4."/>
      <w:lvlJc w:val="left"/>
      <w:pPr>
        <w:pStyle w:val="1159"/>
        <w:ind w:left="1680" w:hanging="420"/>
        <w:tabs>
          <w:tab w:val="num" w:pos="1680" w:leader="none"/>
        </w:tabs>
      </w:pPr>
    </w:lvl>
    <w:lvl w:ilvl="4">
      <w:start w:val="1"/>
      <w:numFmt w:val="lowerLetter"/>
      <w:isLgl w:val="false"/>
      <w:suff w:val="tab"/>
      <w:lvlText w:val="%5)"/>
      <w:lvlJc w:val="left"/>
      <w:pPr>
        <w:pStyle w:val="1159"/>
        <w:ind w:left="2100" w:hanging="420"/>
        <w:tabs>
          <w:tab w:val="num" w:pos="2100" w:leader="none"/>
        </w:tabs>
      </w:pPr>
    </w:lvl>
    <w:lvl w:ilvl="5">
      <w:start w:val="1"/>
      <w:numFmt w:val="lowerRoman"/>
      <w:isLgl w:val="false"/>
      <w:suff w:val="tab"/>
      <w:lvlText w:val="%6."/>
      <w:lvlJc w:val="right"/>
      <w:pPr>
        <w:pStyle w:val="1159"/>
        <w:ind w:left="2520" w:hanging="420"/>
        <w:tabs>
          <w:tab w:val="num" w:pos="2520" w:leader="none"/>
        </w:tabs>
      </w:pPr>
    </w:lvl>
    <w:lvl w:ilvl="6">
      <w:start w:val="1"/>
      <w:numFmt w:val="decimal"/>
      <w:isLgl w:val="false"/>
      <w:suff w:val="tab"/>
      <w:lvlText w:val="%7."/>
      <w:lvlJc w:val="left"/>
      <w:pPr>
        <w:pStyle w:val="1159"/>
        <w:ind w:left="2940" w:hanging="420"/>
        <w:tabs>
          <w:tab w:val="num" w:pos="2940" w:leader="none"/>
        </w:tabs>
      </w:pPr>
    </w:lvl>
    <w:lvl w:ilvl="7">
      <w:start w:val="1"/>
      <w:numFmt w:val="lowerLetter"/>
      <w:isLgl w:val="false"/>
      <w:suff w:val="tab"/>
      <w:lvlText w:val="%8)"/>
      <w:lvlJc w:val="left"/>
      <w:pPr>
        <w:pStyle w:val="1159"/>
        <w:ind w:left="3360" w:hanging="420"/>
        <w:tabs>
          <w:tab w:val="num" w:pos="3360" w:leader="none"/>
        </w:tabs>
      </w:pPr>
    </w:lvl>
    <w:lvl w:ilvl="8">
      <w:start w:val="1"/>
      <w:numFmt w:val="lowerRoman"/>
      <w:isLgl w:val="false"/>
      <w:suff w:val="tab"/>
      <w:lvlText w:val="%9."/>
      <w:lvlJc w:val="right"/>
      <w:pPr>
        <w:pStyle w:val="1159"/>
        <w:ind w:left="3780" w:hanging="420"/>
        <w:tabs>
          <w:tab w:val="num" w:pos="3780" w:leader="none"/>
        </w:tabs>
      </w:pPr>
    </w:lvl>
  </w:abstractNum>
  <w:abstractNum w:abstractNumId="4">
    <w:multiLevelType w:val="hybridMultilevel"/>
    <w:lvl w:ilvl="0">
      <w:start w:val="1"/>
      <w:numFmt w:val="decimal"/>
      <w:pStyle w:val="1315"/>
      <w:isLgl w:val="false"/>
      <w:suff w:val="tab"/>
      <w:lvlText w:val="%1."/>
      <w:lvlJc w:val="left"/>
      <w:pPr>
        <w:pStyle w:val="11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4"/>
      <w:isLgl w:val="false"/>
      <w:suff w:val="nothing"/>
      <w:lvlText w:val="%1　"/>
      <w:lvlJc w:val="left"/>
      <w:pPr>
        <w:pStyle w:val="11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59"/>
        <w:ind w:left="-25" w:firstLine="0"/>
      </w:pPr>
      <w:rPr>
        <w:rFonts w:ascii="Times New Roman" w:hAnsi="Times New Roman" w:eastAsia="黑体"/>
        <w:b/>
        <w:i w:val="0"/>
        <w:sz w:val="28"/>
      </w:rPr>
    </w:lvl>
    <w:lvl w:ilvl="3">
      <w:start w:val="1"/>
      <w:numFmt w:val="decimal"/>
      <w:pStyle w:val="1300"/>
      <w:isLgl w:val="false"/>
      <w:suff w:val="nothing"/>
      <w:lvlText w:val="%1.%2.%3.%4　"/>
      <w:lvlJc w:val="left"/>
      <w:pPr>
        <w:pStyle w:val="11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59"/>
        <w:ind w:left="-25" w:firstLine="0"/>
      </w:pPr>
      <w:rPr>
        <w:rFonts w:ascii="Times New Roman" w:hAnsi="Times New Roman" w:eastAsia="宋体"/>
        <w:b/>
        <w:i w:val="0"/>
        <w:sz w:val="28"/>
      </w:rPr>
    </w:lvl>
    <w:lvl w:ilvl="6">
      <w:start w:val="1"/>
      <w:numFmt w:val="lowerLetter"/>
      <w:pStyle w:val="1321"/>
      <w:isLgl w:val="false"/>
      <w:suff w:val="tab"/>
      <w:lvlText w:val="%7) "/>
      <w:lvlJc w:val="left"/>
      <w:pPr>
        <w:pStyle w:val="1159"/>
        <w:ind w:left="-125" w:firstLine="400"/>
        <w:tabs>
          <w:tab w:val="num" w:pos="635" w:leader="none"/>
        </w:tabs>
      </w:pPr>
      <w:rPr>
        <w:rFonts w:ascii="Times New Roman" w:hAnsi="Times New Roman" w:eastAsia="宋体"/>
        <w:b/>
        <w:i w:val="0"/>
        <w:color w:val="000000"/>
        <w:sz w:val="28"/>
        <w:u w:val="none"/>
      </w:rPr>
    </w:lvl>
    <w:lvl w:ilvl="7">
      <w:start w:val="1"/>
      <w:numFmt w:val="decimal"/>
      <w:pStyle w:val="1284"/>
      <w:isLgl w:val="false"/>
      <w:suff w:val="tab"/>
      <w:lvlText w:val="%8) "/>
      <w:lvlJc w:val="left"/>
      <w:pPr>
        <w:pStyle w:val="11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5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59"/>
        <w:ind w:left="768" w:hanging="360"/>
        <w:tabs>
          <w:tab w:val="num" w:pos="768" w:leader="none"/>
        </w:tabs>
      </w:pPr>
      <w:rPr>
        <w:rFonts w:hint="eastAsia"/>
      </w:rPr>
    </w:lvl>
    <w:lvl w:ilvl="1">
      <w:start w:val="1"/>
      <w:numFmt w:val="decimal"/>
      <w:pStyle w:val="1302"/>
      <w:isLgl w:val="false"/>
      <w:suff w:val="tab"/>
      <w:lvlText w:val="%2、"/>
      <w:lvlJc w:val="left"/>
      <w:pPr>
        <w:pStyle w:val="1159"/>
        <w:ind w:left="1188" w:hanging="360"/>
        <w:tabs>
          <w:tab w:val="num" w:pos="1188" w:leader="none"/>
        </w:tabs>
      </w:pPr>
      <w:rPr>
        <w:rFonts w:hint="eastAsia"/>
      </w:rPr>
    </w:lvl>
    <w:lvl w:ilvl="2">
      <w:start w:val="1"/>
      <w:numFmt w:val="decimal"/>
      <w:isLgl w:val="false"/>
      <w:suff w:val="tab"/>
      <w:lvlText w:val="（%3）"/>
      <w:lvlJc w:val="left"/>
      <w:pPr>
        <w:pStyle w:val="1159"/>
        <w:ind w:left="1968" w:hanging="720"/>
        <w:tabs>
          <w:tab w:val="num" w:pos="1968" w:leader="none"/>
        </w:tabs>
      </w:pPr>
      <w:rPr>
        <w:rFonts w:hint="eastAsia"/>
        <w:u w:val="none"/>
      </w:rPr>
    </w:lvl>
    <w:lvl w:ilvl="3">
      <w:start w:val="1"/>
      <w:numFmt w:val="decimal"/>
      <w:isLgl w:val="false"/>
      <w:suff w:val="tab"/>
      <w:lvlText w:val="%4."/>
      <w:lvlJc w:val="left"/>
      <w:pPr>
        <w:pStyle w:val="1159"/>
        <w:ind w:left="2088" w:hanging="420"/>
        <w:tabs>
          <w:tab w:val="num" w:pos="2088" w:leader="none"/>
        </w:tabs>
      </w:pPr>
    </w:lvl>
    <w:lvl w:ilvl="4">
      <w:start w:val="1"/>
      <w:numFmt w:val="lowerLetter"/>
      <w:isLgl w:val="false"/>
      <w:suff w:val="tab"/>
      <w:lvlText w:val="%5)"/>
      <w:lvlJc w:val="left"/>
      <w:pPr>
        <w:pStyle w:val="1159"/>
        <w:ind w:left="2508" w:hanging="420"/>
        <w:tabs>
          <w:tab w:val="num" w:pos="2508" w:leader="none"/>
        </w:tabs>
      </w:pPr>
    </w:lvl>
    <w:lvl w:ilvl="5">
      <w:start w:val="1"/>
      <w:numFmt w:val="lowerRoman"/>
      <w:isLgl w:val="false"/>
      <w:suff w:val="tab"/>
      <w:lvlText w:val="%6."/>
      <w:lvlJc w:val="right"/>
      <w:pPr>
        <w:pStyle w:val="1159"/>
        <w:ind w:left="2928" w:hanging="420"/>
        <w:tabs>
          <w:tab w:val="num" w:pos="2928" w:leader="none"/>
        </w:tabs>
      </w:pPr>
    </w:lvl>
    <w:lvl w:ilvl="6">
      <w:start w:val="1"/>
      <w:numFmt w:val="decimal"/>
      <w:isLgl w:val="false"/>
      <w:suff w:val="tab"/>
      <w:lvlText w:val="%7."/>
      <w:lvlJc w:val="left"/>
      <w:pPr>
        <w:pStyle w:val="1159"/>
        <w:ind w:left="3348" w:hanging="420"/>
        <w:tabs>
          <w:tab w:val="num" w:pos="3348" w:leader="none"/>
        </w:tabs>
      </w:pPr>
    </w:lvl>
    <w:lvl w:ilvl="7">
      <w:start w:val="1"/>
      <w:numFmt w:val="lowerLetter"/>
      <w:isLgl w:val="false"/>
      <w:suff w:val="tab"/>
      <w:lvlText w:val="%8)"/>
      <w:lvlJc w:val="left"/>
      <w:pPr>
        <w:pStyle w:val="1159"/>
        <w:ind w:left="3768" w:hanging="420"/>
        <w:tabs>
          <w:tab w:val="num" w:pos="3768" w:leader="none"/>
        </w:tabs>
      </w:pPr>
    </w:lvl>
    <w:lvl w:ilvl="8">
      <w:start w:val="1"/>
      <w:numFmt w:val="lowerRoman"/>
      <w:isLgl w:val="false"/>
      <w:suff w:val="tab"/>
      <w:lvlText w:val="%9."/>
      <w:lvlJc w:val="right"/>
      <w:pPr>
        <w:pStyle w:val="1159"/>
        <w:ind w:left="4188" w:hanging="420"/>
        <w:tabs>
          <w:tab w:val="num" w:pos="4188" w:leader="none"/>
        </w:tabs>
      </w:pPr>
    </w:lvl>
  </w:abstractNum>
  <w:abstractNum w:abstractNumId="7">
    <w:multiLevelType w:val="hybridMultilevel"/>
    <w:lvl w:ilvl="0">
      <w:start w:val="1"/>
      <w:numFmt w:val="decimal"/>
      <w:pStyle w:val="1269"/>
      <w:isLgl w:val="false"/>
      <w:suff w:val="tab"/>
      <w:lvlText w:val="%1)"/>
      <w:lvlJc w:val="left"/>
      <w:pPr>
        <w:pStyle w:val="1159"/>
        <w:ind w:left="420" w:hanging="420"/>
      </w:pPr>
    </w:lvl>
    <w:lvl w:ilvl="1">
      <w:start w:val="1"/>
      <w:numFmt w:val="lowerLetter"/>
      <w:isLgl w:val="false"/>
      <w:suff w:val="tab"/>
      <w:lvlText w:val="%2)"/>
      <w:lvlJc w:val="left"/>
      <w:pPr>
        <w:pStyle w:val="1159"/>
        <w:ind w:left="840" w:hanging="420"/>
      </w:pPr>
    </w:lvl>
    <w:lvl w:ilvl="2">
      <w:start w:val="1"/>
      <w:numFmt w:val="lowerRoman"/>
      <w:isLgl w:val="false"/>
      <w:suff w:val="tab"/>
      <w:lvlText w:val="%3."/>
      <w:lvlJc w:val="right"/>
      <w:pPr>
        <w:pStyle w:val="1159"/>
        <w:ind w:left="1260" w:hanging="420"/>
      </w:pPr>
    </w:lvl>
    <w:lvl w:ilvl="3">
      <w:start w:val="1"/>
      <w:numFmt w:val="decimal"/>
      <w:isLgl w:val="false"/>
      <w:suff w:val="tab"/>
      <w:lvlText w:val="%4."/>
      <w:lvlJc w:val="left"/>
      <w:pPr>
        <w:pStyle w:val="1159"/>
        <w:ind w:left="1680" w:hanging="420"/>
      </w:pPr>
    </w:lvl>
    <w:lvl w:ilvl="4">
      <w:start w:val="1"/>
      <w:numFmt w:val="lowerLetter"/>
      <w:isLgl w:val="false"/>
      <w:suff w:val="tab"/>
      <w:lvlText w:val="%5)"/>
      <w:lvlJc w:val="left"/>
      <w:pPr>
        <w:pStyle w:val="1159"/>
        <w:ind w:left="2100" w:hanging="420"/>
      </w:pPr>
    </w:lvl>
    <w:lvl w:ilvl="5">
      <w:start w:val="1"/>
      <w:numFmt w:val="lowerRoman"/>
      <w:isLgl w:val="false"/>
      <w:suff w:val="tab"/>
      <w:lvlText w:val="%6."/>
      <w:lvlJc w:val="right"/>
      <w:pPr>
        <w:pStyle w:val="1159"/>
        <w:ind w:left="2520" w:hanging="420"/>
      </w:pPr>
    </w:lvl>
    <w:lvl w:ilvl="6">
      <w:start w:val="1"/>
      <w:numFmt w:val="decimal"/>
      <w:isLgl w:val="false"/>
      <w:suff w:val="tab"/>
      <w:lvlText w:val="%7."/>
      <w:lvlJc w:val="left"/>
      <w:pPr>
        <w:pStyle w:val="1159"/>
        <w:ind w:left="2940" w:hanging="420"/>
      </w:pPr>
    </w:lvl>
    <w:lvl w:ilvl="7">
      <w:start w:val="1"/>
      <w:numFmt w:val="lowerLetter"/>
      <w:isLgl w:val="false"/>
      <w:suff w:val="tab"/>
      <w:lvlText w:val="%8)"/>
      <w:lvlJc w:val="left"/>
      <w:pPr>
        <w:pStyle w:val="1159"/>
        <w:ind w:left="3360" w:hanging="420"/>
      </w:pPr>
    </w:lvl>
    <w:lvl w:ilvl="8">
      <w:start w:val="1"/>
      <w:numFmt w:val="lowerRoman"/>
      <w:isLgl w:val="false"/>
      <w:suff w:val="tab"/>
      <w:lvlText w:val="%9."/>
      <w:lvlJc w:val="right"/>
      <w:pPr>
        <w:pStyle w:val="1159"/>
        <w:ind w:left="3780" w:hanging="420"/>
      </w:pPr>
    </w:lvl>
  </w:abstractNum>
  <w:abstractNum w:abstractNumId="8">
    <w:multiLevelType w:val="hybridMultilevel"/>
    <w:lvl w:ilvl="0">
      <w:start w:val="1"/>
      <w:numFmt w:val="decimal"/>
      <w:pStyle w:val="1370"/>
      <w:isLgl w:val="false"/>
      <w:suff w:val="tab"/>
      <w:lvlText w:val="%1"/>
      <w:lvlJc w:val="left"/>
      <w:pPr>
        <w:pStyle w:val="1159"/>
        <w:ind w:left="680" w:hanging="680"/>
      </w:pPr>
      <w:rPr>
        <w:rFonts w:hint="eastAsia" w:ascii="宋体" w:hAnsi="宋体" w:eastAsia="宋体"/>
      </w:rPr>
    </w:lvl>
    <w:lvl w:ilvl="1">
      <w:start w:val="1"/>
      <w:numFmt w:val="decimal"/>
      <w:pStyle w:val="1371"/>
      <w:isLgl w:val="false"/>
      <w:suff w:val="tab"/>
      <w:lvlText w:val="%1.%2"/>
      <w:lvlJc w:val="left"/>
      <w:pPr>
        <w:pStyle w:val="1159"/>
        <w:ind w:left="851" w:hanging="851"/>
      </w:pPr>
      <w:rPr>
        <w:rFonts w:hint="eastAsia" w:ascii="宋体" w:hAnsi="宋体" w:eastAsia="宋体"/>
        <w:color w:val="000000"/>
      </w:rPr>
    </w:lvl>
    <w:lvl w:ilvl="2">
      <w:start w:val="1"/>
      <w:numFmt w:val="decimal"/>
      <w:pStyle w:val="1372"/>
      <w:isLgl w:val="false"/>
      <w:suff w:val="tab"/>
      <w:lvlText w:val="%1.%2.%3"/>
      <w:lvlJc w:val="left"/>
      <w:pPr>
        <w:pStyle w:val="1159"/>
        <w:ind w:left="851" w:hanging="851"/>
      </w:pPr>
      <w:rPr>
        <w:rFonts w:hint="eastAsia"/>
      </w:rPr>
    </w:lvl>
    <w:lvl w:ilvl="3">
      <w:start w:val="1"/>
      <w:numFmt w:val="decimal"/>
      <w:isLgl w:val="false"/>
      <w:suff w:val="tab"/>
      <w:lvlText w:val="%1.%2.%3.%4"/>
      <w:lvlJc w:val="left"/>
      <w:pPr>
        <w:pStyle w:val="1159"/>
        <w:ind w:left="680" w:hanging="680"/>
      </w:pPr>
      <w:rPr>
        <w:rFonts w:hint="eastAsia"/>
      </w:rPr>
    </w:lvl>
    <w:lvl w:ilvl="4">
      <w:start w:val="1"/>
      <w:numFmt w:val="decimal"/>
      <w:isLgl w:val="false"/>
      <w:suff w:val="tab"/>
      <w:lvlText w:val="%1.%2.%3.%4.%5"/>
      <w:lvlJc w:val="left"/>
      <w:pPr>
        <w:pStyle w:val="1159"/>
        <w:ind w:left="680" w:hanging="680"/>
      </w:pPr>
      <w:rPr>
        <w:rFonts w:hint="eastAsia"/>
      </w:rPr>
    </w:lvl>
    <w:lvl w:ilvl="5">
      <w:start w:val="1"/>
      <w:numFmt w:val="decimal"/>
      <w:isLgl w:val="false"/>
      <w:suff w:val="tab"/>
      <w:lvlText w:val="%1.%2.%3.%4.%5.%6"/>
      <w:lvlJc w:val="left"/>
      <w:pPr>
        <w:pStyle w:val="1159"/>
        <w:ind w:left="680" w:hanging="680"/>
      </w:pPr>
      <w:rPr>
        <w:rFonts w:hint="eastAsia"/>
      </w:rPr>
    </w:lvl>
    <w:lvl w:ilvl="6">
      <w:start w:val="1"/>
      <w:numFmt w:val="decimal"/>
      <w:isLgl w:val="false"/>
      <w:suff w:val="tab"/>
      <w:lvlText w:val="%1.%2.%3.%4.%5.%6.%7"/>
      <w:lvlJc w:val="left"/>
      <w:pPr>
        <w:pStyle w:val="1159"/>
        <w:ind w:left="680" w:hanging="680"/>
      </w:pPr>
      <w:rPr>
        <w:rFonts w:hint="eastAsia"/>
      </w:rPr>
    </w:lvl>
    <w:lvl w:ilvl="7">
      <w:start w:val="1"/>
      <w:numFmt w:val="decimal"/>
      <w:isLgl w:val="false"/>
      <w:suff w:val="tab"/>
      <w:lvlText w:val="%1.%2.%3.%4.%5.%6.%7.%8"/>
      <w:lvlJc w:val="left"/>
      <w:pPr>
        <w:pStyle w:val="1159"/>
        <w:ind w:left="680" w:hanging="680"/>
      </w:pPr>
      <w:rPr>
        <w:rFonts w:hint="eastAsia"/>
      </w:rPr>
    </w:lvl>
    <w:lvl w:ilvl="8">
      <w:start w:val="1"/>
      <w:numFmt w:val="decimal"/>
      <w:isLgl w:val="false"/>
      <w:suff w:val="tab"/>
      <w:lvlText w:val="%1.%2.%3.%4.%5.%6.%7.%8.%9"/>
      <w:lvlJc w:val="left"/>
      <w:pPr>
        <w:pStyle w:val="1159"/>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1159"/>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pStyle w:val="1159"/>
        <w:ind w:left="840" w:hanging="360"/>
      </w:pPr>
    </w:lvl>
    <w:lvl w:ilvl="1">
      <w:start w:val="1"/>
      <w:numFmt w:val="lowerLetter"/>
      <w:isLgl w:val="false"/>
      <w:suff w:val="tab"/>
      <w:lvlText w:val="%2)"/>
      <w:lvlJc w:val="left"/>
      <w:pPr>
        <w:pStyle w:val="1159"/>
        <w:ind w:left="1320" w:hanging="420"/>
      </w:pPr>
    </w:lvl>
    <w:lvl w:ilvl="2">
      <w:start w:val="1"/>
      <w:numFmt w:val="lowerRoman"/>
      <w:isLgl w:val="false"/>
      <w:suff w:val="tab"/>
      <w:lvlText w:val="%3."/>
      <w:lvlJc w:val="right"/>
      <w:pPr>
        <w:pStyle w:val="1159"/>
        <w:ind w:left="1740" w:hanging="420"/>
      </w:pPr>
    </w:lvl>
    <w:lvl w:ilvl="3">
      <w:start w:val="1"/>
      <w:numFmt w:val="decimal"/>
      <w:isLgl w:val="false"/>
      <w:suff w:val="tab"/>
      <w:lvlText w:val="%4."/>
      <w:lvlJc w:val="left"/>
      <w:pPr>
        <w:pStyle w:val="1159"/>
        <w:ind w:left="2160" w:hanging="420"/>
      </w:pPr>
    </w:lvl>
    <w:lvl w:ilvl="4">
      <w:start w:val="1"/>
      <w:numFmt w:val="lowerLetter"/>
      <w:isLgl w:val="false"/>
      <w:suff w:val="tab"/>
      <w:lvlText w:val="%5)"/>
      <w:lvlJc w:val="left"/>
      <w:pPr>
        <w:pStyle w:val="1159"/>
        <w:ind w:left="2580" w:hanging="420"/>
      </w:pPr>
    </w:lvl>
    <w:lvl w:ilvl="5">
      <w:start w:val="1"/>
      <w:numFmt w:val="lowerRoman"/>
      <w:isLgl w:val="false"/>
      <w:suff w:val="tab"/>
      <w:lvlText w:val="%6."/>
      <w:lvlJc w:val="right"/>
      <w:pPr>
        <w:pStyle w:val="1159"/>
        <w:ind w:left="3000" w:hanging="420"/>
      </w:pPr>
    </w:lvl>
    <w:lvl w:ilvl="6">
      <w:start w:val="1"/>
      <w:numFmt w:val="decimal"/>
      <w:isLgl w:val="false"/>
      <w:suff w:val="tab"/>
      <w:lvlText w:val="%7."/>
      <w:lvlJc w:val="left"/>
      <w:pPr>
        <w:pStyle w:val="1159"/>
        <w:ind w:left="3420" w:hanging="420"/>
      </w:pPr>
    </w:lvl>
    <w:lvl w:ilvl="7">
      <w:start w:val="1"/>
      <w:numFmt w:val="lowerLetter"/>
      <w:isLgl w:val="false"/>
      <w:suff w:val="tab"/>
      <w:lvlText w:val="%8)"/>
      <w:lvlJc w:val="left"/>
      <w:pPr>
        <w:pStyle w:val="1159"/>
        <w:ind w:left="3840" w:hanging="420"/>
      </w:pPr>
    </w:lvl>
    <w:lvl w:ilvl="8">
      <w:start w:val="1"/>
      <w:numFmt w:val="lowerRoman"/>
      <w:isLgl w:val="false"/>
      <w:suff w:val="tab"/>
      <w:lvlText w:val="%9."/>
      <w:lvlJc w:val="right"/>
      <w:pPr>
        <w:pStyle w:val="1159"/>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name w:val="Heading 1"/>
    <w:basedOn w:val="1159"/>
    <w:next w:val="1159"/>
    <w:link w:val="982"/>
    <w:uiPriority w:val="9"/>
    <w:qFormat/>
    <w:pPr>
      <w:keepLines/>
      <w:keepNext/>
      <w:spacing w:before="480" w:after="200"/>
      <w:outlineLvl w:val="0"/>
    </w:pPr>
    <w:rPr>
      <w:rFonts w:ascii="Arial" w:hAnsi="Arial" w:eastAsia="Arial" w:cs="Arial"/>
      <w:sz w:val="40"/>
      <w:szCs w:val="40"/>
    </w:rPr>
  </w:style>
  <w:style w:type="character" w:styleId="982">
    <w:name w:val="Heading 1 Char"/>
    <w:link w:val="981"/>
    <w:uiPriority w:val="9"/>
    <w:rPr>
      <w:rFonts w:ascii="Arial" w:hAnsi="Arial" w:eastAsia="Arial" w:cs="Arial"/>
      <w:sz w:val="40"/>
      <w:szCs w:val="40"/>
    </w:rPr>
  </w:style>
  <w:style w:type="paragraph" w:styleId="983">
    <w:name w:val="Heading 2"/>
    <w:basedOn w:val="1159"/>
    <w:next w:val="1159"/>
    <w:link w:val="984"/>
    <w:uiPriority w:val="9"/>
    <w:unhideWhenUsed/>
    <w:qFormat/>
    <w:pPr>
      <w:keepLines/>
      <w:keepNext/>
      <w:spacing w:before="360" w:after="200"/>
      <w:outlineLvl w:val="1"/>
    </w:pPr>
    <w:rPr>
      <w:rFonts w:ascii="Arial" w:hAnsi="Arial" w:eastAsia="Arial" w:cs="Arial"/>
      <w:sz w:val="34"/>
    </w:rPr>
  </w:style>
  <w:style w:type="character" w:styleId="984">
    <w:name w:val="Heading 2 Char"/>
    <w:link w:val="983"/>
    <w:uiPriority w:val="9"/>
    <w:rPr>
      <w:rFonts w:ascii="Arial" w:hAnsi="Arial" w:eastAsia="Arial" w:cs="Arial"/>
      <w:sz w:val="34"/>
    </w:rPr>
  </w:style>
  <w:style w:type="paragraph" w:styleId="985">
    <w:name w:val="Heading 3"/>
    <w:basedOn w:val="1159"/>
    <w:next w:val="1159"/>
    <w:link w:val="986"/>
    <w:uiPriority w:val="9"/>
    <w:unhideWhenUsed/>
    <w:qFormat/>
    <w:pPr>
      <w:keepLines/>
      <w:keepNext/>
      <w:spacing w:before="320" w:after="200"/>
      <w:outlineLvl w:val="2"/>
    </w:pPr>
    <w:rPr>
      <w:rFonts w:ascii="Arial" w:hAnsi="Arial" w:eastAsia="Arial" w:cs="Arial"/>
      <w:sz w:val="30"/>
      <w:szCs w:val="30"/>
    </w:rPr>
  </w:style>
  <w:style w:type="character" w:styleId="986">
    <w:name w:val="Heading 3 Char"/>
    <w:link w:val="985"/>
    <w:uiPriority w:val="9"/>
    <w:rPr>
      <w:rFonts w:ascii="Arial" w:hAnsi="Arial" w:eastAsia="Arial" w:cs="Arial"/>
      <w:sz w:val="30"/>
      <w:szCs w:val="30"/>
    </w:rPr>
  </w:style>
  <w:style w:type="paragraph" w:styleId="987">
    <w:name w:val="Heading 4"/>
    <w:basedOn w:val="1159"/>
    <w:next w:val="1159"/>
    <w:link w:val="988"/>
    <w:uiPriority w:val="9"/>
    <w:unhideWhenUsed/>
    <w:qFormat/>
    <w:pPr>
      <w:keepLines/>
      <w:keepNext/>
      <w:spacing w:before="320" w:after="200"/>
      <w:outlineLvl w:val="3"/>
    </w:pPr>
    <w:rPr>
      <w:rFonts w:ascii="Arial" w:hAnsi="Arial" w:eastAsia="Arial" w:cs="Arial"/>
      <w:b/>
      <w:bCs/>
      <w:sz w:val="26"/>
      <w:szCs w:val="26"/>
    </w:rPr>
  </w:style>
  <w:style w:type="character" w:styleId="988">
    <w:name w:val="Heading 4 Char"/>
    <w:link w:val="987"/>
    <w:uiPriority w:val="9"/>
    <w:rPr>
      <w:rFonts w:ascii="Arial" w:hAnsi="Arial" w:eastAsia="Arial" w:cs="Arial"/>
      <w:b/>
      <w:bCs/>
      <w:sz w:val="26"/>
      <w:szCs w:val="26"/>
    </w:rPr>
  </w:style>
  <w:style w:type="paragraph" w:styleId="989">
    <w:name w:val="Heading 5"/>
    <w:basedOn w:val="1159"/>
    <w:next w:val="1159"/>
    <w:link w:val="990"/>
    <w:uiPriority w:val="9"/>
    <w:unhideWhenUsed/>
    <w:qFormat/>
    <w:pPr>
      <w:keepLines/>
      <w:keepNext/>
      <w:spacing w:before="320" w:after="200"/>
      <w:outlineLvl w:val="4"/>
    </w:pPr>
    <w:rPr>
      <w:rFonts w:ascii="Arial" w:hAnsi="Arial" w:eastAsia="Arial" w:cs="Arial"/>
      <w:b/>
      <w:bCs/>
      <w:sz w:val="24"/>
      <w:szCs w:val="24"/>
    </w:rPr>
  </w:style>
  <w:style w:type="character" w:styleId="990">
    <w:name w:val="Heading 5 Char"/>
    <w:link w:val="989"/>
    <w:uiPriority w:val="9"/>
    <w:rPr>
      <w:rFonts w:ascii="Arial" w:hAnsi="Arial" w:eastAsia="Arial" w:cs="Arial"/>
      <w:b/>
      <w:bCs/>
      <w:sz w:val="24"/>
      <w:szCs w:val="24"/>
    </w:rPr>
  </w:style>
  <w:style w:type="paragraph" w:styleId="991">
    <w:name w:val="Heading 6"/>
    <w:basedOn w:val="1159"/>
    <w:next w:val="1159"/>
    <w:link w:val="992"/>
    <w:uiPriority w:val="9"/>
    <w:unhideWhenUsed/>
    <w:qFormat/>
    <w:pPr>
      <w:keepLines/>
      <w:keepNext/>
      <w:spacing w:before="320" w:after="200"/>
      <w:outlineLvl w:val="5"/>
    </w:pPr>
    <w:rPr>
      <w:rFonts w:ascii="Arial" w:hAnsi="Arial" w:eastAsia="Arial" w:cs="Arial"/>
      <w:b/>
      <w:bCs/>
      <w:sz w:val="22"/>
      <w:szCs w:val="22"/>
    </w:rPr>
  </w:style>
  <w:style w:type="character" w:styleId="992">
    <w:name w:val="Heading 6 Char"/>
    <w:link w:val="991"/>
    <w:uiPriority w:val="9"/>
    <w:rPr>
      <w:rFonts w:ascii="Arial" w:hAnsi="Arial" w:eastAsia="Arial" w:cs="Arial"/>
      <w:b/>
      <w:bCs/>
      <w:sz w:val="22"/>
      <w:szCs w:val="22"/>
    </w:rPr>
  </w:style>
  <w:style w:type="paragraph" w:styleId="993">
    <w:name w:val="Heading 7"/>
    <w:basedOn w:val="1159"/>
    <w:next w:val="1159"/>
    <w:link w:val="994"/>
    <w:uiPriority w:val="9"/>
    <w:unhideWhenUsed/>
    <w:qFormat/>
    <w:pPr>
      <w:keepLines/>
      <w:keepNext/>
      <w:spacing w:before="320" w:after="200"/>
      <w:outlineLvl w:val="6"/>
    </w:pPr>
    <w:rPr>
      <w:rFonts w:ascii="Arial" w:hAnsi="Arial" w:eastAsia="Arial" w:cs="Arial"/>
      <w:b/>
      <w:bCs/>
      <w:i/>
      <w:iCs/>
      <w:sz w:val="22"/>
      <w:szCs w:val="22"/>
    </w:rPr>
  </w:style>
  <w:style w:type="character" w:styleId="994">
    <w:name w:val="Heading 7 Char"/>
    <w:link w:val="993"/>
    <w:uiPriority w:val="9"/>
    <w:rPr>
      <w:rFonts w:ascii="Arial" w:hAnsi="Arial" w:eastAsia="Arial" w:cs="Arial"/>
      <w:b/>
      <w:bCs/>
      <w:i/>
      <w:iCs/>
      <w:sz w:val="22"/>
      <w:szCs w:val="22"/>
    </w:rPr>
  </w:style>
  <w:style w:type="paragraph" w:styleId="995">
    <w:name w:val="Heading 8"/>
    <w:basedOn w:val="1159"/>
    <w:next w:val="1159"/>
    <w:link w:val="996"/>
    <w:uiPriority w:val="9"/>
    <w:unhideWhenUsed/>
    <w:qFormat/>
    <w:pPr>
      <w:keepLines/>
      <w:keepNext/>
      <w:spacing w:before="320" w:after="200"/>
      <w:outlineLvl w:val="7"/>
    </w:pPr>
    <w:rPr>
      <w:rFonts w:ascii="Arial" w:hAnsi="Arial" w:eastAsia="Arial" w:cs="Arial"/>
      <w:i/>
      <w:iCs/>
      <w:sz w:val="22"/>
      <w:szCs w:val="22"/>
    </w:rPr>
  </w:style>
  <w:style w:type="character" w:styleId="996">
    <w:name w:val="Heading 8 Char"/>
    <w:link w:val="995"/>
    <w:uiPriority w:val="9"/>
    <w:rPr>
      <w:rFonts w:ascii="Arial" w:hAnsi="Arial" w:eastAsia="Arial" w:cs="Arial"/>
      <w:i/>
      <w:iCs/>
      <w:sz w:val="22"/>
      <w:szCs w:val="22"/>
    </w:rPr>
  </w:style>
  <w:style w:type="paragraph" w:styleId="997">
    <w:name w:val="Heading 9"/>
    <w:basedOn w:val="1159"/>
    <w:next w:val="1159"/>
    <w:link w:val="998"/>
    <w:uiPriority w:val="9"/>
    <w:unhideWhenUsed/>
    <w:qFormat/>
    <w:pPr>
      <w:keepLines/>
      <w:keepNext/>
      <w:spacing w:before="320" w:after="200"/>
      <w:outlineLvl w:val="8"/>
    </w:pPr>
    <w:rPr>
      <w:rFonts w:ascii="Arial" w:hAnsi="Arial" w:eastAsia="Arial" w:cs="Arial"/>
      <w:i/>
      <w:iCs/>
      <w:sz w:val="21"/>
      <w:szCs w:val="21"/>
    </w:rPr>
  </w:style>
  <w:style w:type="character" w:styleId="998">
    <w:name w:val="Heading 9 Char"/>
    <w:link w:val="997"/>
    <w:uiPriority w:val="9"/>
    <w:rPr>
      <w:rFonts w:ascii="Arial" w:hAnsi="Arial" w:eastAsia="Arial" w:cs="Arial"/>
      <w:i/>
      <w:iCs/>
      <w:sz w:val="21"/>
      <w:szCs w:val="21"/>
    </w:rPr>
  </w:style>
  <w:style w:type="paragraph" w:styleId="999">
    <w:name w:val="List Paragraph"/>
    <w:basedOn w:val="1159"/>
    <w:uiPriority w:val="34"/>
    <w:qFormat/>
    <w:pPr>
      <w:contextualSpacing/>
      <w:ind w:left="720"/>
    </w:pPr>
  </w:style>
  <w:style w:type="paragraph" w:styleId="1000">
    <w:name w:val="No Spacing"/>
    <w:uiPriority w:val="1"/>
    <w:qFormat/>
    <w:pPr>
      <w:spacing w:before="0" w:after="0" w:line="240" w:lineRule="auto"/>
    </w:pPr>
  </w:style>
  <w:style w:type="paragraph" w:styleId="1001">
    <w:name w:val="Title"/>
    <w:basedOn w:val="1159"/>
    <w:next w:val="1159"/>
    <w:link w:val="1002"/>
    <w:uiPriority w:val="10"/>
    <w:qFormat/>
    <w:pPr>
      <w:contextualSpacing/>
      <w:spacing w:before="300" w:after="200"/>
    </w:pPr>
    <w:rPr>
      <w:sz w:val="48"/>
      <w:szCs w:val="48"/>
    </w:rPr>
  </w:style>
  <w:style w:type="character" w:styleId="1002">
    <w:name w:val="Title Char"/>
    <w:link w:val="1001"/>
    <w:uiPriority w:val="10"/>
    <w:rPr>
      <w:sz w:val="48"/>
      <w:szCs w:val="48"/>
    </w:rPr>
  </w:style>
  <w:style w:type="paragraph" w:styleId="1003">
    <w:name w:val="Subtitle"/>
    <w:basedOn w:val="1159"/>
    <w:next w:val="1159"/>
    <w:link w:val="1004"/>
    <w:uiPriority w:val="11"/>
    <w:qFormat/>
    <w:pPr>
      <w:spacing w:before="200" w:after="200"/>
    </w:pPr>
    <w:rPr>
      <w:sz w:val="24"/>
      <w:szCs w:val="24"/>
    </w:rPr>
  </w:style>
  <w:style w:type="character" w:styleId="1004">
    <w:name w:val="Subtitle Char"/>
    <w:link w:val="1003"/>
    <w:uiPriority w:val="11"/>
    <w:rPr>
      <w:sz w:val="24"/>
      <w:szCs w:val="24"/>
    </w:rPr>
  </w:style>
  <w:style w:type="paragraph" w:styleId="1005">
    <w:name w:val="Quote"/>
    <w:basedOn w:val="1159"/>
    <w:next w:val="1159"/>
    <w:link w:val="1006"/>
    <w:uiPriority w:val="29"/>
    <w:qFormat/>
    <w:pPr>
      <w:ind w:left="720" w:right="720"/>
    </w:pPr>
    <w:rPr>
      <w:i/>
    </w:rPr>
  </w:style>
  <w:style w:type="character" w:styleId="1006">
    <w:name w:val="Quote Char"/>
    <w:link w:val="1005"/>
    <w:uiPriority w:val="29"/>
    <w:rPr>
      <w:i/>
    </w:rPr>
  </w:style>
  <w:style w:type="paragraph" w:styleId="1007">
    <w:name w:val="Intense Quote"/>
    <w:basedOn w:val="1159"/>
    <w:next w:val="1159"/>
    <w:link w:val="10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name w:val="Intense Quote Char"/>
    <w:link w:val="1007"/>
    <w:uiPriority w:val="30"/>
    <w:rPr>
      <w:i/>
    </w:rPr>
  </w:style>
  <w:style w:type="paragraph" w:styleId="1009">
    <w:name w:val="Header"/>
    <w:basedOn w:val="1159"/>
    <w:link w:val="1010"/>
    <w:uiPriority w:val="99"/>
    <w:unhideWhenUsed/>
    <w:pPr>
      <w:spacing w:after="0" w:line="240" w:lineRule="auto"/>
      <w:tabs>
        <w:tab w:val="center" w:pos="7143" w:leader="none"/>
        <w:tab w:val="right" w:pos="14287" w:leader="none"/>
      </w:tabs>
    </w:pPr>
  </w:style>
  <w:style w:type="character" w:styleId="1010">
    <w:name w:val="Header Char"/>
    <w:link w:val="1009"/>
    <w:uiPriority w:val="99"/>
  </w:style>
  <w:style w:type="paragraph" w:styleId="1011">
    <w:name w:val="Footer"/>
    <w:basedOn w:val="1159"/>
    <w:link w:val="1014"/>
    <w:uiPriority w:val="99"/>
    <w:unhideWhenUsed/>
    <w:pPr>
      <w:spacing w:after="0" w:line="240" w:lineRule="auto"/>
      <w:tabs>
        <w:tab w:val="center" w:pos="7143" w:leader="none"/>
        <w:tab w:val="right" w:pos="14287" w:leader="none"/>
      </w:tabs>
    </w:pPr>
  </w:style>
  <w:style w:type="character" w:styleId="1012">
    <w:name w:val="Footer Char"/>
    <w:link w:val="1011"/>
    <w:uiPriority w:val="99"/>
  </w:style>
  <w:style w:type="paragraph" w:styleId="1013">
    <w:name w:val="Caption"/>
    <w:basedOn w:val="1159"/>
    <w:next w:val="1159"/>
    <w:uiPriority w:val="35"/>
    <w:semiHidden/>
    <w:unhideWhenUsed/>
    <w:qFormat/>
    <w:pPr>
      <w:spacing w:line="276" w:lineRule="auto"/>
    </w:pPr>
    <w:rPr>
      <w:b/>
      <w:bCs/>
      <w:color w:val="4f81bd" w:themeColor="accent1"/>
      <w:sz w:val="18"/>
      <w:szCs w:val="18"/>
    </w:rPr>
  </w:style>
  <w:style w:type="character" w:styleId="1014">
    <w:name w:val="Caption Char"/>
    <w:basedOn w:val="1013"/>
    <w:link w:val="1011"/>
    <w:uiPriority w:val="99"/>
  </w:style>
  <w:style w:type="table" w:styleId="10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1">
    <w:name w:val="Hyperlink"/>
    <w:uiPriority w:val="99"/>
    <w:unhideWhenUsed/>
    <w:rPr>
      <w:color w:val="0000ff" w:themeColor="hyperlink"/>
      <w:u w:val="single"/>
    </w:rPr>
  </w:style>
  <w:style w:type="paragraph" w:styleId="1142">
    <w:name w:val="footnote text"/>
    <w:basedOn w:val="1159"/>
    <w:link w:val="1143"/>
    <w:uiPriority w:val="99"/>
    <w:semiHidden/>
    <w:unhideWhenUsed/>
    <w:pPr>
      <w:spacing w:after="40" w:line="240" w:lineRule="auto"/>
    </w:pPr>
    <w:rPr>
      <w:sz w:val="18"/>
    </w:rPr>
  </w:style>
  <w:style w:type="character" w:styleId="1143">
    <w:name w:val="Footnote Text Char"/>
    <w:link w:val="1142"/>
    <w:uiPriority w:val="99"/>
    <w:rPr>
      <w:sz w:val="18"/>
    </w:rPr>
  </w:style>
  <w:style w:type="character" w:styleId="1144">
    <w:name w:val="footnote reference"/>
    <w:uiPriority w:val="99"/>
    <w:unhideWhenUsed/>
    <w:rPr>
      <w:vertAlign w:val="superscript"/>
    </w:rPr>
  </w:style>
  <w:style w:type="paragraph" w:styleId="1145">
    <w:name w:val="endnote text"/>
    <w:basedOn w:val="1159"/>
    <w:link w:val="1146"/>
    <w:uiPriority w:val="99"/>
    <w:semiHidden/>
    <w:unhideWhenUsed/>
    <w:pPr>
      <w:spacing w:after="0" w:line="240" w:lineRule="auto"/>
    </w:pPr>
    <w:rPr>
      <w:sz w:val="20"/>
    </w:rPr>
  </w:style>
  <w:style w:type="character" w:styleId="1146">
    <w:name w:val="Endnote Text Char"/>
    <w:link w:val="1145"/>
    <w:uiPriority w:val="99"/>
    <w:rPr>
      <w:sz w:val="20"/>
    </w:rPr>
  </w:style>
  <w:style w:type="character" w:styleId="1147">
    <w:name w:val="endnote reference"/>
    <w:uiPriority w:val="99"/>
    <w:semiHidden/>
    <w:unhideWhenUsed/>
    <w:rPr>
      <w:vertAlign w:val="superscript"/>
    </w:rPr>
  </w:style>
  <w:style w:type="paragraph" w:styleId="1148">
    <w:name w:val="toc 1"/>
    <w:basedOn w:val="1159"/>
    <w:next w:val="1159"/>
    <w:uiPriority w:val="39"/>
    <w:unhideWhenUsed/>
    <w:pPr>
      <w:ind w:left="0" w:right="0" w:firstLine="0"/>
      <w:spacing w:after="57"/>
    </w:pPr>
  </w:style>
  <w:style w:type="paragraph" w:styleId="1149">
    <w:name w:val="toc 2"/>
    <w:basedOn w:val="1159"/>
    <w:next w:val="1159"/>
    <w:uiPriority w:val="39"/>
    <w:unhideWhenUsed/>
    <w:pPr>
      <w:ind w:left="283" w:right="0" w:firstLine="0"/>
      <w:spacing w:after="57"/>
    </w:pPr>
  </w:style>
  <w:style w:type="paragraph" w:styleId="1150">
    <w:name w:val="toc 3"/>
    <w:basedOn w:val="1159"/>
    <w:next w:val="1159"/>
    <w:uiPriority w:val="39"/>
    <w:unhideWhenUsed/>
    <w:pPr>
      <w:ind w:left="567" w:right="0" w:firstLine="0"/>
      <w:spacing w:after="57"/>
    </w:pPr>
  </w:style>
  <w:style w:type="paragraph" w:styleId="1151">
    <w:name w:val="toc 4"/>
    <w:basedOn w:val="1159"/>
    <w:next w:val="1159"/>
    <w:uiPriority w:val="39"/>
    <w:unhideWhenUsed/>
    <w:pPr>
      <w:ind w:left="850" w:right="0" w:firstLine="0"/>
      <w:spacing w:after="57"/>
    </w:pPr>
  </w:style>
  <w:style w:type="paragraph" w:styleId="1152">
    <w:name w:val="toc 5"/>
    <w:basedOn w:val="1159"/>
    <w:next w:val="1159"/>
    <w:uiPriority w:val="39"/>
    <w:unhideWhenUsed/>
    <w:pPr>
      <w:ind w:left="1134" w:right="0" w:firstLine="0"/>
      <w:spacing w:after="57"/>
    </w:pPr>
  </w:style>
  <w:style w:type="paragraph" w:styleId="1153">
    <w:name w:val="toc 6"/>
    <w:basedOn w:val="1159"/>
    <w:next w:val="1159"/>
    <w:uiPriority w:val="39"/>
    <w:unhideWhenUsed/>
    <w:pPr>
      <w:ind w:left="1417" w:right="0" w:firstLine="0"/>
      <w:spacing w:after="57"/>
    </w:pPr>
  </w:style>
  <w:style w:type="paragraph" w:styleId="1154">
    <w:name w:val="toc 7"/>
    <w:basedOn w:val="1159"/>
    <w:next w:val="1159"/>
    <w:uiPriority w:val="39"/>
    <w:unhideWhenUsed/>
    <w:pPr>
      <w:ind w:left="1701" w:right="0" w:firstLine="0"/>
      <w:spacing w:after="57"/>
    </w:pPr>
  </w:style>
  <w:style w:type="paragraph" w:styleId="1155">
    <w:name w:val="toc 8"/>
    <w:basedOn w:val="1159"/>
    <w:next w:val="1159"/>
    <w:uiPriority w:val="39"/>
    <w:unhideWhenUsed/>
    <w:pPr>
      <w:ind w:left="1984" w:right="0" w:firstLine="0"/>
      <w:spacing w:after="57"/>
    </w:pPr>
  </w:style>
  <w:style w:type="paragraph" w:styleId="1156">
    <w:name w:val="toc 9"/>
    <w:basedOn w:val="1159"/>
    <w:next w:val="1159"/>
    <w:uiPriority w:val="39"/>
    <w:unhideWhenUsed/>
    <w:pPr>
      <w:ind w:left="2268" w:right="0" w:firstLine="0"/>
      <w:spacing w:after="57"/>
    </w:pPr>
  </w:style>
  <w:style w:type="paragraph" w:styleId="1157">
    <w:name w:val="TOC Heading"/>
    <w:uiPriority w:val="39"/>
    <w:unhideWhenUsed/>
  </w:style>
  <w:style w:type="paragraph" w:styleId="1158">
    <w:name w:val="table of figures"/>
    <w:basedOn w:val="1159"/>
    <w:next w:val="1159"/>
    <w:uiPriority w:val="99"/>
    <w:unhideWhenUsed/>
    <w:pPr>
      <w:spacing w:after="0" w:afterAutospacing="0"/>
    </w:pPr>
  </w:style>
  <w:style w:type="paragraph" w:styleId="1159" w:default="1">
    <w:name w:val="Normal"/>
    <w:next w:val="1159"/>
    <w:link w:val="1159"/>
    <w:qFormat/>
    <w:pPr>
      <w:jc w:val="both"/>
      <w:widowControl w:val="off"/>
    </w:pPr>
    <w:rPr>
      <w:sz w:val="21"/>
      <w:szCs w:val="24"/>
      <w:lang w:val="en-US" w:eastAsia="zh-CN" w:bidi="ar-SA"/>
    </w:rPr>
  </w:style>
  <w:style w:type="paragraph" w:styleId="1160">
    <w:name w:val="标题 1"/>
    <w:basedOn w:val="1159"/>
    <w:next w:val="1159"/>
    <w:link w:val="1171"/>
    <w:qFormat/>
    <w:pPr>
      <w:jc w:val="center"/>
      <w:keepLines/>
      <w:keepNext/>
      <w:spacing w:before="240" w:after="120" w:line="300" w:lineRule="auto"/>
      <w:outlineLvl w:val="0"/>
    </w:pPr>
    <w:rPr>
      <w:rFonts w:ascii="宋体"/>
      <w:b/>
      <w:sz w:val="32"/>
      <w:szCs w:val="20"/>
    </w:rPr>
  </w:style>
  <w:style w:type="paragraph" w:styleId="1161">
    <w:name w:val="标题 2"/>
    <w:basedOn w:val="1159"/>
    <w:next w:val="1173"/>
    <w:link w:val="1172"/>
    <w:qFormat/>
    <w:pPr>
      <w:jc w:val="center"/>
      <w:keepLines/>
      <w:keepNext/>
      <w:spacing w:before="120" w:line="300" w:lineRule="auto"/>
      <w:outlineLvl w:val="1"/>
    </w:pPr>
    <w:rPr>
      <w:rFonts w:ascii="Arial" w:hAnsi="Arial" w:eastAsia="黑体"/>
      <w:b/>
      <w:sz w:val="30"/>
      <w:szCs w:val="20"/>
    </w:rPr>
  </w:style>
  <w:style w:type="paragraph" w:styleId="1162">
    <w:name w:val="标题 3"/>
    <w:basedOn w:val="1159"/>
    <w:next w:val="1159"/>
    <w:link w:val="1175"/>
    <w:qFormat/>
    <w:pPr>
      <w:jc w:val="left"/>
      <w:keepLines/>
      <w:keepNext/>
      <w:spacing w:before="360" w:after="120"/>
      <w:outlineLvl w:val="2"/>
    </w:pPr>
    <w:rPr>
      <w:rFonts w:ascii="宋体"/>
      <w:b/>
      <w:sz w:val="24"/>
      <w:szCs w:val="20"/>
      <w:u w:val="single"/>
    </w:rPr>
  </w:style>
  <w:style w:type="paragraph" w:styleId="1163">
    <w:name w:val="标题 4"/>
    <w:basedOn w:val="1159"/>
    <w:next w:val="1159"/>
    <w:link w:val="1176"/>
    <w:qFormat/>
    <w:pPr>
      <w:keepLines/>
      <w:keepNext/>
      <w:spacing w:before="280" w:after="290" w:line="376" w:lineRule="atLeast"/>
      <w:outlineLvl w:val="3"/>
    </w:pPr>
    <w:rPr>
      <w:rFonts w:ascii="Arial" w:hAnsi="Arial" w:eastAsia="黑体"/>
      <w:b/>
      <w:sz w:val="28"/>
      <w:szCs w:val="20"/>
    </w:rPr>
  </w:style>
  <w:style w:type="paragraph" w:styleId="1164">
    <w:name w:val="标题 5"/>
    <w:basedOn w:val="1159"/>
    <w:next w:val="1159"/>
    <w:link w:val="1177"/>
    <w:qFormat/>
    <w:pPr>
      <w:keepLines/>
      <w:keepNext/>
      <w:spacing w:before="280" w:after="290" w:line="376" w:lineRule="atLeast"/>
      <w:outlineLvl w:val="4"/>
    </w:pPr>
    <w:rPr>
      <w:b/>
      <w:sz w:val="28"/>
      <w:szCs w:val="20"/>
    </w:rPr>
  </w:style>
  <w:style w:type="paragraph" w:styleId="1165">
    <w:name w:val="标题 6"/>
    <w:basedOn w:val="1159"/>
    <w:next w:val="1159"/>
    <w:link w:val="1178"/>
    <w:qFormat/>
    <w:pPr>
      <w:keepLines/>
      <w:keepNext/>
      <w:spacing w:before="240" w:after="64" w:line="320" w:lineRule="atLeast"/>
      <w:outlineLvl w:val="5"/>
    </w:pPr>
    <w:rPr>
      <w:rFonts w:ascii="Arial" w:hAnsi="Arial" w:eastAsia="黑体"/>
      <w:b/>
      <w:sz w:val="24"/>
      <w:szCs w:val="20"/>
    </w:rPr>
  </w:style>
  <w:style w:type="paragraph" w:styleId="1166">
    <w:name w:val="标题 7"/>
    <w:basedOn w:val="1159"/>
    <w:next w:val="1159"/>
    <w:link w:val="1179"/>
    <w:qFormat/>
    <w:pPr>
      <w:keepLines/>
      <w:keepNext/>
      <w:spacing w:before="240" w:after="64" w:line="320" w:lineRule="atLeast"/>
      <w:outlineLvl w:val="6"/>
    </w:pPr>
    <w:rPr>
      <w:b/>
      <w:sz w:val="24"/>
      <w:szCs w:val="20"/>
    </w:rPr>
  </w:style>
  <w:style w:type="paragraph" w:styleId="1167">
    <w:name w:val="标题 8"/>
    <w:basedOn w:val="1159"/>
    <w:next w:val="1159"/>
    <w:link w:val="1180"/>
    <w:qFormat/>
    <w:pPr>
      <w:keepLines/>
      <w:keepNext/>
      <w:spacing w:before="240" w:after="64" w:line="320" w:lineRule="atLeast"/>
      <w:outlineLvl w:val="7"/>
    </w:pPr>
    <w:rPr>
      <w:rFonts w:ascii="Arial" w:hAnsi="Arial" w:eastAsia="黑体"/>
      <w:sz w:val="24"/>
      <w:szCs w:val="20"/>
    </w:rPr>
  </w:style>
  <w:style w:type="paragraph" w:styleId="1168">
    <w:name w:val="标题 9"/>
    <w:basedOn w:val="1159"/>
    <w:next w:val="1159"/>
    <w:link w:val="1181"/>
    <w:qFormat/>
    <w:pPr>
      <w:keepLines/>
      <w:keepNext/>
      <w:spacing w:before="240" w:after="64" w:line="320" w:lineRule="atLeast"/>
      <w:outlineLvl w:val="8"/>
    </w:pPr>
    <w:rPr>
      <w:rFonts w:ascii="Arial" w:hAnsi="Arial" w:eastAsia="黑体"/>
      <w:szCs w:val="20"/>
    </w:rPr>
  </w:style>
  <w:style w:type="character" w:styleId="1169">
    <w:name w:val="默认段落字体"/>
    <w:next w:val="1169"/>
    <w:link w:val="1159"/>
    <w:uiPriority w:val="1"/>
    <w:unhideWhenUsed/>
  </w:style>
  <w:style w:type="table" w:styleId="1170">
    <w:name w:val="普通表格"/>
    <w:next w:val="1170"/>
    <w:link w:val="1159"/>
    <w:uiPriority w:val="99"/>
    <w:unhideWhenUsed/>
    <w:tblPr/>
  </w:style>
  <w:style w:type="character" w:styleId="1171">
    <w:name w:val="标题 1 字符"/>
    <w:next w:val="1171"/>
    <w:link w:val="1160"/>
    <w:qFormat/>
    <w:rPr>
      <w:rFonts w:ascii="宋体"/>
      <w:b/>
      <w:sz w:val="32"/>
    </w:rPr>
  </w:style>
  <w:style w:type="character" w:styleId="1172">
    <w:name w:val="标题 2 字符"/>
    <w:next w:val="1172"/>
    <w:link w:val="1161"/>
    <w:qFormat/>
    <w:rPr>
      <w:rFonts w:ascii="Arial" w:hAnsi="Arial" w:eastAsia="黑体"/>
      <w:b/>
      <w:sz w:val="30"/>
      <w:lang w:val="en-US" w:eastAsia="zh-CN" w:bidi="ar-SA"/>
    </w:rPr>
  </w:style>
  <w:style w:type="paragraph" w:styleId="1173">
    <w:name w:val="正文缩进"/>
    <w:basedOn w:val="1159"/>
    <w:next w:val="1159"/>
    <w:link w:val="1174"/>
    <w:qFormat/>
    <w:pPr>
      <w:ind w:firstLine="420"/>
      <w:jc w:val="left"/>
    </w:pPr>
    <w:rPr>
      <w:rFonts w:ascii="宋体"/>
      <w:sz w:val="24"/>
    </w:rPr>
  </w:style>
  <w:style w:type="character" w:styleId="1174">
    <w:name w:val="正文缩进 字符"/>
    <w:next w:val="1174"/>
    <w:link w:val="1173"/>
    <w:qFormat/>
    <w:rPr>
      <w:rFonts w:ascii="宋体" w:eastAsia="宋体"/>
      <w:sz w:val="24"/>
      <w:szCs w:val="24"/>
      <w:lang w:val="en-US" w:eastAsia="zh-CN" w:bidi="ar-SA"/>
    </w:rPr>
  </w:style>
  <w:style w:type="character" w:styleId="1175">
    <w:name w:val="标题 3 字符"/>
    <w:next w:val="1175"/>
    <w:link w:val="1162"/>
    <w:qFormat/>
    <w:rPr>
      <w:rFonts w:ascii="宋体" w:eastAsia="宋体"/>
      <w:b/>
      <w:sz w:val="24"/>
      <w:u w:val="single"/>
      <w:lang w:val="en-US" w:eastAsia="zh-CN" w:bidi="ar-SA"/>
    </w:rPr>
  </w:style>
  <w:style w:type="character" w:styleId="1176">
    <w:name w:val="标题 4 字符"/>
    <w:next w:val="1176"/>
    <w:link w:val="1163"/>
    <w:qFormat/>
    <w:rPr>
      <w:rFonts w:ascii="Arial" w:hAnsi="Arial" w:eastAsia="黑体"/>
      <w:b/>
      <w:sz w:val="28"/>
    </w:rPr>
  </w:style>
  <w:style w:type="character" w:styleId="1177">
    <w:name w:val="标题 5 字符"/>
    <w:next w:val="1177"/>
    <w:link w:val="1164"/>
    <w:qFormat/>
    <w:rPr>
      <w:b/>
      <w:sz w:val="28"/>
    </w:rPr>
  </w:style>
  <w:style w:type="character" w:styleId="1178">
    <w:name w:val="标题 6 字符"/>
    <w:next w:val="1178"/>
    <w:link w:val="1165"/>
    <w:qFormat/>
    <w:rPr>
      <w:rFonts w:ascii="Arial" w:hAnsi="Arial" w:eastAsia="黑体"/>
      <w:b/>
      <w:sz w:val="24"/>
    </w:rPr>
  </w:style>
  <w:style w:type="character" w:styleId="1179">
    <w:name w:val="标题 7 字符"/>
    <w:next w:val="1179"/>
    <w:link w:val="1166"/>
    <w:qFormat/>
    <w:rPr>
      <w:b/>
      <w:sz w:val="24"/>
    </w:rPr>
  </w:style>
  <w:style w:type="character" w:styleId="1180">
    <w:name w:val="标题 8 字符"/>
    <w:next w:val="1180"/>
    <w:link w:val="1167"/>
    <w:qFormat/>
    <w:rPr>
      <w:rFonts w:ascii="Arial" w:hAnsi="Arial" w:eastAsia="黑体"/>
      <w:sz w:val="24"/>
    </w:rPr>
  </w:style>
  <w:style w:type="character" w:styleId="1181">
    <w:name w:val="标题 9 字符"/>
    <w:next w:val="1181"/>
    <w:link w:val="1168"/>
    <w:qFormat/>
    <w:rPr>
      <w:rFonts w:ascii="Arial" w:hAnsi="Arial" w:eastAsia="黑体"/>
      <w:sz w:val="21"/>
    </w:rPr>
  </w:style>
  <w:style w:type="paragraph" w:styleId="1182">
    <w:name w:val="目录 7"/>
    <w:basedOn w:val="1159"/>
    <w:next w:val="1159"/>
    <w:link w:val="1159"/>
    <w:qFormat/>
    <w:pPr>
      <w:ind w:left="2520"/>
    </w:pPr>
  </w:style>
  <w:style w:type="paragraph" w:styleId="1183">
    <w:name w:val="题注"/>
    <w:basedOn w:val="1159"/>
    <w:next w:val="1159"/>
    <w:link w:val="1159"/>
    <w:qFormat/>
    <w:pPr>
      <w:spacing w:line="480" w:lineRule="auto"/>
    </w:pPr>
    <w:rPr>
      <w:rFonts w:ascii="华文中宋" w:hAnsi="华文中宋" w:eastAsia="华文中宋"/>
      <w:sz w:val="36"/>
      <w:szCs w:val="20"/>
    </w:rPr>
  </w:style>
  <w:style w:type="paragraph" w:styleId="1184">
    <w:name w:val="文档结构图"/>
    <w:basedOn w:val="1159"/>
    <w:next w:val="1184"/>
    <w:link w:val="1185"/>
    <w:qFormat/>
    <w:pPr>
      <w:shd w:val="clear" w:color="auto" w:fill="000080"/>
    </w:pPr>
  </w:style>
  <w:style w:type="character" w:styleId="1185">
    <w:name w:val="文档结构图 字符"/>
    <w:next w:val="1185"/>
    <w:link w:val="1184"/>
    <w:qFormat/>
    <w:rPr>
      <w:sz w:val="21"/>
      <w:szCs w:val="24"/>
      <w:shd w:val="clear" w:color="auto" w:fill="000080"/>
    </w:rPr>
  </w:style>
  <w:style w:type="paragraph" w:styleId="1186">
    <w:name w:val="引文目录标题"/>
    <w:basedOn w:val="1159"/>
    <w:next w:val="1159"/>
    <w:link w:val="1159"/>
    <w:semiHidden/>
    <w:qFormat/>
    <w:pPr>
      <w:spacing w:before="120"/>
    </w:pPr>
    <w:rPr>
      <w:rFonts w:ascii="Arial" w:hAnsi="Arial"/>
    </w:rPr>
  </w:style>
  <w:style w:type="paragraph" w:styleId="1187">
    <w:name w:val="批注文字"/>
    <w:basedOn w:val="1159"/>
    <w:next w:val="1187"/>
    <w:link w:val="1188"/>
    <w:uiPriority w:val="99"/>
    <w:qFormat/>
    <w:pPr>
      <w:jc w:val="left"/>
    </w:pPr>
  </w:style>
  <w:style w:type="character" w:styleId="1188">
    <w:name w:val="批注文字 字符1"/>
    <w:next w:val="1188"/>
    <w:link w:val="1187"/>
    <w:uiPriority w:val="99"/>
    <w:qFormat/>
    <w:rPr>
      <w:sz w:val="21"/>
      <w:szCs w:val="24"/>
    </w:rPr>
  </w:style>
  <w:style w:type="paragraph" w:styleId="1189">
    <w:name w:val="正文文本 3"/>
    <w:basedOn w:val="1159"/>
    <w:next w:val="1189"/>
    <w:link w:val="1190"/>
    <w:qFormat/>
    <w:pPr>
      <w:spacing w:after="120"/>
    </w:pPr>
    <w:rPr>
      <w:sz w:val="16"/>
      <w:szCs w:val="16"/>
    </w:rPr>
  </w:style>
  <w:style w:type="character" w:styleId="1190">
    <w:name w:val="正文文本 3 字符"/>
    <w:next w:val="1190"/>
    <w:link w:val="1189"/>
    <w:qFormat/>
    <w:rPr>
      <w:sz w:val="16"/>
      <w:szCs w:val="16"/>
    </w:rPr>
  </w:style>
  <w:style w:type="paragraph" w:styleId="1191">
    <w:name w:val="正文文本"/>
    <w:basedOn w:val="1159"/>
    <w:next w:val="1191"/>
    <w:link w:val="1192"/>
    <w:qFormat/>
    <w:pPr>
      <w:spacing w:before="120" w:line="22" w:lineRule="atLeast"/>
      <w:tabs>
        <w:tab w:val="left" w:pos="567" w:leader="none"/>
      </w:tabs>
    </w:pPr>
    <w:rPr>
      <w:rFonts w:ascii="宋体" w:hAnsi="宋体"/>
      <w:sz w:val="24"/>
    </w:rPr>
  </w:style>
  <w:style w:type="character" w:styleId="1192">
    <w:name w:val="正文文本 字符"/>
    <w:next w:val="1192"/>
    <w:link w:val="1191"/>
    <w:qFormat/>
    <w:rPr>
      <w:rFonts w:ascii="宋体" w:hAnsi="宋体"/>
      <w:sz w:val="24"/>
      <w:szCs w:val="24"/>
    </w:rPr>
  </w:style>
  <w:style w:type="paragraph" w:styleId="1193">
    <w:name w:val="正文文本缩进"/>
    <w:basedOn w:val="1159"/>
    <w:next w:val="1159"/>
    <w:link w:val="1194"/>
    <w:qFormat/>
    <w:pPr>
      <w:ind w:firstLine="570"/>
      <w:spacing w:line="360" w:lineRule="auto"/>
    </w:pPr>
    <w:rPr>
      <w:sz w:val="24"/>
    </w:rPr>
  </w:style>
  <w:style w:type="character" w:styleId="1194">
    <w:name w:val="正文文本缩进 字符"/>
    <w:next w:val="1194"/>
    <w:link w:val="1193"/>
    <w:qFormat/>
    <w:rPr>
      <w:rFonts w:eastAsia="宋体"/>
      <w:sz w:val="24"/>
      <w:szCs w:val="24"/>
      <w:lang w:val="en-US" w:eastAsia="zh-CN" w:bidi="ar-SA"/>
    </w:rPr>
  </w:style>
  <w:style w:type="paragraph" w:styleId="1195">
    <w:name w:val="列表 2"/>
    <w:basedOn w:val="1159"/>
    <w:next w:val="1195"/>
    <w:link w:val="1159"/>
    <w:qFormat/>
    <w:pPr>
      <w:ind w:left="100" w:hanging="200"/>
    </w:pPr>
  </w:style>
  <w:style w:type="paragraph" w:styleId="1196">
    <w:name w:val="文本块"/>
    <w:basedOn w:val="1159"/>
    <w:next w:val="1196"/>
    <w:link w:val="1159"/>
    <w:qFormat/>
    <w:pPr>
      <w:ind w:left="480" w:right="-341" w:firstLine="513"/>
      <w:widowControl/>
    </w:pPr>
    <w:rPr>
      <w:sz w:val="24"/>
      <w:szCs w:val="20"/>
    </w:rPr>
  </w:style>
  <w:style w:type="paragraph" w:styleId="1197">
    <w:name w:val="目录 5"/>
    <w:basedOn w:val="1159"/>
    <w:next w:val="1159"/>
    <w:link w:val="1159"/>
    <w:qFormat/>
    <w:pPr>
      <w:ind w:left="1680"/>
    </w:pPr>
  </w:style>
  <w:style w:type="paragraph" w:styleId="1198">
    <w:name w:val="目录 3"/>
    <w:basedOn w:val="1159"/>
    <w:next w:val="1159"/>
    <w:link w:val="1159"/>
    <w:uiPriority w:val="39"/>
    <w:qFormat/>
    <w:pPr>
      <w:ind w:left="840"/>
    </w:pPr>
  </w:style>
  <w:style w:type="paragraph" w:styleId="1199">
    <w:name w:val="纯文本"/>
    <w:basedOn w:val="1159"/>
    <w:next w:val="1173"/>
    <w:link w:val="1200"/>
    <w:qFormat/>
    <w:rPr>
      <w:rFonts w:hint="eastAsia" w:ascii="宋体" w:hAnsi="Courier New"/>
      <w:szCs w:val="20"/>
    </w:rPr>
  </w:style>
  <w:style w:type="character" w:styleId="1200">
    <w:name w:val="纯文本 字符2"/>
    <w:next w:val="1200"/>
    <w:link w:val="1199"/>
    <w:qFormat/>
    <w:rPr>
      <w:rFonts w:hint="eastAsia" w:ascii="宋体" w:hAnsi="Courier New" w:eastAsia="宋体" w:cs="宋体"/>
      <w:sz w:val="21"/>
    </w:rPr>
  </w:style>
  <w:style w:type="paragraph" w:styleId="1201">
    <w:name w:val="目录 8"/>
    <w:basedOn w:val="1159"/>
    <w:next w:val="1159"/>
    <w:link w:val="1159"/>
    <w:qFormat/>
    <w:pPr>
      <w:ind w:left="2940"/>
    </w:pPr>
  </w:style>
  <w:style w:type="paragraph" w:styleId="1202">
    <w:name w:val="日期"/>
    <w:basedOn w:val="1159"/>
    <w:next w:val="1159"/>
    <w:link w:val="1203"/>
    <w:qFormat/>
    <w:pPr>
      <w:ind w:left="100"/>
    </w:pPr>
    <w:rPr>
      <w:rFonts w:ascii="仿宋_GB2312" w:hAnsi="宋体" w:eastAsia="仿宋_GB2312"/>
      <w:color w:val="000000"/>
      <w:sz w:val="24"/>
    </w:rPr>
  </w:style>
  <w:style w:type="character" w:styleId="1203">
    <w:name w:val="日期 字符"/>
    <w:next w:val="1203"/>
    <w:link w:val="1202"/>
    <w:qFormat/>
    <w:rPr>
      <w:rFonts w:ascii="仿宋_GB2312" w:hAnsi="宋体" w:eastAsia="仿宋_GB2312"/>
      <w:color w:val="000000"/>
      <w:sz w:val="24"/>
      <w:szCs w:val="24"/>
    </w:rPr>
  </w:style>
  <w:style w:type="paragraph" w:styleId="1204">
    <w:name w:val="正文文本缩进 2"/>
    <w:basedOn w:val="1159"/>
    <w:next w:val="1204"/>
    <w:link w:val="1205"/>
    <w:qFormat/>
    <w:pPr>
      <w:ind w:firstLine="480"/>
    </w:pPr>
    <w:rPr>
      <w:rFonts w:ascii="仿宋_GB2312" w:eastAsia="仿宋_GB2312"/>
      <w:sz w:val="24"/>
    </w:rPr>
  </w:style>
  <w:style w:type="character" w:styleId="1205">
    <w:name w:val="正文文本缩进 2 字符"/>
    <w:next w:val="1205"/>
    <w:link w:val="1204"/>
    <w:qFormat/>
    <w:rPr>
      <w:rFonts w:ascii="仿宋_GB2312" w:eastAsia="仿宋_GB2312"/>
      <w:sz w:val="24"/>
      <w:szCs w:val="24"/>
    </w:rPr>
  </w:style>
  <w:style w:type="paragraph" w:styleId="1206">
    <w:name w:val="批注框文本"/>
    <w:basedOn w:val="1159"/>
    <w:next w:val="1206"/>
    <w:link w:val="1207"/>
    <w:qFormat/>
    <w:rPr>
      <w:sz w:val="18"/>
      <w:szCs w:val="18"/>
    </w:rPr>
  </w:style>
  <w:style w:type="character" w:styleId="1207">
    <w:name w:val="批注框文本 字符"/>
    <w:next w:val="1207"/>
    <w:link w:val="1206"/>
    <w:qFormat/>
    <w:rPr>
      <w:sz w:val="18"/>
      <w:szCs w:val="18"/>
    </w:rPr>
  </w:style>
  <w:style w:type="paragraph" w:styleId="1208">
    <w:name w:val="页脚"/>
    <w:basedOn w:val="1159"/>
    <w:next w:val="1208"/>
    <w:link w:val="1209"/>
    <w:uiPriority w:val="99"/>
    <w:qFormat/>
    <w:pPr>
      <w:jc w:val="left"/>
      <w:tabs>
        <w:tab w:val="center" w:pos="4153" w:leader="none"/>
        <w:tab w:val="right" w:pos="8306" w:leader="none"/>
      </w:tabs>
    </w:pPr>
    <w:rPr>
      <w:rFonts w:ascii="宋体"/>
      <w:sz w:val="18"/>
      <w:szCs w:val="20"/>
    </w:rPr>
  </w:style>
  <w:style w:type="character" w:styleId="1209">
    <w:name w:val="页脚 字符"/>
    <w:next w:val="1209"/>
    <w:link w:val="1208"/>
    <w:uiPriority w:val="99"/>
    <w:qFormat/>
    <w:rPr>
      <w:rFonts w:ascii="宋体" w:eastAsia="宋体"/>
      <w:sz w:val="18"/>
      <w:lang w:val="en-US" w:eastAsia="zh-CN" w:bidi="ar-SA"/>
    </w:rPr>
  </w:style>
  <w:style w:type="paragraph" w:styleId="1210">
    <w:name w:val="页眉"/>
    <w:basedOn w:val="1159"/>
    <w:next w:val="1210"/>
    <w:link w:val="1211"/>
    <w:qFormat/>
    <w:pPr>
      <w:jc w:val="center"/>
      <w:tabs>
        <w:tab w:val="center" w:pos="4153" w:leader="none"/>
        <w:tab w:val="right" w:pos="8306" w:leader="none"/>
      </w:tabs>
    </w:pPr>
    <w:rPr>
      <w:sz w:val="18"/>
      <w:szCs w:val="18"/>
    </w:rPr>
  </w:style>
  <w:style w:type="character" w:styleId="1211">
    <w:name w:val="页眉 字符"/>
    <w:next w:val="1211"/>
    <w:link w:val="1210"/>
    <w:qFormat/>
    <w:rPr>
      <w:sz w:val="18"/>
      <w:szCs w:val="18"/>
    </w:rPr>
  </w:style>
  <w:style w:type="paragraph" w:styleId="1212">
    <w:name w:val="目录 1"/>
    <w:basedOn w:val="1159"/>
    <w:next w:val="1159"/>
    <w:link w:val="1159"/>
    <w:uiPriority w:val="39"/>
    <w:qFormat/>
    <w:pPr>
      <w:spacing w:line="300" w:lineRule="auto"/>
      <w:tabs>
        <w:tab w:val="left" w:pos="1050" w:leader="none"/>
        <w:tab w:val="right" w:pos="8937" w:leader="dot"/>
      </w:tabs>
    </w:pPr>
    <w:rPr>
      <w:rFonts w:ascii="宋体" w:hAnsi="宋体"/>
      <w:b/>
      <w:sz w:val="24"/>
    </w:rPr>
  </w:style>
  <w:style w:type="paragraph" w:styleId="1213">
    <w:name w:val="目录 4"/>
    <w:basedOn w:val="1159"/>
    <w:next w:val="1159"/>
    <w:link w:val="1159"/>
    <w:qFormat/>
    <w:pPr>
      <w:ind w:left="1260"/>
    </w:pPr>
  </w:style>
  <w:style w:type="paragraph" w:styleId="1214">
    <w:name w:val="目录 6"/>
    <w:basedOn w:val="1159"/>
    <w:next w:val="1159"/>
    <w:link w:val="1159"/>
    <w:qFormat/>
    <w:pPr>
      <w:ind w:left="2100"/>
    </w:pPr>
  </w:style>
  <w:style w:type="paragraph" w:styleId="1215">
    <w:name w:val="正文文本缩进 3"/>
    <w:basedOn w:val="1159"/>
    <w:next w:val="1215"/>
    <w:link w:val="1216"/>
    <w:qFormat/>
    <w:pPr>
      <w:ind w:left="720" w:firstLine="480"/>
      <w:jc w:val="left"/>
      <w:spacing w:before="120" w:line="22" w:lineRule="atLeast"/>
    </w:pPr>
    <w:rPr>
      <w:rFonts w:ascii="宋体"/>
      <w:sz w:val="24"/>
      <w:szCs w:val="20"/>
    </w:rPr>
  </w:style>
  <w:style w:type="character" w:styleId="1216">
    <w:name w:val="正文文本缩进 3 字符"/>
    <w:next w:val="1216"/>
    <w:link w:val="1215"/>
    <w:qFormat/>
    <w:rPr>
      <w:rFonts w:ascii="宋体"/>
      <w:sz w:val="24"/>
    </w:rPr>
  </w:style>
  <w:style w:type="paragraph" w:styleId="1217">
    <w:name w:val="目录 2"/>
    <w:basedOn w:val="1159"/>
    <w:next w:val="1159"/>
    <w:link w:val="1159"/>
    <w:uiPriority w:val="39"/>
    <w:qFormat/>
    <w:pPr>
      <w:ind w:left="420"/>
      <w:spacing w:line="312" w:lineRule="auto"/>
      <w:tabs>
        <w:tab w:val="right" w:pos="8937" w:leader="dot"/>
      </w:tabs>
    </w:pPr>
  </w:style>
  <w:style w:type="paragraph" w:styleId="1218">
    <w:name w:val="目录 9"/>
    <w:basedOn w:val="1159"/>
    <w:next w:val="1159"/>
    <w:link w:val="1159"/>
    <w:qFormat/>
    <w:pPr>
      <w:ind w:left="3360"/>
    </w:pPr>
  </w:style>
  <w:style w:type="paragraph" w:styleId="1219">
    <w:name w:val="HTML 预设格式"/>
    <w:basedOn w:val="1159"/>
    <w:next w:val="1219"/>
    <w:link w:val="12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0">
    <w:name w:val="HTML 预设格式 字符"/>
    <w:next w:val="1220"/>
    <w:link w:val="1219"/>
    <w:qFormat/>
    <w:rPr>
      <w:rFonts w:ascii="宋体" w:hAnsi="宋体" w:cs="宋体"/>
      <w:sz w:val="24"/>
      <w:szCs w:val="24"/>
    </w:rPr>
  </w:style>
  <w:style w:type="paragraph" w:styleId="1221">
    <w:name w:val="普通(网站)"/>
    <w:basedOn w:val="1159"/>
    <w:next w:val="1221"/>
    <w:link w:val="1159"/>
    <w:uiPriority w:val="99"/>
    <w:unhideWhenUsed/>
    <w:qFormat/>
    <w:pPr>
      <w:jc w:val="left"/>
      <w:spacing w:before="100" w:beforeAutospacing="1" w:after="100" w:afterAutospacing="1"/>
      <w:widowControl/>
    </w:pPr>
    <w:rPr>
      <w:rFonts w:ascii="宋体" w:hAnsi="宋体" w:cs="宋体"/>
      <w:sz w:val="24"/>
    </w:rPr>
  </w:style>
  <w:style w:type="paragraph" w:styleId="1222">
    <w:name w:val="索引 1"/>
    <w:basedOn w:val="1159"/>
    <w:next w:val="1159"/>
    <w:link w:val="1159"/>
    <w:qFormat/>
    <w:rPr>
      <w:szCs w:val="20"/>
    </w:rPr>
  </w:style>
  <w:style w:type="paragraph" w:styleId="1223">
    <w:name w:val="标题"/>
    <w:basedOn w:val="1159"/>
    <w:next w:val="1223"/>
    <w:link w:val="1224"/>
    <w:qFormat/>
    <w:pPr>
      <w:jc w:val="center"/>
      <w:outlineLvl w:val="0"/>
    </w:pPr>
    <w:rPr>
      <w:b/>
      <w:sz w:val="32"/>
      <w:szCs w:val="20"/>
    </w:rPr>
  </w:style>
  <w:style w:type="character" w:styleId="1224">
    <w:name w:val="标题 字符"/>
    <w:next w:val="1224"/>
    <w:link w:val="1223"/>
    <w:qFormat/>
    <w:rPr>
      <w:b/>
      <w:sz w:val="32"/>
    </w:rPr>
  </w:style>
  <w:style w:type="paragraph" w:styleId="1225">
    <w:name w:val="批注主题"/>
    <w:basedOn w:val="1187"/>
    <w:next w:val="1187"/>
    <w:link w:val="1226"/>
    <w:qFormat/>
    <w:rPr>
      <w:b/>
      <w:bCs/>
    </w:rPr>
  </w:style>
  <w:style w:type="character" w:styleId="1226">
    <w:name w:val="批注主题 字符"/>
    <w:next w:val="1226"/>
    <w:link w:val="1225"/>
    <w:qFormat/>
    <w:rPr>
      <w:rFonts w:ascii="Times New Roman" w:hAnsi="Times New Roman" w:eastAsia="宋体" w:cs="Times New Roman"/>
      <w:b/>
      <w:bCs/>
      <w:sz w:val="21"/>
      <w:szCs w:val="24"/>
      <w:lang w:val="en-US" w:eastAsia="zh-CN" w:bidi="ar-SA"/>
    </w:rPr>
  </w:style>
  <w:style w:type="paragraph" w:styleId="1227">
    <w:name w:val="正文首行缩进"/>
    <w:basedOn w:val="1191"/>
    <w:next w:val="1227"/>
    <w:link w:val="1228"/>
    <w:pPr>
      <w:ind w:firstLine="420"/>
      <w:spacing w:before="0" w:after="120" w:line="240" w:lineRule="auto"/>
      <w:tabs>
        <w:tab w:val="clear" w:pos="567" w:leader="none"/>
      </w:tabs>
    </w:pPr>
    <w:rPr>
      <w:rFonts w:ascii="Times New Roman" w:hAnsi="Times New Roman"/>
      <w:sz w:val="21"/>
    </w:rPr>
  </w:style>
  <w:style w:type="character" w:styleId="1228">
    <w:name w:val="正文文本首行缩进 字符"/>
    <w:next w:val="1228"/>
    <w:link w:val="1227"/>
    <w:qFormat/>
    <w:rPr>
      <w:rFonts w:ascii="宋体" w:hAnsi="宋体"/>
      <w:sz w:val="21"/>
      <w:szCs w:val="24"/>
    </w:rPr>
  </w:style>
  <w:style w:type="paragraph" w:styleId="1229">
    <w:name w:val="正文首行缩进 2"/>
    <w:basedOn w:val="1159"/>
    <w:next w:val="1159"/>
    <w:link w:val="1230"/>
    <w:qFormat/>
    <w:pPr>
      <w:ind w:left="420" w:firstLine="420"/>
      <w:spacing w:after="120" w:line="480" w:lineRule="exact"/>
    </w:pPr>
    <w:rPr>
      <w:szCs w:val="20"/>
    </w:rPr>
  </w:style>
  <w:style w:type="character" w:styleId="1230">
    <w:name w:val="正文文本首行缩进 2 字符"/>
    <w:next w:val="1230"/>
    <w:link w:val="1229"/>
    <w:qFormat/>
    <w:rPr>
      <w:rFonts w:eastAsia="宋体"/>
      <w:sz w:val="24"/>
      <w:szCs w:val="24"/>
      <w:lang w:val="en-US" w:eastAsia="zh-CN" w:bidi="ar-SA"/>
    </w:rPr>
  </w:style>
  <w:style w:type="table" w:styleId="1231">
    <w:name w:val="网格型"/>
    <w:basedOn w:val="1170"/>
    <w:next w:val="1231"/>
    <w:link w:val="1159"/>
    <w:uiPriority w:val="39"/>
    <w:qFormat/>
    <w:tblPr/>
  </w:style>
  <w:style w:type="table" w:styleId="1232">
    <w:name w:val="中等深浅网格 1 - 强调文字颜色 2"/>
    <w:basedOn w:val="1170"/>
    <w:next w:val="1232"/>
    <w:link w:val="1159"/>
    <w:qFormat/>
    <w:rPr>
      <w:sz w:val="21"/>
      <w:szCs w:val="24"/>
    </w:rPr>
    <w:tblPr/>
  </w:style>
  <w:style w:type="character" w:styleId="1233">
    <w:name w:val="要点"/>
    <w:next w:val="1233"/>
    <w:link w:val="1159"/>
    <w:qFormat/>
    <w:rPr>
      <w:b/>
      <w:bCs/>
    </w:rPr>
  </w:style>
  <w:style w:type="character" w:styleId="1234">
    <w:name w:val="页码"/>
    <w:next w:val="1234"/>
    <w:link w:val="1159"/>
    <w:qFormat/>
  </w:style>
  <w:style w:type="character" w:styleId="1235">
    <w:name w:val="已访问的超链接"/>
    <w:next w:val="1235"/>
    <w:link w:val="1159"/>
    <w:qFormat/>
    <w:rPr>
      <w:color w:val="800080"/>
      <w:u w:val="single"/>
    </w:rPr>
  </w:style>
  <w:style w:type="character" w:styleId="1236">
    <w:name w:val="强调"/>
    <w:next w:val="1236"/>
    <w:link w:val="1159"/>
    <w:qFormat/>
    <w:rPr>
      <w:color w:val="cc0033"/>
    </w:rPr>
  </w:style>
  <w:style w:type="character" w:styleId="1237">
    <w:name w:val="超链接"/>
    <w:next w:val="1237"/>
    <w:link w:val="1159"/>
    <w:uiPriority w:val="99"/>
    <w:qFormat/>
    <w:rPr>
      <w:color w:val="0000ff"/>
      <w:u w:val="single"/>
    </w:rPr>
  </w:style>
  <w:style w:type="character" w:styleId="1238">
    <w:name w:val="批注引用"/>
    <w:next w:val="1238"/>
    <w:link w:val="1159"/>
    <w:uiPriority w:val="99"/>
    <w:qFormat/>
    <w:rPr>
      <w:sz w:val="21"/>
      <w:szCs w:val="21"/>
    </w:rPr>
  </w:style>
  <w:style w:type="character" w:styleId="1239">
    <w:name w:val="HTML 引文"/>
    <w:next w:val="1239"/>
    <w:link w:val="1159"/>
    <w:qFormat/>
    <w:rPr>
      <w:i/>
      <w:iCs/>
    </w:rPr>
  </w:style>
  <w:style w:type="character" w:styleId="1240">
    <w:name w:val="批注文字 字符"/>
    <w:next w:val="1240"/>
    <w:link w:val="1159"/>
    <w:uiPriority w:val="99"/>
    <w:qFormat/>
    <w:rPr>
      <w:rFonts w:ascii="Times New Roman" w:hAnsi="Times New Roman" w:eastAsia="宋体" w:cs="Times New Roman"/>
      <w:sz w:val="24"/>
      <w:lang w:val="en-US" w:eastAsia="zh-CN" w:bidi="ar-SA"/>
    </w:rPr>
  </w:style>
  <w:style w:type="character" w:styleId="1241">
    <w:name w:val="c21"/>
    <w:next w:val="1241"/>
    <w:link w:val="1159"/>
    <w:qFormat/>
    <w:rPr>
      <w:rFonts w:ascii="ˎ̥" w:hAnsi="ˎ̥"/>
      <w:color w:val="000000"/>
      <w:sz w:val="20"/>
      <w:szCs w:val="20"/>
      <w:u w:val="none"/>
    </w:rPr>
  </w:style>
  <w:style w:type="character" w:styleId="1242">
    <w:name w:val="title4"/>
    <w:next w:val="1242"/>
    <w:link w:val="1159"/>
    <w:qFormat/>
    <w:rPr>
      <w:b/>
      <w:bCs/>
      <w:color w:val="1d87b3"/>
      <w:sz w:val="15"/>
      <w:szCs w:val="15"/>
    </w:rPr>
  </w:style>
  <w:style w:type="character" w:styleId="1243">
    <w:name w:val="标题 2 Char Char"/>
    <w:next w:val="1243"/>
    <w:link w:val="1159"/>
    <w:qFormat/>
    <w:rPr>
      <w:rFonts w:ascii="Arial" w:hAnsi="Arial" w:eastAsia="黑体"/>
      <w:b/>
      <w:bCs/>
      <w:sz w:val="32"/>
      <w:szCs w:val="32"/>
      <w:lang w:val="en-US" w:eastAsia="zh-CN" w:bidi="ar-SA"/>
    </w:rPr>
  </w:style>
  <w:style w:type="character" w:styleId="1244">
    <w:name w:val="black1"/>
    <w:next w:val="1244"/>
    <w:link w:val="1159"/>
    <w:qFormat/>
    <w:rPr>
      <w:color w:val="000000"/>
    </w:rPr>
  </w:style>
  <w:style w:type="character" w:styleId="1245">
    <w:name w:val="street-address"/>
    <w:next w:val="1245"/>
    <w:link w:val="1159"/>
    <w:qFormat/>
  </w:style>
  <w:style w:type="character" w:styleId="1246">
    <w:name w:val="locality"/>
    <w:next w:val="1246"/>
    <w:link w:val="1159"/>
    <w:qFormat/>
  </w:style>
  <w:style w:type="character" w:styleId="1247">
    <w:name w:val="正文文本缩进 Char1"/>
    <w:next w:val="1247"/>
    <w:link w:val="1248"/>
    <w:qFormat/>
    <w:rPr>
      <w:rFonts w:ascii="宋体" w:hAnsi="宋体" w:eastAsia="宋体"/>
      <w:sz w:val="24"/>
      <w:szCs w:val="24"/>
      <w:lang w:bidi="ar-SA"/>
    </w:rPr>
  </w:style>
  <w:style w:type="paragraph" w:styleId="1248">
    <w:name w:val="正文文本缩进1"/>
    <w:basedOn w:val="1159"/>
    <w:next w:val="1248"/>
    <w:link w:val="1247"/>
    <w:qFormat/>
    <w:pPr>
      <w:ind w:firstLine="480"/>
      <w:spacing w:line="480" w:lineRule="exact"/>
    </w:pPr>
    <w:rPr>
      <w:rFonts w:ascii="宋体" w:hAnsi="宋体"/>
      <w:sz w:val="24"/>
    </w:rPr>
  </w:style>
  <w:style w:type="character" w:styleId="1249">
    <w:name w:val="Char Char11"/>
    <w:next w:val="1249"/>
    <w:link w:val="1159"/>
    <w:qFormat/>
    <w:rPr>
      <w:rFonts w:ascii="宋体" w:eastAsia="宋体"/>
      <w:b/>
      <w:sz w:val="24"/>
      <w:u w:val="single"/>
      <w:lang w:val="en-US" w:eastAsia="zh-CN" w:bidi="ar-SA"/>
    </w:rPr>
  </w:style>
  <w:style w:type="character" w:styleId="1250">
    <w:name w:val="txt"/>
    <w:next w:val="1250"/>
    <w:link w:val="1159"/>
    <w:qFormat/>
  </w:style>
  <w:style w:type="character" w:styleId="1251">
    <w:name w:val="正文缩进 Char Char"/>
    <w:next w:val="1251"/>
    <w:link w:val="1252"/>
    <w:qFormat/>
    <w:rPr>
      <w:rFonts w:ascii="宋体" w:eastAsia="宋体"/>
      <w:color w:val="000000"/>
      <w:sz w:val="28"/>
      <w:lang w:bidi="ar-SA"/>
    </w:rPr>
  </w:style>
  <w:style w:type="paragraph" w:styleId="1252">
    <w:name w:val="正文缩进1"/>
    <w:basedOn w:val="1159"/>
    <w:next w:val="1252"/>
    <w:link w:val="1251"/>
    <w:qFormat/>
    <w:pPr>
      <w:ind w:firstLine="567"/>
      <w:spacing w:line="480" w:lineRule="exact"/>
      <w:widowControl/>
    </w:pPr>
    <w:rPr>
      <w:rFonts w:ascii="宋体"/>
      <w:color w:val="000000"/>
      <w:sz w:val="28"/>
      <w:szCs w:val="20"/>
    </w:rPr>
  </w:style>
  <w:style w:type="character" w:styleId="1253">
    <w:name w:val="普通文字1 Char1"/>
    <w:next w:val="1253"/>
    <w:link w:val="1159"/>
    <w:qFormat/>
    <w:rPr>
      <w:rFonts w:ascii="宋体" w:hAnsi="Courier New" w:eastAsia="宋体"/>
      <w:sz w:val="21"/>
      <w:lang w:val="en-US" w:eastAsia="zh-CN" w:bidi="ar-SA"/>
    </w:rPr>
  </w:style>
  <w:style w:type="character" w:styleId="1254">
    <w:name w:val="chanpin1"/>
    <w:next w:val="1254"/>
    <w:link w:val="1159"/>
    <w:qFormat/>
    <w:rPr>
      <w:rFonts w:ascii="ˎ̥" w:hAnsi="ˎ̥"/>
      <w:color w:val="000000"/>
      <w:sz w:val="20"/>
      <w:szCs w:val="20"/>
      <w:u w:val="none"/>
    </w:rPr>
  </w:style>
  <w:style w:type="character" w:styleId="1255">
    <w:name w:val="列表段落 字符"/>
    <w:next w:val="1255"/>
    <w:link w:val="1256"/>
    <w:uiPriority w:val="34"/>
    <w:qFormat/>
    <w:rPr>
      <w:rFonts w:ascii="Calibri" w:hAnsi="Calibri" w:eastAsia="宋体"/>
      <w:sz w:val="21"/>
      <w:szCs w:val="22"/>
      <w:lang w:val="en-US" w:eastAsia="zh-CN" w:bidi="ar-SA"/>
    </w:rPr>
  </w:style>
  <w:style w:type="paragraph" w:styleId="1256">
    <w:name w:val="列表段落"/>
    <w:basedOn w:val="1159"/>
    <w:next w:val="1256"/>
    <w:link w:val="1255"/>
    <w:uiPriority w:val="34"/>
    <w:qFormat/>
    <w:pPr>
      <w:ind w:firstLine="420"/>
    </w:pPr>
    <w:rPr>
      <w:rFonts w:ascii="Calibri" w:hAnsi="Calibri"/>
      <w:szCs w:val="22"/>
    </w:rPr>
  </w:style>
  <w:style w:type="character" w:styleId="1257">
    <w:name w:val="标题 3 Char Char"/>
    <w:next w:val="1257"/>
    <w:link w:val="1159"/>
    <w:qFormat/>
    <w:rPr>
      <w:rFonts w:eastAsia="宋体"/>
      <w:b/>
      <w:bCs/>
      <w:sz w:val="32"/>
      <w:szCs w:val="32"/>
      <w:lang w:val="en-US" w:eastAsia="zh-CN" w:bidi="ar-SA"/>
    </w:rPr>
  </w:style>
  <w:style w:type="character" w:styleId="1258">
    <w:name w:val="段1 Char"/>
    <w:next w:val="1258"/>
    <w:link w:val="1159"/>
    <w:qFormat/>
    <w:rPr>
      <w:rFonts w:ascii="宋体" w:eastAsia="宋体"/>
      <w:sz w:val="24"/>
      <w:lang w:val="en-US" w:eastAsia="zh-CN" w:bidi="ar-SA"/>
    </w:rPr>
  </w:style>
  <w:style w:type="character" w:styleId="1259">
    <w:name w:val="chanpin拷贝"/>
    <w:next w:val="1259"/>
    <w:link w:val="1159"/>
    <w:qFormat/>
  </w:style>
  <w:style w:type="character" w:styleId="1260">
    <w:name w:val="纯文本 Char1"/>
    <w:next w:val="1260"/>
    <w:link w:val="1159"/>
    <w:qFormat/>
    <w:rPr>
      <w:rFonts w:ascii="宋体" w:hAnsi="Courier New" w:eastAsia="宋体"/>
      <w:sz w:val="21"/>
      <w:lang w:val="en-US" w:eastAsia="zh-CN" w:bidi="ar-SA"/>
    </w:rPr>
  </w:style>
  <w:style w:type="character" w:styleId="1261">
    <w:name w:val="apple-style-span"/>
    <w:next w:val="1261"/>
    <w:link w:val="1159"/>
    <w:qFormat/>
    <w:rPr>
      <w:rFonts w:cs="Times New Roman"/>
    </w:rPr>
  </w:style>
  <w:style w:type="paragraph" w:styleId="1262">
    <w:name w:val="二级条标题"/>
    <w:basedOn w:val="1263"/>
    <w:next w:val="1159"/>
    <w:link w:val="1159"/>
    <w:qFormat/>
    <w:pPr>
      <w:numPr>
        <w:ilvl w:val="0"/>
        <w:numId w:val="0"/>
      </w:numPr>
      <w:ind w:hanging="840"/>
      <w:tabs>
        <w:tab w:val="left" w:pos="360" w:leader="none"/>
        <w:tab w:val="left" w:pos="840" w:leader="none"/>
      </w:tabs>
      <w:outlineLvl w:val="2"/>
    </w:pPr>
    <w:rPr>
      <w:rFonts w:ascii="宋体" w:eastAsia="宋体"/>
      <w:b/>
    </w:rPr>
  </w:style>
  <w:style w:type="paragraph" w:styleId="1263">
    <w:name w:val="一级条标题"/>
    <w:basedOn w:val="1264"/>
    <w:next w:val="1159"/>
    <w:link w:val="1159"/>
    <w:qFormat/>
    <w:pPr>
      <w:numPr>
        <w:ilvl w:val="1"/>
      </w:numPr>
      <w:ind w:left="0" w:hanging="840"/>
      <w:tabs>
        <w:tab w:val="left" w:pos="360" w:leader="none"/>
        <w:tab w:val="left" w:pos="840" w:leader="none"/>
      </w:tabs>
      <w:outlineLvl w:val="1"/>
    </w:pPr>
  </w:style>
  <w:style w:type="paragraph" w:styleId="1264">
    <w:name w:val="章标题"/>
    <w:next w:val="1159"/>
    <w:link w:val="11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65">
    <w:name w:val="font7"/>
    <w:basedOn w:val="1159"/>
    <w:next w:val="1265"/>
    <w:link w:val="1159"/>
    <w:qFormat/>
    <w:pPr>
      <w:jc w:val="left"/>
      <w:spacing w:before="100" w:beforeAutospacing="1" w:after="100" w:afterAutospacing="1"/>
      <w:widowControl/>
    </w:pPr>
    <w:rPr>
      <w:rFonts w:eastAsia="Arial Unicode MS"/>
      <w:b/>
      <w:bCs/>
      <w:color w:val="000000"/>
      <w:sz w:val="20"/>
      <w:szCs w:val="20"/>
    </w:rPr>
  </w:style>
  <w:style w:type="paragraph" w:styleId="1266">
    <w:name w:val="字元 字元"/>
    <w:basedOn w:val="1159"/>
    <w:next w:val="1266"/>
    <w:link w:val="1159"/>
    <w:qFormat/>
    <w:rPr>
      <w:rFonts w:ascii="Tahoma" w:hAnsi="Tahoma"/>
      <w:sz w:val="24"/>
      <w:szCs w:val="20"/>
    </w:rPr>
  </w:style>
  <w:style w:type="paragraph" w:styleId="1267">
    <w:name w:val="Char3 Char Char Char"/>
    <w:basedOn w:val="1159"/>
    <w:next w:val="1267"/>
    <w:link w:val="1159"/>
    <w:qFormat/>
    <w:rPr>
      <w:rFonts w:ascii="Tahoma" w:hAnsi="Tahoma"/>
      <w:sz w:val="24"/>
      <w:szCs w:val="20"/>
    </w:rPr>
  </w:style>
  <w:style w:type="paragraph" w:styleId="1268">
    <w:name w:val="font6"/>
    <w:basedOn w:val="1159"/>
    <w:next w:val="1268"/>
    <w:link w:val="1159"/>
    <w:qFormat/>
    <w:pPr>
      <w:jc w:val="left"/>
      <w:spacing w:before="100" w:beforeAutospacing="1" w:after="100" w:afterAutospacing="1"/>
      <w:widowControl/>
    </w:pPr>
    <w:rPr>
      <w:rFonts w:ascii="宋体" w:hAnsi="宋体" w:cs="宋体"/>
      <w:sz w:val="20"/>
      <w:szCs w:val="20"/>
    </w:rPr>
  </w:style>
  <w:style w:type="paragraph" w:styleId="1269">
    <w:name w:val="项目编号2"/>
    <w:basedOn w:val="1270"/>
    <w:next w:val="1269"/>
    <w:link w:val="1159"/>
    <w:qFormat/>
    <w:pPr>
      <w:numPr>
        <w:ilvl w:val="0"/>
        <w:numId w:val="3"/>
      </w:numPr>
    </w:pPr>
  </w:style>
  <w:style w:type="paragraph" w:styleId="1270">
    <w:name w:val="项目编号1"/>
    <w:basedOn w:val="1159"/>
    <w:next w:val="1270"/>
    <w:link w:val="1159"/>
    <w:qFormat/>
    <w:pPr>
      <w:numPr>
        <w:ilvl w:val="0"/>
        <w:numId w:val="2"/>
      </w:numPr>
      <w:spacing w:before="100" w:beforeAutospacing="1" w:after="100" w:afterAutospacing="1" w:line="360" w:lineRule="auto"/>
    </w:pPr>
    <w:rPr>
      <w:sz w:val="24"/>
    </w:rPr>
  </w:style>
  <w:style w:type="paragraph" w:styleId="1271">
    <w:name w:val="图中文字"/>
    <w:basedOn w:val="1159"/>
    <w:next w:val="1271"/>
    <w:link w:val="1159"/>
    <w:qFormat/>
    <w:pPr>
      <w:jc w:val="center"/>
      <w:spacing w:line="0" w:lineRule="atLeast"/>
    </w:pPr>
    <w:rPr>
      <w:sz w:val="24"/>
      <w:szCs w:val="20"/>
    </w:rPr>
  </w:style>
  <w:style w:type="paragraph" w:styleId="1272">
    <w:name w:val="xl46"/>
    <w:basedOn w:val="1159"/>
    <w:next w:val="1272"/>
    <w:link w:val="11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3">
    <w:name w:val="xl25"/>
    <w:basedOn w:val="1159"/>
    <w:next w:val="1273"/>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4">
    <w:name w:val="Char2"/>
    <w:basedOn w:val="1159"/>
    <w:next w:val="1274"/>
    <w:link w:val="1159"/>
    <w:qFormat/>
    <w:rPr>
      <w:rFonts w:ascii="Tahoma" w:hAnsi="Tahoma"/>
      <w:sz w:val="24"/>
      <w:szCs w:val="20"/>
    </w:rPr>
  </w:style>
  <w:style w:type="paragraph" w:styleId="1275">
    <w:name w:val="xl35"/>
    <w:basedOn w:val="1159"/>
    <w:next w:val="1275"/>
    <w:link w:val="11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6">
    <w:name w:val="xl40"/>
    <w:basedOn w:val="1159"/>
    <w:next w:val="1276"/>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name w:val="xl52"/>
    <w:basedOn w:val="1159"/>
    <w:next w:val="1277"/>
    <w:link w:val="11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8">
    <w:name w:val="xl43"/>
    <w:basedOn w:val="1159"/>
    <w:next w:val="1278"/>
    <w:link w:val="11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9">
    <w:name w:val="background1"/>
    <w:basedOn w:val="1159"/>
    <w:next w:val="1279"/>
    <w:link w:val="1159"/>
    <w:qFormat/>
    <w:pPr>
      <w:jc w:val="left"/>
      <w:spacing w:before="100" w:beforeAutospacing="1" w:after="100" w:afterAutospacing="1"/>
      <w:widowControl/>
    </w:pPr>
    <w:rPr>
      <w:rFonts w:ascii="宋体" w:hAnsi="宋体" w:cs="宋体"/>
      <w:sz w:val="24"/>
    </w:rPr>
  </w:style>
  <w:style w:type="paragraph" w:styleId="1280">
    <w:name w:val="Char Char Char Char Char Char Char"/>
    <w:basedOn w:val="1159"/>
    <w:next w:val="1280"/>
    <w:link w:val="1159"/>
    <w:qFormat/>
    <w:pPr>
      <w:ind w:firstLine="200"/>
      <w:spacing w:line="360" w:lineRule="auto"/>
    </w:pPr>
    <w:rPr>
      <w:rFonts w:eastAsia="仿宋_GB2312"/>
      <w:sz w:val="24"/>
    </w:rPr>
  </w:style>
  <w:style w:type="paragraph" w:styleId="1281">
    <w:name w:val="xl38"/>
    <w:basedOn w:val="1159"/>
    <w:next w:val="1281"/>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2">
    <w:name w:val="xl36"/>
    <w:basedOn w:val="1159"/>
    <w:next w:val="1282"/>
    <w:link w:val="11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name w:val="正文 + 宋体"/>
    <w:basedOn w:val="1159"/>
    <w:next w:val="1283"/>
    <w:link w:val="1159"/>
    <w:qFormat/>
    <w:pPr>
      <w:ind w:left="360" w:hanging="360"/>
      <w:jc w:val="left"/>
      <w:widowControl/>
    </w:pPr>
    <w:rPr>
      <w:rFonts w:ascii="宋体" w:hAnsi="宋体" w:cs="宋体"/>
      <w:b/>
      <w:bCs/>
      <w:color w:val="000000"/>
      <w:sz w:val="18"/>
      <w:szCs w:val="18"/>
    </w:rPr>
  </w:style>
  <w:style w:type="paragraph" w:styleId="1284">
    <w:name w:val="正文列项_数字"/>
    <w:basedOn w:val="1159"/>
    <w:next w:val="1284"/>
    <w:link w:val="1159"/>
    <w:qFormat/>
    <w:pPr>
      <w:numPr>
        <w:ilvl w:val="7"/>
        <w:numId w:val="1"/>
      </w:numPr>
      <w:ind w:left="680" w:hanging="150"/>
      <w:spacing w:line="460" w:lineRule="exact"/>
      <w:tabs>
        <w:tab w:val="clear" w:pos="860" w:leader="none"/>
      </w:tabs>
      <w:outlineLvl w:val="7"/>
    </w:pPr>
    <w:rPr>
      <w:rFonts w:ascii="宋体"/>
      <w:sz w:val="28"/>
      <w:szCs w:val="20"/>
    </w:rPr>
  </w:style>
  <w:style w:type="paragraph" w:styleId="1285">
    <w:name w:val="xl39"/>
    <w:basedOn w:val="1159"/>
    <w:next w:val="1285"/>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name w:val="xl37"/>
    <w:basedOn w:val="1159"/>
    <w:next w:val="1286"/>
    <w:link w:val="11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7">
    <w:name w:val="xl32"/>
    <w:basedOn w:val="1159"/>
    <w:next w:val="1287"/>
    <w:link w:val="11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name w:val="font8"/>
    <w:basedOn w:val="1159"/>
    <w:next w:val="1288"/>
    <w:link w:val="1159"/>
    <w:qFormat/>
    <w:pPr>
      <w:jc w:val="left"/>
      <w:spacing w:before="100" w:beforeAutospacing="1" w:after="100" w:afterAutospacing="1"/>
      <w:widowControl/>
    </w:pPr>
    <w:rPr>
      <w:sz w:val="36"/>
      <w:szCs w:val="36"/>
    </w:rPr>
  </w:style>
  <w:style w:type="paragraph" w:styleId="1289">
    <w:name w:val="Char"/>
    <w:basedOn w:val="1159"/>
    <w:next w:val="1289"/>
    <w:link w:val="1159"/>
    <w:qFormat/>
    <w:pPr>
      <w:tabs>
        <w:tab w:val="left" w:pos="360" w:leader="none"/>
      </w:tabs>
    </w:pPr>
    <w:rPr>
      <w:sz w:val="24"/>
    </w:rPr>
  </w:style>
  <w:style w:type="paragraph" w:styleId="1290">
    <w:name w:val="Char Char Char Char Char Char Char Char Char Char Char Char Char Char Char Char"/>
    <w:basedOn w:val="1159"/>
    <w:next w:val="1290"/>
    <w:link w:val="1159"/>
    <w:qFormat/>
    <w:pPr>
      <w:jc w:val="center"/>
      <w:spacing w:after="160" w:line="240" w:lineRule="exact"/>
      <w:widowControl/>
    </w:pPr>
    <w:rPr>
      <w:rFonts w:ascii="宋体" w:hAnsi="宋体"/>
      <w:b/>
      <w:sz w:val="30"/>
      <w:szCs w:val="30"/>
      <w:lang w:eastAsia="en-US"/>
    </w:rPr>
  </w:style>
  <w:style w:type="paragraph" w:styleId="1291">
    <w:name w:val="xl45"/>
    <w:basedOn w:val="1159"/>
    <w:next w:val="1291"/>
    <w:link w:val="11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2">
    <w:name w:val="Char Char1 Char Char Char Char Char Char"/>
    <w:basedOn w:val="1159"/>
    <w:next w:val="1292"/>
    <w:link w:val="1159"/>
    <w:qFormat/>
    <w:pPr>
      <w:jc w:val="left"/>
      <w:spacing w:after="160" w:line="240" w:lineRule="exact"/>
      <w:widowControl/>
    </w:pPr>
    <w:rPr>
      <w:rFonts w:ascii="Verdana" w:hAnsi="Verdana" w:eastAsia="仿宋_GB2312"/>
      <w:sz w:val="24"/>
      <w:szCs w:val="20"/>
      <w:lang w:eastAsia="en-US"/>
    </w:rPr>
  </w:style>
  <w:style w:type="paragraph" w:styleId="1293">
    <w:name w:val="Char Char1"/>
    <w:basedOn w:val="1184"/>
    <w:next w:val="1293"/>
    <w:link w:val="1159"/>
    <w:qFormat/>
    <w:rPr>
      <w:rFonts w:ascii="Tahoma" w:hAnsi="Tahoma"/>
      <w:sz w:val="24"/>
    </w:rPr>
  </w:style>
  <w:style w:type="paragraph" w:styleId="1294">
    <w:name w:val="xl26"/>
    <w:basedOn w:val="1159"/>
    <w:next w:val="1294"/>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5">
    <w:name w:val="xl30"/>
    <w:basedOn w:val="1159"/>
    <w:next w:val="1295"/>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name w:val="xl41"/>
    <w:basedOn w:val="1159"/>
    <w:next w:val="1296"/>
    <w:link w:val="11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7">
    <w:name w:val="样式 宋体 五号 行距: 单倍行距"/>
    <w:basedOn w:val="1159"/>
    <w:next w:val="1297"/>
    <w:link w:val="1159"/>
    <w:qFormat/>
    <w:pPr>
      <w:jc w:val="left"/>
    </w:pPr>
    <w:rPr>
      <w:rFonts w:ascii="宋体" w:hAnsi="宋体"/>
      <w:szCs w:val="20"/>
    </w:rPr>
  </w:style>
  <w:style w:type="paragraph" w:styleId="1298">
    <w:name w:val="Char1 Char Char Char1"/>
    <w:basedOn w:val="1159"/>
    <w:next w:val="1298"/>
    <w:link w:val="1159"/>
    <w:qFormat/>
    <w:rPr>
      <w:rFonts w:ascii="Tahoma" w:hAnsi="Tahoma" w:cs="仿宋_GB2312"/>
      <w:sz w:val="24"/>
      <w:szCs w:val="28"/>
    </w:rPr>
  </w:style>
  <w:style w:type="paragraph" w:styleId="1299">
    <w:name w:val="四级条标题"/>
    <w:basedOn w:val="1300"/>
    <w:next w:val="1159"/>
    <w:link w:val="1159"/>
    <w:qFormat/>
    <w:pPr>
      <w:numPr>
        <w:ilvl w:val="4"/>
      </w:numPr>
      <w:ind w:left="0" w:hanging="840"/>
      <w:tabs>
        <w:tab w:val="left" w:pos="360" w:leader="none"/>
        <w:tab w:val="left" w:pos="840" w:leader="none"/>
      </w:tabs>
      <w:outlineLvl w:val="4"/>
    </w:pPr>
  </w:style>
  <w:style w:type="paragraph" w:styleId="1300">
    <w:name w:val="三级条标题"/>
    <w:basedOn w:val="1262"/>
    <w:next w:val="1159"/>
    <w:link w:val="1159"/>
    <w:qFormat/>
    <w:pPr>
      <w:numPr>
        <w:ilvl w:val="3"/>
        <w:numId w:val="1"/>
      </w:numPr>
      <w:ind w:left="0" w:hanging="840"/>
      <w:tabs>
        <w:tab w:val="left" w:pos="360" w:leader="none"/>
        <w:tab w:val="left" w:pos="840" w:leader="none"/>
      </w:tabs>
      <w:outlineLvl w:val="3"/>
    </w:pPr>
  </w:style>
  <w:style w:type="paragraph" w:styleId="1301">
    <w:name w:val="??"/>
    <w:next w:val="1301"/>
    <w:link w:val="1159"/>
    <w:qFormat/>
    <w:pPr>
      <w:jc w:val="both"/>
      <w:widowControl w:val="off"/>
    </w:pPr>
    <w:rPr>
      <w:sz w:val="21"/>
      <w:lang w:val="en-US" w:eastAsia="en-US" w:bidi="ar-SA"/>
    </w:rPr>
  </w:style>
  <w:style w:type="paragraph" w:styleId="1302">
    <w:name w:val="样式 标题 2 + 宋体 五号 行距: 单倍行距"/>
    <w:basedOn w:val="1161"/>
    <w:next w:val="1302"/>
    <w:link w:val="11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03">
    <w:name w:val="List Paragraph1"/>
    <w:basedOn w:val="1159"/>
    <w:next w:val="1303"/>
    <w:link w:val="1159"/>
    <w:qFormat/>
    <w:pPr>
      <w:ind w:firstLine="420"/>
    </w:pPr>
    <w:rPr>
      <w:rFonts w:ascii="Calibri" w:hAnsi="Calibri"/>
      <w:szCs w:val="22"/>
    </w:rPr>
  </w:style>
  <w:style w:type="paragraph" w:styleId="1304">
    <w:name w:val="项目符号1"/>
    <w:basedOn w:val="1305"/>
    <w:next w:val="1304"/>
    <w:link w:val="1159"/>
    <w:qFormat/>
    <w:pPr>
      <w:ind w:left="-25" w:firstLine="0"/>
    </w:pPr>
  </w:style>
  <w:style w:type="paragraph" w:styleId="1305">
    <w:name w:val="正文文本样式"/>
    <w:basedOn w:val="1159"/>
    <w:next w:val="1305"/>
    <w:link w:val="1159"/>
    <w:qFormat/>
    <w:pPr>
      <w:ind w:firstLine="482"/>
      <w:spacing w:line="360" w:lineRule="auto"/>
    </w:pPr>
    <w:rPr>
      <w:rFonts w:cs="宋体"/>
      <w:sz w:val="24"/>
      <w:szCs w:val="20"/>
    </w:rPr>
  </w:style>
  <w:style w:type="paragraph" w:styleId="1306">
    <w:name w:val="xl27"/>
    <w:basedOn w:val="1159"/>
    <w:next w:val="1306"/>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7">
    <w:name w:val="font5"/>
    <w:basedOn w:val="1159"/>
    <w:next w:val="1307"/>
    <w:link w:val="1159"/>
    <w:qFormat/>
    <w:pPr>
      <w:jc w:val="left"/>
      <w:spacing w:before="100" w:beforeAutospacing="1" w:after="100" w:afterAutospacing="1"/>
      <w:widowControl/>
    </w:pPr>
    <w:rPr>
      <w:rFonts w:ascii="宋体" w:hAnsi="宋体" w:cs="宋体"/>
      <w:sz w:val="18"/>
      <w:szCs w:val="18"/>
    </w:rPr>
  </w:style>
  <w:style w:type="paragraph" w:styleId="1308">
    <w:name w:val="五级条标题"/>
    <w:basedOn w:val="1299"/>
    <w:next w:val="1159"/>
    <w:link w:val="1159"/>
    <w:qFormat/>
    <w:pPr>
      <w:numPr>
        <w:ilvl w:val="5"/>
      </w:numPr>
      <w:ind w:left="0" w:hanging="840"/>
      <w:tabs>
        <w:tab w:val="left" w:pos="360" w:leader="none"/>
        <w:tab w:val="left" w:pos="840" w:leader="none"/>
      </w:tabs>
      <w:outlineLvl w:val="5"/>
    </w:pPr>
  </w:style>
  <w:style w:type="paragraph" w:styleId="1309">
    <w:name w:val="xl49"/>
    <w:basedOn w:val="1159"/>
    <w:next w:val="1309"/>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0">
    <w:name w:val="文档正文"/>
    <w:basedOn w:val="1159"/>
    <w:next w:val="1310"/>
    <w:link w:val="1159"/>
    <w:qFormat/>
    <w:pPr>
      <w:spacing w:before="120" w:after="120" w:line="180" w:lineRule="auto"/>
    </w:pPr>
    <w:rPr>
      <w:rFonts w:ascii="Arial" w:hAnsi="Arial"/>
      <w:szCs w:val="20"/>
    </w:rPr>
  </w:style>
  <w:style w:type="paragraph" w:styleId="1311">
    <w:name w:val="xl33"/>
    <w:basedOn w:val="1159"/>
    <w:next w:val="1311"/>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2">
    <w:name w:val="xl42"/>
    <w:basedOn w:val="1159"/>
    <w:next w:val="1312"/>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3">
    <w:name w:val="Char Char Char1 Char"/>
    <w:basedOn w:val="1159"/>
    <w:next w:val="1313"/>
    <w:link w:val="1159"/>
    <w:qFormat/>
    <w:rPr>
      <w:rFonts w:ascii="Tahoma" w:hAnsi="Tahoma"/>
      <w:sz w:val="24"/>
      <w:szCs w:val="20"/>
    </w:rPr>
  </w:style>
  <w:style w:type="paragraph" w:styleId="1314">
    <w:name w:val="xl44"/>
    <w:basedOn w:val="1159"/>
    <w:next w:val="1314"/>
    <w:link w:val="11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5">
    <w:name w:val="1名"/>
    <w:basedOn w:val="1159"/>
    <w:next w:val="1315"/>
    <w:link w:val="1159"/>
    <w:qFormat/>
    <w:pPr>
      <w:numPr>
        <w:ilvl w:val="0"/>
        <w:numId w:val="5"/>
      </w:numPr>
      <w:spacing w:before="120"/>
      <w:tabs>
        <w:tab w:val="left" w:pos="360" w:leader="none"/>
      </w:tabs>
    </w:pPr>
    <w:rPr>
      <w:rFonts w:ascii="宋体"/>
      <w:sz w:val="28"/>
      <w:szCs w:val="20"/>
    </w:rPr>
  </w:style>
  <w:style w:type="paragraph" w:styleId="1316">
    <w:name w:val="font9"/>
    <w:basedOn w:val="1159"/>
    <w:next w:val="1316"/>
    <w:link w:val="1159"/>
    <w:qFormat/>
    <w:pPr>
      <w:jc w:val="left"/>
      <w:spacing w:before="100" w:beforeAutospacing="1" w:after="100" w:afterAutospacing="1"/>
      <w:widowControl/>
    </w:pPr>
    <w:rPr>
      <w:rFonts w:hint="eastAsia" w:ascii="宋体" w:hAnsi="宋体" w:cs="Arial Unicode MS"/>
      <w:color w:val="000000"/>
      <w:sz w:val="20"/>
      <w:szCs w:val="20"/>
    </w:rPr>
  </w:style>
  <w:style w:type="paragraph" w:styleId="1317">
    <w:name w:val="Char Char Char1 Char1"/>
    <w:basedOn w:val="1159"/>
    <w:next w:val="1317"/>
    <w:link w:val="1159"/>
    <w:qFormat/>
    <w:rPr>
      <w:rFonts w:ascii="Tahoma" w:hAnsi="Tahoma"/>
      <w:sz w:val="24"/>
      <w:szCs w:val="20"/>
    </w:rPr>
  </w:style>
  <w:style w:type="paragraph" w:styleId="1318">
    <w:name w:val="Char Char Char Char Char Char Char Char Char Char"/>
    <w:basedOn w:val="1159"/>
    <w:next w:val="1318"/>
    <w:link w:val="1159"/>
    <w:qFormat/>
  </w:style>
  <w:style w:type="paragraph" w:styleId="1319">
    <w:name w:val="Char Char1 Char Char Char Char Char Char Char Char"/>
    <w:basedOn w:val="1159"/>
    <w:next w:val="1319"/>
    <w:link w:val="1159"/>
    <w:qFormat/>
    <w:pPr>
      <w:jc w:val="left"/>
      <w:spacing w:after="160" w:line="240" w:lineRule="exact"/>
      <w:widowControl/>
    </w:pPr>
    <w:rPr>
      <w:rFonts w:ascii="Verdana" w:hAnsi="Verdana"/>
      <w:sz w:val="20"/>
      <w:szCs w:val="20"/>
      <w:lang w:eastAsia="en-US"/>
    </w:rPr>
  </w:style>
  <w:style w:type="paragraph" w:styleId="1320">
    <w:name w:val="Char1"/>
    <w:basedOn w:val="1159"/>
    <w:next w:val="1320"/>
    <w:link w:val="1159"/>
    <w:qFormat/>
    <w:pPr>
      <w:tabs>
        <w:tab w:val="left" w:pos="360" w:leader="none"/>
      </w:tabs>
    </w:pPr>
    <w:rPr>
      <w:sz w:val="24"/>
    </w:rPr>
  </w:style>
  <w:style w:type="paragraph" w:styleId="1321">
    <w:name w:val="正文列项_字母"/>
    <w:basedOn w:val="1159"/>
    <w:next w:val="1321"/>
    <w:link w:val="1159"/>
    <w:qFormat/>
    <w:pPr>
      <w:numPr>
        <w:ilvl w:val="6"/>
        <w:numId w:val="1"/>
      </w:numPr>
      <w:ind w:left="480" w:hanging="180"/>
      <w:spacing w:line="460" w:lineRule="exact"/>
      <w:tabs>
        <w:tab w:val="clear" w:pos="635" w:leader="none"/>
      </w:tabs>
      <w:outlineLvl w:val="6"/>
    </w:pPr>
    <w:rPr>
      <w:rFonts w:ascii="宋体"/>
      <w:sz w:val="28"/>
      <w:szCs w:val="20"/>
    </w:rPr>
  </w:style>
  <w:style w:type="paragraph" w:styleId="1322">
    <w:name w:val="xl28"/>
    <w:basedOn w:val="1159"/>
    <w:next w:val="1322"/>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3">
    <w:name w:val="xl47"/>
    <w:basedOn w:val="1159"/>
    <w:next w:val="1323"/>
    <w:link w:val="11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4">
    <w:name w:val="默认段落字体 Para Char Char Char Char"/>
    <w:basedOn w:val="1159"/>
    <w:next w:val="1324"/>
    <w:link w:val="1159"/>
    <w:qFormat/>
    <w:rPr>
      <w:rFonts w:ascii="Arial" w:hAnsi="Arial" w:cs="Arial"/>
      <w:szCs w:val="21"/>
    </w:rPr>
  </w:style>
  <w:style w:type="paragraph" w:styleId="1325">
    <w:name w:val="xl48"/>
    <w:basedOn w:val="1159"/>
    <w:next w:val="1325"/>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6">
    <w:name w:val="xl31"/>
    <w:basedOn w:val="1159"/>
    <w:next w:val="1326"/>
    <w:link w:val="11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7">
    <w:name w:val="xl53"/>
    <w:basedOn w:val="1159"/>
    <w:next w:val="1327"/>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name w:val="Char Char Char"/>
    <w:basedOn w:val="1159"/>
    <w:next w:val="1328"/>
    <w:link w:val="1159"/>
    <w:qFormat/>
    <w:rPr>
      <w:rFonts w:ascii="Tahoma" w:hAnsi="Tahoma"/>
      <w:sz w:val="24"/>
      <w:szCs w:val="20"/>
    </w:rPr>
  </w:style>
  <w:style w:type="paragraph" w:styleId="1329">
    <w:name w:val="xl50"/>
    <w:basedOn w:val="1159"/>
    <w:next w:val="1329"/>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0">
    <w:name w:val="缺省文本"/>
    <w:basedOn w:val="1159"/>
    <w:next w:val="1330"/>
    <w:link w:val="1159"/>
    <w:qFormat/>
    <w:pPr>
      <w:jc w:val="left"/>
    </w:pPr>
    <w:rPr>
      <w:sz w:val="24"/>
    </w:rPr>
  </w:style>
  <w:style w:type="paragraph" w:styleId="1331">
    <w:name w:val="Char Char Char1"/>
    <w:basedOn w:val="1159"/>
    <w:next w:val="1331"/>
    <w:link w:val="1159"/>
    <w:qFormat/>
    <w:rPr>
      <w:rFonts w:ascii="Tahoma" w:hAnsi="Tahoma"/>
      <w:sz w:val="24"/>
      <w:szCs w:val="20"/>
    </w:rPr>
  </w:style>
  <w:style w:type="paragraph" w:styleId="1332">
    <w:name w:val="Char Char Char Char Char Char Char1"/>
    <w:basedOn w:val="1159"/>
    <w:next w:val="1332"/>
    <w:link w:val="1159"/>
    <w:qFormat/>
    <w:pPr>
      <w:ind w:firstLine="200"/>
      <w:spacing w:line="360" w:lineRule="auto"/>
    </w:pPr>
    <w:rPr>
      <w:rFonts w:eastAsia="仿宋_GB2312"/>
      <w:sz w:val="24"/>
    </w:rPr>
  </w:style>
  <w:style w:type="paragraph" w:styleId="1333">
    <w:name w:val="xl51"/>
    <w:basedOn w:val="1159"/>
    <w:next w:val="1333"/>
    <w:link w:val="11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4">
    <w:name w:val="样式2"/>
    <w:basedOn w:val="1222"/>
    <w:next w:val="1334"/>
    <w:link w:val="1159"/>
    <w:qFormat/>
    <w:pPr>
      <w:jc w:val="center"/>
      <w:spacing w:line="360" w:lineRule="auto"/>
    </w:pPr>
    <w:rPr>
      <w:sz w:val="24"/>
    </w:rPr>
  </w:style>
  <w:style w:type="paragraph" w:styleId="1335">
    <w:name w:val="xl24"/>
    <w:basedOn w:val="1159"/>
    <w:next w:val="1335"/>
    <w:link w:val="11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name w:val="xl29"/>
    <w:basedOn w:val="1159"/>
    <w:next w:val="1336"/>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7">
    <w:name w:val="正文 + 楷体_GB2312"/>
    <w:basedOn w:val="1159"/>
    <w:next w:val="1337"/>
    <w:link w:val="1159"/>
    <w:qFormat/>
    <w:pPr>
      <w:jc w:val="left"/>
      <w:widowControl/>
    </w:pPr>
    <w:rPr>
      <w:rFonts w:ascii="楷体_GB2312" w:eastAsia="楷体_GB2312" w:cs="Arial"/>
      <w:sz w:val="24"/>
    </w:rPr>
  </w:style>
  <w:style w:type="paragraph" w:styleId="1338">
    <w:name w:val="xl34"/>
    <w:basedOn w:val="1159"/>
    <w:next w:val="1338"/>
    <w:link w:val="11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9">
    <w:name w:val="1 Char Char Char Char"/>
    <w:basedOn w:val="1159"/>
    <w:next w:val="1339"/>
    <w:link w:val="1159"/>
    <w:qFormat/>
    <w:rPr>
      <w:rFonts w:ascii="Tahoma" w:hAnsi="Tahoma"/>
      <w:sz w:val="24"/>
      <w:szCs w:val="20"/>
    </w:rPr>
  </w:style>
  <w:style w:type="paragraph" w:styleId="1340">
    <w:name w:val="Default"/>
    <w:next w:val="1340"/>
    <w:link w:val="1159"/>
    <w:qFormat/>
    <w:pPr>
      <w:widowControl w:val="off"/>
    </w:pPr>
    <w:rPr>
      <w:rFonts w:ascii="Symbol" w:hAnsi="Symbol" w:cs="Symbol"/>
      <w:color w:val="000000"/>
      <w:sz w:val="24"/>
      <w:szCs w:val="24"/>
      <w:lang w:val="en-US" w:eastAsia="zh-CN" w:bidi="ar-SA"/>
    </w:rPr>
  </w:style>
  <w:style w:type="paragraph" w:styleId="1341">
    <w:name w:val="列出段落1"/>
    <w:basedOn w:val="1159"/>
    <w:next w:val="1341"/>
    <w:link w:val="1159"/>
    <w:qFormat/>
    <w:pPr>
      <w:ind w:firstLine="420"/>
    </w:pPr>
    <w:rPr>
      <w:rFonts w:ascii="Calibri" w:hAnsi="Calibri"/>
      <w:szCs w:val="22"/>
    </w:rPr>
  </w:style>
  <w:style w:type="paragraph" w:styleId="1342">
    <w:name w:val="default"/>
    <w:basedOn w:val="1159"/>
    <w:next w:val="1342"/>
    <w:link w:val="1159"/>
    <w:qFormat/>
    <w:pPr>
      <w:jc w:val="left"/>
      <w:spacing w:before="100" w:beforeAutospacing="1" w:after="100" w:afterAutospacing="1"/>
      <w:widowControl/>
    </w:pPr>
    <w:rPr>
      <w:rFonts w:ascii="宋体" w:hAnsi="宋体" w:cs="宋体"/>
      <w:sz w:val="24"/>
    </w:rPr>
  </w:style>
  <w:style w:type="paragraph" w:styleId="1343">
    <w:name w:val="字元 字元1"/>
    <w:basedOn w:val="1159"/>
    <w:next w:val="1343"/>
    <w:link w:val="1159"/>
    <w:qFormat/>
    <w:rPr>
      <w:rFonts w:ascii="Tahoma" w:hAnsi="Tahoma"/>
      <w:sz w:val="24"/>
      <w:szCs w:val="20"/>
    </w:rPr>
  </w:style>
  <w:style w:type="paragraph" w:styleId="1344">
    <w:name w:val="_Style 160"/>
    <w:next w:val="1344"/>
    <w:link w:val="1159"/>
    <w:qFormat/>
    <w:rPr>
      <w:sz w:val="21"/>
      <w:szCs w:val="24"/>
      <w:lang w:val="en-US" w:eastAsia="zh-CN" w:bidi="ar-SA"/>
    </w:rPr>
  </w:style>
  <w:style w:type="paragraph" w:styleId="1345">
    <w:name w:val="项目编号3"/>
    <w:basedOn w:val="1305"/>
    <w:next w:val="1345"/>
    <w:link w:val="1159"/>
    <w:qFormat/>
    <w:pPr>
      <w:numPr>
        <w:ilvl w:val="0"/>
        <w:numId w:val="6"/>
      </w:numPr>
    </w:pPr>
  </w:style>
  <w:style w:type="paragraph" w:styleId="1346">
    <w:name w:val="Char21"/>
    <w:basedOn w:val="1159"/>
    <w:next w:val="1346"/>
    <w:link w:val="1159"/>
    <w:qFormat/>
    <w:rPr>
      <w:rFonts w:ascii="Tahoma" w:hAnsi="Tahoma"/>
      <w:sz w:val="24"/>
      <w:szCs w:val="20"/>
    </w:rPr>
  </w:style>
  <w:style w:type="paragraph" w:styleId="1347">
    <w:name w:val="表格文字"/>
    <w:basedOn w:val="1193"/>
    <w:next w:val="1347"/>
    <w:link w:val="1159"/>
    <w:qFormat/>
    <w:pPr>
      <w:ind w:firstLine="0"/>
      <w:spacing w:before="20" w:after="20" w:line="240" w:lineRule="auto"/>
    </w:pPr>
    <w:rPr>
      <w:rFonts w:ascii="Century Gothic" w:hAnsi="Century Gothic"/>
      <w:sz w:val="20"/>
      <w:szCs w:val="20"/>
    </w:rPr>
  </w:style>
  <w:style w:type="paragraph" w:styleId="1348">
    <w:name w:val="Char Char Char Char Char Char Char Char Char Char1"/>
    <w:basedOn w:val="1159"/>
    <w:next w:val="1348"/>
    <w:link w:val="1159"/>
    <w:qFormat/>
    <w:rPr>
      <w:rFonts w:ascii="宋体" w:hAnsi="宋体" w:cs="Courier New"/>
      <w:sz w:val="32"/>
      <w:szCs w:val="32"/>
    </w:rPr>
  </w:style>
  <w:style w:type="paragraph" w:styleId="1349">
    <w:name w:val="正文文本样式 加粗"/>
    <w:basedOn w:val="1305"/>
    <w:next w:val="1349"/>
    <w:link w:val="1159"/>
    <w:qFormat/>
    <w:rPr>
      <w:b/>
    </w:rPr>
  </w:style>
  <w:style w:type="paragraph" w:styleId="1350">
    <w:name w:val="Char2 Char Char Char Char Char Char"/>
    <w:basedOn w:val="1159"/>
    <w:next w:val="1350"/>
    <w:link w:val="1159"/>
    <w:qFormat/>
    <w:pPr>
      <w:jc w:val="center"/>
      <w:spacing w:line="400" w:lineRule="exact"/>
      <w:widowControl/>
    </w:pPr>
  </w:style>
  <w:style w:type="paragraph" w:styleId="1351">
    <w:name w:val="Char Char4"/>
    <w:basedOn w:val="1159"/>
    <w:next w:val="1351"/>
    <w:link w:val="1159"/>
    <w:qFormat/>
    <w:pPr>
      <w:jc w:val="center"/>
      <w:spacing w:line="400" w:lineRule="exact"/>
      <w:widowControl/>
    </w:pPr>
  </w:style>
  <w:style w:type="paragraph" w:styleId="1352">
    <w:name w:val="Char3 Char Char Char1"/>
    <w:basedOn w:val="1159"/>
    <w:next w:val="1352"/>
    <w:link w:val="1159"/>
    <w:qFormat/>
    <w:rPr>
      <w:rFonts w:ascii="Tahoma" w:hAnsi="Tahoma"/>
      <w:sz w:val="24"/>
      <w:szCs w:val="20"/>
    </w:rPr>
  </w:style>
  <w:style w:type="paragraph" w:styleId="1353">
    <w:name w:val="无间隔"/>
    <w:next w:val="1353"/>
    <w:link w:val="1159"/>
    <w:qFormat/>
    <w:pPr>
      <w:jc w:val="both"/>
      <w:widowControl w:val="off"/>
    </w:pPr>
    <w:rPr>
      <w:sz w:val="21"/>
      <w:szCs w:val="24"/>
      <w:lang w:val="en-US" w:eastAsia="zh-CN" w:bidi="ar-SA"/>
    </w:rPr>
  </w:style>
  <w:style w:type="paragraph" w:styleId="1354">
    <w:name w:val="22222222222222"/>
    <w:basedOn w:val="1159"/>
    <w:next w:val="1354"/>
    <w:link w:val="1159"/>
    <w:qFormat/>
    <w:pPr>
      <w:ind w:firstLine="480"/>
      <w:jc w:val="left"/>
      <w:spacing w:line="360" w:lineRule="auto"/>
      <w:widowControl/>
    </w:pPr>
    <w:rPr>
      <w:color w:val="ff0000"/>
      <w:sz w:val="24"/>
      <w:szCs w:val="20"/>
    </w:rPr>
  </w:style>
  <w:style w:type="character" w:styleId="1355">
    <w:name w:val="中等深浅网格 1 - 强调文字颜色 2 Char"/>
    <w:next w:val="1355"/>
    <w:link w:val="1356"/>
    <w:qFormat/>
    <w:rPr>
      <w:sz w:val="21"/>
      <w:szCs w:val="24"/>
      <w:lang w:val="zh-CN" w:eastAsia="zh-CN" w:bidi="ar-SA"/>
    </w:rPr>
  </w:style>
  <w:style w:type="paragraph" w:styleId="1356">
    <w:name w:val="1"/>
    <w:next w:val="1356"/>
    <w:link w:val="1355"/>
    <w:qFormat/>
    <w:rPr>
      <w:sz w:val="21"/>
      <w:szCs w:val="24"/>
      <w:lang w:val="zh-CN" w:eastAsia="zh-CN" w:bidi="ar-SA"/>
    </w:rPr>
  </w:style>
  <w:style w:type="paragraph" w:styleId="1357">
    <w:name w:val="图文"/>
    <w:basedOn w:val="1159"/>
    <w:next w:val="1357"/>
    <w:link w:val="1159"/>
    <w:qFormat/>
    <w:pPr>
      <w:spacing w:after="50" w:line="360" w:lineRule="auto"/>
    </w:pPr>
    <w:rPr>
      <w:sz w:val="24"/>
    </w:rPr>
  </w:style>
  <w:style w:type="paragraph" w:styleId="1358">
    <w:name w:val="xl23"/>
    <w:basedOn w:val="1159"/>
    <w:next w:val="1358"/>
    <w:link w:val="1159"/>
    <w:qFormat/>
    <w:pPr>
      <w:spacing w:before="100" w:beforeAutospacing="1" w:after="100" w:afterAutospacing="1" w:line="360" w:lineRule="auto"/>
      <w:widowControl/>
    </w:pPr>
    <w:rPr>
      <w:sz w:val="24"/>
      <w:szCs w:val="20"/>
    </w:rPr>
  </w:style>
  <w:style w:type="paragraph" w:styleId="1359">
    <w:name w:val="正文表格"/>
    <w:basedOn w:val="1159"/>
    <w:next w:val="1359"/>
    <w:link w:val="1360"/>
    <w:qFormat/>
    <w:pPr>
      <w:jc w:val="left"/>
    </w:pPr>
    <w:rPr>
      <w:rFonts w:ascii="宋体" w:hAnsi="宋体"/>
      <w:color w:val="000000"/>
      <w:szCs w:val="21"/>
    </w:rPr>
  </w:style>
  <w:style w:type="character" w:styleId="1360">
    <w:name w:val="正文表格 Char"/>
    <w:next w:val="1360"/>
    <w:link w:val="1359"/>
    <w:qFormat/>
    <w:rPr>
      <w:rFonts w:ascii="宋体" w:hAnsi="宋体"/>
      <w:color w:val="000000"/>
      <w:sz w:val="21"/>
      <w:szCs w:val="21"/>
    </w:rPr>
  </w:style>
  <w:style w:type="paragraph" w:styleId="1361">
    <w:name w:val="正文重点"/>
    <w:basedOn w:val="1159"/>
    <w:next w:val="1361"/>
    <w:link w:val="1362"/>
    <w:qFormat/>
    <w:pPr>
      <w:ind w:firstLine="482"/>
      <w:jc w:val="left"/>
      <w:spacing w:line="360" w:lineRule="auto"/>
    </w:pPr>
    <w:rPr>
      <w:b/>
      <w:sz w:val="24"/>
      <w:szCs w:val="20"/>
    </w:rPr>
  </w:style>
  <w:style w:type="character" w:styleId="1362">
    <w:name w:val="正文重点 Char"/>
    <w:next w:val="1362"/>
    <w:link w:val="1361"/>
    <w:qFormat/>
    <w:rPr>
      <w:b/>
      <w:sz w:val="24"/>
    </w:rPr>
  </w:style>
  <w:style w:type="paragraph" w:styleId="1363">
    <w:name w:val="标题1-附件"/>
    <w:basedOn w:val="1160"/>
    <w:next w:val="1363"/>
    <w:link w:val="1159"/>
    <w:qFormat/>
    <w:pPr>
      <w:jc w:val="left"/>
    </w:pPr>
    <w:rPr>
      <w:sz w:val="24"/>
      <w:szCs w:val="24"/>
    </w:rPr>
  </w:style>
  <w:style w:type="paragraph" w:styleId="1364">
    <w:name w:val="正文小标题"/>
    <w:basedOn w:val="1159"/>
    <w:next w:val="1173"/>
    <w:link w:val="1365"/>
    <w:qFormat/>
    <w:pPr>
      <w:ind w:firstLine="482"/>
      <w:jc w:val="left"/>
      <w:spacing w:before="312" w:after="312"/>
    </w:pPr>
    <w:rPr>
      <w:rFonts w:ascii="宋体" w:hAnsi="宋体"/>
      <w:b/>
      <w:i/>
      <w:color w:val="ff0000"/>
      <w:sz w:val="24"/>
      <w:szCs w:val="20"/>
    </w:rPr>
  </w:style>
  <w:style w:type="character" w:styleId="1365">
    <w:name w:val="正文小标题 Char"/>
    <w:next w:val="1365"/>
    <w:link w:val="1364"/>
    <w:qFormat/>
    <w:rPr>
      <w:rFonts w:ascii="宋体" w:hAnsi="宋体"/>
      <w:b/>
      <w:i/>
      <w:color w:val="ff0000"/>
      <w:sz w:val="24"/>
    </w:rPr>
  </w:style>
  <w:style w:type="paragraph" w:styleId="1366">
    <w:name w:val="正文大标题"/>
    <w:basedOn w:val="1364"/>
    <w:next w:val="1173"/>
    <w:link w:val="1367"/>
    <w:qFormat/>
    <w:pPr>
      <w:jc w:val="center"/>
    </w:pPr>
    <w:rPr>
      <w:i w:val="0"/>
      <w:color w:val="000000"/>
      <w:sz w:val="28"/>
      <w:szCs w:val="21"/>
    </w:rPr>
  </w:style>
  <w:style w:type="character" w:styleId="1367">
    <w:name w:val="正文大标题 Char"/>
    <w:next w:val="1367"/>
    <w:link w:val="1366"/>
    <w:qFormat/>
    <w:rPr>
      <w:rFonts w:ascii="宋体" w:hAnsi="宋体"/>
      <w:b/>
      <w:color w:val="000000"/>
      <w:sz w:val="28"/>
      <w:szCs w:val="21"/>
    </w:rPr>
  </w:style>
  <w:style w:type="paragraph" w:styleId="1368">
    <w:name w:val="注释"/>
    <w:basedOn w:val="1159"/>
    <w:next w:val="1368"/>
    <w:link w:val="1369"/>
    <w:qFormat/>
    <w:pPr>
      <w:ind w:left="420" w:hanging="420"/>
      <w:jc w:val="left"/>
    </w:pPr>
    <w:rPr>
      <w:rFonts w:ascii="宋体" w:hAnsi="宋体"/>
      <w:szCs w:val="21"/>
    </w:rPr>
  </w:style>
  <w:style w:type="character" w:styleId="1369">
    <w:name w:val="注释 Char"/>
    <w:next w:val="1369"/>
    <w:link w:val="1368"/>
    <w:qFormat/>
    <w:rPr>
      <w:rFonts w:ascii="宋体" w:hAnsi="宋体"/>
      <w:sz w:val="21"/>
      <w:szCs w:val="21"/>
    </w:rPr>
  </w:style>
  <w:style w:type="paragraph" w:styleId="1370">
    <w:name w:val="正文须知-1级"/>
    <w:basedOn w:val="1159"/>
    <w:next w:val="1159"/>
    <w:link w:val="1159"/>
    <w:qFormat/>
    <w:pPr>
      <w:numPr>
        <w:ilvl w:val="0"/>
        <w:numId w:val="7"/>
      </w:numPr>
      <w:spacing w:line="300" w:lineRule="auto"/>
    </w:pPr>
    <w:rPr>
      <w:rFonts w:ascii="宋体" w:hAnsi="Calibri"/>
      <w:sz w:val="24"/>
      <w:szCs w:val="21"/>
    </w:rPr>
  </w:style>
  <w:style w:type="paragraph" w:styleId="1371">
    <w:name w:val="正文须知-2级"/>
    <w:basedOn w:val="1159"/>
    <w:next w:val="1371"/>
    <w:link w:val="1159"/>
    <w:qFormat/>
    <w:pPr>
      <w:numPr>
        <w:ilvl w:val="1"/>
        <w:numId w:val="7"/>
      </w:numPr>
      <w:spacing w:line="300" w:lineRule="auto"/>
    </w:pPr>
    <w:rPr>
      <w:rFonts w:ascii="宋体" w:hAnsi="Calibri"/>
      <w:sz w:val="24"/>
      <w:szCs w:val="21"/>
    </w:rPr>
  </w:style>
  <w:style w:type="paragraph" w:styleId="1372">
    <w:name w:val="正文须知-3级"/>
    <w:basedOn w:val="1159"/>
    <w:next w:val="1372"/>
    <w:link w:val="1159"/>
    <w:qFormat/>
    <w:pPr>
      <w:numPr>
        <w:ilvl w:val="2"/>
        <w:numId w:val="7"/>
      </w:numPr>
      <w:ind w:hanging="355"/>
      <w:spacing w:line="300" w:lineRule="auto"/>
    </w:pPr>
    <w:rPr>
      <w:rFonts w:ascii="宋体" w:hAnsi="Calibri"/>
      <w:sz w:val="24"/>
      <w:szCs w:val="21"/>
    </w:rPr>
  </w:style>
  <w:style w:type="character" w:styleId="1373">
    <w:name w:val="纯文本 字符"/>
    <w:next w:val="1373"/>
    <w:link w:val="1159"/>
    <w:uiPriority w:val="99"/>
    <w:qFormat/>
    <w:rPr>
      <w:rFonts w:ascii="宋体" w:hAnsi="Courier New" w:eastAsia="宋体" w:cs="Times New Roman"/>
      <w:sz w:val="21"/>
      <w:szCs w:val="21"/>
      <w:lang w:val="en-US" w:eastAsia="zh-CN" w:bidi="ar-SA"/>
    </w:rPr>
  </w:style>
  <w:style w:type="paragraph" w:styleId="1374">
    <w:name w:val="表格1"/>
    <w:basedOn w:val="1159"/>
    <w:next w:val="1374"/>
    <w:link w:val="1159"/>
    <w:qFormat/>
    <w:pPr>
      <w:ind w:firstLine="480"/>
      <w:jc w:val="center"/>
    </w:pPr>
    <w:rPr>
      <w:sz w:val="24"/>
      <w:szCs w:val="20"/>
    </w:rPr>
  </w:style>
  <w:style w:type="character" w:styleId="1375">
    <w:name w:val="纯文本 字符1"/>
    <w:next w:val="1375"/>
    <w:link w:val="1159"/>
    <w:qFormat/>
    <w:rPr>
      <w:rFonts w:ascii="宋体" w:hAnsi="Courier New"/>
    </w:rPr>
  </w:style>
  <w:style w:type="character" w:styleId="1376">
    <w:name w:val="bjh-p"/>
    <w:next w:val="1376"/>
    <w:link w:val="1159"/>
    <w:qFormat/>
  </w:style>
  <w:style w:type="paragraph" w:styleId="1377">
    <w:name w:val="无标题条"/>
    <w:next w:val="1159"/>
    <w:link w:val="1159"/>
    <w:qFormat/>
    <w:pPr>
      <w:jc w:val="both"/>
    </w:pPr>
    <w:rPr>
      <w:sz w:val="21"/>
      <w:lang w:val="en-US" w:eastAsia="zh-CN" w:bidi="ar-SA"/>
    </w:rPr>
  </w:style>
  <w:style w:type="character" w:styleId="1378">
    <w:name w:val="正文格式 Char"/>
    <w:next w:val="1378"/>
    <w:link w:val="1379"/>
    <w:qFormat/>
    <w:rPr>
      <w:rFonts w:ascii="宋体" w:hAnsi="宋体"/>
      <w:sz w:val="24"/>
      <w:szCs w:val="24"/>
      <w:lang w:val="en-GB"/>
    </w:rPr>
  </w:style>
  <w:style w:type="paragraph" w:styleId="1379">
    <w:name w:val="正文格式"/>
    <w:basedOn w:val="1159"/>
    <w:next w:val="1379"/>
    <w:link w:val="1378"/>
    <w:qFormat/>
    <w:pPr>
      <w:ind w:firstLine="480"/>
      <w:spacing w:line="360" w:lineRule="auto"/>
    </w:pPr>
    <w:rPr>
      <w:rFonts w:ascii="宋体" w:hAnsi="宋体"/>
      <w:sz w:val="24"/>
      <w:lang w:val="en-GB"/>
    </w:rPr>
  </w:style>
  <w:style w:type="character" w:styleId="1380">
    <w:name w:val="标题 3 Char"/>
    <w:next w:val="1380"/>
    <w:link w:val="1159"/>
    <w:qFormat/>
    <w:rPr>
      <w:rFonts w:ascii="宋体" w:eastAsia="宋体"/>
      <w:b/>
      <w:sz w:val="24"/>
      <w:u w:val="single"/>
      <w:lang w:val="en-US" w:eastAsia="zh-CN" w:bidi="ar-SA"/>
    </w:rPr>
  </w:style>
  <w:style w:type="character" w:styleId="1381">
    <w:name w:val="正文缩进 Char"/>
    <w:next w:val="1381"/>
    <w:link w:val="1159"/>
    <w:qFormat/>
    <w:rPr>
      <w:rFonts w:ascii="宋体" w:eastAsia="宋体"/>
      <w:sz w:val="24"/>
      <w:szCs w:val="24"/>
      <w:lang w:val="en-US" w:eastAsia="zh-CN" w:bidi="ar-SA"/>
    </w:rPr>
  </w:style>
  <w:style w:type="character" w:styleId="1382">
    <w:name w:val="Char Char111"/>
    <w:next w:val="1382"/>
    <w:link w:val="1159"/>
    <w:qFormat/>
    <w:rPr>
      <w:rFonts w:ascii="宋体" w:eastAsia="宋体"/>
      <w:b/>
      <w:sz w:val="24"/>
      <w:u w:val="single"/>
      <w:lang w:val="en-US" w:eastAsia="zh-CN" w:bidi="ar-SA"/>
    </w:rPr>
  </w:style>
  <w:style w:type="character" w:styleId="1383">
    <w:name w:val="正文文本缩进 Char"/>
    <w:next w:val="1383"/>
    <w:link w:val="1159"/>
    <w:qFormat/>
    <w:rPr>
      <w:rFonts w:eastAsia="宋体"/>
      <w:sz w:val="24"/>
      <w:szCs w:val="24"/>
      <w:lang w:val="en-US" w:eastAsia="zh-CN" w:bidi="ar-SA"/>
    </w:rPr>
  </w:style>
  <w:style w:type="character" w:styleId="1384">
    <w:name w:val="列出段落 Char"/>
    <w:next w:val="1384"/>
    <w:link w:val="1159"/>
    <w:qFormat/>
    <w:rPr>
      <w:rFonts w:ascii="Calibri" w:hAnsi="Calibri" w:eastAsia="宋体"/>
      <w:sz w:val="21"/>
      <w:szCs w:val="22"/>
      <w:lang w:val="en-US" w:eastAsia="zh-CN" w:bidi="ar-SA"/>
    </w:rPr>
  </w:style>
  <w:style w:type="character" w:styleId="1385">
    <w:name w:val="页眉 Char"/>
    <w:next w:val="1385"/>
    <w:link w:val="1159"/>
    <w:qFormat/>
    <w:rPr>
      <w:rFonts w:eastAsia="宋体"/>
      <w:sz w:val="18"/>
      <w:szCs w:val="18"/>
      <w:lang w:val="en-US" w:eastAsia="zh-CN" w:bidi="ar-SA"/>
    </w:rPr>
  </w:style>
  <w:style w:type="character" w:styleId="1386">
    <w:name w:val="标题 2 Char"/>
    <w:next w:val="1386"/>
    <w:link w:val="1159"/>
    <w:qFormat/>
    <w:rPr>
      <w:rFonts w:ascii="Arial" w:hAnsi="Arial" w:eastAsia="黑体"/>
      <w:b/>
      <w:sz w:val="30"/>
      <w:lang w:val="en-US" w:eastAsia="zh-CN" w:bidi="ar-SA"/>
    </w:rPr>
  </w:style>
  <w:style w:type="paragraph" w:styleId="1387">
    <w:name w:val="字元 字元2"/>
    <w:basedOn w:val="1159"/>
    <w:next w:val="1387"/>
    <w:link w:val="1159"/>
    <w:qFormat/>
    <w:rPr>
      <w:rFonts w:ascii="Tahoma" w:hAnsi="Tahoma"/>
      <w:sz w:val="24"/>
      <w:szCs w:val="20"/>
    </w:rPr>
  </w:style>
  <w:style w:type="paragraph" w:styleId="1388">
    <w:name w:val="Char3 Char Char Char2"/>
    <w:basedOn w:val="1159"/>
    <w:next w:val="1388"/>
    <w:link w:val="1159"/>
    <w:qFormat/>
    <w:rPr>
      <w:rFonts w:ascii="Tahoma" w:hAnsi="Tahoma"/>
      <w:sz w:val="24"/>
      <w:szCs w:val="20"/>
    </w:rPr>
  </w:style>
  <w:style w:type="paragraph" w:styleId="1389">
    <w:name w:val="正文文本缩进2"/>
    <w:basedOn w:val="1159"/>
    <w:next w:val="1389"/>
    <w:link w:val="1159"/>
    <w:qFormat/>
    <w:pPr>
      <w:ind w:firstLine="480"/>
      <w:spacing w:line="480" w:lineRule="exact"/>
    </w:pPr>
    <w:rPr>
      <w:rFonts w:ascii="宋体" w:hAnsi="宋体"/>
      <w:sz w:val="24"/>
      <w:lang w:val="zh-CN"/>
    </w:rPr>
  </w:style>
  <w:style w:type="paragraph" w:styleId="1390">
    <w:name w:val="Char3"/>
    <w:basedOn w:val="1159"/>
    <w:next w:val="1390"/>
    <w:link w:val="1159"/>
    <w:qFormat/>
    <w:pPr>
      <w:tabs>
        <w:tab w:val="left" w:pos="360" w:leader="none"/>
      </w:tabs>
    </w:pPr>
    <w:rPr>
      <w:sz w:val="24"/>
    </w:rPr>
  </w:style>
  <w:style w:type="paragraph" w:styleId="1391">
    <w:name w:val="Char Char Char Char Char Char Char Char Char Char Char Char Char Char Char Char1"/>
    <w:basedOn w:val="1159"/>
    <w:next w:val="1391"/>
    <w:link w:val="1159"/>
    <w:qFormat/>
    <w:pPr>
      <w:jc w:val="center"/>
      <w:spacing w:after="160" w:line="240" w:lineRule="exact"/>
      <w:widowControl/>
    </w:pPr>
    <w:rPr>
      <w:rFonts w:ascii="宋体" w:hAnsi="宋体"/>
      <w:b/>
      <w:sz w:val="30"/>
      <w:szCs w:val="30"/>
      <w:lang w:eastAsia="en-US"/>
    </w:rPr>
  </w:style>
  <w:style w:type="paragraph" w:styleId="1392">
    <w:name w:val="Char Char1 Char Char Char Char Char Char1"/>
    <w:basedOn w:val="1159"/>
    <w:next w:val="1392"/>
    <w:link w:val="1159"/>
    <w:qFormat/>
    <w:pPr>
      <w:jc w:val="left"/>
      <w:spacing w:after="160" w:line="240" w:lineRule="exact"/>
      <w:widowControl/>
    </w:pPr>
    <w:rPr>
      <w:rFonts w:ascii="Verdana" w:hAnsi="Verdana" w:eastAsia="仿宋_GB2312"/>
      <w:sz w:val="24"/>
      <w:szCs w:val="20"/>
      <w:lang w:eastAsia="en-US"/>
    </w:rPr>
  </w:style>
  <w:style w:type="paragraph" w:styleId="1393">
    <w:name w:val="列出段落2"/>
    <w:basedOn w:val="1159"/>
    <w:next w:val="1393"/>
    <w:link w:val="1159"/>
    <w:qFormat/>
    <w:pPr>
      <w:ind w:firstLine="420"/>
    </w:pPr>
    <w:rPr>
      <w:rFonts w:ascii="Calibri" w:hAnsi="Calibri"/>
      <w:szCs w:val="22"/>
    </w:rPr>
  </w:style>
  <w:style w:type="paragraph" w:styleId="1394">
    <w:name w:val="Char Char Char1 Char2"/>
    <w:basedOn w:val="1159"/>
    <w:next w:val="1394"/>
    <w:link w:val="1159"/>
    <w:qFormat/>
    <w:rPr>
      <w:rFonts w:ascii="Tahoma" w:hAnsi="Tahoma"/>
      <w:sz w:val="24"/>
      <w:szCs w:val="20"/>
    </w:rPr>
  </w:style>
  <w:style w:type="paragraph" w:styleId="1395">
    <w:name w:val="Char Char Char2"/>
    <w:basedOn w:val="1159"/>
    <w:next w:val="1395"/>
    <w:link w:val="1159"/>
    <w:qFormat/>
    <w:rPr>
      <w:rFonts w:ascii="Tahoma" w:hAnsi="Tahoma"/>
      <w:sz w:val="24"/>
      <w:szCs w:val="20"/>
    </w:rPr>
  </w:style>
  <w:style w:type="paragraph" w:styleId="1396">
    <w:name w:val="Char Char Char Char Char Char Char2"/>
    <w:basedOn w:val="1159"/>
    <w:next w:val="1396"/>
    <w:link w:val="1159"/>
    <w:qFormat/>
    <w:pPr>
      <w:ind w:firstLine="200"/>
      <w:spacing w:line="360" w:lineRule="auto"/>
    </w:pPr>
    <w:rPr>
      <w:rFonts w:eastAsia="仿宋_GB2312"/>
      <w:sz w:val="24"/>
    </w:rPr>
  </w:style>
  <w:style w:type="paragraph" w:styleId="1397">
    <w:name w:val="正文缩进2"/>
    <w:basedOn w:val="1159"/>
    <w:next w:val="1397"/>
    <w:link w:val="1159"/>
    <w:qFormat/>
    <w:pPr>
      <w:ind w:firstLine="567"/>
      <w:spacing w:line="480" w:lineRule="exact"/>
      <w:widowControl/>
    </w:pPr>
    <w:rPr>
      <w:rFonts w:ascii="宋体"/>
      <w:color w:val="000000"/>
      <w:sz w:val="28"/>
      <w:szCs w:val="20"/>
      <w:lang w:val="zh-CN"/>
    </w:rPr>
  </w:style>
  <w:style w:type="paragraph" w:styleId="1398">
    <w:name w:val="修订1"/>
    <w:next w:val="1398"/>
    <w:link w:val="1159"/>
    <w:qFormat/>
    <w:rPr>
      <w:sz w:val="21"/>
      <w:szCs w:val="24"/>
      <w:lang w:val="en-US" w:eastAsia="zh-CN" w:bidi="ar-SA"/>
    </w:rPr>
  </w:style>
  <w:style w:type="paragraph" w:styleId="1399">
    <w:name w:val="Char22"/>
    <w:basedOn w:val="1159"/>
    <w:next w:val="1399"/>
    <w:link w:val="1159"/>
    <w:qFormat/>
    <w:rPr>
      <w:rFonts w:ascii="Tahoma" w:hAnsi="Tahoma"/>
      <w:sz w:val="24"/>
      <w:szCs w:val="20"/>
    </w:rPr>
  </w:style>
  <w:style w:type="paragraph" w:styleId="1400">
    <w:name w:val="Char Char Char Char Char Char Char Char Char Char2"/>
    <w:basedOn w:val="1159"/>
    <w:next w:val="1400"/>
    <w:link w:val="1159"/>
    <w:qFormat/>
    <w:rPr>
      <w:rFonts w:ascii="宋体" w:hAnsi="宋体" w:cs="Courier New"/>
      <w:sz w:val="32"/>
      <w:szCs w:val="32"/>
    </w:rPr>
  </w:style>
  <w:style w:type="paragraph" w:styleId="1401">
    <w:name w:val="Char2 Char Char Char Char Char Char1"/>
    <w:basedOn w:val="1159"/>
    <w:next w:val="1401"/>
    <w:link w:val="1159"/>
    <w:qFormat/>
    <w:pPr>
      <w:jc w:val="center"/>
      <w:spacing w:line="400" w:lineRule="exact"/>
      <w:widowControl/>
    </w:pPr>
  </w:style>
  <w:style w:type="character" w:styleId="1402">
    <w:name w:val="页脚 Char"/>
    <w:next w:val="1402"/>
    <w:link w:val="1159"/>
    <w:qFormat/>
    <w:rPr>
      <w:rFonts w:ascii="宋体" w:eastAsia="宋体"/>
      <w:sz w:val="18"/>
      <w:lang w:val="en-US" w:eastAsia="zh-CN" w:bidi="ar-SA"/>
    </w:rPr>
  </w:style>
  <w:style w:type="paragraph" w:styleId="1403">
    <w:name w:val="Char Char41"/>
    <w:basedOn w:val="1159"/>
    <w:next w:val="1403"/>
    <w:link w:val="1159"/>
    <w:qFormat/>
    <w:pPr>
      <w:jc w:val="center"/>
      <w:spacing w:line="400" w:lineRule="exact"/>
      <w:widowControl/>
    </w:pPr>
  </w:style>
  <w:style w:type="character" w:styleId="1404">
    <w:name w:val="批注文字 Char"/>
    <w:next w:val="1404"/>
    <w:link w:val="1159"/>
    <w:uiPriority w:val="99"/>
    <w:qFormat/>
    <w:rPr>
      <w:sz w:val="21"/>
      <w:szCs w:val="24"/>
    </w:rPr>
  </w:style>
  <w:style w:type="character" w:styleId="1405">
    <w:name w:val="标题 Char"/>
    <w:next w:val="1405"/>
    <w:link w:val="1159"/>
    <w:qFormat/>
    <w:rPr>
      <w:b/>
      <w:sz w:val="32"/>
    </w:rPr>
  </w:style>
  <w:style w:type="paragraph" w:styleId="1406">
    <w:name w:val="图例"/>
    <w:basedOn w:val="1159"/>
    <w:next w:val="1406"/>
    <w:link w:val="1159"/>
    <w:qFormat/>
    <w:pPr>
      <w:jc w:val="center"/>
      <w:spacing w:before="120" w:after="120" w:line="360" w:lineRule="auto"/>
    </w:pPr>
    <w:rPr>
      <w:rFonts w:eastAsia="仿宋_GB2312"/>
      <w:b/>
      <w:sz w:val="24"/>
      <w:szCs w:val="20"/>
    </w:rPr>
  </w:style>
  <w:style w:type="paragraph" w:styleId="1407">
    <w:name w:val="Table Paragraph"/>
    <w:basedOn w:val="1159"/>
    <w:next w:val="1407"/>
    <w:link w:val="1159"/>
    <w:uiPriority w:val="1"/>
    <w:qFormat/>
    <w:pPr>
      <w:jc w:val="left"/>
    </w:pPr>
    <w:rPr>
      <w:rFonts w:ascii="宋体" w:hAnsi="宋体" w:cs="宋体"/>
      <w:sz w:val="22"/>
      <w:szCs w:val="22"/>
      <w:lang w:eastAsia="en-US"/>
    </w:rPr>
  </w:style>
  <w:style w:type="table" w:styleId="1408">
    <w:name w:val="Table Normal"/>
    <w:next w:val="1408"/>
    <w:link w:val="1159"/>
    <w:uiPriority w:val="2"/>
    <w:semiHidden/>
    <w:qFormat/>
    <w:pPr>
      <w:widowControl w:val="off"/>
    </w:pPr>
    <w:rPr>
      <w:rFonts w:ascii="Calibri" w:hAnsi="Calibri"/>
      <w:sz w:val="22"/>
      <w:szCs w:val="22"/>
      <w:lang w:val="en-US" w:eastAsia="en-US" w:bidi="ar-SA"/>
    </w:rPr>
    <w:tblPr/>
  </w:style>
  <w:style w:type="paragraph" w:styleId="1409">
    <w:name w:val="成文日期"/>
    <w:basedOn w:val="1159"/>
    <w:next w:val="1409"/>
    <w:link w:val="1410"/>
    <w:qFormat/>
    <w:pPr>
      <w:ind w:right="400" w:firstLine="200"/>
      <w:jc w:val="right"/>
      <w:spacing w:line="570" w:lineRule="exact"/>
    </w:pPr>
    <w:rPr>
      <w:rFonts w:ascii="仿宋_GB2312" w:eastAsia="仿宋_GB2312"/>
      <w:sz w:val="32"/>
      <w:szCs w:val="20"/>
    </w:rPr>
  </w:style>
  <w:style w:type="character" w:styleId="1410">
    <w:name w:val="成文日期 Char"/>
    <w:next w:val="1410"/>
    <w:link w:val="1409"/>
    <w:qFormat/>
    <w:rPr>
      <w:rFonts w:ascii="仿宋_GB2312" w:eastAsia="仿宋_GB2312"/>
      <w:sz w:val="32"/>
    </w:rPr>
  </w:style>
  <w:style w:type="paragraph" w:styleId="1411">
    <w:name w:val="正文1"/>
    <w:basedOn w:val="1159"/>
    <w:next w:val="1411"/>
    <w:link w:val="1159"/>
    <w:qFormat/>
    <w:pPr>
      <w:contextualSpacing/>
      <w:ind w:firstLine="200"/>
      <w:jc w:val="left"/>
      <w:spacing w:before="120" w:after="120"/>
      <w:widowControl/>
    </w:pPr>
    <w:rPr>
      <w:rFonts w:ascii="Calibri" w:hAnsi="Calibri" w:eastAsia="Adobe 仿宋 Std R"/>
      <w:sz w:val="20"/>
      <w:szCs w:val="21"/>
    </w:rPr>
  </w:style>
  <w:style w:type="character" w:styleId="1412">
    <w:name w:val="材料标题 Char"/>
    <w:next w:val="1412"/>
    <w:link w:val="1413"/>
    <w:qFormat/>
    <w:rPr>
      <w:rFonts w:ascii="方正小标宋简体" w:eastAsia="方正小标宋简体"/>
      <w:color w:val="000000"/>
      <w:sz w:val="44"/>
      <w:szCs w:val="44"/>
    </w:rPr>
  </w:style>
  <w:style w:type="paragraph" w:styleId="1413">
    <w:name w:val="材料标题"/>
    <w:basedOn w:val="1159"/>
    <w:next w:val="1413"/>
    <w:link w:val="1412"/>
    <w:qFormat/>
    <w:pPr>
      <w:jc w:val="center"/>
      <w:spacing w:line="700" w:lineRule="exact"/>
    </w:pPr>
    <w:rPr>
      <w:rFonts w:ascii="方正小标宋简体" w:eastAsia="方正小标宋简体"/>
      <w:color w:val="000000"/>
      <w:sz w:val="44"/>
      <w:szCs w:val="44"/>
    </w:rPr>
  </w:style>
  <w:style w:type="character" w:styleId="1414">
    <w:name w:val="标题1"/>
    <w:next w:val="1414"/>
    <w:link w:val="1159"/>
    <w:qFormat/>
  </w:style>
  <w:style w:type="paragraph" w:styleId="1415">
    <w:name w:val="p_text_indent_2"/>
    <w:basedOn w:val="1159"/>
    <w:next w:val="1415"/>
    <w:link w:val="1159"/>
    <w:qFormat/>
    <w:pPr>
      <w:ind w:firstLine="420"/>
      <w:jc w:val="left"/>
    </w:pPr>
    <w:rPr>
      <w:szCs w:val="20"/>
    </w:rPr>
  </w:style>
  <w:style w:type="paragraph" w:styleId="1416">
    <w:name w:val="修订"/>
    <w:next w:val="1416"/>
    <w:link w:val="1159"/>
    <w:uiPriority w:val="99"/>
    <w:semiHidden/>
    <w:rPr>
      <w:sz w:val="21"/>
      <w:szCs w:val="24"/>
      <w:lang w:val="en-US" w:eastAsia="zh-CN" w:bidi="ar-SA"/>
    </w:rPr>
  </w:style>
  <w:style w:type="paragraph" w:styleId="1417">
    <w:name w:val="Default_0"/>
    <w:next w:val="1417"/>
    <w:link w:val="1159"/>
    <w:qFormat/>
    <w:pPr>
      <w:widowControl w:val="off"/>
    </w:pPr>
    <w:rPr>
      <w:rFonts w:ascii="宋体"/>
      <w:color w:val="000000"/>
      <w:sz w:val="24"/>
      <w:szCs w:val="24"/>
      <w:lang w:val="en-US" w:eastAsia="zh-CN" w:bidi="ar-SA"/>
    </w:rPr>
  </w:style>
  <w:style w:type="paragraph" w:styleId="1418">
    <w:name w:val="WPSOffice手动目录 1"/>
    <w:next w:val="1418"/>
    <w:link w:val="1159"/>
    <w:rPr>
      <w:lang w:val="en-US" w:eastAsia="zh-CN" w:bidi="ar-SA"/>
    </w:rPr>
  </w:style>
  <w:style w:type="paragraph" w:styleId="1419">
    <w:name w:val="正文文本1"/>
    <w:basedOn w:val="1159"/>
    <w:next w:val="1191"/>
    <w:link w:val="1159"/>
    <w:uiPriority w:val="99"/>
    <w:semiHidden/>
    <w:qFormat/>
    <w:pPr>
      <w:spacing w:after="120"/>
    </w:pPr>
    <w:rPr>
      <w:rFonts w:hint="eastAsia" w:ascii="等线" w:hAnsi="等线" w:eastAsia="等线"/>
      <w:szCs w:val="22"/>
    </w:rPr>
  </w:style>
  <w:style w:type="paragraph" w:styleId="1420">
    <w:name w:val="Table Text"/>
    <w:basedOn w:val="1159"/>
    <w:next w:val="1420"/>
    <w:link w:val="1159"/>
    <w:semiHidden/>
    <w:qFormat/>
    <w:rPr>
      <w:rFonts w:ascii="宋体" w:hAnsi="宋体" w:eastAsia="宋体" w:cs="宋体"/>
      <w:sz w:val="20"/>
      <w:szCs w:val="20"/>
      <w:lang w:val="en-US" w:eastAsia="en-US" w:bidi="ar-SA"/>
    </w:rPr>
  </w:style>
  <w:style w:type="paragraph" w:styleId="1421">
    <w:name w:val="正文_0"/>
    <w:next w:val="1421"/>
    <w:link w:val="1159"/>
    <w:qFormat/>
    <w:pPr>
      <w:jc w:val="both"/>
      <w:widowControl w:val="off"/>
    </w:pPr>
    <w:rPr>
      <w:rFonts w:ascii="Times New Roman" w:hAnsi="Times New Roman" w:eastAsia="宋体" w:cs="Times New Roman"/>
      <w:sz w:val="21"/>
      <w:szCs w:val="22"/>
      <w:lang w:val="en-US" w:eastAsia="zh-CN" w:bidi="ar-SA"/>
    </w:rPr>
  </w:style>
  <w:style w:type="paragraph" w:styleId="1422">
    <w:name w:val="_Style 8"/>
    <w:basedOn w:val="1160"/>
    <w:next w:val="1159"/>
    <w:link w:val="1159"/>
    <w:qFormat/>
    <w:pPr>
      <w:spacing w:before="340" w:after="330" w:line="576" w:lineRule="auto"/>
      <w:outlineLvl w:val="9"/>
    </w:pPr>
    <w:rPr>
      <w:rFonts w:ascii="Calibri" w:hAnsi="Calibri"/>
      <w:sz w:val="44"/>
    </w:rPr>
  </w:style>
  <w:style w:type="paragraph" w:styleId="1423">
    <w:name w:val="正文_433"/>
    <w:next w:val="1423"/>
    <w:link w:val="1159"/>
    <w:qFormat/>
    <w:pPr>
      <w:jc w:val="both"/>
      <w:widowControl w:val="off"/>
    </w:pPr>
    <w:rPr>
      <w:rFonts w:ascii="Times New Roman" w:hAnsi="Times New Roman" w:eastAsia="宋体" w:cs="Times New Roman"/>
      <w:sz w:val="21"/>
      <w:szCs w:val="22"/>
      <w:lang w:val="en-US" w:eastAsia="zh-CN" w:bidi="ar-SA"/>
    </w:rPr>
  </w:style>
  <w:style w:type="character" w:styleId="1424">
    <w:name w:val="font21"/>
    <w:basedOn w:val="1169"/>
    <w:next w:val="1424"/>
    <w:link w:val="1159"/>
    <w:rPr>
      <w:rFonts w:ascii="等线" w:hAnsi="等线" w:eastAsia="等线" w:cs="等线"/>
      <w:i w:val="0"/>
      <w:iCs w:val="0"/>
      <w:color w:val="000000"/>
      <w:sz w:val="22"/>
      <w:szCs w:val="22"/>
      <w:u w:val="none"/>
    </w:rPr>
  </w:style>
  <w:style w:type="paragraph" w:styleId="1425">
    <w:name w:val="纯文本1"/>
    <w:basedOn w:val="1159"/>
    <w:next w:val="1426"/>
    <w:link w:val="1159"/>
    <w:qFormat/>
    <w:rPr>
      <w:rFonts w:hint="eastAsia" w:ascii="宋体" w:hAnsi="Courier New"/>
      <w:szCs w:val="20"/>
    </w:rPr>
  </w:style>
  <w:style w:type="paragraph" w:styleId="1426">
    <w:name w:val="目录 41"/>
    <w:basedOn w:val="1159"/>
    <w:next w:val="1159"/>
    <w:link w:val="1159"/>
    <w:qFormat/>
    <w:pPr>
      <w:ind w:left="1260"/>
    </w:pPr>
  </w:style>
  <w:style w:type="paragraph" w:styleId="1427">
    <w:name w:val="正文缩进11"/>
    <w:basedOn w:val="1159"/>
    <w:next w:val="1159"/>
    <w:link w:val="1159"/>
    <w:qFormat/>
    <w:pPr>
      <w:ind w:firstLine="420"/>
      <w:jc w:val="left"/>
    </w:pPr>
    <w:rPr>
      <w:rFonts w:ascii="宋体"/>
      <w:sz w:val="24"/>
    </w:rPr>
  </w:style>
  <w:style w:type="paragraph" w:styleId="1428">
    <w:name w:val="正文文本11"/>
    <w:basedOn w:val="1159"/>
    <w:next w:val="1159"/>
    <w:link w:val="1159"/>
    <w:qFormat/>
    <w:pPr>
      <w:spacing w:before="120" w:line="22" w:lineRule="atLeast"/>
      <w:tabs>
        <w:tab w:val="left" w:pos="567" w:leader="none"/>
      </w:tabs>
    </w:pPr>
    <w:rPr>
      <w:rFonts w:ascii="宋体" w:hAnsi="宋体"/>
      <w:sz w:val="24"/>
    </w:rPr>
  </w:style>
  <w:style w:type="paragraph" w:styleId="1429">
    <w:name w:val="段"/>
    <w:next w:val="1159"/>
    <w:link w:val="1159"/>
    <w:qFormat/>
    <w:pPr>
      <w:ind w:firstLine="200"/>
      <w:jc w:val="both"/>
    </w:pPr>
    <w:rPr>
      <w:rFonts w:ascii="宋体" w:hAnsi="Times New Roman" w:eastAsia="宋体" w:cs="Times New Roman"/>
      <w:sz w:val="21"/>
      <w:lang w:val="en-US" w:eastAsia="zh-CN" w:bidi="ar-SA"/>
    </w:rPr>
  </w:style>
  <w:style w:type="character" w:styleId="1430" w:default="1">
    <w:name w:val="Default Paragraph Font"/>
    <w:uiPriority w:val="1"/>
    <w:semiHidden/>
    <w:unhideWhenUsed/>
  </w:style>
  <w:style w:type="numbering" w:styleId="1431" w:default="1">
    <w:name w:val="No List"/>
    <w:uiPriority w:val="99"/>
    <w:semiHidden/>
    <w:unhideWhenUsed/>
  </w:style>
  <w:style w:type="table" w:styleId="14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image" Target="media/image1.wmf"/><Relationship Id="rId2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余洋</cp:lastModifiedBy>
  <cp:revision>7</cp:revision>
  <dcterms:created xsi:type="dcterms:W3CDTF">2023-06-09T02:23:00Z</dcterms:created>
  <dcterms:modified xsi:type="dcterms:W3CDTF">2026-07-02T01:54:22Z</dcterms:modified>
</cp:coreProperties>
</file>