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JSZC-320585-SZTZ-G2026-0016</w:t>
      </w:r>
      <w:r>
        <w:rPr>
          <w:rFonts w:hint="eastAsia" w:ascii="宋体" w:hAnsi="宋体" w:cs="宋体"/>
          <w:b/>
          <w:color w:val="auto"/>
          <w:sz w:val="30"/>
          <w:szCs w:val="30"/>
          <w:highlight w:val="none"/>
        </w:rPr>
        <w:t xml:space="preserve">  </w:t>
      </w:r>
      <w:r/>
    </w:p>
    <w:p>
      <w:pPr>
        <w:ind w:left="480" w:firstLine="602"/>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2026年太仓市南沿江铁路技防服务</w:t>
      </w:r>
      <w:r/>
    </w:p>
    <w:p>
      <w:pPr>
        <w:ind w:left="480"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firstLine="602"/>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（十五）租赁和商务服务业</w:t>
      </w:r>
      <w:r/>
    </w:p>
    <w:p>
      <w:pPr>
        <w:ind w:left="480" w:right="-159" w:firstLine="602"/>
        <w:spacing w:line="48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太仓市公安局</w:t>
      </w:r>
      <w:r/>
    </w:p>
    <w:p>
      <w:pPr>
        <w:ind w:left="480" w:right="-159" w:firstLine="602"/>
        <w:spacing w:line="480" w:lineRule="auto"/>
        <w:rPr>
          <w:rFonts w:hint="eastAsia"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957"/>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57"/>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33"/>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4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太仓市公安局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JSZC-320585-SZTZ-G2026-0016</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60"/>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2026年太仓市南沿江铁路技防服务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6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（十五）租赁和商务服务业。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地址：太仓市上海东路333号高展商务大厦1003室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hint="eastAsia"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bookmarkStart w:id="72" w:name="_GoBack"/>
            <w:r/>
            <w:bookmarkEnd w:id="72"/>
            <w:r>
              <w:rPr>
                <w:rFonts w:hint="eastAsia" w:ascii="宋体" w:hAnsi="宋体" w:cs="宋体"/>
                <w:b/>
                <w:bCs/>
                <w:color w:val="auto"/>
                <w:sz w:val="21"/>
                <w:szCs w:val="21"/>
                <w:highlight w:val="none"/>
                <w:u w:val="single"/>
                <w:shd w:val="clear" w:color="auto" w:fill="ffffff"/>
                <w:lang w:eastAsia="zh-CN" w:bidi="ar"/>
              </w:rPr>
              <w:t xml:space="preserve">2026年07月27日09点30分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时间：2026年07月27日09点30分（北京时间）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代理</w:t>
            </w:r>
            <w:r>
              <w:rPr>
                <w:rFonts w:hint="eastAsia" w:ascii="宋体" w:hAnsi="宋体" w:cs="宋体"/>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27"/>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w:t>
            </w:r>
            <w:r>
              <w:rPr>
                <w:rFonts w:hint="eastAsia" w:ascii="宋体" w:hAnsi="宋体" w:cs="宋体"/>
                <w:color w:val="auto"/>
                <w:sz w:val="21"/>
                <w:highlight w:val="none"/>
                <w:lang w:eastAsia="zh-CN"/>
              </w:rPr>
              <w:t xml:space="preserve">本项目代理服务费为：</w:t>
            </w:r>
            <w:r>
              <w:rPr>
                <w:rFonts w:hint="eastAsia" w:ascii="宋体" w:hAnsi="宋体" w:cs="宋体"/>
                <w:color w:val="auto"/>
                <w:sz w:val="21"/>
                <w:highlight w:val="none"/>
                <w:lang w:val="en-US" w:eastAsia="zh-CN"/>
              </w:rPr>
              <w:t xml:space="preserve">50420元</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25"/>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hint="eastAsia"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33"/>
        <w:numPr>
          <w:ilvl w:val="0"/>
          <w:numId w:val="0"/>
        </w:numPr>
        <w:jc w:val="center"/>
        <w:spacing w:before="0" w:after="0" w:line="480" w:lineRule="auto"/>
        <w:rPr>
          <w:rFonts w:hint="eastAsia"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43"/>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2026年太仓市南沿江铁路技防服务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JSZC-320585-SZTZ-G2026-0016</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2026年07月27日09点30分</w:t>
            </w:r>
            <w:r>
              <w:rPr>
                <w:rFonts w:hint="eastAsia" w:ascii="仿宋" w:hAnsi="仿宋" w:eastAsia="仿宋" w:cs="仿宋"/>
                <w:color w:val="auto"/>
                <w:sz w:val="21"/>
                <w:szCs w:val="21"/>
                <w:highlight w:val="none"/>
              </w:rPr>
              <w:t xml:space="preserve"> （北京时间）前递交投标文件。</w:t>
            </w:r>
            <w:r/>
          </w:p>
        </w:tc>
      </w:tr>
    </w:tbl>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一、项目基本情况</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JSZC-320585-SZTZ-G2026-0016</w:t>
      </w:r>
      <w:r>
        <w:rPr>
          <w:rFonts w:hint="eastAsia" w:ascii="仿宋" w:hAnsi="仿宋" w:eastAsia="仿宋" w:cs="仿宋"/>
          <w:color w:val="auto"/>
          <w:sz w:val="21"/>
          <w:szCs w:val="21"/>
          <w:highlight w:val="none"/>
        </w:rPr>
        <w:t xml:space="preserve">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2026年太仓市南沿江铁路技防服务</w:t>
      </w:r>
      <w:r>
        <w:rPr>
          <w:rFonts w:hint="eastAsia" w:ascii="仿宋" w:hAnsi="仿宋" w:eastAsia="仿宋" w:cs="仿宋"/>
          <w:color w:val="auto"/>
          <w:sz w:val="21"/>
          <w:szCs w:val="21"/>
          <w:highlight w:val="none"/>
        </w:rPr>
        <w:t xml:space="preserve">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eastAsia="zh-CN"/>
        </w:rPr>
        <w:t xml:space="preserve">422.000000万元</w:t>
      </w:r>
      <w:r>
        <w:rPr>
          <w:rFonts w:hint="eastAsia" w:ascii="仿宋" w:hAnsi="仿宋" w:eastAsia="仿宋" w:cs="仿宋"/>
          <w:color w:val="auto"/>
          <w:sz w:val="21"/>
          <w:szCs w:val="21"/>
          <w:highlight w:val="none"/>
        </w:rPr>
        <w:t xml:space="preserve">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422.000000万元</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firstLine="482"/>
        <w:jc w:val="both"/>
        <w:keepLines w:val="0"/>
        <w:keepNext w:val="0"/>
        <w:pageBreakBefore w:val="0"/>
        <w:spacing w:after="0" w:line="360" w:lineRule="auto"/>
        <w:widowControl w:val="off"/>
        <w:rPr>
          <w:rFonts w:hint="eastAsia" w:ascii="仿宋" w:hAnsi="仿宋" w:eastAsia="仿宋" w:cs="仿宋"/>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rPr>
        <w:t xml:space="preserve">采购需求：</w:t>
      </w:r>
      <w:r>
        <w:rPr>
          <w:rFonts w:hint="eastAsia" w:ascii="仿宋" w:hAnsi="仿宋" w:eastAsia="仿宋" w:cs="仿宋"/>
          <w:b w:val="0"/>
          <w:bCs/>
          <w:color w:val="auto"/>
          <w:sz w:val="21"/>
          <w:szCs w:val="21"/>
          <w:highlight w:val="none"/>
          <w:lang w:eastAsia="zh-CN"/>
        </w:rPr>
        <w:t xml:space="preserve">本项目以铁路沿线基础监控及高点监控等海量的视频资源为基础，通过人工智能视频智能分析，构建精细化的管理流程、协同化的服务模型，支撑铁路护路管理体系进一步完善，建成以智敏化、精细化、标准化为特征的铁路护路管理体系。实现铁路护路管理问题从事后处置、被动监管到事中告警、主动管理的提升，强化对重点区域重点时段突出问题的自动识别和优先处置，做到铁路护路管理问题快速判断、精准定位、有效治理、公正评价。提供高空瞭望、AI监控系统、多维感知监控智能分析系统、电子围栏和广播系统，用于实时视频数据以及违法行为的抓拍采集。</w:t>
      </w:r>
      <w:r>
        <w:rPr>
          <w:rFonts w:hint="eastAsia" w:ascii="仿宋" w:hAnsi="仿宋" w:eastAsia="仿宋" w:cs="仿宋"/>
          <w:color w:val="auto"/>
          <w:sz w:val="21"/>
          <w:szCs w:val="21"/>
          <w:highlight w:val="none"/>
          <w:lang w:eastAsia="zh-CN"/>
        </w:rPr>
        <w:t xml:space="preserve">具体内容详见第三部分项目需求</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合同签订后30日内完成项目整体部署，服务期自项目验收完成之日起36个月</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不接受</w:t>
      </w:r>
      <w:r/>
    </w:p>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二、申请人的资格要求</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2.具有良好的商业信誉和健全的财务会计制度</w:t>
      </w:r>
      <w:r>
        <w:rPr>
          <w:rFonts w:hint="eastAsia" w:ascii="仿宋" w:hAnsi="仿宋" w:eastAsia="仿宋" w:cs="仿宋"/>
          <w:color w:val="auto"/>
          <w:sz w:val="21"/>
          <w:szCs w:val="21"/>
          <w:highlight w:val="none"/>
          <w:lang w:eastAsia="zh-CN"/>
        </w:rPr>
        <w:t xml:space="preserve">；</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3.具有依法缴纳税收和社会保障资金的良好记录</w:t>
      </w:r>
      <w:r>
        <w:rPr>
          <w:rFonts w:hint="eastAsia" w:ascii="仿宋" w:hAnsi="仿宋" w:eastAsia="仿宋" w:cs="仿宋"/>
          <w:color w:val="auto"/>
          <w:sz w:val="21"/>
          <w:szCs w:val="21"/>
          <w:highlight w:val="none"/>
          <w:lang w:eastAsia="zh-CN"/>
        </w:rPr>
        <w:t xml:space="preserve">；</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4.具有履行合同所必需的设备和专业技术能力</w:t>
      </w:r>
      <w:r>
        <w:rPr>
          <w:rFonts w:hint="eastAsia" w:ascii="仿宋" w:hAnsi="仿宋" w:eastAsia="仿宋" w:cs="仿宋"/>
          <w:color w:val="auto"/>
          <w:sz w:val="21"/>
          <w:szCs w:val="21"/>
          <w:highlight w:val="none"/>
          <w:lang w:eastAsia="zh-CN"/>
        </w:rPr>
        <w:t xml:space="preserve">；</w:t>
      </w:r>
      <w:r/>
    </w:p>
    <w:p>
      <w:pPr>
        <w:ind w:firstLine="420"/>
        <w:jc w:val="both"/>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5.参加政府采购活动前三年内，在经营活动中没有重大违法记录</w:t>
      </w:r>
      <w:r>
        <w:rPr>
          <w:rFonts w:hint="eastAsia" w:ascii="仿宋" w:hAnsi="仿宋" w:eastAsia="仿宋" w:cs="仿宋"/>
          <w:color w:val="auto"/>
          <w:sz w:val="21"/>
          <w:szCs w:val="21"/>
          <w:highlight w:val="none"/>
          <w:lang w:eastAsia="zh-CN"/>
        </w:rPr>
        <w:t xml:space="preserve">；</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法律、行政法规规定的其他条件</w:t>
      </w:r>
      <w:r>
        <w:rPr>
          <w:rFonts w:hint="eastAsia" w:ascii="仿宋" w:hAnsi="仿宋" w:eastAsia="仿宋" w:cs="仿宋"/>
          <w:color w:val="auto"/>
          <w:sz w:val="21"/>
          <w:szCs w:val="21"/>
          <w:highlight w:val="none"/>
          <w:lang w:eastAsia="zh-CN"/>
        </w:rPr>
        <w:t xml:space="preserve">。</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963"/>
        <w:ind w:firstLine="422"/>
        <w:spacing w:before="0" w:beforeAutospacing="0" w:after="0" w:afterAutospacing="0" w:line="360" w:lineRule="auto"/>
        <w:rPr>
          <w:rFonts w:hint="eastAsia" w:ascii="仿宋" w:hAnsi="仿宋" w:eastAsia="仿宋" w:cs="仿宋"/>
          <w:b/>
          <w:bCs/>
          <w:color w:val="auto"/>
          <w:sz w:val="21"/>
          <w:szCs w:val="21"/>
          <w:highlight w:val="none"/>
        </w:rPr>
      </w:pPr>
      <w:r>
        <w:rPr>
          <w:rStyle w:val="969"/>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三、获取招标文件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34"/>
        <w:numPr>
          <w:ilvl w:val="1"/>
          <w:numId w:val="0"/>
        </w:numPr>
        <w:ind w:left="480"/>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四、提交投标文件截止时间、开标时间和地点</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2026年07月27日09点30分</w:t>
      </w:r>
      <w:r>
        <w:rPr>
          <w:rFonts w:hint="eastAsia" w:ascii="仿宋" w:hAnsi="仿宋" w:eastAsia="仿宋" w:cs="仿宋"/>
          <w:color w:val="auto"/>
          <w:sz w:val="21"/>
          <w:szCs w:val="21"/>
          <w:highlight w:val="none"/>
        </w:rPr>
        <w:t xml:space="preserve"> （北京时间）</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五、公告期限</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hint="eastAsia" w:ascii="仿宋" w:hAnsi="仿宋" w:eastAsia="仿宋" w:cs="仿宋"/>
          <w:color w:val="auto"/>
          <w:sz w:val="21"/>
          <w:szCs w:val="21"/>
          <w:highlight w:val="none"/>
        </w:rPr>
      </w:pPr>
      <w:r>
        <w:rPr>
          <w:rStyle w:val="969"/>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hint="eastAsia" w:ascii="仿宋" w:hAnsi="仿宋" w:eastAsia="仿宋" w:cs="仿宋"/>
          <w:color w:val="auto"/>
          <w:sz w:val="21"/>
          <w:szCs w:val="21"/>
          <w:highlight w:val="none"/>
        </w:rPr>
      </w:pPr>
      <w:r>
        <w:rPr>
          <w:rStyle w:val="969"/>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69"/>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69"/>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69"/>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69"/>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69"/>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69"/>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69"/>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hint="eastAsia" w:ascii="仿宋" w:hAnsi="仿宋" w:eastAsia="仿宋" w:cs="仿宋"/>
          <w:color w:val="auto"/>
          <w:sz w:val="21"/>
          <w:szCs w:val="21"/>
          <w:highlight w:val="none"/>
        </w:rPr>
      </w:pPr>
      <w:r>
        <w:rPr>
          <w:rStyle w:val="969"/>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69"/>
          <w:rFonts w:hint="eastAsia" w:ascii="仿宋" w:hAnsi="仿宋" w:eastAsia="仿宋" w:cs="仿宋"/>
          <w:color w:val="auto"/>
          <w:sz w:val="21"/>
          <w:szCs w:val="21"/>
          <w:highlight w:val="none"/>
          <w:lang w:bidi="ar"/>
        </w:rPr>
        <w:t xml:space="preserve">。</w:t>
      </w:r>
      <w:r/>
    </w:p>
    <w:p>
      <w:pPr>
        <w:numPr>
          <w:ilvl w:val="0"/>
          <w:numId w:val="4"/>
        </w:numPr>
        <w:ind w:firstLine="422"/>
        <w:spacing w:line="360" w:lineRule="auto"/>
        <w:rPr>
          <w:rStyle w:val="969"/>
          <w:rFonts w:hint="eastAsia" w:ascii="仿宋" w:hAnsi="仿宋" w:eastAsia="仿宋" w:cs="仿宋"/>
          <w:color w:val="auto"/>
          <w:sz w:val="21"/>
          <w:szCs w:val="21"/>
          <w:highlight w:val="none"/>
          <w:lang w:bidi="ar"/>
        </w:rPr>
      </w:pPr>
      <w:r>
        <w:rPr>
          <w:rStyle w:val="969"/>
          <w:rFonts w:hint="eastAsia" w:ascii="仿宋" w:hAnsi="仿宋" w:eastAsia="仿宋" w:cs="仿宋"/>
          <w:color w:val="auto"/>
          <w:sz w:val="21"/>
          <w:szCs w:val="21"/>
          <w:highlight w:val="none"/>
          <w:lang w:val="en-US" w:eastAsia="zh-CN" w:bidi="ar"/>
        </w:rPr>
        <w:t xml:space="preserve">代理</w:t>
      </w:r>
      <w:r>
        <w:rPr>
          <w:rStyle w:val="969"/>
          <w:rFonts w:hint="eastAsia" w:ascii="仿宋" w:hAnsi="仿宋" w:eastAsia="仿宋" w:cs="仿宋"/>
          <w:color w:val="auto"/>
          <w:sz w:val="21"/>
          <w:szCs w:val="21"/>
          <w:highlight w:val="none"/>
          <w:lang w:bidi="ar"/>
        </w:rPr>
        <w:t xml:space="preserve">服务费：</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w:t>
      </w:r>
      <w:r/>
    </w:p>
    <w:p>
      <w:pPr>
        <w:ind w:firstLine="420"/>
        <w:jc w:val="both"/>
        <w:keepLines w:val="0"/>
        <w:keepNext w:val="0"/>
        <w:pageBreakBefore w:val="0"/>
        <w:spacing w:line="360" w:lineRule="auto"/>
        <w:shd w:val="clear" w:color="auto" w:fill="ffffff"/>
        <w:rPr>
          <w:rStyle w:val="969"/>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highlight w:val="none"/>
          <w:lang w:eastAsia="zh-CN"/>
        </w:rPr>
        <w:t xml:space="preserve">本项目代理服务费为：</w:t>
      </w:r>
      <w:r>
        <w:rPr>
          <w:rFonts w:hint="eastAsia" w:ascii="仿宋" w:hAnsi="仿宋" w:eastAsia="仿宋" w:cs="仿宋"/>
          <w:color w:val="auto"/>
          <w:sz w:val="21"/>
          <w:highlight w:val="none"/>
          <w:lang w:val="en-US" w:eastAsia="zh-CN"/>
        </w:rPr>
        <w:t xml:space="preserve">50420.00元</w:t>
      </w:r>
      <w:r/>
    </w:p>
    <w:p>
      <w:pPr>
        <w:ind w:firstLine="420"/>
        <w:jc w:val="both"/>
        <w:keepLines w:val="0"/>
        <w:keepNext w:val="0"/>
        <w:pageBreakBefore w:val="0"/>
        <w:spacing w:line="360" w:lineRule="auto"/>
        <w:shd w:val="clear" w:color="auto" w:fill="ffffff"/>
        <w:rPr>
          <w:color w:val="auto"/>
          <w:sz w:val="21"/>
          <w:szCs w:val="21"/>
          <w:highlight w:val="none"/>
        </w:rPr>
      </w:pPr>
      <w:r>
        <w:rPr>
          <w:rStyle w:val="969"/>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934"/>
        <w:numPr>
          <w:ilvl w:val="1"/>
          <w:numId w:val="0"/>
        </w:numPr>
        <w:ind w:firstLine="420"/>
        <w:keepLines w:val="0"/>
        <w:keepNext w:val="0"/>
        <w:spacing w:before="0" w:after="0" w:line="360" w:lineRule="auto"/>
        <w:rPr>
          <w:rStyle w:val="969"/>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934"/>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9"/>
          <w:rFonts w:hint="eastAsia" w:ascii="仿宋" w:hAnsi="仿宋" w:eastAsia="仿宋" w:cs="仿宋"/>
          <w:b/>
          <w:bCs/>
          <w:color w:val="auto"/>
          <w:sz w:val="21"/>
          <w:szCs w:val="21"/>
          <w:highlight w:val="none"/>
        </w:rPr>
        <w:t xml:space="preserve">七、对本次招标提出询问，请按以下方式联系</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太仓市公安局</w:t>
      </w:r>
      <w:r>
        <w:rPr>
          <w:rFonts w:hint="eastAsia" w:ascii="仿宋" w:hAnsi="仿宋" w:eastAsia="仿宋" w:cs="仿宋"/>
          <w:color w:val="auto"/>
          <w:sz w:val="21"/>
          <w:szCs w:val="21"/>
          <w:highlight w:val="none"/>
        </w:rPr>
        <w:t xml:space="preserve">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太仓市上海东路58号</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张松 </w:t>
      </w:r>
      <w:r>
        <w:rPr>
          <w:rFonts w:hint="eastAsia" w:ascii="仿宋" w:hAnsi="仿宋" w:eastAsia="仿宋" w:cs="仿宋"/>
          <w:color w:val="auto"/>
          <w:sz w:val="21"/>
          <w:szCs w:val="21"/>
          <w:highlight w:val="none"/>
        </w:rPr>
        <w:t xml:space="preserve">     </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13913768707</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太仓市上海东路333号高展商务大厦1003室</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963"/>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hint="eastAsia" w:ascii="仿宋" w:hAnsi="仿宋" w:eastAsia="仿宋" w:cs="仿宋"/>
          <w:color w:val="auto"/>
          <w:sz w:val="21"/>
          <w:szCs w:val="21"/>
          <w:highlight w:val="none"/>
        </w:rPr>
      </w:pPr>
      <w:r>
        <w:rPr>
          <w:rStyle w:val="969"/>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Style w:val="978"/>
          <w:rFonts w:hint="eastAsia" w:ascii="宋体" w:hAnsi="宋体" w:eastAsia="宋体" w:cs="宋体"/>
          <w:color w:val="auto"/>
          <w:sz w:val="32"/>
          <w:szCs w:val="32"/>
          <w:highlight w:val="none"/>
        </w:rPr>
      </w:pPr>
      <w:r/>
      <w:bookmarkStart w:id="2" w:name="_Toc15584"/>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8"/>
          <w:rFonts w:hint="eastAsia" w:ascii="宋体" w:hAnsi="宋体" w:eastAsia="宋体" w:cs="宋体"/>
          <w:color w:val="auto"/>
          <w:sz w:val="32"/>
          <w:szCs w:val="32"/>
          <w:highlight w:val="none"/>
        </w:rPr>
      </w:pPr>
      <w:r>
        <w:rPr>
          <w:rStyle w:val="978"/>
          <w:rFonts w:hint="eastAsia" w:ascii="宋体" w:hAnsi="宋体" w:eastAsia="宋体" w:cs="宋体"/>
          <w:color w:val="auto"/>
          <w:sz w:val="32"/>
          <w:szCs w:val="32"/>
          <w:highlight w:val="none"/>
        </w:rPr>
        <w:t xml:space="preserve">第二章 投标人须知</w:t>
      </w:r>
      <w:bookmarkEnd w:id="2"/>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 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w:t>
      </w:r>
      <w:r>
        <w:rPr>
          <w:rFonts w:hint="eastAsia" w:ascii="宋体" w:hAnsi="宋体" w:cs="宋体"/>
          <w:color w:val="auto"/>
          <w:sz w:val="21"/>
          <w:szCs w:val="21"/>
          <w:highlight w:val="none"/>
          <w:lang w:eastAsia="zh-CN"/>
        </w:rPr>
        <w:t xml:space="preserve">技术要求偏离表</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keepLines w:val="0"/>
        <w:keepNext w:val="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cs="宋体"/>
          <w:color w:val="auto"/>
          <w:sz w:val="21"/>
          <w:szCs w:val="21"/>
          <w:highlight w:val="none"/>
        </w:rPr>
        <w:t xml:space="preserve">包括完成本项工作所需的一切费用，</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6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pStyle w:val="96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24.7.1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lang w:val="en-US" w:eastAsia="zh-CN"/>
        </w:rPr>
        <w:t xml:space="preserve">代理</w:t>
      </w:r>
      <w:r>
        <w:rPr>
          <w:rFonts w:hint="eastAsia" w:ascii="宋体" w:hAnsi="宋体" w:cs="宋体"/>
          <w:b/>
          <w:bCs/>
          <w:color w:val="auto"/>
          <w:sz w:val="21"/>
          <w:szCs w:val="21"/>
          <w:highlight w:val="none"/>
          <w:lang w:val="zh-CN"/>
        </w:rPr>
        <w:t xml:space="preserve">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由采购人支付代理</w:t>
      </w:r>
      <w:r>
        <w:rPr>
          <w:rFonts w:hint="eastAsia" w:ascii="宋体" w:hAnsi="宋体" w:cs="宋体"/>
          <w:color w:val="auto"/>
          <w:sz w:val="21"/>
          <w:szCs w:val="21"/>
          <w:highlight w:val="none"/>
          <w:lang w:val="zh-CN"/>
        </w:rPr>
        <w:t xml:space="preserve">服务费。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8"/>
          <w:rFonts w:hint="eastAsia" w:ascii="宋体" w:hAnsi="宋体" w:eastAsia="宋体" w:cs="宋体"/>
          <w:color w:val="auto"/>
          <w:sz w:val="32"/>
          <w:szCs w:val="32"/>
          <w:highlight w:val="none"/>
        </w:rPr>
      </w:pPr>
      <w:r/>
      <w:bookmarkStart w:id="4" w:name="_Toc28477"/>
      <w:r>
        <w:rPr>
          <w:rStyle w:val="978"/>
          <w:rFonts w:ascii="宋体" w:hAnsi="宋体" w:eastAsia="宋体" w:cs="宋体"/>
          <w:color w:val="auto"/>
          <w:sz w:val="32"/>
          <w:szCs w:val="32"/>
          <w:highlight w:val="none"/>
        </w:rPr>
        <w:br w:type="page" w:clear="all"/>
      </w:r>
      <w:r/>
    </w:p>
    <w:p>
      <w:pPr>
        <w:pStyle w:val="977"/>
        <w:jc w:val="center"/>
        <w:rPr>
          <w:color w:val="auto"/>
          <w:highlight w:val="none"/>
        </w:rPr>
      </w:pPr>
      <w:r>
        <w:rPr>
          <w:rStyle w:val="978"/>
          <w:rFonts w:hint="eastAsia" w:ascii="宋体" w:hAnsi="宋体" w:eastAsia="宋体" w:cs="宋体"/>
          <w:color w:val="auto"/>
          <w:sz w:val="32"/>
          <w:szCs w:val="32"/>
          <w:highlight w:val="none"/>
        </w:rPr>
        <w:t xml:space="preserve">第三章 </w:t>
      </w:r>
      <w:bookmarkEnd w:id="4"/>
      <w:r>
        <w:rPr>
          <w:rStyle w:val="978"/>
          <w:rFonts w:hint="eastAsia" w:ascii="宋体" w:hAnsi="宋体" w:eastAsia="宋体" w:cs="宋体"/>
          <w:color w:val="auto"/>
          <w:sz w:val="32"/>
          <w:szCs w:val="32"/>
          <w:highlight w:val="none"/>
        </w:rPr>
        <w:t xml:space="preserve">项目需求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太仓市公安局</w:t>
      </w:r>
      <w:r>
        <w:rPr>
          <w:rFonts w:hint="eastAsia" w:ascii="宋体" w:hAnsi="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2026年太仓市南沿江铁路技防服务</w:t>
      </w:r>
      <w:r>
        <w:rPr>
          <w:rFonts w:hint="eastAsia" w:ascii="宋体" w:hAnsi="宋体" w:cs="宋体"/>
          <w:color w:val="auto"/>
          <w:sz w:val="21"/>
          <w:szCs w:val="21"/>
          <w:highlight w:val="none"/>
        </w:rPr>
        <w:t xml:space="preserve">进行国内公开招标。欢迎符合资格条件的供应商前来报名参加投标。</w:t>
      </w:r>
      <w:r/>
    </w:p>
    <w:p>
      <w:pPr>
        <w:pStyle w:val="947"/>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JSZC-320585-SZTZ-G2026-0016</w:t>
      </w:r>
      <w:r/>
    </w:p>
    <w:p>
      <w:pPr>
        <w:ind w:firstLine="422"/>
        <w:spacing w:line="360" w:lineRule="auto"/>
        <w:tabs>
          <w:tab w:val="left" w:pos="3600" w:leader="none"/>
        </w:tabs>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2026年太仓市南沿江铁路技防服务</w:t>
      </w:r>
      <w:r/>
    </w:p>
    <w:p>
      <w:pPr>
        <w:ind w:firstLine="422"/>
        <w:spacing w:line="360" w:lineRule="auto"/>
        <w:tabs>
          <w:tab w:val="left" w:pos="3600" w:leader="none"/>
        </w:tabs>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合同签订后30日内完成项目整体部署，服务期自项目验收完成之日起36个月</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eastAsia="zh-CN"/>
        </w:rPr>
        <w:t xml:space="preserve">422.000000万元</w:t>
      </w:r>
      <w:r>
        <w:rPr>
          <w:rFonts w:hint="eastAsia" w:ascii="宋体" w:hAnsi="宋体" w:cs="宋体"/>
          <w:color w:val="auto"/>
          <w:sz w:val="21"/>
          <w:szCs w:val="21"/>
          <w:highlight w:val="none"/>
        </w:rPr>
        <w:t xml:space="preserve"> </w:t>
      </w:r>
      <w:r/>
    </w:p>
    <w:p>
      <w:pPr>
        <w:ind w:firstLine="422"/>
        <w:spacing w:line="360" w:lineRule="auto"/>
        <w:tabs>
          <w:tab w:val="left" w:pos="3600" w:leader="none"/>
        </w:tabs>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5、最高限价：</w:t>
      </w:r>
      <w:r>
        <w:rPr>
          <w:rFonts w:hint="eastAsia" w:ascii="宋体" w:hAnsi="宋体" w:cs="宋体"/>
          <w:color w:val="auto"/>
          <w:sz w:val="21"/>
          <w:szCs w:val="21"/>
          <w:highlight w:val="none"/>
          <w:lang w:eastAsia="zh-CN"/>
        </w:rPr>
        <w:t xml:space="preserve">422.000000万元</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6、服务地点：</w:t>
      </w:r>
      <w:r>
        <w:rPr>
          <w:rFonts w:hint="eastAsia" w:ascii="宋体" w:hAnsi="宋体" w:cs="宋体"/>
          <w:color w:val="auto"/>
          <w:sz w:val="21"/>
          <w:szCs w:val="21"/>
          <w:highlight w:val="none"/>
        </w:rPr>
        <w:t xml:space="preserve">采购方指定</w:t>
      </w:r>
      <w:r/>
    </w:p>
    <w:p>
      <w:pPr>
        <w:ind w:firstLine="422"/>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firstLine="422"/>
        <w:jc w:val="both"/>
        <w:spacing w:line="360" w:lineRule="auto"/>
        <w:widowControl w:val="off"/>
        <w:rPr>
          <w:rFonts w:hint="eastAsia" w:ascii="宋体" w:hAnsi="宋体" w:eastAsia="宋体" w:cs="Times New Roman"/>
          <w:b/>
          <w:color w:val="auto"/>
          <w:sz w:val="21"/>
          <w:szCs w:val="21"/>
          <w:highlight w:val="none"/>
        </w:rPr>
      </w:pPr>
      <w:r/>
      <w:bookmarkStart w:id="5" w:name="_Toc417024234"/>
      <w:r/>
      <w:bookmarkStart w:id="6" w:name="_Toc40449968"/>
      <w:r/>
      <w:bookmarkStart w:id="7" w:name="_Toc361054516"/>
      <w:r/>
      <w:bookmarkStart w:id="8" w:name="_Toc234085236"/>
      <w:r/>
      <w:bookmarkStart w:id="9" w:name="_Toc142194272"/>
      <w:r/>
      <w:bookmarkStart w:id="10" w:name="_Toc25002"/>
      <w:r>
        <w:rPr>
          <w:rFonts w:hint="eastAsia" w:ascii="宋体" w:hAnsi="宋体" w:eastAsia="宋体" w:cs="Times New Roman"/>
          <w:b/>
          <w:color w:val="auto"/>
          <w:sz w:val="21"/>
          <w:szCs w:val="21"/>
          <w:highlight w:val="none"/>
        </w:rPr>
        <w:t xml:space="preserve">（一）本</w:t>
      </w:r>
      <w:r>
        <w:rPr>
          <w:rFonts w:ascii="宋体" w:hAnsi="宋体" w:eastAsia="宋体" w:cs="Times New Roman"/>
          <w:b/>
          <w:color w:val="auto"/>
          <w:sz w:val="21"/>
          <w:szCs w:val="21"/>
          <w:highlight w:val="none"/>
        </w:rPr>
        <w:t xml:space="preserve">项目</w:t>
      </w:r>
      <w:r>
        <w:rPr>
          <w:rFonts w:hint="eastAsia" w:ascii="宋体" w:hAnsi="宋体" w:eastAsia="宋体" w:cs="Times New Roman"/>
          <w:b/>
          <w:color w:val="auto"/>
          <w:sz w:val="21"/>
          <w:szCs w:val="21"/>
          <w:highlight w:val="none"/>
        </w:rPr>
        <w:t xml:space="preserve">服务</w:t>
      </w:r>
      <w:r>
        <w:rPr>
          <w:rFonts w:ascii="宋体" w:hAnsi="宋体" w:eastAsia="宋体" w:cs="Times New Roman"/>
          <w:b/>
          <w:color w:val="auto"/>
          <w:sz w:val="21"/>
          <w:szCs w:val="21"/>
          <w:highlight w:val="none"/>
        </w:rPr>
        <w:t xml:space="preserve">内容</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铁路沿线智能管控系统，采用先进的视频AI监控技术，基于运营商系统的IP网络，构建数字化、智能化、分布式的网络视频监控系统，实现视频网络资源和信息资源共享和整合。在铁路横跨的公路、小路，采用卡口对过往机动车以及前排司乘人员的信息进行采集，同时对于非机动车及行人通行方向单一的道路隘口，采用高倍人像抓拍机进行覆盖，实现过往人员的无死角覆盖。</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在铁路沿线的检修口、疏散通道、通讯基站等重要区域采用低照度具备警戒功能的摄像机进行监控，设备可自行对目标区域内的人、车进行分类报警，并且可显著降低因环境因素导致的误报。</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在铁路横跨的河流支流等处，采用专用的船舶抓拍摄像机，可对过往船只自动进行图片抓拍并上传至中心存档。</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外场设备包括多维感知智能分析系统平台、电子围栏、AI补盲监控、、高空瞭望、语音对讲广播、综合管道及相关配套设施等。</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除定点设备进行防范以外，本系统还包含一套巡防系统，可将巡检人员日常的巡检记录存档。</w:t>
      </w:r>
      <w:r/>
    </w:p>
    <w:p>
      <w:pPr>
        <w:ind w:firstLine="420"/>
        <w:jc w:val="both"/>
        <w:spacing w:line="360" w:lineRule="auto"/>
        <w:widowControl w:val="off"/>
        <w:rPr>
          <w:rFonts w:ascii="Calibri" w:hAnsi="Calibri" w:eastAsia="宋体" w:cs="Times New Roman"/>
          <w:b/>
          <w:bCs/>
          <w:color w:val="auto"/>
          <w:sz w:val="21"/>
          <w:szCs w:val="21"/>
          <w:highlight w:val="none"/>
        </w:rPr>
      </w:pPr>
      <w:r>
        <w:rPr>
          <w:rFonts w:hint="eastAsia" w:ascii="宋体" w:hAnsi="宋体" w:eastAsia="宋体" w:cs="Times New Roman"/>
          <w:color w:val="auto"/>
          <w:sz w:val="21"/>
          <w:szCs w:val="21"/>
          <w:highlight w:val="none"/>
        </w:rPr>
        <w:t xml:space="preserve">本次招标是对沪通铁路太仓段铁路沿线及与铁路被交通道（包括地面道路通道、主要河流通道）实施全面管控，遵循“实时掌控”原则，采用点、线、面的全程管控方式。</w:t>
      </w:r>
      <w:r/>
    </w:p>
    <w:p>
      <w:pPr>
        <w:ind w:firstLine="422"/>
        <w:jc w:val="both"/>
        <w:spacing w:line="360" w:lineRule="auto"/>
        <w:widowControl w:val="off"/>
        <w:rPr>
          <w:rFonts w:ascii="Calibri" w:hAnsi="Calibri" w:eastAsia="宋体" w:cs="Times New Roman"/>
          <w:b/>
          <w:bCs/>
          <w:color w:val="auto"/>
          <w:sz w:val="21"/>
          <w:szCs w:val="21"/>
          <w:highlight w:val="none"/>
        </w:rPr>
      </w:pPr>
      <w:r>
        <w:rPr>
          <w:rFonts w:hint="eastAsia" w:ascii="Calibri" w:hAnsi="Calibri" w:eastAsia="宋体" w:cs="Times New Roman"/>
          <w:b/>
          <w:bCs/>
          <w:color w:val="auto"/>
          <w:sz w:val="21"/>
          <w:szCs w:val="21"/>
          <w:highlight w:val="none"/>
        </w:rPr>
        <w:t xml:space="preserve">（二）服务清单</w:t>
      </w:r>
      <w:r/>
    </w:p>
    <w:tbl>
      <w:tblPr>
        <w:tblStyle w:val="943"/>
        <w:tblW w:w="94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81"/>
        <w:gridCol w:w="4662"/>
        <w:gridCol w:w="850"/>
        <w:gridCol w:w="1451"/>
      </w:tblGrid>
      <w:tr>
        <w:trPr>
          <w:jc w:val="center"/>
          <w:trHeight w:val="499"/>
        </w:trPr>
        <w:tc>
          <w:tcPr>
            <w:gridSpan w:val="4"/>
            <w:tcBorders>
              <w:top w:val="single" w:color="auto" w:sz="4" w:space="0"/>
              <w:left w:val="single" w:color="auto" w:sz="4" w:space="0"/>
              <w:bottom w:val="single" w:color="auto" w:sz="4" w:space="0"/>
              <w:right w:val="single" w:color="auto" w:sz="4" w:space="0"/>
            </w:tcBorders>
            <w:tcW w:w="9444"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一、高空瞭望</w:t>
            </w:r>
            <w:r>
              <w:rPr>
                <w:rFonts w:hint="eastAsia" w:ascii="宋体" w:hAnsi="宋体" w:eastAsia="宋体" w:cs="宋体"/>
                <w:b/>
                <w:bCs/>
                <w:color w:val="auto"/>
                <w:sz w:val="21"/>
                <w:szCs w:val="21"/>
                <w:highlight w:val="none"/>
              </w:rPr>
              <w:t xml:space="preserve">系统</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项目内容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数量</w:t>
            </w:r>
            <w:r/>
          </w:p>
        </w:tc>
      </w:tr>
      <w:tr>
        <w:trPr>
          <w:jc w:val="center"/>
          <w:trHeight w:val="551"/>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高空瞭望</w:t>
            </w:r>
            <w:r>
              <w:rPr>
                <w:rFonts w:hint="eastAsia" w:ascii="宋体" w:hAnsi="宋体" w:eastAsia="宋体" w:cs="宋体"/>
                <w:color w:val="auto"/>
                <w:sz w:val="21"/>
                <w:szCs w:val="21"/>
                <w:highlight w:val="none"/>
              </w:rPr>
              <w:t xml:space="preserve">云台</w:t>
            </w:r>
            <w:r>
              <w:rPr>
                <w:rFonts w:ascii="宋体" w:hAnsi="宋体" w:eastAsia="宋体" w:cs="宋体"/>
                <w:color w:val="auto"/>
                <w:sz w:val="21"/>
                <w:szCs w:val="21"/>
                <w:highlight w:val="none"/>
              </w:rPr>
              <w:t xml:space="preserve">视频服务</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高空铁塔资源服务</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视频存储服务</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99"/>
        </w:trPr>
        <w:tc>
          <w:tcPr>
            <w:gridSpan w:val="2"/>
            <w:tcBorders>
              <w:top w:val="single" w:color="auto" w:sz="4" w:space="0"/>
              <w:left w:val="single" w:color="auto" w:sz="4" w:space="0"/>
              <w:bottom w:val="single" w:color="auto" w:sz="4" w:space="0"/>
              <w:right w:val="none" w:color="000000" w:sz="4" w:space="0"/>
            </w:tcBorders>
            <w:tcW w:w="7143"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二、电子围栏</w:t>
            </w:r>
            <w:r>
              <w:rPr>
                <w:rFonts w:hint="eastAsia" w:ascii="宋体" w:hAnsi="宋体" w:eastAsia="宋体" w:cs="宋体"/>
                <w:b/>
                <w:bCs/>
                <w:color w:val="auto"/>
                <w:sz w:val="21"/>
                <w:szCs w:val="21"/>
                <w:highlight w:val="none"/>
              </w:rPr>
              <w:t xml:space="preserve">系统</w:t>
            </w:r>
            <w:r/>
          </w:p>
        </w:tc>
        <w:tc>
          <w:tcPr>
            <w:tcBorders>
              <w:top w:val="none" w:color="000000" w:sz="4" w:space="0"/>
              <w:left w:val="none" w:color="000000" w:sz="4" w:space="0"/>
              <w:bottom w:val="single" w:color="auto" w:sz="4" w:space="0"/>
              <w:right w:val="none" w:color="000000" w:sz="4" w:space="0"/>
            </w:tcBorders>
            <w:tcW w:w="850"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　</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项目内容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数量</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w:t>
            </w:r>
            <w:r>
              <w:rPr>
                <w:rFonts w:ascii="宋体" w:hAnsi="宋体" w:eastAsia="宋体" w:cs="宋体"/>
                <w:color w:val="auto"/>
                <w:sz w:val="21"/>
                <w:szCs w:val="21"/>
                <w:highlight w:val="none"/>
              </w:rPr>
              <w:t xml:space="preserve">围栏</w:t>
            </w:r>
            <w:r>
              <w:rPr>
                <w:rFonts w:hint="eastAsia" w:ascii="宋体" w:hAnsi="宋体" w:eastAsia="宋体" w:cs="宋体"/>
                <w:color w:val="auto"/>
                <w:sz w:val="21"/>
                <w:szCs w:val="21"/>
                <w:highlight w:val="none"/>
              </w:rPr>
              <w:t xml:space="preserve">系统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99"/>
        </w:trPr>
        <w:tc>
          <w:tcPr>
            <w:gridSpan w:val="2"/>
            <w:tcBorders>
              <w:top w:val="single" w:color="auto" w:sz="4" w:space="0"/>
              <w:left w:val="single" w:color="auto" w:sz="4" w:space="0"/>
              <w:bottom w:val="single" w:color="auto" w:sz="4" w:space="0"/>
              <w:right w:val="none" w:color="000000" w:sz="4" w:space="0"/>
            </w:tcBorders>
            <w:tcW w:w="7143"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三、语音广播系统</w:t>
            </w:r>
            <w:r/>
          </w:p>
        </w:tc>
        <w:tc>
          <w:tcPr>
            <w:tcBorders>
              <w:top w:val="none" w:color="000000" w:sz="4" w:space="0"/>
              <w:left w:val="none" w:color="000000" w:sz="4" w:space="0"/>
              <w:bottom w:val="single" w:color="auto" w:sz="4" w:space="0"/>
              <w:right w:val="none" w:color="000000" w:sz="4" w:space="0"/>
            </w:tcBorders>
            <w:tcW w:w="850"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　</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数量</w:t>
            </w:r>
            <w:r/>
          </w:p>
        </w:tc>
      </w:tr>
      <w:tr>
        <w:trPr>
          <w:jc w:val="center"/>
          <w:trHeight w:val="499"/>
        </w:trPr>
        <w:tc>
          <w:tcPr>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语音广播系统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499"/>
        </w:trPr>
        <w:tc>
          <w:tcPr>
            <w:gridSpan w:val="4"/>
            <w:shd w:val="clear" w:color="000000" w:fill="ffffff"/>
            <w:tcBorders>
              <w:top w:val="single" w:color="auto" w:sz="4" w:space="0"/>
              <w:left w:val="single" w:color="auto" w:sz="4" w:space="0"/>
              <w:bottom w:val="single" w:color="auto" w:sz="4" w:space="0"/>
              <w:right w:val="single" w:color="auto" w:sz="4" w:space="0"/>
            </w:tcBorders>
            <w:tcW w:w="9444"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四、报警联动监控系统</w:t>
            </w:r>
            <w:r/>
          </w:p>
        </w:tc>
      </w:tr>
      <w:tr>
        <w:trPr>
          <w:jc w:val="center"/>
          <w:trHeight w:val="555"/>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项目内容</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数量</w:t>
            </w:r>
            <w:r/>
          </w:p>
        </w:tc>
      </w:tr>
      <w:tr>
        <w:trPr>
          <w:jc w:val="center"/>
          <w:trHeight w:val="465"/>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区域AI监控预警</w:t>
            </w:r>
            <w:r>
              <w:rPr>
                <w:rFonts w:hint="eastAsia" w:ascii="宋体" w:hAnsi="宋体" w:eastAsia="宋体" w:cs="宋体"/>
                <w:color w:val="auto"/>
                <w:sz w:val="21"/>
                <w:szCs w:val="21"/>
                <w:highlight w:val="none"/>
              </w:rPr>
              <w:t xml:space="preserve">视频</w:t>
            </w:r>
            <w:r>
              <w:rPr>
                <w:rFonts w:ascii="宋体" w:hAnsi="宋体" w:eastAsia="宋体" w:cs="宋体"/>
                <w:color w:val="auto"/>
                <w:sz w:val="21"/>
                <w:szCs w:val="21"/>
                <w:highlight w:val="none"/>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200</w:t>
            </w:r>
            <w:r/>
          </w:p>
        </w:tc>
      </w:tr>
      <w:tr>
        <w:trPr>
          <w:jc w:val="center"/>
          <w:trHeight w:val="416"/>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视频存储服务</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16"/>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综合管道及相关配套设施</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499"/>
        </w:trPr>
        <w:tc>
          <w:tcPr>
            <w:gridSpan w:val="4"/>
            <w:shd w:val="clear" w:color="000000" w:fill="ffffff"/>
            <w:tcBorders>
              <w:top w:val="single" w:color="auto" w:sz="4" w:space="0"/>
              <w:left w:val="single" w:color="auto" w:sz="4" w:space="0"/>
              <w:bottom w:val="single" w:color="auto" w:sz="4" w:space="0"/>
              <w:right w:val="single" w:color="auto" w:sz="4" w:space="0"/>
            </w:tcBorders>
            <w:tcW w:w="9444"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五、软件国产信创升级</w:t>
            </w:r>
            <w:r/>
          </w:p>
        </w:tc>
      </w:tr>
      <w:tr>
        <w:trPr>
          <w:jc w:val="center"/>
          <w:trHeight w:val="551"/>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项目内容</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数量</w:t>
            </w:r>
            <w:r/>
          </w:p>
        </w:tc>
      </w:tr>
      <w:tr>
        <w:trPr>
          <w:jc w:val="center"/>
          <w:trHeight w:val="545"/>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太仓市智慧护路GIS集成指挥平台</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99"/>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智慧巡防勤务通小程序</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99"/>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算法模型升级</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563"/>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多模态大模型算法服务</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618"/>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综合安防管理平台ARM信创升级</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503"/>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视图算力扩容</w:t>
            </w:r>
            <w:r>
              <w:rPr>
                <w:rFonts w:hint="eastAsia" w:ascii="宋体" w:hAnsi="宋体" w:eastAsia="宋体" w:cs="宋体"/>
                <w:color w:val="auto"/>
                <w:sz w:val="21"/>
                <w:szCs w:val="21"/>
                <w:highlight w:val="none"/>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r>
      <w:tr>
        <w:trPr>
          <w:jc w:val="center"/>
          <w:trHeight w:val="612"/>
        </w:trPr>
        <w:tc>
          <w:tcPr>
            <w:shd w:val="clear" w:color="000000" w:fill="ffffff"/>
            <w:tcBorders>
              <w:top w:val="none" w:color="000000" w:sz="4" w:space="0"/>
              <w:left w:val="single" w:color="auto" w:sz="4" w:space="0"/>
              <w:bottom w:val="single" w:color="auto" w:sz="4" w:space="0"/>
              <w:right w:val="single" w:color="auto" w:sz="4" w:space="0"/>
            </w:tcBorders>
            <w:tcW w:w="24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46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大模型算力</w:t>
            </w:r>
            <w:r>
              <w:rPr>
                <w:rFonts w:hint="eastAsia" w:ascii="宋体" w:hAnsi="宋体" w:eastAsia="宋体" w:cs="宋体"/>
                <w:color w:val="auto"/>
                <w:sz w:val="21"/>
                <w:szCs w:val="21"/>
                <w:highlight w:val="none"/>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r>
    </w:tbl>
    <w:p>
      <w:pPr>
        <w:ind w:left="0" w:firstLine="422"/>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三、技术要求</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rPr>
          <w:rFonts w:hint="eastAsia" w:ascii="宋体" w:hAnsi="宋体" w:eastAsia="宋体" w:cs="宋体"/>
          <w:b/>
          <w:bCs/>
          <w:color w:val="auto"/>
          <w:sz w:val="21"/>
          <w:szCs w:val="21"/>
          <w:highlight w:val="none"/>
        </w:rPr>
        <w:t xml:space="preserve">高空瞭望系统</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高空瞭望云台视频服务技术要求</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（1）摄像机靶面尺寸不小于1/1.8英寸，视频输出支持1920×1080@25fps，分辨力不小于1100TVL。</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bidi="ar-SA"/>
        </w:rPr>
        <w:t xml:space="preserve">白天可视距离5000米，夜间开启激光器后，可看清距离设备2000米人体轮廓。</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（3）激光功率不小于20W。</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bidi="ar-SA"/>
        </w:rPr>
        <w:t xml:space="preserve">当距离设备2米范围内有人或物体移动时，激光自动关闭。</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bidi="ar-SA"/>
        </w:rPr>
        <w:t xml:space="preserve">支持最低照度可达彩色0.0002 lx，黑白0.0001 lx。</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（6）信噪比≥65dB，照度适应范围不小于145dB。</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（7）支持ABF按键、IE浏览器或客户端软件一键聚焦。</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bidi="ar-SA"/>
        </w:rPr>
        <w:t xml:space="preserve">支持水平手控速度不小于40°/S，云台定位准确度小于等于0.01°。</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（9）10水平旋转范围为360°连续旋转，垂直旋转范围为-45°~45°。</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（10）支持1个RJ45网络接口，1路CVBS视频输出接口，1个RS-485接口，7路报警输入接口、2路报警输出接口。</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（11）支持300个预置位，可按照所设置的预置位完成不小于8条巡航路径，每条巡航路径可设置不小于32个预置点。</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（12）支持检出两眼瞳距20像素点以上的人脸图片。</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bidi="ar-SA"/>
        </w:rPr>
        <w:t xml:space="preserve">支持检测多种表情的人脸图片，同时可对遮挡眉毛及眼睛、戴透明眼镜、戴墨镜、戴彩色眼镜、戴帽子、戴头戴式耳机方式的人脸进行检测。</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（14）数据查询功能：云台可查询设备出厂至今运行时间、累计上电运行时间、环境温度高于40℃条件下累计运行时间、环境温度低于-20 ℃条件下累计运行时间、水平及垂直旋转圈数、用户累计接入时间、机芯光圈开合次数、ICR切换次数、机芯总运行时间、zoom电机的总步长、focus电机走的总步长，可通过IE浏览器或客户端软件显示设备cpu、内存的状态信息。</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（15）可通过IE浏览器将视频编码格式设置为H.264、H.265、MJPEG；可将H.264格式设置为Baseline/Main/High Profile。</w:t>
      </w:r>
      <w:r/>
    </w:p>
    <w:p>
      <w:pPr>
        <w:ind w:left="0" w:firstLine="422"/>
        <w:jc w:val="both"/>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2、高空铁塔资源服务</w:t>
      </w:r>
      <w:r/>
    </w:p>
    <w:p>
      <w:pPr>
        <w:pStyle w:val="1051"/>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提供10个铁塔高空挂载及配套资源使用服务。</w:t>
      </w:r>
      <w:r/>
    </w:p>
    <w:p>
      <w:pPr>
        <w:pStyle w:val="1051"/>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提供每天24小时的不间断的电力供应服务。</w:t>
      </w:r>
      <w:r/>
    </w:p>
    <w:p>
      <w:pPr>
        <w:pStyle w:val="1051"/>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提供配套设施巡检，提供全天候的配套设施维护、配合作业、机房环境保障和应急情况处置服务。</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视频存储服务</w:t>
      </w:r>
      <w:r/>
    </w:p>
    <w:p>
      <w:pPr>
        <w:pStyle w:val="1051"/>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采用集中式存储，应能有效解决智能化、高清化、海量视频和图片的存储和管理，具有安全冗余和灾备能力。视频存储时间31天，图片存储大于365天。</w:t>
      </w:r>
      <w:r/>
    </w:p>
    <w:p>
      <w:pPr>
        <w:ind w:firstLine="422"/>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（二）电子围栏系统</w:t>
      </w:r>
      <w:r/>
    </w:p>
    <w:p>
      <w:pPr>
        <w:ind w:firstLine="422"/>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rPr>
        <w:t xml:space="preserve">服务内容</w:t>
      </w:r>
      <w:r/>
    </w:p>
    <w:tbl>
      <w:tblPr>
        <w:tblStyle w:val="943"/>
        <w:tblW w:w="95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11"/>
        <w:gridCol w:w="3026"/>
        <w:gridCol w:w="1080"/>
        <w:gridCol w:w="3631"/>
      </w:tblGrid>
      <w:tr>
        <w:trPr>
          <w:jc w:val="center"/>
          <w:trHeight w:val="285"/>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数量</w:t>
            </w:r>
            <w:r/>
          </w:p>
        </w:tc>
      </w:tr>
      <w:tr>
        <w:trPr>
          <w:jc w:val="center"/>
          <w:trHeight w:val="480"/>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张力围栏控制器(双防区）</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电源</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四道双防区控制杆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防水箱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中间支撑杆</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终端受力杆</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35</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转向滑轮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张力收紧器</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128</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张力弹簧</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128</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终端杆绝缘子</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128</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多股张力线</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5000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束线器（铝套）</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800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警示牌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块</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120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警示灯（室外）</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支架</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接地桩</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铜接线端子</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避雷接地线</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光纤收发器</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交换机</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报警软件</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电源线</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1500</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光纤</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3000</w:t>
            </w:r>
            <w:r/>
          </w:p>
        </w:tc>
      </w:tr>
      <w:tr>
        <w:trPr>
          <w:jc w:val="center"/>
          <w:trHeight w:val="285"/>
        </w:trPr>
        <w:tc>
          <w:tcPr>
            <w:tcBorders>
              <w:top w:val="none" w:color="000000" w:sz="4" w:space="0"/>
              <w:left w:val="single" w:color="auto" w:sz="4" w:space="0"/>
              <w:bottom w:val="single" w:color="auto" w:sz="4" w:space="0"/>
              <w:right w:val="single" w:color="auto" w:sz="4" w:space="0"/>
            </w:tcBorders>
            <w:tcW w:w="181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302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网线</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箱</w:t>
            </w:r>
            <w:r/>
          </w:p>
        </w:tc>
        <w:tc>
          <w:tcPr>
            <w:tcBorders>
              <w:top w:val="none" w:color="000000" w:sz="4" w:space="0"/>
              <w:left w:val="none" w:color="000000" w:sz="4" w:space="0"/>
              <w:bottom w:val="single" w:color="auto" w:sz="4" w:space="0"/>
              <w:right w:val="single" w:color="auto" w:sz="4" w:space="0"/>
            </w:tcBorders>
            <w:tcW w:w="36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r>
    </w:tbl>
    <w:p>
      <w:pPr>
        <w:ind w:left="0"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2、张力围栏控制器技术要求</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（1）5．0寸以上液晶触控屏； </w:t>
      </w:r>
      <w:r/>
    </w:p>
    <w:p>
      <w:pPr>
        <w:numPr>
          <w:ilvl w:val="0"/>
          <w:numId w:val="5"/>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拉紧、松弛、断线报警可精确定位到某根线；</w:t>
      </w:r>
      <w:r/>
    </w:p>
    <w:p>
      <w:pPr>
        <w:numPr>
          <w:ilvl w:val="0"/>
          <w:numId w:val="5"/>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防区可设置24小时禁止撤防模式。 </w:t>
      </w:r>
      <w:r/>
    </w:p>
    <w:p>
      <w:pPr>
        <w:ind w:left="0"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3、四道双防区控制杆技术参数（16套）</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（1）张力探测杆内置万向型传感器，可全方位探测拉力值，精度为±1N； </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内置收紧电机，应无需手动紧线，可控制电机收紧或放松张力线。可设置警戒张力值，由于环境、气候等变化导致张力值变化，应可电动电机自动收紧或放松张力线； </w:t>
      </w:r>
      <w:r/>
    </w:p>
    <w:p>
      <w:pPr>
        <w:ind w:left="0"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4、报警软件技术要求</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防区报警时，弹框提示报警内容，报警提示框内应显示当前报警防区的地图和报警点的位置，如防区绑定网络摄像机，则报警提示框内应显示当前报警防区的视频画面；（以检测报告为准）</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（2）周界地图防区，用户可自由绘制，可绘制圆点与直线，报警时可直观呈现出报警防区范围；</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（3）支持LED电子地图联动与视频联动；</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每个防区可同时绑定4个网络摄像机，当防区报警时主界面可同时弹出对应防区的4路图像，同时也可多个防区绑定1个网络摄像机； </w:t>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rPr>
          <w:rFonts w:ascii="宋体" w:hAnsi="宋体" w:eastAsia="宋体" w:cs="宋体"/>
          <w:b/>
          <w:bCs/>
          <w:color w:val="auto"/>
          <w:sz w:val="21"/>
          <w:szCs w:val="21"/>
          <w:highlight w:val="none"/>
        </w:rPr>
        <w:t xml:space="preserve">语音广播系统</w:t>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服务内容</w:t>
      </w:r>
      <w:r/>
    </w:p>
    <w:tbl>
      <w:tblPr>
        <w:tblStyle w:val="943"/>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6"/>
        <w:gridCol w:w="5130"/>
        <w:gridCol w:w="1405"/>
        <w:gridCol w:w="1205"/>
      </w:tblGrid>
      <w:tr>
        <w:trPr>
          <w:jc w:val="center"/>
          <w:trHeight w:val="285"/>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数量</w:t>
            </w:r>
            <w:r/>
          </w:p>
        </w:tc>
      </w:tr>
      <w:tr>
        <w:trPr>
          <w:jc w:val="center"/>
          <w:trHeight w:val="480"/>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服务器</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系统软件</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寻呼讲话</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电源管理</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IP网络对讲终端</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16</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电源线</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500</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控制线缆</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箱</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PVC管辅材</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150</w:t>
            </w:r>
            <w:r/>
          </w:p>
        </w:tc>
      </w:tr>
      <w:tr>
        <w:trPr>
          <w:jc w:val="center"/>
          <w:trHeight w:val="285"/>
        </w:trPr>
        <w:tc>
          <w:tcPr>
            <w:tcBorders>
              <w:top w:val="none" w:color="000000"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51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辅材</w:t>
            </w:r>
            <w:r/>
          </w:p>
        </w:tc>
        <w:tc>
          <w:tcPr>
            <w:tcBorders>
              <w:top w:val="none" w:color="000000" w:sz="4" w:space="0"/>
              <w:left w:val="none" w:color="000000" w:sz="4" w:space="0"/>
              <w:bottom w:val="single" w:color="auto" w:sz="4" w:space="0"/>
              <w:right w:val="single" w:color="auto" w:sz="4" w:space="0"/>
            </w:tcBorders>
            <w:tcW w:w="14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r>
    </w:tbl>
    <w:p>
      <w:pPr>
        <w:ind w:left="0"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2、服务器技术参数</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接收外部音频信号并采集至服务器节目频道，由服务器统一播放至前端各网络音频终端。</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系统具有备份机制，当主服务器出现故障时可实现无缝切换。设备标配双网络接口，支持交换扩展模式及冗余备份模式，全速率连接最高达1000M，支持跨网段和跨路由模式。支持主次服务器模式应用，次服务器做托管应用。</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（3）支持多台服务器分布式布署与服务器集群架构。</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（4）最大可管理300个终端设备，支持最大150组差异化的实时任务。</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系统软件技术参数</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支持定时节目播放：可设置定时任务，系统可根据任务计划执行定时、定点的全自动播出节目功能；支持定时离线文件播放、录音、定时服务器媒体播放、定时频道广播等多种执行编程方案；支持设置多套定时方案，支持任意选配终端或分区。</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（2）系统支持SIP协议，可实现VOIP话机接入（登陆后台web管理可添加账号密码）、VOIP接出服务的功能。</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系统具有任务触发机制，支持消防触发、拆除触发、终端上线触发、终端离线触发、声压检测触发、短路触发等触发类型，可自定义执行本地媒体播放、本地接收频道广播、录音、发短信、发送邮件、短路输出等类型的任务。</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（4）集成AirPlay无线技术，所有支持AirPlay功能的手机或平板等均可接入使用。</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（5）软件支持第三方平台嵌入式开发，实现与其他系统平台整合（例如楼宇访客系统、监控视频系统等），支持HTTP接口的标准文档和DEMO程序供第三方调用开发。</w:t>
      </w:r>
      <w:r/>
    </w:p>
    <w:p>
      <w:pPr>
        <w:ind w:left="0"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4、寻呼对讲技术参数</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图形化UI界面显示，可调节网络节目、本地MIC、本地AUX的音量；实时显示节目播放、双向对讲、定时广播、设备运行、IP地址、MAC地址等状态信息，可一键停止节目播放任务。</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支持求助、对讲来电铃声、语音报号、灯光、文字等多种提示方式，支持一键应答、一键监听、免提通话，支持未接来电信息记录功能。</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（3）支持变声功能，发起通话方可选择变声；并且具有咪杆或电话手柄可选通话拾音方式（手持听筒可进行保密通话/对讲），适应于特殊场所的对讲需求。</w:t>
      </w:r>
      <w:r/>
    </w:p>
    <w:p>
      <w:pPr>
        <w:pStyle w:val="1051"/>
        <w:numPr>
          <w:ilvl w:val="0"/>
          <w:numId w:val="0"/>
        </w:num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铁路沿线的通讯系统，能够接入市应急广播系统，与太仓市应急广播平台对接，可以传输省市县多级应急广播信息，包括暴雨、大风、地震等危及铁路安全的自然灾害或其它重大情况的预警信息。</w:t>
      </w:r>
      <w:r/>
    </w:p>
    <w:p>
      <w:pPr>
        <w:ind w:firstLine="422"/>
        <w:jc w:val="left"/>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（四）</w:t>
      </w:r>
      <w:r>
        <w:rPr>
          <w:rFonts w:ascii="宋体" w:hAnsi="宋体" w:eastAsia="宋体" w:cs="宋体"/>
          <w:b/>
          <w:bCs/>
          <w:color w:val="auto"/>
          <w:sz w:val="21"/>
          <w:szCs w:val="21"/>
          <w:highlight w:val="none"/>
        </w:rPr>
        <w:t xml:space="preserve">报警联动监控系统</w:t>
      </w:r>
      <w:r/>
    </w:p>
    <w:p>
      <w:pPr>
        <w:pStyle w:val="1051"/>
        <w:numPr>
          <w:ilvl w:val="0"/>
          <w:numId w:val="0"/>
        </w:numPr>
        <w:ind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s="宋体"/>
          <w:b/>
          <w:bCs/>
          <w:color w:val="auto"/>
          <w:szCs w:val="21"/>
          <w:highlight w:val="none"/>
          <w:lang w:val="en-US" w:eastAsia="zh-CN"/>
        </w:rPr>
        <w:t xml:space="preserve">1、</w:t>
      </w:r>
      <w:r>
        <w:rPr>
          <w:rFonts w:ascii="宋体" w:hAnsi="宋体" w:cs="宋体"/>
          <w:b/>
          <w:bCs/>
          <w:color w:val="auto"/>
          <w:szCs w:val="21"/>
          <w:highlight w:val="none"/>
        </w:rPr>
        <w:t xml:space="preserve">区域AI监控预警枪式像机服务</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（1）内置GPU芯片，支持深度学习算法，有效提升检测准确率</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支持四种智能资源切换：通用行为分析、人脸检测、人数统计、人像检测</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支持人脸检测：支持跟踪，支持优选，支持抓拍，支持上报最优的人脸抓图，支持人脸增强，人脸曝光，支持人脸属性提取，支持6种属性，8种表情</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内置高效暖光和红外补光灯，最大红外监控距离80米，暖光监控距离30米</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（5）支持IP67防护等级</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（6）支持国密算法SM1、SM2、SM3、SM4，支持GB35114 A级</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（7）可同时向两个支持28181协议的设备进行注册</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22"/>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视频存储服务</w:t>
      </w:r>
      <w:r/>
    </w:p>
    <w:p>
      <w:pPr>
        <w:pStyle w:val="1051"/>
        <w:numPr>
          <w:ilvl w:val="0"/>
          <w:numId w:val="0"/>
        </w:num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宋体"/>
          <w:color w:val="auto"/>
          <w:szCs w:val="21"/>
          <w:highlight w:val="none"/>
        </w:rPr>
        <w:t xml:space="preserve">采用集中式存储，应能有效解决智能化、高清化、海量视频和图片的存储和管理，具有安全冗余和灾备能力。视频存储时间31天，图片存储大于365天。</w:t>
      </w:r>
      <w:r/>
    </w:p>
    <w:p>
      <w:pPr>
        <w:ind w:firstLine="422"/>
        <w:jc w:val="left"/>
        <w:keepLines w:val="0"/>
        <w:keepNext w:val="0"/>
        <w:pageBreakBefore w:val="0"/>
        <w:spacing w:line="360" w:lineRule="auto"/>
        <w:widowControl w:val="off"/>
        <w:rPr>
          <w:rFonts w:hint="eastAsia" w:ascii="宋体" w:hAnsi="宋体" w:eastAsia="宋体" w:cs="Times New Roman"/>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综合管道及相关配套设施</w:t>
      </w:r>
      <w:r/>
    </w:p>
    <w:p>
      <w:pPr>
        <w:ind w:firstLine="422"/>
        <w:jc w:val="left"/>
        <w:keepLines w:val="0"/>
        <w:keepNext w:val="0"/>
        <w:pageBreakBefore w:val="0"/>
        <w:spacing w:line="360" w:lineRule="auto"/>
        <w:widowControl w:val="off"/>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立杆</w:t>
      </w:r>
      <w:r/>
    </w:p>
    <w:p>
      <w:pPr>
        <w:pStyle w:val="1051"/>
        <w:numPr>
          <w:ilvl w:val="0"/>
          <w:numId w:val="0"/>
        </w:numPr>
        <w:ind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立杆高度4.5米，立杆横臂根据实际需要确定。立杆施工时，要求同步完成接地的安装。</w:t>
      </w:r>
      <w:r/>
    </w:p>
    <w:p>
      <w:pPr>
        <w:pStyle w:val="1051"/>
        <w:numPr>
          <w:ilvl w:val="0"/>
          <w:numId w:val="0"/>
        </w:numPr>
        <w:ind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为达到监控效果，所有安装要求在12级风力的情况下，摄像机在最大放大倍数的情况下所监视的画面无明显晃动。</w:t>
      </w:r>
      <w:r/>
    </w:p>
    <w:p>
      <w:pPr>
        <w:ind w:firstLine="422"/>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ascii="宋体" w:hAnsi="宋体" w:eastAsia="宋体" w:cs="宋体"/>
          <w:b/>
          <w:bCs/>
          <w:color w:val="auto"/>
          <w:sz w:val="21"/>
          <w:szCs w:val="21"/>
          <w:highlight w:val="none"/>
        </w:rPr>
        <w:t xml:space="preserve">软件国产信创升级</w:t>
      </w:r>
      <w:r/>
    </w:p>
    <w:p>
      <w:pPr>
        <w:ind w:firstLine="422"/>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ascii="宋体" w:hAnsi="宋体" w:eastAsia="宋体" w:cs="宋体"/>
          <w:b/>
          <w:bCs/>
          <w:color w:val="auto"/>
          <w:sz w:val="21"/>
          <w:szCs w:val="21"/>
          <w:highlight w:val="none"/>
        </w:rPr>
        <w:t xml:space="preserve">太仓市智慧护路GIS集成指挥平台</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（1）系统总体技术要求</w:t>
      </w:r>
      <w:r/>
    </w:p>
    <w:tbl>
      <w:tblPr>
        <w:tblStyle w:val="943"/>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60"/>
        <w:gridCol w:w="6782"/>
      </w:tblGrid>
      <w:tr>
        <w:trPr>
          <w:jc w:val="center"/>
          <w:tblHeader/>
        </w:trPr>
        <w:tc>
          <w:tcPr>
            <w:tcW w:w="71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编号</w:t>
            </w:r>
            <w:r/>
          </w:p>
        </w:tc>
        <w:tc>
          <w:tcPr>
            <w:tcW w:w="2160"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技术要求类别</w:t>
            </w:r>
            <w:r/>
          </w:p>
        </w:tc>
        <w:tc>
          <w:tcPr>
            <w:tcW w:w="678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具体要求描述</w:t>
            </w:r>
            <w:r/>
          </w:p>
        </w:tc>
      </w:tr>
      <w:tr>
        <w:trPr>
          <w:jc w:val="center"/>
        </w:trPr>
        <w:tc>
          <w:tcPr>
            <w:tcW w:w="7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技术路线</w:t>
            </w:r>
            <w:r/>
          </w:p>
        </w:tc>
        <w:tc>
          <w:tcPr>
            <w:tcW w:w="678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整体系统全面满足信息技术应用创新（信创）技术路线要求，支持在国产CPU架构（如飞腾、龙芯、鲲鹏等）及国产操作系统（如统信UOS、麒麟软件等）环境下稳定运行</w:t>
            </w:r>
            <w:r/>
          </w:p>
        </w:tc>
      </w:tr>
      <w:tr>
        <w:trPr>
          <w:jc w:val="center"/>
        </w:trPr>
        <w:tc>
          <w:tcPr>
            <w:tcW w:w="7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安全性</w:t>
            </w:r>
            <w:r/>
          </w:p>
        </w:tc>
        <w:tc>
          <w:tcPr>
            <w:tcW w:w="678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具备高安全性，采用国密算法（SM2/SM3/SM4）实现数据传输与存储加密，支持HTTPS/TLS 1.3及以上安全通信协议</w:t>
            </w:r>
            <w:r/>
          </w:p>
        </w:tc>
      </w:tr>
      <w:tr>
        <w:trPr>
          <w:jc w:val="center"/>
        </w:trPr>
        <w:tc>
          <w:tcPr>
            <w:tcW w:w="7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兼容性</w:t>
            </w:r>
            <w:r/>
          </w:p>
        </w:tc>
        <w:tc>
          <w:tcPr>
            <w:tcW w:w="678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具备高兼容性，支持主流国产数据库和国产中间件</w:t>
            </w:r>
            <w:r/>
          </w:p>
        </w:tc>
      </w:tr>
      <w:tr>
        <w:trPr>
          <w:jc w:val="center"/>
        </w:trPr>
        <w:tc>
          <w:tcPr>
            <w:tcW w:w="7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可持续演进能力</w:t>
            </w:r>
            <w:r/>
          </w:p>
        </w:tc>
        <w:tc>
          <w:tcPr>
            <w:tcW w:w="678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系统架构应具备良好的可扩展性与可维护性，支持微服务化部署，便于未来功能模块迭代升级与第三方系统对接</w:t>
            </w:r>
            <w:r/>
          </w:p>
        </w:tc>
      </w:tr>
      <w:tr>
        <w:trPr>
          <w:jc w:val="center"/>
        </w:trPr>
        <w:tc>
          <w:tcPr>
            <w:tcW w:w="7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数据标准</w:t>
            </w:r>
            <w:r/>
          </w:p>
        </w:tc>
        <w:tc>
          <w:tcPr>
            <w:tcW w:w="678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轨迹数据须按照标准时空格式进行采集、存储与交换，支持GB/T 30269《信息技术 定位服务》、GB/T 42528-2023《时空大数据技术规范》以及T/GDITS 001-2024《城市道路交通工程建设管理时空大数据格式标准》等相关国家标准与团体标准</w:t>
            </w:r>
            <w:r/>
          </w:p>
        </w:tc>
      </w:tr>
    </w:tbl>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（2）各子系统功能与性能要求</w:t>
      </w:r>
      <w:r/>
    </w:p>
    <w:tbl>
      <w:tblPr>
        <w:tblStyle w:val="943"/>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160"/>
        <w:gridCol w:w="6803"/>
      </w:tblGrid>
      <w:tr>
        <w:trPr>
          <w:jc w:val="center"/>
          <w:tblHeader/>
        </w:trPr>
        <w:tc>
          <w:tcPr>
            <w:tcW w:w="75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编号</w:t>
            </w:r>
            <w:r/>
          </w:p>
        </w:tc>
        <w:tc>
          <w:tcPr>
            <w:tcW w:w="2160"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功能模块</w:t>
            </w:r>
            <w:r/>
          </w:p>
        </w:tc>
        <w:tc>
          <w:tcPr>
            <w:tcW w:w="680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功能要求描述</w:t>
            </w:r>
            <w:r/>
          </w:p>
        </w:tc>
      </w:tr>
      <w:tr>
        <w:trPr>
          <w:jc w:val="center"/>
        </w:trPr>
        <w:tc>
          <w:tcPr>
            <w:tcW w:w="753" w:type="dxa"/>
            <w:vAlign w:val="center"/>
            <w:textDirection w:val="lrTb"/>
            <w:noWrap w:val="false"/>
          </w:tcPr>
          <w:p>
            <w:pPr>
              <w:pStyle w:val="1051"/>
              <w:ind w:left="-50" w:hanging="360"/>
              <w:jc w:val="center"/>
              <w:spacing w:line="360" w:lineRule="auto"/>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    1</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基础展示界面</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提供直观、友好的Web端用户界面，支持多浏览器兼容（包括基于国产内核的浏览器）</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GIS一张图集成展示</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实现辖区道路、桥梁、涵洞、监控点位、电子围栏、巡查力量分布等要素的统一空间可视化呈现</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地图建模</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支持二维/三维地图切换显示，具备地形渲染、建筑模型加载、专题图层叠加等功能</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报警弹窗</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当发生紧急报警或偏离路线等异常事件时，系统自动弹出告警窗口，并同步声音提示</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实时监控调用</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支持一键调取沿线视频监控画面，实现“图上点位—视频联动”功能</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电子围栏设备管理</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可自定义设置电子围栏区域，用于划定巡查范围或重点防护区域</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用户管理</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支持多级角色权限配置，实现不同岗位用户的差异化功能访问控制</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资料归档</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提供电子档案管理系统，支持巡查日志、事件记录、音视频资料的分类存储与检索</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移动OA</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集成办公审批流程，支持工单派发、任务反馈、通知公告发布等移动办公功能</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网格巡查</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支持以网格为单位规划巡查任务，实现责任到人、任务到岗</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紧急报警</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接收来自移动端的SOS报警信号，快速定位报警位置并启动应急响应机制</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辖区总览</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综合展示当前辖区内在线设备数量、巡查人员状态、今日任务完成率等概览信息</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预警总览</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汇总展示各类预警事件（如偏离路线、长时间停留、超速行驶等）的统计与分布情况</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目标图库</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建立重点目标图像数据库，支持图像识别与比对分析</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解析管理</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对接AI解析引擎，支持对巡查过程中采集的数据进行智能分析处理</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提供日志审计、参数配置、接口管理、数据备份恢复等系统级管理功能</w:t>
            </w:r>
            <w:r/>
          </w:p>
        </w:tc>
      </w:tr>
      <w:tr>
        <w:trPr>
          <w:jc w:val="center"/>
        </w:trPr>
        <w:tc>
          <w:tcPr>
            <w:tcW w:w="75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16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工单管理</w:t>
            </w:r>
            <w:r/>
          </w:p>
        </w:tc>
        <w:tc>
          <w:tcPr>
            <w:tcW w:w="68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实现从事件上报、任务派发、处理反馈到结案归档的全流程闭环管理</w:t>
            </w:r>
            <w:r/>
          </w:p>
        </w:tc>
      </w:tr>
    </w:tbl>
    <w:p>
      <w:pPr>
        <w:ind w:firstLine="422"/>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2.</w:t>
      </w:r>
      <w:r>
        <w:rPr>
          <w:rFonts w:ascii="宋体" w:hAnsi="宋体" w:eastAsia="宋体" w:cs="宋体"/>
          <w:b/>
          <w:bCs/>
          <w:color w:val="auto"/>
          <w:sz w:val="21"/>
          <w:szCs w:val="21"/>
          <w:highlight w:val="none"/>
        </w:rPr>
        <w:t xml:space="preserve"> 智慧巡防勤务通小程序</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（1）系统总体技术要求</w:t>
      </w:r>
      <w:r/>
    </w:p>
    <w:tbl>
      <w:tblPr>
        <w:tblStyle w:val="943"/>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150"/>
        <w:gridCol w:w="6842"/>
      </w:tblGrid>
      <w:tr>
        <w:trPr>
          <w:jc w:val="center"/>
          <w:tblHeader/>
        </w:trPr>
        <w:tc>
          <w:tcPr>
            <w:tcW w:w="78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编号</w:t>
            </w:r>
            <w:r/>
          </w:p>
        </w:tc>
        <w:tc>
          <w:tcPr>
            <w:tcW w:w="2150"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技术要求类别</w:t>
            </w:r>
            <w:r/>
          </w:p>
        </w:tc>
        <w:tc>
          <w:tcPr>
            <w:tcW w:w="684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具体要求描述</w:t>
            </w:r>
            <w:r/>
          </w:p>
        </w:tc>
      </w:tr>
      <w:tr>
        <w:trPr>
          <w:jc w:val="center"/>
        </w:trPr>
        <w:tc>
          <w:tcPr>
            <w:tcW w:w="78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技术路线</w:t>
            </w:r>
            <w:r/>
          </w:p>
        </w:tc>
        <w:tc>
          <w:tcPr>
            <w:tcW w:w="684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整体系统全面满足信息技术应用创新（信创）技术路线要求，支持在国产CPU架构（如飞腾、龙芯、鲲鹏等）及国产操作系统（如统信UOS、麒麟软件等）环境下稳定运行</w:t>
            </w:r>
            <w:r/>
          </w:p>
        </w:tc>
      </w:tr>
      <w:tr>
        <w:trPr>
          <w:jc w:val="center"/>
        </w:trPr>
        <w:tc>
          <w:tcPr>
            <w:tcW w:w="78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安全性</w:t>
            </w:r>
            <w:r/>
          </w:p>
        </w:tc>
        <w:tc>
          <w:tcPr>
            <w:tcW w:w="684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具备高安全性，采用国密算法（SM2/SM3/SM4）实现数据传输与存储加密，支持HTTPS/TLS 1.3及以上安全通信协议</w:t>
            </w:r>
            <w:r/>
          </w:p>
        </w:tc>
      </w:tr>
      <w:tr>
        <w:trPr>
          <w:jc w:val="center"/>
        </w:trPr>
        <w:tc>
          <w:tcPr>
            <w:tcW w:w="78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兼容性</w:t>
            </w:r>
            <w:r/>
          </w:p>
        </w:tc>
        <w:tc>
          <w:tcPr>
            <w:tcW w:w="684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具备高兼容性，支持主流国产数据库和国产中间件</w:t>
            </w:r>
            <w:r/>
          </w:p>
        </w:tc>
      </w:tr>
      <w:tr>
        <w:trPr>
          <w:jc w:val="center"/>
        </w:trPr>
        <w:tc>
          <w:tcPr>
            <w:tcW w:w="78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可持续演进能力</w:t>
            </w:r>
            <w:r/>
          </w:p>
        </w:tc>
        <w:tc>
          <w:tcPr>
            <w:tcW w:w="684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系统架构应具备良好的可扩展性与可维护性，支持微服务化部署，便于未来功能模块迭代升级与第三方系统对接</w:t>
            </w:r>
            <w:r/>
          </w:p>
        </w:tc>
      </w:tr>
      <w:tr>
        <w:trPr>
          <w:jc w:val="center"/>
        </w:trPr>
        <w:tc>
          <w:tcPr>
            <w:tcW w:w="78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数据标准</w:t>
            </w:r>
            <w:r/>
          </w:p>
        </w:tc>
        <w:tc>
          <w:tcPr>
            <w:tcW w:w="6842"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轨迹数据须按照标准时空格式进行采集、存储与交换，支持GB/T 30269《信息技术 定位服务》、GB/T 42528-2023《时空大数据技术规范》以及T/GDITS 001-2024《城市道路交通工程建设管理时空大数据格式标准》等相关国家标准与团体标准</w:t>
            </w:r>
            <w:r/>
          </w:p>
        </w:tc>
      </w:tr>
    </w:tbl>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智慧巡防勤务通小程序（信创版）</w:t>
      </w:r>
      <w:r/>
    </w:p>
    <w:tbl>
      <w:tblPr>
        <w:tblStyle w:val="943"/>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2140"/>
        <w:gridCol w:w="6852"/>
      </w:tblGrid>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编号</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功能模块</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功能要求描述</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设备接入</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全面接入巡查过程中所使用的各类移动巡检设备（如电瓶车、巡查汽车）的GPS定位模块</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运行环境</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在国产化操作系统与安全通信协议保障下正常运行，支持鸿蒙、统信UOS移动版等主流国产移动系统</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动态信息采集</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实时采集设备运行过程中的位置、速度、方向、时间等动态信息</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电子轨迹生成</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自动生成高精度、可追溯的电子轨迹数据，支持断点续传与离线缓存</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数据存储</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轨迹数据按标准时空格式存储于国产数据库中</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历史路径回放</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支持按时间、设备、人员等条件查询并回放历史巡查路径</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偏离路线预警</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当实际巡查路径偏离预设路线时，系统自动发出预警提醒</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停留时长分析</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自动识别并统计设备在某一点位的停留时长，辅助判断作业执行情况</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覆盖率统计</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支持对巡查区域的覆盖范围进行量化统计与可视化展示</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数字化可视化监管</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实现对巡查过程的全流程数字化、可视化监管，提升管理透明度</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考勤打卡</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支持基于地理位置的上下班签到签退功能</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考勤记录</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自动生成个人与团队的考勤报表，支持导出与打印</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巡逻管理</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支持接收巡逻任务、查看巡逻路线、上报巡逻进展</w:t>
            </w:r>
            <w:r/>
          </w:p>
        </w:tc>
      </w:tr>
      <w:tr>
        <w:trPr>
          <w:jc w:val="center"/>
        </w:trPr>
        <w:tc>
          <w:tcPr>
            <w:tcW w:w="80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事件管理</w:t>
            </w:r>
            <w:r/>
          </w:p>
        </w:tc>
        <w:tc>
          <w:tcPr>
            <w:tcW w:w="68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支持现场拍照、填写表单等方式上报突发事件或隐患问题</w:t>
            </w:r>
            <w:r/>
          </w:p>
        </w:tc>
      </w:tr>
    </w:tbl>
    <w:p>
      <w:pPr>
        <w:ind w:firstLine="422"/>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ascii="宋体" w:hAnsi="宋体" w:eastAsia="宋体" w:cs="宋体"/>
          <w:b/>
          <w:bCs/>
          <w:color w:val="auto"/>
          <w:sz w:val="21"/>
          <w:szCs w:val="21"/>
          <w:highlight w:val="none"/>
        </w:rPr>
        <w:t xml:space="preserve"> 算法模型升级</w:t>
      </w:r>
      <w:r/>
    </w:p>
    <w:p>
      <w:pPr>
        <w:ind w:left="418"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算法模型国产化升级，兼容国产操作系统和国产AI算力卡。算法场景清单：</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识别场景1：支持对视频/图片中疑似铁路沿线区域人员入侵的事件进行识别；</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识别场景2：支持对视频/图片中特定区域疑似大型车辆、设备等进行识别；</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识别场景3：支持对视频/图片中特定区域疑似非机动车辆的事件进行识别；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识别场景4：支持对视频/图片中疑似人员聚集的事件进行识别；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识别场景5：支持对视频/图片中疑似轨道异物/物料堆积的事件进行识别；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识别场景6：支持对视频/图片中疑似路面积水的事件进行识别；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识别场景7：支持对视频/图片中疑似植被/菜地的事件进行识别；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识别场景8：支持对视频/图片中铁路沿线基站、紧急疏散通道等疑似门未关的事件进行识别；</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识别场景9：支持对视频/图片中疑似环境垃圾堆积的事件进行识别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识别场景10：支持对视频/图片中疑似火灾烟雾的事件进行识别；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识别场景11：支持对视频/图片中疑似高空漂浮物（风筝识别和普通无人机识别）的事件进行识别；</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 多模态大模型算法服务</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系统功能要求</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摄像头管理</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①系统应支持通过GB28181协议对接铁路视频平台中的可用视频点位。</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②提供统一的摄像头列表展示界面，清晰呈现每个点位的名称、位置、在线状态等关键信息。</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算力资源管理</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①支持AI算力资源的集中配置与管理。</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②应可视化展示算力资源的详细信息，至少包括：IP地址、显卡型号/类型、支持的并发分析资源数（路数）、算力使用率、健康状态等。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③支持对算力资源进行动态分配与调整。</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AI算法管理</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基本管理：支持算法的增加、删除、修改、查询；支持算法的启用/禁用（禁用/启用）状态切换。</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参数配置：支持对每个算法进行详细的参数配置，如灵敏度、阈值、检测间隔等。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大模型管理：须提供对大模型相关算法的管理服务，包括模型加载、版本管理、推理服务监控等。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 任务管理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任务管理模块须包含分析创建、分析管理和任务查询三大子功能。</w:t>
      </w:r>
      <w:r/>
    </w:p>
    <w:p>
      <w:pPr>
        <w:pStyle w:val="1052"/>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分析创建：</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支持批量创建、标签创建、单个相机创建三种方式。</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用户可根据点位实际场景，灵活配置适用的算法及分析规则。算法配置由三部分组成：</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①分析算法选取：从算法库中选择需要执行的分析算法。</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rPr>
        <w:t xml:space="preserve">绘制</w:t>
      </w:r>
      <w:r>
        <w:rPr>
          <w:rFonts w:hint="eastAsia" w:ascii="宋体" w:hAnsi="宋体" w:eastAsia="宋体" w:cs="宋体"/>
          <w:color w:val="auto"/>
          <w:szCs w:val="21"/>
          <w:highlight w:val="none"/>
        </w:rPr>
        <w:t xml:space="preserve">规则：针对不同的预警算法，系统应支持在视频图像上绘制不同的规则区域（如入侵检测线、警戒区域、异物堆放区等）。规则区域形状应至少包括矩形、多边形、线型。</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③生效时间配置：支持设置算法分析任务的开始与结束时间，可配置周期性计划（如每日、每周）。</w:t>
      </w:r>
      <w:r/>
    </w:p>
    <w:p>
      <w:pPr>
        <w:pStyle w:val="1052"/>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分析管理</w:t>
      </w:r>
      <w:r>
        <w:rPr>
          <w:rFonts w:hint="eastAsia" w:ascii="宋体" w:hAnsi="宋体" w:eastAsia="宋体" w:cs="宋体"/>
          <w:color w:val="auto"/>
          <w:szCs w:val="21"/>
          <w:highlight w:val="none"/>
        </w:rPr>
        <w:t xml:space="preserve">：</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①以列表</w:t>
      </w:r>
      <w:r>
        <w:rPr>
          <w:rFonts w:hint="eastAsia" w:ascii="宋体" w:hAnsi="宋体" w:eastAsia="宋体" w:cs="宋体"/>
          <w:color w:val="auto"/>
          <w:szCs w:val="21"/>
          <w:highlight w:val="none"/>
        </w:rPr>
        <w:t xml:space="preserve">形式</w:t>
      </w:r>
      <w:r>
        <w:rPr>
          <w:rFonts w:hint="eastAsia" w:ascii="宋体" w:hAnsi="宋体" w:eastAsia="宋体" w:cs="宋体"/>
          <w:color w:val="auto"/>
          <w:szCs w:val="21"/>
          <w:highlight w:val="none"/>
        </w:rPr>
        <w:t xml:space="preserve">展示已创建的所有分析任务，展示信息至少包括：点位信息（名称/ID）、点位状态、关联算法、生效时间、任务状态等。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②支持丰富的条件筛选功能：包括但不限于标签筛选、算法类型筛选、点位类型筛选、任务状态筛选（运行中/已停止/异常等）、创建时间筛选。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③支持批量启停：基于筛选结果，可批量启动或停止已创建的算法任务。</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④支持对单个任务进行重新编辑规则（修改算法、绘制规则、时间配置等）。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任务查询：支持按点位、时间、算法等多维度组合查询历史及当前分析任务。</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其他基础功能</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Cs w:val="21"/>
          <w:highlight w:val="none"/>
        </w:rPr>
        <w:t xml:space="preserve">报警检索：支持对系统产生的所有报警事件进行多条件检索（如时间、点位、算法类型），并查看报警详情及关联图片/视频片段。</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管理统计：提供</w:t>
      </w:r>
      <w:r>
        <w:rPr>
          <w:rFonts w:hint="eastAsia" w:ascii="宋体" w:hAnsi="宋体" w:eastAsia="宋体" w:cs="宋体"/>
          <w:color w:val="auto"/>
          <w:szCs w:val="21"/>
          <w:highlight w:val="none"/>
        </w:rPr>
        <w:t xml:space="preserve">可视化</w:t>
      </w:r>
      <w:r>
        <w:rPr>
          <w:rFonts w:hint="eastAsia" w:ascii="宋体" w:hAnsi="宋体" w:eastAsia="宋体" w:cs="宋体"/>
          <w:color w:val="auto"/>
          <w:szCs w:val="21"/>
          <w:highlight w:val="none"/>
        </w:rPr>
        <w:t xml:space="preserve">的统计看板，展示系统整体运行情况，如接入摄像头数量、算力使用率、各类算法触发次数等。</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算法功能要求</w:t>
      </w:r>
      <w:r/>
    </w:p>
    <w:p>
      <w:pPr>
        <w:pStyle w:val="1052"/>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所有算法模型必须完成国产化适配，兼容国产操作系统及国产AI算力卡，确保在国产化硬件平台上运行稳定、高效。具体需支持的识别场景清单如下：</w:t>
      </w:r>
      <w:r/>
    </w:p>
    <w:tbl>
      <w:tblPr>
        <w:tblStyle w:val="94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127"/>
      </w:tblGrid>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1、支持对视频/图片中疑似铁路沿线区域人员入侵的事件进行识别。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2、支持对视频/图片中特定区域疑似大型车辆设备等进行识别。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3、支持对视频/图片中特定区域疑似非机动车辆（自行车、电动摩托车、三轮车等）的事件进行识别。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4、支持对视频/图片中疑似人员聚集（超过设定阈值人数）的事件进行识别。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5、支持对视频/图片中疑似轨道异物/物料堆积的事件进行识别。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6、支持对视频/图片中疑似路面积水的事件进行识别。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7、支持对视频/图片中疑似违规植被/菜地（侵入铁路界限）的事件进行识别。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8、支持对视频/图片中铁路沿线基站、紧急疏散通道等设施疑似门未关的事件进行识别。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9、支持对视频/图片中疑似环境垃圾堆积的事件进行识别。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10、支持对视频/图片中疑似火灾烟雾的事件进行识别。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11、支持对视频/图片中疑似高空漂浮物的事件进行识别。</w:t>
            </w:r>
            <w:r/>
          </w:p>
        </w:tc>
      </w:tr>
      <w:tr>
        <w:trPr>
          <w:jc w:val="center"/>
        </w:trPr>
        <w:tc>
          <w:tcPr>
            <w:tcMar>
              <w:left w:w="240" w:type="dxa"/>
              <w:top w:w="150" w:type="dxa"/>
              <w:right w:w="0" w:type="dxa"/>
              <w:bottom w:w="150" w:type="dxa"/>
            </w:tcMar>
            <w:tcW w:w="9127"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12、支持对视频/图片中地面覆膜的场景进行识别</w:t>
            </w:r>
            <w:r/>
          </w:p>
        </w:tc>
      </w:tr>
    </w:tbl>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多模态大模型服务要求</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大模型基座推理</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提供国产化大模型基座的高并发、低延迟推理服务，支撑上层智能应用。</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算法可拓展性</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支持开放场景下的异常算法可拓展性，允许用户或开发者在不中断系统服务的情况下，新增或更新特定场景的识别</w:t>
      </w:r>
      <w:r>
        <w:rPr>
          <w:rFonts w:hint="eastAsia" w:ascii="宋体" w:hAnsi="宋体" w:cs="宋体"/>
          <w:color w:val="auto"/>
          <w:szCs w:val="21"/>
          <w:highlight w:val="none"/>
        </w:rPr>
        <w:t xml:space="preserve">算法</w:t>
      </w:r>
      <w:r>
        <w:rPr>
          <w:rFonts w:hint="eastAsia" w:ascii="宋体" w:hAnsi="宋体" w:cs="宋体"/>
          <w:color w:val="auto"/>
          <w:szCs w:val="21"/>
          <w:highlight w:val="none"/>
        </w:rPr>
        <w:t xml:space="preserve">。</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多模态大模型基础设施开发</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提供完整的智能体（Agent）基础设施，包括：</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核心执行引擎：负责智能体</w:t>
      </w:r>
      <w:r>
        <w:rPr>
          <w:rFonts w:hint="eastAsia" w:ascii="宋体" w:hAnsi="宋体" w:cs="宋体"/>
          <w:color w:val="auto"/>
          <w:szCs w:val="21"/>
          <w:highlight w:val="none"/>
        </w:rPr>
        <w:t xml:space="preserve">任务</w:t>
      </w:r>
      <w:r>
        <w:rPr>
          <w:rFonts w:hint="eastAsia" w:ascii="宋体" w:hAnsi="宋体" w:cs="宋体"/>
          <w:color w:val="auto"/>
          <w:szCs w:val="21"/>
          <w:highlight w:val="none"/>
        </w:rPr>
        <w:t xml:space="preserve">的调度与执行。</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上下文感知与记忆：支持智能体对历史交互和当前环境状态的感知与记忆。</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规划与推理：支持智能体进行任务规划、分解与逻辑推理。</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主从智能体协同：支持多个</w:t>
      </w:r>
      <w:r>
        <w:rPr>
          <w:rFonts w:hint="eastAsia" w:ascii="宋体" w:hAnsi="宋体" w:cs="宋体"/>
          <w:color w:val="auto"/>
          <w:szCs w:val="21"/>
          <w:highlight w:val="none"/>
        </w:rPr>
        <w:t xml:space="preserve">智能</w:t>
      </w:r>
      <w:r>
        <w:rPr>
          <w:rFonts w:hint="eastAsia" w:ascii="宋体" w:hAnsi="宋体" w:cs="宋体"/>
          <w:color w:val="auto"/>
          <w:szCs w:val="21"/>
          <w:highlight w:val="none"/>
        </w:rPr>
        <w:t xml:space="preserve">体之间的协同工作机制。</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智能体场景适配开发</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支持针对</w:t>
      </w:r>
      <w:r>
        <w:rPr>
          <w:rFonts w:hint="eastAsia" w:ascii="宋体" w:hAnsi="宋体" w:cs="宋体"/>
          <w:color w:val="auto"/>
          <w:szCs w:val="21"/>
          <w:highlight w:val="none"/>
        </w:rPr>
        <w:t xml:space="preserve">具体</w:t>
      </w:r>
      <w:r>
        <w:rPr>
          <w:rFonts w:hint="eastAsia" w:ascii="宋体" w:hAnsi="宋体" w:cs="宋体"/>
          <w:color w:val="auto"/>
          <w:szCs w:val="21"/>
          <w:highlight w:val="none"/>
        </w:rPr>
        <w:t xml:space="preserve">业务场景进行</w:t>
      </w:r>
      <w:r>
        <w:rPr>
          <w:rFonts w:hint="eastAsia" w:ascii="宋体" w:hAnsi="宋体" w:cs="宋体"/>
          <w:color w:val="auto"/>
          <w:szCs w:val="21"/>
          <w:highlight w:val="none"/>
        </w:rPr>
        <w:t xml:space="preserve">智能</w:t>
      </w:r>
      <w:r>
        <w:rPr>
          <w:rFonts w:hint="eastAsia" w:ascii="宋体" w:hAnsi="宋体" w:cs="宋体"/>
          <w:color w:val="auto"/>
          <w:szCs w:val="21"/>
          <w:highlight w:val="none"/>
        </w:rPr>
        <w:t xml:space="preserve">体场景适配开发，包括自定义技能（Skill）和外部工具（Tool）的调用开发。</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权限控制与审计</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color w:val="auto"/>
          <w:szCs w:val="21"/>
          <w:highlight w:val="none"/>
        </w:rPr>
        <w:t xml:space="preserve">通过Hooks机制管理</w:t>
      </w:r>
      <w:r>
        <w:rPr>
          <w:rFonts w:hint="eastAsia" w:ascii="宋体" w:hAnsi="宋体" w:cs="宋体"/>
          <w:color w:val="auto"/>
          <w:szCs w:val="21"/>
          <w:highlight w:val="none"/>
        </w:rPr>
        <w:t xml:space="preserve">智能</w:t>
      </w:r>
      <w:r>
        <w:rPr>
          <w:rFonts w:hint="eastAsia" w:ascii="宋体" w:hAnsi="宋体" w:cs="宋体"/>
          <w:color w:val="auto"/>
          <w:szCs w:val="21"/>
          <w:highlight w:val="none"/>
        </w:rPr>
        <w:t xml:space="preserve">体的权限和生命周期。</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提供完整的智能体（</w:t>
      </w:r>
      <w:r>
        <w:rPr>
          <w:rFonts w:hint="eastAsia" w:ascii="宋体" w:hAnsi="宋体" w:cs="宋体"/>
          <w:color w:val="auto"/>
          <w:szCs w:val="21"/>
          <w:highlight w:val="none"/>
        </w:rPr>
        <w:t xml:space="preserve">Agent</w:t>
      </w:r>
      <w:r>
        <w:rPr>
          <w:rFonts w:hint="eastAsia" w:ascii="宋体" w:hAnsi="宋体" w:cs="宋体"/>
          <w:color w:val="auto"/>
          <w:szCs w:val="21"/>
          <w:highlight w:val="none"/>
        </w:rPr>
        <w:t xml:space="preserve">）操作日志，所有调用、决策、工具使用行为均可追溯。</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沙箱执行</w:t>
      </w:r>
      <w:r>
        <w:rPr>
          <w:rFonts w:hint="eastAsia" w:ascii="宋体" w:hAnsi="宋体" w:cs="宋体"/>
          <w:color w:val="auto"/>
          <w:szCs w:val="21"/>
          <w:highlight w:val="none"/>
        </w:rPr>
        <w:t xml:space="preserve">环境</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color w:val="auto"/>
          <w:szCs w:val="21"/>
          <w:highlight w:val="none"/>
        </w:rPr>
        <w:t xml:space="preserve">智能体在执行涉及</w:t>
      </w:r>
      <w:r>
        <w:rPr>
          <w:rFonts w:hint="eastAsia" w:ascii="宋体" w:hAnsi="宋体" w:cs="宋体"/>
          <w:color w:val="auto"/>
          <w:szCs w:val="21"/>
          <w:highlight w:val="none"/>
        </w:rPr>
        <w:t xml:space="preserve">文件</w:t>
      </w:r>
      <w:r>
        <w:rPr>
          <w:rFonts w:hint="eastAsia" w:ascii="宋体" w:hAnsi="宋体" w:cs="宋体"/>
          <w:color w:val="auto"/>
          <w:szCs w:val="21"/>
          <w:highlight w:val="none"/>
        </w:rPr>
        <w:t xml:space="preserve">操作、读写等高风险动作时，须在安全的沙箱（Sandbox）</w:t>
      </w:r>
      <w:r>
        <w:rPr>
          <w:rFonts w:hint="eastAsia" w:ascii="宋体" w:hAnsi="宋体" w:cs="宋体"/>
          <w:color w:val="auto"/>
          <w:szCs w:val="21"/>
          <w:highlight w:val="none"/>
        </w:rPr>
        <w:t xml:space="preserve">环境</w:t>
      </w:r>
      <w:r>
        <w:rPr>
          <w:rFonts w:hint="eastAsia" w:ascii="宋体" w:hAnsi="宋体" w:cs="宋体"/>
          <w:color w:val="auto"/>
          <w:szCs w:val="21"/>
          <w:highlight w:val="none"/>
        </w:rPr>
        <w:t xml:space="preserve">中运行。</w:t>
      </w:r>
      <w:r/>
    </w:p>
    <w:p>
      <w:pPr>
        <w:pStyle w:val="1052"/>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沙箱环境应</w:t>
      </w:r>
      <w:r>
        <w:rPr>
          <w:rFonts w:hint="eastAsia" w:ascii="宋体" w:hAnsi="宋体" w:cs="宋体"/>
          <w:color w:val="auto"/>
          <w:szCs w:val="21"/>
          <w:highlight w:val="none"/>
        </w:rPr>
        <w:t xml:space="preserve">保证</w:t>
      </w:r>
      <w:r>
        <w:rPr>
          <w:rFonts w:hint="eastAsia" w:ascii="宋体" w:hAnsi="宋体" w:cs="宋体"/>
          <w:color w:val="auto"/>
          <w:szCs w:val="21"/>
          <w:highlight w:val="none"/>
        </w:rPr>
        <w:t xml:space="preserve">智能体可以进行自我测试验证，且整个过程可记录、可追溯。</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综合安防管理平台ARM信创升级</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5.1系统管理功能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1、支持管理最大组织数2000个，组织层级最大10级；</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2、支持管理最大区域数2000个，区域层级最大10级。；</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3、支持管理最大人员数量5万；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4、支持管理最大卡片数量5万；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5、支持管理最大车辆数量3万；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6、支持最大的在线用户数1000个，并发登录用户数50个。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7、支持最大事件并发处理500条/秒（不带图片）；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8、支持联动上墙并发1次/秒；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支持最大每秒联动100个不同的视频点位进行抓图；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10、支持最大每秒联动100个不同的视频点位进行录像；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11、支持联动并发发邮件2封/秒；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12、支持短信联动（云信留客短信网关：1-2秒/条；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短信猫：70字符以下，10秒/条；70字符以上分条发送，20秒/条；）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13、支持最大事件存储7200万条；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14、支持管理资源上图数量2万个。</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5.2视频监控功能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支持监控点数量10W个（超过5000需要分布式部署）；</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2、支持并发取流带宽2000M，例如以2M/路计算最大并发路数为1000路 （以千兆服务器为例，每台服务器并发取流带宽为600M，超过600M需要分布式部署）；</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解码能力：在i7、GTX1070的PC上，解码H264、720P的视频36路；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4、支持电视墙最大场景数128个；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5、单个电视墙最大支持数量25*25个；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6、单个窗口最大分割数量16个。</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5.3设备网络管理功能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1、单节点在线状态巡检效率不低于1000路/小时；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2、单节点录像情况巡检效率不低于1000路/小时</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5.4视频联网功能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1、最大级联监控点数量20W个；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2、单个NCG信令节点：最大支持5个上级域平台、15个下级域平台；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支持并发取流带宽2000M，例如以2M/路计算最大并发路数为1000路 （以千兆服务器为例，每台服务器并发取流带宽为600M，超过600M需要分布式部署）。</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5.5入侵报警功能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1、支持管理最大防区数量10000个；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2、支持报警记录最大存储数量1000W条。</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5.6广播播音管理功能</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5.6.1实时广播：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实时广播通过接入网络寻呼话筒、网络功放、网络音箱\音柱设备实现公共广播能力，提供分区广播、实时广播、紧急广播、媒体库管理、广播录音功能服务。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1、分区广播，支持广播点分区管理，可选择单个\多个分区进行广播操作；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2、实时喊话广播，支持通过实时喊话进行实时广播；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3、媒体广播，支持选择媒体文件进行实时广播和媒体库管理；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4、媒体轮巡广播，支持轮巡模式进行媒体广播播放；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5、紧急广播，支持一键全区广播，优先级最高可抢断所有正在执行的广播任务。</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5.6.2定时广播：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定时广播通过定时任务编排管理，可制定某个时间点在某些广播点位播放特定内容的广播任务。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1、支持定时广播管理，可对定时广播任务执行暂停操作；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2、广播内容支持选择媒体文件，也支持文字转语音模式（需购买文本广播授权）；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3、支持下发定时任务至广播终端，由终端定时触发广播任务；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4、支持中心端和设备端两种定时广播任务模式。</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5.6.3设备管理：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1、支持ISAPI/ISUP5/OTAP/SIP协议广播音箱/音柱/功放/音频解码器添加；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2、支持ISAPI协议添加寻呼话筒、音频采集器。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6.4、分区管理：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1、支持用户增删改分区操作；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2、支持用户对分区增删广播点操作；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3、分区支持用户权限管控。</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5.6.4媒体库管理：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1、支持用户增删改媒体库目录；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2、支持用户上传音频媒体文件，音频文件格式支持WAV/MP3；</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3、支持媒体库用户权限管控。</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5.6.5广播记录：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1、支持对定时广播操作、实时广播操作、智能广播联动操作记录；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2、定时广播操作记录可按时间、任务、分区、点位、操作类型（下发、禁启用）维度进行筛选；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3、实时广播操作记录可按发起终端、广播终端、时间、类型（喊话、紧急广播、预案、文件点播、联动喊话）以及实时广播状态进行筛选。</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5.6.6广播统计：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1、可按实时广播和智能播报进行统计，实时广播可按时间、用户、发起终端、播报类型维度进行统计；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2、智能播报可按时间、播报场景维度进行统计。</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5.6.7性能要求：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1、广播终端设备（含网络音柱、网络音箱、网络功放、消防矩阵）最大接入量：10000台；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2、单台服务器最大支持并发广播路数：2000路；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3、单个区域最大广播设备数量：1000个；</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4、单个广播分区最大广播点数量：1000个。</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5.7音频采集终端管理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1、支持多种音频采集终端接入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2、支持接入终端包含寻呼话筒、音频采集器、采集终端接入；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3、支持寻呼话筒和音频采集终端音频播放、广播喊话、及寻呼话筒和音频采集器预案广播。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4、支持最大接入音频采集终端200个（含寻呼话筒、音频采集器、采集终端总和）。</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5.8文本广播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1、支持用户输入文字对广播终端进行广播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2、支持用户导入文本文件，对文本内容实时通知广播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3、文本格式支持WORD、PDF、TXT</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4、文本通知导入单个文件小于100kb。</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5、控制台单次便捷文本最大1000个字符。</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5.9图上监控功能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可提供各类资源图上展示及控制操作，在地图上可展示各类资源点的地理位置，通过接收资源点报警事件，实现报警信息可视化展示。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1、支持地图配置能力，包含在线（高德）、离线GIS地图（高德、自定义）；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2、支持资源上图配置能力，实现资源的地图可视化展示及控制操作，资源类型包含监控点、报警输出、报警输入、门禁点、出入口、停车场、传感器、手持视频终端、园区卡口资源、防区、报警输入、报警输出、报警主机IO输出、消防设备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3、支持事件可视化监控能力，实时展示报警事件，支持历史报警事件查询；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4、支持针对移动GPS设备的运行轨迹回放能力，如单兵设备。</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 视图算力扩容服务</w:t>
      </w:r>
      <w:r/>
    </w:p>
    <w:p>
      <w:pPr>
        <w:ind w:left="418"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CPU:≥</w:t>
      </w:r>
      <w:r>
        <w:rPr>
          <w:rFonts w:hint="eastAsia" w:ascii="宋体" w:hAnsi="宋体" w:eastAsia="宋体" w:cs="宋体"/>
          <w:color w:val="auto"/>
          <w:sz w:val="21"/>
          <w:szCs w:val="21"/>
          <w:highlight w:val="none"/>
        </w:rPr>
        <w:t xml:space="preserve">2*(ARM架构,单CPU≥48核,主频≥2.6GHz)</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内存:≥8*32GB/DDR4/RDIMM内存-ECC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SATA/SASSSD:≥2*960G-SATASSD-读取密集型-2.5寸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SASHDD:≥1*通用硬盘-6TB-SAS12Gb/s-7.2Krpm-128MB缓存或以上-3.5英寸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RAID:无缓存RAID卡/支持RAID0,1,10/支持边带管理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模组:≥2*3*16XSLOT(PCIEX8)T4RISER1&amp;2模组-支持A300IPro/A300Vpro/T4GPU/昇腾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IO模组:≥1*2*2.5"后置硬盘背板组件+16XSLOT(PCIEX8)-RISER1模组-SASRISER专用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网卡:≥1*以太网卡-10G/25GE-四端口-SFP28(不含光模块)-PCIE3.0x16</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电源模块:≥2*服务器白金900W交流电源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服务器配件:2.5英寸硬盘托架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服务器配件:3.5英寸硬盘托架/样式托架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服务器配件:2U静态滑轨套件（导轨）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光模块组:≥4*光模块-SFP+-10G-多模模块(850nm,0.3km,LC)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AI加速配件：≥4*Atlas300VPro视频解析卡PCI-E1*16x(HHHL)-附半高拉手条,全高拉手条各一个-LPDDR4x48GB-72W-单槽位-被动散热-VendorID19E5-DeviceIDD500/通用</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 大模型算力服务</w:t>
      </w:r>
      <w:r/>
    </w:p>
    <w:p>
      <w:pPr>
        <w:ind w:left="418"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CPU: ≥20核ARM</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内存/显存:统一内存≥128G</w:t>
      </w:r>
      <w:r>
        <w:rPr>
          <w:rFonts w:hint="eastAsia" w:ascii="宋体" w:hAnsi="宋体" w:eastAsia="宋体" w:cs="宋体"/>
          <w:color w:val="auto"/>
          <w:sz w:val="21"/>
          <w:szCs w:val="21"/>
          <w:highlight w:val="none"/>
        </w:rPr>
        <w:br/>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算力：≥1000TOPS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存储：≥4TBNVMeM.2固态硬盘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网卡:支持10GbE以太网和200GbERDMA集群连接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电源模块：标配240W外置电源适配器供电</w:t>
      </w:r>
      <w:r/>
    </w:p>
    <w:p>
      <w:pPr>
        <w:ind w:firstLine="422"/>
        <w:jc w:val="both"/>
        <w:keepLines w:val="0"/>
        <w:keepNext w:val="0"/>
        <w:pageBreakBefore w:val="0"/>
        <w:spacing w:line="360" w:lineRule="auto"/>
        <w:widowControl w:val="off"/>
        <w:rPr>
          <w:rFonts w:hint="eastAsia" w:ascii="宋体" w:hAnsi="宋体" w:eastAsia="宋体" w:cs="Times New Roman"/>
          <w:b/>
          <w:color w:val="auto"/>
          <w:sz w:val="21"/>
          <w:szCs w:val="21"/>
          <w:highlight w:val="none"/>
        </w:rPr>
      </w:pPr>
      <w:r/>
      <w:bookmarkStart w:id="11" w:name="_Toc25315714"/>
      <w:r>
        <w:rPr>
          <w:rFonts w:hint="eastAsia" w:ascii="宋体" w:hAnsi="宋体" w:eastAsia="宋体" w:cs="Times New Roman"/>
          <w:b/>
          <w:color w:val="auto"/>
          <w:sz w:val="21"/>
          <w:szCs w:val="21"/>
          <w:highlight w:val="none"/>
        </w:rPr>
        <w:t xml:space="preserve">四、相关保密要求</w:t>
      </w:r>
      <w:bookmarkEnd w:id="11"/>
      <w:r>
        <w:rPr>
          <w:rFonts w:hint="eastAsia" w:ascii="宋体" w:hAnsi="宋体" w:eastAsia="宋体" w:cs="Times New Roman"/>
          <w:b/>
          <w:color w:val="auto"/>
          <w:sz w:val="21"/>
          <w:szCs w:val="21"/>
          <w:highlight w:val="none"/>
        </w:rPr>
        <w:t xml:space="preserve"> </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中标人设置专职维修机构的技术、维保人员，必须每年报采购人备案，待采购人审批通过后，才能进入采购人中心机房等涉密机构。新增或变动的人员，中标人应及时上报，操作步骤同上；每次进入应做好登记。</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采购人与中标人进入涉密机构的技术、维保人员都应当签订保密协议。</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监控维护人员在维修保养中，不得擅自记录、复制、拍摄、摘抄、收藏警务工作秘密和他人隐私。</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不在私人交往和公开场所泄露在工作中涉及到的案件信息或案件进展情况。</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不在私人交往和公开场所泄露公安机关的监控系统布局、监控范围及时段等信息。</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对于在维护保养中拆换的监控设备及零件全部交由采购人保管，并做好登记。</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不得浏览与工作无关的公安计算机网络网页。</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自觉服从单位管理，经常性地参加本部门开展的保密教育活动。</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故意违反保密规定，或过失违反保密规定的，情节严重构成犯罪的，将依法承担刑事责任。</w:t>
      </w:r>
      <w:r/>
    </w:p>
    <w:p>
      <w:pPr>
        <w:ind w:firstLine="422"/>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b/>
          <w:bCs/>
          <w:color w:val="auto"/>
          <w:sz w:val="21"/>
          <w:szCs w:val="21"/>
          <w:highlight w:val="none"/>
        </w:rPr>
        <w:t xml:space="preserve">五、其他要求</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1.数据服务要求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视频数据均按照 GB/T28181-2016标准对接太仓公安监控平台。</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图片及报文数据按照GA/T 1400-2017 协议对接苏州公安接入云（人脸、人体、非机动车、机动车、车牌、背景图）</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所有内外场设备时钟均需配置相关时钟同步。</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2.设备用电要求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服务期内接电费用、用电费用由中标单位负责。</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12" w:name="_Toc520563387"/>
      <w:r>
        <w:rPr>
          <w:rFonts w:hint="eastAsia" w:ascii="宋体" w:hAnsi="宋体" w:eastAsia="宋体" w:cs="仿宋"/>
          <w:b/>
          <w:bCs/>
          <w:color w:val="auto"/>
          <w:sz w:val="21"/>
          <w:szCs w:val="21"/>
          <w:highlight w:val="none"/>
        </w:rPr>
        <w:t xml:space="preserve">3.杆件、基础及配套工程</w:t>
      </w:r>
      <w:bookmarkEnd w:id="12"/>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（一）管道工程要求</w:t>
      </w:r>
      <w:bookmarkStart w:id="13" w:name="_Toc427834224"/>
      <w:r/>
      <w:bookmarkStart w:id="14" w:name="_Toc423897280"/>
      <w:r/>
      <w:bookmarkStart w:id="15" w:name="_Toc449453939"/>
      <w:r/>
      <w:bookmarkStart w:id="16" w:name="_Toc426148472"/>
      <w:r/>
      <w:bookmarkStart w:id="17" w:name="_Toc448153453"/>
      <w:r/>
      <w:bookmarkStart w:id="18" w:name="_Toc520563389"/>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管道</w:t>
      </w:r>
      <w:bookmarkEnd w:id="13"/>
      <w:r/>
      <w:bookmarkEnd w:id="14"/>
      <w:r/>
      <w:bookmarkEnd w:id="15"/>
      <w:r/>
      <w:bookmarkEnd w:id="16"/>
      <w:r/>
      <w:bookmarkEnd w:id="17"/>
      <w:r/>
      <w:bookmarkEnd w:id="18"/>
      <w:r>
        <w:rPr>
          <w:rFonts w:hint="eastAsia" w:ascii="宋体" w:hAnsi="宋体" w:eastAsia="宋体" w:cs="仿宋"/>
          <w:b/>
          <w:bCs/>
          <w:color w:val="auto"/>
          <w:sz w:val="21"/>
          <w:szCs w:val="21"/>
          <w:highlight w:val="none"/>
        </w:rPr>
        <w:t xml:space="preserve">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初步统计，为以后的施工做好基础。</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进行施工放样前先校核施工图纸，按施工图纸提供的路线及位置，定出管道线路走向。认真详细做好记录，必要时应附示意图方便资料的整理。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施工中沥青和水泥混凝路面采取横平竖直开挖，人行道按沿砖缝线开挖，路面恢复后应平整、不积水，并保持施工完后路面的完整。</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（1）沥青路面挖掘及恢复施工：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1）现场打围后，严格按照设计施工图进行测量放线；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2）现场复核后按照放线位置进行路面切割，保证切割的直顺度，人工破除路面及基层；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3）为避免道路恢复后路面下沉，管道沟槽开挖后形成V形沟槽,搭肩宽度为100mm。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4）沥青路面开挖宽度不低于200mm，沟槽总深度不低于600mm。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5）沟底土基土质较差时应换尽不良土，沟底土须碾压密实后敷设管道，要求土基回弹模量Eo≥35Mpa，压实度要求≥95%。</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6）管道敷设后采用最终强度可达80～90Mpa的（快干、早强）C25混凝土浇灌至离路面100mm位置。</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7）C25混凝土至离路面100mm位置采用热沥青罩面，用压实机具进行夯实。为保证沥青路面恢复质量，沥青路面恢复由指定专业道路管护单位统一安排施工。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（2）水泥混凝土路面挖掘及恢复施工：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1）现场打围后，严格按照设计施工图进行测量放线；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2）现场复核后按照放线位置进行路面切割，保证切割的直顺度，人工破除路面及基层；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3）为避免道路恢复后路面下沉，管道沟槽开挖后形成V形沟槽,搭肩宽度为100mm。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4）为减少对水泥路面的伤害，开挖沟槽应尽量选择伸缩缝作为一边开挖线。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5）水泥混凝土路面开挖宽度不低于200mm，沟槽总深度不低于600mm。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6）沟底土基土质较差时应换尽不良土，沟底土须碾压密实后敷设管道，要求土基回弹模量Eo≥35Mpa，压实度要求≥95%。</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7）管道敷设后采用最终强度可达80～90Mpa的（快干、早强）C25混凝土浇灌至原路面位置。</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（3）人行道路面挖掘及恢复施工：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1）现场打围后，严格按照设计施工图进行测量放线；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2）现场复核后按照放线位置进行路面切割，保证切割的直顺度，人工破除路面及基层；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3）为避免道路恢复后路面下沉，管道沟槽开挖后形成V形沟槽。</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4）人行道路面开挖沟槽应尽量选择花砖缝作为开挖线，应根据花砖宽度调整开挖宽度，开挖宽度不低于200mm，沟槽总深度为不低于800mm。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5）沟底土基土质较差时应换尽不良土，沟底土须碾压密实后敷设管道，要求土基回弹模量Eo≥35Mpa，压实度要求≥95%。</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6）人行道路恢复选用与原人行道路面相同材料对路面进行恢复，达到与原路面材料颜色花纹协调一致。</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(4)绿化带管道开挖及恢复：</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1)现场打围后，严格按照设计施工图进行测量放线；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2)现场复核后按照放线位置绿化带的开挖，开挖时注意对管道外的绿化的保护；</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3)绿化带管道开挖宽度不低于200mm，沟槽总深度不低于800mm。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4）沟底土基土质较差时应换尽不良土，沟底土须碾压密实后敷设管道，要求土基回弹模量Eo≥35Mpa，压实度要求≥95%。</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5）管道敷设后将其恢复成原绿化带的标准。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19" w:name="_Toc423897281"/>
      <w:r/>
      <w:bookmarkStart w:id="20" w:name="_Toc520563390"/>
      <w:r/>
      <w:bookmarkStart w:id="21" w:name="_Toc427834225"/>
      <w:r/>
      <w:bookmarkStart w:id="22" w:name="_Toc448153454"/>
      <w:r/>
      <w:bookmarkStart w:id="23" w:name="_Toc449453940"/>
      <w:r/>
      <w:bookmarkStart w:id="24" w:name="_Toc426148473"/>
      <w:r>
        <w:rPr>
          <w:rFonts w:hint="eastAsia" w:ascii="宋体" w:hAnsi="宋体" w:eastAsia="宋体" w:cs="仿宋"/>
          <w:b/>
          <w:bCs/>
          <w:color w:val="auto"/>
          <w:sz w:val="21"/>
          <w:szCs w:val="21"/>
          <w:highlight w:val="none"/>
        </w:rPr>
        <w:t xml:space="preserve">窨井</w:t>
      </w:r>
      <w:bookmarkEnd w:id="19"/>
      <w:r/>
      <w:bookmarkEnd w:id="20"/>
      <w:r/>
      <w:bookmarkEnd w:id="21"/>
      <w:r/>
      <w:bookmarkEnd w:id="22"/>
      <w:r/>
      <w:bookmarkEnd w:id="23"/>
      <w:r/>
      <w:bookmarkEnd w:id="24"/>
      <w:r>
        <w:rPr>
          <w:rFonts w:hint="eastAsia" w:ascii="宋体" w:hAnsi="宋体" w:eastAsia="宋体" w:cs="仿宋"/>
          <w:b/>
          <w:bCs/>
          <w:color w:val="auto"/>
          <w:sz w:val="21"/>
          <w:szCs w:val="21"/>
          <w:highlight w:val="none"/>
        </w:rPr>
        <w:t xml:space="preserve">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1）砌筑前校核基础尺寸及高程，测放出井中及砌筑边线。灰砂砖在建筑前用水湿润，含水量为10%~15%，砂浆配合比由实验室确定。</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2）基础砌筑前，基垫层表面应清扫干净，淋水湿润。</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3）砌筑时须挂线施工：先挂线对中点，砌筑时经常以此垂线对中点，用钢尺检查各边尺寸、距离是否符合要求。保证方井砌筑时墙体垂直，井口方正。</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4）砌筑宜采用一铲灰，一块砖，一挤揉的砌法。砌体应分层，上下错缝，内外搭接，砌体的转角处和交接处应同时砌筑，不能同时砌筑的应用梯级槎。</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砌筑圆形检查井时要注意圆度。挂线校核内径，收口段每皮检查，看有无偏移。井下部干管伸入处，特别是管底两侧要用砂浆碎砖捣插密实，使其不渗漏，收口高度事先算出，按每层缩入2cm，即每圈缩入4cm计算。</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6）水泥砂浆必须在4h内用完，不得使用过夜砂浆。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7）检查井的井环用1:2水泥砂浆固定。井环面应与路面标高相同；</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25" w:name="_Toc520563391"/>
      <w:r/>
      <w:bookmarkStart w:id="26" w:name="_Toc449453943"/>
      <w:r/>
      <w:bookmarkStart w:id="27" w:name="_Toc423897284"/>
      <w:r/>
      <w:bookmarkStart w:id="28" w:name="_Toc448153457"/>
      <w:r/>
      <w:bookmarkStart w:id="29" w:name="_Toc427834228"/>
      <w:r/>
      <w:bookmarkStart w:id="30" w:name="_Toc426148476"/>
      <w:r>
        <w:rPr>
          <w:rFonts w:hint="eastAsia" w:ascii="宋体" w:hAnsi="宋体" w:eastAsia="宋体" w:cs="仿宋"/>
          <w:b/>
          <w:bCs/>
          <w:color w:val="auto"/>
          <w:sz w:val="21"/>
          <w:szCs w:val="21"/>
          <w:highlight w:val="none"/>
          <w:lang w:eastAsia="zh-CN"/>
        </w:rPr>
        <w:t xml:space="preserve">（</w:t>
      </w:r>
      <w:r>
        <w:rPr>
          <w:rFonts w:hint="eastAsia" w:ascii="宋体" w:hAnsi="宋体" w:eastAsia="宋体" w:cs="仿宋"/>
          <w:b/>
          <w:bCs/>
          <w:color w:val="auto"/>
          <w:sz w:val="21"/>
          <w:szCs w:val="21"/>
          <w:highlight w:val="none"/>
          <w:lang w:val="en-US" w:eastAsia="zh-CN"/>
        </w:rPr>
        <w:t xml:space="preserve">二</w:t>
      </w:r>
      <w:r>
        <w:rPr>
          <w:rFonts w:hint="eastAsia" w:ascii="宋体" w:hAnsi="宋体" w:eastAsia="宋体" w:cs="仿宋"/>
          <w:b/>
          <w:bCs/>
          <w:color w:val="auto"/>
          <w:sz w:val="21"/>
          <w:szCs w:val="21"/>
          <w:highlight w:val="none"/>
          <w:lang w:eastAsia="zh-CN"/>
        </w:rPr>
        <w:t xml:space="preserve">）</w:t>
      </w:r>
      <w:r>
        <w:rPr>
          <w:rFonts w:hint="eastAsia" w:ascii="宋体" w:hAnsi="宋体" w:eastAsia="宋体" w:cs="仿宋"/>
          <w:b/>
          <w:bCs/>
          <w:color w:val="auto"/>
          <w:sz w:val="21"/>
          <w:szCs w:val="21"/>
          <w:highlight w:val="none"/>
        </w:rPr>
        <w:t xml:space="preserve">线缆敷设工程</w:t>
      </w:r>
      <w:bookmarkEnd w:id="25"/>
      <w:r>
        <w:rPr>
          <w:rFonts w:hint="eastAsia" w:ascii="宋体" w:hAnsi="宋体" w:eastAsia="宋体" w:cs="仿宋"/>
          <w:b/>
          <w:bCs/>
          <w:color w:val="auto"/>
          <w:sz w:val="21"/>
          <w:szCs w:val="21"/>
          <w:highlight w:val="none"/>
        </w:rPr>
        <w:t xml:space="preserve">要求</w:t>
      </w:r>
      <w:bookmarkStart w:id="31" w:name="_Toc520563392"/>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供电线缆敷设</w:t>
      </w:r>
      <w:bookmarkEnd w:id="26"/>
      <w:r/>
      <w:bookmarkEnd w:id="27"/>
      <w:r/>
      <w:bookmarkEnd w:id="28"/>
      <w:r/>
      <w:bookmarkEnd w:id="29"/>
      <w:r/>
      <w:bookmarkEnd w:id="30"/>
      <w:r/>
      <w:bookmarkEnd w:id="31"/>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32" w:name="_Toc427834229"/>
      <w:r/>
      <w:bookmarkStart w:id="33" w:name="_Toc448153458"/>
      <w:r/>
      <w:bookmarkStart w:id="34" w:name="_Toc423897285"/>
      <w:r/>
      <w:bookmarkStart w:id="35" w:name="_Toc426148477"/>
      <w:r/>
      <w:bookmarkStart w:id="36" w:name="_Toc520563393"/>
      <w:r/>
      <w:bookmarkStart w:id="37" w:name="_Toc449453944"/>
      <w:r>
        <w:rPr>
          <w:rFonts w:hint="eastAsia" w:ascii="宋体" w:hAnsi="宋体" w:eastAsia="宋体" w:cs="仿宋"/>
          <w:b/>
          <w:bCs/>
          <w:color w:val="auto"/>
          <w:sz w:val="21"/>
          <w:szCs w:val="21"/>
          <w:highlight w:val="none"/>
        </w:rPr>
        <w:t xml:space="preserve">一般要求</w:t>
      </w:r>
      <w:bookmarkEnd w:id="32"/>
      <w:r/>
      <w:bookmarkEnd w:id="33"/>
      <w:r/>
      <w:bookmarkEnd w:id="34"/>
      <w:r/>
      <w:bookmarkEnd w:id="35"/>
      <w:r/>
      <w:bookmarkEnd w:id="36"/>
      <w:r/>
      <w:bookmarkEnd w:id="37"/>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运到现场的电缆及材料均应核对其型号、规格符合设计要求，并有合格证。</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检查电缆及材料外观无损伤和缺陷。</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卸货和搬运作业时，均不得使设备或外来物体接触到电缆表面。</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在任何情况下，均不得将电缆盘从所载运的车辆上推到地面上。</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经切割的电缆两端应立即密封，以避免潮气侵入。</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38" w:name="_Toc427834230"/>
      <w:r/>
      <w:bookmarkStart w:id="39" w:name="_Toc448153459"/>
      <w:r/>
      <w:bookmarkStart w:id="40" w:name="_Toc423897286"/>
      <w:r/>
      <w:bookmarkStart w:id="41" w:name="_Toc426148478"/>
      <w:r/>
      <w:bookmarkStart w:id="42" w:name="_Toc449453945"/>
      <w:r/>
      <w:bookmarkStart w:id="43" w:name="_Toc520563394"/>
      <w:r>
        <w:rPr>
          <w:rFonts w:hint="eastAsia" w:ascii="宋体" w:hAnsi="宋体" w:eastAsia="宋体" w:cs="仿宋"/>
          <w:b/>
          <w:bCs/>
          <w:color w:val="auto"/>
          <w:sz w:val="21"/>
          <w:szCs w:val="21"/>
          <w:highlight w:val="none"/>
        </w:rPr>
        <w:t xml:space="preserve">电缆导管敷设</w:t>
      </w:r>
      <w:bookmarkEnd w:id="38"/>
      <w:r/>
      <w:bookmarkEnd w:id="39"/>
      <w:r/>
      <w:bookmarkEnd w:id="40"/>
      <w:r/>
      <w:bookmarkEnd w:id="41"/>
      <w:r/>
      <w:bookmarkEnd w:id="42"/>
      <w:r/>
      <w:bookmarkEnd w:id="43"/>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管口切割以后，内边缘必须锉平。</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导线管必须冷弯，弯曲半径符合规范要求。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埋地导管在安装预制前，先按施工图确定好路径，安装好的导管要用非木质件固定并随导管一起埋入地坪，导管埋深符合规范要求。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在地面上敷设的导管要适当地固定在附近的结构或支架上，接线盒的安装要避免雨水进入。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镀锌管锌层剥落处应涂以防腐漆。</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电缆敷设前准备</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根据电缆到货长度，敷设长度编制电缆分配表，分列各编号电缆的起点、终点、长度及分配盘号。</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根据现场电缆分布情况和电缆分配表，安排电缆敷设顺序，宜先远后近，先集中后分散。</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电缆敷设前需对每盘电缆进行导通性和绝缘性检查，合格电缆方可敷设，绝缘检查低压电缆用500VM表测试。</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电缆型号、规格等应符合设计要求，外观良好，保护层无破损。</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电缆槽/托盘安装完，直埋电缆区域无土方开挖，电缆保护管预埋工作已完成，导管中穿好铁丝。</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设计一个合适的表格，记录每个电缆盘每次提取的电缆数量和剩余的电缆数量。</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管内穿线</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对穿管敷设的绝缘导线，其额定电压不低于500V。</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不同回路、不同电压等级的导线，不穿在同一根管内。</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同类供电的几个回路可穿入同一根管内，但管内导线总数不多于8根。</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同一交流回路的导线穿于同一钢管内。</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导线在管内无接头和扭结，接头设在接线盒（箱）内。</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管内导线包括绝缘层在内的总截面积不大于管子内空截面积的40％。</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接头连接和终端连接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电力电缆终端头的制作，必须按制造厂提供的详图由熟悉制作工艺的人员进行。</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低压电缆终端头采用绝缘胶带包扎密封。</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电缆在最终连接前，进行导通性和绝缘性测试，中压电缆按MLD-01-F-60-001规定做直流耐压试验。</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44" w:name="_Toc426148479"/>
      <w:r/>
      <w:bookmarkStart w:id="45" w:name="_Toc520563395"/>
      <w:r/>
      <w:bookmarkStart w:id="46" w:name="_Toc427834231"/>
      <w:r/>
      <w:bookmarkStart w:id="47" w:name="_Toc448153460"/>
      <w:r/>
      <w:bookmarkStart w:id="48" w:name="_Toc449453946"/>
      <w:r/>
      <w:bookmarkStart w:id="49" w:name="_Toc423897287"/>
      <w:r>
        <w:rPr>
          <w:rFonts w:hint="eastAsia" w:ascii="宋体" w:hAnsi="宋体" w:eastAsia="宋体" w:cs="仿宋"/>
          <w:b/>
          <w:bCs/>
          <w:color w:val="auto"/>
          <w:sz w:val="21"/>
          <w:szCs w:val="21"/>
          <w:highlight w:val="none"/>
        </w:rPr>
        <w:t xml:space="preserve">通信线缆敷设</w:t>
      </w:r>
      <w:bookmarkEnd w:id="44"/>
      <w:r/>
      <w:bookmarkEnd w:id="45"/>
      <w:r/>
      <w:bookmarkEnd w:id="46"/>
      <w:r/>
      <w:bookmarkEnd w:id="47"/>
      <w:r/>
      <w:bookmarkEnd w:id="48"/>
      <w:r/>
      <w:bookmarkEnd w:id="49"/>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光缆将按实际长度铺设，铺设时不超过光缆厂家规定的牵引张力和弯曲半径的要求。在铺设光缆之前，每个管道要用合适的方法清理。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光缆在人孔井外十分清洁的环境中接续。光缆接续采用熔接法，光缆接头应配有单独的接头护套。</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备有备用光缆并装在光缆接头盒的托盘上，放在托盘上的光纤不应产生微弯曲损耗。每根光缆在1310nm波长的接头损耗不超过0.ldB。</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在所有光缆需要分歧或分配出与单独终端单元相连的光纤接头应使用接头盒保护；接头盒的设计应易于安装。</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接头盒应为光缆接头提供一个密闭的、防潮的环境。接头盒应能重新进入，以便维修和满足其它工作要求。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接头牢固地安装在每个人孔中。接头应安装在尽可能高处，以免浸水。</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每根光缆端接在光缆终端和接线板上，光缆应在每个站端接。接线板的容量足以端接所有室外光纤。进局光缆有标志，以区别其它电缆。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设备侧的光缆长度应作适当预留，一股为10~20m，可存在光端机室或进线室。进局光缆的弯曲半径不应太小，以免产生微弯曲损耗。</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光缆接续及测试</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（1）通信光缆接续工艺流程</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在接续过程中通过OTDR监测，以确保光纤持续质量。</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中继段测试采用OTDR和介入法两种方法测试。</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（2）操作要求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清理场地、塔置防尘帐篷，准备好工具、材料；</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切断光缆缆芯，但不得用钢锯，必须用电缆剪刀；</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光缆余留及切割尺寸，弯曲半径等应符合规定；光纤接续操作时，操作人员应穿作业服、戴作业帽、工作手套；</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将待接续光纤被覆层擦干净，以免弄脏加强保护热熔管和熔接机后面。接续过程中应特别注意清洁，尤其是环境条件及操作人员的双手；</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用剥除器剥除光纤被覆，用丙酮将裸光纤擦净，用光纤切割器切出端面，端面不合格时需重新切割；</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监视光纤熔接测定值及仔细观察接续图像有无缺陷情况，如不合格则重新制备光纤端面，再次接续，直到合格为止；</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接续好的光线从容阶级取出时，注意动作要慢，移动加强保护热熔管位置应适中，收缩后两端应包住光纤的被覆层不小于10mm；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光纤收容时注意弯曲半径应不小于40mm；</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接头盒内壁、密封条、槽等应用酒精擦拭干净，组装时应严格按操作规程进行。</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其他</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本项目中所涉及的电源、网络等线路一律不得飞线。</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bookmarkStart w:id="50" w:name="_Toc427834233"/>
      <w:r/>
      <w:bookmarkStart w:id="51" w:name="_Toc423897289"/>
      <w:r/>
      <w:bookmarkStart w:id="52" w:name="_Toc449453948"/>
      <w:r/>
      <w:bookmarkStart w:id="53" w:name="_Toc520563397"/>
      <w:r/>
      <w:bookmarkStart w:id="54" w:name="_Toc426148481"/>
      <w:r/>
      <w:bookmarkStart w:id="55" w:name="_Toc448153462"/>
      <w:r>
        <w:rPr>
          <w:rFonts w:hint="eastAsia" w:ascii="宋体" w:hAnsi="宋体" w:eastAsia="宋体" w:cs="仿宋"/>
          <w:b/>
          <w:bCs/>
          <w:color w:val="auto"/>
          <w:sz w:val="21"/>
          <w:szCs w:val="21"/>
          <w:highlight w:val="none"/>
        </w:rPr>
        <w:t xml:space="preserve">箱体</w:t>
      </w:r>
      <w:bookmarkEnd w:id="50"/>
      <w:r/>
      <w:bookmarkEnd w:id="51"/>
      <w:r/>
      <w:bookmarkEnd w:id="52"/>
      <w:r/>
      <w:bookmarkEnd w:id="53"/>
      <w:r/>
      <w:bookmarkEnd w:id="54"/>
      <w:r/>
      <w:bookmarkEnd w:id="55"/>
      <w:r>
        <w:rPr>
          <w:rFonts w:hint="eastAsia" w:ascii="宋体" w:hAnsi="宋体" w:eastAsia="宋体" w:cs="仿宋"/>
          <w:b/>
          <w:bCs/>
          <w:color w:val="auto"/>
          <w:sz w:val="21"/>
          <w:szCs w:val="21"/>
          <w:highlight w:val="none"/>
        </w:rPr>
        <w:t xml:space="preserve">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bookmarkStart w:id="56" w:name="_Toc423897290"/>
      <w:r/>
      <w:bookmarkStart w:id="57" w:name="_Toc427834234"/>
      <w:r/>
      <w:bookmarkStart w:id="58" w:name="_Toc426148482"/>
      <w:r/>
      <w:bookmarkStart w:id="59" w:name="_Toc448153463"/>
      <w:r/>
      <w:bookmarkStart w:id="60" w:name="_Toc449453949"/>
      <w:r>
        <w:rPr>
          <w:rFonts w:hint="eastAsia" w:ascii="宋体" w:hAnsi="宋体" w:eastAsia="宋体" w:cs="仿宋"/>
          <w:color w:val="auto"/>
          <w:sz w:val="21"/>
          <w:szCs w:val="21"/>
          <w:highlight w:val="none"/>
        </w:rPr>
        <w:t xml:space="preserve">机箱内强、弱电应分层隔开，内部各种线缆应固定可靠。</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bookmarkStart w:id="61" w:name="_Toc520563398"/>
      <w:r>
        <w:rPr>
          <w:rFonts w:hint="eastAsia" w:ascii="宋体" w:hAnsi="宋体" w:eastAsia="宋体" w:cs="仿宋"/>
          <w:color w:val="auto"/>
          <w:sz w:val="21"/>
          <w:szCs w:val="21"/>
          <w:highlight w:val="none"/>
        </w:rPr>
        <w:t xml:space="preserve">（三）杆件防雷接地</w:t>
      </w:r>
      <w:bookmarkEnd w:id="56"/>
      <w:r/>
      <w:bookmarkEnd w:id="57"/>
      <w:r/>
      <w:bookmarkEnd w:id="58"/>
      <w:r/>
      <w:bookmarkEnd w:id="59"/>
      <w:r/>
      <w:bookmarkEnd w:id="60"/>
      <w:r/>
      <w:bookmarkEnd w:id="61"/>
      <w:r>
        <w:rPr>
          <w:rFonts w:hint="eastAsia" w:ascii="宋体" w:hAnsi="宋体" w:eastAsia="宋体" w:cs="仿宋"/>
          <w:color w:val="auto"/>
          <w:sz w:val="21"/>
          <w:szCs w:val="21"/>
          <w:highlight w:val="none"/>
        </w:rPr>
        <w:t xml:space="preserve">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设备有要求时应进行工作接地、所有配套的外露金属设施构件都应按照IEC的有关规定进行综合接地处理，接地电阻必须小于设备规定的工作接地和安全接地电阻，综合接地电阻≤4Ω。</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所有接地极的接地电阻将进行测量；经测量达不到要求时，将在接地极回填土中加入无腐蚀性长效降阻剂；当仍达不到要求时，将经过业主同意，采用更换接地装置的措施。</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（四）其他要求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本工程所选用的高清视频抓拍设备必须通过《公共安全视频监控联网系统信息传输、交换、控制技术要求》GB/T28181-2016的技术标准。（GB/T28181-2022正式实施后优先满足GB/T28181-2022相关规定）</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施工方需负责对接地、标定等进行具备权威资质的第三方检测，甲方有要求的应当提供检测报告。</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仿宋"/>
          <w:color w:val="auto"/>
          <w:sz w:val="21"/>
          <w:szCs w:val="21"/>
          <w:highlight w:val="none"/>
        </w:rPr>
        <w:t xml:space="preserve">所有内外场设备时钟均需与太仓市公安局控制中心的时钟校时服务器同步。</w:t>
      </w:r>
      <w:r/>
    </w:p>
    <w:p>
      <w:pPr>
        <w:ind w:firstLine="422"/>
        <w:jc w:val="both"/>
        <w:keepLines w:val="0"/>
        <w:keepNext w:val="0"/>
        <w:pageBreakBefore w:val="0"/>
        <w:spacing w:line="360" w:lineRule="auto"/>
        <w:widowControl w:val="off"/>
        <w:rPr>
          <w:rFonts w:hint="eastAsia" w:ascii="宋体" w:hAnsi="宋体" w:eastAsia="宋体" w:cs="仿宋"/>
          <w:b/>
          <w:bCs/>
          <w:color w:val="auto"/>
          <w:sz w:val="21"/>
          <w:szCs w:val="21"/>
          <w:highlight w:val="none"/>
        </w:rPr>
      </w:pPr>
      <w:r>
        <w:rPr>
          <w:rFonts w:hint="eastAsia" w:ascii="宋体" w:hAnsi="宋体" w:eastAsia="宋体" w:cs="仿宋"/>
          <w:b/>
          <w:bCs/>
          <w:color w:val="auto"/>
          <w:sz w:val="21"/>
          <w:szCs w:val="21"/>
          <w:highlight w:val="none"/>
        </w:rPr>
        <w:t xml:space="preserve">五、安装、运维及售后服务</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1、基本要求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1.1不得擅自变更点位布局规划和安装设备型号，不得偷工减料。</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1.2 中标人必须建立健全质量检查制度，严格工序管理，应对安装施工安全、质量全面负责，因中标单位原因造成质量、安全事故，中标人承担一切经济法律责任。 </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1.3 中标人应与采购人签订保密协议，严格遵循保密协议之规定，确保系统数据安全，任何数据资料未经采购人许可不得向第三方提供。</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1.4 中标人在安装施工及运维过程中，因开挖路面、绿化恢复、设备用电、人工、用车等产生的费用支出，采购人不再另外支付。</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1.5 中标人应具有有效详细的运维管理办法，保障本项目建设的车辆卡口和人卡设备及系统的正常运行，并负责故障的全程处理。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1.6 中标人提供7*24小时热线电话服务，并确定专人协调处理。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2、系统升级要求</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2.1  中标人提供运维期间的摄像机免费软件升级服务，采购人不再承担任何费用。摄像机厂家已提供更新版本的软件的，采购人有权要求中标人对摄像机进行免费升级。中标人在收到摄像机软件升级通知后，须在3个工作日内作出反馈，20个工作日内完成升级工作。</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2.2  中标人在产品升级前应做好充分准备，并以书面的形式提前告知采购人，同时做好事件记录。</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3、运行维护机构</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3.1  中标人应在本地设立运行维护机构。</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3.2  中标人针对本项目明确专职管理人员及其他专职运维人员，并配备相应的运维设备，相关人员必须经太仓市公安局备案同意，签署保密协议，进行安全审查。</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3.3  中标人针对本项目应配备各类相应的维修机动车辆。</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3.4  如遇重大活动和重要保障任务时，接采购人通知时应立即进行巡检和清洁，对系统存在的潜在安全或故障隐患进行分析并提出相应的解决方案加以排除。</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4、运维内容</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4.1中标人对服务期限范围内（不少于三年，具体视投标结果而定）所有设备进行定期巡检服务，及时发现设备的损坏或系统的功能异常。</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4.2 中标人对服务期限范围内所有设备进行必要的定期保养服务。</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4.3 中标人对采购人的重大事件和重大活动提供技术支持和现场保障服务。</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4.4  维修响应及恢复时间要求：当车辆人像卡口设备发生故障时，中标人需2小时内响应；</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4.5 前端车辆人像卡口设备原因导致的故障，中标人应在24小时内恢复系统；</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4.6 故障由于国家电网停电或市政道路施工引起的故障，则对中标人响应时间从修复后开始计算；</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4.7 每次维修必须进行详细记录并经使用方确认，每月向采购人报送维修报表。</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4.8 定期对服务期限范围内设备的网络、硬件设备、存储数据进行巡检、保养；</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4.9 定期对所有外场设备进行巡检、保养；</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4.10 定期对所有外场设备的金属部件进行防锈保养；</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4.11 每次巡检、保养必须进行详细记录并经使用方确认，每月向采购人报送巡检、保养报表；</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4.12 平时按需进行摄像机清洁，在重大活动和重要节日前，对所有摄像机清洁一次。</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4.13 备品备件：中标人应设有备件仓库，每种类型的产品数量不小于两台的备品备件，保证系统的不间断运行，若中标人在故障维修中用备品备件顶替原设备运行，其中所发生的一切费用由中标人承担。</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5、考核内容</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对报修后无正当原因且未及时修复的故障，采购人将抄告中标方，从抄告之日起计算，每次故障每超时一天仍未修复的，从履约保证金中扣除维护费用1000元作为违约惩罚。抄告累计达到50天次的，采购人有权抄告太仓市财政局监督部门，建议将中标方列入不诚信单位。</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6、人员培训</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6.1投标人必须承诺提供相关软、硬件的培训服务：</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6.2投标人需提供现场技术培训，给出详尽的培训计划；提供全套的培训资料，培训应包括系统的设计原理、系统设备维护、设计理论、相关软、硬件的使用和操作等。</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7、免费保修期：项目中所有硬件及线路，投标人需提供不少于3年免费保修。</w:t>
      </w:r>
      <w:r/>
    </w:p>
    <w:p>
      <w:pPr>
        <w:ind w:firstLine="420"/>
        <w:jc w:val="both"/>
        <w:keepLines w:val="0"/>
        <w:keepNext w:val="0"/>
        <w:pageBreakBefore w:val="0"/>
        <w:spacing w:line="360" w:lineRule="auto"/>
        <w:widowControl w:val="off"/>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8、服务响应：项目所涉及的软硬件设备及线路发生故障时，中标人需2小时内响应，24小时内完成采购人提出维修要求的服务。</w:t>
      </w:r>
      <w:r/>
    </w:p>
    <w:p>
      <w:pPr>
        <w:ind w:firstLine="422"/>
        <w:jc w:val="both"/>
        <w:keepLines w:val="0"/>
        <w:keepNext w:val="0"/>
        <w:pageBreakBefore w:val="0"/>
        <w:spacing w:line="360" w:lineRule="auto"/>
        <w:widowControl w:val="off"/>
        <w:rPr>
          <w:rFonts w:hint="eastAsia" w:ascii="宋体" w:hAnsi="宋体" w:eastAsia="宋体" w:cs="Times New Roman"/>
          <w:b/>
          <w:color w:val="auto"/>
          <w:sz w:val="21"/>
          <w:szCs w:val="21"/>
          <w:highlight w:val="none"/>
        </w:rPr>
      </w:pPr>
      <w:r/>
      <w:bookmarkStart w:id="62" w:name="_Toc25315720"/>
      <w:r>
        <w:rPr>
          <w:rFonts w:hint="eastAsia" w:ascii="宋体" w:hAnsi="宋体" w:eastAsia="宋体" w:cs="Times New Roman"/>
          <w:b/>
          <w:color w:val="auto"/>
          <w:sz w:val="21"/>
          <w:szCs w:val="21"/>
          <w:highlight w:val="none"/>
        </w:rPr>
        <w:t xml:space="preserve">六、服务保障考核标准</w:t>
      </w:r>
      <w:bookmarkEnd w:id="62"/>
      <w:r/>
      <w:r/>
    </w:p>
    <w:p>
      <w:pPr>
        <w:jc w:val="center"/>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《服务考核办法》</w:t>
      </w:r>
      <w:r/>
    </w:p>
    <w:tbl>
      <w:tblPr>
        <w:tblStyle w:val="943"/>
        <w:tblW w:w="97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449"/>
        <w:gridCol w:w="8297"/>
      </w:tblGrid>
      <w:tr>
        <w:trPr>
          <w:jc w:val="center"/>
          <w:trHeight w:val="90"/>
        </w:trPr>
        <w:tc>
          <w:tcPr>
            <w:tcBorders>
              <w:top w:val="single" w:color="000000" w:sz="4" w:space="0"/>
              <w:left w:val="single" w:color="000000" w:sz="4" w:space="0"/>
              <w:bottom w:val="single" w:color="000000" w:sz="4" w:space="0"/>
              <w:right w:val="single" w:color="000000" w:sz="4" w:space="0"/>
            </w:tcBorders>
            <w:tcW w:w="1449"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日常维护</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监控点每周通过平台巡查两遍并做好记录，平台自检监控在线率低于98%</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发生故障24小时未发现并报备采购人和属地使用单位（辖区派出所）</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维修更换设备的性能参数低于服务标准</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维护人员、工具、备品备件等缺失，未及时补全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未经采购人书面同意，擅自改变方案设计、移机移位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钢杆件及固定螺帽、螺栓等外场设备发现有锈蚀，经反馈在15个工作日内未整改</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检修用电脑设备需提前报备，专网专用，擅自入（出）网</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应急保障</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报修电话不接听（30分钟内回拨完成通话的除外）</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未按售后服务故障响应要求执行</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一般设备故障（含图像质量下降，灰尘、雨雪影响等）接报24小时（节假日等特殊情况经采购人同意可适当延长）未修复；链路、接电故障3天内未修复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重大任务或其它专项行动期间，对采购人的巡查、快修、值守任务要求不响应、不落实</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49"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安全事故</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★违规操作导致网络外联</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★违规操作导致人身安全事故</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★违规操作导致信息、视频、数据、资料等泄露</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★违规操作导致信息、视频、数据、资料等泄露并造成重大影响的</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违规施工被通报</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视频或录像缺失影响重大案件侦查和安保维稳任务（停电、道路施工、点位迁移、核心网故障、不可抗力等因素除外）</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★未经采购人书面同意，擅自将本项目中的设备、链路和资源（人员和维修工具除外），向其他单位、个人和社会组织开通开放、提供服务或混合使用</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节假日应急值班</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国家法定节假日、重大任务或其它专项行动期间，应安排值班保障，如未准确及时到岗（追究相关责任）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备件情况</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出现一次设备损坏，24小时内无备件替代</w:t>
            </w:r>
            <w:r/>
          </w:p>
        </w:tc>
      </w:tr>
      <w:tr>
        <w:trPr>
          <w:jc w:val="center"/>
          <w:trHeight w:val="358"/>
        </w:trPr>
        <w:tc>
          <w:tcPr>
            <w:tcBorders>
              <w:top w:val="single" w:color="000000" w:sz="4" w:space="0"/>
              <w:left w:val="single" w:color="000000" w:sz="4" w:space="0"/>
              <w:right w:val="single" w:color="000000" w:sz="4" w:space="0"/>
            </w:tcBorders>
            <w:tcW w:w="1449" w:type="dxa"/>
            <w:vAlign w:val="center"/>
            <w:vMerge w:val="restart"/>
            <w:textDirection w:val="lrTb"/>
            <w:noWrap w:val="false"/>
          </w:tcPr>
          <w:p>
            <w:pPr>
              <w:jc w:val="center"/>
              <w:spacing w:line="460" w:lineRule="exact"/>
              <w:widowControl w:val="off"/>
              <w:rPr>
                <w:rFonts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其它情况</w:t>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台账、记录、资料弄虚作假</w:t>
            </w:r>
            <w:r/>
          </w:p>
        </w:tc>
      </w:tr>
      <w:tr>
        <w:trPr>
          <w:jc w:val="center"/>
          <w:trHeight w:val="486"/>
        </w:trPr>
        <w:tc>
          <w:tcPr>
            <w:tcBorders>
              <w:left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出现其它影响正常运作的问题</w:t>
            </w:r>
            <w:r/>
          </w:p>
        </w:tc>
      </w:tr>
      <w:tr>
        <w:trPr>
          <w:jc w:val="center"/>
          <w:trHeight w:val="486"/>
        </w:trPr>
        <w:tc>
          <w:tcPr>
            <w:tcBorders>
              <w:left w:val="single" w:color="000000" w:sz="4" w:space="0"/>
              <w:bottom w:val="single" w:color="000000" w:sz="4" w:space="0"/>
              <w:right w:val="single" w:color="000000" w:sz="4" w:space="0"/>
            </w:tcBorders>
            <w:tcW w:w="1449"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lang w:val="en-US" w:eastAsia="zh-CN"/>
              </w:rPr>
              <w:t xml:space="preserve">甲方要求整改的问题</w:t>
            </w:r>
            <w:r>
              <w:rPr>
                <w:rFonts w:hint="eastAsia" w:ascii="Calibri" w:hAnsi="Calibri" w:eastAsia="宋体" w:cs="宋体"/>
                <w:color w:val="auto"/>
                <w:sz w:val="21"/>
                <w:szCs w:val="21"/>
                <w:highlight w:val="none"/>
              </w:rPr>
              <w:t xml:space="preserve">，未及时整改到位</w:t>
            </w:r>
            <w:r/>
          </w:p>
        </w:tc>
      </w:tr>
      <w:tr>
        <w:trPr>
          <w:jc w:val="center"/>
          <w:trHeight w:val="358"/>
        </w:trPr>
        <w:tc>
          <w:tcPr>
            <w:gridSpan w:val="2"/>
            <w:tcBorders>
              <w:top w:val="single" w:color="000000" w:sz="4" w:space="0"/>
              <w:left w:val="single" w:color="000000" w:sz="4" w:space="0"/>
              <w:bottom w:val="single" w:color="000000" w:sz="4" w:space="0"/>
              <w:right w:val="single" w:color="000000" w:sz="4" w:space="0"/>
            </w:tcBorders>
            <w:tcW w:w="9746" w:type="dxa"/>
            <w:vAlign w:val="center"/>
            <w:textDirection w:val="lrTb"/>
            <w:noWrap w:val="false"/>
          </w:tcPr>
          <w:p>
            <w:pPr>
              <w:numPr>
                <w:ilvl w:val="0"/>
                <w:numId w:val="6"/>
              </w:num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若中标单位在履行期间出现考核表中非标“★”项</w:t>
            </w:r>
            <w:r>
              <w:rPr>
                <w:rFonts w:hint="eastAsia" w:ascii="Calibri" w:hAnsi="Calibri" w:eastAsia="宋体" w:cs="宋体"/>
                <w:color w:val="auto"/>
                <w:sz w:val="21"/>
                <w:szCs w:val="21"/>
                <w:highlight w:val="none"/>
                <w:lang w:val="en-US" w:eastAsia="zh-CN"/>
              </w:rPr>
              <w:t xml:space="preserve">中</w:t>
            </w:r>
            <w:r>
              <w:rPr>
                <w:rFonts w:hint="eastAsia" w:ascii="Calibri" w:hAnsi="Calibri" w:eastAsia="宋体" w:cs="宋体"/>
                <w:color w:val="auto"/>
                <w:sz w:val="21"/>
                <w:szCs w:val="21"/>
                <w:highlight w:val="none"/>
              </w:rPr>
              <w:t xml:space="preserve">的问题</w:t>
            </w:r>
            <w:r>
              <w:rPr>
                <w:rFonts w:hint="eastAsia" w:ascii="Calibri" w:hAnsi="Calibri" w:eastAsia="宋体" w:cs="宋体"/>
                <w:color w:val="auto"/>
                <w:sz w:val="21"/>
                <w:szCs w:val="21"/>
                <w:highlight w:val="none"/>
                <w:lang w:eastAsia="zh-CN"/>
              </w:rPr>
              <w:t xml:space="preserve">，</w:t>
            </w:r>
            <w:r>
              <w:rPr>
                <w:rFonts w:hint="eastAsia" w:ascii="Calibri" w:hAnsi="Calibri" w:eastAsia="宋体" w:cs="宋体"/>
                <w:color w:val="auto"/>
                <w:sz w:val="21"/>
                <w:szCs w:val="21"/>
                <w:highlight w:val="none"/>
              </w:rPr>
              <w:t xml:space="preserve">对报修后无正当原因且未及时修复的故障，采购人将抄告中标单位，从抄告之日起计算，每次故障每超时一天仍未修复的，从合同金额中扣除维护费用</w:t>
            </w:r>
            <w:r>
              <w:rPr>
                <w:rFonts w:hint="eastAsia" w:ascii="Calibri" w:hAnsi="Calibri" w:eastAsia="宋体" w:cs="宋体"/>
                <w:color w:val="auto"/>
                <w:sz w:val="21"/>
                <w:szCs w:val="21"/>
                <w:highlight w:val="none"/>
                <w:lang w:val="en-US" w:eastAsia="zh-CN"/>
              </w:rPr>
              <w:t xml:space="preserve">2000</w:t>
            </w:r>
            <w:r>
              <w:rPr>
                <w:rFonts w:hint="eastAsia" w:ascii="Calibri" w:hAnsi="Calibri" w:eastAsia="宋体" w:cs="宋体"/>
                <w:color w:val="auto"/>
                <w:sz w:val="21"/>
                <w:szCs w:val="21"/>
                <w:highlight w:val="none"/>
              </w:rPr>
              <w:t xml:space="preserve">元作为违约惩罚。抄告累计达到50天次的，</w:t>
            </w:r>
            <w:r>
              <w:rPr>
                <w:rFonts w:hint="eastAsia" w:ascii="Calibri" w:hAnsi="Calibri" w:eastAsia="宋体" w:cs="宋体"/>
                <w:color w:val="auto"/>
                <w:sz w:val="21"/>
                <w:szCs w:val="21"/>
                <w:highlight w:val="none"/>
              </w:rPr>
              <w:t xml:space="preserve">采购人有权抄告至政府机关监督部门，建议</w:t>
            </w:r>
            <w:r>
              <w:rPr>
                <w:rFonts w:hint="eastAsia" w:ascii="Calibri" w:hAnsi="Calibri" w:cs="宋体"/>
                <w:color w:val="auto"/>
                <w:sz w:val="21"/>
                <w:szCs w:val="21"/>
                <w:highlight w:val="none"/>
                <w:lang w:val="en-US" w:eastAsia="zh-CN"/>
              </w:rPr>
              <w:t xml:space="preserve">取消合同</w:t>
            </w:r>
            <w:r>
              <w:rPr>
                <w:rFonts w:hint="eastAsia" w:ascii="Calibri" w:hAnsi="Calibri" w:eastAsia="宋体" w:cs="宋体"/>
                <w:color w:val="auto"/>
                <w:sz w:val="21"/>
                <w:szCs w:val="21"/>
                <w:highlight w:val="none"/>
              </w:rPr>
              <w:t xml:space="preserve">。</w:t>
            </w:r>
            <w:r/>
          </w:p>
          <w:p>
            <w:pPr>
              <w:jc w:val="both"/>
              <w:spacing w:line="460" w:lineRule="exact"/>
              <w:widowControl w:val="off"/>
              <w:rPr>
                <w:rFonts w:ascii="Calibri" w:hAnsi="Calibri" w:eastAsia="宋体" w:cs="宋体"/>
                <w:color w:val="auto"/>
                <w:sz w:val="21"/>
                <w:szCs w:val="22"/>
                <w:highlight w:val="none"/>
              </w:rPr>
            </w:pPr>
            <w:r>
              <w:rPr>
                <w:rFonts w:hint="eastAsia" w:ascii="Calibri" w:hAnsi="Calibri" w:eastAsia="宋体" w:cs="宋体"/>
                <w:color w:val="auto"/>
                <w:sz w:val="21"/>
                <w:szCs w:val="21"/>
                <w:highlight w:val="none"/>
              </w:rPr>
              <w:t xml:space="preserve">2、若中标单位在履行期间出现考核表中标“★”项的问题，每出现一次，扣除合同金额的1%作为惩罚，若出现相同问题可重复累计</w:t>
            </w:r>
            <w:r>
              <w:rPr>
                <w:rFonts w:hint="eastAsia" w:ascii="Calibri" w:hAnsi="Calibri" w:eastAsia="宋体" w:cs="宋体"/>
                <w:color w:val="auto"/>
                <w:sz w:val="21"/>
                <w:szCs w:val="21"/>
                <w:highlight w:val="none"/>
                <w:lang w:eastAsia="zh-CN"/>
              </w:rPr>
              <w:t xml:space="preserve">。</w:t>
            </w:r>
            <w:r/>
          </w:p>
        </w:tc>
      </w:tr>
    </w:tbl>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rPr>
          <w:rFonts w:hint="eastAsia" w:ascii="宋体" w:hAnsi="宋体"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zh-CN" w:bidi="ar-SA"/>
        </w:rPr>
        <w:t xml:space="preserve">投标报价</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报价方式：总价报价。</w:t>
      </w:r>
      <w:r>
        <w:rPr>
          <w:rFonts w:hint="eastAsia" w:ascii="宋体" w:hAnsi="宋体" w:eastAsia="宋体" w:cs="宋体"/>
          <w:color w:val="auto"/>
          <w:sz w:val="21"/>
          <w:szCs w:val="21"/>
          <w:highlight w:val="none"/>
          <w:lang w:val="en-US" w:eastAsia="zh-CN" w:bidi="ar-SA"/>
        </w:rPr>
        <w:t xml:space="preserve">投标总报价</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八、验收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1、项目建设完成后</w:t>
      </w:r>
      <w:r>
        <w:rPr>
          <w:rFonts w:hint="eastAsia" w:ascii="宋体" w:hAnsi="宋体" w:eastAsia="宋体" w:cs="宋体"/>
          <w:color w:val="auto"/>
          <w:sz w:val="21"/>
          <w:szCs w:val="21"/>
          <w:highlight w:val="none"/>
        </w:rPr>
        <w:t xml:space="preserve">，采购人有权</w:t>
      </w:r>
      <w:r>
        <w:rPr>
          <w:rFonts w:hint="eastAsia" w:ascii="宋体" w:hAnsi="宋体" w:eastAsia="宋体" w:cs="宋体"/>
          <w:color w:val="auto"/>
          <w:sz w:val="21"/>
          <w:szCs w:val="21"/>
          <w:highlight w:val="none"/>
          <w:lang w:val="zh-CN"/>
        </w:rPr>
        <w:t xml:space="preserve">根据招标文件、中标单位的投标文件、双方签订的合同文件及其附件、国家的相关规定，由采购单位及相关部门进行验收</w:t>
      </w:r>
      <w:r>
        <w:rPr>
          <w:rFonts w:hint="eastAsia" w:ascii="宋体" w:hAnsi="宋体" w:eastAsia="宋体" w:cs="宋体"/>
          <w:color w:val="auto"/>
          <w:sz w:val="21"/>
          <w:szCs w:val="21"/>
          <w:highlight w:val="none"/>
        </w:rPr>
        <w:t xml:space="preserve">及对相关功能进行测试</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，如验收不合格或相关功能达不到招标文件要求或投标文件中所承诺的标准，采购人有权上报行政监督部门按相关规定处理，供应商须承担由此造成的相关损失及违约责任。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验收标准：符合相关国家标准、招标文件的各项要求以及投标人承诺的其它指标。</w:t>
      </w:r>
      <w:r/>
    </w:p>
    <w:p>
      <w:pPr>
        <w:ind w:firstLine="420"/>
        <w:keepLines w:val="0"/>
        <w:keepNext w:val="0"/>
        <w:pageBreakBefore w:val="0"/>
        <w:spacing w:line="360" w:lineRule="auto"/>
        <w:rPr>
          <w:rFonts w:hint="eastAsia" w:ascii="宋体" w:hAnsi="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招标单位有权核查中标单位提供的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文件中相关材料的真实性，如若发现有虚假材料一切后果由中标单位承担。</w:t>
      </w:r>
      <w:r/>
    </w:p>
    <w:p>
      <w:pPr>
        <w:ind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en-US" w:eastAsia="en-US" w:bidi="ar-SA"/>
        </w:rPr>
        <w:outlineLvl w:val="1"/>
      </w:pPr>
      <w:r>
        <w:rPr>
          <w:rFonts w:hint="eastAsia" w:ascii="宋体" w:hAnsi="宋体" w:cs="宋体"/>
          <w:b/>
          <w:bCs/>
          <w:color w:val="auto"/>
          <w:sz w:val="21"/>
          <w:szCs w:val="21"/>
          <w:highlight w:val="none"/>
          <w:lang w:val="en-US" w:eastAsia="zh-CN" w:bidi="ar-SA"/>
        </w:rPr>
        <w:t xml:space="preserve">九、</w:t>
      </w:r>
      <w:r>
        <w:rPr>
          <w:rFonts w:hint="eastAsia" w:ascii="宋体" w:hAnsi="宋体" w:eastAsia="宋体" w:cs="宋体"/>
          <w:b/>
          <w:bCs/>
          <w:color w:val="auto"/>
          <w:sz w:val="21"/>
          <w:szCs w:val="21"/>
          <w:highlight w:val="none"/>
          <w:lang w:val="en-US" w:eastAsia="en-US" w:bidi="ar-SA"/>
        </w:rPr>
        <w:t xml:space="preserve">付款方式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金额的30%，服务期满1年后支付合同金额的35%，服务期满两年后支付合同金额的35%。每个服务期内的考核扣款在每期服务费中直接扣除。每次付款时需提供正式的发票，否则，采购方有权拒绝支付。</w:t>
      </w:r>
      <w:bookmarkEnd w:id="5"/>
      <w:r/>
      <w:r/>
    </w:p>
    <w:p>
      <w:pPr>
        <w:ind w:firstLine="422"/>
        <w:keepLines/>
        <w:keepNext/>
        <w:pageBreakBefore w:val="0"/>
        <w:spacing w:before="0" w:after="0" w:line="360" w:lineRule="auto"/>
        <w:widowControl/>
        <w:rPr>
          <w:rFonts w:hint="default" w:ascii="宋体" w:hAnsi="宋体" w:eastAsia="宋体" w:cs="宋体"/>
          <w:b/>
          <w:bCs/>
          <w:color w:val="auto"/>
          <w:sz w:val="21"/>
          <w:szCs w:val="21"/>
          <w:highlight w:val="none"/>
          <w:lang w:val="en-US" w:eastAsia="zh-CN" w:bidi="ar-SA"/>
        </w:rPr>
        <w:outlineLvl w:val="3"/>
      </w:pPr>
      <w:r>
        <w:rPr>
          <w:rFonts w:hint="eastAsia" w:ascii="宋体" w:hAnsi="宋体" w:cs="宋体"/>
          <w:b/>
          <w:bCs/>
          <w:color w:val="auto"/>
          <w:sz w:val="21"/>
          <w:szCs w:val="21"/>
          <w:highlight w:val="none"/>
          <w:lang w:val="en-US" w:eastAsia="zh-CN" w:bidi="ar-SA"/>
        </w:rPr>
        <w:t xml:space="preserve">十、人员投入</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中标人应成立项目部，并明确项目</w:t>
      </w:r>
      <w:r>
        <w:rPr>
          <w:rFonts w:hint="eastAsia" w:ascii="宋体" w:hAnsi="宋体" w:cs="宋体"/>
          <w:color w:val="auto"/>
          <w:sz w:val="21"/>
          <w:szCs w:val="21"/>
          <w:highlight w:val="none"/>
          <w:lang w:val="en-US" w:eastAsia="zh-CN"/>
        </w:rPr>
        <w:t xml:space="preserve">主要人员</w:t>
      </w:r>
      <w:r>
        <w:rPr>
          <w:rFonts w:hint="eastAsia" w:ascii="宋体" w:hAnsi="宋体" w:eastAsia="宋体" w:cs="宋体"/>
          <w:color w:val="auto"/>
          <w:sz w:val="21"/>
          <w:szCs w:val="21"/>
          <w:highlight w:val="none"/>
        </w:rPr>
        <w:t xml:space="preserve">，协调项目的开展，解决工作中有关重大问题。项目组人员不得少于</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rPr>
          <w:rFonts w:hint="eastAsia" w:ascii="宋体" w:hAnsi="宋体" w:cs="宋体"/>
          <w:color w:val="auto"/>
          <w:sz w:val="21"/>
          <w:szCs w:val="21"/>
          <w:highlight w:val="none"/>
          <w:lang w:val="en-US" w:eastAsia="zh-CN"/>
        </w:rPr>
        <w:t xml:space="preserve">服务人员</w:t>
      </w:r>
      <w:r>
        <w:rPr>
          <w:rFonts w:hint="eastAsia" w:ascii="宋体" w:hAnsi="宋体" w:eastAsia="宋体" w:cs="宋体"/>
          <w:color w:val="auto"/>
          <w:sz w:val="21"/>
          <w:szCs w:val="21"/>
          <w:highlight w:val="none"/>
        </w:rPr>
        <w:t xml:space="preserve">在项目</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过程中不得随意更换</w:t>
      </w:r>
      <w:r>
        <w:rPr>
          <w:rFonts w:hint="eastAsia" w:ascii="宋体" w:hAnsi="宋体" w:eastAsia="宋体" w:cs="宋体"/>
          <w:color w:val="auto"/>
          <w:sz w:val="21"/>
          <w:szCs w:val="21"/>
          <w:highlight w:val="none"/>
        </w:rPr>
        <w:t xml:space="preserve">，必需变更时</w:t>
      </w:r>
      <w:r>
        <w:rPr>
          <w:rFonts w:hint="eastAsia" w:ascii="宋体" w:hAnsi="宋体" w:eastAsia="宋体" w:cs="宋体"/>
          <w:color w:val="auto"/>
          <w:sz w:val="21"/>
          <w:szCs w:val="21"/>
          <w:highlight w:val="none"/>
        </w:rPr>
        <w:t xml:space="preserve">，应先征得采购人同意。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负责人：不少于1人，项目负责人是项目的核心管理者，须具有丰富的项目管理经验，负责整体规划、团队协调、进度控制、资源分配、信息安全保密和风险管理等。他们确保项目按时完成，并满足质量要求，同时与各方保持有效沟通，推动项目成功；</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技术</w:t>
      </w:r>
      <w:r>
        <w:rPr>
          <w:rFonts w:hint="eastAsia" w:ascii="宋体" w:hAnsi="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rPr>
        <w:t xml:space="preserve">：不少于1人，应具备较强的专业知识，熟悉项目相关法律法规，能够为本项目提供技术支持，提出专业意见，协调项目的开展，解决工作中有关重大问题，保证项目顺利实施。</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十一、为保证项目实施，本项目要求响应单位根据项目实际要求编制项目组织管理方案，方案要求如下：</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color w:val="auto"/>
          <w:spacing w:val="7"/>
          <w:sz w:val="21"/>
          <w:szCs w:val="21"/>
          <w:highlight w:val="none"/>
        </w:rPr>
        <w:t xml:space="preserve">项目整体</w:t>
      </w:r>
      <w:r>
        <w:rPr>
          <w:rFonts w:hint="eastAsia" w:ascii="宋体" w:hAnsi="宋体" w:eastAsia="宋体" w:cs="宋体"/>
          <w:b/>
          <w:color w:val="auto"/>
          <w:spacing w:val="7"/>
          <w:sz w:val="21"/>
          <w:szCs w:val="21"/>
          <w:highlight w:val="none"/>
          <w:lang w:val="en-US" w:eastAsia="zh-CN"/>
        </w:rPr>
        <w:t xml:space="preserve">实施</w:t>
      </w:r>
      <w:r>
        <w:rPr>
          <w:rFonts w:hint="eastAsia" w:ascii="宋体" w:hAnsi="宋体" w:eastAsia="宋体" w:cs="宋体"/>
          <w:b/>
          <w:color w:val="auto"/>
          <w:spacing w:val="7"/>
          <w:sz w:val="21"/>
          <w:szCs w:val="21"/>
          <w:highlight w:val="none"/>
        </w:rPr>
        <w:t xml:space="preserve">方案</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供应商应根据采购文件要求及本项目特点，制订项目</w:t>
      </w:r>
      <w:r>
        <w:rPr>
          <w:rFonts w:hint="eastAsia" w:ascii="宋体" w:hAnsi="宋体" w:eastAsia="宋体" w:cs="宋体"/>
          <w:b/>
          <w:color w:val="auto"/>
          <w:spacing w:val="7"/>
          <w:sz w:val="21"/>
          <w:szCs w:val="21"/>
          <w:highlight w:val="none"/>
        </w:rPr>
        <w:t xml:space="preserve">项目整体</w:t>
      </w:r>
      <w:r>
        <w:rPr>
          <w:rFonts w:hint="eastAsia" w:ascii="宋体" w:hAnsi="宋体" w:eastAsia="宋体" w:cs="宋体"/>
          <w:b/>
          <w:color w:val="auto"/>
          <w:spacing w:val="7"/>
          <w:sz w:val="21"/>
          <w:szCs w:val="21"/>
          <w:highlight w:val="none"/>
          <w:lang w:val="en-US" w:eastAsia="zh-CN"/>
        </w:rPr>
        <w:t xml:space="preserve">实施</w:t>
      </w:r>
      <w:r>
        <w:rPr>
          <w:rFonts w:hint="eastAsia" w:ascii="宋体" w:hAnsi="宋体" w:eastAsia="宋体" w:cs="宋体"/>
          <w:b/>
          <w:color w:val="auto"/>
          <w:spacing w:val="7"/>
          <w:sz w:val="21"/>
          <w:szCs w:val="21"/>
          <w:highlight w:val="none"/>
        </w:rPr>
        <w:t xml:space="preserve">方案</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pacing w:val="7"/>
          <w:sz w:val="21"/>
          <w:szCs w:val="21"/>
          <w:highlight w:val="none"/>
        </w:rPr>
        <w:t xml:space="preserve">方案应至少包含：设备供货计划②管理人员投入计划③施工机具配备情况④质量保证措施⑤工期及进度保证措施⑥培训计划⑦验收方案</w:t>
      </w:r>
      <w:r>
        <w:rPr>
          <w:rFonts w:hint="eastAsia" w:ascii="宋体" w:hAnsi="宋体" w:eastAsia="宋体" w:cs="宋体"/>
          <w:bCs/>
          <w:iCs/>
          <w:color w:val="auto"/>
          <w:spacing w:val="7"/>
          <w:sz w:val="21"/>
          <w:szCs w:val="21"/>
          <w:highlight w:val="none"/>
        </w:rPr>
        <w:t xml:space="preserve">⑧应急措施预案</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质量保证措施</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b/>
          <w:color w:val="auto"/>
          <w:spacing w:val="7"/>
          <w:sz w:val="21"/>
          <w:szCs w:val="21"/>
          <w:highlight w:val="none"/>
        </w:rPr>
        <w:t xml:space="preserve">安全施工方案</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供应商应根据采购文件要求及本项目特点，制订项目</w:t>
      </w:r>
      <w:r>
        <w:rPr>
          <w:rFonts w:hint="eastAsia" w:ascii="宋体" w:hAnsi="宋体" w:eastAsia="宋体" w:cs="宋体"/>
          <w:b/>
          <w:color w:val="auto"/>
          <w:spacing w:val="7"/>
          <w:sz w:val="21"/>
          <w:szCs w:val="21"/>
          <w:highlight w:val="none"/>
        </w:rPr>
        <w:t xml:space="preserve">安全施工方案</w:t>
      </w:r>
      <w:r>
        <w:rPr>
          <w:rFonts w:hint="eastAsia" w:ascii="宋体" w:hAnsi="宋体" w:eastAsia="宋体" w:cs="宋体"/>
          <w:b/>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方案应至少应包含：①施工方法②劳动组织③作业方法④使用的机械</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动力设备</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变配电设施⑤各种安全防护设施</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color w:val="auto"/>
          <w:spacing w:val="7"/>
          <w:sz w:val="21"/>
          <w:szCs w:val="21"/>
          <w:highlight w:val="none"/>
        </w:rPr>
        <w:t xml:space="preserve">网络、云存储方案</w:t>
      </w:r>
      <w:r/>
    </w:p>
    <w:p>
      <w:pPr>
        <w:ind w:firstLine="420"/>
        <w:keepLines w:val="0"/>
        <w:keepNext w:val="0"/>
        <w:pageBreakBefore w:val="0"/>
        <w:spacing w:line="360" w:lineRule="auto"/>
        <w:widowControl/>
        <w:rPr>
          <w:rFonts w:hint="eastAsia" w:ascii="宋体" w:hAnsi="宋体" w:eastAsia="宋体" w:cs="宋体"/>
          <w:bCs/>
          <w:color w:val="auto"/>
          <w:spacing w:val="7"/>
          <w:sz w:val="21"/>
          <w:szCs w:val="21"/>
          <w:highlight w:val="none"/>
        </w:rPr>
      </w:pPr>
      <w:r>
        <w:rPr>
          <w:rFonts w:hint="eastAsia" w:ascii="宋体" w:hAnsi="宋体" w:eastAsia="宋体" w:cs="宋体"/>
          <w:color w:val="auto"/>
          <w:sz w:val="21"/>
          <w:szCs w:val="21"/>
          <w:highlight w:val="none"/>
        </w:rPr>
        <w:t xml:space="preserve">供应商应根据采购文件要求及本项目特点，制订项目</w:t>
      </w:r>
      <w:r>
        <w:rPr>
          <w:rFonts w:hint="eastAsia" w:ascii="宋体" w:hAnsi="宋体" w:eastAsia="宋体" w:cs="宋体"/>
          <w:b/>
          <w:color w:val="auto"/>
          <w:spacing w:val="7"/>
          <w:sz w:val="21"/>
          <w:szCs w:val="21"/>
          <w:highlight w:val="none"/>
        </w:rPr>
        <w:t xml:space="preserve">网络、云存储方案</w:t>
      </w:r>
      <w:r>
        <w:rPr>
          <w:rFonts w:hint="eastAsia" w:ascii="宋体" w:hAnsi="宋体" w:eastAsia="宋体" w:cs="宋体"/>
          <w:b/>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，方案应至少包含：①架构设计②网络安全设计③视频专网的需求、目标、定位把握④云存储系统架构、服务器等</w:t>
      </w:r>
      <w:bookmarkEnd w:id="6"/>
      <w:r/>
      <w:bookmarkEnd w:id="7"/>
      <w:r/>
      <w:bookmarkEnd w:id="8"/>
      <w:r/>
      <w:bookmarkEnd w:id="9"/>
      <w:r/>
      <w:r/>
    </w:p>
    <w:p>
      <w:pPr>
        <w:ind w:firstLine="422"/>
        <w:keepLines w:val="0"/>
        <w:keepNext w:val="0"/>
        <w:pageBreakBefore w:val="0"/>
        <w:spacing w:line="360" w:lineRule="auto"/>
        <w:widowControl/>
        <w:rPr>
          <w:rFonts w:hint="eastAsia" w:ascii="宋体" w:hAnsi="宋体" w:eastAsia="宋体" w:cs="宋体"/>
          <w:b/>
          <w:color w:val="auto"/>
          <w:spacing w:val="7"/>
          <w:sz w:val="21"/>
          <w:szCs w:val="21"/>
          <w:highlight w:val="none"/>
        </w:rPr>
      </w:pP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color w:val="auto"/>
          <w:spacing w:val="7"/>
          <w:sz w:val="21"/>
          <w:szCs w:val="21"/>
          <w:highlight w:val="none"/>
        </w:rPr>
        <w:t xml:space="preserve">整体运维方案</w:t>
      </w:r>
      <w:r/>
    </w:p>
    <w:p>
      <w:pPr>
        <w:ind w:firstLine="420"/>
        <w:jc w:val="left"/>
        <w:keepLines w:val="0"/>
        <w:keepNext w:val="0"/>
        <w:pageBreakBefore w:val="0"/>
        <w:spacing w:line="360" w:lineRule="auto"/>
        <w:widowControl/>
        <w:tabs>
          <w:tab w:val="left" w:pos="5644" w:leader="none"/>
        </w:tabs>
        <w:rPr>
          <w:rFonts w:hint="eastAsia" w:ascii="宋体" w:hAnsi="宋体" w:eastAsia="宋体" w:cs="宋体"/>
          <w:b/>
          <w:bCs/>
          <w:color w:val="auto"/>
          <w:sz w:val="21"/>
          <w:szCs w:val="21"/>
          <w:highlight w:val="none"/>
          <w:lang w:val="zh-CN" w:eastAsia="zh-CN" w:bidi="ar-SA"/>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eastAsia" w:ascii="宋体" w:hAnsi="宋体" w:eastAsia="宋体" w:cs="宋体"/>
          <w:color w:val="auto"/>
          <w:sz w:val="21"/>
          <w:szCs w:val="21"/>
          <w:highlight w:val="none"/>
        </w:rPr>
        <w:t xml:space="preserve">供应商应根据采购文件要求及本项目特点，制订项目</w:t>
      </w:r>
      <w:r>
        <w:rPr>
          <w:rFonts w:hint="eastAsia" w:ascii="宋体" w:hAnsi="宋体" w:eastAsia="宋体" w:cs="宋体"/>
          <w:b/>
          <w:color w:val="auto"/>
          <w:spacing w:val="7"/>
          <w:sz w:val="21"/>
          <w:szCs w:val="21"/>
          <w:highlight w:val="none"/>
        </w:rPr>
        <w:t xml:space="preserve">整体运维方案</w:t>
      </w:r>
      <w:r>
        <w:rPr>
          <w:rFonts w:hint="eastAsia" w:ascii="宋体" w:hAnsi="宋体" w:eastAsia="宋体" w:cs="宋体"/>
          <w:b/>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方案应至少包含：①系统运维保障方案②营运保障③服务流程④服务承诺（包括响应时间、服务期限、运维服务工作内容）</w:t>
      </w:r>
      <w:r/>
    </w:p>
    <w:p>
      <w:pPr>
        <w:jc w:val="both"/>
        <w:spacing w:line="400" w:lineRule="exact"/>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8"/>
          <w:rFonts w:hint="eastAsia" w:ascii="宋体" w:hAnsi="宋体" w:eastAsia="宋体" w:cs="宋体"/>
          <w:color w:val="auto"/>
          <w:sz w:val="32"/>
          <w:szCs w:val="32"/>
          <w:highlight w:val="none"/>
        </w:rPr>
      </w:pPr>
      <w:r>
        <w:rPr>
          <w:rStyle w:val="978"/>
          <w:rFonts w:hint="eastAsia" w:ascii="宋体" w:hAnsi="宋体" w:eastAsia="宋体" w:cs="宋体"/>
          <w:color w:val="auto"/>
          <w:sz w:val="32"/>
          <w:szCs w:val="32"/>
          <w:highlight w:val="none"/>
        </w:rPr>
        <w:t xml:space="preserve">第四章 投标文件格式</w:t>
      </w:r>
      <w:bookmarkEnd w:id="10"/>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35"/>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995"/>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95"/>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43"/>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lang w:val="en-US" w:eastAsia="zh-CN" w:bidi="ar-SA"/>
        </w:rPr>
        <w:t xml:space="preserve">投标总报价</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contextualSpacing/>
        <w:ind w:firstLine="481"/>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25"/>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1006"/>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8"/>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948"/>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943"/>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b w:val="0"/>
                <w:bCs w:val="0"/>
                <w:color w:val="auto"/>
                <w:sz w:val="21"/>
                <w:szCs w:val="21"/>
                <w:highlight w:val="none"/>
                <w:lang w:val="en-US" w:eastAsia="zh-CN"/>
              </w:rPr>
              <w:t xml:space="preserve">小计</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7"/>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7"/>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7"/>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7"/>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7"/>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967"/>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投标报价合理性说明（如有）</w:t>
      </w:r>
      <w:r/>
    </w:p>
    <w:p>
      <w:pPr>
        <w:pStyle w:val="963"/>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3600" w:firstLine="21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947"/>
        <w:numPr>
          <w:ilvl w:val="0"/>
          <w:numId w:val="7"/>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1、资格证明文件部分：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关于资格文件的声明函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投标人基本情况表</w:t>
      </w:r>
      <w:r>
        <w:rPr>
          <w:rFonts w:hint="eastAsia" w:ascii="宋体" w:hAnsi="宋体" w:cs="宋体"/>
          <w:b/>
          <w:bCs/>
          <w:color w:val="auto"/>
          <w:sz w:val="21"/>
          <w:szCs w:val="21"/>
          <w:highlight w:val="none"/>
        </w:rPr>
        <w:t xml:space="preserve">。</w:t>
      </w:r>
      <w:r/>
    </w:p>
    <w:p>
      <w:pPr>
        <w:pStyle w:val="944"/>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944"/>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4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lang w:eastAsia="zh-CN"/>
        </w:rPr>
        <w:t xml:space="preserve">苏州泰至鑫项目管理有限公司</w:t>
      </w:r>
      <w:r>
        <w:rPr>
          <w:rFonts w:hint="eastAsia" w:ascii="宋体" w:hAnsi="宋体" w:cs="宋体"/>
          <w:b/>
          <w:bCs/>
          <w:color w:val="auto"/>
          <w:sz w:val="21"/>
          <w:szCs w:val="21"/>
          <w:highlight w:val="none"/>
        </w:rPr>
        <w:t xml:space="preserve">：</w:t>
      </w:r>
      <w:r/>
    </w:p>
    <w:p>
      <w:pPr>
        <w:pStyle w:val="94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left="0"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格式2：投标人基本情况表</w:t>
      </w:r>
      <w:r/>
    </w:p>
    <w:p>
      <w:pPr>
        <w:pStyle w:val="944"/>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4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4"/>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4"/>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w:t>
      </w:r>
      <w:r>
        <w:rPr>
          <w:rFonts w:hint="eastAsia" w:ascii="宋体" w:hAnsi="宋体" w:cs="宋体"/>
          <w:b/>
          <w:bCs/>
          <w:color w:val="auto"/>
          <w:sz w:val="21"/>
          <w:szCs w:val="21"/>
          <w:highlight w:val="none"/>
        </w:rPr>
        <w:t xml:space="preserve">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w:t>
      </w:r>
      <w:r>
        <w:rPr>
          <w:rFonts w:hint="eastAsia" w:ascii="宋体" w:hAnsi="宋体"/>
          <w:bCs/>
          <w:color w:val="auto"/>
          <w:sz w:val="21"/>
          <w:szCs w:val="21"/>
          <w:highlight w:val="none"/>
          <w:lang w:val="en-US" w:eastAsia="zh-CN"/>
        </w:rPr>
        <w:t xml:space="preserve">切</w:t>
      </w:r>
      <w:r>
        <w:rPr>
          <w:rFonts w:hint="eastAsia" w:ascii="宋体" w:hAnsi="宋体"/>
          <w:bCs/>
          <w:color w:val="auto"/>
          <w:sz w:val="21"/>
          <w:szCs w:val="21"/>
          <w:highlight w:val="none"/>
        </w:rPr>
        <w:t xml:space="preserve">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特定资格条件：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.1未被“信用中国”网站（www.creditchina.gov.cn）或中国政府采购网（https://www.ccgp.gov.cn/search/cr/）列入失信被执行人、重大税收违法案件当事人名单、政府采购严重违法失信行为记录名单。</w:t>
      </w:r>
      <w:r/>
    </w:p>
    <w:p>
      <w:pPr>
        <w:pStyle w:val="947"/>
        <w:jc w:val="both"/>
        <w:rPr>
          <w:b/>
          <w:color w:val="auto"/>
          <w:sz w:val="44"/>
          <w:szCs w:val="44"/>
          <w:highlight w:val="none"/>
        </w:rPr>
      </w:pPr>
      <w:r>
        <w:rPr>
          <w:b/>
          <w:color w:val="auto"/>
          <w:sz w:val="44"/>
          <w:szCs w:val="44"/>
          <w:highlight w:val="none"/>
        </w:rPr>
      </w:r>
      <w:r/>
    </w:p>
    <w:p>
      <w:pPr>
        <w:pStyle w:val="947"/>
        <w:jc w:val="both"/>
        <w:rPr>
          <w:b/>
          <w:color w:val="auto"/>
          <w:sz w:val="44"/>
          <w:szCs w:val="44"/>
          <w:highlight w:val="none"/>
        </w:rPr>
      </w:pPr>
      <w:r>
        <w:rPr>
          <w:b/>
          <w:color w:val="auto"/>
          <w:sz w:val="44"/>
          <w:szCs w:val="44"/>
          <w:highlight w:val="none"/>
        </w:rPr>
      </w:r>
      <w:r/>
    </w:p>
    <w:p>
      <w:pPr>
        <w:pStyle w:val="947"/>
        <w:jc w:val="both"/>
        <w:rPr>
          <w:b/>
          <w:color w:val="auto"/>
          <w:sz w:val="44"/>
          <w:szCs w:val="44"/>
          <w:highlight w:val="none"/>
        </w:rPr>
      </w:pPr>
      <w:r>
        <w:rPr>
          <w:b/>
          <w:color w:val="auto"/>
          <w:sz w:val="44"/>
          <w:szCs w:val="44"/>
          <w:highlight w:val="none"/>
        </w:rPr>
      </w:r>
      <w:r/>
    </w:p>
    <w:p>
      <w:pPr>
        <w:ind w:firstLine="210"/>
        <w:jc w:val="center"/>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47"/>
        <w:jc w:val="both"/>
        <w:rPr>
          <w:b/>
          <w:color w:val="auto"/>
          <w:sz w:val="44"/>
          <w:szCs w:val="44"/>
          <w:highlight w:val="none"/>
        </w:rPr>
      </w:pPr>
      <w:r>
        <w:rPr>
          <w:b/>
          <w:color w:val="auto"/>
          <w:sz w:val="44"/>
          <w:szCs w:val="44"/>
          <w:highlight w:val="none"/>
        </w:rPr>
      </w:r>
      <w:r/>
    </w:p>
    <w:p>
      <w:pPr>
        <w:pStyle w:val="944"/>
        <w:numPr>
          <w:ilvl w:val="0"/>
          <w:numId w:val="8"/>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符合性审查文件部分</w:t>
      </w:r>
      <w:r/>
    </w:p>
    <w:p>
      <w:pPr>
        <w:pStyle w:val="944"/>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bidi="ar"/>
        </w:rPr>
        <w:t xml:space="preserve">格式</w:t>
      </w:r>
      <w:r>
        <w:rPr>
          <w:rFonts w:hint="eastAsia" w:ascii="宋体" w:hAnsi="宋体" w:cs="宋体"/>
          <w:b/>
          <w:color w:val="auto"/>
          <w:sz w:val="21"/>
          <w:szCs w:val="21"/>
          <w:highlight w:val="none"/>
          <w:lang w:val="en-US" w:eastAsia="zh-CN" w:bidi="ar"/>
        </w:rPr>
        <w:t xml:space="preserve">5</w:t>
      </w:r>
      <w:r>
        <w:rPr>
          <w:rFonts w:hint="eastAsia" w:ascii="宋体" w:hAnsi="宋体" w:cs="宋体"/>
          <w:b/>
          <w:color w:val="auto"/>
          <w:sz w:val="21"/>
          <w:szCs w:val="21"/>
          <w:highlight w:val="none"/>
          <w:lang w:bidi="ar"/>
        </w:rPr>
        <w:t xml:space="preserve">：</w:t>
      </w:r>
      <w:r>
        <w:rPr>
          <w:rFonts w:hint="eastAsia" w:ascii="宋体" w:hAnsi="宋体" w:cs="宋体"/>
          <w:b/>
          <w:color w:val="auto"/>
          <w:sz w:val="21"/>
          <w:szCs w:val="21"/>
          <w:highlight w:val="none"/>
          <w:lang w:eastAsia="zh-CN"/>
        </w:rPr>
        <w:t xml:space="preserve">技术要求偏离表</w:t>
      </w:r>
      <w:r/>
    </w:p>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技术要求偏离表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944"/>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44"/>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44"/>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44"/>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w:t>
      </w:r>
      <w:r>
        <w:rPr>
          <w:rFonts w:hint="eastAsia" w:ascii="宋体" w:hAnsi="宋体" w:cs="宋体"/>
          <w:b/>
          <w:color w:val="auto"/>
          <w:sz w:val="21"/>
          <w:szCs w:val="21"/>
          <w:highlight w:val="none"/>
          <w:lang w:val="en-US" w:eastAsia="zh-CN" w:bidi="ar"/>
        </w:rPr>
        <w:t xml:space="preserve">6</w:t>
      </w:r>
      <w:r>
        <w:rPr>
          <w:rFonts w:hint="eastAsia" w:ascii="宋体" w:hAnsi="宋体" w:cs="宋体"/>
          <w:b/>
          <w:color w:val="auto"/>
          <w:sz w:val="21"/>
          <w:szCs w:val="21"/>
          <w:highlight w:val="none"/>
          <w:lang w:bidi="ar"/>
        </w:rPr>
        <w:t xml:space="preserve">：</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4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944"/>
        <w:numPr>
          <w:ilvl w:val="0"/>
          <w:numId w:val="8"/>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944"/>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4"/>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422"/>
        <w:spacing w:line="360" w:lineRule="auto"/>
        <w:rPr>
          <w:color w:val="auto"/>
          <w:highlight w:val="none"/>
          <w:lang w:val="zh-CN"/>
        </w:rPr>
      </w:pPr>
      <w:r>
        <w:rPr>
          <w:rFonts w:hint="eastAsia" w:ascii="宋体" w:hAnsi="宋体" w:eastAsia="宋体" w:cs="宋体"/>
          <w:b/>
          <w:bCs/>
          <w:color w:val="auto"/>
          <w:sz w:val="21"/>
          <w:szCs w:val="21"/>
          <w:highlight w:val="none"/>
        </w:rPr>
        <w:t xml:space="preserve">4、价格折扣文件</w:t>
      </w:r>
      <w:r/>
    </w:p>
    <w:p>
      <w:pPr>
        <w:pStyle w:val="94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1003"/>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47"/>
        <w:ind w:right="355" w:firstLine="41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31"/>
        <w:numPr>
          <w:ilvl w:val="0"/>
          <w:numId w:val="9"/>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31"/>
        <w:numPr>
          <w:ilvl w:val="0"/>
          <w:numId w:val="9"/>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47"/>
        <w:ind w:left="860"/>
        <w:spacing w:before="11"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47"/>
        <w:ind w:right="357" w:firstLine="645"/>
        <w:jc w:val="both"/>
        <w:spacing w:before="108"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47"/>
        <w:ind w:right="315" w:firstLine="6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44"/>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  格式</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2"/>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22"/>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22"/>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4"/>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4"/>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3"/>
        <w:spacing w:before="0" w:beforeAutospacing="0" w:after="0" w:afterAutospacing="0" w:line="360" w:lineRule="auto"/>
        <w:rPr>
          <w:rFonts w:hint="eastAsia"/>
          <w:color w:val="auto"/>
          <w:sz w:val="21"/>
          <w:szCs w:val="21"/>
          <w:highlight w:val="none"/>
        </w:rPr>
      </w:pPr>
      <w:r/>
      <w:bookmarkStart w:id="6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63"/>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Style w:val="978"/>
          <w:rFonts w:hint="eastAsia" w:ascii="宋体" w:hAnsi="宋体" w:eastAsia="宋体" w:cs="宋体"/>
          <w:color w:val="auto"/>
          <w:sz w:val="32"/>
          <w:szCs w:val="32"/>
          <w:highlight w:val="none"/>
        </w:rPr>
      </w:pPr>
      <w:r/>
      <w:bookmarkStart w:id="64" w:name="_Toc19345"/>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8"/>
          <w:rFonts w:hint="eastAsia" w:ascii="宋体" w:hAnsi="宋体" w:eastAsia="宋体" w:cs="宋体"/>
          <w:color w:val="auto"/>
          <w:sz w:val="32"/>
          <w:szCs w:val="32"/>
          <w:highlight w:val="none"/>
        </w:rPr>
      </w:pPr>
      <w:r>
        <w:rPr>
          <w:rStyle w:val="978"/>
          <w:rFonts w:hint="eastAsia" w:ascii="宋体" w:hAnsi="宋体" w:eastAsia="宋体" w:cs="宋体"/>
          <w:color w:val="auto"/>
          <w:sz w:val="32"/>
          <w:szCs w:val="32"/>
          <w:highlight w:val="none"/>
        </w:rPr>
        <w:t xml:space="preserve">第五章 评标办法及评分标准</w:t>
      </w:r>
      <w:bookmarkEnd w:id="64"/>
      <w:r/>
      <w:r/>
    </w:p>
    <w:p>
      <w:pPr>
        <w:pStyle w:val="1003"/>
        <w:ind w:firstLine="42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03"/>
        <w:numPr>
          <w:ilvl w:val="0"/>
          <w:numId w:val="10"/>
        </w:numPr>
        <w:ind w:left="0"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10"/>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0"/>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10"/>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小微企业的价格分评审</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本项目属于非专门面向中小微企业采购的项目</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小微企业参与本项目的对其价格给予20%的扣除，用扣除后的价格参与评审。</w:t>
      </w:r>
      <w:r>
        <w:rPr>
          <w:rFonts w:hint="eastAsia" w:ascii="宋体" w:hAnsi="宋体" w:cs="宋体"/>
          <w:b w:val="0"/>
          <w:bCs w:val="0"/>
          <w:color w:val="auto"/>
          <w:sz w:val="21"/>
          <w:szCs w:val="21"/>
          <w:highlight w:val="none"/>
          <w:lang w:val="en-US" w:eastAsia="zh-CN"/>
        </w:rPr>
        <w:t xml:space="preserve">相关要求</w:t>
      </w:r>
      <w:r>
        <w:rPr>
          <w:rFonts w:hint="eastAsia" w:ascii="宋体" w:hAnsi="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color w:val="auto"/>
          <w:sz w:val="21"/>
          <w:szCs w:val="21"/>
          <w:highlight w:val="none"/>
          <w:lang w:val="en-US" w:eastAsia="zh-CN"/>
        </w:rPr>
        <w:t xml:space="preserve">执行</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63"/>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63"/>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943"/>
        <w:tblW w:w="4937" w:type="pct"/>
        <w:jc w:val="center"/>
        <w:tblLayout w:type="fixed"/>
        <w:tblCellMar>
          <w:left w:w="108" w:type="dxa"/>
          <w:top w:w="0" w:type="dxa"/>
          <w:right w:w="108" w:type="dxa"/>
          <w:bottom w:w="0" w:type="dxa"/>
        </w:tblCellMar>
        <w:tblLook w:val="04A0" w:firstRow="1" w:lastRow="0" w:firstColumn="1" w:lastColumn="0" w:noHBand="0" w:noVBand="1"/>
      </w:tblPr>
      <w:tblGrid>
        <w:gridCol w:w="600"/>
        <w:gridCol w:w="1240"/>
        <w:gridCol w:w="690"/>
        <w:gridCol w:w="7200"/>
      </w:tblGrid>
      <w:tr>
        <w:trPr>
          <w:jc w:val="center"/>
          <w:trHeight w:val="510"/>
        </w:trPr>
        <w:tc>
          <w:tcPr>
            <w:tcBorders>
              <w:top w:val="single" w:color="auto" w:sz="4" w:space="0"/>
              <w:left w:val="single" w:color="auto" w:sz="4" w:space="0"/>
              <w:bottom w:val="single" w:color="auto" w:sz="4" w:space="0"/>
              <w:right w:val="single" w:color="auto" w:sz="4" w:space="0"/>
            </w:tcBorders>
            <w:tcW w:w="308" w:type="pct"/>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699" w:type="pct"/>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第一步：投标报价低于或等于财政预算价格的，为有效投标报价。超财政预算的投标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报价或招标文件规定的报价为无效投标报价。无效投标报价的投标文件不进行评审，也不得标。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投标报价得分＝（评标基准价/投标报价）×20％×100</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7"/>
                <w:sz w:val="21"/>
                <w:szCs w:val="21"/>
                <w:highlight w:val="none"/>
              </w:rPr>
              <w:t xml:space="preserve">项目整体</w:t>
            </w:r>
            <w:r>
              <w:rPr>
                <w:rFonts w:hint="eastAsia" w:ascii="宋体" w:hAnsi="宋体" w:eastAsia="宋体" w:cs="宋体"/>
                <w:b w:val="0"/>
                <w:bCs w:val="0"/>
                <w:color w:val="auto"/>
                <w:spacing w:val="7"/>
                <w:sz w:val="21"/>
                <w:szCs w:val="21"/>
                <w:highlight w:val="none"/>
                <w:lang w:val="en-US" w:eastAsia="zh-CN"/>
              </w:rPr>
              <w:t xml:space="preserve">实施</w:t>
            </w:r>
            <w:r>
              <w:rPr>
                <w:rFonts w:hint="eastAsia" w:ascii="宋体" w:hAnsi="宋体" w:eastAsia="宋体" w:cs="宋体"/>
                <w:b w:val="0"/>
                <w:bCs w:val="0"/>
                <w:color w:val="auto"/>
                <w:spacing w:val="7"/>
                <w:sz w:val="21"/>
                <w:szCs w:val="21"/>
                <w:highlight w:val="none"/>
              </w:rPr>
              <w:t xml:space="preserve">方案</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16分</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ind w:firstLine="448"/>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65" w:name="OLE_LINK3"/>
            <w:r>
              <w:rPr>
                <w:rFonts w:hint="eastAsia" w:ascii="宋体" w:hAnsi="宋体" w:eastAsia="宋体" w:cs="宋体"/>
                <w:bCs/>
                <w:color w:val="auto"/>
                <w:spacing w:val="7"/>
                <w:sz w:val="21"/>
                <w:szCs w:val="21"/>
                <w:highlight w:val="none"/>
              </w:rPr>
              <w:t xml:space="preserve">根据投标人提供的</w:t>
            </w:r>
            <w:r>
              <w:rPr>
                <w:rFonts w:hint="eastAsia" w:ascii="宋体" w:hAnsi="宋体" w:eastAsia="宋体" w:cs="宋体"/>
                <w:bCs/>
                <w:color w:val="auto"/>
                <w:spacing w:val="7"/>
                <w:sz w:val="21"/>
                <w:szCs w:val="21"/>
                <w:highlight w:val="none"/>
                <w:lang w:val="en-US" w:eastAsia="zh-CN"/>
              </w:rPr>
              <w:t xml:space="preserve">项目整体实施方案进行评定</w:t>
            </w:r>
            <w:r>
              <w:rPr>
                <w:rFonts w:hint="eastAsia" w:ascii="宋体" w:hAnsi="宋体" w:eastAsia="宋体" w:cs="宋体"/>
                <w:bCs/>
                <w:color w:val="auto"/>
                <w:spacing w:val="7"/>
                <w:sz w:val="21"/>
                <w:szCs w:val="21"/>
                <w:highlight w:val="none"/>
              </w:rPr>
              <w:t xml:space="preserve">，方案应至少包含：①设备供货计划②管理人员投入计划③施工机具配备情况④质量保证措施⑤工期及进度保证措施⑥培训计划⑦验收方案</w:t>
            </w:r>
            <w:r>
              <w:rPr>
                <w:rFonts w:hint="eastAsia" w:ascii="宋体" w:hAnsi="宋体" w:eastAsia="宋体" w:cs="宋体"/>
                <w:bCs/>
                <w:iCs/>
                <w:color w:val="auto"/>
                <w:spacing w:val="7"/>
                <w:sz w:val="21"/>
                <w:szCs w:val="21"/>
                <w:highlight w:val="none"/>
              </w:rPr>
              <w:t xml:space="preserve">⑧应急措施预案</w:t>
            </w:r>
            <w:r>
              <w:rPr>
                <w:rFonts w:hint="eastAsia" w:ascii="宋体" w:hAnsi="宋体" w:eastAsia="宋体" w:cs="宋体"/>
                <w:bCs/>
                <w:color w:val="auto"/>
                <w:spacing w:val="7"/>
                <w:sz w:val="21"/>
                <w:szCs w:val="21"/>
                <w:highlight w:val="none"/>
              </w:rPr>
              <w:t xml:space="preserve">。</w:t>
            </w:r>
            <w:r>
              <w:rPr>
                <w:rFonts w:hint="eastAsia" w:ascii="宋体" w:hAnsi="宋体" w:eastAsia="宋体" w:cs="宋体"/>
                <w:color w:val="auto"/>
                <w:sz w:val="21"/>
                <w:szCs w:val="21"/>
                <w:highlight w:val="none"/>
                <w:lang w:val="en-US" w:eastAsia="zh-CN"/>
              </w:rPr>
              <w:t xml:space="preserve">方案内容针对本项目且符合本项目实际需求的满足一项得2分，最高16分</w:t>
            </w:r>
            <w:bookmarkEnd w:id="65"/>
            <w:r/>
            <w:r/>
          </w:p>
        </w:tc>
      </w:tr>
      <w:tr>
        <w:trPr>
          <w:jc w:val="center"/>
          <w:trHeight w:val="510"/>
        </w:trPr>
        <w:tc>
          <w:tcPr>
            <w:tcBorders>
              <w:top w:val="single" w:color="auto" w:sz="4" w:space="0"/>
              <w:left w:val="single" w:color="auto" w:sz="4" w:space="0"/>
              <w:bottom w:val="single" w:color="auto" w:sz="4" w:space="0"/>
              <w:right w:val="single" w:color="auto" w:sz="4" w:space="0"/>
            </w:tcBorders>
            <w:tcW w:w="308" w:type="pct"/>
            <w:vAlign w:val="center"/>
            <w:textDirection w:val="lrTb"/>
            <w:noWrap/>
          </w:tcPr>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7"/>
                <w:sz w:val="21"/>
                <w:szCs w:val="21"/>
                <w:highlight w:val="none"/>
              </w:rPr>
              <w:t xml:space="preserve">安全施工方案</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Borders>
              <w:top w:val="single" w:color="auto" w:sz="4" w:space="0"/>
              <w:left w:val="none" w:color="000000" w:sz="4" w:space="0"/>
              <w:bottom w:val="single" w:color="auto" w:sz="4" w:space="0"/>
              <w:right w:val="single" w:color="auto" w:sz="4" w:space="0"/>
            </w:tcBorders>
            <w:tcW w:w="3699" w:type="pct"/>
            <w:vAlign w:val="center"/>
            <w:textDirection w:val="lrTb"/>
            <w:noWrap w:val="false"/>
          </w:tcPr>
          <w:p>
            <w:pPr>
              <w:ind w:firstLine="448"/>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7"/>
                <w:sz w:val="21"/>
                <w:szCs w:val="21"/>
                <w:highlight w:val="none"/>
              </w:rPr>
              <w:t xml:space="preserve">根据投标人提供的安全施工方案进行评分，方案应至少包含：①施工方法②劳动组织③作业方法④使用的机械</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动力设备</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bCs/>
                <w:color w:val="auto"/>
                <w:spacing w:val="7"/>
                <w:sz w:val="21"/>
                <w:szCs w:val="21"/>
                <w:highlight w:val="none"/>
              </w:rPr>
              <w:t xml:space="preserve">变配电设施⑤各种安全防护设施</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方案内容针对本项目且符合本项目实际需求的满足一项得2分，最高10分</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7"/>
                <w:sz w:val="21"/>
                <w:szCs w:val="21"/>
                <w:highlight w:val="none"/>
              </w:rPr>
              <w:t xml:space="preserve">网络、云存储方案</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ind w:firstLine="448"/>
              <w:jc w:val="both"/>
              <w:keepLines w:val="0"/>
              <w:keepNext w:val="0"/>
              <w:pageBreakBefore w:val="0"/>
              <w:spacing w:line="360" w:lineRule="auto"/>
              <w:widowControl w:val="off"/>
              <w:rPr>
                <w:rFonts w:hint="eastAsia" w:ascii="宋体" w:hAnsi="宋体" w:eastAsia="宋体" w:cs="宋体"/>
                <w:bCs/>
                <w:color w:val="auto"/>
                <w:spacing w:val="7"/>
                <w:sz w:val="21"/>
                <w:szCs w:val="21"/>
                <w:highlight w:val="none"/>
              </w:rPr>
            </w:pPr>
            <w:r>
              <w:rPr>
                <w:rFonts w:hint="eastAsia" w:ascii="宋体" w:hAnsi="宋体" w:eastAsia="宋体" w:cs="宋体"/>
                <w:bCs/>
                <w:color w:val="auto"/>
                <w:spacing w:val="7"/>
                <w:sz w:val="21"/>
                <w:szCs w:val="21"/>
                <w:highlight w:val="none"/>
              </w:rPr>
              <w:t xml:space="preserve">根据投标人提供的网络、云存储方案进行打分，方案应至少包含：①架构设计②网络安全设计③视频专网的需求、目标、定位把握④云存储系统架构、服务器等。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方案内容针对本项目且符合本项目实际需求的满足一项得1.5分，最高6分</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pacing w:val="7"/>
                <w:sz w:val="21"/>
                <w:szCs w:val="21"/>
                <w:highlight w:val="none"/>
              </w:rPr>
              <w:t xml:space="preserve">整体运维方案</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pacing w:val="7"/>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tcPr>
          <w:p>
            <w:pPr>
              <w:ind w:firstLine="448"/>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7"/>
                <w:sz w:val="21"/>
                <w:szCs w:val="21"/>
                <w:highlight w:val="none"/>
              </w:rPr>
              <w:t xml:space="preserve">根据投标人提供的整体运维方案进行评分，方案应至少包含：①系统运维保障方案②营运保障③服务流程④服务承诺（包括响应时间、服务期限、运维服务工作内容）</w:t>
            </w:r>
            <w:r>
              <w:rPr>
                <w:rFonts w:hint="eastAsia" w:ascii="宋体" w:hAnsi="宋体" w:eastAsia="宋体" w:cs="宋体"/>
                <w:bCs/>
                <w:color w:val="auto"/>
                <w:spacing w:val="7"/>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方案内容针对本项目且符合本项目实际需求的满足一项得2分，最高</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负责人</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bookmarkStart w:id="66" w:name="_Hlk231830309"/>
            <w:r>
              <w:rPr>
                <w:rFonts w:hint="eastAsia" w:ascii="宋体" w:hAnsi="宋体" w:eastAsia="宋体" w:cs="宋体"/>
                <w:color w:val="auto"/>
                <w:sz w:val="21"/>
                <w:szCs w:val="21"/>
                <w:highlight w:val="none"/>
              </w:rPr>
              <w:t xml:space="preserve">具有</w:t>
            </w:r>
            <w:bookmarkEnd w:id="66"/>
            <w:r>
              <w:rPr>
                <w:rFonts w:hint="eastAsia" w:ascii="宋体" w:hAnsi="宋体" w:eastAsia="宋体" w:cs="宋体"/>
                <w:color w:val="auto"/>
                <w:sz w:val="21"/>
                <w:szCs w:val="21"/>
                <w:highlight w:val="none"/>
              </w:rPr>
              <w:t xml:space="preserve">电子、信息类高级工程师及以上职称得3分，未提供不得分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提供相关证书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以及与投标单位签订的劳动合同</w:t>
            </w:r>
            <w:r>
              <w:rPr>
                <w:rFonts w:hint="eastAsia" w:ascii="宋体" w:hAnsi="宋体" w:eastAsia="宋体" w:cs="宋体"/>
                <w:color w:val="auto"/>
                <w:sz w:val="21"/>
                <w:szCs w:val="21"/>
                <w:highlight w:val="none"/>
                <w:lang w:val="en-US" w:eastAsia="zh-CN"/>
              </w:rPr>
              <w:t xml:space="preserve">扫描件并加盖公章。</w:t>
            </w:r>
            <w:r/>
          </w:p>
        </w:tc>
      </w:tr>
      <w:tr>
        <w:trPr>
          <w:jc w:val="center"/>
          <w:trHeight w:val="24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技术人员</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拟投入项目</w:t>
            </w:r>
            <w:r>
              <w:rPr>
                <w:rFonts w:hint="eastAsia" w:ascii="宋体" w:hAnsi="宋体" w:eastAsia="宋体" w:cs="宋体"/>
                <w:color w:val="auto"/>
                <w:sz w:val="21"/>
                <w:szCs w:val="21"/>
                <w:highlight w:val="none"/>
                <w:lang w:val="en-US" w:eastAsia="zh-CN"/>
              </w:rPr>
              <w:t xml:space="preserve">技术人员</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rPr>
              <w:t xml:space="preserve">除外）</w:t>
            </w:r>
            <w:bookmarkStart w:id="67" w:name="_Hlk231830326"/>
            <w:r>
              <w:rPr>
                <w:rFonts w:hint="eastAsia" w:ascii="宋体" w:hAnsi="宋体" w:eastAsia="宋体" w:cs="宋体"/>
                <w:color w:val="auto"/>
                <w:sz w:val="21"/>
                <w:szCs w:val="21"/>
                <w:highlight w:val="none"/>
              </w:rPr>
              <w:t xml:space="preserve">具有中国信息安全测评中心颁发的</w:t>
            </w:r>
            <w:bookmarkEnd w:id="67"/>
            <w:r>
              <w:rPr>
                <w:rFonts w:hint="eastAsia" w:ascii="宋体" w:hAnsi="宋体" w:eastAsia="宋体" w:cs="宋体"/>
                <w:color w:val="auto"/>
                <w:sz w:val="21"/>
                <w:szCs w:val="21"/>
                <w:highlight w:val="none"/>
              </w:rPr>
              <w:t xml:space="preserve">注册信息安全专业人员（CISP）资质证书或具有市级或市级以上人社部门颁发的工程师及以上工程师职称证书，每提供一个得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投标文件中须提供相关人员证书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以及与投标单位签订的劳动合同</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并加盖投标单位公章，未提供不得分。涉及同一人员拥有多张证书的，不重复计算得分，即一个人员只能对应一张证书。</w:t>
            </w:r>
            <w:r/>
          </w:p>
        </w:tc>
      </w:tr>
      <w:tr>
        <w:trPr>
          <w:jc w:val="center"/>
          <w:trHeight w:val="280"/>
        </w:trPr>
        <w:tc>
          <w:tcPr>
            <w:tcBorders>
              <w:top w:val="single" w:color="auto" w:sz="4" w:space="0"/>
              <w:left w:val="single" w:color="auto" w:sz="4" w:space="0"/>
              <w:bottom w:val="single" w:color="auto" w:sz="4" w:space="0"/>
              <w:right w:val="single" w:color="auto" w:sz="4" w:space="0"/>
            </w:tcBorders>
            <w:tcW w:w="3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技术参数响应</w:t>
            </w:r>
            <w:r/>
          </w:p>
        </w:tc>
        <w:tc>
          <w:tcPr>
            <w:tcBorders>
              <w:top w:val="single" w:color="auto" w:sz="4" w:space="0"/>
              <w:left w:val="none" w:color="000000" w:sz="4" w:space="0"/>
              <w:bottom w:val="single" w:color="auto" w:sz="4" w:space="0"/>
              <w:right w:val="single" w:color="auto" w:sz="4" w:space="0"/>
            </w:tcBorders>
            <w:tcW w:w="354"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Borders>
              <w:top w:val="single" w:color="auto" w:sz="4" w:space="0"/>
              <w:left w:val="none" w:color="000000" w:sz="4" w:space="0"/>
              <w:bottom w:val="single" w:color="auto" w:sz="4" w:space="0"/>
              <w:right w:val="single" w:color="auto" w:sz="4" w:space="0"/>
            </w:tcBorders>
            <w:tcW w:w="3699" w:type="pct"/>
            <w:vAlign w:val="center"/>
            <w:textDirection w:val="lrTb"/>
            <w:noWrap w:val="false"/>
          </w:tcPr>
          <w:p>
            <w:pPr>
              <w:keepLines w:val="0"/>
              <w:keepNext w:val="0"/>
              <w:pageBreakBefore w:val="0"/>
              <w:spacing w:after="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招标文件技术要求中指标参数以★号标示的</w:t>
            </w:r>
            <w:r>
              <w:rPr>
                <w:rFonts w:hint="eastAsia" w:ascii="宋体" w:hAnsi="宋体" w:eastAsia="宋体" w:cs="宋体"/>
                <w:bCs/>
                <w:color w:val="auto"/>
                <w:sz w:val="21"/>
                <w:szCs w:val="21"/>
                <w:highlight w:val="none"/>
                <w:lang w:val="en-US" w:eastAsia="zh-CN"/>
              </w:rPr>
              <w:t xml:space="preserve">为重要参数，共</w:t>
            </w:r>
            <w:r>
              <w:rPr>
                <w:rFonts w:hint="eastAsia" w:ascii="宋体" w:hAnsi="宋体" w:cs="宋体"/>
                <w:bCs/>
                <w:color w:val="auto"/>
                <w:sz w:val="21"/>
                <w:szCs w:val="21"/>
                <w:highlight w:val="none"/>
                <w:lang w:val="en-US" w:eastAsia="zh-CN"/>
              </w:rPr>
              <w:t xml:space="preserve">60</w:t>
            </w:r>
            <w:r>
              <w:rPr>
                <w:rFonts w:hint="eastAsia" w:ascii="宋体" w:hAnsi="宋体" w:eastAsia="宋体" w:cs="宋体"/>
                <w:bCs/>
                <w:color w:val="auto"/>
                <w:sz w:val="21"/>
                <w:szCs w:val="21"/>
                <w:highlight w:val="none"/>
                <w:lang w:val="en-US" w:eastAsia="zh-CN"/>
              </w:rPr>
              <w:t xml:space="preserve">项。以响应文件技术偏离表为准，满足一项得得</w:t>
            </w:r>
            <w:r>
              <w:rPr>
                <w:rFonts w:hint="eastAsia" w:ascii="宋体" w:hAnsi="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lang w:val="en-US" w:eastAsia="zh-CN"/>
              </w:rPr>
              <w:t xml:space="preserve">分，共30分</w:t>
            </w:r>
            <w:r/>
          </w:p>
        </w:tc>
      </w:tr>
      <w:tr>
        <w:trPr>
          <w:jc w:val="center"/>
          <w:trHeight w:val="510"/>
        </w:trPr>
        <w:tc>
          <w:tcPr>
            <w:tcBorders>
              <w:top w:val="none" w:color="000000" w:sz="4" w:space="0"/>
              <w:left w:val="single" w:color="auto" w:sz="4" w:space="0"/>
              <w:bottom w:val="single" w:color="auto" w:sz="4" w:space="0"/>
              <w:right w:val="single" w:color="auto" w:sz="4" w:space="0"/>
            </w:tcBorders>
            <w:tcW w:w="308" w:type="pct"/>
            <w:vAlign w:val="center"/>
            <w:textDirection w:val="lrTb"/>
            <w:noWrap/>
          </w:tcPr>
          <w:p>
            <w:pPr>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3699" w:type="pct"/>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7"/>
                <w:sz w:val="21"/>
                <w:szCs w:val="21"/>
                <w:highlight w:val="none"/>
              </w:rPr>
              <w:t xml:space="preserve">投标人提供自2023年</w:t>
            </w:r>
            <w:r>
              <w:rPr>
                <w:rFonts w:hint="eastAsia" w:ascii="宋体" w:hAnsi="宋体" w:eastAsia="宋体" w:cs="宋体"/>
                <w:bCs/>
                <w:color w:val="auto"/>
                <w:spacing w:val="7"/>
                <w:sz w:val="21"/>
                <w:szCs w:val="21"/>
                <w:highlight w:val="none"/>
                <w:lang w:val="en-US" w:eastAsia="zh-CN"/>
              </w:rPr>
              <w:t xml:space="preserve">1月1日</w:t>
            </w:r>
            <w:r>
              <w:rPr>
                <w:rFonts w:hint="eastAsia" w:ascii="宋体" w:hAnsi="宋体" w:eastAsia="宋体" w:cs="宋体"/>
                <w:bCs/>
                <w:color w:val="auto"/>
                <w:spacing w:val="7"/>
                <w:sz w:val="21"/>
                <w:szCs w:val="21"/>
                <w:highlight w:val="none"/>
              </w:rPr>
              <w:t xml:space="preserve">以来（以合同签订日期为准）承接的类似项目业绩，每提供一个得2分，本项最多得4分（请在投标文件中提供合同</w:t>
            </w:r>
            <w:r>
              <w:rPr>
                <w:rFonts w:hint="eastAsia" w:ascii="宋体" w:hAnsi="宋体" w:eastAsia="宋体" w:cs="宋体"/>
                <w:bCs/>
                <w:color w:val="auto"/>
                <w:spacing w:val="7"/>
                <w:sz w:val="21"/>
                <w:szCs w:val="21"/>
                <w:highlight w:val="none"/>
                <w:lang w:val="en-US" w:eastAsia="zh-CN"/>
              </w:rPr>
              <w:t xml:space="preserve">扫描件</w:t>
            </w:r>
            <w:r>
              <w:rPr>
                <w:rFonts w:hint="eastAsia" w:ascii="宋体" w:hAnsi="宋体" w:eastAsia="宋体" w:cs="宋体"/>
                <w:bCs/>
                <w:color w:val="auto"/>
                <w:spacing w:val="7"/>
                <w:sz w:val="21"/>
                <w:szCs w:val="21"/>
                <w:highlight w:val="none"/>
              </w:rPr>
              <w:t xml:space="preserve">，合同中须反映出相关内容，如合同中不能反映，须提供其他材料予以佐证，不提供的不得分）。</w:t>
            </w:r>
            <w:r/>
          </w:p>
        </w:tc>
      </w:tr>
    </w:tbl>
    <w:p>
      <w:pPr>
        <w:pStyle w:val="1003"/>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8"/>
          <w:rFonts w:hint="eastAsia" w:ascii="宋体" w:hAnsi="宋体" w:eastAsia="宋体" w:cs="宋体"/>
          <w:color w:val="auto"/>
          <w:sz w:val="32"/>
          <w:szCs w:val="32"/>
          <w:highlight w:val="none"/>
        </w:rPr>
      </w:pPr>
      <w:r>
        <w:rPr>
          <w:rStyle w:val="978"/>
          <w:rFonts w:hint="eastAsia" w:ascii="宋体" w:hAnsi="宋体" w:eastAsia="宋体" w:cs="宋体"/>
          <w:color w:val="auto"/>
          <w:sz w:val="32"/>
          <w:szCs w:val="32"/>
          <w:highlight w:val="none"/>
        </w:rPr>
        <w:br w:type="page" w:clear="all"/>
      </w:r>
      <w:bookmarkStart w:id="68" w:name="_Toc31315"/>
      <w:r>
        <w:rPr>
          <w:rStyle w:val="978"/>
          <w:rFonts w:hint="eastAsia" w:ascii="宋体" w:hAnsi="宋体" w:eastAsia="宋体" w:cs="宋体"/>
          <w:color w:val="auto"/>
          <w:sz w:val="32"/>
          <w:szCs w:val="32"/>
          <w:highlight w:val="none"/>
        </w:rPr>
        <w:t xml:space="preserve">第六章 合同格式</w:t>
      </w:r>
      <w:bookmarkEnd w:id="68"/>
      <w:r/>
      <w:r/>
    </w:p>
    <w:p>
      <w:pPr>
        <w:spacing w:line="440" w:lineRule="exact"/>
        <w:rPr>
          <w:rFonts w:hint="eastAsia" w:ascii="宋体" w:hAnsi="宋体" w:cs="宋体"/>
          <w:color w:val="auto"/>
          <w:highlight w:val="none"/>
        </w:rPr>
      </w:pPr>
      <w:r/>
      <w:bookmarkStart w:id="69" w:name="_Toc479449483"/>
      <w:r/>
      <w:bookmarkStart w:id="70" w:name="_Toc479449569"/>
      <w:r/>
      <w:bookmarkStart w:id="71" w:name="_Toc480191160"/>
      <w:r/>
      <w:bookmarkEnd w:id="69"/>
      <w:r/>
      <w:bookmarkEnd w:id="70"/>
      <w:r/>
      <w:bookmarkEnd w:id="71"/>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hint="eastAsia"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hint="eastAsia"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hint="eastAsia" w:ascii="宋体" w:hAnsi="宋体"/>
          <w:color w:val="auto"/>
          <w:szCs w:val="22"/>
          <w:highlight w:val="none"/>
        </w:rPr>
      </w:pPr>
      <w:r>
        <w:rPr>
          <w:rFonts w:hint="eastAsia" w:ascii="宋体" w:hAnsi="宋体"/>
          <w:color w:val="auto"/>
          <w:szCs w:val="22"/>
          <w:highlight w:val="none"/>
        </w:rPr>
      </w:r>
      <w:r/>
    </w:p>
    <w:p>
      <w:pPr>
        <w:ind w:firstLine="480"/>
        <w:rPr>
          <w:rFonts w:hint="eastAsia" w:ascii="宋体" w:hAnsi="宋体"/>
          <w:color w:val="auto"/>
          <w:szCs w:val="22"/>
          <w:highlight w:val="none"/>
          <w:u w:val="single"/>
        </w:rPr>
      </w:pPr>
      <w:r>
        <w:rPr>
          <w:rFonts w:hint="eastAsia" w:ascii="宋体" w:hAnsi="宋体"/>
          <w:color w:val="auto"/>
          <w:szCs w:val="22"/>
          <w:highlight w:val="none"/>
          <w:u w:val="single"/>
        </w:rPr>
      </w:r>
      <w:r/>
    </w:p>
    <w:p>
      <w:pPr>
        <w:pStyle w:val="995"/>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bl>
      <w:tblPr>
        <w:tblStyle w:val="94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textDirection w:val="lrTb"/>
            <w:noWrap w:val="false"/>
          </w:tcPr>
          <w:p>
            <w:pPr>
              <w:spacing w:line="360" w:lineRule="auto"/>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2026年太仓市南沿江铁路技防服务</w:t>
            </w:r>
            <w:r>
              <w:rPr>
                <w:rFonts w:hint="eastAsia" w:ascii="宋体" w:hAnsi="宋体" w:cs="宋体"/>
                <w:color w:val="auto"/>
                <w:sz w:val="21"/>
                <w:szCs w:val="21"/>
                <w:highlight w:val="none"/>
              </w:rPr>
              <w:t xml:space="preserve">甲方（买方）：</w:t>
            </w:r>
            <w:r>
              <w:rPr>
                <w:rFonts w:hint="eastAsia" w:cs="宋体"/>
                <w:bCs/>
                <w:color w:val="auto"/>
                <w:sz w:val="21"/>
                <w:szCs w:val="21"/>
                <w:highlight w:val="none"/>
                <w:lang w:eastAsia="zh-CN"/>
              </w:rPr>
              <w:t xml:space="preserve">太仓市公安局</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JSZC-320585-SZTZ-G2026-0016</w:t>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2026年太仓市南沿江铁路技防服务</w:t>
      </w:r>
      <w:r>
        <w:rPr>
          <w:rFonts w:hint="eastAsia" w:ascii="宋体" w:hAnsi="宋体" w:cs="宋体"/>
          <w:color w:val="auto"/>
          <w:sz w:val="21"/>
          <w:szCs w:val="21"/>
          <w:highlight w:val="none"/>
        </w:rPr>
        <w:t xml:space="preserve">工作，签订本合同书。</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一、</w:t>
      </w: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en-US" w:eastAsia="zh-CN"/>
        </w:rPr>
        <w:t xml:space="preserve">合同</w:t>
      </w:r>
      <w:r>
        <w:rPr>
          <w:rFonts w:hint="eastAsia" w:ascii="宋体" w:hAnsi="宋体" w:cs="宋体"/>
          <w:b/>
          <w:color w:val="auto"/>
          <w:sz w:val="21"/>
          <w:szCs w:val="21"/>
          <w:highlight w:val="none"/>
        </w:rPr>
        <w:t xml:space="preserve">内容</w:t>
      </w:r>
      <w:r/>
    </w:p>
    <w:p>
      <w:pPr>
        <w:contextualSpacing/>
        <w:ind w:right="480" w:firstLine="422"/>
        <w:jc w:val="both"/>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1、乙方按照采购文件要求及乙方在投标文件中的承诺完成本项目</w:t>
      </w:r>
      <w:r/>
    </w:p>
    <w:p>
      <w:pPr>
        <w:contextualSpacing/>
        <w:ind w:right="480" w:firstLine="422"/>
        <w:jc w:val="both"/>
        <w:spacing w:line="360" w:lineRule="auto"/>
        <w:widowControl w:val="off"/>
        <w:rPr>
          <w:rFonts w:hint="eastAsia" w:ascii="宋体" w:hAnsi="宋体" w:cs="宋体"/>
          <w:color w:val="auto"/>
          <w:sz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合同履行期限</w:t>
      </w:r>
      <w:r>
        <w:rPr>
          <w:rFonts w:hint="eastAsia" w:ascii="宋体" w:hAnsi="宋体" w:cs="宋体"/>
          <w:color w:val="auto"/>
          <w:sz w:val="21"/>
          <w:szCs w:val="21"/>
          <w:highlight w:val="none"/>
        </w:rPr>
        <w:t xml:space="preserve">：</w:t>
      </w:r>
      <w:r>
        <w:rPr>
          <w:rFonts w:hint="eastAsia" w:ascii="宋体" w:hAnsi="宋体" w:cs="宋体"/>
          <w:color w:val="auto"/>
          <w:sz w:val="21"/>
          <w:highlight w:val="none"/>
          <w:lang w:eastAsia="zh-CN"/>
        </w:rPr>
        <w:t xml:space="preserve">合同签订后30日内完成项目整体部署，服务期自项目验收完成之日起36个月</w:t>
      </w:r>
      <w:r/>
    </w:p>
    <w:p>
      <w:pPr>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下列文件为本合同不可分割部分：</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过程中所作的其它承诺、声明、书面澄清等；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（4）采购文件及其附件；</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（5）合同附件。</w:t>
      </w:r>
      <w:r/>
    </w:p>
    <w:p>
      <w:pPr>
        <w:ind w:firstLine="420"/>
        <w:jc w:val="both"/>
        <w:spacing w:line="360" w:lineRule="auto"/>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 合同总价款：</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合同价格按此次成交价格执行，合同总金额为人民币</w:t>
      </w:r>
      <w:r>
        <w:rPr>
          <w:rFonts w:hint="eastAsia" w:ascii="宋体" w:hAnsi="宋体" w:eastAsia="宋体" w:cs="宋体"/>
          <w:color w:val="auto"/>
          <w:sz w:val="21"/>
          <w:szCs w:val="21"/>
          <w:highlight w:val="none"/>
          <w:u w:val="single"/>
        </w:rPr>
        <w:t xml:space="preserve">               （大写）</w:t>
      </w:r>
      <w:r>
        <w:rPr>
          <w:rFonts w:hint="eastAsia" w:ascii="宋体" w:hAnsi="宋体" w:eastAsia="宋体" w:cs="宋体"/>
          <w:color w:val="auto"/>
          <w:sz w:val="21"/>
          <w:szCs w:val="21"/>
          <w:highlight w:val="none"/>
          <w:lang w:val="en-US" w:eastAsia="zh-CN"/>
        </w:rPr>
        <w:t xml:space="preserve">元整</w:t>
      </w:r>
      <w:r>
        <w:rPr>
          <w:rFonts w:hint="eastAsia" w:ascii="宋体" w:hAnsi="宋体" w:eastAsia="宋体" w:cs="宋体"/>
          <w:color w:val="auto"/>
          <w:sz w:val="21"/>
          <w:szCs w:val="21"/>
          <w:highlight w:val="none"/>
        </w:rPr>
        <w:t xml:space="preserve">，小写：（￥：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 以上价格应</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pStyle w:val="1053"/>
        <w:ind w:firstLine="422"/>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三、 合同款支付：</w:t>
      </w:r>
      <w:r/>
    </w:p>
    <w:p>
      <w:pPr>
        <w:pStyle w:val="1053"/>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合同签订生效后，</w:t>
      </w:r>
      <w:r>
        <w:rPr>
          <w:rFonts w:hint="eastAsia" w:hAnsi="宋体" w:eastAsia="宋体" w:cs="宋体"/>
          <w:color w:val="auto"/>
          <w:sz w:val="21"/>
          <w:szCs w:val="21"/>
          <w:highlight w:val="none"/>
          <w:lang w:val="en-US" w:eastAsia="zh-CN"/>
        </w:rPr>
        <w:t xml:space="preserve">支付合同金额的30%，服务期满1年后支付合同金额的35%，服务期满两年后支付合同金额的35%</w:t>
      </w:r>
      <w:r>
        <w:rPr>
          <w:rFonts w:hint="eastAsia" w:ascii="宋体" w:hAnsi="宋体" w:eastAsia="宋体" w:cs="宋体"/>
          <w:color w:val="auto"/>
          <w:sz w:val="21"/>
          <w:szCs w:val="21"/>
          <w:highlight w:val="none"/>
        </w:rPr>
        <w:t xml:space="preserve">。每个服务期</w:t>
      </w:r>
      <w:r>
        <w:rPr>
          <w:rFonts w:hint="eastAsia" w:hAnsi="宋体" w:eastAsia="宋体" w:cs="宋体"/>
          <w:color w:val="auto"/>
          <w:sz w:val="21"/>
          <w:szCs w:val="21"/>
          <w:highlight w:val="none"/>
          <w:lang w:val="en-US" w:eastAsia="zh-CN"/>
        </w:rPr>
        <w:t xml:space="preserve">内的考核扣款在每期服务费中直接扣除</w:t>
      </w:r>
      <w:r>
        <w:rPr>
          <w:rFonts w:hint="eastAsia" w:ascii="宋体" w:hAnsi="宋体" w:eastAsia="宋体" w:cs="宋体"/>
          <w:color w:val="auto"/>
          <w:sz w:val="21"/>
          <w:szCs w:val="21"/>
          <w:highlight w:val="none"/>
        </w:rPr>
        <w:t xml:space="preserve">。每次付款时需提供正式的发票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有权拒绝支付。</w:t>
      </w:r>
      <w:r/>
    </w:p>
    <w:p>
      <w:pPr>
        <w:pStyle w:val="1053"/>
        <w:ind w:firstLine="420"/>
        <w:jc w:val="left"/>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 根据现行税法对乙方征收的与本合同有关的一切税费均由乙方承担。</w:t>
      </w:r>
      <w:r/>
    </w:p>
    <w:p>
      <w:pPr>
        <w:ind w:firstLine="42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甲方支付合同项下费用外不再承担其它任何费用（包括个人）。</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4.付款方式：银行汇票或转账。</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四、质量要求:</w:t>
      </w:r>
      <w:r/>
    </w:p>
    <w:p>
      <w:pPr>
        <w:ind w:firstLine="42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乙方须按照本招标文件的要求对该招标项目进行服务工作。</w:t>
      </w:r>
      <w:r/>
    </w:p>
    <w:p>
      <w:pPr>
        <w:ind w:firstLine="42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技术依据：为保证本项目实施的科学性、规范性和准确性，乙方需严格遵照国家有关法律、法规、规章制度以及国家和行业颁布的相关技术标准和规范进行服务。</w:t>
      </w:r>
      <w:r/>
    </w:p>
    <w:p>
      <w:pPr>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五、验收：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项目建设完成后</w:t>
      </w:r>
      <w:r>
        <w:rPr>
          <w:rFonts w:hint="eastAsia" w:ascii="宋体" w:hAnsi="宋体" w:eastAsia="宋体" w:cs="宋体"/>
          <w:color w:val="auto"/>
          <w:sz w:val="21"/>
          <w:szCs w:val="21"/>
          <w:highlight w:val="none"/>
        </w:rPr>
        <w:t xml:space="preserve">，甲方有权</w:t>
      </w:r>
      <w:r>
        <w:rPr>
          <w:rFonts w:hint="eastAsia" w:ascii="宋体" w:hAnsi="宋体" w:eastAsia="宋体" w:cs="宋体"/>
          <w:color w:val="auto"/>
          <w:sz w:val="21"/>
          <w:szCs w:val="21"/>
          <w:highlight w:val="none"/>
          <w:lang w:val="zh-CN"/>
        </w:rPr>
        <w:t xml:space="preserve">根据招标文件、乙方的投标文件、双方签订的合同文件及其附件、国家的相关规定，由甲方及相关部门进行验收</w:t>
      </w:r>
      <w:r>
        <w:rPr>
          <w:rFonts w:hint="eastAsia" w:ascii="宋体" w:hAnsi="宋体" w:eastAsia="宋体" w:cs="宋体"/>
          <w:color w:val="auto"/>
          <w:sz w:val="21"/>
          <w:szCs w:val="21"/>
          <w:highlight w:val="none"/>
        </w:rPr>
        <w:t xml:space="preserve">及对相关功能进行测试，如验收不合格或相关功能达不到招标文件要求或投标文件中所承诺的标准，甲方有权上报行政监督部门按相关规定处理，乙方须承担由此造成的相关损失及违约责任。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验收标准：符合</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本身的技术条件、相关国家标准、招标文件的各项要求以及</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承诺的其它指标。</w:t>
      </w:r>
      <w:r/>
    </w:p>
    <w:p>
      <w:pPr>
        <w:ind w:firstLine="502"/>
        <w:jc w:val="both"/>
        <w:keepLines w:val="0"/>
        <w:keepNext w:val="0"/>
        <w:pageBreakBefore w:val="0"/>
        <w:spacing w:line="360" w:lineRule="auto"/>
        <w:widowControl w:val="off"/>
        <w:rPr>
          <w:rFonts w:hint="eastAsia" w:ascii="宋体" w:hAnsi="宋体" w:eastAsia="宋体" w:cs="Times New Roman"/>
          <w:b/>
          <w:color w:val="auto"/>
          <w:sz w:val="21"/>
          <w:szCs w:val="21"/>
          <w:highlight w:val="none"/>
        </w:rPr>
      </w:pPr>
      <w:r>
        <w:rPr>
          <w:rStyle w:val="1054"/>
          <w:rFonts w:hint="eastAsia" w:ascii="宋体" w:hAnsi="宋体" w:eastAsia="宋体" w:cs="宋体"/>
          <w:color w:val="auto"/>
          <w:spacing w:val="20"/>
          <w:sz w:val="21"/>
          <w:szCs w:val="21"/>
          <w:highlight w:val="none"/>
          <w:lang w:val="en-US" w:eastAsia="zh-CN" w:bidi="ar-SA"/>
        </w:rPr>
        <w:t xml:space="preserve">六、</w:t>
      </w:r>
      <w:r>
        <w:rPr>
          <w:rFonts w:hint="eastAsia" w:ascii="宋体" w:hAnsi="宋体" w:eastAsia="宋体" w:cs="Times New Roman"/>
          <w:b/>
          <w:color w:val="auto"/>
          <w:sz w:val="21"/>
          <w:szCs w:val="21"/>
          <w:highlight w:val="none"/>
        </w:rPr>
        <w:t xml:space="preserve">服务保障考核标准</w:t>
      </w:r>
      <w:r/>
    </w:p>
    <w:p>
      <w:pPr>
        <w:jc w:val="center"/>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《服务考核办法》</w:t>
      </w:r>
      <w:r/>
    </w:p>
    <w:tbl>
      <w:tblPr>
        <w:tblStyle w:val="943"/>
        <w:tblW w:w="9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338"/>
        <w:gridCol w:w="8052"/>
      </w:tblGrid>
      <w:tr>
        <w:trPr>
          <w:jc w:val="center"/>
          <w:trHeight w:val="90"/>
        </w:trPr>
        <w:tc>
          <w:tcPr>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日常维护</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监控点每周通过平台巡查两遍并做好记录，平台自检监控在线率低于98%</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发生故障24小时未发现并报备采购人和属地使用单位（辖区派出所）</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维修更换设备的性能参数低于服务标准</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维护人员、工具、备品备件等缺失，未及时补全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未经采购人书面同意，擅自改变方案设计、移机移位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钢杆件及固定螺帽、螺栓等外场设备发现有锈蚀，经反馈在15个工作日内未整改</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检修用电脑设备需提前报备，专网专用，擅自入（出）网</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应急保障</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报修电话不接听（30分钟内回拨完成通话的除外）</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未按售后服务故障响应要求执行</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一般设备故障（含图像质量下降，灰尘、雨雪影响等）接报24小时（节假日等特殊情况经采购人同意可适当延长）未修复；链路、接电故障3天内未修复</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重大任务或其它专项行动期间，对采购人的巡查、快修、值守任务要求不响应、不落实</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安全事故</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★违规操作导致网络外联</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★违规操作导致人身安全事故</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★违规操作导致信息、视频、数据、资料等泄露</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★违规操作导致信息、视频、数据、资料等泄露并造成重大影响的</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违规施工被通报</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视频或录像缺失影响重大案件侦查和安保维稳任务（停电、道路施工、点位迁移、核心网故障、不可抗力等因素除外）</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★未经采购人书面同意，擅自将本项目中的设备、链路和资源（人员和维修工具除外），向其他单位、个人和社会组织开通开放、提供服务或混合使用</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节假日应急值班</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国家法定节假日、重大任务或其它专项行动期间，应安排值班保障，如未准确及时到岗（追究相关责任）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备件情况</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出现一次设备损坏，24小时内无备件替代</w:t>
            </w:r>
            <w:r/>
          </w:p>
        </w:tc>
      </w:tr>
      <w:tr>
        <w:trPr>
          <w:jc w:val="center"/>
          <w:trHeight w:val="358"/>
        </w:trPr>
        <w:tc>
          <w:tcPr>
            <w:tcBorders>
              <w:top w:val="single" w:color="000000" w:sz="4" w:space="0"/>
              <w:left w:val="single" w:color="000000" w:sz="4" w:space="0"/>
              <w:right w:val="single" w:color="000000" w:sz="4" w:space="0"/>
            </w:tcBorders>
            <w:tcW w:w="1338" w:type="dxa"/>
            <w:vAlign w:val="center"/>
            <w:vMerge w:val="restart"/>
            <w:textDirection w:val="lrTb"/>
            <w:noWrap w:val="false"/>
          </w:tcPr>
          <w:p>
            <w:pPr>
              <w:jc w:val="center"/>
              <w:spacing w:line="460" w:lineRule="exact"/>
              <w:widowControl w:val="off"/>
              <w:rPr>
                <w:rFonts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其它情况</w:t>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台账、记录、资料弄虚作假</w:t>
            </w:r>
            <w:r/>
          </w:p>
        </w:tc>
      </w:tr>
      <w:tr>
        <w:trPr>
          <w:jc w:val="center"/>
          <w:trHeight w:val="486"/>
        </w:trPr>
        <w:tc>
          <w:tcPr>
            <w:tcBorders>
              <w:left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出现其它影响正常运作的问题</w:t>
            </w:r>
            <w:r/>
          </w:p>
        </w:tc>
      </w:tr>
      <w:tr>
        <w:trPr>
          <w:jc w:val="center"/>
          <w:trHeight w:val="486"/>
        </w:trPr>
        <w:tc>
          <w:tcPr>
            <w:tcBorders>
              <w:left w:val="single" w:color="000000" w:sz="4" w:space="0"/>
              <w:bottom w:val="single" w:color="000000" w:sz="4" w:space="0"/>
              <w:right w:val="single" w:color="000000" w:sz="4" w:space="0"/>
            </w:tcBorders>
            <w:tcW w:w="1338" w:type="dxa"/>
            <w:vAlign w:val="center"/>
            <w:vMerge w:val="continue"/>
            <w:textDirection w:val="lrTb"/>
            <w:noWrap w:val="false"/>
          </w:tcPr>
          <w:p>
            <w:pPr>
              <w:ind w:firstLine="420"/>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52" w:type="dxa"/>
            <w:vAlign w:val="center"/>
            <w:textDirection w:val="lrTb"/>
            <w:noWrap w:val="false"/>
          </w:tcPr>
          <w:p>
            <w:p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lang w:val="en-US" w:eastAsia="zh-CN"/>
              </w:rPr>
              <w:t xml:space="preserve">甲方要求整改的问题</w:t>
            </w:r>
            <w:r>
              <w:rPr>
                <w:rFonts w:hint="eastAsia" w:ascii="Calibri" w:hAnsi="Calibri" w:eastAsia="宋体" w:cs="宋体"/>
                <w:color w:val="auto"/>
                <w:sz w:val="21"/>
                <w:szCs w:val="21"/>
                <w:highlight w:val="none"/>
              </w:rPr>
              <w:t xml:space="preserve">，未及时整改到位</w:t>
            </w:r>
            <w:r/>
          </w:p>
        </w:tc>
      </w:tr>
      <w:tr>
        <w:trPr>
          <w:jc w:val="center"/>
          <w:trHeight w:val="358"/>
        </w:trPr>
        <w:tc>
          <w:tcPr>
            <w:gridSpan w:val="2"/>
            <w:tcBorders>
              <w:top w:val="single" w:color="000000" w:sz="4" w:space="0"/>
              <w:left w:val="single" w:color="000000" w:sz="4" w:space="0"/>
              <w:bottom w:val="single" w:color="000000" w:sz="4" w:space="0"/>
              <w:right w:val="single" w:color="000000" w:sz="4" w:space="0"/>
            </w:tcBorders>
            <w:tcW w:w="9390" w:type="dxa"/>
            <w:vAlign w:val="center"/>
            <w:textDirection w:val="lrTb"/>
            <w:noWrap w:val="false"/>
          </w:tcPr>
          <w:p>
            <w:pPr>
              <w:numPr>
                <w:ilvl w:val="0"/>
                <w:numId w:val="6"/>
              </w:numPr>
              <w:jc w:val="both"/>
              <w:spacing w:line="460" w:lineRule="exact"/>
              <w:widowControl w:val="off"/>
              <w:rPr>
                <w:rFonts w:hint="eastAsia" w:ascii="Calibri" w:hAnsi="Calibri" w:eastAsia="宋体" w:cs="宋体"/>
                <w:color w:val="auto"/>
                <w:sz w:val="21"/>
                <w:szCs w:val="21"/>
                <w:highlight w:val="none"/>
              </w:rPr>
            </w:pPr>
            <w:r>
              <w:rPr>
                <w:rFonts w:hint="eastAsia" w:ascii="Calibri" w:hAnsi="Calibri" w:eastAsia="宋体" w:cs="宋体"/>
                <w:color w:val="auto"/>
                <w:sz w:val="21"/>
                <w:szCs w:val="21"/>
                <w:highlight w:val="none"/>
              </w:rPr>
              <w:t xml:space="preserve">若中标单位在履行期间出现考核表中非标“★”项</w:t>
            </w:r>
            <w:r>
              <w:rPr>
                <w:rFonts w:hint="eastAsia" w:ascii="Calibri" w:hAnsi="Calibri" w:eastAsia="宋体" w:cs="宋体"/>
                <w:color w:val="auto"/>
                <w:sz w:val="21"/>
                <w:szCs w:val="21"/>
                <w:highlight w:val="none"/>
                <w:lang w:val="en-US" w:eastAsia="zh-CN"/>
              </w:rPr>
              <w:t xml:space="preserve">中</w:t>
            </w:r>
            <w:r>
              <w:rPr>
                <w:rFonts w:hint="eastAsia" w:ascii="Calibri" w:hAnsi="Calibri" w:eastAsia="宋体" w:cs="宋体"/>
                <w:color w:val="auto"/>
                <w:sz w:val="21"/>
                <w:szCs w:val="21"/>
                <w:highlight w:val="none"/>
              </w:rPr>
              <w:t xml:space="preserve">的问题</w:t>
            </w:r>
            <w:r>
              <w:rPr>
                <w:rFonts w:hint="eastAsia" w:ascii="Calibri" w:hAnsi="Calibri" w:eastAsia="宋体" w:cs="宋体"/>
                <w:color w:val="auto"/>
                <w:sz w:val="21"/>
                <w:szCs w:val="21"/>
                <w:highlight w:val="none"/>
                <w:lang w:eastAsia="zh-CN"/>
              </w:rPr>
              <w:t xml:space="preserve">，</w:t>
            </w:r>
            <w:r>
              <w:rPr>
                <w:rFonts w:hint="eastAsia" w:ascii="Calibri" w:hAnsi="Calibri" w:eastAsia="宋体" w:cs="宋体"/>
                <w:color w:val="auto"/>
                <w:sz w:val="21"/>
                <w:szCs w:val="21"/>
                <w:highlight w:val="none"/>
              </w:rPr>
              <w:t xml:space="preserve">对报修后无正当原因且未及时修复的故障，采购人将抄告中标单位，从抄告之日起计算，每次故障每超时一天仍未修复的，从合同金额中扣除维护费用</w:t>
            </w:r>
            <w:r>
              <w:rPr>
                <w:rFonts w:hint="eastAsia" w:ascii="Calibri" w:hAnsi="Calibri" w:eastAsia="宋体" w:cs="宋体"/>
                <w:color w:val="auto"/>
                <w:sz w:val="21"/>
                <w:szCs w:val="21"/>
                <w:highlight w:val="none"/>
                <w:lang w:val="en-US" w:eastAsia="zh-CN"/>
              </w:rPr>
              <w:t xml:space="preserve">2000</w:t>
            </w:r>
            <w:r>
              <w:rPr>
                <w:rFonts w:hint="eastAsia" w:ascii="Calibri" w:hAnsi="Calibri" w:eastAsia="宋体" w:cs="宋体"/>
                <w:color w:val="auto"/>
                <w:sz w:val="21"/>
                <w:szCs w:val="21"/>
                <w:highlight w:val="none"/>
              </w:rPr>
              <w:t xml:space="preserve">元作为违约惩罚。抄告累计达到50天次的，</w:t>
            </w:r>
            <w:r>
              <w:rPr>
                <w:rFonts w:hint="eastAsia" w:ascii="Calibri" w:hAnsi="Calibri" w:cs="宋体"/>
                <w:color w:val="auto"/>
                <w:sz w:val="21"/>
                <w:szCs w:val="21"/>
                <w:highlight w:val="none"/>
                <w:lang w:eastAsia="zh-CN"/>
              </w:rPr>
              <w:t xml:space="preserve">采购人有权抄告至政府机关监督部门，建议取消合同。</w:t>
            </w:r>
            <w:r/>
          </w:p>
          <w:p>
            <w:pPr>
              <w:jc w:val="both"/>
              <w:spacing w:line="460" w:lineRule="exact"/>
              <w:widowControl w:val="off"/>
              <w:rPr>
                <w:rFonts w:ascii="Calibri" w:hAnsi="Calibri" w:eastAsia="宋体" w:cs="宋体"/>
                <w:color w:val="auto"/>
                <w:sz w:val="21"/>
                <w:szCs w:val="22"/>
                <w:highlight w:val="none"/>
              </w:rPr>
            </w:pPr>
            <w:r>
              <w:rPr>
                <w:rFonts w:hint="eastAsia" w:ascii="Calibri" w:hAnsi="Calibri" w:eastAsia="宋体" w:cs="宋体"/>
                <w:color w:val="auto"/>
                <w:sz w:val="21"/>
                <w:szCs w:val="21"/>
                <w:highlight w:val="none"/>
              </w:rPr>
              <w:t xml:space="preserve">2、若中标单位在履行期间出现考核表中标“★”项的问题，每出现一次，扣除合同金额的1%作为惩罚，若出现相同问题可重复累计</w:t>
            </w:r>
            <w:r>
              <w:rPr>
                <w:rFonts w:hint="eastAsia" w:ascii="Calibri" w:hAnsi="Calibri" w:eastAsia="宋体" w:cs="宋体"/>
                <w:color w:val="auto"/>
                <w:sz w:val="21"/>
                <w:szCs w:val="21"/>
                <w:highlight w:val="none"/>
                <w:lang w:eastAsia="zh-CN"/>
              </w:rPr>
              <w:t xml:space="preserve">。</w:t>
            </w:r>
            <w:r/>
          </w:p>
        </w:tc>
      </w:tr>
    </w:tbl>
    <w:p>
      <w:pPr>
        <w:ind w:firstLine="420"/>
        <w:spacing w:line="360" w:lineRule="auto"/>
        <w:widowControl w:val="off"/>
        <w:rPr>
          <w:rFonts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七</w:t>
      </w:r>
      <w:r>
        <w:rPr>
          <w:rFonts w:hint="eastAsia" w:ascii="宋体" w:hAnsi="宋体" w:eastAsia="宋体" w:cs="Times New Roman"/>
          <w:b w:val="0"/>
          <w:bCs w:val="0"/>
          <w:color w:val="auto"/>
          <w:sz w:val="21"/>
          <w:szCs w:val="21"/>
          <w:highlight w:val="none"/>
        </w:rPr>
        <w:t xml:space="preserve">、甲乙双方义务及责任：</w:t>
      </w:r>
      <w:r/>
    </w:p>
    <w:p>
      <w:pPr>
        <w:ind w:firstLine="420"/>
        <w:spacing w:line="360" w:lineRule="auto"/>
        <w:widowControl w:val="off"/>
        <w:rPr>
          <w:rFonts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（一）甲方责任：</w:t>
      </w:r>
      <w:r/>
    </w:p>
    <w:p>
      <w:pPr>
        <w:ind w:firstLine="420"/>
        <w:spacing w:line="360" w:lineRule="auto"/>
        <w:widowControl w:val="off"/>
        <w:rPr>
          <w:rFonts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1</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rPr>
        <w:t xml:space="preserve">加强与乙方沟通，交流情况，互通信息。</w:t>
      </w:r>
      <w:r/>
    </w:p>
    <w:p>
      <w:pPr>
        <w:ind w:firstLine="420"/>
        <w:spacing w:line="360" w:lineRule="auto"/>
        <w:widowControl w:val="off"/>
        <w:rPr>
          <w:rFonts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rPr>
        <w:t xml:space="preserve">甲方应教育所属人员尊重乙方工作人员的劳动成果，积极配合乙方工作人员履行好合同所规定的职责和义务。</w:t>
      </w:r>
      <w:r/>
    </w:p>
    <w:p>
      <w:pPr>
        <w:ind w:firstLine="420"/>
        <w:spacing w:line="360" w:lineRule="auto"/>
        <w:widowControl w:val="off"/>
        <w:rPr>
          <w:rFonts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（二）乙方责任：</w:t>
      </w:r>
      <w:r/>
    </w:p>
    <w:p>
      <w:pPr>
        <w:ind w:firstLine="420"/>
        <w:spacing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1</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乙方在从事服务工作中应当做到文明工作，采取必要的安全防范措施，合同期内若发生安全事故由乙方承担，与甲方无关。     </w:t>
      </w:r>
      <w:r/>
    </w:p>
    <w:p>
      <w:pPr>
        <w:ind w:firstLine="420"/>
        <w:spacing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2</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乙方应及时调整不适应工作需求的服务人员及其员工。如甲方认为该员工不能胜任本职工作的，必须调整。</w:t>
      </w:r>
      <w:r/>
    </w:p>
    <w:p>
      <w:pPr>
        <w:ind w:firstLine="420"/>
        <w:spacing w:line="360" w:lineRule="auto"/>
        <w:widowControl w:val="off"/>
        <w:rPr>
          <w:rFonts w:hint="eastAsia" w:ascii="Times New Roman" w:hAnsi="Times New Roman" w:eastAsia="宋体" w:cs="Times New Roman"/>
          <w:color w:val="auto"/>
          <w:highlight w:val="none"/>
          <w:lang w:val="zh-CN"/>
        </w:rPr>
      </w:pPr>
      <w:r>
        <w:rPr>
          <w:rFonts w:hint="eastAsia" w:ascii="宋体" w:hAnsi="宋体" w:eastAsia="宋体" w:cs="Times New Roman"/>
          <w:bCs/>
          <w:color w:val="auto"/>
          <w:sz w:val="21"/>
          <w:szCs w:val="21"/>
          <w:highlight w:val="none"/>
        </w:rPr>
        <w:t xml:space="preserve">3</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w:t>
      </w:r>
      <w:r/>
    </w:p>
    <w:p>
      <w:pPr>
        <w:ind w:firstLine="422"/>
        <w:jc w:val="both"/>
        <w:keepLines w:val="0"/>
        <w:keepNext w:val="0"/>
        <w:pageBreakBefore w:val="0"/>
        <w:spacing w:line="360" w:lineRule="auto"/>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、保密条款</w:t>
      </w:r>
      <w:r/>
    </w:p>
    <w:p>
      <w:pPr>
        <w:ind w:left="0" w:firstLine="420"/>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left="0" w:firstLine="422"/>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w:t>
      </w:r>
      <w:r>
        <w:rPr>
          <w:rFonts w:hint="eastAsia" w:ascii="宋体" w:hAnsi="宋体" w:eastAsia="宋体" w:cs="宋体"/>
          <w:b/>
          <w:bCs/>
          <w:color w:val="auto"/>
          <w:sz w:val="21"/>
          <w:szCs w:val="21"/>
          <w:highlight w:val="none"/>
          <w:lang w:val="en-US" w:eastAsia="zh-CN" w:bidi="ar-SA"/>
        </w:rPr>
        <w:t xml:space="preserve"> 知识产权和归属</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项目运营过程</w:t>
      </w:r>
      <w:r>
        <w:rPr>
          <w:rFonts w:hint="eastAsia" w:ascii="宋体" w:hAnsi="宋体" w:eastAsia="宋体" w:cs="宋体"/>
          <w:color w:val="auto"/>
          <w:sz w:val="21"/>
          <w:szCs w:val="21"/>
          <w:highlight w:val="none"/>
        </w:rPr>
        <w:t xml:space="preserve">中产生的政务数据、系统运行数据及收集的个人信息等数据资产归甲方所有。未经甲方同意，不得变更数据用途、用法，不得修改、公开、披露、利用、转让、销毁、私自留存或向第三方提供。</w:t>
      </w:r>
      <w:r/>
    </w:p>
    <w:p>
      <w:pPr>
        <w:ind w:firstLine="422"/>
        <w:jc w:val="both"/>
        <w:spacing w:line="360" w:lineRule="auto"/>
        <w:widowControl w:val="off"/>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lang w:val="en-US" w:eastAsia="zh-CN"/>
        </w:rPr>
        <w:t xml:space="preserve">十、</w:t>
      </w:r>
      <w:r>
        <w:rPr>
          <w:rFonts w:hint="eastAsia" w:ascii="宋体" w:hAnsi="宋体" w:eastAsia="宋体" w:cs="宋体"/>
          <w:b/>
          <w:bCs/>
          <w:color w:val="auto"/>
          <w:sz w:val="21"/>
          <w:highlight w:val="none"/>
        </w:rPr>
        <w:t xml:space="preserve">风险责任</w:t>
      </w:r>
      <w:r/>
    </w:p>
    <w:p>
      <w:pPr>
        <w:ind w:firstLine="420"/>
        <w:jc w:val="both"/>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p>
    <w:p>
      <w:pPr>
        <w:ind w:firstLine="420"/>
        <w:jc w:val="both"/>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2．乙方因其产品</w:t>
      </w:r>
      <w:r>
        <w:rPr>
          <w:rFonts w:hint="eastAsia" w:ascii="宋体" w:hAnsi="宋体" w:eastAsia="宋体" w:cs="宋体"/>
          <w:color w:val="auto"/>
          <w:sz w:val="21"/>
          <w:highlight w:val="none"/>
          <w:lang w:val="en-US" w:eastAsia="zh-CN"/>
        </w:rPr>
        <w:t xml:space="preserve">或</w:t>
      </w:r>
      <w:r>
        <w:rPr>
          <w:rFonts w:hint="eastAsia" w:ascii="宋体" w:hAnsi="宋体" w:eastAsia="宋体" w:cs="宋体"/>
          <w:color w:val="auto"/>
          <w:sz w:val="21"/>
          <w:highlight w:val="none"/>
        </w:rPr>
        <w:t xml:space="preserve">服务不符或不满足国家标准或法律法规，出现网络安全问题的，所有责任均由乙方承担。</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网络数据安全责任和义务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1．乙方在发现其网络产品、服务存在安全缺陷、漏洞或者数据安全风险等情形时，需立即采取补救措施，按照规定及时告知甲方并向有关主管部门报告，乙方为保证</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能够持续运行而发生的费用由乙方承担。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3．甲方有权</w:t>
      </w:r>
      <w:r>
        <w:rPr>
          <w:rFonts w:hint="eastAsia" w:ascii="宋体" w:hAnsi="宋体" w:eastAsia="宋体" w:cs="宋体"/>
          <w:color w:val="auto"/>
          <w:sz w:val="21"/>
          <w:szCs w:val="21"/>
          <w:highlight w:val="none"/>
          <w:lang w:val="en-US" w:eastAsia="zh-CN" w:bidi="ar-SA"/>
        </w:rPr>
        <w:t xml:space="preserve">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w:t>
      </w:r>
      <w:r>
        <w:rPr>
          <w:rFonts w:hint="eastAsia" w:ascii="宋体" w:hAnsi="宋体" w:eastAsia="宋体" w:cs="宋体"/>
          <w:color w:val="auto"/>
          <w:sz w:val="21"/>
          <w:szCs w:val="21"/>
          <w:highlight w:val="none"/>
          <w:u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的违约金，</w:t>
      </w:r>
      <w:r>
        <w:rPr>
          <w:rFonts w:hint="eastAsia" w:ascii="宋体" w:hAnsi="宋体" w:eastAsia="宋体" w:cs="宋体"/>
          <w:color w:val="auto"/>
          <w:sz w:val="21"/>
          <w:szCs w:val="21"/>
          <w:highlight w:val="none"/>
          <w:lang w:val="en-US" w:eastAsia="zh-CN" w:bidi="ar-SA"/>
        </w:rPr>
        <w:t xml:space="preserve">违约金不足以补偿损失的甲方有权要求乙方补足。</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十二、违约责任</w:t>
      </w:r>
      <w:r/>
    </w:p>
    <w:p>
      <w:pPr>
        <w:ind w:firstLine="420"/>
        <w:jc w:val="both"/>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甲方违约责任及违约金支付：</w:t>
      </w:r>
      <w:r/>
    </w:p>
    <w:p>
      <w:pPr>
        <w:ind w:firstLine="420"/>
        <w:jc w:val="both"/>
        <w:keepLines w:val="0"/>
        <w:keepNext w:val="0"/>
        <w:pageBreakBefore w:val="0"/>
        <w:spacing w:line="360" w:lineRule="auto"/>
        <w:widowControl w:val="off"/>
        <w:tabs>
          <w:tab w:val="left" w:pos="108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（1）在合同生效后，甲方无理由要求终止服务的，应向乙方偿付合同总价款的5%，作为违约金，违约金不足以补偿损失的，乙方有权要求甲方补足。</w:t>
      </w:r>
      <w:r/>
    </w:p>
    <w:p>
      <w:pPr>
        <w:ind w:firstLine="420"/>
        <w:jc w:val="both"/>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（2）甲方逾期付款的应按照逾期付款金额的每天万分之四支付逾期付款违约金。</w:t>
      </w:r>
      <w:r/>
    </w:p>
    <w:p>
      <w:pPr>
        <w:ind w:firstLine="420"/>
        <w:jc w:val="both"/>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（3）甲方违反合同规定，拒绝接受乙方提供维护服务，应当承担乙方由此造成的损失：                                         </w:t>
      </w:r>
      <w:r/>
    </w:p>
    <w:p>
      <w:pPr>
        <w:ind w:firstLine="420"/>
        <w:jc w:val="both"/>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2.乙方违约责任及违约金支付：</w:t>
      </w:r>
      <w:r/>
    </w:p>
    <w:p>
      <w:pPr>
        <w:ind w:firstLine="420"/>
        <w:jc w:val="both"/>
        <w:keepLines w:val="0"/>
        <w:keepNext w:val="0"/>
        <w:pageBreakBefore w:val="0"/>
        <w:spacing w:line="360" w:lineRule="auto"/>
        <w:widowControl w:val="off"/>
        <w:tabs>
          <w:tab w:val="left" w:pos="108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（1）乙方不能提供服务的，或服务不合格从而影响甲方按期正常使用的，应向甲方偿付合同总价款5%的违约金，违约金不足以补偿损失的甲方有权要求乙方补足。</w:t>
      </w:r>
      <w:r/>
    </w:p>
    <w:p>
      <w:pPr>
        <w:ind w:firstLine="420"/>
        <w:jc w:val="both"/>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（2）乙方逾期提供服务的，应与甲方协商，甲方仍有需求的，乙方应立即提供服务并按照逾期服务的每天万分之四支付逾期违约金，同时承担甲方因此遭致的损失费用。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十三</w:t>
      </w:r>
      <w:r>
        <w:rPr>
          <w:rFonts w:hint="eastAsia" w:ascii="宋体" w:hAnsi="宋体" w:eastAsia="宋体" w:cs="宋体"/>
          <w:b/>
          <w:bCs/>
          <w:color w:val="auto"/>
          <w:sz w:val="21"/>
          <w:szCs w:val="21"/>
          <w:highlight w:val="none"/>
        </w:rPr>
        <w:t xml:space="preserve">、不可抗力</w:t>
      </w:r>
      <w:r/>
    </w:p>
    <w:p>
      <w:pPr>
        <w:numPr>
          <w:ilvl w:val="0"/>
          <w:numId w:val="1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因不可抗力不能履行合同的，根据不可抗力的影响，部分或者全部免除责任。但合同一方迟延履行后发生不可抗力的，不能免除责任。</w:t>
      </w:r>
      <w:r/>
    </w:p>
    <w:p>
      <w:pPr>
        <w:numPr>
          <w:ilvl w:val="0"/>
          <w:numId w:val="1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 合同的解除和转让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合同的解除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（1）有下列情形之一，合同一方可以解除合同：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 因不可抗力致使不能实现合同目的，未受不可抗力影响的一方有权解除合同；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 因合同一方违约导致合同不能履行，另一方有权解除合同；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合同的转让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 合同的生效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本合同在双方签字盖章后经即生效。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 争议的解决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因履行本合同引起的或与本合同有关的争议，甲、乙双方应首先通过友好协商解决，如果协商不能解决争议，则采取以下第（  ）种方式解决争议：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（2）向甲方所在地仲裁委员会按其仲裁规则申请仲裁。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在法院审理和仲裁期间，除有争议部分外，本合同其他部分应继续履行。</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 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合同份数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本合同一式伍份，甲方二份、乙方二份，招标代理机构一份。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未尽事宜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按《中华人民共和国</w:t>
      </w:r>
      <w:r>
        <w:rPr>
          <w:rFonts w:hint="eastAsia" w:ascii="宋体" w:hAnsi="宋体" w:eastAsia="宋体" w:cs="宋体"/>
          <w:color w:val="auto"/>
          <w:sz w:val="21"/>
          <w:szCs w:val="21"/>
          <w:highlight w:val="none"/>
          <w:lang w:val="en-US" w:eastAsia="zh-CN"/>
        </w:rPr>
        <w:t xml:space="preserve">政府采购法</w:t>
      </w:r>
      <w:r>
        <w:rPr>
          <w:rFonts w:hint="eastAsia" w:ascii="宋体" w:hAnsi="宋体" w:eastAsia="宋体" w:cs="宋体"/>
          <w:color w:val="auto"/>
          <w:sz w:val="21"/>
          <w:szCs w:val="21"/>
          <w:highlight w:val="none"/>
        </w:rPr>
        <w:t xml:space="preserve">》及其他有关法律法规的规定执行。</w:t>
      </w:r>
      <w:r/>
    </w:p>
    <w:p>
      <w:pPr>
        <w:pStyle w:val="1053"/>
        <w:ind w:firstLine="42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甲方（公章）：                         　　 乙方（公章）：</w:t>
      </w:r>
      <w:r/>
    </w:p>
    <w:p>
      <w:pPr>
        <w:pStyle w:val="1053"/>
        <w:ind w:firstLine="42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w:t>
      </w:r>
      <w:r>
        <w:rPr>
          <w:rFonts w:hint="eastAsia" w:hAnsi="宋体" w:eastAsia="宋体" w:cs="宋体"/>
          <w:color w:val="auto"/>
          <w:sz w:val="21"/>
          <w:szCs w:val="21"/>
          <w:highlight w:val="none"/>
        </w:rPr>
        <w:tab/>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法定代表人</w:t>
      </w:r>
      <w:r/>
    </w:p>
    <w:p>
      <w:pPr>
        <w:pStyle w:val="1053"/>
        <w:ind w:firstLine="42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或其                                        或其</w:t>
      </w:r>
      <w:r/>
    </w:p>
    <w:p>
      <w:pPr>
        <w:pStyle w:val="1053"/>
        <w:ind w:firstLine="42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授权代理人</w:t>
      </w:r>
      <w:r>
        <w:rPr>
          <w:rFonts w:hint="eastAsia" w:hAnsi="宋体" w:eastAsia="宋体" w:cs="宋体"/>
          <w:color w:val="auto"/>
          <w:sz w:val="21"/>
          <w:szCs w:val="21"/>
          <w:highlight w:val="none"/>
        </w:rPr>
        <w:tab/>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 授权代理人</w:t>
      </w:r>
      <w:r/>
    </w:p>
    <w:p>
      <w:pPr>
        <w:pStyle w:val="1053"/>
        <w:ind w:firstLine="42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年   月   日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default"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附件1：</w:t>
      </w:r>
      <w:r/>
    </w:p>
    <w:p>
      <w:pPr>
        <w:jc w:val="center"/>
        <w:keepLines/>
        <w:keepNext/>
        <w:spacing w:before="320" w:after="200"/>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spacing w:line="44"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943"/>
        <w:tblW w:w="9435"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725"/>
      </w:tblGrid>
      <w:tr>
        <w:trPr>
          <w:trHeight w:val="562"/>
        </w:trPr>
        <w:tc>
          <w:tcPr>
            <w:tcW w:w="2610" w:type="dxa"/>
            <w:textDirection w:val="lrTb"/>
            <w:noWrap w:val="false"/>
          </w:tcPr>
          <w:p>
            <w:pPr>
              <w:ind w:left="961"/>
              <w:spacing w:before="249"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5"/>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435" w:type="dxa"/>
            <w:textDirection w:val="lrTb"/>
            <w:noWrap w:val="false"/>
          </w:tcPr>
          <w:p>
            <w:pPr>
              <w:ind w:left="3353"/>
              <w:spacing w:before="250" w:line="21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569"/>
        </w:trPr>
        <w:tc>
          <w:tcPr>
            <w:gridSpan w:val="4"/>
            <w:tcW w:w="9435" w:type="dxa"/>
            <w:textDirection w:val="lrTb"/>
            <w:noWrap w:val="false"/>
          </w:tcPr>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411" w:right="2893" w:hanging="54"/>
              <w:spacing w:before="75" w:line="507"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日</w:t>
            </w:r>
            <w:r/>
          </w:p>
        </w:tc>
      </w:tr>
    </w:tbl>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9"/>
          <w:sz w:val="21"/>
          <w:szCs w:val="21"/>
          <w:highlight w:val="none"/>
        </w:rPr>
        <w:t xml:space="preserve">政府采购履约验收书参考样本(服务类)</w:t>
      </w:r>
      <w:r/>
    </w:p>
    <w:tbl>
      <w:tblPr>
        <w:tblStyle w:val="943"/>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162"/>
        <w:gridCol w:w="201"/>
        <w:gridCol w:w="1519"/>
        <w:gridCol w:w="1516"/>
        <w:gridCol w:w="1579"/>
      </w:tblGrid>
      <w:tr>
        <w:trPr>
          <w:gridBefore w:val="1"/>
          <w:trHeight w:val="562"/>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采购人</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项目名称</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合同名称</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64"/>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供应商</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项目及合同编号</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合同金额</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59"/>
        </w:trPr>
        <w:tc>
          <w:tcPr>
            <w:tcW w:w="1339"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分期（段）验收</w:t>
            </w:r>
            <w:r/>
          </w:p>
        </w:tc>
        <w:tc>
          <w:tcPr>
            <w:tcW w:w="1251"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position w:val="1"/>
                <w:sz w:val="21"/>
                <w:szCs w:val="21"/>
                <w:highlight w:val="none"/>
                <w:lang w:val="en-US" w:eastAsia="en-US" w:bidi="ar-SA"/>
              </w:rPr>
              <w:t xml:space="preserve">是□否□</w:t>
            </w:r>
            <w:r/>
          </w:p>
        </w:tc>
        <w:tc>
          <w:tcPr>
            <w:tcW w:w="125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分期（段）情况</w:t>
            </w:r>
            <w:r/>
          </w:p>
        </w:tc>
        <w:tc>
          <w:tcPr>
            <w:gridSpan w:val="5"/>
            <w:tcW w:w="597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共分   期（段</w:t>
            </w:r>
            <w:r>
              <w:rPr>
                <w:rFonts w:hint="eastAsia" w:ascii="宋体" w:hAnsi="宋体" w:eastAsia="宋体" w:cs="宋体"/>
                <w:color w:val="auto"/>
                <w:spacing w:val="6"/>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此为第   期（段）验收</w:t>
            </w:r>
            <w:r/>
          </w:p>
        </w:tc>
      </w:tr>
      <w:tr>
        <w:trPr>
          <w:gridBefore w:val="1"/>
          <w:trHeight w:val="1420"/>
        </w:trPr>
        <w:tc>
          <w:tcPr>
            <w:tcW w:w="1339"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验收时间</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验收地点</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验收组织形式</w:t>
            </w:r>
            <w:r/>
          </w:p>
        </w:tc>
        <w:tc>
          <w:tcPr>
            <w:tcW w:w="1579" w:type="dxa"/>
            <w:textDirection w:val="lrTb"/>
            <w:noWrap w:val="false"/>
          </w:tcPr>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□自行简易验收</w:t>
            </w:r>
            <w:r/>
          </w:p>
          <w:p>
            <w:pPr>
              <w:ind w:left="0"/>
              <w:keepLines w:val="0"/>
              <w:keepNext w:val="0"/>
              <w:pageBreakBefore w:val="0"/>
              <w:spacing w:line="2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□验收小组验收</w:t>
            </w:r>
            <w:r/>
          </w:p>
          <w:p>
            <w:pPr>
              <w:ind w:left="0"/>
              <w:keepLines w:val="0"/>
              <w:keepNext w:val="0"/>
              <w:pageBreakBefore w:val="0"/>
              <w:spacing w:line="26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position w:val="1"/>
                <w:sz w:val="21"/>
                <w:szCs w:val="21"/>
                <w:highlight w:val="none"/>
                <w:lang w:val="en-US" w:eastAsia="en-US" w:bidi="ar-SA"/>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验收内容</w:t>
            </w:r>
            <w:r/>
          </w:p>
        </w:tc>
        <w:tc>
          <w:tcPr>
            <w:tcW w:w="1251" w:type="dxa"/>
            <w:vAlign w:val="center"/>
            <w:vMerge w:val="restart"/>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服务质量</w:t>
            </w:r>
            <w:r/>
          </w:p>
        </w:tc>
        <w:tc>
          <w:tcPr>
            <w:tcW w:w="1257"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服务进度</w:t>
            </w:r>
            <w:r/>
          </w:p>
        </w:tc>
        <w:tc>
          <w:tcPr>
            <w:gridSpan w:val="2"/>
            <w:tcW w:w="1363" w:type="dxa"/>
            <w:vAlign w:val="center"/>
            <w:textDirection w:val="lrTb"/>
            <w:noWrap w:val="false"/>
          </w:tcPr>
          <w:p>
            <w:pPr>
              <w:ind w:left="0"/>
              <w:jc w:val="center"/>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人员、设备 配备情况</w:t>
            </w:r>
            <w:r/>
          </w:p>
        </w:tc>
        <w:tc>
          <w:tcPr>
            <w:tcW w:w="1519" w:type="dxa"/>
            <w:vAlign w:val="center"/>
            <w:textDirection w:val="lrTb"/>
            <w:noWrap w:val="false"/>
          </w:tcPr>
          <w:p>
            <w:pPr>
              <w:ind w:left="0"/>
              <w:jc w:val="center"/>
              <w:keepLines w:val="0"/>
              <w:keepNext w:val="0"/>
              <w:pageBreakBefore w:val="0"/>
              <w:spacing w:line="209"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行业、安全标准</w:t>
            </w:r>
            <w:r/>
          </w:p>
        </w:tc>
        <w:tc>
          <w:tcPr>
            <w:tcW w:w="1516"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项目需求、服务承诺</w:t>
            </w:r>
            <w:r/>
          </w:p>
        </w:tc>
        <w:tc>
          <w:tcPr>
            <w:tcW w:w="1579"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257" w:type="dxa"/>
            <w:vAlign w:val="center"/>
            <w:textDirection w:val="lrTb"/>
            <w:noWrap w:val="false"/>
          </w:tcPr>
          <w:p>
            <w:pPr>
              <w:ind w:left="0" w:hanging="1"/>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8"/>
                <w:sz w:val="21"/>
                <w:szCs w:val="21"/>
                <w:highlight w:val="none"/>
                <w:lang w:val="en-US" w:eastAsia="en-US" w:bidi="ar-SA"/>
              </w:rPr>
              <w:t xml:space="preserve">按时□</w:t>
            </w:r>
            <w:r>
              <w:rPr>
                <w:rFonts w:hint="eastAsia" w:ascii="宋体" w:hAnsi="宋体" w:eastAsia="宋体" w:cs="宋体"/>
                <w:color w:val="auto"/>
                <w:spacing w:val="-3"/>
                <w:sz w:val="21"/>
                <w:szCs w:val="21"/>
                <w:highlight w:val="none"/>
                <w:lang w:val="en-US" w:eastAsia="en-US" w:bidi="ar-SA"/>
              </w:rPr>
              <w:t xml:space="preserve">不按时□</w:t>
            </w:r>
            <w:r/>
          </w:p>
        </w:tc>
        <w:tc>
          <w:tcPr>
            <w:gridSpan w:val="2"/>
            <w:tcW w:w="1363"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6"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7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r>
      <w:tr>
        <w:trPr>
          <w:gridBefore w:val="1"/>
          <w:trHeight w:val="1119"/>
        </w:trPr>
        <w:tc>
          <w:tcPr>
            <w:tcW w:w="1339"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专业检测机构情</w:t>
            </w:r>
            <w:r/>
          </w:p>
          <w:p>
            <w:pPr>
              <w:ind w:left="0"/>
              <w:keepLines w:val="0"/>
              <w:keepNext w:val="0"/>
              <w:pageBreakBefore w:val="0"/>
              <w:spacing w:line="29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况说明</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20"/>
        </w:trPr>
        <w:tc>
          <w:tcPr>
            <w:tcW w:w="1339" w:type="dxa"/>
            <w:textDirection w:val="lrTb"/>
            <w:noWrap w:val="false"/>
          </w:tcPr>
          <w:p>
            <w:pPr>
              <w:ind w:left="0"/>
              <w:keepLines w:val="0"/>
              <w:keepNext w:val="0"/>
              <w:pageBreakBefore w:val="0"/>
              <w:spacing w:line="241"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存在问题</w:t>
            </w:r>
            <w:r/>
          </w:p>
          <w:p>
            <w:pPr>
              <w:ind w:left="0"/>
              <w:keepLines w:val="0"/>
              <w:keepNext w:val="0"/>
              <w:pageBreakBefore w:val="0"/>
              <w:spacing w:line="29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和改进意见</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687"/>
        </w:trPr>
        <w:tc>
          <w:tcPr>
            <w:gridSpan w:val="2"/>
            <w:tcW w:w="1345" w:type="dxa"/>
            <w:textDirection w:val="lrTb"/>
            <w:noWrap w:val="false"/>
          </w:tcPr>
          <w:p>
            <w:pPr>
              <w:ind w:left="0"/>
              <w:keepLines w:val="0"/>
              <w:keepNext w:val="0"/>
              <w:pageBreakBefore w:val="0"/>
              <w:spacing w:line="30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最终结论</w:t>
            </w:r>
            <w:r/>
          </w:p>
        </w:tc>
        <w:tc>
          <w:tcPr>
            <w:gridSpan w:val="7"/>
            <w:tcW w:w="8485" w:type="dxa"/>
            <w:textDirection w:val="lrTb"/>
            <w:noWrap w:val="false"/>
          </w:tcPr>
          <w:p>
            <w:pPr>
              <w:ind w:left="0"/>
              <w:keepLines w:val="0"/>
              <w:keepNext w:val="0"/>
              <w:pageBreakBefore w:val="0"/>
              <w:spacing w:line="27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firstLine="352"/>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合  格□不合格□</w:t>
            </w:r>
            <w:r/>
          </w:p>
        </w:tc>
      </w:tr>
      <w:tr>
        <w:trPr>
          <w:trHeight w:val="1119"/>
        </w:trPr>
        <w:tc>
          <w:tcPr>
            <w:gridSpan w:val="2"/>
            <w:tcW w:w="134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验收小组成员</w:t>
            </w:r>
            <w:r/>
          </w:p>
          <w:p>
            <w:pPr>
              <w:ind w:left="0"/>
              <w:keepLines w:val="0"/>
              <w:keepNext w:val="0"/>
              <w:pageBreakBefore w:val="0"/>
              <w:spacing w:line="29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4"/>
                <w:sz w:val="21"/>
                <w:szCs w:val="21"/>
                <w:highlight w:val="none"/>
                <w:lang w:val="en-US" w:eastAsia="en-US" w:bidi="ar-SA"/>
              </w:rPr>
              <w:t xml:space="preserve">签字</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778"/>
        </w:trPr>
        <w:tc>
          <w:tcPr>
            <w:gridSpan w:val="5"/>
            <w:tcW w:w="501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采购代理机构意见</w:t>
            </w:r>
            <w:r/>
          </w:p>
        </w:tc>
        <w:tc>
          <w:tcPr>
            <w:gridSpan w:val="4"/>
            <w:tcW w:w="481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采购人意见</w:t>
            </w:r>
            <w:r/>
          </w:p>
        </w:tc>
      </w:tr>
      <w:tr>
        <w:trPr>
          <w:trHeight w:val="999"/>
        </w:trPr>
        <w:tc>
          <w:tcPr>
            <w:gridSpan w:val="5"/>
            <w:tcW w:w="50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8"/>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采购代理机构公章）</w:t>
            </w:r>
            <w:r/>
          </w:p>
        </w:tc>
        <w:tc>
          <w:tcPr>
            <w:gridSpan w:val="4"/>
            <w:tcW w:w="48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7"/>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采购人公章）</w:t>
            </w:r>
            <w:r/>
          </w:p>
        </w:tc>
      </w:tr>
      <w:tr>
        <w:trPr>
          <w:trHeight w:val="940"/>
        </w:trPr>
        <w:tc>
          <w:tcPr>
            <w:gridSpan w:val="9"/>
            <w:tcW w:w="9830" w:type="dxa"/>
            <w:textDirection w:val="lrTb"/>
            <w:noWrap w:val="false"/>
          </w:tcPr>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供应商确认：</w:t>
            </w:r>
            <w:r/>
          </w:p>
          <w:p>
            <w:pPr>
              <w:ind w:left="0"/>
              <w:jc w:val="center"/>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（单位公章或授权代表签字）</w:t>
            </w:r>
            <w:r/>
          </w:p>
        </w:tc>
      </w:tr>
    </w:tbl>
    <w:p>
      <w:pPr>
        <w:ind w:left="85"/>
        <w:spacing w:before="296"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说明：1.该表为服务类项目履约验收的参考样表，采购人或采购代理机构可以</w:t>
      </w:r>
      <w:r>
        <w:rPr>
          <w:rFonts w:hint="eastAsia" w:ascii="宋体" w:hAnsi="宋体" w:eastAsia="宋体" w:cs="宋体"/>
          <w:color w:val="auto"/>
          <w:spacing w:val="-1"/>
          <w:sz w:val="21"/>
          <w:szCs w:val="21"/>
          <w:highlight w:val="none"/>
        </w:rPr>
        <w:t xml:space="preserve">根据工作实际进行调整。</w:t>
      </w:r>
      <w:r/>
    </w:p>
    <w:p>
      <w:pPr>
        <w:spacing w:line="29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25"/>
        <w:spacing w:before="59"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0"/>
      </w:rPr>
      <w:framePr w:wrap="around" w:vAnchor="text" w:hAnchor="margin" w:xAlign="center" w:y="2"/>
    </w:pPr>
    <w:r>
      <w:fldChar w:fldCharType="begin"/>
    </w:r>
    <w:r>
      <w:rPr>
        <w:rStyle w:val="970"/>
      </w:rPr>
      <w:instrText xml:space="preserve">PAGE  </w:instrText>
    </w:r>
    <w:r>
      <w:fldChar w:fldCharType="separate"/>
    </w:r>
    <w:r>
      <w:rPr>
        <w:rStyle w:val="970"/>
      </w:rPr>
      <w:t xml:space="preserve">0</w:t>
    </w:r>
    <w:r>
      <w:fldChar w:fldCharType="end"/>
    </w:r>
    <w:r/>
  </w:p>
  <w:p>
    <w:pPr>
      <w:pStyle w:val="9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47</w:t>
    </w:r>
    <w:r>
      <w:fldChar w:fldCharType="end"/>
    </w:r>
    <w:r/>
  </w:p>
  <w:p>
    <w:pPr>
      <w:pStyle w:val="9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JSZC-320585-SZTZ-G2026-0016</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编号：</w:t>
    </w:r>
    <w:r>
      <w:rPr>
        <w:rFonts w:hint="eastAsia"/>
        <w:lang w:eastAsia="zh-CN"/>
      </w:rPr>
      <w:t xml:space="preserve">JSZC-320585-SZTZ-G2026-0016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933"/>
      <w:isLgl w:val="false"/>
      <w:suff w:val="nothing"/>
      <w:lvlText w:val="%1、"/>
      <w:lvlJc w:val="left"/>
      <w:pPr>
        <w:ind w:left="0" w:firstLine="0"/>
      </w:pPr>
      <w:rPr>
        <w:rFonts w:hint="eastAsia"/>
      </w:rPr>
    </w:lvl>
    <w:lvl w:ilvl="1">
      <w:start w:val="1"/>
      <w:numFmt w:val="chineseCounting"/>
      <w:pStyle w:val="934"/>
      <w:isLgl w:val="false"/>
      <w:suff w:val="nothing"/>
      <w:lvlText w:val="（%2）"/>
      <w:lvlJc w:val="left"/>
      <w:pPr>
        <w:ind w:left="0" w:firstLine="0"/>
      </w:pPr>
      <w:rPr>
        <w:rFonts w:hint="eastAsia"/>
      </w:rPr>
    </w:lvl>
    <w:lvl w:ilvl="2">
      <w:start w:val="1"/>
      <w:numFmt w:val="decimal"/>
      <w:pStyle w:val="935"/>
      <w:isLgl w:val="false"/>
      <w:suff w:val="nothing"/>
      <w:lvlText w:val="%3．"/>
      <w:lvlJc w:val="left"/>
      <w:pPr>
        <w:ind w:left="0" w:firstLine="400"/>
      </w:pPr>
      <w:rPr>
        <w:rFonts w:hint="eastAsia"/>
      </w:rPr>
    </w:lvl>
    <w:lvl w:ilvl="3">
      <w:start w:val="1"/>
      <w:numFmt w:val="decimal"/>
      <w:pStyle w:val="936"/>
      <w:isLgl w:val="false"/>
      <w:suff w:val="nothing"/>
      <w:lvlText w:val="（%4）"/>
      <w:lvlJc w:val="left"/>
      <w:pPr>
        <w:ind w:left="0" w:firstLine="402"/>
      </w:pPr>
      <w:rPr>
        <w:rFonts w:hint="eastAsia"/>
      </w:rPr>
    </w:lvl>
    <w:lvl w:ilvl="4">
      <w:start w:val="1"/>
      <w:numFmt w:val="decimalEnclosedCircleChinese"/>
      <w:pStyle w:val="937"/>
      <w:isLgl w:val="false"/>
      <w:suff w:val="nothing"/>
      <w:lvlText w:val="%5"/>
      <w:lvlJc w:val="left"/>
      <w:pPr>
        <w:ind w:left="0" w:firstLine="402"/>
      </w:pPr>
      <w:rPr>
        <w:rFonts w:hint="eastAsia"/>
      </w:rPr>
    </w:lvl>
    <w:lvl w:ilvl="5">
      <w:start w:val="1"/>
      <w:numFmt w:val="decimal"/>
      <w:pStyle w:val="938"/>
      <w:isLgl w:val="false"/>
      <w:suff w:val="nothing"/>
      <w:lvlText w:val="%6）"/>
      <w:lvlJc w:val="left"/>
      <w:pPr>
        <w:ind w:left="0" w:firstLine="402"/>
      </w:pPr>
      <w:rPr>
        <w:rFonts w:hint="eastAsia"/>
      </w:rPr>
    </w:lvl>
    <w:lvl w:ilvl="6">
      <w:start w:val="1"/>
      <w:numFmt w:val="lowerLetter"/>
      <w:pStyle w:val="939"/>
      <w:isLgl w:val="false"/>
      <w:suff w:val="nothing"/>
      <w:lvlText w:val="%7．"/>
      <w:lvlJc w:val="left"/>
      <w:pPr>
        <w:ind w:left="0" w:firstLine="402"/>
      </w:pPr>
      <w:rPr>
        <w:rFonts w:hint="eastAsia"/>
      </w:rPr>
    </w:lvl>
    <w:lvl w:ilvl="7">
      <w:start w:val="1"/>
      <w:numFmt w:val="lowerLetter"/>
      <w:pStyle w:val="940"/>
      <w:isLgl w:val="false"/>
      <w:suff w:val="nothing"/>
      <w:lvlText w:val="%8）"/>
      <w:lvlJc w:val="left"/>
      <w:pPr>
        <w:ind w:left="0" w:firstLine="402"/>
      </w:pPr>
      <w:rPr>
        <w:rFonts w:hint="eastAsia"/>
      </w:rPr>
    </w:lvl>
    <w:lvl w:ilvl="8">
      <w:start w:val="1"/>
      <w:numFmt w:val="lowerRoman"/>
      <w:pStyle w:val="941"/>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pStyle w:val="1032"/>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12"/>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9"/>
  </w:num>
  <w:num w:numId="5">
    <w:abstractNumId w:val="3"/>
  </w:num>
  <w:num w:numId="6">
    <w:abstractNumId w:val="8"/>
  </w:num>
  <w:num w:numId="7">
    <w:abstractNumId w:val="2"/>
  </w:num>
  <w:num w:numId="8">
    <w:abstractNumId w:val="10"/>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42"/>
    <w:link w:val="933"/>
    <w:uiPriority w:val="9"/>
    <w:rPr>
      <w:rFonts w:ascii="Arial" w:hAnsi="Arial" w:eastAsia="Arial" w:cs="Arial"/>
      <w:sz w:val="40"/>
      <w:szCs w:val="40"/>
    </w:rPr>
  </w:style>
  <w:style w:type="character" w:styleId="774">
    <w:name w:val="Heading 2 Char"/>
    <w:basedOn w:val="942"/>
    <w:link w:val="934"/>
    <w:uiPriority w:val="9"/>
    <w:rPr>
      <w:rFonts w:ascii="Arial" w:hAnsi="Arial" w:eastAsia="Arial" w:cs="Arial"/>
      <w:sz w:val="34"/>
    </w:rPr>
  </w:style>
  <w:style w:type="character" w:styleId="775">
    <w:name w:val="Heading 3 Char"/>
    <w:basedOn w:val="942"/>
    <w:link w:val="935"/>
    <w:uiPriority w:val="9"/>
    <w:rPr>
      <w:rFonts w:ascii="Arial" w:hAnsi="Arial" w:eastAsia="Arial" w:cs="Arial"/>
      <w:sz w:val="30"/>
      <w:szCs w:val="30"/>
    </w:rPr>
  </w:style>
  <w:style w:type="character" w:styleId="776">
    <w:name w:val="Heading 4 Char"/>
    <w:basedOn w:val="942"/>
    <w:link w:val="936"/>
    <w:uiPriority w:val="9"/>
    <w:rPr>
      <w:rFonts w:ascii="Arial" w:hAnsi="Arial" w:eastAsia="Arial" w:cs="Arial"/>
      <w:b/>
      <w:bCs/>
      <w:sz w:val="26"/>
      <w:szCs w:val="26"/>
    </w:rPr>
  </w:style>
  <w:style w:type="character" w:styleId="777">
    <w:name w:val="Heading 5 Char"/>
    <w:basedOn w:val="942"/>
    <w:link w:val="937"/>
    <w:uiPriority w:val="9"/>
    <w:rPr>
      <w:rFonts w:ascii="Arial" w:hAnsi="Arial" w:eastAsia="Arial" w:cs="Arial"/>
      <w:b/>
      <w:bCs/>
      <w:sz w:val="24"/>
      <w:szCs w:val="24"/>
    </w:rPr>
  </w:style>
  <w:style w:type="character" w:styleId="778">
    <w:name w:val="Heading 6 Char"/>
    <w:basedOn w:val="942"/>
    <w:link w:val="938"/>
    <w:uiPriority w:val="9"/>
    <w:rPr>
      <w:rFonts w:ascii="Arial" w:hAnsi="Arial" w:eastAsia="Arial" w:cs="Arial"/>
      <w:b/>
      <w:bCs/>
      <w:sz w:val="22"/>
      <w:szCs w:val="22"/>
    </w:rPr>
  </w:style>
  <w:style w:type="character" w:styleId="779">
    <w:name w:val="Heading 7 Char"/>
    <w:basedOn w:val="942"/>
    <w:link w:val="939"/>
    <w:uiPriority w:val="9"/>
    <w:rPr>
      <w:rFonts w:ascii="Arial" w:hAnsi="Arial" w:eastAsia="Arial" w:cs="Arial"/>
      <w:b/>
      <w:bCs/>
      <w:i/>
      <w:iCs/>
      <w:sz w:val="22"/>
      <w:szCs w:val="22"/>
    </w:rPr>
  </w:style>
  <w:style w:type="character" w:styleId="780">
    <w:name w:val="Heading 8 Char"/>
    <w:basedOn w:val="942"/>
    <w:link w:val="940"/>
    <w:uiPriority w:val="9"/>
    <w:rPr>
      <w:rFonts w:ascii="Arial" w:hAnsi="Arial" w:eastAsia="Arial" w:cs="Arial"/>
      <w:i/>
      <w:iCs/>
      <w:sz w:val="22"/>
      <w:szCs w:val="22"/>
    </w:rPr>
  </w:style>
  <w:style w:type="character" w:styleId="781">
    <w:name w:val="Heading 9 Char"/>
    <w:basedOn w:val="942"/>
    <w:link w:val="941"/>
    <w:uiPriority w:val="9"/>
    <w:rPr>
      <w:rFonts w:ascii="Arial" w:hAnsi="Arial" w:eastAsia="Arial" w:cs="Arial"/>
      <w:i/>
      <w:iCs/>
      <w:sz w:val="21"/>
      <w:szCs w:val="21"/>
    </w:rPr>
  </w:style>
  <w:style w:type="character" w:styleId="782">
    <w:name w:val="Title Char"/>
    <w:basedOn w:val="942"/>
    <w:link w:val="964"/>
    <w:uiPriority w:val="10"/>
    <w:rPr>
      <w:sz w:val="48"/>
      <w:szCs w:val="48"/>
    </w:rPr>
  </w:style>
  <w:style w:type="character" w:styleId="783">
    <w:name w:val="Subtitle Char"/>
    <w:basedOn w:val="942"/>
    <w:link w:val="959"/>
    <w:uiPriority w:val="11"/>
    <w:rPr>
      <w:sz w:val="24"/>
      <w:szCs w:val="24"/>
    </w:rPr>
  </w:style>
  <w:style w:type="paragraph" w:styleId="784">
    <w:name w:val="Quote"/>
    <w:basedOn w:val="932"/>
    <w:next w:val="932"/>
    <w:link w:val="785"/>
    <w:uiPriority w:val="29"/>
    <w:qFormat/>
    <w:pPr>
      <w:ind w:left="720" w:right="720"/>
    </w:pPr>
    <w:rPr>
      <w:i/>
    </w:rPr>
  </w:style>
  <w:style w:type="character" w:styleId="785">
    <w:name w:val="Quote Char"/>
    <w:link w:val="784"/>
    <w:uiPriority w:val="29"/>
    <w:rPr>
      <w:i/>
    </w:rPr>
  </w:style>
  <w:style w:type="paragraph" w:styleId="786">
    <w:name w:val="Intense Quote"/>
    <w:basedOn w:val="932"/>
    <w:next w:val="93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42"/>
    <w:link w:val="956"/>
    <w:uiPriority w:val="99"/>
  </w:style>
  <w:style w:type="character" w:styleId="789">
    <w:name w:val="Footer Char"/>
    <w:basedOn w:val="942"/>
    <w:link w:val="954"/>
    <w:uiPriority w:val="99"/>
  </w:style>
  <w:style w:type="paragraph" w:styleId="790">
    <w:name w:val="Caption"/>
    <w:basedOn w:val="932"/>
    <w:next w:val="932"/>
    <w:uiPriority w:val="35"/>
    <w:semiHidden/>
    <w:unhideWhenUsed/>
    <w:qFormat/>
    <w:pPr>
      <w:spacing w:line="276" w:lineRule="auto"/>
    </w:pPr>
    <w:rPr>
      <w:b/>
      <w:bCs/>
      <w:color w:val="4f81bd" w:themeColor="accent1"/>
      <w:sz w:val="18"/>
      <w:szCs w:val="18"/>
    </w:rPr>
  </w:style>
  <w:style w:type="character" w:styleId="791">
    <w:name w:val="Caption Char"/>
    <w:basedOn w:val="790"/>
    <w:link w:val="954"/>
    <w:uiPriority w:val="99"/>
  </w:style>
  <w:style w:type="table" w:styleId="792">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7">
    <w:name w:val="footnote text"/>
    <w:basedOn w:val="932"/>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basedOn w:val="942"/>
    <w:uiPriority w:val="99"/>
    <w:unhideWhenUsed/>
    <w:rPr>
      <w:vertAlign w:val="superscript"/>
    </w:rPr>
  </w:style>
  <w:style w:type="paragraph" w:styleId="920">
    <w:name w:val="endnote text"/>
    <w:basedOn w:val="932"/>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42"/>
    <w:uiPriority w:val="99"/>
    <w:semiHidden/>
    <w:unhideWhenUsed/>
    <w:rPr>
      <w:vertAlign w:val="superscript"/>
    </w:rPr>
  </w:style>
  <w:style w:type="paragraph" w:styleId="923">
    <w:name w:val="toc 2"/>
    <w:basedOn w:val="932"/>
    <w:next w:val="932"/>
    <w:uiPriority w:val="39"/>
    <w:unhideWhenUsed/>
    <w:pPr>
      <w:ind w:left="283" w:right="0" w:firstLine="0"/>
      <w:spacing w:after="57"/>
    </w:pPr>
  </w:style>
  <w:style w:type="paragraph" w:styleId="924">
    <w:name w:val="toc 3"/>
    <w:basedOn w:val="932"/>
    <w:next w:val="932"/>
    <w:uiPriority w:val="39"/>
    <w:unhideWhenUsed/>
    <w:pPr>
      <w:ind w:left="567"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uiPriority w:val="0"/>
    <w:qFormat/>
    <w:rPr>
      <w:rFonts w:ascii="Times New Roman" w:hAnsi="Times New Roman" w:eastAsia="宋体" w:cs="Times New Roman"/>
      <w:sz w:val="24"/>
      <w:szCs w:val="24"/>
      <w:lang w:val="en-US" w:eastAsia="zh-CN" w:bidi="ar-SA"/>
    </w:rPr>
  </w:style>
  <w:style w:type="paragraph" w:styleId="933">
    <w:name w:val="Heading 1"/>
    <w:basedOn w:val="932"/>
    <w:next w:val="932"/>
    <w:link w:val="1054"/>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34">
    <w:name w:val="Heading 2"/>
    <w:basedOn w:val="932"/>
    <w:next w:val="932"/>
    <w:link w:val="97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35">
    <w:name w:val="Heading 3"/>
    <w:basedOn w:val="932"/>
    <w:next w:val="932"/>
    <w:uiPriority w:val="0"/>
    <w:qFormat/>
    <w:pPr>
      <w:numPr>
        <w:ilvl w:val="2"/>
        <w:numId w:val="1"/>
      </w:numPr>
      <w:keepLines/>
      <w:keepNext/>
      <w:spacing w:before="260" w:after="260" w:line="416" w:lineRule="auto"/>
      <w:outlineLvl w:val="2"/>
    </w:pPr>
    <w:rPr>
      <w:b/>
      <w:bCs/>
      <w:sz w:val="32"/>
      <w:szCs w:val="32"/>
    </w:rPr>
  </w:style>
  <w:style w:type="paragraph" w:styleId="936">
    <w:name w:val="Heading 4"/>
    <w:basedOn w:val="932"/>
    <w:next w:val="932"/>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37">
    <w:name w:val="Heading 5"/>
    <w:basedOn w:val="932"/>
    <w:next w:val="932"/>
    <w:uiPriority w:val="0"/>
    <w:qFormat/>
    <w:pPr>
      <w:numPr>
        <w:ilvl w:val="4"/>
        <w:numId w:val="1"/>
      </w:numPr>
      <w:keepLines/>
      <w:keepNext/>
      <w:spacing w:before="280" w:after="290" w:line="376" w:lineRule="auto"/>
      <w:outlineLvl w:val="4"/>
    </w:pPr>
    <w:rPr>
      <w:b/>
      <w:bCs/>
      <w:sz w:val="28"/>
      <w:szCs w:val="28"/>
    </w:rPr>
  </w:style>
  <w:style w:type="paragraph" w:styleId="938">
    <w:name w:val="Heading 6"/>
    <w:basedOn w:val="932"/>
    <w:next w:val="932"/>
    <w:uiPriority w:val="0"/>
    <w:qFormat/>
    <w:pPr>
      <w:numPr>
        <w:ilvl w:val="5"/>
        <w:numId w:val="1"/>
      </w:numPr>
      <w:keepLines/>
      <w:keepNext/>
      <w:spacing w:before="240" w:after="64" w:line="320" w:lineRule="auto"/>
      <w:outlineLvl w:val="5"/>
    </w:pPr>
    <w:rPr>
      <w:rFonts w:ascii="Arial" w:hAnsi="Arial" w:eastAsia="黑体"/>
      <w:b/>
      <w:bCs/>
    </w:rPr>
  </w:style>
  <w:style w:type="paragraph" w:styleId="939">
    <w:name w:val="Heading 7"/>
    <w:basedOn w:val="932"/>
    <w:next w:val="932"/>
    <w:uiPriority w:val="0"/>
    <w:qFormat/>
    <w:pPr>
      <w:numPr>
        <w:ilvl w:val="6"/>
        <w:numId w:val="1"/>
      </w:numPr>
      <w:jc w:val="center"/>
      <w:keepLines/>
      <w:keepNext/>
      <w:spacing w:before="30" w:after="10"/>
      <w:outlineLvl w:val="6"/>
    </w:pPr>
    <w:rPr>
      <w:rFonts w:eastAsia="黑体"/>
      <w:lang w:val="zh-CN"/>
    </w:rPr>
  </w:style>
  <w:style w:type="paragraph" w:styleId="940">
    <w:name w:val="Heading 8"/>
    <w:basedOn w:val="939"/>
    <w:next w:val="932"/>
    <w:uiPriority w:val="0"/>
    <w:qFormat/>
    <w:pPr>
      <w:numPr>
        <w:ilvl w:val="7"/>
      </w:numPr>
      <w:keepLines w:val="0"/>
      <w:keepNext w:val="0"/>
      <w:spacing w:before="10" w:after="30"/>
      <w:outlineLvl w:val="7"/>
    </w:pPr>
  </w:style>
  <w:style w:type="paragraph" w:styleId="941">
    <w:name w:val="Heading 9"/>
    <w:basedOn w:val="932"/>
    <w:next w:val="932"/>
    <w:uiPriority w:val="0"/>
    <w:qFormat/>
    <w:pPr>
      <w:numPr>
        <w:ilvl w:val="8"/>
        <w:numId w:val="1"/>
      </w:numPr>
      <w:keepLines/>
      <w:keepNext/>
      <w:spacing w:before="240" w:after="64" w:line="317" w:lineRule="auto"/>
      <w:outlineLvl w:val="8"/>
    </w:pPr>
    <w:rPr>
      <w:rFonts w:ascii="Arial" w:hAnsi="Arial" w:eastAsia="黑体"/>
      <w:sz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Normal Indent"/>
    <w:basedOn w:val="932"/>
    <w:uiPriority w:val="0"/>
    <w:qFormat/>
    <w:pPr>
      <w:ind w:firstLine="420"/>
      <w:widowControl w:val="off"/>
    </w:pPr>
    <w:rPr>
      <w:rFonts w:eastAsia="楷体_GB2312"/>
      <w:szCs w:val="20"/>
    </w:rPr>
  </w:style>
  <w:style w:type="paragraph" w:styleId="945">
    <w:name w:val="Document Map"/>
    <w:basedOn w:val="932"/>
    <w:link w:val="980"/>
    <w:uiPriority w:val="0"/>
    <w:qFormat/>
    <w:pPr>
      <w:shd w:val="clear" w:color="auto" w:fill="000080"/>
    </w:pPr>
  </w:style>
  <w:style w:type="paragraph" w:styleId="946">
    <w:name w:val="annotation text"/>
    <w:basedOn w:val="932"/>
    <w:uiPriority w:val="0"/>
    <w:qFormat/>
  </w:style>
  <w:style w:type="paragraph" w:styleId="947">
    <w:name w:val="Body Text"/>
    <w:basedOn w:val="932"/>
    <w:uiPriority w:val="0"/>
    <w:qFormat/>
    <w:pPr>
      <w:spacing w:after="120"/>
    </w:pPr>
  </w:style>
  <w:style w:type="paragraph" w:styleId="948">
    <w:name w:val="Body Text Indent"/>
    <w:basedOn w:val="932"/>
    <w:next w:val="932"/>
    <w:uiPriority w:val="0"/>
    <w:qFormat/>
    <w:pPr>
      <w:ind w:right="-159" w:firstLine="246"/>
      <w:jc w:val="both"/>
      <w:spacing w:line="240" w:lineRule="atLeast"/>
      <w:widowControl w:val="off"/>
    </w:pPr>
    <w:rPr>
      <w:spacing w:val="20"/>
      <w:sz w:val="21"/>
    </w:rPr>
  </w:style>
  <w:style w:type="paragraph" w:styleId="949">
    <w:name w:val="Block Text"/>
    <w:basedOn w:val="932"/>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50">
    <w:name w:val="Plain Text"/>
    <w:basedOn w:val="932"/>
    <w:link w:val="981"/>
    <w:uiPriority w:val="0"/>
    <w:qFormat/>
    <w:rPr>
      <w:rFonts w:ascii="宋体" w:hAnsi="Courier New" w:eastAsia="楷体_GB2312"/>
      <w:sz w:val="26"/>
      <w:szCs w:val="20"/>
    </w:rPr>
  </w:style>
  <w:style w:type="paragraph" w:styleId="951">
    <w:name w:val="Date"/>
    <w:basedOn w:val="932"/>
    <w:next w:val="932"/>
    <w:link w:val="982"/>
    <w:uiPriority w:val="0"/>
    <w:qFormat/>
    <w:pPr>
      <w:ind w:left="100"/>
      <w:jc w:val="both"/>
      <w:widowControl w:val="off"/>
    </w:pPr>
    <w:rPr>
      <w:b/>
      <w:bCs/>
      <w:spacing w:val="20"/>
      <w:sz w:val="21"/>
    </w:rPr>
  </w:style>
  <w:style w:type="paragraph" w:styleId="952">
    <w:name w:val="Body Text Indent 2"/>
    <w:basedOn w:val="932"/>
    <w:uiPriority w:val="0"/>
    <w:qFormat/>
    <w:pPr>
      <w:ind w:firstLine="460"/>
      <w:spacing w:line="360" w:lineRule="auto"/>
    </w:pPr>
    <w:rPr>
      <w:spacing w:val="20"/>
      <w:sz w:val="21"/>
    </w:rPr>
  </w:style>
  <w:style w:type="paragraph" w:styleId="953">
    <w:name w:val="Balloon Text"/>
    <w:basedOn w:val="932"/>
    <w:uiPriority w:val="0"/>
    <w:qFormat/>
    <w:rPr>
      <w:sz w:val="18"/>
      <w:szCs w:val="18"/>
    </w:rPr>
  </w:style>
  <w:style w:type="paragraph" w:styleId="954">
    <w:name w:val="Footer"/>
    <w:basedOn w:val="932"/>
    <w:link w:val="983"/>
    <w:uiPriority w:val="99"/>
    <w:qFormat/>
    <w:pPr>
      <w:widowControl w:val="off"/>
      <w:tabs>
        <w:tab w:val="center" w:pos="4153" w:leader="none"/>
        <w:tab w:val="right" w:pos="8306" w:leader="none"/>
      </w:tabs>
    </w:pPr>
    <w:rPr>
      <w:sz w:val="18"/>
      <w:szCs w:val="18"/>
    </w:rPr>
  </w:style>
  <w:style w:type="paragraph" w:styleId="955">
    <w:name w:val="envelope return"/>
    <w:basedOn w:val="932"/>
    <w:uiPriority w:val="99"/>
    <w:unhideWhenUsed/>
    <w:qFormat/>
    <w:rPr>
      <w:rFonts w:ascii="Arial" w:hAnsi="Arial"/>
    </w:rPr>
  </w:style>
  <w:style w:type="paragraph" w:styleId="956">
    <w:name w:val="Header"/>
    <w:basedOn w:val="932"/>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57">
    <w:name w:val="toc 1"/>
    <w:basedOn w:val="932"/>
    <w:next w:val="932"/>
    <w:uiPriority w:val="0"/>
    <w:qFormat/>
    <w:pPr>
      <w:widowControl w:val="off"/>
    </w:pPr>
    <w:rPr>
      <w:rFonts w:eastAsia="楷体_GB2312"/>
      <w:szCs w:val="20"/>
    </w:rPr>
  </w:style>
  <w:style w:type="paragraph" w:styleId="958">
    <w:name w:val="toc 4"/>
    <w:basedOn w:val="932"/>
    <w:next w:val="932"/>
    <w:uiPriority w:val="39"/>
    <w:unhideWhenUsed/>
    <w:qFormat/>
    <w:pPr>
      <w:ind w:left="1260"/>
    </w:pPr>
  </w:style>
  <w:style w:type="paragraph" w:styleId="959">
    <w:name w:val="Subtitle"/>
    <w:basedOn w:val="932"/>
    <w:next w:val="932"/>
    <w:uiPriority w:val="0"/>
    <w:qFormat/>
    <w:pPr>
      <w:jc w:val="center"/>
      <w:spacing w:before="240" w:after="60" w:line="312" w:lineRule="auto"/>
      <w:outlineLvl w:val="1"/>
    </w:pPr>
    <w:rPr>
      <w:rFonts w:ascii="宋体" w:hAnsi="Courier New" w:eastAsia="楷体_GB2312"/>
      <w:sz w:val="26"/>
      <w:szCs w:val="20"/>
    </w:rPr>
  </w:style>
  <w:style w:type="paragraph" w:styleId="960">
    <w:name w:val="Body Text Indent 3"/>
    <w:basedOn w:val="932"/>
    <w:link w:val="984"/>
    <w:uiPriority w:val="0"/>
    <w:qFormat/>
    <w:pPr>
      <w:ind w:firstLine="480"/>
      <w:spacing w:line="300" w:lineRule="auto"/>
      <w:widowControl w:val="off"/>
    </w:pPr>
  </w:style>
  <w:style w:type="paragraph" w:styleId="961">
    <w:name w:val="Body Text 2"/>
    <w:basedOn w:val="932"/>
    <w:uiPriority w:val="0"/>
    <w:qFormat/>
    <w:pPr>
      <w:spacing w:after="120" w:line="480" w:lineRule="auto"/>
    </w:pPr>
  </w:style>
  <w:style w:type="paragraph" w:styleId="962">
    <w:name w:val="HTML Preformatted"/>
    <w:basedOn w:val="9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63">
    <w:name w:val="Normal (Web)"/>
    <w:basedOn w:val="932"/>
    <w:uiPriority w:val="0"/>
    <w:qFormat/>
    <w:pPr>
      <w:spacing w:before="100" w:beforeAutospacing="1" w:after="100" w:afterAutospacing="1"/>
    </w:pPr>
    <w:rPr>
      <w:rFonts w:ascii="宋体" w:hAnsi="宋体" w:cs="宋体"/>
    </w:rPr>
  </w:style>
  <w:style w:type="paragraph" w:styleId="964">
    <w:name w:val="Title"/>
    <w:basedOn w:val="932"/>
    <w:next w:val="932"/>
    <w:link w:val="985"/>
    <w:uiPriority w:val="0"/>
    <w:qFormat/>
    <w:pPr>
      <w:jc w:val="center"/>
      <w:spacing w:before="240" w:after="60"/>
      <w:outlineLvl w:val="0"/>
    </w:pPr>
    <w:rPr>
      <w:rFonts w:ascii="Cambria" w:hAnsi="Cambria"/>
      <w:b/>
      <w:bCs/>
      <w:sz w:val="32"/>
      <w:szCs w:val="32"/>
    </w:rPr>
  </w:style>
  <w:style w:type="paragraph" w:styleId="965">
    <w:name w:val="annotation subject"/>
    <w:basedOn w:val="946"/>
    <w:next w:val="946"/>
    <w:uiPriority w:val="0"/>
    <w:qFormat/>
    <w:rPr>
      <w:b/>
      <w:bCs/>
    </w:rPr>
  </w:style>
  <w:style w:type="paragraph" w:styleId="966">
    <w:name w:val="Body Text First Indent"/>
    <w:basedOn w:val="947"/>
    <w:uiPriority w:val="0"/>
    <w:qFormat/>
    <w:pPr>
      <w:ind w:firstLine="420"/>
      <w:tabs>
        <w:tab w:val="left" w:pos="5250" w:leader="none"/>
      </w:tabs>
    </w:pPr>
  </w:style>
  <w:style w:type="paragraph" w:styleId="967">
    <w:name w:val="Body Text First Indent 2"/>
    <w:basedOn w:val="948"/>
    <w:uiPriority w:val="99"/>
    <w:qFormat/>
    <w:pPr>
      <w:ind w:firstLine="420"/>
    </w:pPr>
  </w:style>
  <w:style w:type="table" w:styleId="968">
    <w:name w:val="Table Grid"/>
    <w:basedOn w:val="9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9">
    <w:name w:val="Strong"/>
    <w:uiPriority w:val="0"/>
    <w:qFormat/>
    <w:rPr>
      <w:b/>
      <w:bCs/>
    </w:rPr>
  </w:style>
  <w:style w:type="character" w:styleId="970">
    <w:name w:val="page number"/>
    <w:uiPriority w:val="0"/>
    <w:qFormat/>
  </w:style>
  <w:style w:type="character" w:styleId="971">
    <w:name w:val="FollowedHyperlink"/>
    <w:uiPriority w:val="0"/>
    <w:qFormat/>
    <w:rPr>
      <w:color w:val="333333"/>
      <w:u w:val="none"/>
    </w:rPr>
  </w:style>
  <w:style w:type="character" w:styleId="972">
    <w:name w:val="Hyperlink"/>
    <w:uiPriority w:val="0"/>
    <w:qFormat/>
    <w:rPr>
      <w:color w:val="333333"/>
      <w:u w:val="none"/>
    </w:rPr>
  </w:style>
  <w:style w:type="character" w:styleId="973">
    <w:name w:val="annotation reference"/>
    <w:uiPriority w:val="0"/>
    <w:qFormat/>
    <w:rPr>
      <w:sz w:val="21"/>
      <w:szCs w:val="21"/>
    </w:rPr>
  </w:style>
  <w:style w:type="paragraph" w:styleId="974" w:customStyle="1">
    <w:name w:val="正文文本缩进1"/>
    <w:next w:val="932"/>
    <w:uiPriority w:val="0"/>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paragraph" w:styleId="975" w:customStyle="1">
    <w:name w:val="正文首行缩进 21"/>
    <w:basedOn w:val="974"/>
    <w:uiPriority w:val="99"/>
    <w:qFormat/>
    <w:pPr>
      <w:ind w:firstLine="420"/>
    </w:pPr>
  </w:style>
  <w:style w:type="paragraph" w:styleId="976" w:customStyle="1">
    <w:name w:val="样式1"/>
    <w:basedOn w:val="932"/>
    <w:uiPriority w:val="0"/>
    <w:qFormat/>
    <w:pPr>
      <w:jc w:val="center"/>
    </w:pPr>
  </w:style>
  <w:style w:type="paragraph" w:styleId="977" w:customStyle="1">
    <w:name w:val="正文1"/>
    <w:basedOn w:val="932"/>
    <w:next w:val="932"/>
    <w:uiPriority w:val="0"/>
    <w:qFormat/>
    <w:pPr>
      <w:ind w:firstLine="540"/>
    </w:pPr>
    <w:rPr>
      <w:szCs w:val="20"/>
    </w:rPr>
  </w:style>
  <w:style w:type="character" w:styleId="978" w:customStyle="1">
    <w:name w:val="标题 1 字符"/>
    <w:link w:val="933"/>
    <w:uiPriority w:val="0"/>
    <w:qFormat/>
    <w:rPr>
      <w:rFonts w:eastAsia="楷体_GB2312"/>
      <w:b/>
      <w:sz w:val="44"/>
      <w:szCs w:val="20"/>
    </w:rPr>
  </w:style>
  <w:style w:type="character" w:styleId="979" w:customStyle="1">
    <w:name w:val="标题 2 字符"/>
    <w:basedOn w:val="942"/>
    <w:link w:val="934"/>
    <w:uiPriority w:val="9"/>
    <w:qFormat/>
    <w:rPr>
      <w:rFonts w:ascii="Cambria" w:hAnsi="Cambria" w:eastAsia="宋体" w:cs="Times New Roman"/>
      <w:b/>
      <w:bCs/>
      <w:sz w:val="32"/>
      <w:szCs w:val="32"/>
    </w:rPr>
  </w:style>
  <w:style w:type="character" w:styleId="980" w:customStyle="1">
    <w:name w:val="文档结构图 字符"/>
    <w:link w:val="945"/>
    <w:uiPriority w:val="0"/>
    <w:qFormat/>
    <w:rPr>
      <w:sz w:val="24"/>
      <w:szCs w:val="24"/>
      <w:shd w:val="clear" w:color="auto" w:fill="000080"/>
    </w:rPr>
  </w:style>
  <w:style w:type="character" w:styleId="981" w:customStyle="1">
    <w:name w:val="纯文本 字符"/>
    <w:link w:val="950"/>
    <w:uiPriority w:val="0"/>
    <w:qFormat/>
    <w:rPr>
      <w:rFonts w:ascii="宋体" w:hAnsi="Courier New" w:eastAsia="楷体_GB2312"/>
      <w:sz w:val="26"/>
    </w:rPr>
  </w:style>
  <w:style w:type="character" w:styleId="982" w:customStyle="1">
    <w:name w:val="日期 字符"/>
    <w:link w:val="951"/>
    <w:uiPriority w:val="0"/>
    <w:qFormat/>
    <w:rPr>
      <w:b/>
      <w:bCs/>
      <w:spacing w:val="20"/>
      <w:sz w:val="21"/>
      <w:szCs w:val="24"/>
    </w:rPr>
  </w:style>
  <w:style w:type="character" w:styleId="983" w:customStyle="1">
    <w:name w:val="页脚 字符"/>
    <w:link w:val="954"/>
    <w:uiPriority w:val="99"/>
    <w:qFormat/>
    <w:rPr>
      <w:sz w:val="18"/>
      <w:szCs w:val="18"/>
    </w:rPr>
  </w:style>
  <w:style w:type="character" w:styleId="984" w:customStyle="1">
    <w:name w:val="正文文本缩进 3 字符"/>
    <w:link w:val="960"/>
    <w:uiPriority w:val="0"/>
    <w:qFormat/>
    <w:rPr>
      <w:sz w:val="24"/>
      <w:szCs w:val="24"/>
    </w:rPr>
  </w:style>
  <w:style w:type="character" w:styleId="985" w:customStyle="1">
    <w:name w:val="标题 字符"/>
    <w:link w:val="964"/>
    <w:uiPriority w:val="0"/>
    <w:qFormat/>
    <w:rPr>
      <w:rFonts w:ascii="Cambria" w:hAnsi="Cambria" w:cs="Times New Roman"/>
      <w:b/>
      <w:bCs/>
      <w:sz w:val="32"/>
      <w:szCs w:val="32"/>
    </w:rPr>
  </w:style>
  <w:style w:type="character" w:styleId="986" w:customStyle="1">
    <w:name w:val="font31"/>
    <w:basedOn w:val="942"/>
    <w:uiPriority w:val="0"/>
    <w:qFormat/>
    <w:rPr>
      <w:rFonts w:hint="eastAsia" w:ascii="宋体" w:hAnsi="宋体" w:eastAsia="宋体" w:cs="宋体"/>
      <w:color w:val="000000"/>
      <w:sz w:val="21"/>
      <w:szCs w:val="21"/>
      <w:u w:val="none"/>
    </w:rPr>
  </w:style>
  <w:style w:type="character" w:styleId="987" w:customStyle="1">
    <w:name w:val="无"/>
    <w:uiPriority w:val="0"/>
    <w:qFormat/>
  </w:style>
  <w:style w:type="character" w:styleId="988" w:customStyle="1">
    <w:name w:val="apple-converted-space"/>
    <w:uiPriority w:val="0"/>
    <w:qFormat/>
  </w:style>
  <w:style w:type="character" w:styleId="989" w:customStyle="1">
    <w:name w:val="font21"/>
    <w:basedOn w:val="942"/>
    <w:uiPriority w:val="0"/>
    <w:qFormat/>
    <w:rPr>
      <w:rFonts w:hint="eastAsia" w:ascii="宋体" w:hAnsi="宋体" w:eastAsia="宋体" w:cs="宋体"/>
      <w:color w:val="000000"/>
      <w:sz w:val="24"/>
      <w:szCs w:val="24"/>
      <w:u w:val="none"/>
    </w:rPr>
  </w:style>
  <w:style w:type="character" w:styleId="990" w:customStyle="1">
    <w:name w:val="NormalCharacter"/>
    <w:uiPriority w:val="0"/>
    <w:qFormat/>
  </w:style>
  <w:style w:type="character" w:styleId="991" w:customStyle="1">
    <w:name w:val="font11"/>
    <w:uiPriority w:val="0"/>
    <w:qFormat/>
    <w:rPr>
      <w:rFonts w:hint="eastAsia" w:ascii="宋体" w:hAnsi="宋体" w:eastAsia="宋体" w:cs="宋体"/>
      <w:color w:val="000000"/>
      <w:sz w:val="24"/>
      <w:szCs w:val="24"/>
      <w:u w:val="none"/>
    </w:rPr>
  </w:style>
  <w:style w:type="character" w:styleId="992" w:customStyle="1">
    <w:name w:val="font01"/>
    <w:uiPriority w:val="0"/>
    <w:qFormat/>
    <w:rPr>
      <w:rFonts w:hint="eastAsia" w:ascii="宋体" w:hAnsi="宋体" w:eastAsia="宋体" w:cs="宋体"/>
      <w:color w:val="000000"/>
      <w:sz w:val="24"/>
      <w:szCs w:val="24"/>
      <w:u w:val="none"/>
    </w:rPr>
  </w:style>
  <w:style w:type="character" w:styleId="993" w:customStyle="1">
    <w:name w:val="font51"/>
    <w:basedOn w:val="942"/>
    <w:uiPriority w:val="0"/>
    <w:qFormat/>
    <w:rPr>
      <w:rFonts w:hint="eastAsia" w:ascii="宋体" w:hAnsi="宋体" w:eastAsia="宋体" w:cs="宋体"/>
      <w:color w:val="000000"/>
      <w:sz w:val="24"/>
      <w:szCs w:val="24"/>
      <w:u w:val="none"/>
    </w:rPr>
  </w:style>
  <w:style w:type="character" w:styleId="994" w:customStyle="1">
    <w:name w:val="Plain Text Char"/>
    <w:link w:val="995"/>
    <w:uiPriority w:val="0"/>
    <w:qFormat/>
    <w:rPr>
      <w:rFonts w:ascii="宋体" w:hAnsi="Courier New" w:eastAsia="楷体_GB2312"/>
      <w:sz w:val="26"/>
    </w:rPr>
  </w:style>
  <w:style w:type="paragraph" w:styleId="995" w:customStyle="1">
    <w:name w:val="纯文本1"/>
    <w:basedOn w:val="932"/>
    <w:link w:val="994"/>
    <w:uiPriority w:val="0"/>
    <w:qFormat/>
    <w:pPr>
      <w:jc w:val="both"/>
      <w:widowControl w:val="off"/>
    </w:pPr>
    <w:rPr>
      <w:rFonts w:ascii="宋体" w:hAnsi="Courier New" w:eastAsia="楷体_GB2312"/>
      <w:sz w:val="26"/>
      <w:szCs w:val="20"/>
    </w:rPr>
  </w:style>
  <w:style w:type="character" w:styleId="996" w:customStyle="1">
    <w:name w:val="Andy_正文 Char"/>
    <w:link w:val="997"/>
    <w:uiPriority w:val="0"/>
    <w:qFormat/>
    <w:rPr>
      <w:rFonts w:ascii="Calibri" w:hAnsi="Calibri"/>
      <w:sz w:val="24"/>
      <w:szCs w:val="24"/>
    </w:rPr>
  </w:style>
  <w:style w:type="paragraph" w:styleId="997" w:customStyle="1">
    <w:name w:val="Andy_正文"/>
    <w:basedOn w:val="932"/>
    <w:link w:val="996"/>
    <w:uiPriority w:val="0"/>
    <w:qFormat/>
    <w:pPr>
      <w:ind w:firstLine="480"/>
      <w:jc w:val="both"/>
      <w:spacing w:line="360" w:lineRule="auto"/>
      <w:widowControl w:val="off"/>
    </w:pPr>
    <w:rPr>
      <w:rFonts w:ascii="Calibri" w:hAnsi="Calibri"/>
    </w:rPr>
  </w:style>
  <w:style w:type="paragraph" w:styleId="998" w:customStyle="1">
    <w:name w:val="H-TextFormat"/>
    <w:uiPriority w:val="0"/>
    <w:qFormat/>
    <w:rPr>
      <w:rFonts w:ascii="Arial" w:hAnsi="Arial" w:eastAsia="宋体" w:cs="Times New Roman"/>
      <w:sz w:val="22"/>
      <w:lang w:val="en-GB" w:eastAsia="en-US" w:bidi="ar-SA"/>
    </w:rPr>
  </w:style>
  <w:style w:type="paragraph" w:styleId="999" w:customStyle="1">
    <w:name w:val="Char1"/>
    <w:basedOn w:val="932"/>
    <w:uiPriority w:val="0"/>
    <w:qFormat/>
    <w:pPr>
      <w:jc w:val="both"/>
      <w:widowControl w:val="off"/>
    </w:pPr>
    <w:rPr>
      <w:rFonts w:ascii="Tahoma" w:hAnsi="Tahoma"/>
      <w:szCs w:val="20"/>
    </w:rPr>
  </w:style>
  <w:style w:type="paragraph" w:styleId="1000" w:customStyle="1">
    <w:name w:val="_Style 12"/>
    <w:basedOn w:val="945"/>
    <w:uiPriority w:val="0"/>
    <w:qFormat/>
    <w:pPr>
      <w:spacing w:line="360" w:lineRule="auto"/>
    </w:pPr>
  </w:style>
  <w:style w:type="paragraph" w:styleId="1001" w:customStyle="1">
    <w:name w:val="Table Paragraph"/>
    <w:basedOn w:val="932"/>
    <w:uiPriority w:val="1"/>
    <w:qFormat/>
    <w:pPr>
      <w:widowControl w:val="off"/>
    </w:pPr>
    <w:rPr>
      <w:rFonts w:ascii="宋体" w:hAnsi="宋体" w:cs="宋体"/>
      <w:sz w:val="22"/>
      <w:szCs w:val="22"/>
      <w:lang w:val="zh-CN" w:bidi="zh-CN"/>
    </w:rPr>
  </w:style>
  <w:style w:type="paragraph" w:styleId="1002" w:customStyle="1">
    <w:name w:val="_Style 25"/>
    <w:basedOn w:val="932"/>
    <w:uiPriority w:val="0"/>
    <w:qFormat/>
    <w:pPr>
      <w:spacing w:after="160" w:line="240" w:lineRule="exact"/>
    </w:pPr>
    <w:rPr>
      <w:szCs w:val="20"/>
    </w:rPr>
  </w:style>
  <w:style w:type="paragraph" w:styleId="1003" w:customStyle="1">
    <w:name w:val="纯文本11"/>
    <w:basedOn w:val="932"/>
    <w:uiPriority w:val="0"/>
    <w:qFormat/>
    <w:pPr>
      <w:jc w:val="both"/>
      <w:widowControl w:val="off"/>
    </w:pPr>
    <w:rPr>
      <w:rFonts w:ascii="宋体" w:hAnsi="Courier New" w:eastAsia="楷体_GB2312"/>
      <w:sz w:val="28"/>
      <w:szCs w:val="20"/>
    </w:rPr>
  </w:style>
  <w:style w:type="paragraph" w:styleId="1004"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Char Char Char1 Char Char Char Char"/>
    <w:basedOn w:val="932"/>
    <w:uiPriority w:val="0"/>
    <w:qFormat/>
    <w:pPr>
      <w:spacing w:after="160" w:line="240" w:lineRule="exact"/>
    </w:pPr>
  </w:style>
  <w:style w:type="paragraph" w:styleId="1006" w:customStyle="1">
    <w:name w:val="表正文"/>
    <w:basedOn w:val="932"/>
    <w:next w:val="948"/>
    <w:uiPriority w:val="0"/>
    <w:qFormat/>
    <w:pPr>
      <w:ind w:left="420"/>
      <w:spacing w:after="120"/>
    </w:pPr>
    <w:rPr>
      <w:sz w:val="21"/>
    </w:rPr>
  </w:style>
  <w:style w:type="paragraph" w:styleId="1007" w:customStyle="1">
    <w:name w:val="Char Char Char Char Char Char Char Char Char Char"/>
    <w:basedOn w:val="932"/>
    <w:uiPriority w:val="0"/>
    <w:qFormat/>
    <w:pPr>
      <w:ind w:left="795" w:hanging="360"/>
      <w:jc w:val="both"/>
      <w:widowControl w:val="off"/>
      <w:tabs>
        <w:tab w:val="left" w:pos="795" w:leader="none"/>
      </w:tabs>
    </w:pPr>
  </w:style>
  <w:style w:type="paragraph" w:styleId="1008" w:customStyle="1">
    <w:name w:val="Char1 Char Char Char"/>
    <w:basedOn w:val="932"/>
    <w:uiPriority w:val="0"/>
    <w:qFormat/>
    <w:pPr>
      <w:jc w:val="both"/>
      <w:widowControl w:val="off"/>
    </w:pPr>
    <w:rPr>
      <w:sz w:val="21"/>
    </w:rPr>
  </w:style>
  <w:style w:type="paragraph" w:styleId="100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10">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1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12" w:customStyle="1">
    <w:name w:val="Andy_2级"/>
    <w:basedOn w:val="932"/>
    <w:uiPriority w:val="0"/>
    <w:qFormat/>
    <w:pPr>
      <w:numPr>
        <w:ilvl w:val="1"/>
        <w:numId w:val="2"/>
      </w:numPr>
      <w:ind w:left="0" w:firstLine="510"/>
      <w:spacing w:line="360" w:lineRule="auto"/>
    </w:pPr>
    <w:rPr>
      <w:rFonts w:ascii="Calibri" w:hAnsi="Calibri"/>
      <w:szCs w:val="20"/>
    </w:rPr>
  </w:style>
  <w:style w:type="paragraph" w:styleId="1013" w:customStyle="1">
    <w:name w:val="p16"/>
    <w:basedOn w:val="932"/>
    <w:uiPriority w:val="0"/>
    <w:qFormat/>
    <w:rPr>
      <w:rFonts w:ascii="宋体" w:hAnsi="宋体" w:cs="宋体"/>
      <w:sz w:val="26"/>
      <w:szCs w:val="26"/>
    </w:rPr>
  </w:style>
  <w:style w:type="paragraph" w:styleId="1014" w:customStyle="1">
    <w:name w:val="纯文本3"/>
    <w:basedOn w:val="932"/>
    <w:uiPriority w:val="0"/>
    <w:qFormat/>
    <w:rPr>
      <w:rFonts w:ascii="宋体" w:hAnsi="Courier New"/>
      <w:sz w:val="26"/>
    </w:rPr>
  </w:style>
  <w:style w:type="paragraph" w:styleId="1015" w:customStyle="1">
    <w:name w:val="Char Char Char"/>
    <w:basedOn w:val="932"/>
    <w:uiPriority w:val="0"/>
    <w:qFormat/>
    <w:pPr>
      <w:ind w:left="795" w:hanging="360"/>
      <w:jc w:val="both"/>
      <w:widowControl w:val="off"/>
      <w:tabs>
        <w:tab w:val="left" w:pos="795" w:leader="none"/>
      </w:tabs>
    </w:pPr>
  </w:style>
  <w:style w:type="paragraph" w:styleId="1016" w:customStyle="1">
    <w:name w:val="样式2"/>
    <w:basedOn w:val="976"/>
    <w:uiPriority w:val="0"/>
    <w:qFormat/>
    <w:rPr>
      <w:sz w:val="21"/>
    </w:rPr>
  </w:style>
  <w:style w:type="paragraph" w:styleId="1017" w:customStyle="1">
    <w:name w:val="f正文"/>
    <w:basedOn w:val="932"/>
    <w:uiPriority w:val="0"/>
    <w:qFormat/>
    <w:pPr>
      <w:ind w:firstLine="200"/>
    </w:pPr>
  </w:style>
  <w:style w:type="paragraph" w:styleId="1018" w:customStyle="1">
    <w:name w:val="_Style 3"/>
    <w:basedOn w:val="932"/>
    <w:uiPriority w:val="0"/>
    <w:qFormat/>
    <w:pPr>
      <w:ind w:left="795" w:hanging="360"/>
      <w:jc w:val="both"/>
      <w:widowControl w:val="off"/>
      <w:tabs>
        <w:tab w:val="left" w:pos="540" w:leader="none"/>
      </w:tabs>
    </w:pPr>
  </w:style>
  <w:style w:type="paragraph" w:styleId="1019" w:customStyle="1">
    <w:name w:val="Char Char Char Char Char Char Char Char Char1 Char"/>
    <w:basedOn w:val="945"/>
    <w:uiPriority w:val="0"/>
    <w:qFormat/>
    <w:pPr>
      <w:jc w:val="both"/>
      <w:spacing w:line="360" w:lineRule="auto"/>
      <w:widowControl w:val="off"/>
    </w:pPr>
    <w:rPr>
      <w:rFonts w:ascii="Tahoma" w:hAnsi="Tahoma"/>
    </w:rPr>
  </w:style>
  <w:style w:type="paragraph" w:styleId="1020" w:customStyle="1">
    <w:name w:val="纯文本5"/>
    <w:basedOn w:val="932"/>
    <w:uiPriority w:val="0"/>
    <w:qFormat/>
    <w:rPr>
      <w:rFonts w:ascii="宋体" w:hAnsi="Courier New" w:eastAsia="楷体_GB2312"/>
      <w:sz w:val="28"/>
      <w:szCs w:val="20"/>
    </w:rPr>
  </w:style>
  <w:style w:type="paragraph" w:styleId="1021" w:customStyle="1">
    <w:name w:val="p18"/>
    <w:basedOn w:val="932"/>
    <w:uiPriority w:val="0"/>
    <w:qFormat/>
    <w:pPr>
      <w:ind w:firstLine="420"/>
    </w:pPr>
  </w:style>
  <w:style w:type="paragraph" w:styleId="1022" w:customStyle="1">
    <w:name w:val="纯文本2"/>
    <w:basedOn w:val="932"/>
    <w:uiPriority w:val="0"/>
    <w:qFormat/>
    <w:rPr>
      <w:rFonts w:ascii="宋体" w:hAnsi="Courier New"/>
    </w:rPr>
  </w:style>
  <w:style w:type="paragraph" w:styleId="1023" w:customStyle="1">
    <w:name w:val="Char Char2"/>
    <w:basedOn w:val="945"/>
    <w:uiPriority w:val="0"/>
    <w:qFormat/>
    <w:pPr>
      <w:spacing w:line="360" w:lineRule="auto"/>
    </w:pPr>
  </w:style>
  <w:style w:type="paragraph" w:styleId="1024" w:customStyle="1">
    <w:name w:val="_Style 5"/>
    <w:basedOn w:val="932"/>
    <w:uiPriority w:val="0"/>
    <w:qFormat/>
    <w:pPr>
      <w:spacing w:after="160" w:line="240" w:lineRule="exact"/>
    </w:pPr>
    <w:rPr>
      <w:szCs w:val="20"/>
    </w:rPr>
  </w:style>
  <w:style w:type="paragraph" w:styleId="1025" w:customStyle="1">
    <w:name w:val="段"/>
    <w:next w:val="932"/>
    <w:uiPriority w:val="0"/>
    <w:qFormat/>
    <w:pPr>
      <w:ind w:firstLine="200"/>
      <w:jc w:val="both"/>
    </w:pPr>
    <w:rPr>
      <w:rFonts w:ascii="宋体" w:hAnsi="Times New Roman" w:eastAsia="宋体" w:cs="Times New Roman"/>
      <w:sz w:val="21"/>
      <w:szCs w:val="22"/>
      <w:lang w:val="en-US" w:eastAsia="zh-CN" w:bidi="ar-SA"/>
    </w:rPr>
  </w:style>
  <w:style w:type="paragraph" w:styleId="1026" w:customStyle="1">
    <w:name w:val="Char Char Char Char"/>
    <w:basedOn w:val="945"/>
    <w:uiPriority w:val="0"/>
    <w:qFormat/>
    <w:pPr>
      <w:jc w:val="both"/>
      <w:spacing w:line="360" w:lineRule="auto"/>
      <w:widowControl w:val="off"/>
    </w:pPr>
    <w:rPr>
      <w:szCs w:val="20"/>
    </w:rPr>
  </w:style>
  <w:style w:type="paragraph" w:styleId="1027" w:customStyle="1">
    <w:name w:val="p0"/>
    <w:basedOn w:val="932"/>
    <w:uiPriority w:val="0"/>
    <w:qFormat/>
  </w:style>
  <w:style w:type="paragraph" w:styleId="1028" w:customStyle="1">
    <w:name w:val="Char Char Char Char Char Char Char Char Char1 Char1"/>
    <w:basedOn w:val="945"/>
    <w:uiPriority w:val="0"/>
    <w:qFormat/>
    <w:pPr>
      <w:jc w:val="both"/>
      <w:spacing w:line="360" w:lineRule="auto"/>
      <w:widowControl w:val="off"/>
    </w:pPr>
    <w:rPr>
      <w:rFonts w:ascii="Tahoma" w:hAnsi="Tahoma"/>
    </w:rPr>
  </w:style>
  <w:style w:type="paragraph" w:styleId="1029" w:customStyle="1">
    <w:name w:val="列出段落1"/>
    <w:basedOn w:val="932"/>
    <w:uiPriority w:val="0"/>
    <w:qFormat/>
    <w:pPr>
      <w:ind w:firstLine="420"/>
    </w:pPr>
    <w:rPr>
      <w:rFonts w:ascii="Calibri" w:hAnsi="Calibri" w:cs="Calibri"/>
      <w:szCs w:val="22"/>
    </w:rPr>
  </w:style>
  <w:style w:type="paragraph" w:styleId="1030" w:customStyle="1">
    <w:name w:val="纯文本111"/>
    <w:basedOn w:val="932"/>
    <w:uiPriority w:val="0"/>
    <w:qFormat/>
    <w:rPr>
      <w:rFonts w:ascii="宋体" w:hAnsi="Courier New"/>
    </w:rPr>
  </w:style>
  <w:style w:type="paragraph" w:styleId="1031" w:customStyle="1">
    <w:name w:val="列表段落1"/>
    <w:basedOn w:val="932"/>
    <w:uiPriority w:val="0"/>
    <w:qFormat/>
    <w:pPr>
      <w:ind w:firstLine="420"/>
      <w:jc w:val="both"/>
      <w:widowControl w:val="off"/>
    </w:pPr>
    <w:rPr>
      <w:rFonts w:ascii="Calibri" w:hAnsi="Calibri"/>
      <w:sz w:val="21"/>
      <w:szCs w:val="22"/>
    </w:rPr>
  </w:style>
  <w:style w:type="paragraph" w:styleId="1032" w:customStyle="1">
    <w:name w:val="Char Char3"/>
    <w:basedOn w:val="932"/>
    <w:uiPriority w:val="0"/>
    <w:qFormat/>
    <w:pPr>
      <w:numPr>
        <w:ilvl w:val="0"/>
        <w:numId w:val="3"/>
      </w:numPr>
      <w:jc w:val="both"/>
      <w:widowControl w:val="off"/>
    </w:pPr>
  </w:style>
  <w:style w:type="paragraph" w:styleId="1033" w:customStyle="1">
    <w:name w:val="Char"/>
    <w:basedOn w:val="932"/>
    <w:uiPriority w:val="0"/>
    <w:qFormat/>
    <w:pPr>
      <w:jc w:val="both"/>
      <w:widowControl w:val="off"/>
    </w:pPr>
    <w:rPr>
      <w:rFonts w:ascii="Tahoma" w:hAnsi="Tahoma" w:cs="Tahoma"/>
    </w:rPr>
  </w:style>
  <w:style w:type="paragraph" w:styleId="1034" w:customStyle="1">
    <w:name w:val="01 章标"/>
    <w:basedOn w:val="932"/>
    <w:uiPriority w:val="0"/>
    <w:qFormat/>
    <w:pPr>
      <w:ind w:firstLine="883"/>
      <w:jc w:val="center"/>
      <w:outlineLvl w:val="0"/>
    </w:pPr>
    <w:rPr>
      <w:b/>
      <w:sz w:val="44"/>
      <w:szCs w:val="44"/>
    </w:rPr>
  </w:style>
  <w:style w:type="paragraph" w:styleId="1035" w:customStyle="1">
    <w:name w:val="首行缩进"/>
    <w:basedOn w:val="932"/>
    <w:uiPriority w:val="0"/>
    <w:qFormat/>
    <w:pPr>
      <w:ind w:firstLine="480"/>
    </w:pPr>
    <w:rPr>
      <w:rFonts w:eastAsia="楷体_GB2312"/>
      <w:sz w:val="26"/>
      <w:szCs w:val="20"/>
      <w:lang w:val="zh-CN"/>
    </w:rPr>
  </w:style>
  <w:style w:type="paragraph" w:styleId="1036" w:customStyle="1">
    <w:name w:val="Other|1"/>
    <w:basedOn w:val="932"/>
    <w:uiPriority w:val="0"/>
    <w:qFormat/>
    <w:pPr>
      <w:spacing w:line="306" w:lineRule="exact"/>
    </w:pPr>
    <w:rPr>
      <w:rFonts w:ascii="宋体" w:hAnsi="宋体" w:cs="宋体"/>
      <w:sz w:val="20"/>
      <w:szCs w:val="20"/>
      <w:lang w:val="zh-TW" w:eastAsia="zh-TW" w:bidi="zh-TW"/>
    </w:rPr>
  </w:style>
  <w:style w:type="paragraph" w:styleId="1037" w:customStyle="1">
    <w:name w:val="Plain Text1"/>
    <w:basedOn w:val="932"/>
    <w:uiPriority w:val="0"/>
    <w:qFormat/>
    <w:rPr>
      <w:rFonts w:hint="eastAsia" w:ascii="宋体" w:hAnsi="Courier New"/>
    </w:rPr>
  </w:style>
  <w:style w:type="paragraph" w:styleId="1038" w:customStyle="1">
    <w:name w:val="正文2"/>
    <w:basedOn w:val="932"/>
    <w:uiPriority w:val="0"/>
    <w:qFormat/>
    <w:pPr>
      <w:ind w:firstLine="200"/>
      <w:spacing w:after="160" w:line="360" w:lineRule="auto"/>
    </w:pPr>
    <w:rPr>
      <w:rFonts w:ascii="Verdana" w:hAnsi="Verdana" w:eastAsia="黑体"/>
      <w:sz w:val="21"/>
      <w:szCs w:val="20"/>
      <w:lang w:eastAsia="en-US"/>
    </w:rPr>
  </w:style>
  <w:style w:type="paragraph" w:styleId="1039" w:customStyle="1">
    <w:name w:val="图片格式"/>
    <w:basedOn w:val="932"/>
    <w:uiPriority w:val="0"/>
    <w:qFormat/>
    <w:pPr>
      <w:jc w:val="center"/>
      <w:tabs>
        <w:tab w:val="center" w:pos="4153" w:leader="none"/>
        <w:tab w:val="right" w:pos="8306" w:leader="none"/>
      </w:tabs>
    </w:pPr>
    <w:rPr>
      <w:rFonts w:cs="宋体"/>
      <w:szCs w:val="20"/>
    </w:rPr>
  </w:style>
  <w:style w:type="paragraph" w:styleId="1040" w:customStyle="1">
    <w:name w:val="p17"/>
    <w:basedOn w:val="932"/>
    <w:uiPriority w:val="0"/>
    <w:qFormat/>
    <w:pPr>
      <w:jc w:val="both"/>
    </w:pPr>
    <w:rPr>
      <w:rFonts w:ascii="宋体" w:hAnsi="宋体" w:cs="宋体"/>
      <w:sz w:val="26"/>
      <w:szCs w:val="26"/>
    </w:rPr>
  </w:style>
  <w:style w:type="paragraph" w:styleId="1041" w:customStyle="1">
    <w:name w:val="Char2"/>
    <w:basedOn w:val="945"/>
    <w:uiPriority w:val="0"/>
    <w:qFormat/>
    <w:pPr>
      <w:jc w:val="both"/>
      <w:spacing w:line="360" w:lineRule="auto"/>
      <w:widowControl w:val="off"/>
    </w:pPr>
    <w:rPr>
      <w:sz w:val="21"/>
    </w:rPr>
  </w:style>
  <w:style w:type="paragraph" w:styleId="1042" w:customStyle="1">
    <w:name w:val="无间隔1"/>
    <w:uiPriority w:val="1"/>
    <w:qFormat/>
    <w:rPr>
      <w:rFonts w:ascii="微软雅黑." w:hAnsi="微软雅黑." w:eastAsia="宋体" w:cs="Times New Roman"/>
      <w:sz w:val="22"/>
      <w:szCs w:val="22"/>
      <w:lang w:val="en-US" w:eastAsia="zh-CN" w:bidi="ar-SA"/>
    </w:rPr>
  </w:style>
  <w:style w:type="paragraph" w:styleId="1043" w:customStyle="1">
    <w:name w:val="方案正文"/>
    <w:basedOn w:val="932"/>
    <w:uiPriority w:val="0"/>
    <w:qFormat/>
    <w:pPr>
      <w:spacing w:line="440" w:lineRule="atLeast"/>
    </w:pPr>
  </w:style>
  <w:style w:type="paragraph" w:styleId="1044" w:customStyle="1">
    <w:name w:val="*正文"/>
    <w:basedOn w:val="932"/>
    <w:uiPriority w:val="0"/>
    <w:qFormat/>
    <w:rPr>
      <w:rFonts w:ascii="宋体" w:hAnsi="宋体"/>
      <w:lang w:val="zh-CN"/>
    </w:rPr>
  </w:style>
  <w:style w:type="paragraph" w:styleId="1045" w:customStyle="1">
    <w:name w:val="普通正文"/>
    <w:basedOn w:val="932"/>
    <w:uiPriority w:val="0"/>
    <w:qFormat/>
    <w:pPr>
      <w:ind w:firstLine="480"/>
      <w:spacing w:before="120" w:after="120" w:line="360" w:lineRule="auto"/>
    </w:pPr>
    <w:rPr>
      <w:rFonts w:ascii="Arial" w:hAnsi="Arial" w:cs="Arial"/>
    </w:rPr>
  </w:style>
  <w:style w:type="paragraph" w:styleId="1046" w:customStyle="1">
    <w:name w:val="_Style 7"/>
    <w:basedOn w:val="947"/>
    <w:next w:val="966"/>
    <w:uiPriority w:val="0"/>
    <w:qFormat/>
    <w:pPr>
      <w:ind w:firstLine="420"/>
    </w:pPr>
    <w:rPr>
      <w:rFonts w:ascii="Calibri" w:hAnsi="Calibri"/>
    </w:rPr>
  </w:style>
  <w:style w:type="paragraph" w:styleId="1047" w:customStyle="1">
    <w:name w:val="目录 51"/>
    <w:next w:val="932"/>
    <w:uiPriority w:val="0"/>
    <w:qFormat/>
    <w:pPr>
      <w:ind w:left="1275"/>
      <w:jc w:val="both"/>
    </w:pPr>
    <w:rPr>
      <w:rFonts w:ascii="Times New Roman" w:hAnsi="Times New Roman" w:eastAsia="宋体" w:cs="Times New Roman"/>
      <w:sz w:val="21"/>
      <w:lang w:val="en-US" w:eastAsia="zh-CN" w:bidi="ar-SA"/>
    </w:rPr>
  </w:style>
  <w:style w:type="paragraph" w:styleId="1048" w:customStyle="1">
    <w:name w:val="列表段落11"/>
    <w:basedOn w:val="932"/>
    <w:uiPriority w:val="34"/>
    <w:qFormat/>
    <w:pPr>
      <w:ind w:firstLine="420"/>
    </w:pPr>
  </w:style>
  <w:style w:type="paragraph" w:styleId="1049" w:customStyle="1">
    <w:name w:val="纯文本4"/>
    <w:basedOn w:val="932"/>
    <w:uiPriority w:val="0"/>
    <w:qFormat/>
    <w:pPr>
      <w:jc w:val="both"/>
      <w:widowControl w:val="off"/>
    </w:pPr>
    <w:rPr>
      <w:rFonts w:ascii="宋体" w:hAnsi="Courier New" w:eastAsia="楷体_GB2312"/>
      <w:sz w:val="26"/>
      <w:szCs w:val="20"/>
    </w:rPr>
  </w:style>
  <w:style w:type="table" w:styleId="1050" w:customStyle="1">
    <w:name w:val="Table Normal"/>
    <w:uiPriority w:val="0"/>
    <w:semiHidden/>
    <w:unhideWhenUsed/>
    <w:qFormat/>
    <w:tblPr>
      <w:tblCellMar>
        <w:left w:w="0" w:type="dxa"/>
        <w:top w:w="0" w:type="dxa"/>
        <w:right w:w="0" w:type="dxa"/>
        <w:bottom w:w="0" w:type="dxa"/>
      </w:tblCellMar>
    </w:tblPr>
  </w:style>
  <w:style w:type="paragraph" w:styleId="1051" w:customStyle="1">
    <w:name w:val="List Paragraph"/>
    <w:uiPriority w:val="34"/>
    <w:qFormat/>
    <w:pPr>
      <w:contextualSpacing/>
      <w:ind w:left="720"/>
      <w:jc w:val="both"/>
      <w:widowControl w:val="off"/>
    </w:pPr>
    <w:rPr>
      <w:rFonts w:ascii="Calibri" w:hAnsi="Calibri" w:eastAsia="宋体" w:cs="Times New Roman"/>
      <w:sz w:val="21"/>
      <w:szCs w:val="22"/>
      <w:lang w:val="en-US" w:eastAsia="zh-CN" w:bidi="ar-SA"/>
    </w:rPr>
  </w:style>
  <w:style w:type="paragraph" w:styleId="1052" w:customStyle="1">
    <w:name w:val="无间隔2"/>
    <w:uiPriority w:val="99"/>
    <w:qFormat/>
    <w:pPr>
      <w:jc w:val="both"/>
      <w:widowControl w:val="off"/>
    </w:pPr>
    <w:rPr>
      <w:rFonts w:ascii="Calibri" w:hAnsi="Calibri" w:eastAsia="宋体" w:cs="Times New Roman"/>
      <w:sz w:val="21"/>
      <w:szCs w:val="24"/>
      <w:lang w:val="en-US" w:eastAsia="zh-CN" w:bidi="ar-SA"/>
    </w:rPr>
  </w:style>
  <w:style w:type="paragraph" w:styleId="1053" w:customStyle="1">
    <w:name w:val="Plain Text"/>
    <w:uiPriority w:val="0"/>
    <w:qFormat/>
    <w:pPr>
      <w:jc w:val="both"/>
      <w:widowControl w:val="off"/>
    </w:pPr>
    <w:rPr>
      <w:rFonts w:ascii="宋体" w:hAnsi="Courier New" w:eastAsia="楷体_GB2312" w:cs="Times New Roman"/>
      <w:sz w:val="26"/>
      <w:szCs w:val="20"/>
      <w:lang w:val="en-US" w:eastAsia="zh-CN" w:bidi="ar-SA"/>
    </w:rPr>
  </w:style>
  <w:style w:type="character" w:styleId="1054" w:customStyle="1">
    <w:name w:val="标题 1 Char"/>
    <w:link w:val="933"/>
    <w:uiPriority w:val="0"/>
    <w:qFormat/>
    <w:rPr>
      <w:rFonts w:eastAsia="楷体_GB2312"/>
      <w:b/>
      <w:sz w:val="44"/>
      <w:szCs w:val="20"/>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6</cp:revision>
  <dcterms:created xsi:type="dcterms:W3CDTF">2025-05-07T01:58:00Z</dcterms:created>
  <dcterms:modified xsi:type="dcterms:W3CDTF">2026-07-03T02:25:23Z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45F516BE01424A8A888792DAF410BEE5_13</vt:lpwstr>
  </property>
  <property fmtid="{D5CDD505-2E9C-101B-9397-08002B2CF9AE}" pid="4" name="KSOTemplateDocerSaveRecord">
    <vt:lpwstr>eyJoZGlkIjoiNWI1MzFhYjQwMzQ3OWQwYzYxMTRhZmIwOThhMjJmYjUiLCJ1c2VySWQiOiI1NTg4NTI5ODUifQ==</vt:lpwstr>
  </property>
</Properties>
</file>