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DAE5C">
      <w:pPr>
        <w:rPr>
          <w:rFonts w:hint="eastAsia" w:ascii="仿宋" w:hAnsi="仿宋" w:eastAsia="仿宋" w:cs="仿宋"/>
          <w:color w:val="auto"/>
          <w:sz w:val="24"/>
          <w:highlight w:val="none"/>
          <w:lang w:eastAsia="zh-CN"/>
        </w:rPr>
      </w:pPr>
      <w:r>
        <w:rPr>
          <w:rFonts w:ascii="仿宋" w:hAnsi="仿宋" w:eastAsia="仿宋" w:cs="仿宋"/>
          <w:color w:val="auto"/>
          <w:sz w:val="24"/>
          <w:highlight w:val="none"/>
        </w:rPr>
        <w:fldChar w:fldCharType="begin"/>
      </w:r>
      <w:r>
        <w:rPr>
          <w:rFonts w:hint="eastAsia" w:ascii="仿宋" w:hAnsi="仿宋" w:eastAsia="仿宋" w:cs="仿宋"/>
          <w:color w:val="auto"/>
          <w:sz w:val="24"/>
          <w:highlight w:val="none"/>
          <w:lang w:eastAsia="zh-CN"/>
        </w:rPr>
        <w:instrText xml:space="preserve">ADDIN CNKISM.UserStyle</w:instrText>
      </w:r>
      <w:r>
        <w:rPr>
          <w:rFonts w:ascii="仿宋" w:hAnsi="仿宋" w:eastAsia="仿宋" w:cs="仿宋"/>
          <w:color w:val="auto"/>
          <w:sz w:val="24"/>
          <w:highlight w:val="none"/>
        </w:rPr>
        <w:fldChar w:fldCharType="separate"/>
      </w:r>
      <w:r>
        <w:rPr>
          <w:rFonts w:ascii="仿宋" w:hAnsi="仿宋" w:eastAsia="仿宋" w:cs="仿宋"/>
          <w:color w:val="auto"/>
          <w:sz w:val="24"/>
          <w:highlight w:val="none"/>
        </w:rPr>
        <w:fldChar w:fldCharType="end"/>
      </w:r>
    </w:p>
    <w:p w14:paraId="7CE27CE7">
      <w:pPr>
        <w:rPr>
          <w:rFonts w:ascii="仿宋" w:hAnsi="仿宋" w:eastAsia="仿宋" w:cs="仿宋"/>
          <w:color w:val="auto"/>
          <w:sz w:val="24"/>
          <w:highlight w:val="none"/>
        </w:rPr>
      </w:pPr>
    </w:p>
    <w:p w14:paraId="5A0247EF">
      <w:pPr>
        <w:rPr>
          <w:rFonts w:ascii="仿宋" w:hAnsi="仿宋" w:eastAsia="仿宋" w:cs="仿宋"/>
          <w:color w:val="auto"/>
          <w:sz w:val="24"/>
          <w:highlight w:val="none"/>
        </w:rPr>
      </w:pPr>
    </w:p>
    <w:p w14:paraId="5E941F53">
      <w:pPr>
        <w:rPr>
          <w:rFonts w:ascii="仿宋" w:hAnsi="仿宋" w:eastAsia="仿宋" w:cs="仿宋"/>
          <w:color w:val="auto"/>
          <w:sz w:val="24"/>
          <w:highlight w:val="none"/>
        </w:rPr>
      </w:pPr>
    </w:p>
    <w:p w14:paraId="4B396C0C">
      <w:pPr>
        <w:jc w:val="center"/>
        <w:rPr>
          <w:rFonts w:ascii="仿宋" w:hAnsi="仿宋" w:eastAsia="仿宋"/>
          <w:color w:val="auto"/>
          <w:spacing w:val="76"/>
          <w:sz w:val="156"/>
          <w:highlight w:val="none"/>
        </w:rPr>
      </w:pPr>
      <w:r>
        <w:rPr>
          <w:rFonts w:hint="eastAsia" w:ascii="仿宋" w:hAnsi="仿宋" w:eastAsia="仿宋"/>
          <w:color w:val="auto"/>
          <w:spacing w:val="76"/>
          <w:sz w:val="156"/>
          <w:highlight w:val="none"/>
        </w:rPr>
        <w:t>招标文件</w:t>
      </w:r>
    </w:p>
    <w:p w14:paraId="1A6BA5FB">
      <w:pPr>
        <w:rPr>
          <w:rFonts w:ascii="仿宋" w:hAnsi="仿宋" w:eastAsia="仿宋" w:cs="仿宋"/>
          <w:color w:val="auto"/>
          <w:sz w:val="24"/>
          <w:highlight w:val="none"/>
        </w:rPr>
      </w:pPr>
    </w:p>
    <w:p w14:paraId="0F0BEA6B">
      <w:pPr>
        <w:keepNext w:val="0"/>
        <w:keepLines w:val="0"/>
        <w:pageBreakBefore w:val="0"/>
        <w:widowControl w:val="0"/>
        <w:kinsoku/>
        <w:wordWrap/>
        <w:overflowPunct/>
        <w:topLinePunct w:val="0"/>
        <w:autoSpaceDE/>
        <w:autoSpaceDN/>
        <w:bidi w:val="0"/>
        <w:adjustRightInd/>
        <w:snapToGrid/>
        <w:spacing w:line="360" w:lineRule="auto"/>
        <w:ind w:firstLine="947"/>
        <w:textAlignment w:val="auto"/>
        <w:rPr>
          <w:rFonts w:hint="eastAsia" w:ascii="仿宋" w:hAnsi="仿宋" w:eastAsia="仿宋"/>
          <w:color w:val="auto"/>
          <w:sz w:val="32"/>
          <w:highlight w:val="none"/>
        </w:rPr>
      </w:pPr>
    </w:p>
    <w:p w14:paraId="4F7831DF">
      <w:pPr>
        <w:keepNext w:val="0"/>
        <w:keepLines w:val="0"/>
        <w:pageBreakBefore w:val="0"/>
        <w:widowControl w:val="0"/>
        <w:kinsoku/>
        <w:wordWrap/>
        <w:overflowPunct/>
        <w:topLinePunct w:val="0"/>
        <w:autoSpaceDE/>
        <w:autoSpaceDN/>
        <w:bidi w:val="0"/>
        <w:adjustRightInd/>
        <w:snapToGrid/>
        <w:spacing w:line="360" w:lineRule="auto"/>
        <w:ind w:firstLine="947"/>
        <w:textAlignment w:val="auto"/>
        <w:rPr>
          <w:rFonts w:hint="eastAsia" w:ascii="仿宋" w:hAnsi="仿宋" w:eastAsia="仿宋"/>
          <w:color w:val="auto"/>
          <w:sz w:val="32"/>
          <w:highlight w:val="none"/>
          <w:lang w:eastAsia="zh-CN"/>
        </w:rPr>
      </w:pPr>
      <w:r>
        <w:rPr>
          <w:rFonts w:hint="eastAsia" w:ascii="仿宋" w:hAnsi="仿宋" w:eastAsia="仿宋"/>
          <w:color w:val="auto"/>
          <w:sz w:val="32"/>
          <w:highlight w:val="none"/>
        </w:rPr>
        <w:t>项目名称：</w:t>
      </w:r>
      <w:r>
        <w:rPr>
          <w:rFonts w:hint="eastAsia" w:ascii="仿宋" w:hAnsi="仿宋" w:eastAsia="仿宋"/>
          <w:color w:val="auto"/>
          <w:sz w:val="32"/>
          <w:highlight w:val="none"/>
          <w:lang w:eastAsia="zh-CN"/>
        </w:rPr>
        <w:t>纪念场馆及烈士陵园物业安保服务项目</w:t>
      </w:r>
    </w:p>
    <w:p w14:paraId="16A1975D">
      <w:pPr>
        <w:keepNext w:val="0"/>
        <w:keepLines w:val="0"/>
        <w:pageBreakBefore w:val="0"/>
        <w:widowControl w:val="0"/>
        <w:kinsoku/>
        <w:wordWrap/>
        <w:overflowPunct/>
        <w:topLinePunct w:val="0"/>
        <w:autoSpaceDE/>
        <w:autoSpaceDN/>
        <w:bidi w:val="0"/>
        <w:adjustRightInd/>
        <w:snapToGrid/>
        <w:spacing w:line="360" w:lineRule="auto"/>
        <w:ind w:firstLine="947"/>
        <w:textAlignment w:val="auto"/>
        <w:rPr>
          <w:rFonts w:hint="eastAsia" w:ascii="仿宋" w:hAnsi="仿宋" w:eastAsia="仿宋"/>
          <w:color w:val="auto"/>
          <w:sz w:val="32"/>
          <w:highlight w:val="none"/>
          <w:lang w:eastAsia="zh-CN"/>
        </w:rPr>
      </w:pPr>
      <w:r>
        <w:rPr>
          <w:rFonts w:hint="eastAsia" w:ascii="仿宋" w:hAnsi="仿宋" w:eastAsia="仿宋"/>
          <w:color w:val="auto"/>
          <w:sz w:val="32"/>
          <w:highlight w:val="none"/>
        </w:rPr>
        <w:t>项目编号：</w:t>
      </w:r>
      <w:r>
        <w:rPr>
          <w:rFonts w:hint="eastAsia" w:ascii="仿宋" w:hAnsi="仿宋" w:eastAsia="仿宋"/>
          <w:color w:val="auto"/>
          <w:sz w:val="32"/>
          <w:highlight w:val="none"/>
          <w:lang w:eastAsia="zh-CN"/>
        </w:rPr>
        <w:t>JSZC-320382-PZZC-G2026-0005</w:t>
      </w:r>
    </w:p>
    <w:p w14:paraId="0A0309BE">
      <w:pPr>
        <w:keepNext w:val="0"/>
        <w:keepLines w:val="0"/>
        <w:pageBreakBefore w:val="0"/>
        <w:widowControl w:val="0"/>
        <w:kinsoku/>
        <w:wordWrap/>
        <w:overflowPunct/>
        <w:topLinePunct w:val="0"/>
        <w:autoSpaceDE/>
        <w:autoSpaceDN/>
        <w:bidi w:val="0"/>
        <w:adjustRightInd/>
        <w:snapToGrid/>
        <w:spacing w:line="360" w:lineRule="auto"/>
        <w:ind w:firstLine="947"/>
        <w:textAlignment w:val="auto"/>
        <w:rPr>
          <w:rFonts w:hint="eastAsia" w:ascii="仿宋" w:hAnsi="仿宋" w:eastAsia="仿宋"/>
          <w:color w:val="auto"/>
          <w:sz w:val="32"/>
          <w:highlight w:val="none"/>
          <w:lang w:eastAsia="zh-CN"/>
        </w:rPr>
      </w:pPr>
      <w:r>
        <w:rPr>
          <w:rFonts w:hint="eastAsia" w:ascii="仿宋" w:hAnsi="仿宋" w:eastAsia="仿宋"/>
          <w:color w:val="auto"/>
          <w:sz w:val="32"/>
          <w:highlight w:val="none"/>
        </w:rPr>
        <w:t>采 购 人：</w:t>
      </w:r>
      <w:r>
        <w:rPr>
          <w:rFonts w:hint="eastAsia" w:ascii="仿宋" w:hAnsi="仿宋" w:eastAsia="仿宋"/>
          <w:color w:val="auto"/>
          <w:sz w:val="32"/>
          <w:highlight w:val="none"/>
          <w:lang w:eastAsia="zh-CN"/>
        </w:rPr>
        <w:t>邳州市纪念场馆管理处</w:t>
      </w:r>
      <w:bookmarkStart w:id="6" w:name="_GoBack"/>
      <w:bookmarkEnd w:id="6"/>
    </w:p>
    <w:p w14:paraId="06BABD58">
      <w:pPr>
        <w:rPr>
          <w:rFonts w:ascii="仿宋" w:hAnsi="仿宋" w:eastAsia="仿宋" w:cs="仿宋"/>
          <w:color w:val="auto"/>
          <w:sz w:val="24"/>
          <w:highlight w:val="none"/>
        </w:rPr>
      </w:pPr>
    </w:p>
    <w:p w14:paraId="06E26F31">
      <w:pPr>
        <w:pStyle w:val="45"/>
        <w:rPr>
          <w:rFonts w:ascii="仿宋" w:hAnsi="仿宋" w:eastAsia="仿宋" w:cs="仿宋"/>
          <w:color w:val="auto"/>
          <w:sz w:val="24"/>
          <w:szCs w:val="24"/>
          <w:highlight w:val="none"/>
        </w:rPr>
      </w:pPr>
    </w:p>
    <w:p w14:paraId="56AE7589">
      <w:pPr>
        <w:rPr>
          <w:rFonts w:ascii="仿宋" w:hAnsi="仿宋" w:eastAsia="仿宋" w:cs="仿宋"/>
          <w:color w:val="auto"/>
          <w:sz w:val="24"/>
          <w:highlight w:val="none"/>
        </w:rPr>
      </w:pPr>
    </w:p>
    <w:p w14:paraId="231735AE">
      <w:pPr>
        <w:pStyle w:val="45"/>
        <w:rPr>
          <w:rFonts w:ascii="仿宋" w:hAnsi="仿宋" w:eastAsia="仿宋" w:cs="仿宋"/>
          <w:color w:val="auto"/>
          <w:sz w:val="24"/>
          <w:szCs w:val="24"/>
          <w:highlight w:val="none"/>
        </w:rPr>
      </w:pPr>
    </w:p>
    <w:p w14:paraId="78FA7BA8">
      <w:pPr>
        <w:rPr>
          <w:rFonts w:ascii="仿宋" w:hAnsi="仿宋" w:eastAsia="仿宋" w:cs="仿宋"/>
          <w:color w:val="auto"/>
          <w:sz w:val="24"/>
          <w:highlight w:val="none"/>
        </w:rPr>
      </w:pPr>
    </w:p>
    <w:p w14:paraId="37DF7812">
      <w:pPr>
        <w:rPr>
          <w:rFonts w:ascii="仿宋" w:hAnsi="仿宋" w:eastAsia="仿宋" w:cs="仿宋"/>
          <w:color w:val="auto"/>
          <w:sz w:val="24"/>
          <w:highlight w:val="none"/>
        </w:rPr>
      </w:pPr>
    </w:p>
    <w:p w14:paraId="2CAC9F2D">
      <w:pPr>
        <w:pStyle w:val="45"/>
        <w:rPr>
          <w:rFonts w:ascii="仿宋" w:hAnsi="仿宋" w:eastAsia="仿宋" w:cs="仿宋"/>
          <w:color w:val="auto"/>
          <w:sz w:val="24"/>
          <w:szCs w:val="24"/>
          <w:highlight w:val="none"/>
        </w:rPr>
      </w:pPr>
    </w:p>
    <w:p w14:paraId="5168A4AD">
      <w:pPr>
        <w:jc w:val="center"/>
        <w:rPr>
          <w:rFonts w:ascii="仿宋" w:hAnsi="仿宋" w:eastAsia="仿宋"/>
          <w:color w:val="auto"/>
          <w:sz w:val="32"/>
          <w:szCs w:val="32"/>
          <w:highlight w:val="none"/>
        </w:rPr>
      </w:pPr>
    </w:p>
    <w:p w14:paraId="50CB4B07">
      <w:pPr>
        <w:jc w:val="center"/>
        <w:rPr>
          <w:rFonts w:ascii="仿宋" w:hAnsi="仿宋" w:eastAsia="仿宋"/>
          <w:color w:val="auto"/>
          <w:sz w:val="32"/>
          <w:szCs w:val="32"/>
          <w:highlight w:val="none"/>
        </w:rPr>
      </w:pPr>
    </w:p>
    <w:p w14:paraId="147590B5">
      <w:pPr>
        <w:jc w:val="center"/>
        <w:rPr>
          <w:rFonts w:ascii="仿宋" w:hAnsi="仿宋" w:eastAsia="仿宋"/>
          <w:color w:val="auto"/>
          <w:sz w:val="32"/>
          <w:szCs w:val="32"/>
          <w:highlight w:val="none"/>
        </w:rPr>
      </w:pPr>
    </w:p>
    <w:p w14:paraId="7E20A6E0">
      <w:pPr>
        <w:keepNext w:val="0"/>
        <w:keepLines w:val="0"/>
        <w:pageBreakBefore w:val="0"/>
        <w:widowControl w:val="0"/>
        <w:kinsoku/>
        <w:wordWrap/>
        <w:overflowPunct/>
        <w:topLinePunct w:val="0"/>
        <w:autoSpaceDE/>
        <w:autoSpaceDN/>
        <w:bidi w:val="0"/>
        <w:adjustRightInd/>
        <w:snapToGrid/>
        <w:spacing w:line="360" w:lineRule="auto"/>
        <w:ind w:firstLine="960" w:firstLineChars="300"/>
        <w:jc w:val="both"/>
        <w:textAlignment w:val="auto"/>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采购代理机构：</w:t>
      </w:r>
      <w:r>
        <w:rPr>
          <w:rFonts w:hint="eastAsia" w:ascii="仿宋" w:hAnsi="仿宋" w:eastAsia="仿宋"/>
          <w:color w:val="auto"/>
          <w:sz w:val="32"/>
          <w:szCs w:val="32"/>
          <w:highlight w:val="none"/>
          <w:lang w:eastAsia="zh-CN"/>
        </w:rPr>
        <w:t>邳州市公共资源交易中心</w:t>
      </w:r>
    </w:p>
    <w:p w14:paraId="2867556C">
      <w:pPr>
        <w:keepNext w:val="0"/>
        <w:keepLines w:val="0"/>
        <w:pageBreakBefore w:val="0"/>
        <w:widowControl w:val="0"/>
        <w:kinsoku/>
        <w:wordWrap/>
        <w:overflowPunct/>
        <w:topLinePunct w:val="0"/>
        <w:autoSpaceDE/>
        <w:autoSpaceDN/>
        <w:bidi w:val="0"/>
        <w:adjustRightInd/>
        <w:snapToGrid/>
        <w:spacing w:line="360" w:lineRule="auto"/>
        <w:ind w:firstLine="630"/>
        <w:jc w:val="center"/>
        <w:textAlignment w:val="auto"/>
        <w:rPr>
          <w:rFonts w:ascii="仿宋" w:hAnsi="仿宋" w:eastAsia="仿宋" w:cs="仿宋"/>
          <w:color w:val="auto"/>
          <w:sz w:val="24"/>
          <w:highlight w:val="none"/>
        </w:rPr>
      </w:pPr>
      <w:r>
        <w:rPr>
          <w:rFonts w:hint="eastAsia" w:ascii="仿宋" w:hAnsi="仿宋" w:eastAsia="仿宋"/>
          <w:color w:val="auto"/>
          <w:sz w:val="32"/>
          <w:szCs w:val="32"/>
          <w:highlight w:val="none"/>
        </w:rPr>
        <w:t>二〇二</w:t>
      </w:r>
      <w:r>
        <w:rPr>
          <w:rFonts w:hint="eastAsia" w:ascii="仿宋" w:hAnsi="仿宋" w:eastAsia="仿宋"/>
          <w:color w:val="auto"/>
          <w:sz w:val="32"/>
          <w:szCs w:val="32"/>
          <w:highlight w:val="none"/>
          <w:lang w:val="en-US" w:eastAsia="zh-CN"/>
        </w:rPr>
        <w:t>六</w:t>
      </w:r>
      <w:r>
        <w:rPr>
          <w:rFonts w:hint="eastAsia" w:ascii="仿宋" w:hAnsi="仿宋" w:eastAsia="仿宋"/>
          <w:color w:val="auto"/>
          <w:sz w:val="32"/>
          <w:szCs w:val="32"/>
          <w:highlight w:val="none"/>
        </w:rPr>
        <w:t>年</w:t>
      </w:r>
      <w:r>
        <w:rPr>
          <w:rFonts w:hint="eastAsia" w:ascii="仿宋" w:hAnsi="仿宋" w:eastAsia="仿宋"/>
          <w:color w:val="auto"/>
          <w:sz w:val="32"/>
          <w:szCs w:val="32"/>
          <w:highlight w:val="none"/>
          <w:lang w:val="en-US" w:eastAsia="zh-CN"/>
        </w:rPr>
        <w:t>六</w:t>
      </w:r>
      <w:r>
        <w:rPr>
          <w:rFonts w:hint="eastAsia" w:ascii="仿宋" w:hAnsi="仿宋" w:eastAsia="仿宋"/>
          <w:color w:val="auto"/>
          <w:sz w:val="32"/>
          <w:szCs w:val="32"/>
          <w:highlight w:val="none"/>
        </w:rPr>
        <w:t>月</w:t>
      </w:r>
    </w:p>
    <w:p w14:paraId="6DCA4151">
      <w:pPr>
        <w:rPr>
          <w:rFonts w:ascii="仿宋" w:hAnsi="仿宋" w:eastAsia="仿宋" w:cs="仿宋"/>
          <w:color w:val="auto"/>
          <w:sz w:val="24"/>
          <w:highlight w:val="none"/>
        </w:rPr>
      </w:pPr>
    </w:p>
    <w:p w14:paraId="3F603770">
      <w:pPr>
        <w:rPr>
          <w:rFonts w:ascii="仿宋" w:hAnsi="仿宋" w:eastAsia="仿宋" w:cs="仿宋"/>
          <w:color w:val="auto"/>
          <w:sz w:val="24"/>
          <w:highlight w:val="none"/>
        </w:rPr>
      </w:pPr>
    </w:p>
    <w:p w14:paraId="12680FD4">
      <w:pPr>
        <w:pStyle w:val="2"/>
        <w:keepNext/>
        <w:keepLines/>
        <w:pageBreakBefore w:val="0"/>
        <w:widowControl w:val="0"/>
        <w:spacing w:line="240" w:lineRule="atLeast"/>
        <w:jc w:val="center"/>
        <w:rPr>
          <w:rFonts w:hint="eastAsia" w:ascii="仿宋" w:hAnsi="仿宋" w:eastAsia="仿宋" w:cs="仿宋"/>
          <w:color w:val="auto"/>
          <w:highlight w:val="none"/>
        </w:rPr>
        <w:sectPr>
          <w:headerReference r:id="rId3" w:type="default"/>
          <w:footerReference r:id="rId4" w:type="default"/>
          <w:pgSz w:w="11906" w:h="16838"/>
          <w:pgMar w:top="1440" w:right="1800" w:bottom="1440" w:left="1800" w:header="851" w:footer="992" w:gutter="0"/>
          <w:pgNumType w:start="1"/>
          <w:cols w:space="720" w:num="1"/>
          <w:docGrid w:linePitch="360" w:charSpace="0"/>
        </w:sectPr>
      </w:pPr>
    </w:p>
    <w:p w14:paraId="672B1150">
      <w:pPr>
        <w:widowControl w:val="0"/>
        <w:ind w:firstLine="640"/>
        <w:jc w:val="center"/>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总目录</w:t>
      </w:r>
    </w:p>
    <w:p w14:paraId="009BA1C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2"/>
          <w:szCs w:val="32"/>
          <w:highlight w:val="none"/>
        </w:rPr>
      </w:pPr>
    </w:p>
    <w:p w14:paraId="26F7211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2"/>
          <w:szCs w:val="32"/>
          <w:highlight w:val="none"/>
        </w:rPr>
      </w:pPr>
    </w:p>
    <w:p w14:paraId="2EE4953B">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第一章 投标邀请</w:t>
      </w:r>
    </w:p>
    <w:p w14:paraId="72040799">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第二章 投标人须知</w:t>
      </w:r>
    </w:p>
    <w:p w14:paraId="54854051">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第三章 投标资料表</w:t>
      </w:r>
    </w:p>
    <w:p w14:paraId="7ADC5452">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第四章 评标标准</w:t>
      </w:r>
    </w:p>
    <w:p w14:paraId="383E153B">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第五章 拟签订的合同文本</w:t>
      </w:r>
    </w:p>
    <w:p w14:paraId="243AD967">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第六章 采购需求</w:t>
      </w:r>
    </w:p>
    <w:p w14:paraId="558272F3">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第七章 投标文件相关格式</w:t>
      </w:r>
    </w:p>
    <w:p w14:paraId="223B5CA3">
      <w:pPr>
        <w:rPr>
          <w:rFonts w:ascii="仿宋" w:hAnsi="仿宋" w:eastAsia="仿宋" w:cs="仿宋"/>
          <w:color w:val="auto"/>
          <w:sz w:val="32"/>
          <w:szCs w:val="32"/>
          <w:highlight w:val="none"/>
        </w:rPr>
      </w:pPr>
    </w:p>
    <w:p w14:paraId="34B72176">
      <w:pPr>
        <w:rPr>
          <w:rFonts w:ascii="仿宋" w:hAnsi="仿宋" w:eastAsia="仿宋" w:cs="仿宋"/>
          <w:color w:val="auto"/>
          <w:sz w:val="32"/>
          <w:szCs w:val="32"/>
          <w:highlight w:val="none"/>
        </w:rPr>
      </w:pPr>
    </w:p>
    <w:p w14:paraId="2CE8796A">
      <w:pPr>
        <w:widowControl/>
        <w:jc w:val="left"/>
        <w:rPr>
          <w:rFonts w:ascii="仿宋" w:hAnsi="仿宋" w:eastAsia="仿宋" w:cs="仿宋"/>
          <w:color w:val="auto"/>
          <w:sz w:val="32"/>
          <w:szCs w:val="32"/>
          <w:highlight w:val="none"/>
        </w:rPr>
        <w:sectPr>
          <w:headerReference r:id="rId5" w:type="default"/>
          <w:footerReference r:id="rId6" w:type="default"/>
          <w:pgSz w:w="11906" w:h="16838"/>
          <w:pgMar w:top="1440" w:right="1800" w:bottom="1440" w:left="1800" w:header="851" w:footer="992" w:gutter="0"/>
          <w:pgNumType w:start="1"/>
          <w:cols w:space="720" w:num="1"/>
          <w:docGrid w:linePitch="360" w:charSpace="0"/>
        </w:sectPr>
      </w:pPr>
    </w:p>
    <w:p w14:paraId="4C3C46F8">
      <w:pPr>
        <w:pStyle w:val="2"/>
        <w:keepNext/>
        <w:keepLines/>
        <w:pageBreakBefore w:val="0"/>
        <w:widowControl w:val="0"/>
        <w:spacing w:line="240" w:lineRule="atLeast"/>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第一章  投标邀请</w:t>
      </w:r>
    </w:p>
    <w:p w14:paraId="0ED8D51C">
      <w:pPr>
        <w:ind w:firstLine="480"/>
        <w:rPr>
          <w:rFonts w:ascii="仿宋" w:hAnsi="仿宋" w:eastAsia="仿宋" w:cs="仿宋"/>
          <w:color w:val="auto"/>
          <w:sz w:val="24"/>
          <w:highlight w:val="none"/>
        </w:rPr>
      </w:pPr>
      <w:r>
        <w:rPr>
          <w:rFonts w:hint="eastAsia" w:ascii="仿宋" w:hAnsi="仿宋" w:eastAsia="仿宋" w:cs="仿宋"/>
          <w:color w:val="auto"/>
          <w:sz w:val="24"/>
          <w:highlight w:val="none"/>
          <w:lang w:eastAsia="zh-CN"/>
        </w:rPr>
        <w:t>邳州市公共资源交易中心</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eastAsia="zh-CN"/>
        </w:rPr>
        <w:t>纪念场馆及烈士陵园物业安保服务项目</w:t>
      </w:r>
      <w:r>
        <w:rPr>
          <w:rFonts w:hint="eastAsia" w:ascii="仿宋" w:hAnsi="仿宋" w:eastAsia="仿宋" w:cs="仿宋"/>
          <w:color w:val="auto"/>
          <w:sz w:val="24"/>
          <w:highlight w:val="none"/>
        </w:rPr>
        <w:t>进行公开招标采购，现欢迎符合相关条件的供应商投标。</w:t>
      </w:r>
    </w:p>
    <w:p w14:paraId="6CFEC8F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一、项目名称和项目编号</w:t>
      </w:r>
    </w:p>
    <w:p w14:paraId="205AF779">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纪念场馆及烈士陵园物业安保服务项目</w:t>
      </w:r>
    </w:p>
    <w:p w14:paraId="76EEBC64">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JSZC-320382-PZZC-G2026-0005</w:t>
      </w:r>
    </w:p>
    <w:p w14:paraId="108AF32C">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二、投标人的资格要求：</w:t>
      </w:r>
    </w:p>
    <w:p w14:paraId="4062FD8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见本项目公开招标公告。</w:t>
      </w:r>
    </w:p>
    <w:p w14:paraId="41333138">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三、获取招标文件的时间期限、地点、方式及招标文件售价</w:t>
      </w:r>
    </w:p>
    <w:p w14:paraId="28DD3818">
      <w:pPr>
        <w:ind w:left="420"/>
        <w:rPr>
          <w:rFonts w:ascii="仿宋" w:hAnsi="仿宋" w:eastAsia="仿宋" w:cs="仿宋"/>
          <w:bCs/>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bCs/>
          <w:color w:val="auto"/>
          <w:sz w:val="24"/>
          <w:highlight w:val="none"/>
        </w:rPr>
        <w:t>时间（时间期限）、地点、方式：</w:t>
      </w:r>
    </w:p>
    <w:p w14:paraId="6315E8D2">
      <w:pPr>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时间（时间期限）</w:t>
      </w:r>
      <w:r>
        <w:rPr>
          <w:rFonts w:hint="eastAsia" w:ascii="仿宋" w:hAnsi="仿宋" w:eastAsia="仿宋" w:cs="仿宋"/>
          <w:color w:val="auto"/>
          <w:sz w:val="24"/>
          <w:highlight w:val="none"/>
        </w:rPr>
        <w:t>：自招标公告发布之日起5个工作日；</w:t>
      </w:r>
    </w:p>
    <w:p w14:paraId="47AA04E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地点：“苏采云”系统（网址： http://jszfcg.jsczt.cn/）； </w:t>
      </w:r>
    </w:p>
    <w:p w14:paraId="60F45078">
      <w:pPr>
        <w:ind w:firstLine="480" w:firstLineChars="200"/>
        <w:rPr>
          <w:rFonts w:hint="eastAsia" w:ascii="仿宋" w:hAnsi="仿宋" w:eastAsia="仿宋" w:cs="仿宋"/>
          <w:color w:val="auto"/>
          <w:sz w:val="24"/>
          <w:highlight w:val="none"/>
        </w:rPr>
      </w:pPr>
      <w:r>
        <w:rPr>
          <w:rFonts w:hint="eastAsia" w:ascii="仿宋" w:hAnsi="仿宋" w:eastAsia="仿宋"/>
          <w:color w:val="auto"/>
          <w:sz w:val="24"/>
          <w:highlight w:val="none"/>
        </w:rPr>
        <w:t>方式：自行</w:t>
      </w:r>
      <w:r>
        <w:rPr>
          <w:rFonts w:ascii="仿宋" w:hAnsi="仿宋" w:eastAsia="仿宋"/>
          <w:color w:val="auto"/>
          <w:sz w:val="24"/>
          <w:highlight w:val="none"/>
        </w:rPr>
        <w:t>下载</w:t>
      </w:r>
      <w:r>
        <w:rPr>
          <w:rFonts w:hint="eastAsia" w:ascii="仿宋" w:hAnsi="仿宋" w:eastAsia="仿宋"/>
          <w:color w:val="auto"/>
          <w:sz w:val="24"/>
          <w:highlight w:val="none"/>
        </w:rPr>
        <w:t>。</w:t>
      </w:r>
      <w:r>
        <w:rPr>
          <w:rFonts w:hint="eastAsia" w:ascii="仿宋" w:hAnsi="仿宋" w:eastAsia="仿宋" w:cs="仿宋"/>
          <w:color w:val="auto"/>
          <w:sz w:val="24"/>
          <w:highlight w:val="none"/>
        </w:rPr>
        <w:t xml:space="preserve">   </w:t>
      </w:r>
    </w:p>
    <w:p w14:paraId="5C400A79">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2．招标文件售价：免费。</w:t>
      </w:r>
    </w:p>
    <w:p w14:paraId="5DBF235E">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四、投标有关信息</w:t>
      </w:r>
    </w:p>
    <w:p w14:paraId="4A6A196D">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1.投标截止时间：</w:t>
      </w:r>
      <w:r>
        <w:rPr>
          <w:rFonts w:hint="eastAsia" w:ascii="仿宋" w:hAnsi="仿宋" w:eastAsia="仿宋" w:cs="仿宋"/>
          <w:color w:val="auto"/>
          <w:sz w:val="24"/>
          <w:highlight w:val="none"/>
          <w:lang w:eastAsia="zh-CN"/>
        </w:rPr>
        <w:t>2026年7月31日</w:t>
      </w:r>
      <w:r>
        <w:rPr>
          <w:rFonts w:hint="eastAsia" w:ascii="仿宋" w:hAnsi="仿宋" w:eastAsia="仿宋" w:cs="仿宋"/>
          <w:color w:val="auto"/>
          <w:sz w:val="24"/>
          <w:highlight w:val="none"/>
        </w:rPr>
        <w:t>9：30（电子招标投标交易平台（即“苏采云”系统）的国家授时中心标准时间，下同）</w:t>
      </w:r>
    </w:p>
    <w:p w14:paraId="6247151F">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2.开标时间：</w:t>
      </w:r>
      <w:r>
        <w:rPr>
          <w:rFonts w:hint="eastAsia" w:ascii="仿宋" w:hAnsi="仿宋" w:eastAsia="仿宋" w:cs="仿宋"/>
          <w:color w:val="auto"/>
          <w:sz w:val="24"/>
          <w:highlight w:val="none"/>
          <w:lang w:eastAsia="zh-CN"/>
        </w:rPr>
        <w:t>2026年7月31日</w:t>
      </w:r>
      <w:r>
        <w:rPr>
          <w:rFonts w:hint="eastAsia" w:ascii="仿宋" w:hAnsi="仿宋" w:eastAsia="仿宋" w:cs="仿宋"/>
          <w:color w:val="auto"/>
          <w:sz w:val="24"/>
          <w:highlight w:val="none"/>
        </w:rPr>
        <w:t>9：30</w:t>
      </w:r>
    </w:p>
    <w:p w14:paraId="6D8C68D7">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3.开标地点：“苏采云”系统（网址： http://jszfcg.jsczt.cn/）“开标大厅”或徐州政府采购网（网址：https://czj.xz.gov.cn/zfcg/index.html）首页，点击“苏采云”登录后，进入系统“开标大厅”。</w:t>
      </w:r>
    </w:p>
    <w:p w14:paraId="5452BBA6">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五、采购人</w:t>
      </w:r>
    </w:p>
    <w:p w14:paraId="53279070">
      <w:pPr>
        <w:ind w:firstLine="480" w:firstLineChars="200"/>
        <w:rPr>
          <w:rFonts w:hint="eastAsia" w:ascii="仿宋" w:hAnsi="仿宋" w:eastAsia="仿宋" w:cs="宋体"/>
          <w:color w:val="auto"/>
          <w:kern w:val="0"/>
          <w:sz w:val="24"/>
          <w:szCs w:val="24"/>
          <w:highlight w:val="none"/>
          <w:lang w:eastAsia="zh-CN"/>
        </w:rPr>
      </w:pPr>
      <w:r>
        <w:rPr>
          <w:rFonts w:hint="eastAsia" w:ascii="仿宋" w:hAnsi="仿宋" w:eastAsia="仿宋"/>
          <w:color w:val="auto"/>
          <w:sz w:val="24"/>
          <w:highlight w:val="none"/>
        </w:rPr>
        <w:t>1.名 称：</w:t>
      </w:r>
      <w:r>
        <w:rPr>
          <w:rFonts w:hint="eastAsia" w:ascii="仿宋" w:hAnsi="仿宋" w:eastAsia="仿宋" w:cs="宋体"/>
          <w:color w:val="auto"/>
          <w:kern w:val="0"/>
          <w:sz w:val="24"/>
          <w:szCs w:val="24"/>
          <w:highlight w:val="none"/>
          <w:lang w:eastAsia="zh-CN"/>
        </w:rPr>
        <w:t>邳州市纪念场馆管理处</w:t>
      </w:r>
    </w:p>
    <w:p w14:paraId="42CAB4C2">
      <w:pPr>
        <w:ind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2.地 址：</w:t>
      </w:r>
      <w:r>
        <w:rPr>
          <w:rFonts w:hint="eastAsia" w:ascii="仿宋" w:hAnsi="仿宋" w:eastAsia="仿宋"/>
          <w:color w:val="auto"/>
          <w:sz w:val="24"/>
          <w:highlight w:val="none"/>
          <w:lang w:val="en-US" w:eastAsia="zh-CN"/>
        </w:rPr>
        <w:t>邳州市福州路79号</w:t>
      </w:r>
    </w:p>
    <w:p w14:paraId="3CD3EC6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3.联系方法：19051635968</w:t>
      </w:r>
    </w:p>
    <w:p w14:paraId="206D5C6E">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仿宋" w:hAnsi="仿宋" w:eastAsia="仿宋"/>
          <w:color w:val="auto"/>
          <w:sz w:val="24"/>
          <w:highlight w:val="none"/>
        </w:rPr>
      </w:pPr>
      <w:r>
        <w:rPr>
          <w:rFonts w:hint="eastAsia" w:ascii="仿宋" w:hAnsi="仿宋" w:eastAsia="仿宋"/>
          <w:color w:val="auto"/>
          <w:sz w:val="24"/>
          <w:highlight w:val="none"/>
        </w:rPr>
        <w:t>4.采购项目联系人：</w:t>
      </w:r>
      <w:r>
        <w:rPr>
          <w:rFonts w:hint="eastAsia" w:ascii="仿宋" w:hAnsi="仿宋" w:eastAsia="仿宋"/>
          <w:color w:val="auto"/>
          <w:sz w:val="24"/>
          <w:highlight w:val="none"/>
          <w:lang w:val="en-US" w:eastAsia="zh-CN"/>
        </w:rPr>
        <w:t>黄从志</w:t>
      </w:r>
      <w:r>
        <w:rPr>
          <w:rFonts w:hint="eastAsia" w:ascii="仿宋" w:hAnsi="仿宋" w:eastAsia="仿宋"/>
          <w:color w:val="auto"/>
          <w:sz w:val="24"/>
          <w:highlight w:val="none"/>
        </w:rPr>
        <w:t xml:space="preserve">         </w:t>
      </w:r>
    </w:p>
    <w:p w14:paraId="71CF8769">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六、采购代理机构</w:t>
      </w:r>
    </w:p>
    <w:p w14:paraId="5BBFC0E1">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1．名称：邳州市公共资源交易中心</w:t>
      </w:r>
    </w:p>
    <w:p w14:paraId="56C3C415">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2．地址：邳州市花园路66号   邮编：221300 </w:t>
      </w:r>
    </w:p>
    <w:p w14:paraId="2C2BFBC2">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3．联系方法：0516-86622836</w:t>
      </w:r>
    </w:p>
    <w:p w14:paraId="2A1D6054">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4．采购项目联系人： 刘婷       </w:t>
      </w:r>
    </w:p>
    <w:p w14:paraId="236A60DF">
      <w:pPr>
        <w:ind w:firstLine="480"/>
        <w:rPr>
          <w:rFonts w:ascii="仿宋" w:hAnsi="仿宋" w:eastAsia="仿宋" w:cs="仿宋"/>
          <w:color w:val="auto"/>
          <w:sz w:val="24"/>
          <w:highlight w:val="none"/>
        </w:rPr>
      </w:pPr>
    </w:p>
    <w:p w14:paraId="7EAC5BBA">
      <w:pPr>
        <w:ind w:firstLine="480"/>
        <w:rPr>
          <w:rFonts w:ascii="仿宋" w:hAnsi="仿宋" w:eastAsia="仿宋" w:cs="仿宋"/>
          <w:color w:val="auto"/>
          <w:sz w:val="24"/>
          <w:highlight w:val="none"/>
        </w:rPr>
      </w:pPr>
    </w:p>
    <w:p w14:paraId="264FF881">
      <w:pPr>
        <w:pStyle w:val="2"/>
        <w:keepNext/>
        <w:keepLines/>
        <w:pageBreakBefore w:val="0"/>
        <w:widowControl w:val="0"/>
        <w:spacing w:line="240" w:lineRule="atLeast"/>
        <w:jc w:val="center"/>
        <w:rPr>
          <w:rFonts w:ascii="仿宋" w:hAnsi="仿宋" w:eastAsia="仿宋" w:cs="仿宋"/>
          <w:color w:val="auto"/>
          <w:sz w:val="32"/>
          <w:szCs w:val="32"/>
          <w:highlight w:val="none"/>
        </w:rPr>
      </w:pPr>
      <w:r>
        <w:rPr>
          <w:rFonts w:hint="eastAsia" w:ascii="仿宋" w:hAnsi="仿宋" w:eastAsia="仿宋" w:cs="仿宋"/>
          <w:color w:val="auto"/>
          <w:sz w:val="24"/>
          <w:highlight w:val="none"/>
          <w:u w:val="single"/>
        </w:rPr>
        <w:br w:type="page" w:clear="all"/>
      </w:r>
      <w:r>
        <w:rPr>
          <w:rFonts w:hint="eastAsia" w:ascii="仿宋" w:hAnsi="仿宋" w:eastAsia="仿宋" w:cs="仿宋"/>
          <w:b w:val="0"/>
          <w:bCs w:val="0"/>
          <w:color w:val="auto"/>
          <w:sz w:val="32"/>
          <w:szCs w:val="32"/>
          <w:highlight w:val="none"/>
        </w:rPr>
        <w:t>第二章  投标人须知</w:t>
      </w:r>
    </w:p>
    <w:p w14:paraId="748038F9">
      <w:pPr>
        <w:jc w:val="center"/>
        <w:rPr>
          <w:rFonts w:ascii="仿宋" w:hAnsi="仿宋" w:eastAsia="仿宋" w:cs="仿宋"/>
          <w:color w:val="auto"/>
          <w:sz w:val="32"/>
          <w:szCs w:val="32"/>
          <w:highlight w:val="none"/>
        </w:rPr>
      </w:pPr>
    </w:p>
    <w:p w14:paraId="45AB7AE6">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目录</w:t>
      </w:r>
    </w:p>
    <w:p w14:paraId="69AB1D21">
      <w:pPr>
        <w:tabs>
          <w:tab w:val="left" w:pos="5228"/>
        </w:tabs>
        <w:spacing w:line="360" w:lineRule="auto"/>
        <w:ind w:left="420"/>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ab/>
      </w:r>
    </w:p>
    <w:p w14:paraId="3CAA0970">
      <w:pPr>
        <w:spacing w:line="360" w:lineRule="auto"/>
        <w:ind w:left="420"/>
        <w:jc w:val="both"/>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一、总则</w:t>
      </w:r>
    </w:p>
    <w:p w14:paraId="6A5B3A11">
      <w:pPr>
        <w:spacing w:line="360" w:lineRule="auto"/>
        <w:ind w:left="420"/>
        <w:jc w:val="both"/>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二、招标</w:t>
      </w:r>
    </w:p>
    <w:p w14:paraId="73B7D996">
      <w:pPr>
        <w:spacing w:line="360" w:lineRule="auto"/>
        <w:ind w:left="42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三、投标</w:t>
      </w:r>
    </w:p>
    <w:p w14:paraId="321ABCCE">
      <w:pPr>
        <w:spacing w:line="360" w:lineRule="auto"/>
        <w:ind w:left="42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四、开标、评标</w:t>
      </w:r>
    </w:p>
    <w:p w14:paraId="24F30BB2">
      <w:pPr>
        <w:spacing w:line="360" w:lineRule="auto"/>
        <w:ind w:left="42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五、中标和合同</w:t>
      </w:r>
    </w:p>
    <w:p w14:paraId="7D21355D">
      <w:pPr>
        <w:spacing w:line="360" w:lineRule="auto"/>
        <w:ind w:left="42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六、询问和质疑</w:t>
      </w:r>
    </w:p>
    <w:p w14:paraId="79D9B0E5">
      <w:pPr>
        <w:spacing w:line="360" w:lineRule="auto"/>
        <w:ind w:left="42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七、电子招标投标交易平台</w:t>
      </w:r>
    </w:p>
    <w:p w14:paraId="4B209137">
      <w:pPr>
        <w:spacing w:line="360" w:lineRule="auto"/>
        <w:ind w:left="420"/>
        <w:jc w:val="both"/>
        <w:rPr>
          <w:rFonts w:hint="eastAsia" w:ascii="仿宋" w:hAnsi="仿宋" w:eastAsia="仿宋" w:cs="仿宋"/>
          <w:color w:val="auto"/>
          <w:sz w:val="32"/>
          <w:szCs w:val="32"/>
          <w:highlight w:val="none"/>
        </w:rPr>
      </w:pPr>
    </w:p>
    <w:p w14:paraId="2AB8DCB6">
      <w:pPr>
        <w:jc w:val="center"/>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一、总则</w:t>
      </w:r>
    </w:p>
    <w:p w14:paraId="5D4B8F7D">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 采购人</w:t>
      </w:r>
    </w:p>
    <w:p w14:paraId="75447B9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1.1采购人是指依法进行政府采购的国家机关、事业单位、团体组织。本项目采购人：见招标文件第三章《投标资料表》。</w:t>
      </w:r>
    </w:p>
    <w:p w14:paraId="531E1F39">
      <w:pPr>
        <w:ind w:firstLine="480"/>
        <w:rPr>
          <w:rFonts w:ascii="仿宋" w:hAnsi="仿宋" w:eastAsia="仿宋" w:cs="仿宋"/>
          <w:color w:val="auto"/>
          <w:sz w:val="24"/>
          <w:highlight w:val="none"/>
        </w:rPr>
      </w:pPr>
    </w:p>
    <w:p w14:paraId="457EABC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 政府采购方式</w:t>
      </w:r>
    </w:p>
    <w:p w14:paraId="489916D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2.1货物服务招标分为公开招标和邀请招标。本次采购采用的政府采购方式：见招标文件第三章《投标资料表》。</w:t>
      </w:r>
    </w:p>
    <w:p w14:paraId="21B048D9">
      <w:pPr>
        <w:ind w:firstLine="480"/>
        <w:rPr>
          <w:rFonts w:ascii="仿宋" w:hAnsi="仿宋" w:eastAsia="仿宋" w:cs="仿宋"/>
          <w:color w:val="auto"/>
          <w:sz w:val="24"/>
          <w:highlight w:val="none"/>
        </w:rPr>
      </w:pPr>
    </w:p>
    <w:p w14:paraId="29DD85F4">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 采购人应当在货物服务招标投标活动中落实节约能源、保护环境、扶持不发达地区和少数民族地区、促进中小企业发展等政府采购政策。</w:t>
      </w:r>
    </w:p>
    <w:p w14:paraId="5460797A">
      <w:pPr>
        <w:ind w:firstLine="480"/>
        <w:rPr>
          <w:rFonts w:ascii="仿宋" w:hAnsi="仿宋" w:eastAsia="仿宋" w:cs="仿宋"/>
          <w:color w:val="auto"/>
          <w:sz w:val="24"/>
          <w:highlight w:val="none"/>
        </w:rPr>
      </w:pPr>
    </w:p>
    <w:p w14:paraId="405BDCD0">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4. 采购人应当按照财政部制定的《政府采购品目分类目录》确定采购项目属性。按照《政府采购品目分类目录》无法确定的，按照有利于采购项目实施的原则确定。采购人确定的采购项目属性：见招标文件第三章《投标资料表》。</w:t>
      </w:r>
    </w:p>
    <w:p w14:paraId="0BC96D56">
      <w:pPr>
        <w:ind w:firstLine="480"/>
        <w:rPr>
          <w:rFonts w:ascii="仿宋" w:hAnsi="仿宋" w:eastAsia="仿宋" w:cs="仿宋"/>
          <w:color w:val="auto"/>
          <w:sz w:val="24"/>
          <w:highlight w:val="none"/>
        </w:rPr>
      </w:pPr>
    </w:p>
    <w:p w14:paraId="2E2E98FE">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5. 采购人委托采购代理机构代理招标的，采购代理机构应当在采购人委托的范围内依法开展采购活动。本项目采购代理机构：见招标文件第三章《投标资料表》。</w:t>
      </w:r>
    </w:p>
    <w:p w14:paraId="3417DE60">
      <w:pPr>
        <w:ind w:firstLine="480"/>
        <w:rPr>
          <w:rFonts w:ascii="仿宋" w:hAnsi="仿宋" w:eastAsia="仿宋" w:cs="仿宋"/>
          <w:color w:val="auto"/>
          <w:sz w:val="24"/>
          <w:highlight w:val="none"/>
        </w:rPr>
      </w:pPr>
    </w:p>
    <w:p w14:paraId="48CBF987">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6. 投标费用</w:t>
      </w:r>
    </w:p>
    <w:p w14:paraId="126F9DF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6.1 投标人应承担所有与准备和参加投标有关的费用，无论投标的结果如何，采购人和采购代理机构对上述费用不承担任何责任和义务。</w:t>
      </w:r>
    </w:p>
    <w:p w14:paraId="3AB4DDB2">
      <w:pPr>
        <w:rPr>
          <w:rFonts w:ascii="仿宋" w:hAnsi="仿宋" w:eastAsia="仿宋" w:cs="仿宋"/>
          <w:color w:val="auto"/>
          <w:sz w:val="24"/>
          <w:highlight w:val="none"/>
        </w:rPr>
      </w:pPr>
    </w:p>
    <w:p w14:paraId="4A166B5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二、招标</w:t>
      </w:r>
    </w:p>
    <w:p w14:paraId="5C20E6B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7. 招标文件的内容</w:t>
      </w:r>
    </w:p>
    <w:p w14:paraId="4BA4615C">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7.1招标文件包括以下内容：</w:t>
      </w:r>
    </w:p>
    <w:p w14:paraId="0F51437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第一章 投标邀请</w:t>
      </w:r>
    </w:p>
    <w:p w14:paraId="6B333C4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第二章 投标人须知</w:t>
      </w:r>
    </w:p>
    <w:p w14:paraId="489D58C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第三章 投标资料表</w:t>
      </w:r>
    </w:p>
    <w:p w14:paraId="1B763B2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第四章 评标标准</w:t>
      </w:r>
    </w:p>
    <w:p w14:paraId="1A57FEDB">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第五章 拟签订的合同文本</w:t>
      </w:r>
    </w:p>
    <w:p w14:paraId="288D5B46">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第六章 采购需求</w:t>
      </w:r>
    </w:p>
    <w:p w14:paraId="053E7D4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第七章 投标文件相关格式</w:t>
      </w:r>
    </w:p>
    <w:p w14:paraId="6633A0B8">
      <w:pPr>
        <w:ind w:firstLine="360"/>
        <w:rPr>
          <w:rFonts w:ascii="仿宋" w:hAnsi="仿宋" w:eastAsia="仿宋" w:cs="仿宋"/>
          <w:color w:val="auto"/>
          <w:sz w:val="24"/>
          <w:highlight w:val="none"/>
        </w:rPr>
      </w:pPr>
    </w:p>
    <w:p w14:paraId="1DF87F7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8. 采购需求：见招标文件第六章《采购需求》。</w:t>
      </w:r>
    </w:p>
    <w:p w14:paraId="13AA842B">
      <w:pPr>
        <w:ind w:firstLine="360"/>
        <w:rPr>
          <w:rFonts w:ascii="仿宋" w:hAnsi="仿宋" w:eastAsia="仿宋" w:cs="仿宋"/>
          <w:color w:val="auto"/>
          <w:sz w:val="24"/>
          <w:highlight w:val="none"/>
        </w:rPr>
      </w:pPr>
    </w:p>
    <w:p w14:paraId="6E2A4BDB">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9. 采购项目预算金额</w:t>
      </w:r>
    </w:p>
    <w:p w14:paraId="752F882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9.1 采购项目预算金额：见招标文件第三章《投标资料表》。</w:t>
      </w:r>
    </w:p>
    <w:p w14:paraId="718FD7A5">
      <w:pPr>
        <w:ind w:firstLine="480"/>
        <w:rPr>
          <w:rFonts w:ascii="仿宋" w:hAnsi="仿宋" w:eastAsia="仿宋" w:cs="仿宋"/>
          <w:color w:val="auto"/>
          <w:sz w:val="24"/>
          <w:highlight w:val="none"/>
        </w:rPr>
      </w:pPr>
    </w:p>
    <w:p w14:paraId="615D983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 样品</w:t>
      </w:r>
    </w:p>
    <w:p w14:paraId="7229D39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10.1本项目对样品的要求：见招标文件第三章《投标资料表》。</w:t>
      </w:r>
    </w:p>
    <w:p w14:paraId="505285CC">
      <w:pPr>
        <w:ind w:firstLine="480"/>
        <w:rPr>
          <w:rFonts w:ascii="仿宋" w:hAnsi="仿宋" w:eastAsia="仿宋" w:cs="仿宋"/>
          <w:color w:val="auto"/>
          <w:sz w:val="24"/>
          <w:highlight w:val="none"/>
        </w:rPr>
      </w:pPr>
    </w:p>
    <w:p w14:paraId="74AE7ECB">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 投标有效期</w:t>
      </w:r>
    </w:p>
    <w:p w14:paraId="6B555543">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11.1投标有效期从提交投标文件的截止之日起算。</w:t>
      </w:r>
    </w:p>
    <w:p w14:paraId="37BF75DE">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11.2投标有效期: 见招标文件第三章《投标资料表》。</w:t>
      </w:r>
    </w:p>
    <w:p w14:paraId="554C530A">
      <w:pPr>
        <w:ind w:firstLine="360"/>
        <w:rPr>
          <w:rFonts w:ascii="仿宋" w:hAnsi="仿宋" w:eastAsia="仿宋" w:cs="仿宋"/>
          <w:color w:val="auto"/>
          <w:sz w:val="24"/>
          <w:highlight w:val="none"/>
        </w:rPr>
      </w:pPr>
    </w:p>
    <w:p w14:paraId="4497CA7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12. 招标文件售价</w:t>
      </w:r>
    </w:p>
    <w:p w14:paraId="793C143E">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12.1招标文件售价：见招标文件第三章《投标资料表》。</w:t>
      </w:r>
    </w:p>
    <w:p w14:paraId="5686DBF5">
      <w:pPr>
        <w:ind w:firstLine="480"/>
        <w:rPr>
          <w:rFonts w:ascii="仿宋" w:hAnsi="仿宋" w:eastAsia="仿宋" w:cs="仿宋"/>
          <w:color w:val="auto"/>
          <w:sz w:val="24"/>
          <w:highlight w:val="none"/>
        </w:rPr>
      </w:pPr>
    </w:p>
    <w:p w14:paraId="77B46A50">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13. 采购代理机构代理费用的收取标准和方式</w:t>
      </w:r>
    </w:p>
    <w:p w14:paraId="4D38CDE4">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13.1 采购代理机构代理费用的收取标准和方式：见招标文件第三章《投标资料表》。</w:t>
      </w:r>
    </w:p>
    <w:p w14:paraId="4673591A">
      <w:pPr>
        <w:ind w:firstLine="480"/>
        <w:rPr>
          <w:rFonts w:ascii="仿宋" w:hAnsi="仿宋" w:eastAsia="仿宋" w:cs="仿宋"/>
          <w:color w:val="auto"/>
          <w:sz w:val="24"/>
          <w:highlight w:val="none"/>
        </w:rPr>
      </w:pPr>
    </w:p>
    <w:p w14:paraId="66BBA9C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14. 现场考察或者开标前答疑会</w:t>
      </w:r>
    </w:p>
    <w:p w14:paraId="3CC0A5DB">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14.1 在招标文件提供期限截止后。</w:t>
      </w:r>
    </w:p>
    <w:p w14:paraId="26D7986B">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14.2 现场考察：见招标文件第三章《投标资料表》。</w:t>
      </w:r>
    </w:p>
    <w:p w14:paraId="1625F344">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14.3 开标前答疑会：见招标文件第三章《投标资料表》。</w:t>
      </w:r>
    </w:p>
    <w:p w14:paraId="1B1602B6">
      <w:pPr>
        <w:ind w:firstLine="360"/>
        <w:rPr>
          <w:rFonts w:ascii="仿宋" w:hAnsi="仿宋" w:eastAsia="仿宋" w:cs="仿宋"/>
          <w:color w:val="auto"/>
          <w:sz w:val="24"/>
          <w:highlight w:val="none"/>
        </w:rPr>
      </w:pPr>
    </w:p>
    <w:p w14:paraId="0C53364F">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15. 招标文件的澄清或者修改</w:t>
      </w:r>
    </w:p>
    <w:p w14:paraId="0B3397B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p>
    <w:p w14:paraId="2DC33FEF">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p>
    <w:p w14:paraId="32151E43">
      <w:pPr>
        <w:ind w:firstLine="480"/>
        <w:rPr>
          <w:rFonts w:ascii="仿宋" w:hAnsi="仿宋" w:eastAsia="仿宋" w:cs="仿宋"/>
          <w:color w:val="auto"/>
          <w:sz w:val="24"/>
          <w:highlight w:val="none"/>
        </w:rPr>
      </w:pPr>
    </w:p>
    <w:p w14:paraId="191F854D">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16. 终止招标</w:t>
      </w:r>
    </w:p>
    <w:p w14:paraId="4A3A78EF">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p>
    <w:p w14:paraId="352DA280">
      <w:pPr>
        <w:ind w:firstLine="480"/>
        <w:rPr>
          <w:rFonts w:ascii="仿宋" w:hAnsi="仿宋" w:eastAsia="仿宋" w:cs="仿宋"/>
          <w:color w:val="auto"/>
          <w:sz w:val="24"/>
          <w:highlight w:val="none"/>
        </w:rPr>
      </w:pPr>
    </w:p>
    <w:p w14:paraId="285AFA8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17. 投标人信用信息查询渠道及截止时点、信用信息查询记录和证据留存的具体方式、信用信息的使用规则等：见招标文件第三章《投标资料表》。</w:t>
      </w:r>
    </w:p>
    <w:p w14:paraId="0A3F11C4">
      <w:pPr>
        <w:ind w:firstLine="360"/>
        <w:rPr>
          <w:rFonts w:ascii="仿宋" w:hAnsi="仿宋" w:eastAsia="仿宋" w:cs="仿宋"/>
          <w:color w:val="auto"/>
          <w:sz w:val="24"/>
          <w:highlight w:val="none"/>
        </w:rPr>
      </w:pPr>
    </w:p>
    <w:p w14:paraId="2FB1510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三、投标</w:t>
      </w:r>
    </w:p>
    <w:p w14:paraId="529B5417">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18. 投标人</w:t>
      </w:r>
    </w:p>
    <w:p w14:paraId="04CBF5C7">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18.1 投标人，是指响应招标、参加投标竞争的法人、其他组织或者自然人。</w:t>
      </w:r>
    </w:p>
    <w:p w14:paraId="7F478FA9">
      <w:pPr>
        <w:widowControl/>
        <w:ind w:firstLine="465"/>
        <w:jc w:val="left"/>
        <w:rPr>
          <w:rFonts w:ascii="仿宋" w:hAnsi="仿宋" w:eastAsia="仿宋" w:cs="仿宋"/>
          <w:color w:val="auto"/>
          <w:sz w:val="24"/>
          <w:highlight w:val="none"/>
        </w:rPr>
      </w:pPr>
      <w:r>
        <w:rPr>
          <w:rFonts w:hint="eastAsia" w:ascii="仿宋" w:hAnsi="仿宋" w:eastAsia="仿宋" w:cs="仿宋"/>
          <w:color w:val="auto"/>
          <w:sz w:val="24"/>
          <w:highlight w:val="none"/>
        </w:rPr>
        <w:t>18.2 投标人应当遵循公平竞争的原则，不得恶意串通，不得妨碍其他投标人的竞争行为，不得损害采购人或者其他投标人的合法权益。</w:t>
      </w:r>
    </w:p>
    <w:p w14:paraId="0D6BD227">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18.3 投标人的资格要求：见招标文件第三章《投标资料表》。</w:t>
      </w:r>
    </w:p>
    <w:p w14:paraId="1289DFCC">
      <w:pPr>
        <w:ind w:firstLine="240"/>
        <w:rPr>
          <w:rFonts w:ascii="仿宋" w:hAnsi="仿宋" w:eastAsia="仿宋" w:cs="仿宋"/>
          <w:color w:val="auto"/>
          <w:sz w:val="24"/>
          <w:highlight w:val="none"/>
        </w:rPr>
      </w:pPr>
    </w:p>
    <w:p w14:paraId="1D08FAB6">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19. 投标文件</w:t>
      </w:r>
    </w:p>
    <w:p w14:paraId="2F0B2CF3">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19.1 投标人应当按照招标文件的要求编制投标文件。投标文件应当对招标文件提出的要求和条件作出明确响应。</w:t>
      </w:r>
    </w:p>
    <w:p w14:paraId="2E82B96A">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  19.2 投标文件编制要求：见招标文件第三章《投标资料表》。</w:t>
      </w:r>
    </w:p>
    <w:p w14:paraId="76AA73F7">
      <w:pPr>
        <w:widowControl/>
        <w:ind w:firstLine="24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19.3 投标文件的份数：见招标文件第三章《投标资料表》。</w:t>
      </w:r>
    </w:p>
    <w:p w14:paraId="34776782">
      <w:pPr>
        <w:widowControl/>
        <w:ind w:firstLine="24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19.4 投标文件的退还：见招标文件第三章《投标资料表》。</w:t>
      </w:r>
    </w:p>
    <w:p w14:paraId="42800F0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19.5 投标文件的密封、签署、盖章要求：见招标文件第三章《投标资料表》。</w:t>
      </w:r>
    </w:p>
    <w:p w14:paraId="249237C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19.6投标文件中承诺的投标有效期应当不少于招标文件中载明的投标有效期。</w:t>
      </w:r>
    </w:p>
    <w:p w14:paraId="0ED0C5C7">
      <w:pPr>
        <w:widowControl/>
        <w:ind w:firstLine="24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19.7 投标人应当在招标文件要求提交投标文件的截止时间前，将投标文件密封送达投标地点。逾期送达或者未按照招标文件要求密封的投标文件，采购人、采购代理机构应当拒收。</w:t>
      </w:r>
    </w:p>
    <w:p w14:paraId="4A15879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19.8 投标人在投标截止时间前，可以对所递交的投标文件进行补充、修改或者撤回，并书面通知采购人或者采购代理机构。补充、修改的内容应当按照招标文件要求签署、盖章、密封后，作为投标文件的组成部分。</w:t>
      </w:r>
    </w:p>
    <w:p w14:paraId="20DA9AAB">
      <w:pPr>
        <w:widowControl/>
        <w:ind w:firstLine="360"/>
        <w:jc w:val="left"/>
        <w:rPr>
          <w:rFonts w:ascii="仿宋" w:hAnsi="仿宋" w:eastAsia="仿宋" w:cs="仿宋"/>
          <w:color w:val="auto"/>
          <w:sz w:val="24"/>
          <w:highlight w:val="none"/>
        </w:rPr>
      </w:pPr>
    </w:p>
    <w:p w14:paraId="0AF517CC">
      <w:pPr>
        <w:widowControl/>
        <w:ind w:firstLine="36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20. 投标报价要求</w:t>
      </w:r>
    </w:p>
    <w:p w14:paraId="65FB08E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20.1 投标人应按照招标文件的要求报出分项价格和总价。</w:t>
      </w:r>
    </w:p>
    <w:p w14:paraId="32957BF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20.2 投标人应按照招标文件的要求进行报价，如有偏离，应在《偏离表》中列出。</w:t>
      </w:r>
    </w:p>
    <w:p w14:paraId="72AFFD1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20.3 </w:t>
      </w:r>
      <w:r>
        <w:rPr>
          <w:rFonts w:hint="eastAsia" w:ascii="仿宋" w:hAnsi="仿宋" w:eastAsia="仿宋" w:cs="仿宋"/>
          <w:bCs/>
          <w:color w:val="auto"/>
          <w:sz w:val="24"/>
          <w:highlight w:val="none"/>
        </w:rPr>
        <w:t>采购人不支付报价以外的任何费用。</w:t>
      </w:r>
    </w:p>
    <w:p w14:paraId="5E4017F4">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20.4 投标人的投标报价在合同执行过程中是固定的，不得以任何理由予以变更。</w:t>
      </w:r>
    </w:p>
    <w:p w14:paraId="7430BE86">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20.5</w:t>
      </w:r>
      <w:r>
        <w:rPr>
          <w:rFonts w:hint="eastAsia" w:ascii="仿宋" w:hAnsi="仿宋" w:eastAsia="仿宋" w:cs="仿宋"/>
          <w:b/>
          <w:color w:val="auto"/>
          <w:sz w:val="24"/>
          <w:highlight w:val="none"/>
        </w:rPr>
        <w:t>投标人只能提交一个投标报价，提交2个以上投标报价的投标文件在符合性审查时按照投标无效处理。</w:t>
      </w:r>
    </w:p>
    <w:p w14:paraId="48BA7816">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20.6 </w:t>
      </w:r>
      <w:r>
        <w:rPr>
          <w:rFonts w:hint="eastAsia" w:ascii="仿宋" w:hAnsi="仿宋" w:eastAsia="仿宋" w:cs="仿宋"/>
          <w:bCs/>
          <w:color w:val="auto"/>
          <w:sz w:val="24"/>
          <w:highlight w:val="none"/>
        </w:rPr>
        <w:t>不接受超过采购项目预算金额的投标报价。具体</w:t>
      </w:r>
      <w:r>
        <w:rPr>
          <w:rFonts w:hint="eastAsia" w:ascii="仿宋" w:hAnsi="仿宋" w:eastAsia="仿宋" w:cs="仿宋"/>
          <w:color w:val="auto"/>
          <w:sz w:val="24"/>
          <w:highlight w:val="none"/>
        </w:rPr>
        <w:t>见招标文件第三章《投标资料表》</w:t>
      </w:r>
      <w:r>
        <w:rPr>
          <w:rFonts w:hint="eastAsia" w:ascii="仿宋" w:hAnsi="仿宋" w:eastAsia="仿宋" w:cs="仿宋"/>
          <w:bCs/>
          <w:color w:val="auto"/>
          <w:sz w:val="24"/>
          <w:highlight w:val="none"/>
        </w:rPr>
        <w:t>。</w:t>
      </w:r>
    </w:p>
    <w:p w14:paraId="3597B608">
      <w:pPr>
        <w:ind w:firstLine="480"/>
        <w:rPr>
          <w:rFonts w:ascii="仿宋" w:hAnsi="仿宋" w:eastAsia="仿宋" w:cs="仿宋"/>
          <w:bCs/>
          <w:color w:val="auto"/>
          <w:sz w:val="24"/>
          <w:highlight w:val="none"/>
        </w:rPr>
      </w:pPr>
    </w:p>
    <w:p w14:paraId="1AD364A1">
      <w:pPr>
        <w:widowControl/>
        <w:ind w:firstLine="480"/>
        <w:jc w:val="left"/>
        <w:rPr>
          <w:rFonts w:ascii="仿宋" w:hAnsi="仿宋" w:eastAsia="仿宋" w:cs="仿宋"/>
          <w:color w:val="auto"/>
          <w:sz w:val="24"/>
          <w:highlight w:val="none"/>
        </w:rPr>
      </w:pPr>
      <w:r>
        <w:rPr>
          <w:rFonts w:hint="eastAsia" w:ascii="仿宋" w:hAnsi="仿宋" w:eastAsia="仿宋" w:cs="仿宋"/>
          <w:bCs/>
          <w:color w:val="auto"/>
          <w:sz w:val="24"/>
          <w:highlight w:val="none"/>
        </w:rPr>
        <w:t>21.</w:t>
      </w:r>
      <w:r>
        <w:rPr>
          <w:rFonts w:hint="eastAsia" w:ascii="仿宋" w:hAnsi="仿宋" w:eastAsia="仿宋" w:cs="仿宋"/>
          <w:color w:val="auto"/>
          <w:sz w:val="24"/>
          <w:highlight w:val="none"/>
        </w:rPr>
        <w:t xml:space="preserve"> 投标人不需交纳投标保证金。</w:t>
      </w:r>
    </w:p>
    <w:p w14:paraId="7C0FA13A">
      <w:pPr>
        <w:widowControl/>
        <w:ind w:firstLine="480"/>
        <w:jc w:val="left"/>
        <w:rPr>
          <w:rFonts w:ascii="仿宋" w:hAnsi="仿宋" w:eastAsia="仿宋" w:cs="仿宋"/>
          <w:color w:val="auto"/>
          <w:sz w:val="24"/>
          <w:highlight w:val="none"/>
        </w:rPr>
      </w:pPr>
    </w:p>
    <w:p w14:paraId="0405EC5C">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22.投标截止时间、投标文件的递交</w:t>
      </w:r>
    </w:p>
    <w:p w14:paraId="72480A4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22.1投标截止时间：见招标文件第三章《投标资料表》。</w:t>
      </w:r>
    </w:p>
    <w:p w14:paraId="7EEABE4F">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22.2投标文件的递交：见招标文件第三章《投标资料表》。</w:t>
      </w:r>
    </w:p>
    <w:p w14:paraId="160554A3">
      <w:pPr>
        <w:widowControl/>
        <w:ind w:firstLine="480"/>
        <w:jc w:val="left"/>
        <w:rPr>
          <w:rFonts w:ascii="仿宋" w:hAnsi="仿宋" w:eastAsia="仿宋" w:cs="仿宋"/>
          <w:color w:val="auto"/>
          <w:sz w:val="24"/>
          <w:highlight w:val="none"/>
        </w:rPr>
      </w:pPr>
    </w:p>
    <w:p w14:paraId="22834C5A">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23. 分包</w:t>
      </w:r>
    </w:p>
    <w:p w14:paraId="470E8384">
      <w:pPr>
        <w:widowControl/>
        <w:ind w:firstLine="36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14:paraId="1B1310D8">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23.2 招标文件对本项目分包的规定：见招标文件第三章《投标资料表》。</w:t>
      </w:r>
    </w:p>
    <w:p w14:paraId="2C980A10">
      <w:pPr>
        <w:widowControl/>
        <w:ind w:firstLine="480"/>
        <w:jc w:val="left"/>
        <w:rPr>
          <w:rFonts w:ascii="仿宋" w:hAnsi="仿宋" w:eastAsia="仿宋" w:cs="仿宋"/>
          <w:color w:val="auto"/>
          <w:sz w:val="24"/>
          <w:highlight w:val="none"/>
        </w:rPr>
      </w:pPr>
    </w:p>
    <w:p w14:paraId="6B1710B6">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24. 相同品牌产品投标</w:t>
      </w:r>
    </w:p>
    <w:p w14:paraId="510ECD37">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p>
    <w:p w14:paraId="732A55F1">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p>
    <w:p w14:paraId="08881025">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p>
    <w:p w14:paraId="1A5FA44C">
      <w:pPr>
        <w:widowControl/>
        <w:ind w:firstLine="480"/>
        <w:jc w:val="left"/>
        <w:rPr>
          <w:rFonts w:ascii="仿宋" w:hAnsi="仿宋" w:eastAsia="仿宋" w:cs="仿宋"/>
          <w:color w:val="auto"/>
          <w:sz w:val="24"/>
          <w:highlight w:val="none"/>
        </w:rPr>
      </w:pPr>
    </w:p>
    <w:p w14:paraId="3060A3D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25. </w:t>
      </w:r>
      <w:r>
        <w:rPr>
          <w:rFonts w:hint="eastAsia" w:ascii="仿宋" w:hAnsi="仿宋" w:eastAsia="仿宋" w:cs="仿宋"/>
          <w:b/>
          <w:color w:val="auto"/>
          <w:sz w:val="24"/>
          <w:highlight w:val="none"/>
        </w:rPr>
        <w:t>有下列情形之一的，视为投标人串通投标，其投标无效：</w:t>
      </w:r>
    </w:p>
    <w:p w14:paraId="328775D6">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（一）不同投标人的投标文件由同一单位或者个人编制；</w:t>
      </w:r>
    </w:p>
    <w:p w14:paraId="37043250">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（二）不同投标人委托同一单位或者个人办理投标事宜；</w:t>
      </w:r>
    </w:p>
    <w:p w14:paraId="62D61EAC">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（三）不同投标人的投标文件载明的项目管理成员或者联系人员为同一人；</w:t>
      </w:r>
    </w:p>
    <w:p w14:paraId="74E68689">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（四）不同投标人的投标文件异常一致或者投标报价呈规律性差异；</w:t>
      </w:r>
    </w:p>
    <w:p w14:paraId="18282E19">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（五）不同投标人的投标文件相互混装。</w:t>
      </w:r>
    </w:p>
    <w:p w14:paraId="3DC339CD">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w:t>
      </w:r>
    </w:p>
    <w:p w14:paraId="50F7FC1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四、开标、评标</w:t>
      </w:r>
    </w:p>
    <w:p w14:paraId="3A3A737F">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26. 开标</w:t>
      </w:r>
    </w:p>
    <w:p w14:paraId="11908D22">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26.1 开标应当在招标文件确定的提交投标文件截止时间的同一时间进行。开标地点应当为招标文件中预先确定的地点。开标时间及地点：见招标文件第三章《投标资料表》。</w:t>
      </w:r>
    </w:p>
    <w:p w14:paraId="60A51FA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26.2 开标由电子招标投标交易平台主持，邀请投标人参加。</w:t>
      </w:r>
    </w:p>
    <w:p w14:paraId="39FC80A3">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p>
    <w:p w14:paraId="7189E810">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26.4开标过程应当由采购人或者采购代理机构负责记录，由参加开标的各投标人代表和相关工作人员签字确认后随采购文件一并存档。</w:t>
      </w:r>
    </w:p>
    <w:p w14:paraId="76008430">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CB6A407">
      <w:pPr>
        <w:widowControl/>
        <w:ind w:firstLine="465"/>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投标人未参加开标的，视同认可开标结果。</w:t>
      </w:r>
    </w:p>
    <w:p w14:paraId="4A688BB1">
      <w:pPr>
        <w:widowControl/>
        <w:ind w:firstLine="465"/>
        <w:jc w:val="left"/>
        <w:rPr>
          <w:rFonts w:ascii="仿宋" w:hAnsi="仿宋" w:eastAsia="仿宋" w:cs="仿宋"/>
          <w:color w:val="auto"/>
          <w:sz w:val="24"/>
          <w:highlight w:val="none"/>
        </w:rPr>
      </w:pPr>
      <w:r>
        <w:rPr>
          <w:rFonts w:hint="eastAsia" w:ascii="仿宋" w:hAnsi="仿宋" w:eastAsia="仿宋" w:cs="仿宋"/>
          <w:color w:val="auto"/>
          <w:sz w:val="24"/>
          <w:highlight w:val="none"/>
        </w:rPr>
        <w:t>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p>
    <w:p w14:paraId="7914037C">
      <w:pPr>
        <w:widowControl/>
        <w:jc w:val="left"/>
        <w:rPr>
          <w:rFonts w:ascii="仿宋" w:hAnsi="仿宋" w:eastAsia="仿宋" w:cs="仿宋"/>
          <w:color w:val="auto"/>
          <w:sz w:val="24"/>
          <w:highlight w:val="none"/>
        </w:rPr>
      </w:pPr>
    </w:p>
    <w:p w14:paraId="48632FE6">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27. 公开招标采购项目开标结束后，采购人依法对投标人的资格进行审查。</w:t>
      </w:r>
    </w:p>
    <w:p w14:paraId="18CAC9CF">
      <w:pPr>
        <w:widowControl/>
        <w:ind w:firstLine="480"/>
        <w:jc w:val="left"/>
        <w:rPr>
          <w:rFonts w:ascii="仿宋" w:hAnsi="仿宋" w:eastAsia="仿宋" w:cs="仿宋"/>
          <w:color w:val="auto"/>
          <w:sz w:val="24"/>
          <w:highlight w:val="none"/>
        </w:rPr>
      </w:pPr>
    </w:p>
    <w:p w14:paraId="6E3253BA">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28. 评标委员会应当对符合资格的投标人的投标文件进行符合性审查，以确定其是否满足招标文件的实质性要求。</w:t>
      </w:r>
    </w:p>
    <w:p w14:paraId="1B0E2843">
      <w:pPr>
        <w:widowControl/>
        <w:ind w:firstLine="480"/>
        <w:jc w:val="left"/>
        <w:rPr>
          <w:rFonts w:ascii="仿宋" w:hAnsi="仿宋" w:eastAsia="仿宋" w:cs="仿宋"/>
          <w:color w:val="auto"/>
          <w:sz w:val="24"/>
          <w:highlight w:val="none"/>
        </w:rPr>
      </w:pPr>
    </w:p>
    <w:p w14:paraId="7EB91540">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29. 对于投标文件中含义不明确、同类问题表述不一致或者有明显文字和计算错误的内容，评标委员会应当以书面形式要求投标人作出必要的澄清、说明或者补正。</w:t>
      </w:r>
    </w:p>
    <w:p w14:paraId="39894D75">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7632244F">
      <w:pPr>
        <w:widowControl/>
        <w:ind w:firstLine="480"/>
        <w:jc w:val="left"/>
        <w:rPr>
          <w:rFonts w:ascii="仿宋" w:hAnsi="仿宋" w:eastAsia="仿宋" w:cs="仿宋"/>
          <w:color w:val="auto"/>
          <w:sz w:val="24"/>
          <w:highlight w:val="none"/>
        </w:rPr>
      </w:pPr>
    </w:p>
    <w:p w14:paraId="2D7301AC">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30. 评标委员会应当按照招标文件中规定的评标方法和标准，对符合性审查合格的投标文件进行商务和技术评估，综合比较与评价。</w:t>
      </w:r>
    </w:p>
    <w:p w14:paraId="43F2277B">
      <w:pPr>
        <w:widowControl/>
        <w:ind w:firstLine="480"/>
        <w:jc w:val="left"/>
        <w:rPr>
          <w:rFonts w:ascii="仿宋" w:hAnsi="仿宋" w:eastAsia="仿宋" w:cs="宋体"/>
          <w:color w:val="auto"/>
          <w:sz w:val="24"/>
          <w:highlight w:val="none"/>
        </w:rPr>
      </w:pPr>
    </w:p>
    <w:p w14:paraId="43C41066">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31. 评标方法、评标标准。 </w:t>
      </w:r>
    </w:p>
    <w:p w14:paraId="4A1FC484">
      <w:pPr>
        <w:widowControl/>
        <w:ind w:firstLine="480"/>
        <w:jc w:val="left"/>
        <w:rPr>
          <w:rFonts w:ascii="仿宋" w:hAnsi="仿宋" w:eastAsia="仿宋"/>
          <w:color w:val="auto"/>
          <w:sz w:val="24"/>
          <w:highlight w:val="none"/>
        </w:rPr>
      </w:pPr>
      <w:r>
        <w:rPr>
          <w:rFonts w:hint="eastAsia" w:ascii="仿宋" w:hAnsi="仿宋" w:eastAsia="仿宋" w:cs="宋体"/>
          <w:color w:val="auto"/>
          <w:sz w:val="24"/>
          <w:highlight w:val="none"/>
        </w:rPr>
        <w:t>31.1 评标方法分为最低评标价法和综合评分法。本项目的评标方法：见</w:t>
      </w:r>
      <w:r>
        <w:rPr>
          <w:rFonts w:hint="eastAsia" w:ascii="仿宋" w:hAnsi="仿宋" w:eastAsia="仿宋"/>
          <w:color w:val="auto"/>
          <w:sz w:val="24"/>
          <w:highlight w:val="none"/>
        </w:rPr>
        <w:t>招标文件第三章《投标资料表》。</w:t>
      </w:r>
    </w:p>
    <w:p w14:paraId="30C90E0E">
      <w:pPr>
        <w:ind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31.2 </w:t>
      </w:r>
      <w:r>
        <w:rPr>
          <w:rFonts w:hint="eastAsia" w:ascii="仿宋" w:hAnsi="仿宋" w:eastAsia="仿宋" w:cs="宋体"/>
          <w:color w:val="auto"/>
          <w:sz w:val="24"/>
          <w:highlight w:val="none"/>
        </w:rPr>
        <w:t>本项目的评标标准：</w:t>
      </w:r>
      <w:r>
        <w:rPr>
          <w:rFonts w:hint="eastAsia" w:ascii="仿宋" w:hAnsi="仿宋" w:eastAsia="仿宋"/>
          <w:color w:val="auto"/>
          <w:sz w:val="24"/>
          <w:highlight w:val="none"/>
        </w:rPr>
        <w:t>见招标文件第四章《评标标准》。</w:t>
      </w:r>
    </w:p>
    <w:p w14:paraId="321332BC">
      <w:pPr>
        <w:widowControl/>
        <w:jc w:val="left"/>
        <w:rPr>
          <w:rFonts w:ascii="仿宋" w:hAnsi="仿宋" w:eastAsia="仿宋" w:cs="宋体"/>
          <w:color w:val="auto"/>
          <w:sz w:val="24"/>
          <w:highlight w:val="none"/>
        </w:rPr>
      </w:pPr>
    </w:p>
    <w:p w14:paraId="58055B7A">
      <w:pPr>
        <w:widowControl/>
        <w:ind w:firstLine="480"/>
        <w:jc w:val="left"/>
        <w:rPr>
          <w:rFonts w:ascii="仿宋" w:hAnsi="仿宋" w:eastAsia="仿宋" w:cs="宋体"/>
          <w:color w:val="auto"/>
          <w:sz w:val="24"/>
          <w:highlight w:val="none"/>
        </w:rPr>
      </w:pPr>
      <w:r>
        <w:rPr>
          <w:rFonts w:hint="eastAsia" w:ascii="仿宋" w:hAnsi="仿宋" w:eastAsia="仿宋"/>
          <w:color w:val="auto"/>
          <w:sz w:val="24"/>
          <w:highlight w:val="none"/>
        </w:rPr>
        <w:t xml:space="preserve">32. </w:t>
      </w:r>
      <w:r>
        <w:rPr>
          <w:rFonts w:hint="eastAsia" w:ascii="仿宋" w:hAnsi="仿宋" w:eastAsia="仿宋" w:cs="宋体"/>
          <w:color w:val="auto"/>
          <w:sz w:val="24"/>
          <w:highlight w:val="none"/>
        </w:rPr>
        <w:t>投标文件报价出现前后不一致的，除招标文件另有规定外，按照下列规定修正：</w:t>
      </w:r>
    </w:p>
    <w:p w14:paraId="7867F225">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　　（一）投标文件中开标一览表（报价表）内容与投标文件中相应内容不一致的，以开标一览表（报价表）为准；</w:t>
      </w:r>
    </w:p>
    <w:p w14:paraId="67AFFF8D">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　　（二）大写金额和小写金额不一致的，以大写金额为准；</w:t>
      </w:r>
    </w:p>
    <w:p w14:paraId="0E25D443">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（三）单价金额小数点或者百分比有明显错位的，以开标一览表的总价为准，并修改单价；</w:t>
      </w:r>
    </w:p>
    <w:p w14:paraId="45B7FEBD">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　  （四）总价金额与按单价汇总金额不一致的，以总价金额为准，同时按照总价金额与单价汇总金额的比值，同比例修正单价。</w:t>
      </w:r>
    </w:p>
    <w:p w14:paraId="271136A8">
      <w:pPr>
        <w:widowControl/>
        <w:jc w:val="left"/>
        <w:rPr>
          <w:rFonts w:ascii="仿宋" w:hAnsi="仿宋" w:eastAsia="仿宋" w:cs="宋体"/>
          <w:b/>
          <w:color w:val="auto"/>
          <w:sz w:val="24"/>
          <w:highlight w:val="none"/>
        </w:rPr>
      </w:pPr>
      <w:r>
        <w:rPr>
          <w:rFonts w:hint="eastAsia" w:ascii="仿宋" w:hAnsi="仿宋" w:eastAsia="仿宋" w:cs="宋体"/>
          <w:color w:val="auto"/>
          <w:sz w:val="24"/>
          <w:highlight w:val="none"/>
        </w:rPr>
        <w:t>　　同时出现两种以上不一致的，按照前款规定的顺序修正。</w:t>
      </w:r>
      <w:r>
        <w:rPr>
          <w:rFonts w:hint="eastAsia" w:ascii="仿宋" w:hAnsi="仿宋" w:eastAsia="仿宋" w:cs="宋体"/>
          <w:b/>
          <w:color w:val="auto"/>
          <w:sz w:val="24"/>
          <w:highlight w:val="none"/>
        </w:rPr>
        <w:t>修正后的报价按照第29条第二款的规定经投标人确认后产生约束力，投标人不确认的，其投标无效。</w:t>
      </w:r>
    </w:p>
    <w:p w14:paraId="0BEE1187">
      <w:pPr>
        <w:widowControl/>
        <w:jc w:val="left"/>
        <w:rPr>
          <w:rFonts w:ascii="仿宋" w:hAnsi="仿宋" w:eastAsia="仿宋" w:cs="宋体"/>
          <w:color w:val="auto"/>
          <w:sz w:val="24"/>
          <w:highlight w:val="none"/>
        </w:rPr>
      </w:pPr>
    </w:p>
    <w:p w14:paraId="06174312">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33.</w:t>
      </w:r>
      <w:r>
        <w:rPr>
          <w:rFonts w:ascii="仿宋" w:hAnsi="仿宋" w:eastAsia="仿宋" w:cs="宋体"/>
          <w:color w:val="auto"/>
          <w:sz w:val="24"/>
          <w:highlight w:val="none"/>
        </w:rPr>
        <w:t xml:space="preserve"> 实施政府采购异常低价审查的有关要求</w:t>
      </w:r>
      <w:r>
        <w:rPr>
          <w:rFonts w:hint="eastAsia" w:ascii="仿宋" w:hAnsi="仿宋" w:eastAsia="仿宋" w:cs="宋体"/>
          <w:color w:val="auto"/>
          <w:sz w:val="24"/>
          <w:highlight w:val="none"/>
        </w:rPr>
        <w:t>：</w:t>
      </w:r>
    </w:p>
    <w:p w14:paraId="4C9AA0C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（一）评审中出现下列情形之一的，评审（评标）委员会应当启动异常低价投标（响应）审查程序：</w:t>
      </w:r>
    </w:p>
    <w:p w14:paraId="34F07B3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1.投标（响应）报价低于全部通过符合性审查供应商投标（响应）报价平均值</w:t>
      </w:r>
      <w:r>
        <w:rPr>
          <w:rFonts w:hint="eastAsia" w:ascii="仿宋" w:hAnsi="仿宋" w:eastAsia="仿宋"/>
          <w:b/>
          <w:color w:val="auto"/>
          <w:sz w:val="24"/>
          <w:highlight w:val="none"/>
        </w:rPr>
        <w:t>50%</w:t>
      </w:r>
      <w:r>
        <w:rPr>
          <w:rFonts w:hint="eastAsia" w:ascii="仿宋" w:hAnsi="仿宋" w:eastAsia="仿宋"/>
          <w:color w:val="auto"/>
          <w:sz w:val="24"/>
          <w:highlight w:val="none"/>
        </w:rPr>
        <w:t>的，即投标（响应）报价&lt;全部通过符合性审查供应商投标（响应）报价平均值×</w:t>
      </w:r>
      <w:r>
        <w:rPr>
          <w:rFonts w:hint="eastAsia" w:ascii="仿宋" w:hAnsi="仿宋" w:eastAsia="仿宋"/>
          <w:b/>
          <w:color w:val="auto"/>
          <w:sz w:val="24"/>
          <w:highlight w:val="none"/>
        </w:rPr>
        <w:t>50%</w:t>
      </w:r>
      <w:r>
        <w:rPr>
          <w:rFonts w:hint="eastAsia" w:ascii="仿宋" w:hAnsi="仿宋" w:eastAsia="仿宋"/>
          <w:color w:val="auto"/>
          <w:sz w:val="24"/>
          <w:highlight w:val="none"/>
        </w:rPr>
        <w:t>；</w:t>
      </w:r>
    </w:p>
    <w:p w14:paraId="7781919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2.投标（响应）报价低于通过符合性审查的次低报价供应商投标（响应）报价</w:t>
      </w:r>
      <w:r>
        <w:rPr>
          <w:rFonts w:hint="eastAsia" w:ascii="仿宋" w:hAnsi="仿宋" w:eastAsia="仿宋"/>
          <w:b/>
          <w:color w:val="auto"/>
          <w:sz w:val="24"/>
          <w:highlight w:val="none"/>
        </w:rPr>
        <w:t>50%</w:t>
      </w:r>
      <w:r>
        <w:rPr>
          <w:rFonts w:hint="eastAsia" w:ascii="仿宋" w:hAnsi="仿宋" w:eastAsia="仿宋"/>
          <w:color w:val="auto"/>
          <w:sz w:val="24"/>
          <w:highlight w:val="none"/>
        </w:rPr>
        <w:t>的，即投标（响应）报价&lt;通过符合性审查的次低报价供应商投标（响应）报价×</w:t>
      </w:r>
      <w:r>
        <w:rPr>
          <w:rFonts w:hint="eastAsia" w:ascii="仿宋" w:hAnsi="仿宋" w:eastAsia="仿宋"/>
          <w:b/>
          <w:color w:val="auto"/>
          <w:sz w:val="24"/>
          <w:highlight w:val="none"/>
        </w:rPr>
        <w:t>50%</w:t>
      </w:r>
      <w:r>
        <w:rPr>
          <w:rFonts w:hint="eastAsia" w:ascii="仿宋" w:hAnsi="仿宋" w:eastAsia="仿宋"/>
          <w:color w:val="auto"/>
          <w:sz w:val="24"/>
          <w:highlight w:val="none"/>
        </w:rPr>
        <w:t>；</w:t>
      </w:r>
    </w:p>
    <w:p w14:paraId="42D86F8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3.投标（响应）报价低于采购项目最高限价（未设定最高限价的采购项目，以采购项目预算金额作为最高限价）</w:t>
      </w:r>
      <w:r>
        <w:rPr>
          <w:rFonts w:hint="eastAsia" w:ascii="仿宋" w:hAnsi="仿宋" w:eastAsia="仿宋"/>
          <w:b/>
          <w:color w:val="auto"/>
          <w:sz w:val="24"/>
          <w:highlight w:val="none"/>
        </w:rPr>
        <w:t>45%</w:t>
      </w:r>
      <w:r>
        <w:rPr>
          <w:rFonts w:hint="eastAsia" w:ascii="仿宋" w:hAnsi="仿宋" w:eastAsia="仿宋"/>
          <w:color w:val="auto"/>
          <w:sz w:val="24"/>
          <w:highlight w:val="none"/>
        </w:rPr>
        <w:t>的，即投标（响应）报价&lt;采购项目最高限价×</w:t>
      </w:r>
      <w:r>
        <w:rPr>
          <w:rFonts w:hint="eastAsia" w:ascii="仿宋" w:hAnsi="仿宋" w:eastAsia="仿宋"/>
          <w:b/>
          <w:color w:val="auto"/>
          <w:sz w:val="24"/>
          <w:highlight w:val="none"/>
        </w:rPr>
        <w:t>45%</w:t>
      </w:r>
      <w:r>
        <w:rPr>
          <w:rFonts w:hint="eastAsia" w:ascii="仿宋" w:hAnsi="仿宋" w:eastAsia="仿宋"/>
          <w:color w:val="auto"/>
          <w:sz w:val="24"/>
          <w:highlight w:val="none"/>
        </w:rPr>
        <w:t>；</w:t>
      </w:r>
    </w:p>
    <w:p w14:paraId="0938CE7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4.评审（评标）委员会基于专业判断，认为供应商报价过低，有可能影响产品质量或者不能诚信履约的其他情形。</w:t>
      </w:r>
    </w:p>
    <w:p w14:paraId="620DBEDB">
      <w:pPr>
        <w:ind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rPr>
        <w:t>相关法律法规对供应商报价有规定的，从其规定。</w:t>
      </w:r>
    </w:p>
    <w:p w14:paraId="15777B77">
      <w:pPr>
        <w:ind w:firstLine="480" w:firstLineChars="200"/>
        <w:rPr>
          <w:rFonts w:ascii="仿宋" w:hAnsi="仿宋" w:eastAsia="仿宋"/>
          <w:color w:val="auto"/>
          <w:sz w:val="24"/>
          <w:highlight w:val="none"/>
        </w:rPr>
      </w:pPr>
      <w:r>
        <w:rPr>
          <w:rFonts w:ascii="仿宋" w:hAnsi="仿宋" w:eastAsia="仿宋"/>
          <w:color w:val="auto"/>
          <w:sz w:val="24"/>
          <w:highlight w:val="none"/>
        </w:rPr>
        <w:t>（二）</w:t>
      </w:r>
      <w:r>
        <w:rPr>
          <w:rFonts w:hint="eastAsia" w:ascii="仿宋" w:hAnsi="仿宋" w:eastAsia="仿宋"/>
          <w:color w:val="auto"/>
          <w:sz w:val="24"/>
          <w:highlight w:val="none"/>
        </w:rPr>
        <w:t>评审（评标）委员会启动异常低价投标（响应）审查后，属于前述第1项至第4项情形的，应当要求相关供应商在评审现场合理的时间内对投标（响应）价格作出解释，</w:t>
      </w:r>
      <w:r>
        <w:rPr>
          <w:rFonts w:hint="eastAsia" w:ascii="仿宋" w:hAnsi="仿宋" w:eastAsia="仿宋"/>
          <w:b/>
          <w:color w:val="auto"/>
          <w:sz w:val="24"/>
          <w:highlight w:val="none"/>
        </w:rPr>
        <w:t>提供项目具体成本测算等与报价合理性相关的书面说明及必要的证明材料，包括但不限于原材料成本、人工成本、制造费用等</w:t>
      </w:r>
      <w:r>
        <w:rPr>
          <w:rFonts w:hint="eastAsia" w:ascii="仿宋" w:hAnsi="仿宋" w:eastAsia="仿宋"/>
          <w:color w:val="auto"/>
          <w:sz w:val="24"/>
          <w:highlight w:val="none"/>
        </w:rPr>
        <w:t>，给予相关供应商的合理时间一般不少于30分钟。其中，属于第3项情形，供应商已随投标（响应）文件一并提交相关书面说明及必要的证明材料的，在评审现场可不再重复提交。</w:t>
      </w:r>
    </w:p>
    <w:p w14:paraId="7756910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19BDAF5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F7D0B5">
      <w:pPr>
        <w:widowControl/>
        <w:adjustRightInd w:val="0"/>
        <w:snapToGrid w:val="0"/>
        <w:ind w:firstLine="480" w:firstLineChars="200"/>
        <w:jc w:val="left"/>
        <w:rPr>
          <w:rFonts w:ascii="仿宋" w:hAnsi="仿宋" w:eastAsia="仿宋"/>
          <w:color w:val="auto"/>
          <w:sz w:val="24"/>
          <w:highlight w:val="none"/>
        </w:rPr>
      </w:pPr>
    </w:p>
    <w:p w14:paraId="52F687DD">
      <w:pPr>
        <w:ind w:firstLine="480"/>
        <w:rPr>
          <w:rFonts w:ascii="仿宋" w:hAnsi="仿宋" w:eastAsia="仿宋"/>
          <w:color w:val="auto"/>
          <w:sz w:val="24"/>
          <w:highlight w:val="none"/>
        </w:rPr>
      </w:pPr>
    </w:p>
    <w:p w14:paraId="00B62A80">
      <w:pPr>
        <w:widowControl/>
        <w:ind w:firstLine="480"/>
        <w:jc w:val="left"/>
        <w:rPr>
          <w:rFonts w:ascii="仿宋" w:hAnsi="仿宋" w:eastAsia="仿宋" w:cs="宋体"/>
          <w:color w:val="auto"/>
          <w:sz w:val="24"/>
          <w:highlight w:val="none"/>
        </w:rPr>
      </w:pPr>
      <w:r>
        <w:rPr>
          <w:rFonts w:hint="eastAsia" w:ascii="仿宋" w:hAnsi="仿宋" w:eastAsia="仿宋"/>
          <w:color w:val="auto"/>
          <w:sz w:val="24"/>
          <w:highlight w:val="none"/>
        </w:rPr>
        <w:t>34.</w:t>
      </w:r>
      <w:r>
        <w:rPr>
          <w:rFonts w:hint="eastAsia" w:ascii="仿宋" w:hAnsi="仿宋" w:eastAsia="仿宋" w:cs="宋体"/>
          <w:color w:val="auto"/>
          <w:sz w:val="24"/>
          <w:highlight w:val="none"/>
        </w:rPr>
        <w:t xml:space="preserve"> </w:t>
      </w:r>
      <w:r>
        <w:rPr>
          <w:rFonts w:hint="eastAsia" w:ascii="仿宋" w:hAnsi="仿宋" w:eastAsia="仿宋" w:cs="宋体"/>
          <w:b/>
          <w:color w:val="auto"/>
          <w:sz w:val="24"/>
          <w:highlight w:val="none"/>
        </w:rPr>
        <w:t>投标人存在下列情况之一的，投标无效:</w:t>
      </w:r>
    </w:p>
    <w:p w14:paraId="29DA56A2">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   （一）投标文件未按招标文件要求签署、盖章的；</w:t>
      </w:r>
    </w:p>
    <w:p w14:paraId="06BE0302">
      <w:pPr>
        <w:widowControl/>
        <w:ind w:firstLine="120"/>
        <w:jc w:val="left"/>
        <w:rPr>
          <w:rFonts w:ascii="仿宋" w:hAnsi="仿宋" w:eastAsia="仿宋" w:cs="宋体"/>
          <w:color w:val="auto"/>
          <w:sz w:val="24"/>
          <w:highlight w:val="none"/>
        </w:rPr>
      </w:pPr>
      <w:r>
        <w:rPr>
          <w:rFonts w:hint="eastAsia" w:ascii="仿宋" w:hAnsi="仿宋" w:eastAsia="仿宋" w:cs="宋体"/>
          <w:color w:val="auto"/>
          <w:sz w:val="24"/>
          <w:highlight w:val="none"/>
        </w:rPr>
        <w:t>　（二）不具备招标文件中规定的资格要求的；</w:t>
      </w:r>
    </w:p>
    <w:p w14:paraId="5ACC9245">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　 （三）报价超过招标文件中规定的预算金额的；</w:t>
      </w:r>
    </w:p>
    <w:p w14:paraId="532BA24F">
      <w:pPr>
        <w:widowControl/>
        <w:ind w:firstLine="120"/>
        <w:jc w:val="left"/>
        <w:rPr>
          <w:rFonts w:ascii="仿宋" w:hAnsi="仿宋" w:eastAsia="仿宋" w:cs="宋体"/>
          <w:color w:val="auto"/>
          <w:sz w:val="24"/>
          <w:highlight w:val="none"/>
        </w:rPr>
      </w:pPr>
      <w:r>
        <w:rPr>
          <w:rFonts w:hint="eastAsia" w:ascii="仿宋" w:hAnsi="仿宋" w:eastAsia="仿宋" w:cs="宋体"/>
          <w:color w:val="auto"/>
          <w:sz w:val="24"/>
          <w:highlight w:val="none"/>
        </w:rPr>
        <w:t>　（四）投标文件含有采购人不能接受的附加条件的;</w:t>
      </w:r>
    </w:p>
    <w:p w14:paraId="6163D4AB">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　 （五）投标文件中承诺的投标有效期少于招标文件中载明的投标有效期。</w:t>
      </w:r>
    </w:p>
    <w:p w14:paraId="0AF75B3F">
      <w:pPr>
        <w:ind w:firstLine="360"/>
        <w:rPr>
          <w:rFonts w:ascii="仿宋" w:hAnsi="仿宋" w:eastAsia="仿宋"/>
          <w:color w:val="auto"/>
          <w:sz w:val="24"/>
          <w:highlight w:val="none"/>
        </w:rPr>
      </w:pPr>
      <w:r>
        <w:rPr>
          <w:rFonts w:hint="eastAsia" w:ascii="仿宋" w:hAnsi="仿宋" w:eastAsia="仿宋" w:cs="宋体"/>
          <w:color w:val="auto"/>
          <w:sz w:val="24"/>
          <w:highlight w:val="none"/>
        </w:rPr>
        <w:t>（六）法律、法规和招标文件规定的其他无效情形。</w:t>
      </w:r>
    </w:p>
    <w:p w14:paraId="593AA832">
      <w:pPr>
        <w:widowControl/>
        <w:jc w:val="left"/>
        <w:rPr>
          <w:rFonts w:ascii="仿宋" w:hAnsi="仿宋" w:eastAsia="仿宋"/>
          <w:color w:val="auto"/>
          <w:sz w:val="24"/>
          <w:highlight w:val="none"/>
        </w:rPr>
      </w:pPr>
    </w:p>
    <w:p w14:paraId="264E78B5">
      <w:pPr>
        <w:rPr>
          <w:rFonts w:ascii="仿宋" w:hAnsi="仿宋" w:eastAsia="仿宋"/>
          <w:color w:val="auto"/>
          <w:sz w:val="24"/>
          <w:highlight w:val="none"/>
        </w:rPr>
      </w:pPr>
    </w:p>
    <w:p w14:paraId="3EC91176">
      <w:pPr>
        <w:ind w:firstLine="480"/>
        <w:rPr>
          <w:rFonts w:ascii="仿宋" w:hAnsi="仿宋" w:eastAsia="仿宋" w:cs="宋体"/>
          <w:color w:val="auto"/>
          <w:sz w:val="24"/>
          <w:highlight w:val="none"/>
        </w:rPr>
      </w:pPr>
      <w:r>
        <w:rPr>
          <w:rFonts w:hint="eastAsia" w:ascii="仿宋" w:hAnsi="仿宋" w:eastAsia="仿宋"/>
          <w:color w:val="auto"/>
          <w:sz w:val="24"/>
          <w:highlight w:val="none"/>
        </w:rPr>
        <w:t>35.</w:t>
      </w:r>
      <w:r>
        <w:rPr>
          <w:rFonts w:hint="eastAsia" w:ascii="仿宋" w:hAnsi="仿宋" w:eastAsia="仿宋" w:cs="宋体"/>
          <w:color w:val="auto"/>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F4A3EAD">
      <w:pPr>
        <w:rPr>
          <w:rFonts w:ascii="仿宋" w:hAnsi="仿宋" w:eastAsia="仿宋" w:cs="仿宋"/>
          <w:color w:val="auto"/>
          <w:sz w:val="24"/>
          <w:highlight w:val="none"/>
        </w:rPr>
      </w:pPr>
    </w:p>
    <w:p w14:paraId="5FF12ED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五、中标和合同</w:t>
      </w:r>
    </w:p>
    <w:p w14:paraId="190F0487">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36. 确定中标人</w:t>
      </w:r>
    </w:p>
    <w:p w14:paraId="658A7F0C">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36.1 采购代理机构应当在评标结束后2个工作日内将评标报告送采购人。</w:t>
      </w:r>
    </w:p>
    <w:p w14:paraId="728C89B4">
      <w:pPr>
        <w:widowControl/>
        <w:ind w:firstLine="465"/>
        <w:jc w:val="left"/>
        <w:rPr>
          <w:rFonts w:ascii="仿宋" w:hAnsi="仿宋" w:eastAsia="仿宋" w:cs="仿宋"/>
          <w:color w:val="auto"/>
          <w:sz w:val="24"/>
          <w:highlight w:val="none"/>
        </w:rPr>
      </w:pPr>
      <w:r>
        <w:rPr>
          <w:rFonts w:hint="eastAsia" w:ascii="仿宋" w:hAnsi="仿宋" w:eastAsia="仿宋" w:cs="仿宋"/>
          <w:color w:val="auto"/>
          <w:sz w:val="24"/>
          <w:highlight w:val="none"/>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p>
    <w:p w14:paraId="328710E4">
      <w:pPr>
        <w:widowControl/>
        <w:ind w:firstLine="465"/>
        <w:jc w:val="left"/>
        <w:rPr>
          <w:rFonts w:ascii="仿宋" w:hAnsi="仿宋" w:eastAsia="仿宋" w:cs="仿宋"/>
          <w:color w:val="auto"/>
          <w:sz w:val="24"/>
          <w:highlight w:val="none"/>
        </w:rPr>
      </w:pPr>
    </w:p>
    <w:p w14:paraId="15DD2B10">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37. 在公告中标结果的同时，采购人或者采购代理机构应当向中标人发出中标通知书；对未通过资格审查的投标人，应当告知其未通过的原因；采用综合评分法评审的，还应当告知未中标人本人的评审得分与排序。</w:t>
      </w:r>
    </w:p>
    <w:p w14:paraId="6580E0B5">
      <w:pPr>
        <w:ind w:firstLine="480"/>
        <w:rPr>
          <w:rFonts w:ascii="仿宋" w:hAnsi="仿宋" w:eastAsia="仿宋" w:cs="仿宋"/>
          <w:color w:val="auto"/>
          <w:sz w:val="24"/>
          <w:highlight w:val="none"/>
        </w:rPr>
      </w:pPr>
    </w:p>
    <w:p w14:paraId="1CD8196D">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38. 中标通知书发出后，采购人不得违法改变中标结果，中标人无正当理由不得放弃中标。</w:t>
      </w:r>
    </w:p>
    <w:p w14:paraId="676A570F">
      <w:pPr>
        <w:widowControl/>
        <w:ind w:firstLine="480"/>
        <w:jc w:val="left"/>
        <w:rPr>
          <w:rFonts w:ascii="仿宋" w:hAnsi="仿宋" w:eastAsia="仿宋" w:cs="仿宋"/>
          <w:color w:val="auto"/>
          <w:sz w:val="24"/>
          <w:highlight w:val="none"/>
        </w:rPr>
      </w:pPr>
    </w:p>
    <w:p w14:paraId="32E8B9BB">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39. 采购人应当自中标通知书发出之日起30日内，按照招标文件和中标人投标文件的规定，与中标人签订书面合同。所签订的合同不得对招标文件确定的事项和中标人投标文件作实质性修改。</w:t>
      </w:r>
    </w:p>
    <w:p w14:paraId="5F6FB0C0">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采购人不得向中标人提出任何不合理的要求作为签订合同的条件。</w:t>
      </w:r>
    </w:p>
    <w:p w14:paraId="14CB7F1E">
      <w:pPr>
        <w:widowControl/>
        <w:ind w:firstLine="480"/>
        <w:jc w:val="left"/>
        <w:rPr>
          <w:rFonts w:ascii="仿宋" w:hAnsi="仿宋" w:eastAsia="仿宋" w:cs="仿宋"/>
          <w:color w:val="auto"/>
          <w:sz w:val="24"/>
          <w:highlight w:val="none"/>
        </w:rPr>
      </w:pPr>
    </w:p>
    <w:p w14:paraId="06F5C303">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40. 政府采购合同应当包括采购人与中标人的名称和住所、标的、数量、质量、价款或者报酬、履行期限及地点和方式、验收要求、违约责任、解决争议的方法等内容。</w:t>
      </w:r>
    </w:p>
    <w:p w14:paraId="40DBC404">
      <w:pPr>
        <w:ind w:firstLine="480"/>
        <w:rPr>
          <w:rFonts w:ascii="仿宋" w:hAnsi="仿宋" w:eastAsia="仿宋" w:cs="仿宋"/>
          <w:color w:val="auto"/>
          <w:sz w:val="24"/>
          <w:highlight w:val="none"/>
        </w:rPr>
      </w:pPr>
    </w:p>
    <w:p w14:paraId="63B324FE">
      <w:pPr>
        <w:spacing w:line="360" w:lineRule="auto"/>
        <w:ind w:left="420"/>
        <w:jc w:val="center"/>
        <w:rPr>
          <w:rFonts w:ascii="仿宋" w:hAnsi="仿宋" w:eastAsia="仿宋" w:cs="仿宋"/>
          <w:color w:val="auto"/>
          <w:sz w:val="24"/>
          <w:highlight w:val="none"/>
        </w:rPr>
      </w:pPr>
      <w:r>
        <w:rPr>
          <w:rFonts w:hint="eastAsia" w:ascii="仿宋" w:hAnsi="仿宋" w:eastAsia="仿宋" w:cs="仿宋"/>
          <w:color w:val="auto"/>
          <w:sz w:val="24"/>
          <w:highlight w:val="none"/>
        </w:rPr>
        <w:t>六、询问和质疑</w:t>
      </w:r>
    </w:p>
    <w:p w14:paraId="5332F64C">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41. 询问和质疑</w:t>
      </w:r>
    </w:p>
    <w:p w14:paraId="326E8B6E">
      <w:pPr>
        <w:rPr>
          <w:rFonts w:ascii="仿宋" w:hAnsi="仿宋" w:eastAsia="仿宋" w:cs="仿宋"/>
          <w:color w:val="auto"/>
          <w:sz w:val="24"/>
          <w:highlight w:val="none"/>
        </w:rPr>
      </w:pPr>
    </w:p>
    <w:p w14:paraId="6D8BDE26">
      <w:pPr>
        <w:spacing w:line="360" w:lineRule="auto"/>
        <w:ind w:left="420"/>
        <w:jc w:val="center"/>
        <w:rPr>
          <w:rFonts w:ascii="仿宋" w:hAnsi="仿宋" w:eastAsia="仿宋" w:cs="仿宋"/>
          <w:color w:val="auto"/>
          <w:sz w:val="24"/>
          <w:highlight w:val="none"/>
        </w:rPr>
      </w:pPr>
      <w:r>
        <w:rPr>
          <w:rFonts w:hint="eastAsia" w:ascii="仿宋" w:hAnsi="仿宋" w:eastAsia="仿宋" w:cs="仿宋"/>
          <w:color w:val="auto"/>
          <w:sz w:val="24"/>
          <w:highlight w:val="none"/>
        </w:rPr>
        <w:t>七、电子招标投标交易平台</w:t>
      </w:r>
    </w:p>
    <w:p w14:paraId="61A34A6A">
      <w:pPr>
        <w:rPr>
          <w:rFonts w:hint="eastAsia" w:ascii="仿宋" w:hAnsi="仿宋" w:eastAsia="仿宋" w:cs="仿宋"/>
          <w:color w:val="auto"/>
          <w:sz w:val="24"/>
          <w:highlight w:val="none"/>
        </w:rPr>
        <w:sectPr>
          <w:headerReference r:id="rId7" w:type="default"/>
          <w:footerReference r:id="rId8" w:type="default"/>
          <w:pgSz w:w="11906" w:h="16838"/>
          <w:pgMar w:top="1440" w:right="1800" w:bottom="1440" w:left="1800" w:header="851" w:footer="992" w:gutter="0"/>
          <w:pgNumType w:start="1"/>
          <w:cols w:space="720" w:num="1"/>
          <w:docGrid w:linePitch="360" w:charSpace="0"/>
        </w:sectPr>
      </w:pPr>
      <w:r>
        <w:rPr>
          <w:rFonts w:hint="eastAsia" w:ascii="仿宋" w:hAnsi="仿宋" w:eastAsia="仿宋" w:cs="仿宋"/>
          <w:color w:val="auto"/>
          <w:sz w:val="24"/>
          <w:highlight w:val="none"/>
        </w:rPr>
        <w:t xml:space="preserve">   42. 电子招标投标交易平台（即“苏采云”系统，网址：</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"http://jszfcg.jsczt.cn/"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）相关要求是本招标文件的组成部分。</w:t>
      </w:r>
    </w:p>
    <w:p w14:paraId="16B59C87">
      <w:pPr>
        <w:pStyle w:val="2"/>
        <w:keepNext/>
        <w:keepLines/>
        <w:pageBreakBefore w:val="0"/>
        <w:widowControl w:val="0"/>
        <w:spacing w:line="240" w:lineRule="atLeast"/>
        <w:jc w:val="center"/>
        <w:rPr>
          <w:rFonts w:ascii="仿宋" w:hAnsi="仿宋" w:eastAsia="仿宋" w:cs="仿宋"/>
          <w:color w:val="auto"/>
          <w:highlight w:val="none"/>
        </w:rPr>
      </w:pPr>
      <w:r>
        <w:rPr>
          <w:rFonts w:hint="eastAsia" w:ascii="仿宋" w:hAnsi="仿宋" w:eastAsia="仿宋" w:cs="仿宋"/>
          <w:b w:val="0"/>
          <w:bCs w:val="0"/>
          <w:color w:val="auto"/>
          <w:sz w:val="32"/>
          <w:szCs w:val="32"/>
          <w:highlight w:val="none"/>
        </w:rPr>
        <w:t>第三章  投标资料表</w:t>
      </w:r>
    </w:p>
    <w:p w14:paraId="1B95F5CF">
      <w:pPr>
        <w:pStyle w:val="40"/>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该资料表的条款项号是与《投标人须知》中条款项号对应的，或增加的条款，是对《投标人须知》的补充、修改和完善，如果有矛盾的话，应以本资料表为准。</w:t>
      </w:r>
    </w:p>
    <w:p w14:paraId="047876B1">
      <w:pPr>
        <w:rPr>
          <w:rFonts w:ascii="仿宋" w:hAnsi="仿宋" w:eastAsia="仿宋" w:cs="仿宋"/>
          <w:color w:val="auto"/>
          <w:sz w:val="24"/>
          <w:highlight w:val="none"/>
        </w:rPr>
      </w:pPr>
    </w:p>
    <w:tbl>
      <w:tblPr>
        <w:tblStyle w:val="56"/>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68"/>
        <w:gridCol w:w="7296"/>
      </w:tblGrid>
      <w:tr w14:paraId="069641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927F32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条款项号</w:t>
            </w:r>
          </w:p>
        </w:tc>
        <w:tc>
          <w:tcPr>
            <w:tcW w:w="7296" w:type="dxa"/>
            <w:tcBorders>
              <w:top w:val="single" w:color="auto" w:sz="4" w:space="0"/>
              <w:left w:val="single" w:color="auto" w:sz="4" w:space="0"/>
              <w:bottom w:val="single" w:color="auto" w:sz="4" w:space="0"/>
              <w:right w:val="single" w:color="auto" w:sz="4" w:space="0"/>
            </w:tcBorders>
            <w:noWrap w:val="0"/>
          </w:tcPr>
          <w:p w14:paraId="6DD6B2E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内容</w:t>
            </w:r>
          </w:p>
        </w:tc>
      </w:tr>
      <w:tr w14:paraId="0B07B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50FA5CC">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51922D6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一、总则</w:t>
            </w:r>
          </w:p>
        </w:tc>
      </w:tr>
      <w:tr w14:paraId="6E7BC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371D18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1.1</w:t>
            </w:r>
          </w:p>
        </w:tc>
        <w:tc>
          <w:tcPr>
            <w:tcW w:w="7296" w:type="dxa"/>
            <w:tcBorders>
              <w:top w:val="single" w:color="auto" w:sz="4" w:space="0"/>
              <w:left w:val="single" w:color="auto" w:sz="4" w:space="0"/>
              <w:bottom w:val="single" w:color="auto" w:sz="4" w:space="0"/>
              <w:right w:val="single" w:color="auto" w:sz="4" w:space="0"/>
            </w:tcBorders>
            <w:noWrap w:val="0"/>
          </w:tcPr>
          <w:p w14:paraId="3B4CB007">
            <w:pPr>
              <w:rPr>
                <w:rFonts w:ascii="仿宋" w:hAnsi="仿宋" w:eastAsia="仿宋" w:cs="仿宋"/>
                <w:color w:val="auto"/>
                <w:sz w:val="24"/>
                <w:highlight w:val="none"/>
              </w:rPr>
            </w:pPr>
            <w:r>
              <w:rPr>
                <w:rFonts w:hint="eastAsia" w:ascii="仿宋" w:hAnsi="仿宋" w:eastAsia="仿宋" w:cs="仿宋"/>
                <w:color w:val="auto"/>
                <w:sz w:val="24"/>
                <w:highlight w:val="none"/>
              </w:rPr>
              <w:t>本项目采购人：</w:t>
            </w:r>
            <w:r>
              <w:rPr>
                <w:rFonts w:hint="eastAsia" w:ascii="仿宋" w:hAnsi="仿宋" w:eastAsia="仿宋" w:cs="仿宋"/>
                <w:color w:val="auto"/>
                <w:sz w:val="24"/>
                <w:highlight w:val="none"/>
                <w:lang w:val="en-US" w:eastAsia="zh-CN"/>
              </w:rPr>
              <w:t>邳州市纪念场馆管理处</w:t>
            </w:r>
            <w:r>
              <w:rPr>
                <w:rFonts w:hint="eastAsia" w:ascii="仿宋" w:hAnsi="仿宋" w:eastAsia="仿宋" w:cs="仿宋"/>
                <w:color w:val="auto"/>
                <w:sz w:val="24"/>
                <w:highlight w:val="none"/>
              </w:rPr>
              <w:t xml:space="preserve"> </w:t>
            </w:r>
          </w:p>
        </w:tc>
      </w:tr>
      <w:tr w14:paraId="26F76E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681446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2.1</w:t>
            </w:r>
          </w:p>
        </w:tc>
        <w:tc>
          <w:tcPr>
            <w:tcW w:w="7296" w:type="dxa"/>
            <w:tcBorders>
              <w:top w:val="single" w:color="auto" w:sz="4" w:space="0"/>
              <w:left w:val="single" w:color="auto" w:sz="4" w:space="0"/>
              <w:bottom w:val="single" w:color="auto" w:sz="4" w:space="0"/>
              <w:right w:val="single" w:color="auto" w:sz="4" w:space="0"/>
            </w:tcBorders>
            <w:noWrap w:val="0"/>
          </w:tcPr>
          <w:p w14:paraId="5B6554BF">
            <w:pPr>
              <w:rPr>
                <w:rFonts w:ascii="仿宋" w:hAnsi="仿宋" w:eastAsia="仿宋" w:cs="仿宋"/>
                <w:color w:val="auto"/>
                <w:sz w:val="24"/>
                <w:highlight w:val="none"/>
              </w:rPr>
            </w:pPr>
            <w:r>
              <w:rPr>
                <w:rFonts w:hint="eastAsia" w:ascii="仿宋" w:hAnsi="仿宋" w:eastAsia="仿宋" w:cs="仿宋"/>
                <w:color w:val="auto"/>
                <w:sz w:val="24"/>
                <w:highlight w:val="none"/>
              </w:rPr>
              <w:t>本次采购采用的政府采购方式：公开招标。</w:t>
            </w:r>
          </w:p>
        </w:tc>
      </w:tr>
      <w:tr w14:paraId="679ED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351C28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7296" w:type="dxa"/>
            <w:tcBorders>
              <w:top w:val="single" w:color="auto" w:sz="4" w:space="0"/>
              <w:left w:val="single" w:color="auto" w:sz="4" w:space="0"/>
              <w:bottom w:val="single" w:color="auto" w:sz="4" w:space="0"/>
              <w:right w:val="single" w:color="auto" w:sz="4" w:space="0"/>
            </w:tcBorders>
            <w:noWrap w:val="0"/>
          </w:tcPr>
          <w:p w14:paraId="36ED3E56">
            <w:pPr>
              <w:rPr>
                <w:rFonts w:ascii="仿宋" w:hAnsi="仿宋" w:eastAsia="仿宋" w:cs="仿宋"/>
                <w:color w:val="auto"/>
                <w:sz w:val="24"/>
                <w:highlight w:val="none"/>
              </w:rPr>
            </w:pPr>
            <w:r>
              <w:rPr>
                <w:rFonts w:hint="eastAsia" w:ascii="仿宋" w:hAnsi="仿宋" w:eastAsia="仿宋" w:cs="仿宋"/>
                <w:color w:val="auto"/>
                <w:sz w:val="24"/>
                <w:highlight w:val="none"/>
              </w:rPr>
              <w:t>采购人确定的采购项目属性：服务</w:t>
            </w:r>
          </w:p>
        </w:tc>
      </w:tr>
      <w:tr w14:paraId="2795FE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F2752E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7296" w:type="dxa"/>
            <w:tcBorders>
              <w:top w:val="single" w:color="auto" w:sz="4" w:space="0"/>
              <w:left w:val="single" w:color="auto" w:sz="4" w:space="0"/>
              <w:bottom w:val="single" w:color="auto" w:sz="4" w:space="0"/>
              <w:right w:val="single" w:color="auto" w:sz="4" w:space="0"/>
            </w:tcBorders>
            <w:noWrap w:val="0"/>
          </w:tcPr>
          <w:p w14:paraId="01396FF3">
            <w:pPr>
              <w:rPr>
                <w:rFonts w:ascii="仿宋" w:hAnsi="仿宋" w:eastAsia="仿宋" w:cs="仿宋"/>
                <w:color w:val="auto"/>
                <w:sz w:val="24"/>
                <w:highlight w:val="none"/>
              </w:rPr>
            </w:pPr>
            <w:r>
              <w:rPr>
                <w:rFonts w:hint="eastAsia" w:ascii="仿宋" w:hAnsi="仿宋" w:eastAsia="仿宋" w:cs="仿宋"/>
                <w:color w:val="auto"/>
                <w:sz w:val="24"/>
                <w:highlight w:val="none"/>
              </w:rPr>
              <w:t>本项目采购代理机构：</w:t>
            </w:r>
            <w:r>
              <w:rPr>
                <w:rFonts w:hint="eastAsia" w:ascii="仿宋" w:hAnsi="仿宋" w:eastAsia="仿宋" w:cs="仿宋"/>
                <w:color w:val="auto"/>
                <w:sz w:val="24"/>
                <w:highlight w:val="none"/>
                <w:lang w:val="en-US" w:eastAsia="zh-CN"/>
              </w:rPr>
              <w:t>邳州市公共资源交易中心</w:t>
            </w:r>
          </w:p>
        </w:tc>
      </w:tr>
      <w:tr w14:paraId="3D7DB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1A40FF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7296" w:type="dxa"/>
            <w:tcBorders>
              <w:top w:val="single" w:color="auto" w:sz="4" w:space="0"/>
              <w:left w:val="single" w:color="auto" w:sz="4" w:space="0"/>
              <w:bottom w:val="single" w:color="auto" w:sz="4" w:space="0"/>
              <w:right w:val="single" w:color="auto" w:sz="4" w:space="0"/>
            </w:tcBorders>
            <w:noWrap w:val="0"/>
          </w:tcPr>
          <w:p w14:paraId="7ED3D962">
            <w:pPr>
              <w:rPr>
                <w:rFonts w:ascii="仿宋" w:hAnsi="仿宋" w:eastAsia="仿宋" w:cs="仿宋"/>
                <w:color w:val="auto"/>
                <w:sz w:val="24"/>
                <w:highlight w:val="none"/>
              </w:rPr>
            </w:pPr>
            <w:r>
              <w:rPr>
                <w:rFonts w:hint="eastAsia" w:ascii="仿宋" w:hAnsi="仿宋" w:eastAsia="仿宋" w:cs="仿宋"/>
                <w:color w:val="auto"/>
                <w:sz w:val="24"/>
                <w:highlight w:val="none"/>
              </w:rPr>
              <w:t>本项目为政府采购服务电子招标投标。</w:t>
            </w:r>
          </w:p>
        </w:tc>
      </w:tr>
      <w:tr w14:paraId="14D37E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E25783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7.1</w:t>
            </w:r>
          </w:p>
        </w:tc>
        <w:tc>
          <w:tcPr>
            <w:tcW w:w="7296" w:type="dxa"/>
            <w:tcBorders>
              <w:top w:val="single" w:color="auto" w:sz="4" w:space="0"/>
              <w:left w:val="single" w:color="auto" w:sz="4" w:space="0"/>
              <w:bottom w:val="single" w:color="auto" w:sz="4" w:space="0"/>
              <w:right w:val="single" w:color="auto" w:sz="4" w:space="0"/>
            </w:tcBorders>
            <w:noWrap w:val="0"/>
          </w:tcPr>
          <w:p w14:paraId="1C6012CE">
            <w:pPr>
              <w:rPr>
                <w:rFonts w:ascii="仿宋" w:hAnsi="仿宋" w:eastAsia="仿宋" w:cs="仿宋"/>
                <w:color w:val="auto"/>
                <w:sz w:val="24"/>
                <w:highlight w:val="none"/>
              </w:rPr>
            </w:pPr>
            <w:r>
              <w:rPr>
                <w:rFonts w:hint="eastAsia" w:ascii="仿宋" w:hAnsi="仿宋" w:eastAsia="仿宋" w:cs="仿宋"/>
                <w:color w:val="auto"/>
                <w:sz w:val="24"/>
                <w:highlight w:val="none"/>
              </w:rPr>
              <w:t>潜在投标人访问“苏采云”系统的网络地址和方法：见本项目招标公告。</w:t>
            </w:r>
          </w:p>
        </w:tc>
      </w:tr>
      <w:tr w14:paraId="30A6C9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24DCCA5">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3CDD6B70">
            <w:pPr>
              <w:rPr>
                <w:rFonts w:ascii="仿宋" w:hAnsi="仿宋" w:eastAsia="仿宋" w:cs="仿宋"/>
                <w:color w:val="auto"/>
                <w:sz w:val="24"/>
                <w:highlight w:val="none"/>
              </w:rPr>
            </w:pPr>
          </w:p>
        </w:tc>
      </w:tr>
      <w:tr w14:paraId="27E30D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91BFC4E">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57B85F7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二、招标</w:t>
            </w:r>
          </w:p>
        </w:tc>
      </w:tr>
      <w:tr w14:paraId="02B094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B77990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9.1</w:t>
            </w:r>
          </w:p>
        </w:tc>
        <w:tc>
          <w:tcPr>
            <w:tcW w:w="7296" w:type="dxa"/>
            <w:tcBorders>
              <w:top w:val="single" w:color="auto" w:sz="4" w:space="0"/>
              <w:left w:val="single" w:color="auto" w:sz="4" w:space="0"/>
              <w:bottom w:val="single" w:color="auto" w:sz="4" w:space="0"/>
              <w:right w:val="single" w:color="auto" w:sz="4" w:space="0"/>
            </w:tcBorders>
            <w:noWrap w:val="0"/>
          </w:tcPr>
          <w:p w14:paraId="75EA747F">
            <w:pP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采购项目预算金额：</w:t>
            </w:r>
            <w:r>
              <w:rPr>
                <w:rFonts w:hint="eastAsia" w:ascii="仿宋" w:hAnsi="仿宋" w:eastAsia="仿宋" w:cs="仿宋"/>
                <w:color w:val="auto"/>
                <w:sz w:val="24"/>
                <w:highlight w:val="none"/>
                <w:lang w:val="en-US" w:eastAsia="zh-CN"/>
              </w:rPr>
              <w:t>采购包一：217.44 万元；采购包二：227.88 万元。</w:t>
            </w:r>
          </w:p>
        </w:tc>
      </w:tr>
      <w:tr w14:paraId="1DEA7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C2C753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10.1</w:t>
            </w:r>
          </w:p>
        </w:tc>
        <w:tc>
          <w:tcPr>
            <w:tcW w:w="7296" w:type="dxa"/>
            <w:tcBorders>
              <w:top w:val="single" w:color="auto" w:sz="4" w:space="0"/>
              <w:left w:val="single" w:color="auto" w:sz="4" w:space="0"/>
              <w:bottom w:val="single" w:color="auto" w:sz="4" w:space="0"/>
              <w:right w:val="single" w:color="auto" w:sz="4" w:space="0"/>
            </w:tcBorders>
            <w:noWrap w:val="0"/>
          </w:tcPr>
          <w:p w14:paraId="1B431B41">
            <w:pPr>
              <w:rPr>
                <w:rFonts w:ascii="仿宋" w:hAnsi="仿宋" w:eastAsia="仿宋" w:cs="仿宋"/>
                <w:color w:val="auto"/>
                <w:sz w:val="24"/>
                <w:highlight w:val="none"/>
              </w:rPr>
            </w:pPr>
            <w:r>
              <w:rPr>
                <w:rFonts w:hint="eastAsia" w:ascii="仿宋" w:hAnsi="仿宋" w:eastAsia="仿宋" w:cs="仿宋"/>
                <w:color w:val="auto"/>
                <w:sz w:val="24"/>
                <w:highlight w:val="none"/>
              </w:rPr>
              <w:t>本项目对样品的要求：不要求投标人提供样品。</w:t>
            </w:r>
          </w:p>
        </w:tc>
      </w:tr>
      <w:tr w14:paraId="5C9D89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6C7BA1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11.2</w:t>
            </w:r>
          </w:p>
        </w:tc>
        <w:tc>
          <w:tcPr>
            <w:tcW w:w="7296" w:type="dxa"/>
            <w:tcBorders>
              <w:top w:val="single" w:color="auto" w:sz="4" w:space="0"/>
              <w:left w:val="single" w:color="auto" w:sz="4" w:space="0"/>
              <w:bottom w:val="single" w:color="auto" w:sz="4" w:space="0"/>
              <w:right w:val="single" w:color="auto" w:sz="4" w:space="0"/>
            </w:tcBorders>
            <w:noWrap w:val="0"/>
          </w:tcPr>
          <w:p w14:paraId="0FE6100C">
            <w:pPr>
              <w:rPr>
                <w:rFonts w:ascii="仿宋" w:hAnsi="仿宋" w:eastAsia="仿宋" w:cs="仿宋"/>
                <w:color w:val="auto"/>
                <w:sz w:val="24"/>
                <w:highlight w:val="none"/>
              </w:rPr>
            </w:pPr>
            <w:r>
              <w:rPr>
                <w:rFonts w:hint="eastAsia" w:ascii="仿宋" w:hAnsi="仿宋" w:eastAsia="仿宋" w:cs="仿宋"/>
                <w:color w:val="auto"/>
                <w:sz w:val="24"/>
                <w:highlight w:val="none"/>
              </w:rPr>
              <w:t>投标有效期:90天。</w:t>
            </w:r>
          </w:p>
        </w:tc>
      </w:tr>
      <w:tr w14:paraId="076CB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9A03B5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12.1</w:t>
            </w:r>
          </w:p>
        </w:tc>
        <w:tc>
          <w:tcPr>
            <w:tcW w:w="7296" w:type="dxa"/>
            <w:tcBorders>
              <w:top w:val="single" w:color="auto" w:sz="4" w:space="0"/>
              <w:left w:val="single" w:color="auto" w:sz="4" w:space="0"/>
              <w:bottom w:val="single" w:color="auto" w:sz="4" w:space="0"/>
              <w:right w:val="single" w:color="auto" w:sz="4" w:space="0"/>
            </w:tcBorders>
            <w:noWrap w:val="0"/>
          </w:tcPr>
          <w:p w14:paraId="79A876D6">
            <w:pPr>
              <w:rPr>
                <w:rFonts w:ascii="仿宋" w:hAnsi="仿宋" w:eastAsia="仿宋" w:cs="仿宋"/>
                <w:color w:val="auto"/>
                <w:sz w:val="24"/>
                <w:highlight w:val="none"/>
              </w:rPr>
            </w:pPr>
            <w:r>
              <w:rPr>
                <w:rFonts w:hint="eastAsia" w:ascii="仿宋" w:hAnsi="仿宋" w:eastAsia="仿宋" w:cs="仿宋"/>
                <w:color w:val="auto"/>
                <w:sz w:val="24"/>
                <w:highlight w:val="none"/>
              </w:rPr>
              <w:t>招标文件售价：免费。</w:t>
            </w:r>
          </w:p>
        </w:tc>
      </w:tr>
      <w:tr w14:paraId="28CC7E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815877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13.1</w:t>
            </w:r>
          </w:p>
        </w:tc>
        <w:tc>
          <w:tcPr>
            <w:tcW w:w="7296" w:type="dxa"/>
            <w:tcBorders>
              <w:top w:val="single" w:color="auto" w:sz="4" w:space="0"/>
              <w:left w:val="single" w:color="auto" w:sz="4" w:space="0"/>
              <w:bottom w:val="single" w:color="auto" w:sz="4" w:space="0"/>
              <w:right w:val="single" w:color="auto" w:sz="4" w:space="0"/>
            </w:tcBorders>
            <w:noWrap w:val="0"/>
          </w:tcPr>
          <w:p w14:paraId="32F63F21">
            <w:pPr>
              <w:rPr>
                <w:rFonts w:ascii="仿宋" w:hAnsi="仿宋" w:eastAsia="仿宋" w:cs="仿宋"/>
                <w:color w:val="auto"/>
                <w:sz w:val="24"/>
                <w:highlight w:val="none"/>
              </w:rPr>
            </w:pPr>
            <w:r>
              <w:rPr>
                <w:rFonts w:hint="eastAsia" w:ascii="仿宋" w:hAnsi="仿宋" w:eastAsia="仿宋" w:cs="仿宋"/>
                <w:color w:val="auto"/>
                <w:sz w:val="24"/>
                <w:highlight w:val="none"/>
              </w:rPr>
              <w:t>采购代理机构代理费用的收取标准和方式：免费。</w:t>
            </w:r>
          </w:p>
        </w:tc>
      </w:tr>
      <w:tr w14:paraId="6D5B61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27813E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14.2</w:t>
            </w:r>
          </w:p>
        </w:tc>
        <w:tc>
          <w:tcPr>
            <w:tcW w:w="7296" w:type="dxa"/>
            <w:tcBorders>
              <w:top w:val="single" w:color="auto" w:sz="4" w:space="0"/>
              <w:left w:val="single" w:color="auto" w:sz="4" w:space="0"/>
              <w:bottom w:val="single" w:color="auto" w:sz="4" w:space="0"/>
              <w:right w:val="single" w:color="auto" w:sz="4" w:space="0"/>
            </w:tcBorders>
            <w:noWrap w:val="0"/>
          </w:tcPr>
          <w:p w14:paraId="54708A73">
            <w:pPr>
              <w:rPr>
                <w:rFonts w:ascii="仿宋" w:hAnsi="仿宋" w:eastAsia="仿宋" w:cs="仿宋"/>
                <w:color w:val="auto"/>
                <w:sz w:val="24"/>
                <w:highlight w:val="none"/>
              </w:rPr>
            </w:pPr>
            <w:r>
              <w:rPr>
                <w:rFonts w:hint="eastAsia" w:ascii="仿宋" w:hAnsi="仿宋" w:eastAsia="仿宋" w:cs="仿宋"/>
                <w:color w:val="auto"/>
                <w:sz w:val="24"/>
                <w:highlight w:val="none"/>
              </w:rPr>
              <w:t>现场考察：不组织现场考察。</w:t>
            </w:r>
          </w:p>
        </w:tc>
      </w:tr>
      <w:tr w14:paraId="5A902C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B3EAC3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14.3</w:t>
            </w:r>
          </w:p>
        </w:tc>
        <w:tc>
          <w:tcPr>
            <w:tcW w:w="7296" w:type="dxa"/>
            <w:tcBorders>
              <w:top w:val="single" w:color="auto" w:sz="4" w:space="0"/>
              <w:left w:val="single" w:color="auto" w:sz="4" w:space="0"/>
              <w:bottom w:val="single" w:color="auto" w:sz="4" w:space="0"/>
              <w:right w:val="single" w:color="auto" w:sz="4" w:space="0"/>
            </w:tcBorders>
            <w:noWrap w:val="0"/>
          </w:tcPr>
          <w:p w14:paraId="331A1E07">
            <w:pPr>
              <w:rPr>
                <w:rFonts w:ascii="仿宋" w:hAnsi="仿宋" w:eastAsia="仿宋" w:cs="仿宋"/>
                <w:color w:val="auto"/>
                <w:sz w:val="24"/>
                <w:highlight w:val="none"/>
              </w:rPr>
            </w:pPr>
            <w:r>
              <w:rPr>
                <w:rFonts w:hint="eastAsia" w:ascii="仿宋" w:hAnsi="仿宋" w:eastAsia="仿宋" w:cs="仿宋"/>
                <w:color w:val="auto"/>
                <w:sz w:val="24"/>
                <w:highlight w:val="none"/>
              </w:rPr>
              <w:t>开标前答疑会：不召开开标前答疑会。</w:t>
            </w:r>
          </w:p>
        </w:tc>
      </w:tr>
      <w:tr w14:paraId="263A7A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C57265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15.1</w:t>
            </w:r>
          </w:p>
          <w:p w14:paraId="3A35789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15.2</w:t>
            </w:r>
          </w:p>
        </w:tc>
        <w:tc>
          <w:tcPr>
            <w:tcW w:w="7296" w:type="dxa"/>
            <w:tcBorders>
              <w:top w:val="single" w:color="auto" w:sz="4" w:space="0"/>
              <w:left w:val="single" w:color="auto" w:sz="4" w:space="0"/>
              <w:bottom w:val="single" w:color="auto" w:sz="4" w:space="0"/>
              <w:right w:val="single" w:color="auto" w:sz="4" w:space="0"/>
            </w:tcBorders>
            <w:noWrap w:val="0"/>
          </w:tcPr>
          <w:p w14:paraId="38709BCD">
            <w:pPr>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03343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ACDCD3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15.3</w:t>
            </w:r>
          </w:p>
        </w:tc>
        <w:tc>
          <w:tcPr>
            <w:tcW w:w="7296" w:type="dxa"/>
            <w:tcBorders>
              <w:top w:val="single" w:color="auto" w:sz="4" w:space="0"/>
              <w:left w:val="single" w:color="auto" w:sz="4" w:space="0"/>
              <w:bottom w:val="single" w:color="auto" w:sz="4" w:space="0"/>
              <w:right w:val="single" w:color="auto" w:sz="4" w:space="0"/>
            </w:tcBorders>
            <w:noWrap w:val="0"/>
          </w:tcPr>
          <w:p w14:paraId="38152C29">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color w:val="auto"/>
                <w:sz w:val="24"/>
                <w:highlight w:val="none"/>
              </w:rPr>
              <w:t>并通过“苏采云”系统重新下载更正（澄清）后的采购文件（后缀名为“.kedt”），离线编制投标文件，</w:t>
            </w:r>
            <w:r>
              <w:rPr>
                <w:rFonts w:hint="eastAsia" w:ascii="仿宋" w:hAnsi="仿宋" w:eastAsia="仿宋" w:cs="仿宋"/>
                <w:color w:val="auto"/>
                <w:sz w:val="24"/>
                <w:highlight w:val="none"/>
              </w:rPr>
              <w:t>否则，将自行承担相应的风险。</w:t>
            </w:r>
          </w:p>
        </w:tc>
      </w:tr>
      <w:tr w14:paraId="1F834C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3741E1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16.1</w:t>
            </w:r>
          </w:p>
        </w:tc>
        <w:tc>
          <w:tcPr>
            <w:tcW w:w="7296" w:type="dxa"/>
            <w:tcBorders>
              <w:top w:val="single" w:color="auto" w:sz="4" w:space="0"/>
              <w:left w:val="single" w:color="auto" w:sz="4" w:space="0"/>
              <w:bottom w:val="single" w:color="auto" w:sz="4" w:space="0"/>
              <w:right w:val="single" w:color="auto" w:sz="4" w:space="0"/>
            </w:tcBorders>
            <w:noWrap w:val="0"/>
          </w:tcPr>
          <w:p w14:paraId="1FC53AB2">
            <w:pPr>
              <w:widowControl/>
              <w:ind w:firstLine="480"/>
              <w:jc w:val="left"/>
              <w:rPr>
                <w:rFonts w:ascii="仿宋" w:hAnsi="仿宋" w:eastAsia="仿宋" w:cs="仿宋"/>
                <w:bCs/>
                <w:color w:val="auto"/>
                <w:sz w:val="24"/>
                <w:highlight w:val="none"/>
              </w:rPr>
            </w:pPr>
            <w:r>
              <w:rPr>
                <w:rFonts w:hint="eastAsia" w:ascii="仿宋" w:hAnsi="仿宋" w:eastAsia="仿宋" w:cs="仿宋"/>
                <w:color w:val="auto"/>
                <w:sz w:val="24"/>
                <w:highlight w:val="none"/>
              </w:rPr>
              <w:t>终止招标的，采购代理机构应当及时在原公告发布媒体上发布终止公告，以“终止公告”的形式通知已经获取招标文件的潜在投标人，</w:t>
            </w:r>
            <w:r>
              <w:rPr>
                <w:rFonts w:hint="eastAsia" w:ascii="仿宋" w:hAnsi="仿宋" w:eastAsia="仿宋" w:cs="仿宋"/>
                <w:bCs/>
                <w:color w:val="auto"/>
                <w:sz w:val="24"/>
                <w:highlight w:val="none"/>
              </w:rPr>
              <w:t>发布本项目的“</w:t>
            </w:r>
            <w:r>
              <w:rPr>
                <w:rFonts w:hint="eastAsia" w:ascii="仿宋" w:hAnsi="仿宋" w:eastAsia="仿宋" w:cs="仿宋"/>
                <w:color w:val="auto"/>
                <w:sz w:val="24"/>
                <w:highlight w:val="none"/>
              </w:rPr>
              <w:t>终止公告</w:t>
            </w:r>
            <w:r>
              <w:rPr>
                <w:rFonts w:hint="eastAsia" w:ascii="仿宋" w:hAnsi="仿宋" w:eastAsia="仿宋" w:cs="仿宋"/>
                <w:bCs/>
                <w:color w:val="auto"/>
                <w:sz w:val="24"/>
                <w:highlight w:val="none"/>
              </w:rPr>
              <w:t>”后采购代理机构已尽通知义务。敬请各潜在投标人关注本项目的“</w:t>
            </w:r>
            <w:r>
              <w:rPr>
                <w:rFonts w:hint="eastAsia" w:ascii="仿宋" w:hAnsi="仿宋" w:eastAsia="仿宋" w:cs="仿宋"/>
                <w:color w:val="auto"/>
                <w:sz w:val="24"/>
                <w:highlight w:val="none"/>
              </w:rPr>
              <w:t>终止公告</w:t>
            </w:r>
            <w:r>
              <w:rPr>
                <w:rFonts w:hint="eastAsia" w:ascii="仿宋" w:hAnsi="仿宋" w:eastAsia="仿宋" w:cs="仿宋"/>
                <w:bCs/>
                <w:color w:val="auto"/>
                <w:sz w:val="24"/>
                <w:highlight w:val="none"/>
              </w:rPr>
              <w:t>”，否则，将自行承担相应的风险。</w:t>
            </w:r>
          </w:p>
        </w:tc>
      </w:tr>
      <w:tr w14:paraId="04C6DF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5C29D3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17.</w:t>
            </w:r>
          </w:p>
        </w:tc>
        <w:tc>
          <w:tcPr>
            <w:tcW w:w="7296" w:type="dxa"/>
            <w:tcBorders>
              <w:top w:val="single" w:color="auto" w:sz="4" w:space="0"/>
              <w:left w:val="single" w:color="auto" w:sz="4" w:space="0"/>
              <w:bottom w:val="single" w:color="auto" w:sz="4" w:space="0"/>
              <w:right w:val="single" w:color="auto" w:sz="4" w:space="0"/>
            </w:tcBorders>
            <w:noWrap w:val="0"/>
          </w:tcPr>
          <w:p w14:paraId="0C1032F8">
            <w:pPr>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投标人信用信息查询渠道及截止时点、信用信息查询记录和证据留存的具体方式、信用信息的使用规则等：</w:t>
            </w:r>
          </w:p>
          <w:p w14:paraId="1EBD68EF">
            <w:pPr>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一、</w:t>
            </w:r>
            <w:r>
              <w:rPr>
                <w:rFonts w:hint="eastAsia" w:ascii="仿宋" w:hAnsi="仿宋" w:eastAsia="仿宋" w:cs="仿宋"/>
                <w:color w:val="auto"/>
                <w:sz w:val="24"/>
                <w:highlight w:val="none"/>
              </w:rPr>
              <w:t>由采购人查询信用信息。</w:t>
            </w:r>
          </w:p>
          <w:p w14:paraId="1282B213">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二、查询渠道包括：</w:t>
            </w:r>
          </w:p>
          <w:p w14:paraId="7EE68D6A">
            <w:pPr>
              <w:ind w:firstLine="600"/>
              <w:rPr>
                <w:rFonts w:ascii="仿宋" w:hAnsi="仿宋" w:eastAsia="仿宋" w:cs="仿宋"/>
                <w:color w:val="auto"/>
                <w:sz w:val="24"/>
                <w:highlight w:val="none"/>
              </w:rPr>
            </w:pPr>
            <w:r>
              <w:rPr>
                <w:rFonts w:hint="eastAsia" w:ascii="仿宋" w:hAnsi="仿宋" w:eastAsia="仿宋" w:cs="仿宋"/>
                <w:color w:val="auto"/>
                <w:sz w:val="24"/>
                <w:highlight w:val="none"/>
              </w:rPr>
              <w:t>1.“信用中国”网（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"http://www.creditchina.gov.cn/"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w:t>
            </w:r>
          </w:p>
          <w:p w14:paraId="656454D2">
            <w:pPr>
              <w:ind w:firstLine="600"/>
              <w:rPr>
                <w:rFonts w:ascii="仿宋" w:hAnsi="仿宋" w:eastAsia="仿宋" w:cs="仿宋"/>
                <w:color w:val="auto"/>
                <w:sz w:val="24"/>
                <w:highlight w:val="none"/>
              </w:rPr>
            </w:pPr>
            <w:r>
              <w:rPr>
                <w:rFonts w:hint="eastAsia" w:ascii="仿宋" w:hAnsi="仿宋" w:eastAsia="仿宋" w:cs="仿宋"/>
                <w:color w:val="auto"/>
                <w:sz w:val="24"/>
                <w:highlight w:val="none"/>
              </w:rPr>
              <w:t>2.中国政府采购网（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"http://www.ccgp.gov.cn/"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www.ccgp.gov.cn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w:t>
            </w:r>
          </w:p>
          <w:p w14:paraId="41CCC373">
            <w:pP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3.</w:t>
            </w:r>
            <w:r>
              <w:rPr>
                <w:rFonts w:hint="eastAsia" w:ascii="仿宋" w:hAnsi="仿宋" w:eastAsia="仿宋" w:cs="仿宋"/>
                <w:color w:val="auto"/>
                <w:sz w:val="24"/>
                <w:highlight w:val="none"/>
              </w:rPr>
              <w:t>“信用江苏”网（http://credit.jiangsu.gov.cn/）</w:t>
            </w:r>
            <w:r>
              <w:rPr>
                <w:rFonts w:hint="eastAsia" w:ascii="仿宋" w:hAnsi="仿宋" w:eastAsia="仿宋" w:cs="仿宋"/>
                <w:bCs/>
                <w:color w:val="auto"/>
                <w:sz w:val="24"/>
                <w:highlight w:val="none"/>
              </w:rPr>
              <w:t>；</w:t>
            </w:r>
          </w:p>
          <w:p w14:paraId="1B94D2AA">
            <w:pPr>
              <w:ind w:firstLine="600"/>
              <w:rPr>
                <w:rFonts w:ascii="仿宋" w:hAnsi="仿宋" w:eastAsia="仿宋" w:cs="仿宋"/>
                <w:bCs/>
                <w:color w:val="auto"/>
                <w:sz w:val="24"/>
                <w:highlight w:val="none"/>
              </w:rPr>
            </w:pPr>
            <w:r>
              <w:rPr>
                <w:rFonts w:hint="eastAsia" w:ascii="仿宋" w:hAnsi="仿宋" w:eastAsia="仿宋" w:cs="仿宋"/>
                <w:color w:val="auto"/>
                <w:sz w:val="24"/>
                <w:highlight w:val="none"/>
              </w:rPr>
              <w:t>4.“信用徐州”网（</w:t>
            </w:r>
            <w:r>
              <w:rPr>
                <w:rFonts w:hint="eastAsia" w:ascii="仿宋" w:hAnsi="仿宋" w:eastAsia="仿宋" w:cs="仿宋"/>
                <w:bCs/>
                <w:color w:val="auto"/>
                <w:sz w:val="24"/>
                <w:highlight w:val="none"/>
              </w:rPr>
              <w:t>www.xuzhoucredit.gov.cn/</w:t>
            </w:r>
            <w:r>
              <w:rPr>
                <w:rFonts w:hint="eastAsia" w:ascii="仿宋" w:hAnsi="仿宋" w:eastAsia="仿宋" w:cs="仿宋"/>
                <w:color w:val="auto"/>
                <w:sz w:val="24"/>
                <w:highlight w:val="none"/>
              </w:rPr>
              <w:t>）。</w:t>
            </w:r>
          </w:p>
          <w:p w14:paraId="702A2966">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三、截止时点（查询环节）：开标后资格审查结束前。</w:t>
            </w:r>
          </w:p>
          <w:p w14:paraId="34152D43">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四、信用信息查询记录和证据留存的具体方式：</w:t>
            </w:r>
          </w:p>
          <w:p w14:paraId="18BB8965">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网页截屏打印，与其他采购文件一并保存。</w:t>
            </w:r>
          </w:p>
          <w:p w14:paraId="5B4DB741">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五、信用信息的使用规则：</w:t>
            </w:r>
          </w:p>
          <w:p w14:paraId="2B4A024F">
            <w:pPr>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72B34377">
            <w:pPr>
              <w:rPr>
                <w:rFonts w:ascii="仿宋" w:hAnsi="仿宋" w:eastAsia="仿宋" w:cs="仿宋"/>
                <w:strike/>
                <w:color w:val="auto"/>
                <w:sz w:val="24"/>
                <w:highlight w:val="none"/>
              </w:rPr>
            </w:pPr>
            <w:r>
              <w:rPr>
                <w:rFonts w:hint="eastAsia" w:ascii="仿宋" w:hAnsi="仿宋" w:eastAsia="仿宋" w:cs="仿宋"/>
                <w:bCs/>
                <w:color w:val="auto"/>
                <w:sz w:val="24"/>
                <w:highlight w:val="none"/>
              </w:rPr>
              <w:t xml:space="preserve">     </w:t>
            </w:r>
          </w:p>
        </w:tc>
      </w:tr>
      <w:tr w14:paraId="6FEC5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F2B7600">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2CE2B18C">
            <w:pPr>
              <w:rPr>
                <w:rFonts w:ascii="仿宋" w:hAnsi="仿宋" w:eastAsia="仿宋" w:cs="仿宋"/>
                <w:color w:val="auto"/>
                <w:sz w:val="24"/>
                <w:highlight w:val="none"/>
              </w:rPr>
            </w:pPr>
          </w:p>
        </w:tc>
      </w:tr>
      <w:tr w14:paraId="75DC44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1D81D27">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56AC4718">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三、投标</w:t>
            </w:r>
          </w:p>
        </w:tc>
      </w:tr>
      <w:tr w14:paraId="34DE55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6F08C0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18.3</w:t>
            </w:r>
          </w:p>
        </w:tc>
        <w:tc>
          <w:tcPr>
            <w:tcW w:w="7296" w:type="dxa"/>
            <w:tcBorders>
              <w:top w:val="single" w:color="auto" w:sz="4" w:space="0"/>
              <w:left w:val="single" w:color="auto" w:sz="4" w:space="0"/>
              <w:bottom w:val="single" w:color="auto" w:sz="4" w:space="0"/>
              <w:right w:val="single" w:color="auto" w:sz="4" w:space="0"/>
            </w:tcBorders>
            <w:noWrap w:val="0"/>
          </w:tcPr>
          <w:p w14:paraId="564DFD8D">
            <w:pPr>
              <w:rPr>
                <w:rFonts w:ascii="仿宋" w:hAnsi="仿宋" w:eastAsia="仿宋" w:cs="仿宋"/>
                <w:bCs/>
                <w:color w:val="auto"/>
                <w:sz w:val="24"/>
                <w:highlight w:val="none"/>
              </w:rPr>
            </w:pPr>
            <w:r>
              <w:rPr>
                <w:rFonts w:hint="eastAsia" w:ascii="仿宋" w:hAnsi="仿宋" w:eastAsia="仿宋" w:cs="仿宋"/>
                <w:color w:val="auto"/>
                <w:sz w:val="24"/>
                <w:highlight w:val="none"/>
              </w:rPr>
              <w:t>投标人的资格要求：见本项目公开招标公告。</w:t>
            </w:r>
          </w:p>
        </w:tc>
      </w:tr>
      <w:tr w14:paraId="4B06A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14FED4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19.1</w:t>
            </w:r>
          </w:p>
        </w:tc>
        <w:tc>
          <w:tcPr>
            <w:tcW w:w="7296" w:type="dxa"/>
            <w:tcBorders>
              <w:top w:val="single" w:color="auto" w:sz="4" w:space="0"/>
              <w:left w:val="single" w:color="auto" w:sz="4" w:space="0"/>
              <w:bottom w:val="single" w:color="auto" w:sz="4" w:space="0"/>
              <w:right w:val="single" w:color="auto" w:sz="4" w:space="0"/>
            </w:tcBorders>
            <w:noWrap w:val="0"/>
          </w:tcPr>
          <w:p w14:paraId="390F37BA">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投标人须用政府采购客户端工具导入“苏采云”系统下载的采购文件（后缀名为“.kedt”）后，离线编制投标文件。采购文件（后缀名为“.kedt”）及政府采购客户端工具可通过“苏采云”系统（网址：</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"http://jszfcg.jsczt.cn/"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http://jszfcg.jsc</w:t>
            </w:r>
            <w:bookmarkStart w:id="0" w:name="_Hlt91509263"/>
            <w:bookmarkStart w:id="1" w:name="_Hlt91509264"/>
            <w:r>
              <w:rPr>
                <w:rFonts w:hint="eastAsia" w:ascii="仿宋" w:hAnsi="仿宋" w:eastAsia="仿宋" w:cs="仿宋"/>
                <w:color w:val="auto"/>
                <w:sz w:val="24"/>
                <w:highlight w:val="none"/>
              </w:rPr>
              <w:t>z</w:t>
            </w:r>
            <w:bookmarkEnd w:id="0"/>
            <w:bookmarkEnd w:id="1"/>
            <w:r>
              <w:rPr>
                <w:rFonts w:hint="eastAsia" w:ascii="仿宋" w:hAnsi="仿宋" w:eastAsia="仿宋" w:cs="仿宋"/>
                <w:color w:val="auto"/>
                <w:sz w:val="24"/>
                <w:highlight w:val="none"/>
              </w:rPr>
              <w:t>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）--已报名项目--报名详情页面内相应链接进行下载；“苏采云”系统供应商操作手册的获取及操作中的技术问题可通过“苏采云”系统中的客服热线进行咨询。</w:t>
            </w:r>
          </w:p>
          <w:p w14:paraId="1D38EE48">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特别说明：政府采购客户端工具需要导出加密的投标文件（后缀名为zip）。</w:t>
            </w:r>
            <w:r>
              <w:rPr>
                <w:rFonts w:hint="eastAsia" w:ascii="仿宋" w:hAnsi="仿宋" w:eastAsia="仿宋" w:cs="仿宋"/>
                <w:b/>
                <w:bCs/>
                <w:color w:val="auto"/>
                <w:sz w:val="24"/>
                <w:highlight w:val="none"/>
              </w:rPr>
              <w:t>投标文件不得超过150M！</w:t>
            </w:r>
          </w:p>
        </w:tc>
      </w:tr>
      <w:tr w14:paraId="32CEC9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0B874E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19.2</w:t>
            </w:r>
          </w:p>
        </w:tc>
        <w:tc>
          <w:tcPr>
            <w:tcW w:w="7296" w:type="dxa"/>
            <w:tcBorders>
              <w:top w:val="single" w:color="auto" w:sz="4" w:space="0"/>
              <w:left w:val="single" w:color="auto" w:sz="4" w:space="0"/>
              <w:bottom w:val="single" w:color="auto" w:sz="4" w:space="0"/>
              <w:right w:val="single" w:color="auto" w:sz="4" w:space="0"/>
            </w:tcBorders>
            <w:noWrap w:val="0"/>
          </w:tcPr>
          <w:p w14:paraId="081F111A">
            <w:pPr>
              <w:rPr>
                <w:rFonts w:ascii="仿宋" w:hAnsi="仿宋" w:eastAsia="仿宋" w:cs="仿宋"/>
                <w:color w:val="auto"/>
                <w:sz w:val="24"/>
                <w:highlight w:val="none"/>
              </w:rPr>
            </w:pPr>
            <w:r>
              <w:rPr>
                <w:rFonts w:hint="eastAsia" w:ascii="仿宋" w:hAnsi="仿宋" w:eastAsia="仿宋" w:cs="仿宋"/>
                <w:b/>
                <w:bCs/>
                <w:color w:val="auto"/>
                <w:sz w:val="24"/>
                <w:highlight w:val="none"/>
              </w:rPr>
              <w:t>投标文件编制要求</w:t>
            </w:r>
            <w:r>
              <w:rPr>
                <w:rFonts w:hint="eastAsia" w:ascii="仿宋" w:hAnsi="仿宋" w:eastAsia="仿宋" w:cs="仿宋"/>
                <w:color w:val="auto"/>
                <w:sz w:val="24"/>
                <w:highlight w:val="none"/>
              </w:rPr>
              <w:t>：</w:t>
            </w:r>
          </w:p>
          <w:p w14:paraId="1F9C901D">
            <w:pPr>
              <w:rPr>
                <w:rFonts w:ascii="仿宋" w:hAnsi="仿宋" w:eastAsia="仿宋" w:cs="仿宋"/>
                <w:color w:val="auto"/>
                <w:sz w:val="24"/>
                <w:highlight w:val="none"/>
              </w:rPr>
            </w:pPr>
            <w:r>
              <w:rPr>
                <w:rFonts w:hint="eastAsia" w:ascii="仿宋" w:hAnsi="仿宋" w:eastAsia="仿宋" w:cs="仿宋"/>
                <w:color w:val="auto"/>
                <w:sz w:val="24"/>
                <w:highlight w:val="none"/>
              </w:rPr>
              <w:t>请按照以下要求（包括但不限于以下要求）制作：</w:t>
            </w:r>
          </w:p>
          <w:p w14:paraId="271D6A45">
            <w:pPr>
              <w:rPr>
                <w:rFonts w:ascii="仿宋" w:hAnsi="仿宋" w:eastAsia="仿宋" w:cs="仿宋"/>
                <w:b/>
                <w:color w:val="auto"/>
                <w:sz w:val="24"/>
                <w:highlight w:val="none"/>
              </w:rPr>
            </w:pPr>
            <w:r>
              <w:rPr>
                <w:rFonts w:hint="eastAsia" w:ascii="仿宋" w:hAnsi="仿宋" w:eastAsia="仿宋" w:cs="仿宋"/>
                <w:b/>
                <w:color w:val="auto"/>
                <w:sz w:val="24"/>
                <w:highlight w:val="none"/>
              </w:rPr>
              <w:t>一、基本目录</w:t>
            </w:r>
          </w:p>
          <w:p w14:paraId="6E396DC7">
            <w:pPr>
              <w:rPr>
                <w:rFonts w:ascii="仿宋" w:hAnsi="仿宋" w:eastAsia="仿宋" w:cs="仿宋"/>
                <w:color w:val="auto"/>
                <w:sz w:val="24"/>
                <w:highlight w:val="none"/>
              </w:rPr>
            </w:pPr>
            <w:r>
              <w:rPr>
                <w:rFonts w:hint="eastAsia" w:ascii="仿宋" w:hAnsi="仿宋" w:eastAsia="仿宋" w:cs="仿宋"/>
                <w:color w:val="auto"/>
                <w:sz w:val="24"/>
                <w:highlight w:val="none"/>
              </w:rPr>
              <w:t>1.《开标一览表》（加盖电子签章，政府采购客户端工具输入报价自动生成）；</w:t>
            </w:r>
          </w:p>
          <w:p w14:paraId="41C522A8">
            <w:pPr>
              <w:widowControl/>
              <w:outlineLvl w:val="2"/>
              <w:rPr>
                <w:rFonts w:ascii="仿宋" w:hAnsi="仿宋" w:eastAsia="仿宋" w:cs="仿宋"/>
                <w:color w:val="auto"/>
                <w:sz w:val="24"/>
                <w:highlight w:val="none"/>
              </w:rPr>
            </w:pPr>
            <w:r>
              <w:rPr>
                <w:rFonts w:hint="eastAsia" w:ascii="仿宋" w:hAnsi="仿宋" w:eastAsia="仿宋" w:cs="仿宋"/>
                <w:color w:val="auto"/>
                <w:sz w:val="24"/>
                <w:highlight w:val="none"/>
              </w:rPr>
              <w:t>2.《授权委托书》（提供扫描件，格式见招标文件第七章《投标文件相关格式》）；</w:t>
            </w:r>
          </w:p>
          <w:p w14:paraId="1DDD10B0">
            <w:pPr>
              <w:rPr>
                <w:rFonts w:ascii="仿宋" w:hAnsi="仿宋" w:eastAsia="仿宋" w:cs="仿宋"/>
                <w:color w:val="auto"/>
                <w:sz w:val="24"/>
                <w:highlight w:val="none"/>
              </w:rPr>
            </w:pPr>
            <w:r>
              <w:rPr>
                <w:rFonts w:hint="eastAsia" w:ascii="仿宋" w:hAnsi="仿宋" w:eastAsia="仿宋" w:cs="仿宋"/>
                <w:b/>
                <w:color w:val="auto"/>
                <w:sz w:val="24"/>
                <w:highlight w:val="none"/>
              </w:rPr>
              <w:t>二、资格条件</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1～7项</w:t>
            </w:r>
            <w:r>
              <w:rPr>
                <w:rFonts w:hint="eastAsia" w:ascii="仿宋" w:hAnsi="仿宋" w:eastAsia="仿宋" w:cs="仿宋"/>
                <w:b/>
                <w:color w:val="auto"/>
                <w:sz w:val="24"/>
                <w:highlight w:val="none"/>
                <w:lang w:eastAsia="zh-CN"/>
              </w:rPr>
              <w:t>及</w:t>
            </w:r>
            <w:r>
              <w:rPr>
                <w:rFonts w:hint="eastAsia" w:ascii="仿宋" w:hAnsi="仿宋" w:eastAsia="仿宋" w:cs="仿宋"/>
                <w:b/>
                <w:color w:val="auto"/>
                <w:sz w:val="24"/>
                <w:highlight w:val="none"/>
                <w:lang w:val="en-US" w:eastAsia="zh-CN"/>
              </w:rPr>
              <w:t>9项</w:t>
            </w:r>
            <w:r>
              <w:rPr>
                <w:rFonts w:hint="eastAsia" w:ascii="仿宋" w:hAnsi="仿宋" w:eastAsia="仿宋" w:cs="仿宋"/>
                <w:b/>
                <w:color w:val="auto"/>
                <w:sz w:val="24"/>
                <w:highlight w:val="none"/>
              </w:rPr>
              <w:t>必须提供，否则投标无效</w:t>
            </w:r>
            <w:r>
              <w:rPr>
                <w:rFonts w:hint="eastAsia" w:ascii="仿宋" w:hAnsi="仿宋" w:eastAsia="仿宋" w:cs="仿宋"/>
                <w:color w:val="auto"/>
                <w:sz w:val="24"/>
                <w:highlight w:val="none"/>
              </w:rPr>
              <w:t>）</w:t>
            </w:r>
          </w:p>
          <w:p w14:paraId="765CDB53">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1.投标人合法有效的法人或者其他组织的营业执照等证明文件，自然人的身份证明。以上证明文件提供扫描件。</w:t>
            </w:r>
          </w:p>
          <w:p w14:paraId="45BA2618">
            <w:pPr>
              <w:widowControl/>
              <w:ind w:firstLine="240"/>
              <w:outlineLvl w:val="2"/>
              <w:rPr>
                <w:rFonts w:ascii="仿宋" w:hAnsi="仿宋" w:eastAsia="仿宋" w:cs="仿宋"/>
                <w:color w:val="auto"/>
                <w:sz w:val="24"/>
                <w:highlight w:val="none"/>
              </w:rPr>
            </w:pPr>
            <w:r>
              <w:rPr>
                <w:rFonts w:hint="eastAsia" w:ascii="仿宋" w:hAnsi="仿宋" w:eastAsia="仿宋" w:cs="仿宋"/>
                <w:color w:val="auto"/>
                <w:sz w:val="24"/>
                <w:highlight w:val="none"/>
              </w:rPr>
              <w:t>2.提供投标人的本项目开标时间前6个月内任一时间截点资产负债表、利润表扫描件各一份；或提供合法有效的经第三方机构审计的上一年度财务审计报告扫描件（应包括审计报告正文、资产负债表、现金流量表、利润表）；</w:t>
            </w:r>
          </w:p>
          <w:p w14:paraId="7D96CE7B">
            <w:pPr>
              <w:widowControl/>
              <w:ind w:firstLine="240"/>
              <w:outlineLvl w:val="2"/>
              <w:rPr>
                <w:rFonts w:ascii="仿宋" w:hAnsi="仿宋" w:eastAsia="仿宋" w:cs="仿宋"/>
                <w:color w:val="auto"/>
                <w:sz w:val="24"/>
                <w:highlight w:val="none"/>
              </w:rPr>
            </w:pPr>
            <w:r>
              <w:rPr>
                <w:rFonts w:hint="eastAsia" w:ascii="仿宋" w:hAnsi="仿宋" w:eastAsia="仿宋" w:cs="仿宋"/>
                <w:color w:val="auto"/>
                <w:sz w:val="24"/>
                <w:highlight w:val="none"/>
              </w:rPr>
              <w:t>3.投标人依法缴纳税收和社会保障资金的记录：</w:t>
            </w:r>
          </w:p>
          <w:p w14:paraId="164199DE">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（1）本项目开标时间前6个月内任何1月的依法缴纳税收的相关材料的扫描件；</w:t>
            </w:r>
          </w:p>
          <w:p w14:paraId="7E920477">
            <w:pPr>
              <w:ind w:firstLine="240"/>
              <w:rPr>
                <w:rFonts w:ascii="仿宋" w:hAnsi="仿宋" w:eastAsia="仿宋" w:cs="仿宋"/>
                <w:color w:val="auto"/>
                <w:sz w:val="24"/>
                <w:highlight w:val="none"/>
              </w:rPr>
            </w:pPr>
            <w:r>
              <w:rPr>
                <w:rFonts w:hint="eastAsia" w:ascii="仿宋" w:hAnsi="仿宋" w:eastAsia="仿宋" w:cs="仿宋"/>
                <w:color w:val="auto"/>
                <w:sz w:val="24"/>
                <w:highlight w:val="none"/>
              </w:rPr>
              <w:t>（2）本项目开标时间前6个月内任何1月的依法缴纳社会保障资金的相关材料的扫描件。</w:t>
            </w:r>
          </w:p>
          <w:p w14:paraId="683B922E">
            <w:pPr>
              <w:widowControl/>
              <w:ind w:right="26"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4.具备履行合同所必需的设备和专业技术能力的证明材料，即投标文件中提供《</w:t>
            </w:r>
            <w:bookmarkStart w:id="2" w:name="_Toc515551102"/>
            <w:r>
              <w:rPr>
                <w:rFonts w:hint="eastAsia" w:ascii="仿宋" w:hAnsi="仿宋" w:eastAsia="仿宋" w:cs="仿宋"/>
                <w:color w:val="auto"/>
                <w:sz w:val="24"/>
                <w:highlight w:val="none"/>
              </w:rPr>
              <w:t>具备履行合同所必需的设备和专业技术能力的书面声明</w:t>
            </w:r>
            <w:bookmarkEnd w:id="2"/>
            <w:r>
              <w:rPr>
                <w:rFonts w:hint="eastAsia" w:ascii="仿宋" w:hAnsi="仿宋" w:eastAsia="仿宋" w:cs="仿宋"/>
                <w:color w:val="auto"/>
                <w:sz w:val="24"/>
                <w:highlight w:val="none"/>
              </w:rPr>
              <w:t>》（加盖电子签章，格式见招标文件第七章《投标文件相关格式》）。</w:t>
            </w:r>
          </w:p>
          <w:p w14:paraId="59C8B49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5.投标人参加政府采购活动前3年内在经营活动中没有重大违法记录的书面声明（加盖电子签章，格式见招标文件第七章《投标文件相关格式》）。</w:t>
            </w:r>
          </w:p>
          <w:p w14:paraId="5522295F">
            <w:pPr>
              <w:widowControl/>
              <w:ind w:right="26"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6.投标人关于单位负责人为同一人或者存在直接控股、管理关系的不同供应商，不得参加同一合同项下的政府采购活动的承诺。（加盖电子签章，格式见招标文件第七章《</w:t>
            </w:r>
            <w:r>
              <w:rPr>
                <w:rFonts w:hint="eastAsia" w:ascii="仿宋" w:hAnsi="仿宋" w:eastAsia="仿宋"/>
                <w:color w:val="auto"/>
                <w:sz w:val="24"/>
                <w:szCs w:val="24"/>
                <w:highlight w:val="none"/>
              </w:rPr>
              <w:t>投标文件相关格式</w:t>
            </w:r>
            <w:r>
              <w:rPr>
                <w:rFonts w:hint="eastAsia" w:ascii="仿宋" w:hAnsi="仿宋" w:eastAsia="仿宋" w:cs="仿宋"/>
                <w:color w:val="auto"/>
                <w:sz w:val="24"/>
                <w:highlight w:val="none"/>
              </w:rPr>
              <w:t>》）。</w:t>
            </w:r>
          </w:p>
          <w:p w14:paraId="7AAB7CF6">
            <w:pPr>
              <w:widowControl/>
              <w:ind w:right="26"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7.投标人不是为本采购项目提供整体设计、规范编制或者项目管理、监理、检测等服务的供应商的书面声明。（加盖电子签章，格式见招标文件第七章《投标文件相关格式》）。</w:t>
            </w:r>
          </w:p>
          <w:p w14:paraId="0F572693">
            <w:pPr>
              <w:pStyle w:val="45"/>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p>
          <w:p w14:paraId="72554CF2">
            <w:pPr>
              <w:widowControl/>
              <w:ind w:right="26" w:firstLine="480" w:firstLineChars="200"/>
              <w:jc w:val="left"/>
              <w:rPr>
                <w:rFonts w:ascii="仿宋" w:hAnsi="仿宋" w:eastAsia="仿宋" w:cs="仿宋"/>
                <w:color w:val="auto"/>
                <w:sz w:val="24"/>
                <w:highlight w:val="none"/>
              </w:rPr>
            </w:pPr>
            <w:r>
              <w:rPr>
                <w:rFonts w:hint="eastAsia" w:ascii="仿宋" w:hAnsi="仿宋" w:eastAsia="仿宋" w:cs="宋体"/>
                <w:color w:val="auto"/>
                <w:kern w:val="0"/>
                <w:sz w:val="24"/>
                <w:highlight w:val="none"/>
              </w:rPr>
              <w:t>9.</w:t>
            </w:r>
            <w:r>
              <w:rPr>
                <w:rFonts w:hint="eastAsia" w:ascii="仿宋" w:hAnsi="仿宋" w:eastAsia="仿宋"/>
                <w:color w:val="auto"/>
                <w:sz w:val="24"/>
                <w:highlight w:val="none"/>
              </w:rPr>
              <w:t>本项目为专门面向中小企业采购的项目，</w:t>
            </w:r>
            <w:r>
              <w:rPr>
                <w:rFonts w:hint="eastAsia" w:ascii="仿宋" w:hAnsi="仿宋" w:eastAsia="仿宋"/>
                <w:iCs/>
                <w:color w:val="auto"/>
                <w:sz w:val="24"/>
                <w:highlight w:val="none"/>
              </w:rPr>
              <w:t>供应商应为中小微企业、监狱企业、残疾人福利性单位。</w:t>
            </w:r>
          </w:p>
          <w:p w14:paraId="061A1089">
            <w:pPr>
              <w:rPr>
                <w:rFonts w:ascii="仿宋" w:hAnsi="仿宋" w:eastAsia="仿宋" w:cs="仿宋"/>
                <w:color w:val="auto"/>
                <w:sz w:val="24"/>
                <w:highlight w:val="none"/>
              </w:rPr>
            </w:pPr>
            <w:r>
              <w:rPr>
                <w:rFonts w:hint="eastAsia" w:ascii="仿宋" w:hAnsi="仿宋" w:eastAsia="仿宋" w:cs="仿宋"/>
                <w:color w:val="auto"/>
                <w:sz w:val="24"/>
                <w:highlight w:val="none"/>
              </w:rPr>
              <w:t>（1）投标人提供的服务全部由符合政策要求的中小企业承接的，提供《中小企业声明函》（加盖电子签章，格式见招标文件第七章《投标文件相关格式》）。</w:t>
            </w:r>
          </w:p>
          <w:p w14:paraId="45B677F5">
            <w:pPr>
              <w:rPr>
                <w:rFonts w:ascii="仿宋" w:hAnsi="仿宋" w:eastAsia="仿宋" w:cs="仿宋"/>
                <w:color w:val="auto"/>
                <w:sz w:val="24"/>
                <w:highlight w:val="none"/>
              </w:rPr>
            </w:pPr>
            <w:r>
              <w:rPr>
                <w:rFonts w:hint="eastAsia" w:ascii="仿宋" w:hAnsi="仿宋" w:eastAsia="仿宋" w:cs="仿宋"/>
                <w:color w:val="auto"/>
                <w:sz w:val="24"/>
                <w:highlight w:val="none"/>
              </w:rPr>
              <w:t>注：具体以《政府采购促进中小企业发展管理办法》（财库[2020]46号）和《关于印发中小企业划型标准规定的通知》（工信部联企业[2011]300号）的规定为准。</w:t>
            </w:r>
          </w:p>
          <w:p w14:paraId="63C50BB8">
            <w:pPr>
              <w:rPr>
                <w:rFonts w:ascii="仿宋" w:hAnsi="仿宋" w:eastAsia="仿宋" w:cs="仿宋"/>
                <w:color w:val="auto"/>
                <w:sz w:val="24"/>
                <w:highlight w:val="none"/>
              </w:rPr>
            </w:pPr>
            <w:r>
              <w:rPr>
                <w:rFonts w:hint="eastAsia" w:ascii="仿宋" w:hAnsi="仿宋" w:eastAsia="仿宋" w:cs="仿宋"/>
                <w:color w:val="auto"/>
                <w:sz w:val="24"/>
                <w:highlight w:val="none"/>
              </w:rPr>
              <w:t>（2）投标人为监狱企业的，提供省级以上监狱管理局、戒毒管理局（含新疆生产建设兵团）出具的属于监狱企业的证明文件的扫描件。</w:t>
            </w:r>
          </w:p>
          <w:p w14:paraId="1611E594">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注：具体以《财政部 司法部关于政府采购支持监狱企业发展有关问题的通知》（财库〔2014〕68号）的规定为准。</w:t>
            </w:r>
          </w:p>
          <w:p w14:paraId="333200F0">
            <w:pPr>
              <w:rPr>
                <w:rFonts w:ascii="仿宋" w:hAnsi="仿宋" w:eastAsia="仿宋" w:cs="仿宋"/>
                <w:color w:val="auto"/>
                <w:sz w:val="24"/>
                <w:highlight w:val="none"/>
              </w:rPr>
            </w:pPr>
            <w:r>
              <w:rPr>
                <w:rFonts w:hint="eastAsia" w:ascii="仿宋" w:hAnsi="仿宋" w:eastAsia="仿宋" w:cs="仿宋"/>
                <w:color w:val="auto"/>
                <w:sz w:val="24"/>
                <w:highlight w:val="none"/>
              </w:rPr>
              <w:t>（3）投标人为享受政府采购支持政策的残疾人福利性单位的，提供《残疾人福利性单位声明函》（加盖电子签章，格式见招标文件第七章《投标文件相关格式》）。</w:t>
            </w:r>
          </w:p>
          <w:p w14:paraId="1966E6A8">
            <w:pPr>
              <w:widowControl/>
              <w:adjustRightInd w:val="0"/>
              <w:snapToGrid w:val="0"/>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享受政府采购支持政策的残疾人福利性单位应当同时满足以下条件：</w:t>
            </w:r>
          </w:p>
          <w:p w14:paraId="55DF2710">
            <w:pPr>
              <w:widowControl/>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　　①安置的残疾人占本单位在职职工人数的比例不低于25%（含25%），并且安置的残疾人人数不少于10人（含10人）；</w:t>
            </w:r>
          </w:p>
          <w:p w14:paraId="4B0626B2">
            <w:pPr>
              <w:widowControl/>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　　②依法与安置的每位残疾人签订了一年以上（含一年）的劳动合同或服务协议；</w:t>
            </w:r>
          </w:p>
          <w:p w14:paraId="0B70E944">
            <w:pPr>
              <w:widowControl/>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　　③为安置的每位残疾人按月足额缴纳了基本养老保险、基本医疗保险、失业保险、工伤保险和生育保险等社会保险费；</w:t>
            </w:r>
          </w:p>
          <w:p w14:paraId="2C0BFCCB">
            <w:pPr>
              <w:widowControl/>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　　④通过银行等金融机构向安置的每位残疾人，按月支付了不低于单位所在区县适用的经省级人民政府批准的月最低工资标准的工资；</w:t>
            </w:r>
          </w:p>
          <w:p w14:paraId="56C89C51">
            <w:pPr>
              <w:widowControl/>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　　⑤提供本单位制造的货物、承担的工程或者服务（以下简称产品），或者提供其他残疾人福利性单位制造的货物（不包括使用非残疾人福利性单位注册商标的货物）。</w:t>
            </w:r>
          </w:p>
          <w:p w14:paraId="73E73C98">
            <w:pPr>
              <w:widowControl/>
              <w:adjustRightInd w:val="0"/>
              <w:snapToGrid w:val="0"/>
              <w:jc w:val="left"/>
              <w:rPr>
                <w:rFonts w:ascii="仿宋" w:hAnsi="仿宋" w:eastAsia="仿宋" w:cs="仿宋"/>
                <w:color w:val="auto"/>
                <w:sz w:val="24"/>
                <w:highlight w:val="none"/>
              </w:rPr>
            </w:pPr>
            <w:r>
              <w:rPr>
                <w:rFonts w:hint="eastAsia" w:ascii="仿宋" w:hAnsi="仿宋" w:eastAsia="仿宋" w:cs="仿宋"/>
                <w:color w:val="auto"/>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84233AC">
            <w:pPr>
              <w:widowControl/>
              <w:adjustRightInd w:val="0"/>
              <w:snapToGrid w:val="0"/>
              <w:outlineLvl w:val="2"/>
              <w:rPr>
                <w:rFonts w:ascii="仿宋" w:hAnsi="仿宋" w:eastAsia="仿宋" w:cs="仿宋"/>
                <w:color w:val="auto"/>
                <w:sz w:val="24"/>
                <w:highlight w:val="none"/>
              </w:rPr>
            </w:pPr>
            <w:r>
              <w:rPr>
                <w:rFonts w:hint="eastAsia" w:ascii="仿宋" w:hAnsi="仿宋" w:eastAsia="仿宋" w:cs="仿宋"/>
                <w:color w:val="auto"/>
                <w:sz w:val="24"/>
                <w:highlight w:val="none"/>
              </w:rPr>
              <w:t xml:space="preserve">   具体以《三部门联合发布关于促进残疾人就业政府采购政策的通知》（财库〔2017〕141号）规定为准。</w:t>
            </w:r>
          </w:p>
          <w:p w14:paraId="0F89B2D1">
            <w:pPr>
              <w:pStyle w:val="45"/>
              <w:rPr>
                <w:color w:val="auto"/>
                <w:highlight w:val="none"/>
              </w:rPr>
            </w:pPr>
          </w:p>
          <w:p w14:paraId="1B1291CA">
            <w:pPr>
              <w:rPr>
                <w:color w:val="auto"/>
                <w:highlight w:val="none"/>
              </w:rPr>
            </w:pPr>
          </w:p>
          <w:p w14:paraId="70C41F55">
            <w:pPr>
              <w:rPr>
                <w:rFonts w:ascii="仿宋" w:hAnsi="仿宋" w:eastAsia="仿宋" w:cs="仿宋"/>
                <w:color w:val="auto"/>
                <w:sz w:val="24"/>
                <w:highlight w:val="none"/>
              </w:rPr>
            </w:pPr>
            <w:r>
              <w:rPr>
                <w:rFonts w:hint="eastAsia" w:ascii="仿宋" w:hAnsi="仿宋" w:eastAsia="仿宋" w:cs="仿宋"/>
                <w:b/>
                <w:color w:val="auto"/>
                <w:sz w:val="24"/>
                <w:highlight w:val="none"/>
              </w:rPr>
              <w:t>三、符合条件</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必须提供，否则投标无效</w:t>
            </w:r>
            <w:r>
              <w:rPr>
                <w:rFonts w:hint="eastAsia" w:ascii="仿宋" w:hAnsi="仿宋" w:eastAsia="仿宋" w:cs="仿宋"/>
                <w:color w:val="auto"/>
                <w:sz w:val="24"/>
                <w:highlight w:val="none"/>
              </w:rPr>
              <w:t>）</w:t>
            </w:r>
          </w:p>
          <w:p w14:paraId="6882C4EE">
            <w:pPr>
              <w:rPr>
                <w:rFonts w:ascii="仿宋" w:hAnsi="仿宋" w:eastAsia="仿宋" w:cs="仿宋"/>
                <w:color w:val="auto"/>
                <w:sz w:val="24"/>
                <w:highlight w:val="none"/>
              </w:rPr>
            </w:pPr>
            <w:r>
              <w:rPr>
                <w:rFonts w:hint="eastAsia" w:ascii="仿宋" w:hAnsi="仿宋" w:eastAsia="仿宋" w:cs="仿宋"/>
                <w:color w:val="auto"/>
                <w:sz w:val="24"/>
                <w:highlight w:val="none"/>
              </w:rPr>
              <w:t>1.报价符合性审查：</w:t>
            </w:r>
          </w:p>
          <w:p w14:paraId="2767528E">
            <w:pPr>
              <w:rPr>
                <w:rFonts w:ascii="仿宋" w:hAnsi="仿宋" w:eastAsia="仿宋" w:cs="仿宋"/>
                <w:color w:val="auto"/>
                <w:sz w:val="24"/>
                <w:highlight w:val="none"/>
              </w:rPr>
            </w:pPr>
            <w:r>
              <w:rPr>
                <w:rFonts w:hint="eastAsia" w:ascii="仿宋" w:hAnsi="仿宋" w:eastAsia="仿宋"/>
                <w:color w:val="auto"/>
                <w:sz w:val="24"/>
                <w:highlight w:val="none"/>
              </w:rPr>
              <w:t>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p>
          <w:p w14:paraId="34B90CDA">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《分项价格表》（加盖电子签章，格式见招标文件第七章《投标文件相关格式》。）；</w:t>
            </w:r>
          </w:p>
          <w:p w14:paraId="382BE677">
            <w:pPr>
              <w:rPr>
                <w:rFonts w:ascii="仿宋" w:hAnsi="仿宋" w:eastAsia="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.《投标函》（加盖电子签章，格式见招标文件第七章《投标文件相关格式》。）；</w:t>
            </w:r>
          </w:p>
          <w:p w14:paraId="53F53D92">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.《采购需求符合性条件响应表》（加盖电子签章，格式见招标文件第七章《投标文件相关格式》。）；</w:t>
            </w:r>
          </w:p>
          <w:p w14:paraId="6E89F23B">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.《偏离表》（加盖电子签章，格式见招标文件第七章《投标文件相关格式》。）；</w:t>
            </w:r>
          </w:p>
          <w:p w14:paraId="27595D9E">
            <w:pPr>
              <w:rPr>
                <w:rFonts w:ascii="仿宋" w:hAnsi="仿宋" w:eastAsia="仿宋" w:cs="仿宋"/>
                <w:b/>
                <w:color w:val="auto"/>
                <w:sz w:val="24"/>
                <w:highlight w:val="none"/>
              </w:rPr>
            </w:pPr>
            <w:r>
              <w:rPr>
                <w:rFonts w:hint="eastAsia" w:ascii="仿宋" w:hAnsi="仿宋" w:eastAsia="仿宋" w:cs="仿宋"/>
                <w:b/>
                <w:color w:val="auto"/>
                <w:sz w:val="24"/>
                <w:highlight w:val="none"/>
              </w:rPr>
              <w:t>四、综合评审评分项</w:t>
            </w:r>
          </w:p>
          <w:p w14:paraId="13CB7122">
            <w:pPr>
              <w:rPr>
                <w:rFonts w:hint="eastAsia" w:ascii="仿宋" w:hAnsi="仿宋" w:eastAsia="仿宋" w:cs="仿宋"/>
                <w:color w:val="auto"/>
                <w:sz w:val="24"/>
                <w:highlight w:val="none"/>
              </w:rPr>
            </w:pPr>
            <w:r>
              <w:rPr>
                <w:rFonts w:hint="eastAsia" w:ascii="仿宋" w:hAnsi="仿宋" w:eastAsia="仿宋" w:cs="仿宋"/>
                <w:color w:val="auto"/>
                <w:sz w:val="24"/>
                <w:highlight w:val="none"/>
              </w:rPr>
              <w:t>（一）技术部分</w:t>
            </w:r>
          </w:p>
          <w:p w14:paraId="030F06A0">
            <w:pP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default" w:ascii="仿宋" w:hAnsi="仿宋" w:eastAsia="仿宋" w:cs="仿宋"/>
                <w:color w:val="auto"/>
                <w:sz w:val="24"/>
                <w:highlight w:val="none"/>
                <w:lang w:val="en-US" w:eastAsia="zh-CN"/>
              </w:rPr>
              <w:t>基本服务方案</w:t>
            </w:r>
            <w:r>
              <w:rPr>
                <w:rFonts w:hint="eastAsia" w:ascii="仿宋" w:hAnsi="仿宋" w:eastAsia="仿宋" w:cs="仿宋"/>
                <w:color w:val="auto"/>
                <w:sz w:val="24"/>
                <w:highlight w:val="none"/>
              </w:rPr>
              <w:t>（要求见招标文件第六章《采购需求》）；</w:t>
            </w:r>
          </w:p>
          <w:p w14:paraId="3A448085">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w:t>
            </w:r>
            <w:r>
              <w:rPr>
                <w:rFonts w:hint="default" w:ascii="仿宋" w:hAnsi="仿宋" w:eastAsia="仿宋" w:cs="仿宋"/>
                <w:color w:val="auto"/>
                <w:sz w:val="24"/>
                <w:highlight w:val="none"/>
                <w:lang w:val="en-US" w:eastAsia="zh-CN"/>
              </w:rPr>
              <w:t>保洁服务方案</w:t>
            </w:r>
            <w:r>
              <w:rPr>
                <w:rFonts w:hint="eastAsia" w:ascii="仿宋" w:hAnsi="仿宋" w:eastAsia="仿宋" w:cs="仿宋"/>
                <w:color w:val="auto"/>
                <w:sz w:val="24"/>
                <w:highlight w:val="none"/>
              </w:rPr>
              <w:t>要求见招标文件第六章《采购需求》）</w:t>
            </w:r>
            <w:r>
              <w:rPr>
                <w:rFonts w:hint="eastAsia" w:ascii="仿宋" w:hAnsi="仿宋" w:eastAsia="仿宋" w:cs="仿宋"/>
                <w:color w:val="auto"/>
                <w:sz w:val="24"/>
                <w:highlight w:val="none"/>
                <w:lang w:eastAsia="zh-CN"/>
              </w:rPr>
              <w:t>；</w:t>
            </w:r>
          </w:p>
          <w:p w14:paraId="7E2A2825">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default" w:ascii="仿宋" w:hAnsi="仿宋" w:eastAsia="仿宋" w:cs="仿宋"/>
                <w:color w:val="auto"/>
                <w:sz w:val="24"/>
                <w:highlight w:val="none"/>
                <w:lang w:val="en-US" w:eastAsia="zh-CN"/>
              </w:rPr>
              <w:t>安保服务方案</w:t>
            </w:r>
            <w:r>
              <w:rPr>
                <w:rFonts w:hint="eastAsia" w:ascii="仿宋" w:hAnsi="仿宋" w:eastAsia="仿宋" w:cs="仿宋"/>
                <w:color w:val="auto"/>
                <w:sz w:val="24"/>
                <w:highlight w:val="none"/>
              </w:rPr>
              <w:t>（要求见招标文件第六章《采购需求》）；</w:t>
            </w:r>
          </w:p>
          <w:p w14:paraId="11ECE409">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r>
              <w:rPr>
                <w:rFonts w:hint="default" w:ascii="仿宋" w:hAnsi="仿宋" w:eastAsia="仿宋" w:cs="仿宋"/>
                <w:color w:val="auto"/>
                <w:sz w:val="24"/>
                <w:highlight w:val="none"/>
                <w:lang w:val="en-US" w:eastAsia="zh-CN"/>
              </w:rPr>
              <w:t>公用设施设备维护服务方案</w:t>
            </w:r>
            <w:r>
              <w:rPr>
                <w:rFonts w:hint="eastAsia" w:ascii="仿宋" w:hAnsi="仿宋" w:eastAsia="仿宋" w:cs="仿宋"/>
                <w:color w:val="auto"/>
                <w:sz w:val="24"/>
                <w:highlight w:val="none"/>
              </w:rPr>
              <w:t>（要求见招标文件第六章《采购需求》）；</w:t>
            </w:r>
          </w:p>
          <w:p w14:paraId="53CD318A">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r>
              <w:rPr>
                <w:rFonts w:hint="default" w:ascii="仿宋" w:hAnsi="仿宋" w:eastAsia="仿宋" w:cs="仿宋"/>
                <w:color w:val="auto"/>
                <w:sz w:val="24"/>
                <w:highlight w:val="none"/>
                <w:lang w:val="en-US" w:eastAsia="zh-CN"/>
              </w:rPr>
              <w:t>处理突发事件服务方案</w:t>
            </w:r>
            <w:r>
              <w:rPr>
                <w:rFonts w:hint="eastAsia" w:ascii="仿宋" w:hAnsi="仿宋" w:eastAsia="仿宋" w:cs="仿宋"/>
                <w:color w:val="auto"/>
                <w:sz w:val="24"/>
                <w:highlight w:val="none"/>
              </w:rPr>
              <w:t>（要求见招标文件第六章《采购需求》）；</w:t>
            </w:r>
          </w:p>
          <w:p w14:paraId="1767F9FA">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r>
              <w:rPr>
                <w:rFonts w:hint="default" w:ascii="仿宋" w:hAnsi="仿宋" w:eastAsia="仿宋" w:cs="仿宋"/>
                <w:color w:val="auto"/>
                <w:sz w:val="24"/>
                <w:highlight w:val="none"/>
                <w:lang w:val="en-US" w:eastAsia="zh-CN"/>
              </w:rPr>
              <w:t>公共设施节水、节电、节能管理方案</w:t>
            </w:r>
            <w:r>
              <w:rPr>
                <w:rFonts w:hint="eastAsia" w:ascii="仿宋" w:hAnsi="仿宋" w:eastAsia="仿宋" w:cs="仿宋"/>
                <w:color w:val="auto"/>
                <w:sz w:val="24"/>
                <w:highlight w:val="none"/>
              </w:rPr>
              <w:t>（要求见招标文件第六章《采购需求》）；</w:t>
            </w:r>
          </w:p>
          <w:p w14:paraId="694481E0">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r>
              <w:rPr>
                <w:rFonts w:hint="default" w:ascii="仿宋" w:hAnsi="仿宋" w:eastAsia="仿宋" w:cs="仿宋"/>
                <w:color w:val="auto"/>
                <w:sz w:val="24"/>
                <w:highlight w:val="none"/>
                <w:lang w:val="en-US" w:eastAsia="zh-CN"/>
              </w:rPr>
              <w:t>物业移交方案</w:t>
            </w:r>
            <w:r>
              <w:rPr>
                <w:rFonts w:hint="eastAsia" w:ascii="仿宋" w:hAnsi="仿宋" w:eastAsia="仿宋" w:cs="仿宋"/>
                <w:color w:val="auto"/>
                <w:sz w:val="24"/>
                <w:highlight w:val="none"/>
              </w:rPr>
              <w:t>（要求见招标文件第六章《采购需求》）；</w:t>
            </w:r>
          </w:p>
          <w:p w14:paraId="362CBAE0">
            <w:pPr>
              <w:rPr>
                <w:rFonts w:hint="default" w:ascii="仿宋" w:hAnsi="仿宋" w:eastAsia="仿宋" w:cs="仿宋"/>
                <w:color w:val="auto"/>
                <w:sz w:val="24"/>
                <w:highlight w:val="none"/>
                <w:lang w:val="en-US" w:eastAsia="zh-CN"/>
              </w:rPr>
            </w:pPr>
          </w:p>
          <w:p w14:paraId="29DAF30B">
            <w:pPr>
              <w:rPr>
                <w:rFonts w:hint="default" w:ascii="仿宋" w:hAnsi="仿宋" w:eastAsia="仿宋" w:cs="仿宋"/>
                <w:color w:val="auto"/>
                <w:sz w:val="24"/>
                <w:highlight w:val="none"/>
                <w:lang w:val="en-US" w:eastAsia="zh-CN"/>
              </w:rPr>
            </w:pPr>
          </w:p>
          <w:p w14:paraId="4136113E">
            <w:pPr>
              <w:rPr>
                <w:rFonts w:hint="eastAsia" w:ascii="仿宋" w:hAnsi="仿宋" w:eastAsia="仿宋" w:cs="仿宋"/>
                <w:color w:val="auto"/>
                <w:sz w:val="24"/>
                <w:highlight w:val="none"/>
              </w:rPr>
            </w:pPr>
            <w:r>
              <w:rPr>
                <w:rFonts w:hint="eastAsia" w:ascii="仿宋" w:hAnsi="仿宋" w:eastAsia="仿宋" w:cs="仿宋"/>
                <w:color w:val="auto"/>
                <w:sz w:val="24"/>
                <w:highlight w:val="none"/>
              </w:rPr>
              <w:t>（二）商务部分</w:t>
            </w:r>
          </w:p>
          <w:p w14:paraId="79306AA7">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1.供应商</w:t>
            </w:r>
            <w:r>
              <w:rPr>
                <w:rFonts w:hint="eastAsia" w:ascii="仿宋" w:hAnsi="仿宋" w:eastAsia="仿宋" w:cs="仿宋"/>
                <w:color w:val="auto"/>
                <w:sz w:val="24"/>
                <w:highlight w:val="none"/>
              </w:rPr>
              <w:t>业绩（要求见招标文件第四章《评标标准》）</w:t>
            </w:r>
            <w:r>
              <w:rPr>
                <w:rFonts w:hint="eastAsia" w:ascii="仿宋" w:hAnsi="仿宋" w:eastAsia="仿宋" w:cs="仿宋"/>
                <w:color w:val="auto"/>
                <w:sz w:val="24"/>
                <w:highlight w:val="none"/>
                <w:lang w:eastAsia="zh-CN"/>
              </w:rPr>
              <w:t>；</w:t>
            </w:r>
          </w:p>
          <w:p w14:paraId="11AC0461">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r>
              <w:rPr>
                <w:rFonts w:hint="default" w:ascii="仿宋" w:hAnsi="仿宋" w:eastAsia="仿宋" w:cs="仿宋"/>
                <w:color w:val="auto"/>
                <w:sz w:val="24"/>
                <w:highlight w:val="none"/>
                <w:lang w:val="en-US" w:eastAsia="zh-CN"/>
              </w:rPr>
              <w:t>组织机构设置及人员配备方案</w:t>
            </w:r>
            <w:r>
              <w:rPr>
                <w:rFonts w:hint="eastAsia" w:ascii="仿宋" w:hAnsi="仿宋" w:eastAsia="仿宋" w:cs="仿宋"/>
                <w:color w:val="auto"/>
                <w:sz w:val="24"/>
                <w:highlight w:val="none"/>
              </w:rPr>
              <w:t>（要求见招标文件第四章《评标标准》）</w:t>
            </w:r>
            <w:r>
              <w:rPr>
                <w:rFonts w:hint="eastAsia" w:ascii="仿宋" w:hAnsi="仿宋" w:eastAsia="仿宋" w:cs="仿宋"/>
                <w:color w:val="auto"/>
                <w:sz w:val="24"/>
                <w:highlight w:val="none"/>
                <w:lang w:eastAsia="zh-CN"/>
              </w:rPr>
              <w:t>。</w:t>
            </w:r>
          </w:p>
          <w:p w14:paraId="117907EC">
            <w:pPr>
              <w:rPr>
                <w:rFonts w:hint="default" w:ascii="仿宋" w:hAnsi="仿宋" w:eastAsia="仿宋" w:cs="仿宋"/>
                <w:color w:val="auto"/>
                <w:sz w:val="24"/>
                <w:highlight w:val="none"/>
                <w:lang w:val="en-US" w:eastAsia="zh-CN"/>
              </w:rPr>
            </w:pPr>
          </w:p>
          <w:p w14:paraId="19A4758D">
            <w:pPr>
              <w:rPr>
                <w:rFonts w:hint="eastAsia" w:ascii="仿宋" w:hAnsi="仿宋" w:eastAsia="仿宋" w:cs="仿宋"/>
                <w:color w:val="auto"/>
                <w:sz w:val="24"/>
                <w:highlight w:val="none"/>
                <w:lang w:eastAsia="zh-CN"/>
              </w:rPr>
            </w:pPr>
          </w:p>
          <w:p w14:paraId="659D72F8">
            <w:pPr>
              <w:rPr>
                <w:rFonts w:ascii="仿宋" w:hAnsi="仿宋" w:eastAsia="仿宋" w:cs="仿宋"/>
                <w:b/>
                <w:color w:val="auto"/>
                <w:sz w:val="24"/>
                <w:highlight w:val="none"/>
              </w:rPr>
            </w:pPr>
            <w:r>
              <w:rPr>
                <w:rFonts w:hint="eastAsia" w:ascii="仿宋" w:hAnsi="仿宋" w:eastAsia="仿宋" w:cs="仿宋"/>
                <w:b/>
                <w:color w:val="auto"/>
                <w:sz w:val="24"/>
                <w:highlight w:val="none"/>
              </w:rPr>
              <w:t>五、价格折扣文件格式</w:t>
            </w:r>
          </w:p>
          <w:p w14:paraId="58F463D8">
            <w:pPr>
              <w:rPr>
                <w:rFonts w:ascii="仿宋" w:hAnsi="仿宋" w:eastAsia="仿宋" w:cs="仿宋"/>
                <w:color w:val="auto"/>
                <w:sz w:val="24"/>
                <w:highlight w:val="none"/>
              </w:rPr>
            </w:pPr>
            <w:r>
              <w:rPr>
                <w:rFonts w:hint="eastAsia" w:ascii="仿宋" w:hAnsi="仿宋" w:eastAsia="仿宋" w:cs="仿宋"/>
                <w:color w:val="auto"/>
                <w:sz w:val="24"/>
                <w:highlight w:val="none"/>
              </w:rPr>
              <w:t>（一）企业报价折扣证明：</w:t>
            </w:r>
          </w:p>
          <w:p w14:paraId="1E286526">
            <w:pPr>
              <w:rPr>
                <w:rFonts w:ascii="仿宋" w:hAnsi="仿宋" w:eastAsia="仿宋" w:cs="仿宋"/>
                <w:color w:val="auto"/>
                <w:sz w:val="24"/>
                <w:highlight w:val="none"/>
              </w:rPr>
            </w:pPr>
            <w:r>
              <w:rPr>
                <w:rFonts w:hint="eastAsia" w:ascii="仿宋" w:hAnsi="仿宋" w:eastAsia="仿宋" w:cs="仿宋"/>
                <w:color w:val="auto"/>
                <w:sz w:val="24"/>
                <w:highlight w:val="none"/>
              </w:rPr>
              <w:t>1.投标人提供的服务全部由符合政策要求的中小企业承接的，提供《中小企业声明函》（加盖电子签章，格式见招标文件第七章《投标文件相关格式》）。</w:t>
            </w:r>
          </w:p>
          <w:p w14:paraId="3B3DAF73">
            <w:pPr>
              <w:rPr>
                <w:rFonts w:ascii="仿宋" w:hAnsi="仿宋" w:eastAsia="仿宋" w:cs="仿宋"/>
                <w:color w:val="auto"/>
                <w:sz w:val="24"/>
                <w:highlight w:val="none"/>
              </w:rPr>
            </w:pPr>
            <w:r>
              <w:rPr>
                <w:rFonts w:hint="eastAsia" w:ascii="仿宋" w:hAnsi="仿宋" w:eastAsia="仿宋" w:cs="仿宋"/>
                <w:color w:val="auto"/>
                <w:sz w:val="24"/>
                <w:highlight w:val="none"/>
              </w:rPr>
              <w:t>注：具体以《政府采购促进中小企业发展管理办法》（财库[2020]46号）和《关于印发中小企业划型标准规定的通知》（工信部联企业[2011]300号）的规定为准。</w:t>
            </w:r>
          </w:p>
          <w:p w14:paraId="0E84995E">
            <w:pPr>
              <w:rPr>
                <w:rFonts w:ascii="仿宋" w:hAnsi="仿宋" w:eastAsia="仿宋" w:cs="仿宋"/>
                <w:color w:val="auto"/>
                <w:sz w:val="24"/>
                <w:highlight w:val="none"/>
              </w:rPr>
            </w:pPr>
            <w:r>
              <w:rPr>
                <w:rFonts w:hint="eastAsia" w:ascii="仿宋" w:hAnsi="仿宋" w:eastAsia="仿宋" w:cs="仿宋"/>
                <w:color w:val="auto"/>
                <w:sz w:val="24"/>
                <w:highlight w:val="none"/>
              </w:rPr>
              <w:t>2.投标人为监狱企业的，提供省级以上监狱管理局、戒毒管理局（含新疆生产建设兵团）出具的属于监狱企业的证明文件的扫描件。</w:t>
            </w:r>
          </w:p>
          <w:p w14:paraId="04C8C82A">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注：具体以《财政部 司法部关于政府采购支持监狱企业发展有关问题的通知》（财库〔2014〕68号）的规定为准。</w:t>
            </w:r>
          </w:p>
          <w:p w14:paraId="4AE66FD0">
            <w:pPr>
              <w:rPr>
                <w:rFonts w:ascii="仿宋" w:hAnsi="仿宋" w:eastAsia="仿宋" w:cs="仿宋"/>
                <w:color w:val="auto"/>
                <w:sz w:val="24"/>
                <w:highlight w:val="none"/>
              </w:rPr>
            </w:pPr>
            <w:r>
              <w:rPr>
                <w:rFonts w:hint="eastAsia" w:ascii="仿宋" w:hAnsi="仿宋" w:eastAsia="仿宋" w:cs="仿宋"/>
                <w:color w:val="auto"/>
                <w:sz w:val="24"/>
                <w:highlight w:val="none"/>
              </w:rPr>
              <w:t>3.投标人为享受政府采购支持政策的残疾人福利性单位的，提供《残疾人福利性单位声明函》（加盖电子签章，格式见招标文件第七章《投标文件相关格式》）。</w:t>
            </w:r>
          </w:p>
          <w:p w14:paraId="2446A98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享受政府采购支持政策的残疾人福利性单位应当同时满足以下条件：</w:t>
            </w:r>
          </w:p>
          <w:p w14:paraId="07124B50">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①安置的残疾人占本单位在职职工人数的比例不低于25%（含25%），并且安置的残疾人人数不少于10人（含10人）；</w:t>
            </w:r>
          </w:p>
          <w:p w14:paraId="66CF00E0">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②依法与安置的每位残疾人签订了一年以上（含一年）的劳动合同或服务协议；</w:t>
            </w:r>
          </w:p>
          <w:p w14:paraId="5FA9778A">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③为安置的每位残疾人按月足额缴纳了基本养老保险、基本医疗保险、失业保险、工伤保险和生育保险等社会保险费；</w:t>
            </w:r>
          </w:p>
          <w:p w14:paraId="1C4A26EB">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④通过银行等金融机构向安置的每位残疾人，按月支付了不低于单位所在区县适用的经省级人民政府批准的月最低工资标准的工资；</w:t>
            </w:r>
          </w:p>
          <w:p w14:paraId="10683DEB">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⑤提供本单位制造的货物、承担的工程或者服务（以下简称产品），或者提供其他残疾人福利性单位制造的货物（不包括使用非残疾人福利性单位注册商标的货物）。</w:t>
            </w:r>
          </w:p>
          <w:p w14:paraId="3233F84C">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3333F34">
            <w:pPr>
              <w:widowControl/>
              <w:outlineLvl w:val="2"/>
              <w:rPr>
                <w:rFonts w:ascii="仿宋" w:hAnsi="仿宋" w:eastAsia="仿宋" w:cs="仿宋"/>
                <w:color w:val="auto"/>
                <w:sz w:val="24"/>
                <w:highlight w:val="none"/>
              </w:rPr>
            </w:pPr>
            <w:r>
              <w:rPr>
                <w:rFonts w:hint="eastAsia" w:ascii="仿宋" w:hAnsi="仿宋" w:eastAsia="仿宋" w:cs="仿宋"/>
                <w:color w:val="auto"/>
                <w:sz w:val="24"/>
                <w:highlight w:val="none"/>
              </w:rPr>
              <w:t xml:space="preserve">   具体以《三部门联合发布关于促进残疾人就业政府采购政策的通知》（财库〔2017〕141号）规定为准。</w:t>
            </w:r>
          </w:p>
          <w:p w14:paraId="7A50ABE5">
            <w:pPr>
              <w:ind w:firstLine="24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本项目为专门面向中小企业采购的项目，投标人在政府采购客户端编制价格折扣文件时，选择享受的报价扣除类型为“无扣除”。</w:t>
            </w:r>
          </w:p>
          <w:p w14:paraId="7D1D8721">
            <w:pPr>
              <w:pStyle w:val="45"/>
              <w:rPr>
                <w:color w:val="auto"/>
                <w:highlight w:val="none"/>
              </w:rPr>
            </w:pPr>
            <w:r>
              <w:rPr>
                <w:rFonts w:hint="eastAsia" w:ascii="仿宋" w:hAnsi="仿宋" w:eastAsia="仿宋"/>
                <w:color w:val="auto"/>
                <w:sz w:val="24"/>
                <w:highlight w:val="none"/>
              </w:rPr>
              <w:t>（二）关于符合本国产品标准的声明函</w:t>
            </w:r>
          </w:p>
          <w:p w14:paraId="3BA82672">
            <w:pPr>
              <w:rPr>
                <w:b/>
                <w:bCs/>
                <w:color w:val="auto"/>
                <w:highlight w:val="none"/>
              </w:rPr>
            </w:pPr>
            <w:r>
              <w:rPr>
                <w:rFonts w:hint="eastAsia" w:ascii="仿宋" w:hAnsi="仿宋" w:eastAsia="仿宋"/>
                <w:b/>
                <w:bCs/>
                <w:color w:val="auto"/>
                <w:sz w:val="24"/>
                <w:highlight w:val="none"/>
              </w:rPr>
              <w:t>本项目为不涉及货物采购的服务类项目，投标人在政府采购客户端编制价格折扣文件时，选择享受的报价扣除类型为“不享受扣除”。</w:t>
            </w:r>
          </w:p>
          <w:p w14:paraId="65A2EE2E">
            <w:pPr>
              <w:pStyle w:val="45"/>
              <w:rPr>
                <w:color w:val="auto"/>
                <w:highlight w:val="none"/>
              </w:rPr>
            </w:pPr>
          </w:p>
          <w:p w14:paraId="53DCFC8F">
            <w:pPr>
              <w:rPr>
                <w:rFonts w:ascii="仿宋" w:hAnsi="仿宋" w:eastAsia="仿宋" w:cs="仿宋"/>
                <w:color w:val="auto"/>
                <w:sz w:val="24"/>
                <w:highlight w:val="none"/>
              </w:rPr>
            </w:pPr>
            <w:r>
              <w:rPr>
                <w:rFonts w:hint="eastAsia" w:ascii="仿宋" w:hAnsi="仿宋" w:eastAsia="仿宋" w:cs="仿宋"/>
                <w:color w:val="auto"/>
                <w:sz w:val="24"/>
                <w:highlight w:val="none"/>
              </w:rPr>
              <w:t>注：</w:t>
            </w:r>
          </w:p>
          <w:p w14:paraId="7FDEE3F3">
            <w:pPr>
              <w:rPr>
                <w:rFonts w:ascii="仿宋" w:hAnsi="仿宋" w:eastAsia="仿宋" w:cs="仿宋"/>
                <w:color w:val="auto"/>
                <w:sz w:val="24"/>
                <w:highlight w:val="none"/>
              </w:rPr>
            </w:pPr>
            <w:r>
              <w:rPr>
                <w:rFonts w:hint="eastAsia" w:ascii="仿宋" w:hAnsi="仿宋" w:eastAsia="仿宋" w:cs="仿宋"/>
                <w:color w:val="auto"/>
                <w:sz w:val="24"/>
                <w:highlight w:val="none"/>
              </w:rPr>
              <w:t>1.投标人应对以上文件的合法性、真实性负责。</w:t>
            </w:r>
          </w:p>
          <w:p w14:paraId="153C43C4">
            <w:pPr>
              <w:rPr>
                <w:rFonts w:ascii="仿宋" w:hAnsi="仿宋" w:eastAsia="仿宋" w:cs="仿宋"/>
                <w:color w:val="auto"/>
                <w:sz w:val="24"/>
                <w:highlight w:val="none"/>
              </w:rPr>
            </w:pPr>
            <w:r>
              <w:rPr>
                <w:rFonts w:hint="eastAsia" w:ascii="仿宋" w:hAnsi="仿宋" w:eastAsia="仿宋" w:cs="仿宋"/>
                <w:color w:val="auto"/>
                <w:sz w:val="24"/>
                <w:highlight w:val="none"/>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14:paraId="45B73BFA">
            <w:pPr>
              <w:pStyle w:val="45"/>
              <w:rPr>
                <w:rFonts w:ascii="仿宋" w:hAnsi="仿宋" w:eastAsia="仿宋" w:cs="仿宋"/>
                <w:color w:val="auto"/>
                <w:sz w:val="24"/>
                <w:szCs w:val="24"/>
                <w:highlight w:val="none"/>
              </w:rPr>
            </w:pPr>
          </w:p>
        </w:tc>
      </w:tr>
      <w:tr w14:paraId="4323D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163E14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19.3 </w:t>
            </w:r>
          </w:p>
        </w:tc>
        <w:tc>
          <w:tcPr>
            <w:tcW w:w="7296" w:type="dxa"/>
            <w:tcBorders>
              <w:top w:val="single" w:color="auto" w:sz="4" w:space="0"/>
              <w:left w:val="single" w:color="auto" w:sz="4" w:space="0"/>
              <w:bottom w:val="single" w:color="auto" w:sz="4" w:space="0"/>
              <w:right w:val="single" w:color="auto" w:sz="4" w:space="0"/>
            </w:tcBorders>
            <w:noWrap w:val="0"/>
          </w:tcPr>
          <w:p w14:paraId="040B4FDD">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投标人应当通过“苏采云”系统提交数据电文形式的投标文件（即电子投标）。</w:t>
            </w:r>
          </w:p>
          <w:p w14:paraId="5C5C4DF5">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特别说明：通过“苏采云”系统提交政府采购客户端工具导出加密的投标文件（后缀名为zip）。投标文件不得超过</w:t>
            </w:r>
            <w:r>
              <w:rPr>
                <w:rFonts w:hint="eastAsia" w:ascii="仿宋" w:hAnsi="仿宋" w:eastAsia="仿宋" w:cs="仿宋"/>
                <w:b/>
                <w:bCs/>
                <w:color w:val="auto"/>
                <w:sz w:val="24"/>
                <w:highlight w:val="none"/>
              </w:rPr>
              <w:t>150M</w:t>
            </w:r>
            <w:r>
              <w:rPr>
                <w:rFonts w:hint="eastAsia" w:ascii="仿宋" w:hAnsi="仿宋" w:eastAsia="仿宋" w:cs="仿宋"/>
                <w:color w:val="auto"/>
                <w:sz w:val="24"/>
                <w:highlight w:val="none"/>
              </w:rPr>
              <w:t>！</w:t>
            </w:r>
          </w:p>
        </w:tc>
      </w:tr>
      <w:tr w14:paraId="752C6F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1C28A3C">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19.4</w:t>
            </w:r>
          </w:p>
        </w:tc>
        <w:tc>
          <w:tcPr>
            <w:tcW w:w="7296" w:type="dxa"/>
            <w:tcBorders>
              <w:top w:val="single" w:color="auto" w:sz="4" w:space="0"/>
              <w:left w:val="single" w:color="auto" w:sz="4" w:space="0"/>
              <w:bottom w:val="single" w:color="auto" w:sz="4" w:space="0"/>
              <w:right w:val="single" w:color="auto" w:sz="4" w:space="0"/>
            </w:tcBorders>
            <w:noWrap w:val="0"/>
          </w:tcPr>
          <w:p w14:paraId="1662132C">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投标文件的退还：</w:t>
            </w:r>
          </w:p>
          <w:p w14:paraId="7474981F">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投标文件不退还投标人，若采购人索取中标人的数据电文形式的投标文件的，须在双方签订政府采购合同后，由采购代理机构提供给采购人。</w:t>
            </w:r>
          </w:p>
        </w:tc>
      </w:tr>
      <w:tr w14:paraId="5E3CC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AB5A37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19.5</w:t>
            </w:r>
          </w:p>
        </w:tc>
        <w:tc>
          <w:tcPr>
            <w:tcW w:w="7296" w:type="dxa"/>
            <w:tcBorders>
              <w:top w:val="single" w:color="auto" w:sz="4" w:space="0"/>
              <w:left w:val="single" w:color="auto" w:sz="4" w:space="0"/>
              <w:bottom w:val="single" w:color="auto" w:sz="4" w:space="0"/>
              <w:right w:val="single" w:color="auto" w:sz="4" w:space="0"/>
            </w:tcBorders>
            <w:noWrap w:val="0"/>
          </w:tcPr>
          <w:p w14:paraId="29E8E49D">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投标文件的密封、签署、盖章要求：</w:t>
            </w:r>
          </w:p>
          <w:p w14:paraId="67D3EAB9">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一、投标文件的密封（加密）要求：</w:t>
            </w:r>
          </w:p>
          <w:p w14:paraId="2EBD19CA">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投标人应当按照招标文件和“苏采云”系统的要求编制并加密投标文件。本项目投标人须通过“苏采云”系统提供的政府采购客户端工具（使用“CA数字证书”）对其数据电文形式的投标文件加密。</w:t>
            </w:r>
          </w:p>
          <w:p w14:paraId="72D7D7AD">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二、投标文件的签署要求：见招标文件第七章《投标文件相关格式》。</w:t>
            </w:r>
          </w:p>
          <w:p w14:paraId="0A6A02C3">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三、投标文件的盖章要求：见招标文件第三章《投标资料表》19.2和招标文件第七章《投标文件相关格式》。投标人须通过“苏采云”系统提供的政府采购客户端工具（使用“CA数字证书”）加盖电子签章。</w:t>
            </w:r>
          </w:p>
        </w:tc>
      </w:tr>
      <w:tr w14:paraId="228260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1CD12A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19.7</w:t>
            </w:r>
          </w:p>
        </w:tc>
        <w:tc>
          <w:tcPr>
            <w:tcW w:w="7296" w:type="dxa"/>
            <w:tcBorders>
              <w:top w:val="single" w:color="auto" w:sz="4" w:space="0"/>
              <w:left w:val="single" w:color="auto" w:sz="4" w:space="0"/>
              <w:bottom w:val="single" w:color="auto" w:sz="4" w:space="0"/>
              <w:right w:val="single" w:color="auto" w:sz="4" w:space="0"/>
            </w:tcBorders>
            <w:noWrap w:val="0"/>
          </w:tcPr>
          <w:p w14:paraId="5D1362FA">
            <w:pPr>
              <w:pStyle w:val="53"/>
              <w:shd w:val="clear" w:color="auto" w:fill="FFFFFF"/>
              <w:spacing w:before="0" w:beforeAutospacing="0" w:after="0" w:afterAutospacing="0"/>
              <w:ind w:firstLine="480"/>
              <w:rPr>
                <w:rFonts w:ascii="仿宋" w:hAnsi="仿宋" w:eastAsia="仿宋" w:cs="仿宋"/>
                <w:color w:val="auto"/>
                <w:highlight w:val="none"/>
              </w:rPr>
            </w:pPr>
            <w:r>
              <w:rPr>
                <w:rFonts w:hint="eastAsia" w:ascii="仿宋" w:hAnsi="仿宋" w:eastAsia="仿宋" w:cs="仿宋"/>
                <w:color w:val="auto"/>
                <w:highlight w:val="none"/>
              </w:rPr>
              <w:t>投标人未按规定加密的投标文件，“苏采云”系统应当拒收并提示。</w:t>
            </w:r>
          </w:p>
        </w:tc>
      </w:tr>
      <w:tr w14:paraId="362DDF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9481FE1">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19.8</w:t>
            </w:r>
          </w:p>
        </w:tc>
        <w:tc>
          <w:tcPr>
            <w:tcW w:w="7296" w:type="dxa"/>
            <w:tcBorders>
              <w:top w:val="single" w:color="auto" w:sz="4" w:space="0"/>
              <w:left w:val="single" w:color="auto" w:sz="4" w:space="0"/>
              <w:bottom w:val="single" w:color="auto" w:sz="4" w:space="0"/>
              <w:right w:val="single" w:color="auto" w:sz="4" w:space="0"/>
            </w:tcBorders>
            <w:noWrap w:val="0"/>
          </w:tcPr>
          <w:p w14:paraId="6F299F2E">
            <w:pPr>
              <w:pStyle w:val="53"/>
              <w:shd w:val="clear" w:color="auto" w:fill="FFFFFF"/>
              <w:spacing w:before="0" w:beforeAutospacing="0" w:after="0" w:afterAutospacing="0"/>
              <w:ind w:firstLine="480"/>
              <w:rPr>
                <w:rFonts w:ascii="仿宋" w:hAnsi="仿宋" w:eastAsia="仿宋" w:cs="仿宋"/>
                <w:color w:val="auto"/>
                <w:highlight w:val="none"/>
              </w:rPr>
            </w:pPr>
            <w:r>
              <w:rPr>
                <w:rFonts w:hint="eastAsia" w:ascii="仿宋" w:hAnsi="仿宋" w:eastAsia="仿宋" w:cs="仿宋"/>
                <w:color w:val="auto"/>
                <w:highlight w:val="none"/>
              </w:rPr>
              <w:t>投标人应当在投标截止时间前完成投标文件的传输提交，并可以补充、修改或者撤回投标文件。</w:t>
            </w:r>
          </w:p>
          <w:p w14:paraId="2E3DAED0">
            <w:pPr>
              <w:pStyle w:val="53"/>
              <w:shd w:val="clear" w:color="auto" w:fill="FFFFFF"/>
              <w:spacing w:before="0" w:beforeAutospacing="0" w:after="0" w:afterAutospacing="0"/>
              <w:ind w:firstLine="480"/>
              <w:rPr>
                <w:rFonts w:ascii="仿宋" w:hAnsi="仿宋" w:eastAsia="仿宋" w:cs="仿宋"/>
                <w:color w:val="auto"/>
                <w:highlight w:val="none"/>
              </w:rPr>
            </w:pPr>
            <w:r>
              <w:rPr>
                <w:rFonts w:hint="eastAsia" w:ascii="仿宋" w:hAnsi="仿宋" w:eastAsia="仿宋" w:cs="仿宋"/>
                <w:color w:val="auto"/>
                <w:highlight w:val="none"/>
              </w:rPr>
              <w:t>补充、修改投标文件的，须先撤回投标文件，重新编制（即补充、修改）投标文件，在投标截止时间前完成投标文件的传输提交。</w:t>
            </w:r>
          </w:p>
          <w:p w14:paraId="3F677211">
            <w:pPr>
              <w:pStyle w:val="53"/>
              <w:shd w:val="clear" w:color="auto" w:fill="FFFFFF"/>
              <w:spacing w:before="0" w:beforeAutospacing="0" w:after="0" w:afterAutospacing="0"/>
              <w:ind w:firstLine="480"/>
              <w:rPr>
                <w:rFonts w:ascii="仿宋" w:hAnsi="仿宋" w:eastAsia="仿宋" w:cs="仿宋"/>
                <w:color w:val="auto"/>
                <w:highlight w:val="none"/>
              </w:rPr>
            </w:pPr>
            <w:r>
              <w:rPr>
                <w:rFonts w:hint="eastAsia" w:ascii="仿宋" w:hAnsi="仿宋" w:eastAsia="仿宋" w:cs="仿宋"/>
                <w:color w:val="auto"/>
                <w:highlight w:val="none"/>
              </w:rPr>
              <w:t>投标截止时间前未完成投标文件传输的，视为撤回投标文件。投标截止时间后送达的投标文件，“苏采云”系统应当拒收。</w:t>
            </w:r>
          </w:p>
          <w:p w14:paraId="2235BB0C">
            <w:pPr>
              <w:pStyle w:val="53"/>
              <w:shd w:val="clear" w:color="auto" w:fill="FFFFFF"/>
              <w:spacing w:before="0" w:beforeAutospacing="0" w:after="0" w:afterAutospacing="0"/>
              <w:ind w:firstLine="480"/>
              <w:rPr>
                <w:rFonts w:ascii="仿宋" w:hAnsi="仿宋" w:eastAsia="仿宋" w:cs="仿宋"/>
                <w:color w:val="auto"/>
                <w:highlight w:val="none"/>
              </w:rPr>
            </w:pPr>
            <w:r>
              <w:rPr>
                <w:rFonts w:hint="eastAsia" w:ascii="仿宋" w:hAnsi="仿宋" w:eastAsia="仿宋" w:cs="仿宋"/>
                <w:b/>
                <w:color w:val="auto"/>
                <w:highlight w:val="none"/>
              </w:rPr>
              <w:t>“苏采云”系统收到投标人送达的投标文件，即时向投标人发出确认回执通知（提示），</w:t>
            </w:r>
            <w:r>
              <w:rPr>
                <w:rFonts w:hint="eastAsia" w:ascii="仿宋" w:hAnsi="仿宋" w:eastAsia="仿宋" w:cs="仿宋"/>
                <w:color w:val="auto"/>
                <w:highlight w:val="none"/>
              </w:rPr>
              <w:t>并妥善保存投标文件。在投标截止时间前，除投标人补充、修改或者撤回投标文件外，任何单位和个人不得解密、提取投标文件。</w:t>
            </w:r>
          </w:p>
        </w:tc>
      </w:tr>
      <w:tr w14:paraId="2929DD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5336ADD">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20.6</w:t>
            </w:r>
          </w:p>
        </w:tc>
        <w:tc>
          <w:tcPr>
            <w:tcW w:w="7296" w:type="dxa"/>
            <w:tcBorders>
              <w:top w:val="single" w:color="auto" w:sz="4" w:space="0"/>
              <w:left w:val="single" w:color="auto" w:sz="4" w:space="0"/>
              <w:bottom w:val="single" w:color="auto" w:sz="4" w:space="0"/>
              <w:right w:val="single" w:color="auto" w:sz="4" w:space="0"/>
            </w:tcBorders>
            <w:noWrap w:val="0"/>
          </w:tcPr>
          <w:p w14:paraId="202431F6">
            <w:pPr>
              <w:rPr>
                <w:rFonts w:ascii="仿宋" w:hAnsi="仿宋" w:eastAsia="仿宋" w:cs="仿宋"/>
                <w:color w:val="auto"/>
                <w:sz w:val="24"/>
                <w:highlight w:val="none"/>
              </w:rPr>
            </w:pPr>
            <w:r>
              <w:rPr>
                <w:rFonts w:hint="eastAsia" w:ascii="仿宋" w:hAnsi="仿宋" w:eastAsia="仿宋"/>
                <w:bCs/>
                <w:color w:val="auto"/>
                <w:sz w:val="24"/>
                <w:highlight w:val="none"/>
              </w:rPr>
              <w:t>本项目不接受超过</w:t>
            </w:r>
            <w:r>
              <w:rPr>
                <w:rFonts w:hint="eastAsia" w:ascii="仿宋" w:hAnsi="仿宋" w:eastAsia="仿宋" w:cs="仿宋"/>
                <w:color w:val="auto"/>
                <w:sz w:val="24"/>
                <w:highlight w:val="none"/>
                <w:lang w:val="en-US" w:eastAsia="zh-CN"/>
              </w:rPr>
              <w:t>采购包一：217.44 万元、采购包二：227.88 万元</w:t>
            </w:r>
            <w:r>
              <w:rPr>
                <w:rFonts w:hint="eastAsia" w:ascii="仿宋" w:hAnsi="仿宋" w:eastAsia="仿宋"/>
                <w:bCs/>
                <w:color w:val="auto"/>
                <w:sz w:val="24"/>
                <w:highlight w:val="none"/>
              </w:rPr>
              <w:t>（采购项目预算金额）的投标报价。</w:t>
            </w:r>
          </w:p>
        </w:tc>
      </w:tr>
      <w:tr w14:paraId="63319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7B9166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22.1</w:t>
            </w:r>
          </w:p>
        </w:tc>
        <w:tc>
          <w:tcPr>
            <w:tcW w:w="7296" w:type="dxa"/>
            <w:tcBorders>
              <w:top w:val="single" w:color="auto" w:sz="4" w:space="0"/>
              <w:left w:val="single" w:color="auto" w:sz="4" w:space="0"/>
              <w:bottom w:val="single" w:color="auto" w:sz="4" w:space="0"/>
              <w:right w:val="single" w:color="auto" w:sz="4" w:space="0"/>
            </w:tcBorders>
            <w:noWrap w:val="0"/>
          </w:tcPr>
          <w:p w14:paraId="0D219EEF">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lang w:eastAsia="zh-CN"/>
              </w:rPr>
              <w:t>2026年7月31日</w:t>
            </w:r>
            <w:r>
              <w:rPr>
                <w:rFonts w:hint="eastAsia" w:ascii="仿宋" w:hAnsi="仿宋" w:eastAsia="仿宋" w:cs="仿宋"/>
                <w:color w:val="auto"/>
                <w:sz w:val="24"/>
                <w:highlight w:val="none"/>
              </w:rPr>
              <w:t>9:30</w:t>
            </w:r>
          </w:p>
        </w:tc>
      </w:tr>
      <w:tr w14:paraId="365D06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0547FC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22.2</w:t>
            </w:r>
          </w:p>
        </w:tc>
        <w:tc>
          <w:tcPr>
            <w:tcW w:w="7296" w:type="dxa"/>
            <w:tcBorders>
              <w:top w:val="single" w:color="auto" w:sz="4" w:space="0"/>
              <w:left w:val="single" w:color="auto" w:sz="4" w:space="0"/>
              <w:bottom w:val="single" w:color="auto" w:sz="4" w:space="0"/>
              <w:right w:val="single" w:color="auto" w:sz="4" w:space="0"/>
            </w:tcBorders>
            <w:noWrap w:val="0"/>
          </w:tcPr>
          <w:p w14:paraId="0127B9AC">
            <w:pPr>
              <w:rPr>
                <w:rFonts w:ascii="仿宋" w:hAnsi="仿宋" w:eastAsia="仿宋" w:cs="仿宋"/>
                <w:color w:val="auto"/>
                <w:sz w:val="24"/>
                <w:highlight w:val="none"/>
              </w:rPr>
            </w:pPr>
            <w:r>
              <w:rPr>
                <w:rFonts w:hint="eastAsia" w:ascii="仿宋" w:hAnsi="仿宋" w:eastAsia="仿宋" w:cs="仿宋"/>
                <w:color w:val="auto"/>
                <w:sz w:val="24"/>
                <w:highlight w:val="none"/>
              </w:rPr>
              <w:t>投标文件的递交：</w:t>
            </w:r>
          </w:p>
          <w:p w14:paraId="49334CA8">
            <w:pPr>
              <w:rPr>
                <w:rFonts w:ascii="仿宋" w:hAnsi="仿宋" w:eastAsia="仿宋" w:cs="仿宋"/>
                <w:color w:val="auto"/>
                <w:sz w:val="24"/>
                <w:highlight w:val="none"/>
              </w:rPr>
            </w:pPr>
            <w:r>
              <w:rPr>
                <w:rFonts w:hint="eastAsia" w:ascii="仿宋" w:hAnsi="仿宋" w:eastAsia="仿宋" w:cs="仿宋"/>
                <w:color w:val="auto"/>
                <w:sz w:val="24"/>
                <w:highlight w:val="none"/>
              </w:rPr>
              <w:t>1.投标文件递交截止时间：</w:t>
            </w:r>
            <w:r>
              <w:rPr>
                <w:rFonts w:hint="eastAsia" w:ascii="仿宋" w:hAnsi="仿宋" w:eastAsia="仿宋" w:cs="仿宋"/>
                <w:color w:val="auto"/>
                <w:sz w:val="24"/>
                <w:highlight w:val="none"/>
                <w:lang w:eastAsia="zh-CN"/>
              </w:rPr>
              <w:t>2026年7月31日</w:t>
            </w:r>
            <w:r>
              <w:rPr>
                <w:rFonts w:hint="eastAsia" w:ascii="仿宋" w:hAnsi="仿宋" w:eastAsia="仿宋" w:cs="仿宋"/>
                <w:color w:val="auto"/>
                <w:sz w:val="24"/>
                <w:highlight w:val="none"/>
              </w:rPr>
              <w:t>9：30</w:t>
            </w:r>
          </w:p>
          <w:p w14:paraId="5592A3DE">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2.递交：投标人应当通过电子招标投标交易平台递交数据电文形式的投标文件（即电子投标）。</w:t>
            </w:r>
          </w:p>
        </w:tc>
      </w:tr>
      <w:tr w14:paraId="0114D5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7226A7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23.2</w:t>
            </w:r>
          </w:p>
        </w:tc>
        <w:tc>
          <w:tcPr>
            <w:tcW w:w="7296" w:type="dxa"/>
            <w:tcBorders>
              <w:top w:val="single" w:color="auto" w:sz="4" w:space="0"/>
              <w:left w:val="single" w:color="auto" w:sz="4" w:space="0"/>
              <w:bottom w:val="single" w:color="auto" w:sz="4" w:space="0"/>
              <w:right w:val="single" w:color="auto" w:sz="4" w:space="0"/>
            </w:tcBorders>
            <w:noWrap w:val="0"/>
          </w:tcPr>
          <w:p w14:paraId="707BB5C7">
            <w:pPr>
              <w:pStyle w:val="211"/>
              <w:tabs>
                <w:tab w:val="left" w:pos="0"/>
              </w:tabs>
              <w:outlineLvl w:val="2"/>
              <w:rPr>
                <w:rFonts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招标文件对本项目分包的规定：</w:t>
            </w:r>
            <w:r>
              <w:rPr>
                <w:rFonts w:hint="eastAsia" w:ascii="仿宋" w:hAnsi="仿宋" w:eastAsia="仿宋" w:cs="宋体"/>
                <w:color w:val="auto"/>
                <w:kern w:val="0"/>
                <w:sz w:val="24"/>
                <w:highlight w:val="none"/>
              </w:rPr>
              <w:t>采购人不允许采用分包方式履行合同。</w:t>
            </w:r>
          </w:p>
        </w:tc>
      </w:tr>
      <w:tr w14:paraId="2081D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5EA634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24.1</w:t>
            </w:r>
          </w:p>
        </w:tc>
        <w:tc>
          <w:tcPr>
            <w:tcW w:w="7296" w:type="dxa"/>
            <w:tcBorders>
              <w:top w:val="single" w:color="auto" w:sz="4" w:space="0"/>
              <w:left w:val="single" w:color="auto" w:sz="4" w:space="0"/>
              <w:bottom w:val="single" w:color="auto" w:sz="4" w:space="0"/>
              <w:right w:val="single" w:color="auto" w:sz="4" w:space="0"/>
            </w:tcBorders>
            <w:noWrap w:val="0"/>
          </w:tcPr>
          <w:p w14:paraId="76C1663C">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报价相同的，招标文件规定的确定一个投标人参加评标的方式：由采购人确定。</w:t>
            </w:r>
          </w:p>
          <w:p w14:paraId="2283902A">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核心产品为两个及以上（具体见24.3）的，不同投标人所投的核心产品中有部分产品为同一品牌的，按照提供相同品牌产品处理。</w:t>
            </w:r>
          </w:p>
        </w:tc>
      </w:tr>
      <w:tr w14:paraId="58347A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7AE5F8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24.2</w:t>
            </w:r>
          </w:p>
        </w:tc>
        <w:tc>
          <w:tcPr>
            <w:tcW w:w="7296" w:type="dxa"/>
            <w:tcBorders>
              <w:top w:val="single" w:color="auto" w:sz="4" w:space="0"/>
              <w:left w:val="single" w:color="auto" w:sz="4" w:space="0"/>
              <w:bottom w:val="single" w:color="auto" w:sz="4" w:space="0"/>
              <w:right w:val="single" w:color="auto" w:sz="4" w:space="0"/>
            </w:tcBorders>
            <w:noWrap w:val="0"/>
          </w:tcPr>
          <w:p w14:paraId="24E7CE28">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评审得分相同的，招标文件规定的确定一个投标人获得中标人推荐资格的方式：由采购人确定。</w:t>
            </w:r>
          </w:p>
        </w:tc>
      </w:tr>
      <w:tr w14:paraId="3FA45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6A2CAD5">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24.3</w:t>
            </w:r>
          </w:p>
        </w:tc>
        <w:tc>
          <w:tcPr>
            <w:tcW w:w="7296" w:type="dxa"/>
            <w:tcBorders>
              <w:top w:val="single" w:color="auto" w:sz="4" w:space="0"/>
              <w:left w:val="single" w:color="auto" w:sz="4" w:space="0"/>
              <w:bottom w:val="single" w:color="auto" w:sz="4" w:space="0"/>
              <w:right w:val="single" w:color="auto" w:sz="4" w:space="0"/>
            </w:tcBorders>
            <w:noWrap w:val="0"/>
          </w:tcPr>
          <w:p w14:paraId="765062A2">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采购人根据采购项目技术构成、产品价格比重等确定核心产品：无。</w:t>
            </w:r>
          </w:p>
          <w:p w14:paraId="7B3A9B0B">
            <w:pPr>
              <w:widowControl/>
              <w:jc w:val="left"/>
              <w:rPr>
                <w:rFonts w:ascii="仿宋" w:hAnsi="仿宋" w:eastAsia="仿宋" w:cs="仿宋"/>
                <w:color w:val="auto"/>
                <w:sz w:val="24"/>
                <w:highlight w:val="none"/>
              </w:rPr>
            </w:pPr>
          </w:p>
        </w:tc>
      </w:tr>
      <w:tr w14:paraId="7549F5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2FCA400">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6667E7B0">
            <w:pPr>
              <w:widowControl/>
              <w:jc w:val="left"/>
              <w:rPr>
                <w:rFonts w:ascii="仿宋" w:hAnsi="仿宋" w:eastAsia="仿宋" w:cs="仿宋"/>
                <w:color w:val="auto"/>
                <w:sz w:val="24"/>
                <w:highlight w:val="none"/>
              </w:rPr>
            </w:pPr>
          </w:p>
        </w:tc>
      </w:tr>
      <w:tr w14:paraId="7902F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48C7984">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20EE2D51">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四、开标、评标</w:t>
            </w:r>
          </w:p>
        </w:tc>
      </w:tr>
      <w:tr w14:paraId="3749C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E8DB3F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26.1</w:t>
            </w:r>
          </w:p>
        </w:tc>
        <w:tc>
          <w:tcPr>
            <w:tcW w:w="7296" w:type="dxa"/>
            <w:tcBorders>
              <w:top w:val="single" w:color="auto" w:sz="4" w:space="0"/>
              <w:left w:val="single" w:color="auto" w:sz="4" w:space="0"/>
              <w:bottom w:val="single" w:color="auto" w:sz="4" w:space="0"/>
              <w:right w:val="single" w:color="auto" w:sz="4" w:space="0"/>
            </w:tcBorders>
            <w:noWrap w:val="0"/>
          </w:tcPr>
          <w:p w14:paraId="4769CCBA">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开标时间及地点：</w:t>
            </w:r>
          </w:p>
          <w:p w14:paraId="007CE789">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1.开标时间：</w:t>
            </w:r>
            <w:r>
              <w:rPr>
                <w:rFonts w:hint="eastAsia" w:ascii="仿宋" w:hAnsi="仿宋" w:eastAsia="仿宋" w:cs="仿宋"/>
                <w:color w:val="auto"/>
                <w:sz w:val="24"/>
                <w:highlight w:val="none"/>
                <w:lang w:eastAsia="zh-CN"/>
              </w:rPr>
              <w:t>2026年7月31日</w:t>
            </w:r>
            <w:r>
              <w:rPr>
                <w:rFonts w:hint="eastAsia" w:ascii="仿宋" w:hAnsi="仿宋" w:eastAsia="仿宋" w:cs="仿宋"/>
                <w:color w:val="auto"/>
                <w:sz w:val="24"/>
                <w:highlight w:val="none"/>
              </w:rPr>
              <w:t>9：30</w:t>
            </w:r>
          </w:p>
          <w:p w14:paraId="7B487329">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2.开标地点：“苏采云”系统（网址： http://jszfcg.jsczt.cn/）“开标大厅”或进入徐州政府采购网（网址：</w:t>
            </w:r>
            <w:r>
              <w:rPr>
                <w:rFonts w:ascii="仿宋" w:hAnsi="仿宋" w:eastAsia="仿宋" w:cs="宋体"/>
                <w:color w:val="auto"/>
                <w:kern w:val="0"/>
                <w:sz w:val="24"/>
                <w:highlight w:val="none"/>
              </w:rPr>
              <w:t>https://czj.xz.gov.cn/zfcg/</w:t>
            </w:r>
            <w:r>
              <w:rPr>
                <w:rFonts w:hint="eastAsia" w:ascii="仿宋" w:hAnsi="仿宋" w:eastAsia="仿宋" w:cs="仿宋"/>
                <w:color w:val="auto"/>
                <w:sz w:val="24"/>
                <w:highlight w:val="none"/>
              </w:rPr>
              <w:t>）</w:t>
            </w:r>
            <w:r>
              <w:rPr>
                <w:rFonts w:hint="eastAsia" w:ascii="仿宋" w:hAnsi="仿宋" w:eastAsia="仿宋" w:cs="宋体"/>
                <w:color w:val="auto"/>
                <w:kern w:val="0"/>
                <w:sz w:val="24"/>
                <w:highlight w:val="none"/>
              </w:rPr>
              <w:t>首页，点击“苏采云”登录后，进入系统“开标大厅”。</w:t>
            </w:r>
          </w:p>
        </w:tc>
      </w:tr>
      <w:tr w14:paraId="1E8B8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A808FE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26.3</w:t>
            </w:r>
          </w:p>
        </w:tc>
        <w:tc>
          <w:tcPr>
            <w:tcW w:w="7296" w:type="dxa"/>
            <w:tcBorders>
              <w:top w:val="single" w:color="auto" w:sz="4" w:space="0"/>
              <w:left w:val="single" w:color="auto" w:sz="4" w:space="0"/>
              <w:bottom w:val="single" w:color="auto" w:sz="4" w:space="0"/>
              <w:right w:val="single" w:color="auto" w:sz="4" w:space="0"/>
            </w:tcBorders>
            <w:noWrap w:val="0"/>
          </w:tcPr>
          <w:p w14:paraId="320336E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auto"/>
                <w:sz w:val="24"/>
                <w:highlight w:val="none"/>
              </w:rPr>
              <w:t>开标时间后</w:t>
            </w:r>
            <w:r>
              <w:rPr>
                <w:rFonts w:hint="eastAsia" w:ascii="仿宋" w:hAnsi="仿宋" w:eastAsia="仿宋" w:cs="仿宋"/>
                <w:color w:val="auto"/>
                <w:sz w:val="24"/>
                <w:highlight w:val="none"/>
              </w:rPr>
              <w:t>，通过“苏采云”系统（使用“CA数字证书”）解密。解密时限：进入解密环节后，</w:t>
            </w:r>
            <w:r>
              <w:rPr>
                <w:rFonts w:hint="eastAsia" w:ascii="仿宋" w:hAnsi="仿宋" w:eastAsia="仿宋" w:cs="仿宋"/>
                <w:b/>
                <w:bCs/>
                <w:color w:val="auto"/>
                <w:sz w:val="24"/>
                <w:highlight w:val="none"/>
              </w:rPr>
              <w:t>30分钟内。</w:t>
            </w:r>
          </w:p>
          <w:p w14:paraId="737206C0">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25F9E184">
            <w:pPr>
              <w:widowControl/>
              <w:ind w:firstLine="480"/>
              <w:jc w:val="left"/>
              <w:rPr>
                <w:rFonts w:ascii="仿宋" w:hAnsi="仿宋" w:eastAsia="仿宋" w:cs="仿宋"/>
                <w:color w:val="auto"/>
                <w:sz w:val="24"/>
                <w:highlight w:val="none"/>
              </w:rPr>
            </w:pPr>
            <w:r>
              <w:rPr>
                <w:rFonts w:hint="eastAsia" w:ascii="仿宋" w:hAnsi="仿宋" w:eastAsia="仿宋" w:cs="仿宋"/>
                <w:bCs/>
                <w:color w:val="auto"/>
                <w:sz w:val="24"/>
                <w:highlight w:val="none"/>
              </w:rPr>
              <w:t>“苏采云”系统生成开标记录并向社会公众公布，但依法应当保密的除外。</w:t>
            </w:r>
          </w:p>
        </w:tc>
      </w:tr>
      <w:tr w14:paraId="5B95F8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7E0015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26.4</w:t>
            </w:r>
          </w:p>
        </w:tc>
        <w:tc>
          <w:tcPr>
            <w:tcW w:w="7296" w:type="dxa"/>
            <w:tcBorders>
              <w:top w:val="single" w:color="auto" w:sz="4" w:space="0"/>
              <w:left w:val="single" w:color="auto" w:sz="4" w:space="0"/>
              <w:bottom w:val="single" w:color="auto" w:sz="4" w:space="0"/>
              <w:right w:val="single" w:color="auto" w:sz="4" w:space="0"/>
            </w:tcBorders>
            <w:noWrap w:val="0"/>
          </w:tcPr>
          <w:p w14:paraId="5E9CA199">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“苏采云”系统生成开标记录并</w:t>
            </w:r>
            <w:r>
              <w:rPr>
                <w:rFonts w:hint="eastAsia" w:ascii="仿宋" w:hAnsi="仿宋" w:eastAsia="仿宋" w:cs="仿宋"/>
                <w:b/>
                <w:bCs/>
                <w:color w:val="auto"/>
                <w:sz w:val="24"/>
                <w:highlight w:val="none"/>
              </w:rPr>
              <w:t>向社会公众公布后5分钟内</w:t>
            </w:r>
            <w:r>
              <w:rPr>
                <w:rFonts w:hint="eastAsia" w:ascii="仿宋" w:hAnsi="仿宋" w:eastAsia="仿宋" w:cs="仿宋"/>
                <w:color w:val="auto"/>
                <w:sz w:val="24"/>
                <w:highlight w:val="none"/>
              </w:rPr>
              <w:t>，投标人通过“苏采云”系统（使用“CA数字证书”）</w:t>
            </w:r>
            <w:r>
              <w:rPr>
                <w:rFonts w:hint="eastAsia" w:ascii="仿宋" w:hAnsi="仿宋" w:eastAsia="仿宋" w:cs="仿宋"/>
                <w:b/>
                <w:bCs/>
                <w:color w:val="auto"/>
                <w:sz w:val="24"/>
                <w:highlight w:val="none"/>
              </w:rPr>
              <w:t>确认开标过程</w:t>
            </w:r>
            <w:r>
              <w:rPr>
                <w:rFonts w:hint="eastAsia" w:ascii="仿宋" w:hAnsi="仿宋" w:eastAsia="仿宋" w:cs="仿宋"/>
                <w:color w:val="auto"/>
                <w:sz w:val="24"/>
                <w:highlight w:val="none"/>
              </w:rPr>
              <w:t>。在以上时间内投标人没有确认的，视同该投标人认可开标结果。</w:t>
            </w:r>
          </w:p>
        </w:tc>
      </w:tr>
      <w:tr w14:paraId="34206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555295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26.5</w:t>
            </w:r>
          </w:p>
        </w:tc>
        <w:tc>
          <w:tcPr>
            <w:tcW w:w="7296" w:type="dxa"/>
            <w:tcBorders>
              <w:top w:val="single" w:color="auto" w:sz="4" w:space="0"/>
              <w:left w:val="single" w:color="auto" w:sz="4" w:space="0"/>
              <w:bottom w:val="single" w:color="auto" w:sz="4" w:space="0"/>
              <w:right w:val="single" w:color="auto" w:sz="4" w:space="0"/>
            </w:tcBorders>
            <w:noWrap w:val="0"/>
          </w:tcPr>
          <w:p w14:paraId="5820559A">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20BEE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92591D6">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26.6</w:t>
            </w:r>
          </w:p>
        </w:tc>
        <w:tc>
          <w:tcPr>
            <w:tcW w:w="7296" w:type="dxa"/>
            <w:tcBorders>
              <w:top w:val="single" w:color="auto" w:sz="4" w:space="0"/>
              <w:left w:val="single" w:color="auto" w:sz="4" w:space="0"/>
              <w:bottom w:val="single" w:color="auto" w:sz="4" w:space="0"/>
              <w:right w:val="single" w:color="auto" w:sz="4" w:space="0"/>
            </w:tcBorders>
            <w:noWrap w:val="0"/>
          </w:tcPr>
          <w:p w14:paraId="4B4CBA33">
            <w:pPr>
              <w:pStyle w:val="53"/>
              <w:shd w:val="clear" w:color="auto" w:fill="FFFFFF"/>
              <w:spacing w:before="0" w:beforeAutospacing="0" w:after="0" w:afterAutospacing="0"/>
              <w:ind w:firstLine="480"/>
              <w:rPr>
                <w:rFonts w:ascii="仿宋" w:hAnsi="仿宋" w:eastAsia="仿宋" w:cs="仿宋"/>
                <w:color w:val="auto"/>
                <w:highlight w:val="none"/>
              </w:rPr>
            </w:pPr>
            <w:r>
              <w:rPr>
                <w:rFonts w:hint="eastAsia" w:ascii="仿宋" w:hAnsi="仿宋" w:eastAsia="仿宋" w:cs="仿宋"/>
                <w:color w:val="auto"/>
                <w:highlight w:val="none"/>
              </w:rPr>
              <w:t>投标文件解密失败的补救方案:无。</w:t>
            </w:r>
          </w:p>
        </w:tc>
      </w:tr>
      <w:tr w14:paraId="537D30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98DAF5F">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66F7A9B3">
            <w:pPr>
              <w:pStyle w:val="53"/>
              <w:shd w:val="clear" w:color="auto" w:fill="FFFFFF"/>
              <w:spacing w:before="0" w:beforeAutospacing="0" w:after="0" w:afterAutospacing="0"/>
              <w:ind w:firstLine="480"/>
              <w:rPr>
                <w:rFonts w:ascii="仿宋" w:hAnsi="仿宋" w:eastAsia="仿宋" w:cs="仿宋"/>
                <w:color w:val="auto"/>
                <w:highlight w:val="none"/>
              </w:rPr>
            </w:pPr>
          </w:p>
        </w:tc>
      </w:tr>
      <w:tr w14:paraId="7B4082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37009B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29.</w:t>
            </w:r>
          </w:p>
        </w:tc>
        <w:tc>
          <w:tcPr>
            <w:tcW w:w="7296" w:type="dxa"/>
            <w:tcBorders>
              <w:top w:val="single" w:color="auto" w:sz="4" w:space="0"/>
              <w:left w:val="single" w:color="auto" w:sz="4" w:space="0"/>
              <w:bottom w:val="single" w:color="auto" w:sz="4" w:space="0"/>
              <w:right w:val="single" w:color="auto" w:sz="4" w:space="0"/>
            </w:tcBorders>
            <w:noWrap w:val="0"/>
          </w:tcPr>
          <w:p w14:paraId="20454188">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1.评标中需要投标人对投标文件澄清或者说明的，应当通过“苏采云”系统交换数据电文。</w:t>
            </w:r>
            <w:r>
              <w:rPr>
                <w:rFonts w:hint="eastAsia" w:ascii="仿宋" w:hAnsi="仿宋" w:eastAsia="仿宋" w:cs="仿宋"/>
                <w:b/>
                <w:bCs/>
                <w:color w:val="auto"/>
                <w:sz w:val="24"/>
                <w:highlight w:val="none"/>
              </w:rPr>
              <w:t>在评标期间，请投标人保持在线</w:t>
            </w:r>
            <w:r>
              <w:rPr>
                <w:rFonts w:hint="eastAsia" w:ascii="仿宋" w:hAnsi="仿宋" w:eastAsia="仿宋" w:cs="仿宋"/>
                <w:color w:val="auto"/>
                <w:sz w:val="24"/>
                <w:highlight w:val="none"/>
              </w:rPr>
              <w:t>。</w:t>
            </w:r>
          </w:p>
          <w:p w14:paraId="12ACFFBA">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2.对于投标文件中含义不明确、同类问题表述不一致或者有明显文字和计算错误的内容，评标委员会通过“苏采云”系统要求投标人作出必要的澄清、说明或者补正，并规定回复时间。</w:t>
            </w:r>
          </w:p>
          <w:p w14:paraId="7DA75D77">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6A5FF7C5">
            <w:pPr>
              <w:widowControl/>
              <w:ind w:firstLine="482"/>
              <w:jc w:val="left"/>
              <w:rPr>
                <w:rFonts w:ascii="仿宋" w:hAnsi="仿宋" w:eastAsia="仿宋" w:cs="仿宋"/>
                <w:b/>
                <w:color w:val="auto"/>
                <w:sz w:val="24"/>
                <w:highlight w:val="none"/>
              </w:rPr>
            </w:pPr>
            <w:r>
              <w:rPr>
                <w:rFonts w:hint="eastAsia" w:ascii="仿宋" w:hAnsi="仿宋" w:eastAsia="仿宋" w:cs="仿宋"/>
                <w:b/>
                <w:color w:val="auto"/>
                <w:sz w:val="24"/>
                <w:highlight w:val="none"/>
              </w:rPr>
              <w:t>特别说明：“苏采云”系统通过“江苏省政府采购一体化不见面开标大厅</w:t>
            </w:r>
            <w:r>
              <w:rPr>
                <w:rFonts w:hint="eastAsia" w:ascii="仿宋" w:hAnsi="仿宋" w:eastAsia="仿宋" w:cs="仿宋"/>
                <w:b/>
                <w:bCs/>
                <w:color w:val="auto"/>
                <w:sz w:val="24"/>
                <w:highlight w:val="none"/>
              </w:rPr>
              <w:t>”</w:t>
            </w:r>
            <w:r>
              <w:rPr>
                <w:rFonts w:hint="eastAsia" w:ascii="仿宋" w:hAnsi="仿宋" w:eastAsia="仿宋" w:cs="仿宋"/>
                <w:b/>
                <w:color w:val="auto"/>
                <w:sz w:val="24"/>
                <w:highlight w:val="none"/>
              </w:rPr>
              <w:t>提醒投标人。投标人自行查看，投标人因自身原因不及时查看导致没收到信息，“苏采云”系统不承担任何责任。</w:t>
            </w:r>
          </w:p>
        </w:tc>
      </w:tr>
      <w:tr w14:paraId="6A606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DA4085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31.1</w:t>
            </w:r>
          </w:p>
        </w:tc>
        <w:tc>
          <w:tcPr>
            <w:tcW w:w="7296" w:type="dxa"/>
            <w:tcBorders>
              <w:top w:val="single" w:color="auto" w:sz="4" w:space="0"/>
              <w:left w:val="single" w:color="auto" w:sz="4" w:space="0"/>
              <w:bottom w:val="single" w:color="auto" w:sz="4" w:space="0"/>
              <w:right w:val="single" w:color="auto" w:sz="4" w:space="0"/>
            </w:tcBorders>
            <w:noWrap w:val="0"/>
          </w:tcPr>
          <w:p w14:paraId="169AF624">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本项目的评标方法：综合评分法。</w:t>
            </w:r>
          </w:p>
        </w:tc>
      </w:tr>
      <w:tr w14:paraId="3468D1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74B1F0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33.</w:t>
            </w:r>
          </w:p>
        </w:tc>
        <w:tc>
          <w:tcPr>
            <w:tcW w:w="7296" w:type="dxa"/>
            <w:tcBorders>
              <w:top w:val="single" w:color="auto" w:sz="4" w:space="0"/>
              <w:left w:val="single" w:color="auto" w:sz="4" w:space="0"/>
              <w:bottom w:val="single" w:color="auto" w:sz="4" w:space="0"/>
              <w:right w:val="single" w:color="auto" w:sz="4" w:space="0"/>
            </w:tcBorders>
            <w:noWrap w:val="0"/>
          </w:tcPr>
          <w:p w14:paraId="376273E0">
            <w:pPr>
              <w:ind w:firstLine="480" w:firstLineChars="200"/>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评审（评标）委员会启动异常低价投标（响应）审查后，</w:t>
            </w:r>
            <w:r>
              <w:rPr>
                <w:rFonts w:hint="eastAsia" w:ascii="仿宋" w:hAnsi="仿宋" w:eastAsia="仿宋" w:cs="宋体"/>
                <w:b/>
                <w:color w:val="auto"/>
                <w:kern w:val="0"/>
                <w:sz w:val="24"/>
                <w:highlight w:val="none"/>
              </w:rPr>
              <w:t>通过“苏采云”系统</w:t>
            </w:r>
            <w:r>
              <w:rPr>
                <w:rFonts w:hint="eastAsia" w:ascii="仿宋" w:hAnsi="仿宋" w:eastAsia="仿宋" w:cs="宋体"/>
                <w:color w:val="auto"/>
                <w:kern w:val="0"/>
                <w:sz w:val="24"/>
                <w:highlight w:val="none"/>
              </w:rPr>
              <w:t>要求相关供应商在评审现场合理的时间内对投标（响应）价格作出解释，相关供应商</w:t>
            </w:r>
            <w:r>
              <w:rPr>
                <w:rFonts w:hint="eastAsia" w:ascii="仿宋" w:hAnsi="仿宋" w:eastAsia="仿宋" w:cs="宋体"/>
                <w:b/>
                <w:color w:val="auto"/>
                <w:kern w:val="0"/>
                <w:sz w:val="24"/>
                <w:highlight w:val="none"/>
              </w:rPr>
              <w:t>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auto"/>
                <w:kern w:val="0"/>
                <w:sz w:val="24"/>
                <w:highlight w:val="none"/>
              </w:rPr>
              <w:t>。</w:t>
            </w:r>
          </w:p>
          <w:p w14:paraId="61B4D6DA">
            <w:pPr>
              <w:ind w:firstLine="482"/>
              <w:rPr>
                <w:rFonts w:ascii="仿宋" w:hAnsi="仿宋" w:eastAsia="仿宋" w:cs="仿宋"/>
                <w:b/>
                <w:color w:val="auto"/>
                <w:sz w:val="24"/>
                <w:highlight w:val="none"/>
              </w:rPr>
            </w:pPr>
            <w:r>
              <w:rPr>
                <w:rFonts w:hint="eastAsia" w:ascii="仿宋" w:hAnsi="仿宋" w:eastAsia="仿宋" w:cs="宋体"/>
                <w:b/>
                <w:color w:val="auto"/>
                <w:kern w:val="0"/>
                <w:sz w:val="24"/>
                <w:highlight w:val="none"/>
              </w:rPr>
              <w:t>特别说明：“苏采云”系统通过“江苏省政府采购一体化不见面开标大厅</w:t>
            </w:r>
            <w:r>
              <w:rPr>
                <w:rFonts w:hint="eastAsia" w:ascii="仿宋" w:hAnsi="仿宋" w:eastAsia="仿宋" w:cs="宋体"/>
                <w:b/>
                <w:bCs/>
                <w:color w:val="auto"/>
                <w:kern w:val="0"/>
                <w:sz w:val="24"/>
                <w:highlight w:val="none"/>
              </w:rPr>
              <w:t>”</w:t>
            </w:r>
            <w:r>
              <w:rPr>
                <w:rFonts w:hint="eastAsia" w:ascii="仿宋" w:hAnsi="仿宋" w:eastAsia="仿宋" w:cs="宋体"/>
                <w:b/>
                <w:color w:val="auto"/>
                <w:kern w:val="0"/>
                <w:sz w:val="24"/>
                <w:highlight w:val="none"/>
              </w:rPr>
              <w:t>提醒投标人，投标人自行查看。投标人未及时查看或因自身原因导致未收到信息的，责任自负。</w:t>
            </w:r>
          </w:p>
        </w:tc>
      </w:tr>
      <w:tr w14:paraId="4FAD3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9046336">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328EA94C">
            <w:pPr>
              <w:widowControl/>
              <w:jc w:val="left"/>
              <w:rPr>
                <w:rFonts w:ascii="仿宋" w:hAnsi="仿宋" w:eastAsia="仿宋" w:cs="仿宋"/>
                <w:color w:val="auto"/>
                <w:sz w:val="24"/>
                <w:highlight w:val="none"/>
              </w:rPr>
            </w:pPr>
          </w:p>
        </w:tc>
      </w:tr>
      <w:tr w14:paraId="5BB49D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2A22F24">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553278B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五、中标和合同</w:t>
            </w:r>
          </w:p>
        </w:tc>
      </w:tr>
      <w:tr w14:paraId="080DD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4EC0D3D">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36.2</w:t>
            </w:r>
          </w:p>
        </w:tc>
        <w:tc>
          <w:tcPr>
            <w:tcW w:w="7296" w:type="dxa"/>
            <w:tcBorders>
              <w:top w:val="single" w:color="auto" w:sz="4" w:space="0"/>
              <w:left w:val="single" w:color="auto" w:sz="4" w:space="0"/>
              <w:bottom w:val="single" w:color="auto" w:sz="4" w:space="0"/>
              <w:right w:val="single" w:color="auto" w:sz="4" w:space="0"/>
            </w:tcBorders>
            <w:noWrap w:val="0"/>
          </w:tcPr>
          <w:p w14:paraId="0A631DCC">
            <w:pPr>
              <w:jc w:val="left"/>
              <w:rPr>
                <w:rFonts w:ascii="仿宋" w:hAnsi="仿宋" w:eastAsia="仿宋" w:cs="仿宋"/>
                <w:color w:val="auto"/>
                <w:sz w:val="24"/>
                <w:highlight w:val="none"/>
              </w:rPr>
            </w:pPr>
            <w:r>
              <w:rPr>
                <w:rFonts w:hint="eastAsia" w:ascii="仿宋" w:hAnsi="仿宋" w:eastAsia="仿宋" w:cs="仿宋"/>
                <w:color w:val="auto"/>
                <w:sz w:val="24"/>
                <w:highlight w:val="none"/>
              </w:rPr>
              <w:t>中标候选人并列的，招标文件规定的确定中标人方式：</w:t>
            </w:r>
          </w:p>
          <w:p w14:paraId="5775AD0D">
            <w:pPr>
              <w:jc w:val="left"/>
              <w:rPr>
                <w:rFonts w:ascii="仿宋" w:hAnsi="仿宋" w:eastAsia="仿宋" w:cs="仿宋"/>
                <w:color w:val="auto"/>
                <w:sz w:val="24"/>
                <w:highlight w:val="none"/>
              </w:rPr>
            </w:pPr>
            <w:r>
              <w:rPr>
                <w:rFonts w:hint="eastAsia" w:ascii="仿宋" w:hAnsi="仿宋" w:eastAsia="仿宋" w:cs="仿宋"/>
                <w:color w:val="auto"/>
                <w:sz w:val="24"/>
                <w:highlight w:val="none"/>
              </w:rPr>
              <w:t>一、确定人：采购人。</w:t>
            </w:r>
          </w:p>
          <w:p w14:paraId="3BDCC2BD">
            <w:pPr>
              <w:jc w:val="left"/>
              <w:rPr>
                <w:rFonts w:ascii="仿宋" w:hAnsi="仿宋" w:eastAsia="仿宋" w:cs="仿宋"/>
                <w:color w:val="auto"/>
                <w:sz w:val="24"/>
                <w:highlight w:val="none"/>
              </w:rPr>
            </w:pPr>
            <w:r>
              <w:rPr>
                <w:rFonts w:hint="eastAsia" w:ascii="仿宋" w:hAnsi="仿宋" w:eastAsia="仿宋" w:cs="仿宋"/>
                <w:color w:val="auto"/>
                <w:sz w:val="24"/>
                <w:highlight w:val="none"/>
              </w:rPr>
              <w:t>二、确定中标人方式：</w:t>
            </w:r>
          </w:p>
          <w:p w14:paraId="4F78AFF2">
            <w:pPr>
              <w:pStyle w:val="45"/>
              <w:rPr>
                <w:color w:val="auto"/>
                <w:highlight w:val="none"/>
              </w:rPr>
            </w:pPr>
            <w:r>
              <w:rPr>
                <w:rFonts w:hint="eastAsia" w:ascii="仿宋" w:hAnsi="仿宋" w:eastAsia="仿宋" w:cs="宋体"/>
                <w:color w:val="auto"/>
                <w:sz w:val="24"/>
                <w:highlight w:val="none"/>
              </w:rPr>
              <w:t>根据技术部分得分高低排序，确定中标人；技术部分得分相同的，根据商务部分高低排序，确定中标人。如商务部分得分相同，由采购人自行确定。</w:t>
            </w:r>
          </w:p>
        </w:tc>
      </w:tr>
      <w:tr w14:paraId="5DC71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A89BE39">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37.1</w:t>
            </w:r>
          </w:p>
        </w:tc>
        <w:tc>
          <w:tcPr>
            <w:tcW w:w="7296" w:type="dxa"/>
            <w:tcBorders>
              <w:top w:val="single" w:color="auto" w:sz="4" w:space="0"/>
              <w:left w:val="single" w:color="auto" w:sz="4" w:space="0"/>
              <w:bottom w:val="single" w:color="auto" w:sz="4" w:space="0"/>
              <w:right w:val="single" w:color="auto" w:sz="4" w:space="0"/>
            </w:tcBorders>
            <w:noWrap w:val="0"/>
          </w:tcPr>
          <w:p w14:paraId="100ACE42">
            <w:pPr>
              <w:ind w:firstLine="480"/>
              <w:jc w:val="left"/>
              <w:rPr>
                <w:rFonts w:ascii="仿宋" w:hAnsi="仿宋" w:eastAsia="仿宋" w:cs="仿宋"/>
                <w:b/>
                <w:color w:val="auto"/>
                <w:sz w:val="24"/>
                <w:highlight w:val="none"/>
              </w:rPr>
            </w:pPr>
            <w:r>
              <w:rPr>
                <w:rFonts w:hint="eastAsia" w:ascii="仿宋" w:hAnsi="仿宋" w:eastAsia="仿宋" w:cs="仿宋"/>
                <w:color w:val="auto"/>
                <w:sz w:val="24"/>
                <w:highlight w:val="none"/>
              </w:rPr>
              <w:t>在公告中标结果的同时，</w:t>
            </w:r>
            <w:r>
              <w:rPr>
                <w:rFonts w:hint="eastAsia" w:ascii="仿宋" w:hAnsi="仿宋" w:eastAsia="仿宋" w:cs="仿宋"/>
                <w:b/>
                <w:color w:val="auto"/>
                <w:sz w:val="24"/>
                <w:highlight w:val="none"/>
              </w:rPr>
              <w:t>通过“苏采云”系统以数据电文形式：</w:t>
            </w:r>
            <w:r>
              <w:rPr>
                <w:rFonts w:hint="eastAsia" w:ascii="仿宋" w:hAnsi="仿宋" w:eastAsia="仿宋" w:cs="仿宋"/>
                <w:color w:val="auto"/>
                <w:sz w:val="24"/>
                <w:highlight w:val="none"/>
              </w:rPr>
              <w:t>向中标人发出中标通知书；告知未通过资格审查的投标人,其未通过的原因；采用综合评分法评审的，告知未中标人本人的评审得分与排序。</w:t>
            </w:r>
          </w:p>
        </w:tc>
      </w:tr>
      <w:tr w14:paraId="2F080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8104353">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37.2 </w:t>
            </w:r>
          </w:p>
        </w:tc>
        <w:tc>
          <w:tcPr>
            <w:tcW w:w="7296" w:type="dxa"/>
            <w:tcBorders>
              <w:top w:val="single" w:color="auto" w:sz="4" w:space="0"/>
              <w:left w:val="single" w:color="auto" w:sz="4" w:space="0"/>
              <w:bottom w:val="single" w:color="auto" w:sz="4" w:space="0"/>
              <w:right w:val="single" w:color="auto" w:sz="4" w:space="0"/>
            </w:tcBorders>
            <w:noWrap w:val="0"/>
          </w:tcPr>
          <w:p w14:paraId="2CC061EA">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中标结果在省级以上财政部门指定的媒体上进行公告。</w:t>
            </w:r>
          </w:p>
        </w:tc>
      </w:tr>
      <w:tr w14:paraId="7BF58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EDCF09E">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38.</w:t>
            </w:r>
          </w:p>
        </w:tc>
        <w:tc>
          <w:tcPr>
            <w:tcW w:w="7296" w:type="dxa"/>
            <w:tcBorders>
              <w:top w:val="single" w:color="auto" w:sz="4" w:space="0"/>
              <w:left w:val="single" w:color="auto" w:sz="4" w:space="0"/>
              <w:bottom w:val="single" w:color="auto" w:sz="4" w:space="0"/>
              <w:right w:val="single" w:color="auto" w:sz="4" w:space="0"/>
            </w:tcBorders>
            <w:noWrap w:val="0"/>
          </w:tcPr>
          <w:p w14:paraId="2912ECFC">
            <w:pPr>
              <w:rPr>
                <w:rFonts w:ascii="仿宋" w:hAnsi="仿宋" w:eastAsia="仿宋" w:cs="仿宋"/>
                <w:color w:val="auto"/>
                <w:sz w:val="24"/>
                <w:highlight w:val="none"/>
              </w:rPr>
            </w:pPr>
            <w:r>
              <w:rPr>
                <w:rFonts w:hint="eastAsia" w:ascii="仿宋" w:hAnsi="仿宋" w:eastAsia="仿宋" w:cs="仿宋"/>
                <w:color w:val="auto"/>
                <w:sz w:val="24"/>
                <w:highlight w:val="none"/>
              </w:rPr>
              <w:t>特别说明：</w:t>
            </w:r>
          </w:p>
          <w:p w14:paraId="2761E36F">
            <w:pPr>
              <w:rPr>
                <w:rFonts w:ascii="仿宋" w:hAnsi="仿宋" w:eastAsia="仿宋" w:cs="仿宋"/>
                <w:color w:val="auto"/>
                <w:sz w:val="24"/>
                <w:highlight w:val="none"/>
              </w:rPr>
            </w:pPr>
            <w:r>
              <w:rPr>
                <w:rFonts w:hint="eastAsia" w:ascii="仿宋" w:hAnsi="仿宋" w:eastAsia="仿宋" w:cs="仿宋"/>
                <w:color w:val="auto"/>
                <w:sz w:val="24"/>
                <w:highlight w:val="none"/>
              </w:rPr>
              <w:t>按照《政府采购法》及其实施条例以及相关规定，中标或者成交后无正当理由拒不与采购人签订政府采购合同的, 在一至三年内禁止参加政府采购活动，列入政府采购严重违法失信行为记录名单。</w:t>
            </w:r>
          </w:p>
        </w:tc>
      </w:tr>
      <w:tr w14:paraId="048B42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9AE8FF0">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4B736D06">
            <w:pPr>
              <w:jc w:val="center"/>
              <w:rPr>
                <w:rFonts w:ascii="仿宋" w:hAnsi="仿宋" w:eastAsia="仿宋" w:cs="仿宋"/>
                <w:color w:val="auto"/>
                <w:sz w:val="24"/>
                <w:highlight w:val="none"/>
              </w:rPr>
            </w:pPr>
          </w:p>
        </w:tc>
      </w:tr>
      <w:tr w14:paraId="558AB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E894012">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14833CFF">
            <w:pPr>
              <w:jc w:val="center"/>
              <w:rPr>
                <w:rFonts w:ascii="仿宋" w:hAnsi="仿宋" w:eastAsia="仿宋" w:cs="仿宋"/>
                <w:color w:val="auto"/>
                <w:sz w:val="24"/>
                <w:highlight w:val="none"/>
              </w:rPr>
            </w:pPr>
            <w:r>
              <w:rPr>
                <w:rFonts w:hint="eastAsia" w:ascii="仿宋" w:hAnsi="仿宋" w:eastAsia="仿宋" w:cs="仿宋"/>
                <w:color w:val="auto"/>
                <w:sz w:val="24"/>
                <w:highlight w:val="none"/>
              </w:rPr>
              <w:t>六、询问和质疑</w:t>
            </w:r>
          </w:p>
        </w:tc>
      </w:tr>
      <w:tr w14:paraId="610916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011B1EA">
            <w:pPr>
              <w:jc w:val="center"/>
              <w:rPr>
                <w:rFonts w:ascii="仿宋" w:hAnsi="仿宋" w:eastAsia="仿宋" w:cs="仿宋"/>
                <w:color w:val="auto"/>
                <w:sz w:val="24"/>
                <w:highlight w:val="none"/>
              </w:rPr>
            </w:pPr>
            <w:r>
              <w:rPr>
                <w:rFonts w:hint="eastAsia" w:ascii="仿宋" w:hAnsi="仿宋" w:eastAsia="仿宋" w:cs="仿宋"/>
                <w:color w:val="auto"/>
                <w:sz w:val="24"/>
                <w:highlight w:val="none"/>
              </w:rPr>
              <w:t>41.</w:t>
            </w:r>
          </w:p>
        </w:tc>
        <w:tc>
          <w:tcPr>
            <w:tcW w:w="7296" w:type="dxa"/>
            <w:tcBorders>
              <w:top w:val="single" w:color="auto" w:sz="4" w:space="0"/>
              <w:left w:val="single" w:color="auto" w:sz="4" w:space="0"/>
              <w:bottom w:val="single" w:color="auto" w:sz="4" w:space="0"/>
              <w:right w:val="single" w:color="auto" w:sz="4" w:space="0"/>
            </w:tcBorders>
            <w:noWrap w:val="0"/>
          </w:tcPr>
          <w:p w14:paraId="718751F3">
            <w:pPr>
              <w:jc w:val="left"/>
              <w:rPr>
                <w:rFonts w:ascii="仿宋" w:hAnsi="仿宋" w:eastAsia="仿宋" w:cs="仿宋"/>
                <w:color w:val="auto"/>
                <w:sz w:val="24"/>
                <w:highlight w:val="none"/>
              </w:rPr>
            </w:pPr>
            <w:r>
              <w:rPr>
                <w:rFonts w:hint="eastAsia" w:ascii="仿宋" w:hAnsi="仿宋" w:eastAsia="仿宋" w:cs="仿宋"/>
                <w:color w:val="auto"/>
                <w:sz w:val="24"/>
                <w:highlight w:val="none"/>
              </w:rPr>
              <w:t>1. 根据</w:t>
            </w:r>
            <w:r>
              <w:rPr>
                <w:rFonts w:hint="eastAsia" w:ascii="仿宋" w:hAnsi="仿宋" w:eastAsia="仿宋" w:cs="仿宋"/>
                <w:color w:val="auto"/>
                <w:sz w:val="24"/>
                <w:highlight w:val="none"/>
                <w:lang w:val="en-US" w:eastAsia="zh-CN"/>
              </w:rPr>
              <w:t>邳州市公共资源交易中心</w:t>
            </w:r>
            <w:r>
              <w:rPr>
                <w:rFonts w:hint="eastAsia" w:ascii="仿宋" w:hAnsi="仿宋" w:eastAsia="仿宋" w:cs="仿宋"/>
                <w:color w:val="auto"/>
                <w:sz w:val="24"/>
                <w:highlight w:val="none"/>
              </w:rPr>
              <w:t>与</w:t>
            </w:r>
            <w:r>
              <w:rPr>
                <w:rFonts w:hint="eastAsia" w:ascii="仿宋" w:hAnsi="仿宋" w:eastAsia="仿宋" w:cs="仿宋"/>
                <w:color w:val="auto"/>
                <w:sz w:val="24"/>
                <w:highlight w:val="none"/>
                <w:lang w:val="en-US" w:eastAsia="zh-CN"/>
              </w:rPr>
              <w:t>邳州市纪念场馆管理处</w:t>
            </w:r>
            <w:r>
              <w:rPr>
                <w:rFonts w:hint="eastAsia" w:ascii="仿宋" w:hAnsi="仿宋" w:eastAsia="仿宋" w:cs="仿宋"/>
                <w:color w:val="auto"/>
                <w:sz w:val="24"/>
                <w:highlight w:val="none"/>
              </w:rPr>
              <w:t>（采购人）签订的本采购项目的《委托代理协议》，供应商对政府采购活动事项有疑问的，向</w:t>
            </w:r>
            <w:r>
              <w:rPr>
                <w:rFonts w:hint="eastAsia" w:ascii="仿宋" w:hAnsi="仿宋" w:eastAsia="仿宋" w:cs="仿宋"/>
                <w:color w:val="auto"/>
                <w:sz w:val="24"/>
                <w:highlight w:val="none"/>
                <w:lang w:val="en-US" w:eastAsia="zh-CN"/>
              </w:rPr>
              <w:t>邳州市纪念场馆管理处</w:t>
            </w:r>
            <w:r>
              <w:rPr>
                <w:rFonts w:hint="eastAsia" w:ascii="仿宋" w:hAnsi="仿宋" w:eastAsia="仿宋" w:cs="仿宋"/>
                <w:color w:val="auto"/>
                <w:sz w:val="24"/>
                <w:highlight w:val="none"/>
              </w:rPr>
              <w:t>(采购人）提出询问；供应商认为采购文件、采购过程和中标、成交结果使自己的权益受到损害的，可以在知道或者应知其权益受到损害之日起七个工作日内，以书面形式向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highlight w:val="none"/>
                <w:lang w:val="en-US" w:eastAsia="zh-CN"/>
              </w:rPr>
              <w:t>邳州市纪念场馆管理处</w:t>
            </w:r>
            <w:r>
              <w:rPr>
                <w:rFonts w:hint="eastAsia" w:ascii="仿宋" w:hAnsi="仿宋" w:eastAsia="仿宋" w:cs="仿宋"/>
                <w:color w:val="auto"/>
                <w:sz w:val="24"/>
                <w:highlight w:val="none"/>
              </w:rPr>
              <w:t>（采购人）提出质疑。询问和质疑由</w:t>
            </w:r>
            <w:r>
              <w:rPr>
                <w:rFonts w:hint="eastAsia" w:ascii="仿宋" w:hAnsi="仿宋" w:eastAsia="仿宋" w:cs="仿宋"/>
                <w:color w:val="auto"/>
                <w:sz w:val="24"/>
                <w:highlight w:val="none"/>
                <w:lang w:val="en-US" w:eastAsia="zh-CN"/>
              </w:rPr>
              <w:t>邳州市纪念场馆管理处</w:t>
            </w:r>
            <w:r>
              <w:rPr>
                <w:rFonts w:hint="eastAsia" w:ascii="仿宋" w:hAnsi="仿宋" w:eastAsia="仿宋" w:cs="仿宋"/>
                <w:color w:val="auto"/>
                <w:sz w:val="24"/>
                <w:highlight w:val="none"/>
              </w:rPr>
              <w:t>（采购人）依法处理。</w:t>
            </w:r>
          </w:p>
          <w:p w14:paraId="2E699B83">
            <w:pPr>
              <w:jc w:val="left"/>
              <w:rPr>
                <w:rFonts w:ascii="仿宋" w:hAnsi="仿宋" w:eastAsia="仿宋" w:cs="仿宋"/>
                <w:color w:val="auto"/>
                <w:sz w:val="24"/>
                <w:highlight w:val="none"/>
              </w:rPr>
            </w:pPr>
            <w:r>
              <w:rPr>
                <w:rFonts w:hint="eastAsia" w:ascii="仿宋" w:hAnsi="仿宋" w:eastAsia="仿宋" w:cs="仿宋"/>
                <w:color w:val="auto"/>
                <w:sz w:val="24"/>
                <w:highlight w:val="none"/>
              </w:rPr>
              <w:t>2. 供应商在法定质疑期内一次性提出针对同一采购程序环节的质疑。</w:t>
            </w:r>
          </w:p>
          <w:p w14:paraId="292165B9">
            <w:pPr>
              <w:jc w:val="left"/>
              <w:rPr>
                <w:rFonts w:ascii="仿宋" w:hAnsi="仿宋" w:eastAsia="仿宋" w:cs="仿宋"/>
                <w:color w:val="auto"/>
                <w:sz w:val="24"/>
                <w:highlight w:val="none"/>
              </w:rPr>
            </w:pPr>
            <w:r>
              <w:rPr>
                <w:rFonts w:hint="eastAsia" w:ascii="仿宋" w:hAnsi="仿宋" w:eastAsia="仿宋" w:cs="仿宋"/>
                <w:color w:val="auto"/>
                <w:sz w:val="24"/>
                <w:highlight w:val="none"/>
              </w:rPr>
              <w:t>3. 质疑函</w:t>
            </w:r>
          </w:p>
          <w:p w14:paraId="1181972B">
            <w:pPr>
              <w:jc w:val="left"/>
              <w:rPr>
                <w:rFonts w:ascii="仿宋" w:hAnsi="仿宋" w:eastAsia="仿宋" w:cs="仿宋"/>
                <w:color w:val="auto"/>
                <w:sz w:val="24"/>
                <w:highlight w:val="none"/>
              </w:rPr>
            </w:pPr>
            <w:r>
              <w:rPr>
                <w:rFonts w:hint="eastAsia" w:ascii="仿宋" w:hAnsi="仿宋" w:eastAsia="仿宋" w:cs="仿宋"/>
                <w:color w:val="auto"/>
                <w:sz w:val="24"/>
                <w:highlight w:val="none"/>
              </w:rPr>
              <w:t>接收质疑函的方式：供应商直接送交或供应商通过EMS邮寄。</w:t>
            </w:r>
          </w:p>
          <w:p w14:paraId="513D4171">
            <w:pPr>
              <w:jc w:val="left"/>
              <w:rPr>
                <w:rFonts w:ascii="仿宋" w:hAnsi="仿宋" w:eastAsia="仿宋" w:cs="仿宋"/>
                <w:color w:val="auto"/>
                <w:sz w:val="24"/>
                <w:highlight w:val="none"/>
              </w:rPr>
            </w:pPr>
            <w:r>
              <w:rPr>
                <w:rFonts w:hint="eastAsia" w:ascii="仿宋" w:hAnsi="仿宋" w:eastAsia="仿宋" w:cs="仿宋"/>
                <w:color w:val="auto"/>
                <w:sz w:val="24"/>
                <w:highlight w:val="none"/>
              </w:rPr>
              <w:t>联系部门：</w:t>
            </w:r>
            <w:r>
              <w:rPr>
                <w:rFonts w:hint="eastAsia" w:ascii="仿宋" w:hAnsi="仿宋" w:eastAsia="仿宋" w:cs="仿宋"/>
                <w:color w:val="auto"/>
                <w:sz w:val="24"/>
                <w:highlight w:val="none"/>
                <w:lang w:val="en-US" w:eastAsia="zh-CN"/>
              </w:rPr>
              <w:t>邳州市纪念场馆管理处</w:t>
            </w:r>
          </w:p>
          <w:p w14:paraId="5FE3338E">
            <w:pPr>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联系电话： </w:t>
            </w:r>
            <w:r>
              <w:rPr>
                <w:rFonts w:hint="eastAsia" w:ascii="仿宋" w:hAnsi="仿宋" w:eastAsia="仿宋"/>
                <w:color w:val="auto"/>
                <w:sz w:val="24"/>
                <w:highlight w:val="none"/>
              </w:rPr>
              <w:t>19051635968</w:t>
            </w:r>
          </w:p>
          <w:p w14:paraId="58F74237">
            <w:pPr>
              <w:widowControl/>
              <w:adjustRightInd w:val="0"/>
              <w:snapToGrid w:val="0"/>
              <w:spacing w:line="360" w:lineRule="auto"/>
              <w:jc w:val="left"/>
              <w:rPr>
                <w:rFonts w:ascii="仿宋" w:hAnsi="仿宋" w:eastAsia="仿宋" w:cs="宋体"/>
                <w:color w:val="auto"/>
                <w:kern w:val="0"/>
                <w:sz w:val="24"/>
                <w:szCs w:val="24"/>
                <w:highlight w:val="none"/>
              </w:rPr>
            </w:pPr>
            <w:r>
              <w:rPr>
                <w:rFonts w:hint="eastAsia" w:ascii="仿宋" w:hAnsi="仿宋" w:eastAsia="仿宋" w:cs="仿宋"/>
                <w:color w:val="auto"/>
                <w:sz w:val="24"/>
                <w:highlight w:val="none"/>
              </w:rPr>
              <w:t>通讯地址：</w:t>
            </w:r>
            <w:r>
              <w:rPr>
                <w:rFonts w:hint="eastAsia" w:ascii="仿宋" w:hAnsi="仿宋" w:eastAsia="仿宋"/>
                <w:color w:val="auto"/>
                <w:sz w:val="24"/>
                <w:highlight w:val="none"/>
                <w:lang w:val="en-US" w:eastAsia="zh-CN"/>
              </w:rPr>
              <w:t>邳州市福州路79号</w:t>
            </w:r>
          </w:p>
          <w:p w14:paraId="3E1B9CF2">
            <w:pPr>
              <w:jc w:val="left"/>
              <w:rPr>
                <w:rFonts w:hint="default" w:ascii="仿宋" w:hAnsi="仿宋" w:eastAsia="仿宋" w:cs="仿宋"/>
                <w:color w:val="auto"/>
                <w:sz w:val="24"/>
                <w:highlight w:val="none"/>
                <w:lang w:val="en-US" w:eastAsia="zh-CN"/>
              </w:rPr>
            </w:pPr>
          </w:p>
        </w:tc>
      </w:tr>
      <w:tr w14:paraId="268A4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8EE4DCF">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附加说明</w:t>
            </w:r>
          </w:p>
        </w:tc>
        <w:tc>
          <w:tcPr>
            <w:tcW w:w="7296" w:type="dxa"/>
            <w:tcBorders>
              <w:top w:val="single" w:color="auto" w:sz="4" w:space="0"/>
              <w:left w:val="single" w:color="auto" w:sz="4" w:space="0"/>
              <w:bottom w:val="single" w:color="auto" w:sz="4" w:space="0"/>
              <w:right w:val="single" w:color="auto" w:sz="4" w:space="0"/>
            </w:tcBorders>
            <w:noWrap w:val="0"/>
          </w:tcPr>
          <w:p w14:paraId="463A8951">
            <w:pPr>
              <w:ind w:firstLine="480"/>
              <w:rPr>
                <w:rFonts w:ascii="仿宋" w:hAnsi="仿宋" w:eastAsia="仿宋" w:cs="仿宋"/>
                <w:color w:val="auto"/>
                <w:sz w:val="24"/>
                <w:highlight w:val="none"/>
              </w:rPr>
            </w:pPr>
          </w:p>
        </w:tc>
      </w:tr>
      <w:tr w14:paraId="74D47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1268" w:type="dxa"/>
            <w:tcBorders>
              <w:top w:val="single" w:color="auto" w:sz="4" w:space="0"/>
              <w:left w:val="single" w:color="auto" w:sz="4" w:space="0"/>
              <w:bottom w:val="single" w:color="auto" w:sz="4" w:space="0"/>
              <w:right w:val="single" w:color="auto" w:sz="4" w:space="0"/>
            </w:tcBorders>
            <w:noWrap w:val="0"/>
          </w:tcPr>
          <w:p w14:paraId="3C81DBD7">
            <w:pPr>
              <w:jc w:val="center"/>
              <w:rPr>
                <w:rFonts w:ascii="仿宋" w:hAnsi="仿宋" w:eastAsia="仿宋" w:cs="仿宋"/>
                <w:color w:val="auto"/>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1FC92563">
            <w:pPr>
              <w:jc w:val="center"/>
              <w:rPr>
                <w:rFonts w:ascii="仿宋" w:hAnsi="仿宋" w:eastAsia="仿宋" w:cs="仿宋"/>
                <w:color w:val="auto"/>
                <w:sz w:val="24"/>
                <w:highlight w:val="none"/>
              </w:rPr>
            </w:pPr>
          </w:p>
        </w:tc>
      </w:tr>
    </w:tbl>
    <w:p w14:paraId="50612945">
      <w:pPr>
        <w:pageBreakBefore/>
        <w:widowControl/>
        <w:rPr>
          <w:rFonts w:ascii="仿宋" w:hAnsi="仿宋" w:eastAsia="仿宋" w:cs="仿宋"/>
          <w:color w:val="auto"/>
          <w:sz w:val="24"/>
          <w:highlight w:val="none"/>
        </w:rPr>
      </w:pPr>
    </w:p>
    <w:p w14:paraId="6D067D4C">
      <w:pPr>
        <w:pStyle w:val="2"/>
        <w:keepNext/>
        <w:keepLines/>
        <w:pageBreakBefore w:val="0"/>
        <w:widowControl w:val="0"/>
        <w:spacing w:line="240" w:lineRule="atLeast"/>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lang w:val="en-US" w:eastAsia="zh-CN"/>
        </w:rPr>
        <w:t xml:space="preserve">第四章  </w:t>
      </w:r>
      <w:r>
        <w:rPr>
          <w:rFonts w:hint="eastAsia" w:ascii="仿宋" w:hAnsi="仿宋" w:eastAsia="仿宋" w:cs="仿宋"/>
          <w:b w:val="0"/>
          <w:bCs w:val="0"/>
          <w:color w:val="auto"/>
          <w:sz w:val="32"/>
          <w:szCs w:val="32"/>
          <w:highlight w:val="none"/>
        </w:rPr>
        <w:t>评标标准</w:t>
      </w:r>
    </w:p>
    <w:tbl>
      <w:tblPr>
        <w:tblStyle w:val="56"/>
        <w:tblW w:w="50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2"/>
        <w:gridCol w:w="1119"/>
        <w:gridCol w:w="928"/>
        <w:gridCol w:w="4262"/>
        <w:gridCol w:w="845"/>
        <w:gridCol w:w="461"/>
      </w:tblGrid>
      <w:tr w14:paraId="4DF02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126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A7A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方正楷体_GBK" w:hAnsi="方正楷体_GBK" w:eastAsia="方正楷体_GBK" w:cs="方正楷体_GBK"/>
                <w:i w:val="0"/>
                <w:iCs w:val="0"/>
                <w:color w:val="auto"/>
                <w:sz w:val="24"/>
                <w:szCs w:val="24"/>
                <w:highlight w:val="none"/>
                <w:u w:val="none"/>
              </w:rPr>
            </w:pPr>
            <w:r>
              <w:rPr>
                <w:rFonts w:hint="eastAsia" w:ascii="方正楷体_GBK" w:hAnsi="方正楷体_GBK" w:eastAsia="方正楷体_GBK" w:cs="方正楷体_GBK"/>
                <w:i w:val="0"/>
                <w:iCs w:val="0"/>
                <w:color w:val="auto"/>
                <w:kern w:val="0"/>
                <w:sz w:val="24"/>
                <w:szCs w:val="24"/>
                <w:highlight w:val="none"/>
                <w:u w:val="none"/>
                <w:lang w:val="en-US" w:eastAsia="zh-CN" w:bidi="ar"/>
              </w:rPr>
              <w:t>评审因素</w:t>
            </w:r>
          </w:p>
        </w:tc>
        <w:tc>
          <w:tcPr>
            <w:tcW w:w="29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65A2B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方正楷体_GBK" w:hAnsi="方正楷体_GBK" w:eastAsia="方正楷体_GBK" w:cs="方正楷体_GBK"/>
                <w:i w:val="0"/>
                <w:iCs w:val="0"/>
                <w:color w:val="auto"/>
                <w:sz w:val="24"/>
                <w:szCs w:val="24"/>
                <w:highlight w:val="none"/>
                <w:u w:val="none"/>
              </w:rPr>
            </w:pPr>
            <w:r>
              <w:rPr>
                <w:rFonts w:hint="eastAsia" w:ascii="方正楷体_GBK" w:hAnsi="方正楷体_GBK" w:eastAsia="方正楷体_GBK" w:cs="方正楷体_GBK"/>
                <w:i w:val="0"/>
                <w:iCs w:val="0"/>
                <w:color w:val="auto"/>
                <w:kern w:val="0"/>
                <w:sz w:val="24"/>
                <w:szCs w:val="24"/>
                <w:highlight w:val="none"/>
                <w:u w:val="none"/>
                <w:lang w:val="en-US" w:eastAsia="zh-CN" w:bidi="ar"/>
              </w:rPr>
              <w:t>评审因素细化和量化</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B3C4F">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方正楷体_GBK" w:hAnsi="方正楷体_GBK" w:eastAsia="方正楷体_GBK" w:cs="方正楷体_GBK"/>
                <w:i w:val="0"/>
                <w:iCs w:val="0"/>
                <w:color w:val="auto"/>
                <w:kern w:val="0"/>
                <w:sz w:val="24"/>
                <w:szCs w:val="24"/>
                <w:highlight w:val="none"/>
                <w:u w:val="none"/>
                <w:lang w:val="en-US" w:eastAsia="zh-CN" w:bidi="ar"/>
              </w:rPr>
            </w:pPr>
            <w:r>
              <w:rPr>
                <w:rFonts w:hint="eastAsia" w:ascii="方正楷体_GBK" w:hAnsi="方正楷体_GBK" w:eastAsia="方正楷体_GBK" w:cs="方正楷体_GBK"/>
                <w:i w:val="0"/>
                <w:iCs w:val="0"/>
                <w:color w:val="auto"/>
                <w:kern w:val="0"/>
                <w:sz w:val="24"/>
                <w:szCs w:val="24"/>
                <w:highlight w:val="none"/>
                <w:u w:val="none"/>
                <w:lang w:val="en-US" w:eastAsia="zh-CN" w:bidi="ar"/>
              </w:rPr>
              <w:t>是否</w:t>
            </w:r>
          </w:p>
          <w:p w14:paraId="5DDE707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方正楷体_GBK" w:hAnsi="方正楷体_GBK" w:eastAsia="方正楷体_GBK" w:cs="方正楷体_GBK"/>
                <w:i w:val="0"/>
                <w:iCs w:val="0"/>
                <w:color w:val="auto"/>
                <w:sz w:val="24"/>
                <w:szCs w:val="24"/>
                <w:highlight w:val="none"/>
                <w:u w:val="none"/>
              </w:rPr>
            </w:pPr>
            <w:r>
              <w:rPr>
                <w:rFonts w:hint="eastAsia" w:ascii="方正楷体_GBK" w:hAnsi="方正楷体_GBK" w:eastAsia="方正楷体_GBK" w:cs="方正楷体_GBK"/>
                <w:i w:val="0"/>
                <w:iCs w:val="0"/>
                <w:color w:val="auto"/>
                <w:kern w:val="0"/>
                <w:sz w:val="24"/>
                <w:szCs w:val="24"/>
                <w:highlight w:val="none"/>
                <w:u w:val="none"/>
                <w:lang w:val="en-US" w:eastAsia="zh-CN" w:bidi="ar"/>
              </w:rPr>
              <w:t>客观分</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0534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eastAsia" w:ascii="方正楷体_GBK" w:hAnsi="方正楷体_GBK" w:eastAsia="方正楷体_GBK" w:cs="方正楷体_GBK"/>
                <w:i w:val="0"/>
                <w:iCs w:val="0"/>
                <w:color w:val="auto"/>
                <w:sz w:val="24"/>
                <w:szCs w:val="24"/>
                <w:highlight w:val="none"/>
                <w:u w:val="none"/>
              </w:rPr>
            </w:pPr>
            <w:r>
              <w:rPr>
                <w:rFonts w:hint="eastAsia" w:ascii="方正楷体_GBK" w:hAnsi="方正楷体_GBK" w:eastAsia="方正楷体_GBK" w:cs="方正楷体_GBK"/>
                <w:i w:val="0"/>
                <w:iCs w:val="0"/>
                <w:color w:val="auto"/>
                <w:kern w:val="0"/>
                <w:sz w:val="24"/>
                <w:szCs w:val="24"/>
                <w:highlight w:val="none"/>
                <w:u w:val="none"/>
                <w:lang w:val="en-US" w:eastAsia="zh-CN" w:bidi="ar"/>
              </w:rPr>
              <w:t>备注</w:t>
            </w:r>
          </w:p>
        </w:tc>
      </w:tr>
      <w:tr w14:paraId="6BA58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FE24D">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价格部分</w:t>
            </w:r>
          </w:p>
          <w:p w14:paraId="571D596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15</w:t>
            </w:r>
            <w:r>
              <w:rPr>
                <w:rStyle w:val="264"/>
                <w:rFonts w:hint="default" w:ascii="Times New Roman" w:hAnsi="Times New Roman" w:cs="Times New Roman" w:eastAsiaTheme="majorEastAsia"/>
                <w:color w:val="auto"/>
                <w:sz w:val="21"/>
                <w:szCs w:val="21"/>
                <w:highlight w:val="none"/>
                <w:lang w:val="en-US" w:eastAsia="zh-CN" w:bidi="ar"/>
              </w:rPr>
              <w:t>分）</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3F72A">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价格</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15</w:t>
            </w:r>
            <w:r>
              <w:rPr>
                <w:rStyle w:val="264"/>
                <w:rFonts w:hint="default" w:ascii="Times New Roman" w:hAnsi="Times New Roman" w:cs="Times New Roman" w:eastAsiaTheme="majorEastAsia"/>
                <w:color w:val="auto"/>
                <w:sz w:val="21"/>
                <w:szCs w:val="21"/>
                <w:highlight w:val="none"/>
                <w:lang w:val="en-US" w:eastAsia="zh-CN" w:bidi="ar"/>
              </w:rPr>
              <w:t>分）</w:t>
            </w:r>
          </w:p>
        </w:tc>
        <w:tc>
          <w:tcPr>
            <w:tcW w:w="29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74428">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投标人价格得分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最</w:t>
            </w:r>
            <w:r>
              <w:rPr>
                <w:rStyle w:val="264"/>
                <w:rFonts w:hint="eastAsia" w:cs="Times New Roman" w:eastAsiaTheme="majorEastAsia"/>
                <w:color w:val="auto"/>
                <w:sz w:val="21"/>
                <w:szCs w:val="21"/>
                <w:highlight w:val="none"/>
                <w:lang w:val="en-US" w:eastAsia="zh-CN" w:bidi="ar"/>
              </w:rPr>
              <w:t>低</w:t>
            </w:r>
            <w:r>
              <w:rPr>
                <w:rStyle w:val="264"/>
                <w:rFonts w:hint="default" w:ascii="Times New Roman" w:hAnsi="Times New Roman" w:cs="Times New Roman" w:eastAsiaTheme="majorEastAsia"/>
                <w:color w:val="auto"/>
                <w:sz w:val="21"/>
                <w:szCs w:val="21"/>
                <w:highlight w:val="none"/>
                <w:lang w:val="en-US" w:eastAsia="zh-CN" w:bidi="ar"/>
              </w:rPr>
              <w:t>报价</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各投标人投标报价</w:t>
            </w:r>
            <w:r>
              <w:rPr>
                <w:rStyle w:val="265"/>
                <w:rFonts w:hint="default" w:ascii="Times New Roman" w:hAnsi="Times New Roman" w:cs="Times New Roman" w:eastAsiaTheme="majorEastAsia"/>
                <w:color w:val="auto"/>
                <w:sz w:val="21"/>
                <w:szCs w:val="21"/>
                <w:highlight w:val="none"/>
                <w:lang w:val="en-US" w:eastAsia="zh-CN" w:bidi="ar"/>
              </w:rPr>
              <w:t>×15</w:t>
            </w:r>
            <w:r>
              <w:rPr>
                <w:rStyle w:val="264"/>
                <w:rFonts w:hint="default" w:ascii="Times New Roman" w:hAnsi="Times New Roman" w:cs="Times New Roman" w:eastAsiaTheme="majorEastAsia"/>
                <w:color w:val="auto"/>
                <w:sz w:val="21"/>
                <w:szCs w:val="21"/>
                <w:highlight w:val="none"/>
                <w:lang w:val="en-US" w:eastAsia="zh-CN" w:bidi="ar"/>
              </w:rPr>
              <w:t>。</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25582">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是</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72692">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0597A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0" w:hRule="atLeast"/>
        </w:trPr>
        <w:tc>
          <w:tcPr>
            <w:tcW w:w="6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C71F4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技术部分（</w:t>
            </w:r>
            <w:r>
              <w:rPr>
                <w:rStyle w:val="265"/>
                <w:rFonts w:hint="default" w:ascii="Times New Roman" w:hAnsi="Times New Roman" w:cs="Times New Roman" w:eastAsiaTheme="majorEastAsia"/>
                <w:color w:val="auto"/>
                <w:sz w:val="21"/>
                <w:szCs w:val="21"/>
                <w:highlight w:val="none"/>
                <w:lang w:val="en-US" w:eastAsia="zh-CN" w:bidi="ar"/>
              </w:rPr>
              <w:t>66</w:t>
            </w:r>
            <w:r>
              <w:rPr>
                <w:rStyle w:val="264"/>
                <w:rFonts w:hint="default" w:ascii="Times New Roman" w:hAnsi="Times New Roman" w:cs="Times New Roman" w:eastAsiaTheme="majorEastAsia"/>
                <w:color w:val="auto"/>
                <w:sz w:val="21"/>
                <w:szCs w:val="21"/>
                <w:highlight w:val="none"/>
                <w:lang w:val="en-US" w:eastAsia="zh-CN" w:bidi="ar"/>
              </w:rPr>
              <w:t>）</w:t>
            </w:r>
          </w:p>
        </w:tc>
        <w:tc>
          <w:tcPr>
            <w:tcW w:w="6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06BE1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物业管理服务方案</w:t>
            </w:r>
          </w:p>
          <w:p w14:paraId="28E10248">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66</w:t>
            </w:r>
            <w:r>
              <w:rPr>
                <w:rStyle w:val="264"/>
                <w:rFonts w:hint="default" w:ascii="Times New Roman" w:hAnsi="Times New Roman" w:cs="Times New Roman" w:eastAsiaTheme="majorEastAsia"/>
                <w:color w:val="auto"/>
                <w:sz w:val="21"/>
                <w:szCs w:val="21"/>
                <w:highlight w:val="none"/>
                <w:lang w:val="en-US" w:eastAsia="zh-CN" w:bidi="ar"/>
              </w:rPr>
              <w:t>）</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47A64">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基本服务方案</w:t>
            </w:r>
          </w:p>
          <w:p w14:paraId="32E94BF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C8879">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“1. </w:t>
            </w:r>
            <w:r>
              <w:rPr>
                <w:rStyle w:val="264"/>
                <w:rFonts w:hint="default" w:ascii="Times New Roman" w:hAnsi="Times New Roman" w:cs="Times New Roman" w:eastAsiaTheme="majorEastAsia"/>
                <w:color w:val="auto"/>
                <w:sz w:val="21"/>
                <w:szCs w:val="21"/>
                <w:highlight w:val="none"/>
                <w:lang w:val="en-US" w:eastAsia="zh-CN" w:bidi="ar"/>
              </w:rPr>
              <w:t>基本服务</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5</w:t>
            </w:r>
            <w:r>
              <w:rPr>
                <w:rStyle w:val="264"/>
                <w:rFonts w:hint="default" w:ascii="Times New Roman" w:hAnsi="Times New Roman" w:cs="Times New Roman" w:eastAsiaTheme="majorEastAsia"/>
                <w:color w:val="auto"/>
                <w:sz w:val="21"/>
                <w:szCs w:val="21"/>
                <w:highlight w:val="none"/>
                <w:lang w:val="en-US" w:eastAsia="zh-CN" w:bidi="ar"/>
              </w:rPr>
              <w:t>项）的内容进行完善，且表述具体方案措施。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E64D1">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70F65">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49596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6D7F3">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F6D00">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EE58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保洁服务方案</w:t>
            </w:r>
          </w:p>
          <w:p w14:paraId="2168C711">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12</w:t>
            </w:r>
            <w:r>
              <w:rPr>
                <w:rStyle w:val="264"/>
                <w:rFonts w:hint="default" w:ascii="Times New Roman" w:hAnsi="Times New Roman" w:cs="Times New Roman" w:eastAsiaTheme="majorEastAsia"/>
                <w:color w:val="auto"/>
                <w:sz w:val="21"/>
                <w:szCs w:val="21"/>
                <w:highlight w:val="none"/>
                <w:lang w:val="en-US" w:eastAsia="zh-CN" w:bidi="ar"/>
              </w:rPr>
              <w:t>分）</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0392">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“2. </w:t>
            </w:r>
            <w:r>
              <w:rPr>
                <w:rStyle w:val="264"/>
                <w:rFonts w:hint="default" w:ascii="Times New Roman" w:hAnsi="Times New Roman" w:cs="Times New Roman" w:eastAsiaTheme="majorEastAsia"/>
                <w:color w:val="auto"/>
                <w:sz w:val="21"/>
                <w:szCs w:val="21"/>
                <w:highlight w:val="none"/>
                <w:lang w:val="en-US" w:eastAsia="zh-CN" w:bidi="ar"/>
              </w:rPr>
              <w:t>保洁服务</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6</w:t>
            </w:r>
            <w:r>
              <w:rPr>
                <w:rStyle w:val="264"/>
                <w:rFonts w:hint="default" w:ascii="Times New Roman" w:hAnsi="Times New Roman" w:cs="Times New Roman" w:eastAsiaTheme="majorEastAsia"/>
                <w:color w:val="auto"/>
                <w:sz w:val="21"/>
                <w:szCs w:val="21"/>
                <w:highlight w:val="none"/>
                <w:lang w:val="en-US" w:eastAsia="zh-CN" w:bidi="ar"/>
              </w:rPr>
              <w:t>项）的</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进行完善，且表述具体工作措施。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12</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12</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0E905">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02931">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1C6C0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DD005">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02706">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69E0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安保服务方案</w:t>
            </w:r>
          </w:p>
          <w:p w14:paraId="4E84D01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48868">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“3. </w:t>
            </w:r>
            <w:r>
              <w:rPr>
                <w:rStyle w:val="264"/>
                <w:rFonts w:hint="default" w:ascii="Times New Roman" w:hAnsi="Times New Roman" w:cs="Times New Roman" w:eastAsiaTheme="majorEastAsia"/>
                <w:color w:val="auto"/>
                <w:sz w:val="21"/>
                <w:szCs w:val="21"/>
                <w:highlight w:val="none"/>
                <w:lang w:val="en-US" w:eastAsia="zh-CN" w:bidi="ar"/>
              </w:rPr>
              <w:t>安保服务</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5</w:t>
            </w:r>
            <w:r>
              <w:rPr>
                <w:rStyle w:val="264"/>
                <w:rFonts w:hint="default" w:ascii="Times New Roman" w:hAnsi="Times New Roman" w:cs="Times New Roman" w:eastAsiaTheme="majorEastAsia"/>
                <w:color w:val="auto"/>
                <w:sz w:val="21"/>
                <w:szCs w:val="21"/>
                <w:highlight w:val="none"/>
                <w:lang w:val="en-US" w:eastAsia="zh-CN" w:bidi="ar"/>
              </w:rPr>
              <w:t>项）的</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进行完善，且表述具体工作措施。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A5B90">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BDCB3">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49304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03F69">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C9D24">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7057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公用设施设备维护服务方案</w:t>
            </w:r>
          </w:p>
          <w:p w14:paraId="7512891B">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8分</w:t>
            </w:r>
            <w:r>
              <w:rPr>
                <w:rStyle w:val="264"/>
                <w:rFonts w:hint="default" w:ascii="Times New Roman" w:hAnsi="Times New Roman" w:cs="Times New Roman" w:eastAsiaTheme="majorEastAsia"/>
                <w:color w:val="auto"/>
                <w:sz w:val="21"/>
                <w:szCs w:val="21"/>
                <w:highlight w:val="none"/>
                <w:lang w:val="en-US" w:eastAsia="zh-CN" w:bidi="ar"/>
              </w:rPr>
              <w:t>）</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0143A">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“4. </w:t>
            </w:r>
            <w:r>
              <w:rPr>
                <w:rStyle w:val="264"/>
                <w:rFonts w:hint="default" w:ascii="Times New Roman" w:hAnsi="Times New Roman" w:cs="Times New Roman" w:eastAsiaTheme="majorEastAsia"/>
                <w:color w:val="auto"/>
                <w:sz w:val="21"/>
                <w:szCs w:val="21"/>
                <w:highlight w:val="none"/>
                <w:lang w:val="en-US" w:eastAsia="zh-CN" w:bidi="ar"/>
              </w:rPr>
              <w:t>公用设施设备维护服务</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4</w:t>
            </w:r>
            <w:r>
              <w:rPr>
                <w:rStyle w:val="264"/>
                <w:rFonts w:hint="default" w:ascii="Times New Roman" w:hAnsi="Times New Roman" w:cs="Times New Roman" w:eastAsiaTheme="majorEastAsia"/>
                <w:color w:val="auto"/>
                <w:sz w:val="21"/>
                <w:szCs w:val="21"/>
                <w:highlight w:val="none"/>
                <w:lang w:val="en-US" w:eastAsia="zh-CN" w:bidi="ar"/>
              </w:rPr>
              <w:t>项）的</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进行完善，且表述具体工作措施。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8</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8</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9827">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23569">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21C9F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3631F">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A4682">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9B6E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处理突发事件服务方案</w:t>
            </w:r>
          </w:p>
          <w:p w14:paraId="524D1810">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12</w:t>
            </w:r>
            <w:r>
              <w:rPr>
                <w:rStyle w:val="264"/>
                <w:rFonts w:hint="default" w:ascii="Times New Roman" w:hAnsi="Times New Roman" w:cs="Times New Roman" w:eastAsiaTheme="majorEastAsia"/>
                <w:color w:val="auto"/>
                <w:sz w:val="21"/>
                <w:szCs w:val="21"/>
                <w:highlight w:val="none"/>
                <w:lang w:val="en-US" w:eastAsia="zh-CN" w:bidi="ar"/>
              </w:rPr>
              <w:t>分）</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FE91C">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“5. </w:t>
            </w:r>
            <w:r>
              <w:rPr>
                <w:rStyle w:val="264"/>
                <w:rFonts w:hint="default" w:ascii="Times New Roman" w:hAnsi="Times New Roman" w:cs="Times New Roman" w:eastAsiaTheme="majorEastAsia"/>
                <w:color w:val="auto"/>
                <w:sz w:val="21"/>
                <w:szCs w:val="21"/>
                <w:highlight w:val="none"/>
                <w:lang w:val="en-US" w:eastAsia="zh-CN" w:bidi="ar"/>
              </w:rPr>
              <w:t>处理突发事件服务</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6</w:t>
            </w:r>
            <w:r>
              <w:rPr>
                <w:rStyle w:val="264"/>
                <w:rFonts w:hint="default" w:ascii="Times New Roman" w:hAnsi="Times New Roman" w:cs="Times New Roman" w:eastAsiaTheme="majorEastAsia"/>
                <w:color w:val="auto"/>
                <w:sz w:val="21"/>
                <w:szCs w:val="21"/>
                <w:highlight w:val="none"/>
                <w:lang w:val="en-US" w:eastAsia="zh-CN" w:bidi="ar"/>
              </w:rPr>
              <w:t>项）的</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进行完善，且表述具体工作措施。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12</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12</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A1DB5">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DFB5">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16BA5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DCF34">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025B1">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D281C">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公共设施节水、节电、节能管理方案（</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44E38">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“6. </w:t>
            </w:r>
            <w:r>
              <w:rPr>
                <w:rStyle w:val="264"/>
                <w:rFonts w:hint="default" w:ascii="Times New Roman" w:hAnsi="Times New Roman" w:cs="Times New Roman" w:eastAsiaTheme="majorEastAsia"/>
                <w:color w:val="auto"/>
                <w:sz w:val="21"/>
                <w:szCs w:val="21"/>
                <w:highlight w:val="none"/>
                <w:lang w:val="en-US" w:eastAsia="zh-CN" w:bidi="ar"/>
              </w:rPr>
              <w:t>公共设施节水、节电、节能管理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5</w:t>
            </w:r>
            <w:r>
              <w:rPr>
                <w:rStyle w:val="264"/>
                <w:rFonts w:hint="default" w:ascii="Times New Roman" w:hAnsi="Times New Roman" w:cs="Times New Roman" w:eastAsiaTheme="majorEastAsia"/>
                <w:color w:val="auto"/>
                <w:sz w:val="21"/>
                <w:szCs w:val="21"/>
                <w:highlight w:val="none"/>
                <w:lang w:val="en-US" w:eastAsia="zh-CN" w:bidi="ar"/>
              </w:rPr>
              <w:t>项）的</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进行完善，且表述具体工作措施。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10</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3CC49">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45829">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030FB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AEFF9">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DC615">
            <w:pPr>
              <w:keepNext w:val="0"/>
              <w:keepLines w:val="0"/>
              <w:pageBreakBefore w:val="0"/>
              <w:widowControl/>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1DCC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物业移交方案</w:t>
            </w:r>
          </w:p>
          <w:p w14:paraId="2F2518B5">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4</w:t>
            </w:r>
            <w:r>
              <w:rPr>
                <w:rStyle w:val="264"/>
                <w:rFonts w:hint="default" w:ascii="Times New Roman" w:hAnsi="Times New Roman" w:cs="Times New Roman" w:eastAsiaTheme="majorEastAsia"/>
                <w:color w:val="auto"/>
                <w:sz w:val="21"/>
                <w:szCs w:val="21"/>
                <w:highlight w:val="none"/>
                <w:lang w:val="en-US" w:eastAsia="zh-CN" w:bidi="ar"/>
              </w:rPr>
              <w:t>分）</w:t>
            </w:r>
          </w:p>
        </w:tc>
        <w:tc>
          <w:tcPr>
            <w:tcW w:w="2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19696">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方案要求对《采购需求》中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四、物业管理服务内容及标准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 xml:space="preserve">“7. </w:t>
            </w:r>
            <w:r>
              <w:rPr>
                <w:rStyle w:val="264"/>
                <w:rFonts w:hint="default" w:ascii="Times New Roman" w:hAnsi="Times New Roman" w:cs="Times New Roman" w:eastAsiaTheme="majorEastAsia"/>
                <w:color w:val="auto"/>
                <w:sz w:val="21"/>
                <w:szCs w:val="21"/>
                <w:highlight w:val="none"/>
                <w:lang w:val="en-US" w:eastAsia="zh-CN" w:bidi="ar"/>
              </w:rPr>
              <w:t>物业移交要求</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中</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服务内容</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（共</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项）的</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服务标准</w:t>
            </w:r>
            <w:r>
              <w:rPr>
                <w:rStyle w:val="265"/>
                <w:rFonts w:hint="default" w:ascii="Times New Roman" w:hAnsi="Times New Roman" w:cs="Times New Roman" w:eastAsiaTheme="majorEastAsia"/>
                <w:color w:val="auto"/>
                <w:sz w:val="21"/>
                <w:szCs w:val="21"/>
                <w:highlight w:val="none"/>
                <w:lang w:val="en-US" w:eastAsia="zh-CN" w:bidi="ar"/>
              </w:rPr>
              <w:t>”</w:t>
            </w:r>
            <w:r>
              <w:rPr>
                <w:rStyle w:val="264"/>
                <w:rFonts w:hint="default" w:ascii="Times New Roman" w:hAnsi="Times New Roman" w:cs="Times New Roman" w:eastAsiaTheme="majorEastAsia"/>
                <w:color w:val="auto"/>
                <w:sz w:val="21"/>
                <w:szCs w:val="21"/>
                <w:highlight w:val="none"/>
                <w:lang w:val="en-US" w:eastAsia="zh-CN" w:bidi="ar"/>
              </w:rPr>
              <w:t>进行完善，且表述具体工作措施。</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上述内容齐全，符合实际切实可行且无缺陷（缺陷是指：部分内容与项目无关、逻辑错误、科学原理错误、表述错误、不符合本项目涉及的相关规范或标准要求的任意一种情形）得</w:t>
            </w:r>
            <w:r>
              <w:rPr>
                <w:rStyle w:val="265"/>
                <w:rFonts w:hint="default" w:ascii="Times New Roman" w:hAnsi="Times New Roman" w:cs="Times New Roman" w:eastAsiaTheme="majorEastAsia"/>
                <w:color w:val="auto"/>
                <w:sz w:val="21"/>
                <w:szCs w:val="21"/>
                <w:highlight w:val="none"/>
                <w:lang w:val="en-US" w:eastAsia="zh-CN" w:bidi="ar"/>
              </w:rPr>
              <w:t>4</w:t>
            </w:r>
            <w:r>
              <w:rPr>
                <w:rStyle w:val="264"/>
                <w:rFonts w:hint="default" w:ascii="Times New Roman" w:hAnsi="Times New Roman" w:cs="Times New Roman" w:eastAsiaTheme="majorEastAsia"/>
                <w:color w:val="auto"/>
                <w:sz w:val="21"/>
                <w:szCs w:val="21"/>
                <w:highlight w:val="none"/>
                <w:lang w:val="en-US" w:eastAsia="zh-CN" w:bidi="ar"/>
              </w:rPr>
              <w:t>分，每缺少一项内容扣</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分，扣完为止；单项内容每存在一处缺陷扣</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分，单项内容分（</w:t>
            </w:r>
            <w:r>
              <w:rPr>
                <w:rStyle w:val="265"/>
                <w:rFonts w:hint="default" w:ascii="Times New Roman" w:hAnsi="Times New Roman" w:cs="Times New Roman" w:eastAsiaTheme="majorEastAsia"/>
                <w:color w:val="auto"/>
                <w:sz w:val="21"/>
                <w:szCs w:val="21"/>
                <w:highlight w:val="none"/>
                <w:lang w:val="en-US" w:eastAsia="zh-CN" w:bidi="ar"/>
              </w:rPr>
              <w:t>2</w:t>
            </w:r>
            <w:r>
              <w:rPr>
                <w:rStyle w:val="264"/>
                <w:rFonts w:hint="default" w:ascii="Times New Roman" w:hAnsi="Times New Roman" w:cs="Times New Roman" w:eastAsiaTheme="majorEastAsia"/>
                <w:color w:val="auto"/>
                <w:sz w:val="21"/>
                <w:szCs w:val="21"/>
                <w:highlight w:val="none"/>
                <w:lang w:val="en-US" w:eastAsia="zh-CN" w:bidi="ar"/>
              </w:rPr>
              <w:t>分）扣完为止。</w:t>
            </w:r>
            <w:r>
              <w:rPr>
                <w:rStyle w:val="265"/>
                <w:rFonts w:hint="default" w:ascii="Times New Roman" w:hAnsi="Times New Roman" w:cs="Times New Roman" w:eastAsiaTheme="majorEastAsia"/>
                <w:color w:val="auto"/>
                <w:sz w:val="21"/>
                <w:szCs w:val="21"/>
                <w:highlight w:val="none"/>
                <w:lang w:val="en-US" w:eastAsia="zh-CN" w:bidi="ar"/>
              </w:rPr>
              <w:br w:type="textWrapping"/>
            </w:r>
            <w:r>
              <w:rPr>
                <w:rStyle w:val="264"/>
                <w:rFonts w:hint="default" w:ascii="Times New Roman" w:hAnsi="Times New Roman" w:cs="Times New Roman" w:eastAsiaTheme="majorEastAsia"/>
                <w:color w:val="auto"/>
                <w:sz w:val="21"/>
                <w:szCs w:val="21"/>
                <w:highlight w:val="none"/>
                <w:lang w:val="en-US" w:eastAsia="zh-CN" w:bidi="ar"/>
              </w:rPr>
              <w:t>未提供的得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分，本项最高得</w:t>
            </w:r>
            <w:r>
              <w:rPr>
                <w:rStyle w:val="265"/>
                <w:rFonts w:hint="default" w:ascii="Times New Roman" w:hAnsi="Times New Roman" w:cs="Times New Roman" w:eastAsiaTheme="majorEastAsia"/>
                <w:color w:val="auto"/>
                <w:sz w:val="21"/>
                <w:szCs w:val="21"/>
                <w:highlight w:val="none"/>
                <w:lang w:val="en-US" w:eastAsia="zh-CN" w:bidi="ar"/>
              </w:rPr>
              <w:t>4</w:t>
            </w:r>
            <w:r>
              <w:rPr>
                <w:rStyle w:val="264"/>
                <w:rFonts w:hint="default" w:ascii="Times New Roman" w:hAnsi="Times New Roman" w:cs="Times New Roman" w:eastAsiaTheme="majorEastAsia"/>
                <w:color w:val="auto"/>
                <w:sz w:val="21"/>
                <w:szCs w:val="21"/>
                <w:highlight w:val="none"/>
                <w:lang w:val="en-US" w:eastAsia="zh-CN" w:bidi="ar"/>
              </w:rPr>
              <w:t>分，最低得</w:t>
            </w:r>
            <w:r>
              <w:rPr>
                <w:rStyle w:val="265"/>
                <w:rFonts w:hint="default" w:ascii="Times New Roman" w:hAnsi="Times New Roman" w:cs="Times New Roman" w:eastAsiaTheme="majorEastAsia"/>
                <w:color w:val="auto"/>
                <w:sz w:val="21"/>
                <w:szCs w:val="21"/>
                <w:highlight w:val="none"/>
                <w:lang w:val="en-US" w:eastAsia="zh-CN" w:bidi="ar"/>
              </w:rPr>
              <w:t>0</w:t>
            </w:r>
            <w:r>
              <w:rPr>
                <w:rStyle w:val="264"/>
                <w:rFonts w:hint="default" w:ascii="Times New Roman" w:hAnsi="Times New Roman" w:cs="Times New Roman" w:eastAsiaTheme="majorEastAsia"/>
                <w:color w:val="auto"/>
                <w:sz w:val="21"/>
                <w:szCs w:val="21"/>
                <w:highlight w:val="none"/>
                <w:lang w:val="en-US" w:eastAsia="zh-CN" w:bidi="ar"/>
              </w:rPr>
              <w:t>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6F433">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6B9D1">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0E2A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trPr>
        <w:tc>
          <w:tcPr>
            <w:tcW w:w="6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992CF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Style w:val="264"/>
                <w:rFonts w:hint="default" w:ascii="Times New Roman" w:hAnsi="Times New Roman" w:cs="Times New Roman" w:eastAsiaTheme="majorEastAsia"/>
                <w:color w:val="auto"/>
                <w:sz w:val="21"/>
                <w:szCs w:val="21"/>
                <w:highlight w:val="none"/>
                <w:lang w:val="en-US" w:eastAsia="zh-CN" w:bidi="ar"/>
              </w:rPr>
              <w:t>商务部分</w:t>
            </w:r>
          </w:p>
          <w:p w14:paraId="5CDB020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w:t>
            </w:r>
            <w:r>
              <w:rPr>
                <w:rStyle w:val="265"/>
                <w:rFonts w:hint="default" w:ascii="Times New Roman" w:hAnsi="Times New Roman" w:cs="Times New Roman" w:eastAsiaTheme="majorEastAsia"/>
                <w:color w:val="auto"/>
                <w:sz w:val="21"/>
                <w:szCs w:val="21"/>
                <w:highlight w:val="none"/>
                <w:lang w:val="en-US" w:eastAsia="zh-CN" w:bidi="ar"/>
              </w:rPr>
              <w:t>19</w:t>
            </w:r>
            <w:r>
              <w:rPr>
                <w:rStyle w:val="264"/>
                <w:rFonts w:hint="default" w:ascii="Times New Roman" w:hAnsi="Times New Roman" w:cs="Times New Roman" w:eastAsiaTheme="majorEastAsia"/>
                <w:color w:val="auto"/>
                <w:sz w:val="21"/>
                <w:szCs w:val="21"/>
                <w:highlight w:val="none"/>
                <w:lang w:val="en-US" w:eastAsia="zh-CN" w:bidi="ar"/>
              </w:rPr>
              <w:t>分）</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C28D9">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供应商</w:t>
            </w:r>
          </w:p>
          <w:p w14:paraId="1188C16E">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业绩</w:t>
            </w:r>
          </w:p>
          <w:p w14:paraId="2DBD18B2">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（3分）</w:t>
            </w:r>
          </w:p>
        </w:tc>
        <w:tc>
          <w:tcPr>
            <w:tcW w:w="29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09290">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kern w:val="0"/>
                <w:sz w:val="21"/>
                <w:szCs w:val="21"/>
                <w:highlight w:val="none"/>
                <w:u w:val="none"/>
                <w:lang w:val="en-US" w:eastAsia="zh-CN" w:bidi="ar"/>
              </w:rPr>
              <w:t>提供供应商合同签订日期在</w:t>
            </w:r>
            <w:r>
              <w:rPr>
                <w:rStyle w:val="265"/>
                <w:rFonts w:hint="default" w:ascii="Times New Roman" w:hAnsi="Times New Roman" w:cs="Times New Roman" w:eastAsiaTheme="majorEastAsia"/>
                <w:color w:val="auto"/>
                <w:sz w:val="21"/>
                <w:szCs w:val="21"/>
                <w:highlight w:val="none"/>
                <w:lang w:val="en-US" w:eastAsia="zh-CN" w:bidi="ar"/>
              </w:rPr>
              <w:t>2023</w:t>
            </w:r>
            <w:r>
              <w:rPr>
                <w:rStyle w:val="264"/>
                <w:rFonts w:hint="default" w:ascii="Times New Roman" w:hAnsi="Times New Roman" w:cs="Times New Roman" w:eastAsiaTheme="majorEastAsia"/>
                <w:color w:val="auto"/>
                <w:sz w:val="21"/>
                <w:szCs w:val="21"/>
                <w:highlight w:val="none"/>
                <w:lang w:val="en-US" w:eastAsia="zh-CN" w:bidi="ar"/>
              </w:rPr>
              <w:t>年</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月</w:t>
            </w:r>
            <w:r>
              <w:rPr>
                <w:rStyle w:val="265"/>
                <w:rFonts w:hint="default" w:ascii="Times New Roman" w:hAnsi="Times New Roman" w:cs="Times New Roman" w:eastAsiaTheme="majorEastAsia"/>
                <w:color w:val="auto"/>
                <w:sz w:val="21"/>
                <w:szCs w:val="21"/>
                <w:highlight w:val="none"/>
                <w:lang w:val="en-US" w:eastAsia="zh-CN" w:bidi="ar"/>
              </w:rPr>
              <w:t>1</w:t>
            </w:r>
            <w:r>
              <w:rPr>
                <w:rStyle w:val="264"/>
                <w:rFonts w:hint="default" w:ascii="Times New Roman" w:hAnsi="Times New Roman" w:cs="Times New Roman" w:eastAsiaTheme="majorEastAsia"/>
                <w:color w:val="auto"/>
                <w:sz w:val="21"/>
                <w:szCs w:val="21"/>
                <w:highlight w:val="none"/>
                <w:lang w:val="en-US" w:eastAsia="zh-CN" w:bidi="ar"/>
              </w:rPr>
              <w:t>日后的同类项目业绩（（非居住类物业），每提供一项得</w:t>
            </w:r>
            <w:r>
              <w:rPr>
                <w:rStyle w:val="265"/>
                <w:rFonts w:hint="default" w:ascii="Times New Roman" w:hAnsi="Times New Roman" w:cs="Times New Roman" w:eastAsiaTheme="majorEastAsia"/>
                <w:color w:val="auto"/>
                <w:sz w:val="21"/>
                <w:szCs w:val="21"/>
                <w:highlight w:val="none"/>
                <w:lang w:val="en-US" w:eastAsia="zh-CN" w:bidi="ar"/>
              </w:rPr>
              <w:t>1.5</w:t>
            </w:r>
            <w:r>
              <w:rPr>
                <w:rStyle w:val="264"/>
                <w:rFonts w:hint="default" w:ascii="Times New Roman" w:hAnsi="Times New Roman" w:cs="Times New Roman" w:eastAsiaTheme="majorEastAsia"/>
                <w:color w:val="auto"/>
                <w:sz w:val="21"/>
                <w:szCs w:val="21"/>
                <w:highlight w:val="none"/>
                <w:lang w:val="en-US" w:eastAsia="zh-CN" w:bidi="ar"/>
              </w:rPr>
              <w:t>分，最高得3分。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D845C">
            <w:pPr>
              <w:keepNext w:val="0"/>
              <w:keepLines w:val="0"/>
              <w:pageBreakBefore w:val="0"/>
              <w:widowControl/>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是</w:t>
            </w: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3A413">
            <w:pPr>
              <w:keepNext w:val="0"/>
              <w:keepLines w:val="0"/>
              <w:pageBreakBefore w:val="0"/>
              <w:widowControl/>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5D491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8917F">
            <w:pPr>
              <w:keepNext w:val="0"/>
              <w:keepLines w:val="0"/>
              <w:pageBreakBefore w:val="0"/>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146656">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Style w:val="264"/>
                <w:rFonts w:hint="default" w:ascii="Times New Roman" w:hAnsi="Times New Roman" w:cs="Times New Roman" w:eastAsiaTheme="majorEastAsia"/>
                <w:color w:val="auto"/>
                <w:sz w:val="21"/>
                <w:szCs w:val="21"/>
                <w:highlight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组织机构设置及</w:t>
            </w:r>
            <w:r>
              <w:rPr>
                <w:rStyle w:val="264"/>
                <w:rFonts w:hint="default" w:ascii="Times New Roman" w:hAnsi="Times New Roman" w:cs="Times New Roman" w:eastAsiaTheme="majorEastAsia"/>
                <w:color w:val="auto"/>
                <w:sz w:val="21"/>
                <w:szCs w:val="21"/>
                <w:highlight w:val="none"/>
                <w:lang w:val="en-US" w:eastAsia="zh-CN" w:bidi="ar"/>
              </w:rPr>
              <w:t>人员配备方案</w:t>
            </w:r>
          </w:p>
          <w:p w14:paraId="64F75053">
            <w:pPr>
              <w:keepNext w:val="0"/>
              <w:keepLines w:val="0"/>
              <w:pageBreakBefore w:val="0"/>
              <w:widowControl/>
              <w:suppressLineNumbers w:val="0"/>
              <w:kinsoku/>
              <w:wordWrap/>
              <w:overflowPunct/>
              <w:topLinePunct w:val="0"/>
              <w:autoSpaceDE/>
              <w:autoSpaceDN/>
              <w:bidi w:val="0"/>
              <w:adjustRightInd/>
              <w:snapToGrid/>
              <w:spacing w:line="340" w:lineRule="exact"/>
              <w:jc w:val="center"/>
              <w:textAlignment w:val="center"/>
              <w:rPr>
                <w:rFonts w:hint="default" w:ascii="Times New Roman" w:hAnsi="Times New Roman" w:cs="Times New Roman" w:eastAsiaTheme="majorEastAsia"/>
                <w:i w:val="0"/>
                <w:iCs w:val="0"/>
                <w:color w:val="auto"/>
                <w:sz w:val="21"/>
                <w:szCs w:val="21"/>
                <w:highlight w:val="none"/>
                <w:u w:val="none"/>
              </w:rPr>
            </w:pPr>
            <w:r>
              <w:rPr>
                <w:rStyle w:val="264"/>
                <w:rFonts w:hint="default" w:ascii="Times New Roman" w:hAnsi="Times New Roman" w:cs="Times New Roman" w:eastAsiaTheme="majorEastAsia"/>
                <w:color w:val="auto"/>
                <w:sz w:val="21"/>
                <w:szCs w:val="21"/>
                <w:highlight w:val="none"/>
                <w:lang w:val="en-US" w:eastAsia="zh-CN" w:bidi="ar"/>
              </w:rPr>
              <w:t>（16分）</w:t>
            </w:r>
          </w:p>
        </w:tc>
        <w:tc>
          <w:tcPr>
            <w:tcW w:w="29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DA46B9">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针对本项目</w:t>
            </w:r>
            <w:r>
              <w:rPr>
                <w:rFonts w:hint="eastAsia" w:ascii="Times New Roman" w:hAnsi="Times New Roman" w:cs="Times New Roman" w:eastAsiaTheme="majorEastAsia"/>
                <w:i w:val="0"/>
                <w:iCs w:val="0"/>
                <w:color w:val="auto"/>
                <w:kern w:val="0"/>
                <w:sz w:val="21"/>
                <w:szCs w:val="21"/>
                <w:highlight w:val="none"/>
                <w:u w:val="none"/>
                <w:lang w:val="en-US" w:eastAsia="zh-CN" w:bidi="ar"/>
              </w:rPr>
              <w:t>采购</w:t>
            </w:r>
            <w:r>
              <w:rPr>
                <w:rFonts w:hint="default" w:ascii="Times New Roman" w:hAnsi="Times New Roman" w:cs="Times New Roman" w:eastAsiaTheme="majorEastAsia"/>
                <w:i w:val="0"/>
                <w:iCs w:val="0"/>
                <w:color w:val="auto"/>
                <w:kern w:val="0"/>
                <w:sz w:val="21"/>
                <w:szCs w:val="21"/>
                <w:highlight w:val="none"/>
                <w:u w:val="none"/>
                <w:lang w:val="en-US" w:eastAsia="zh-CN" w:bidi="ar"/>
              </w:rPr>
              <w:t>需求，对人员职责、工作流程等要求进行详细描述。</w:t>
            </w:r>
            <w:r>
              <w:rPr>
                <w:rFonts w:hint="default" w:ascii="Times New Roman" w:hAnsi="Times New Roman" w:cs="Times New Roman" w:eastAsiaTheme="majorEastAsia"/>
                <w:i w:val="0"/>
                <w:iCs w:val="0"/>
                <w:color w:val="auto"/>
                <w:kern w:val="0"/>
                <w:sz w:val="21"/>
                <w:szCs w:val="21"/>
                <w:highlight w:val="none"/>
                <w:u w:val="none"/>
                <w:lang w:val="en-US" w:eastAsia="zh-CN" w:bidi="ar"/>
              </w:rPr>
              <w:br w:type="textWrapping"/>
            </w:r>
            <w:r>
              <w:rPr>
                <w:rFonts w:hint="default" w:ascii="Times New Roman" w:hAnsi="Times New Roman" w:cs="Times New Roman" w:eastAsiaTheme="majorEastAsia"/>
                <w:i w:val="0"/>
                <w:iCs w:val="0"/>
                <w:color w:val="auto"/>
                <w:kern w:val="0"/>
                <w:sz w:val="21"/>
                <w:szCs w:val="21"/>
                <w:highlight w:val="none"/>
                <w:u w:val="none"/>
                <w:lang w:val="en-US" w:eastAsia="zh-CN" w:bidi="ar"/>
              </w:rPr>
              <w:t>职责、工作流程内容齐全，符合实际切实可行且无缺陷（缺陷是指：部分内容与项目无关、逻辑错误、科学原理错误、表述错误、不符合本项目涉及的相关规范或标准要求的任意一种情形）得</w:t>
            </w:r>
            <w:r>
              <w:rPr>
                <w:rFonts w:hint="eastAsia" w:ascii="Times New Roman" w:hAnsi="Times New Roman" w:cs="Times New Roman" w:eastAsiaTheme="majorEastAsia"/>
                <w:i w:val="0"/>
                <w:iCs w:val="0"/>
                <w:color w:val="auto"/>
                <w:kern w:val="0"/>
                <w:sz w:val="21"/>
                <w:szCs w:val="21"/>
                <w:highlight w:val="none"/>
                <w:u w:val="none"/>
                <w:lang w:val="en-US" w:eastAsia="zh-CN" w:bidi="ar"/>
              </w:rPr>
              <w:t>8</w:t>
            </w:r>
            <w:r>
              <w:rPr>
                <w:rFonts w:hint="default" w:ascii="Times New Roman" w:hAnsi="Times New Roman" w:cs="Times New Roman" w:eastAsiaTheme="majorEastAsia"/>
                <w:i w:val="0"/>
                <w:iCs w:val="0"/>
                <w:color w:val="auto"/>
                <w:kern w:val="0"/>
                <w:sz w:val="21"/>
                <w:szCs w:val="21"/>
                <w:highlight w:val="none"/>
                <w:u w:val="none"/>
                <w:lang w:val="en-US" w:eastAsia="zh-CN" w:bidi="ar"/>
              </w:rPr>
              <w:t>分</w:t>
            </w:r>
            <w:r>
              <w:rPr>
                <w:rFonts w:hint="eastAsia" w:ascii="Times New Roman" w:hAnsi="Times New Roman" w:cs="Times New Roman" w:eastAsiaTheme="majorEastAsia"/>
                <w:i w:val="0"/>
                <w:iCs w:val="0"/>
                <w:color w:val="auto"/>
                <w:kern w:val="0"/>
                <w:sz w:val="21"/>
                <w:szCs w:val="21"/>
                <w:highlight w:val="none"/>
                <w:u w:val="none"/>
                <w:lang w:val="en-US" w:eastAsia="zh-CN" w:bidi="ar"/>
              </w:rPr>
              <w:t>。每缺少一项内容的扣4分。</w:t>
            </w:r>
          </w:p>
          <w:p w14:paraId="5822374A">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kern w:val="0"/>
                <w:sz w:val="21"/>
                <w:szCs w:val="21"/>
                <w:highlight w:val="none"/>
                <w:u w:val="none"/>
                <w:lang w:val="en-US" w:eastAsia="zh-CN" w:bidi="ar"/>
              </w:rPr>
              <w:t>各人员职责</w:t>
            </w:r>
            <w:r>
              <w:rPr>
                <w:rFonts w:hint="eastAsia" w:ascii="Times New Roman" w:hAnsi="Times New Roman" w:cs="Times New Roman" w:eastAsiaTheme="majorEastAsia"/>
                <w:i w:val="0"/>
                <w:iCs w:val="0"/>
                <w:color w:val="auto"/>
                <w:kern w:val="0"/>
                <w:sz w:val="21"/>
                <w:szCs w:val="21"/>
                <w:highlight w:val="none"/>
                <w:u w:val="none"/>
                <w:lang w:val="en-US" w:eastAsia="zh-CN" w:bidi="ar"/>
              </w:rPr>
              <w:t>或</w:t>
            </w:r>
            <w:r>
              <w:rPr>
                <w:rFonts w:hint="default" w:ascii="Times New Roman" w:hAnsi="Times New Roman" w:cs="Times New Roman" w:eastAsiaTheme="majorEastAsia"/>
                <w:i w:val="0"/>
                <w:iCs w:val="0"/>
                <w:color w:val="auto"/>
                <w:kern w:val="0"/>
                <w:sz w:val="21"/>
                <w:szCs w:val="21"/>
                <w:highlight w:val="none"/>
                <w:u w:val="none"/>
                <w:lang w:val="en-US" w:eastAsia="zh-CN" w:bidi="ar"/>
              </w:rPr>
              <w:t>工作流程内容每存在一处缺陷扣</w:t>
            </w:r>
            <w:r>
              <w:rPr>
                <w:rFonts w:hint="eastAsia" w:ascii="Times New Roman" w:hAnsi="Times New Roman" w:cs="Times New Roman" w:eastAsiaTheme="majorEastAsia"/>
                <w:i w:val="0"/>
                <w:iCs w:val="0"/>
                <w:color w:val="auto"/>
                <w:kern w:val="0"/>
                <w:sz w:val="21"/>
                <w:szCs w:val="21"/>
                <w:highlight w:val="none"/>
                <w:u w:val="none"/>
                <w:lang w:val="en-US" w:eastAsia="zh-CN" w:bidi="ar"/>
              </w:rPr>
              <w:t>2</w:t>
            </w:r>
            <w:r>
              <w:rPr>
                <w:rFonts w:hint="default" w:ascii="Times New Roman" w:hAnsi="Times New Roman" w:cs="Times New Roman" w:eastAsiaTheme="majorEastAsia"/>
                <w:i w:val="0"/>
                <w:iCs w:val="0"/>
                <w:color w:val="auto"/>
                <w:kern w:val="0"/>
                <w:sz w:val="21"/>
                <w:szCs w:val="21"/>
                <w:highlight w:val="none"/>
                <w:u w:val="none"/>
                <w:lang w:val="en-US" w:eastAsia="zh-CN" w:bidi="ar"/>
              </w:rPr>
              <w:t>分，单项内容</w:t>
            </w:r>
            <w:r>
              <w:rPr>
                <w:rFonts w:hint="eastAsia" w:ascii="Times New Roman" w:hAnsi="Times New Roman" w:cs="Times New Roman" w:eastAsiaTheme="majorEastAsia"/>
                <w:i w:val="0"/>
                <w:iCs w:val="0"/>
                <w:color w:val="auto"/>
                <w:kern w:val="0"/>
                <w:sz w:val="21"/>
                <w:szCs w:val="21"/>
                <w:highlight w:val="none"/>
                <w:u w:val="none"/>
                <w:lang w:val="en-US" w:eastAsia="zh-CN" w:bidi="ar"/>
              </w:rPr>
              <w:t>4</w:t>
            </w:r>
            <w:r>
              <w:rPr>
                <w:rFonts w:hint="default" w:ascii="Times New Roman" w:hAnsi="Times New Roman" w:cs="Times New Roman" w:eastAsiaTheme="majorEastAsia"/>
                <w:i w:val="0"/>
                <w:iCs w:val="0"/>
                <w:color w:val="auto"/>
                <w:kern w:val="0"/>
                <w:sz w:val="21"/>
                <w:szCs w:val="21"/>
                <w:highlight w:val="none"/>
                <w:u w:val="none"/>
                <w:lang w:val="en-US" w:eastAsia="zh-CN" w:bidi="ar"/>
              </w:rPr>
              <w:t>分</w:t>
            </w:r>
            <w:r>
              <w:rPr>
                <w:rFonts w:hint="eastAsia" w:ascii="Times New Roman" w:hAnsi="Times New Roman" w:cs="Times New Roman" w:eastAsiaTheme="majorEastAsia"/>
                <w:i w:val="0"/>
                <w:iCs w:val="0"/>
                <w:color w:val="auto"/>
                <w:kern w:val="0"/>
                <w:sz w:val="21"/>
                <w:szCs w:val="21"/>
                <w:highlight w:val="none"/>
                <w:u w:val="none"/>
                <w:lang w:val="en-US" w:eastAsia="zh-CN" w:bidi="ar"/>
              </w:rPr>
              <w:t>，</w:t>
            </w:r>
            <w:r>
              <w:rPr>
                <w:rFonts w:hint="default" w:ascii="Times New Roman" w:hAnsi="Times New Roman" w:cs="Times New Roman" w:eastAsiaTheme="majorEastAsia"/>
                <w:i w:val="0"/>
                <w:iCs w:val="0"/>
                <w:color w:val="auto"/>
                <w:kern w:val="0"/>
                <w:sz w:val="21"/>
                <w:szCs w:val="21"/>
                <w:highlight w:val="none"/>
                <w:u w:val="none"/>
                <w:lang w:val="en-US" w:eastAsia="zh-CN" w:bidi="ar"/>
              </w:rPr>
              <w:t>扣完为止。</w:t>
            </w:r>
            <w:r>
              <w:rPr>
                <w:rFonts w:hint="default" w:ascii="Times New Roman" w:hAnsi="Times New Roman" w:cs="Times New Roman" w:eastAsiaTheme="majorEastAsia"/>
                <w:i w:val="0"/>
                <w:iCs w:val="0"/>
                <w:color w:val="auto"/>
                <w:kern w:val="0"/>
                <w:sz w:val="21"/>
                <w:szCs w:val="21"/>
                <w:highlight w:val="none"/>
                <w:u w:val="none"/>
                <w:lang w:val="en-US" w:eastAsia="zh-CN" w:bidi="ar"/>
              </w:rPr>
              <w:br w:type="textWrapping"/>
            </w:r>
            <w:r>
              <w:rPr>
                <w:rFonts w:hint="default" w:ascii="Times New Roman" w:hAnsi="Times New Roman" w:cs="Times New Roman" w:eastAsiaTheme="majorEastAsia"/>
                <w:i w:val="0"/>
                <w:iCs w:val="0"/>
                <w:color w:val="auto"/>
                <w:kern w:val="0"/>
                <w:sz w:val="21"/>
                <w:szCs w:val="21"/>
                <w:highlight w:val="none"/>
                <w:u w:val="none"/>
                <w:lang w:val="en-US" w:eastAsia="zh-CN" w:bidi="ar"/>
              </w:rPr>
              <w:t>未提供的得0分，本项最高得</w:t>
            </w:r>
            <w:r>
              <w:rPr>
                <w:rFonts w:hint="eastAsia" w:ascii="Times New Roman" w:hAnsi="Times New Roman" w:cs="Times New Roman" w:eastAsiaTheme="majorEastAsia"/>
                <w:i w:val="0"/>
                <w:iCs w:val="0"/>
                <w:color w:val="auto"/>
                <w:kern w:val="0"/>
                <w:sz w:val="21"/>
                <w:szCs w:val="21"/>
                <w:highlight w:val="none"/>
                <w:u w:val="none"/>
                <w:lang w:val="en-US" w:eastAsia="zh-CN" w:bidi="ar"/>
              </w:rPr>
              <w:t>8</w:t>
            </w:r>
            <w:r>
              <w:rPr>
                <w:rFonts w:hint="default" w:ascii="Times New Roman" w:hAnsi="Times New Roman" w:cs="Times New Roman" w:eastAsiaTheme="majorEastAsia"/>
                <w:i w:val="0"/>
                <w:iCs w:val="0"/>
                <w:color w:val="auto"/>
                <w:kern w:val="0"/>
                <w:sz w:val="21"/>
                <w:szCs w:val="21"/>
                <w:highlight w:val="none"/>
                <w:u w:val="none"/>
                <w:lang w:val="en-US" w:eastAsia="zh-CN" w:bidi="ar"/>
              </w:rPr>
              <w:t>分，最低得0分。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04EA2">
            <w:pPr>
              <w:keepNext w:val="0"/>
              <w:keepLines w:val="0"/>
              <w:pageBreakBefore w:val="0"/>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否</w:t>
            </w: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7FA4B">
            <w:pPr>
              <w:keepNext w:val="0"/>
              <w:keepLines w:val="0"/>
              <w:pageBreakBefore w:val="0"/>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3A5F6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57159">
            <w:pPr>
              <w:keepNext w:val="0"/>
              <w:keepLines w:val="0"/>
              <w:pageBreakBefore w:val="0"/>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991E1">
            <w:pPr>
              <w:keepNext w:val="0"/>
              <w:keepLines w:val="0"/>
              <w:pageBreakBefore w:val="0"/>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29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BC5B76">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kern w:val="0"/>
                <w:sz w:val="21"/>
                <w:szCs w:val="21"/>
                <w:highlight w:val="none"/>
                <w:u w:val="none"/>
                <w:lang w:val="en-US" w:eastAsia="zh-CN" w:bidi="ar"/>
              </w:rPr>
            </w:pPr>
            <w:r>
              <w:rPr>
                <w:rFonts w:hint="eastAsia" w:ascii="Times New Roman" w:hAnsi="Times New Roman" w:cs="Times New Roman" w:eastAsiaTheme="majorEastAsia"/>
                <w:i w:val="0"/>
                <w:iCs w:val="0"/>
                <w:color w:val="auto"/>
                <w:kern w:val="0"/>
                <w:sz w:val="21"/>
                <w:szCs w:val="21"/>
                <w:highlight w:val="none"/>
                <w:u w:val="none"/>
                <w:lang w:val="en-US" w:eastAsia="zh-CN" w:bidi="ar"/>
              </w:rPr>
              <w:t>项目经理</w:t>
            </w:r>
            <w:r>
              <w:rPr>
                <w:rFonts w:hint="default" w:ascii="Times New Roman" w:hAnsi="Times New Roman" w:cs="Times New Roman" w:eastAsiaTheme="majorEastAsia"/>
                <w:i w:val="0"/>
                <w:iCs w:val="0"/>
                <w:color w:val="auto"/>
                <w:kern w:val="0"/>
                <w:sz w:val="21"/>
                <w:szCs w:val="21"/>
                <w:highlight w:val="none"/>
                <w:u w:val="none"/>
                <w:lang w:val="en-US" w:eastAsia="zh-CN" w:bidi="ar"/>
              </w:rPr>
              <w:t>年龄在</w:t>
            </w:r>
            <w:r>
              <w:rPr>
                <w:rFonts w:hint="eastAsia" w:ascii="Times New Roman" w:hAnsi="Times New Roman" w:cs="Times New Roman" w:eastAsiaTheme="majorEastAsia"/>
                <w:i w:val="0"/>
                <w:iCs w:val="0"/>
                <w:color w:val="auto"/>
                <w:kern w:val="0"/>
                <w:sz w:val="21"/>
                <w:szCs w:val="21"/>
                <w:highlight w:val="none"/>
                <w:u w:val="none"/>
                <w:lang w:val="en-US" w:eastAsia="zh-CN" w:bidi="ar"/>
              </w:rPr>
              <w:t>50</w:t>
            </w:r>
            <w:r>
              <w:rPr>
                <w:rFonts w:hint="default" w:ascii="Times New Roman" w:hAnsi="Times New Roman" w:cs="Times New Roman" w:eastAsiaTheme="majorEastAsia"/>
                <w:i w:val="0"/>
                <w:iCs w:val="0"/>
                <w:color w:val="auto"/>
                <w:kern w:val="0"/>
                <w:sz w:val="21"/>
                <w:szCs w:val="21"/>
                <w:highlight w:val="none"/>
                <w:u w:val="none"/>
                <w:lang w:val="en-US" w:eastAsia="zh-CN" w:bidi="ar"/>
              </w:rPr>
              <w:t>周岁（含）以下，满足1人得</w:t>
            </w:r>
            <w:r>
              <w:rPr>
                <w:rFonts w:hint="eastAsia" w:ascii="Times New Roman" w:hAnsi="Times New Roman" w:cs="Times New Roman" w:eastAsiaTheme="majorEastAsia"/>
                <w:i w:val="0"/>
                <w:iCs w:val="0"/>
                <w:color w:val="auto"/>
                <w:kern w:val="0"/>
                <w:sz w:val="21"/>
                <w:szCs w:val="21"/>
                <w:highlight w:val="none"/>
                <w:u w:val="none"/>
                <w:lang w:val="en-US" w:eastAsia="zh-CN" w:bidi="ar"/>
              </w:rPr>
              <w:t>1</w:t>
            </w:r>
            <w:r>
              <w:rPr>
                <w:rFonts w:hint="default" w:ascii="Times New Roman" w:hAnsi="Times New Roman" w:cs="Times New Roman" w:eastAsiaTheme="majorEastAsia"/>
                <w:i w:val="0"/>
                <w:iCs w:val="0"/>
                <w:color w:val="auto"/>
                <w:kern w:val="0"/>
                <w:sz w:val="21"/>
                <w:szCs w:val="21"/>
                <w:highlight w:val="none"/>
                <w:u w:val="none"/>
                <w:lang w:val="en-US" w:eastAsia="zh-CN" w:bidi="ar"/>
              </w:rPr>
              <w:t>分，最高得</w:t>
            </w:r>
            <w:r>
              <w:rPr>
                <w:rFonts w:hint="eastAsia" w:ascii="Times New Roman" w:hAnsi="Times New Roman" w:cs="Times New Roman" w:eastAsiaTheme="majorEastAsia"/>
                <w:i w:val="0"/>
                <w:iCs w:val="0"/>
                <w:color w:val="auto"/>
                <w:kern w:val="0"/>
                <w:sz w:val="21"/>
                <w:szCs w:val="21"/>
                <w:highlight w:val="none"/>
                <w:u w:val="none"/>
                <w:lang w:val="en-US" w:eastAsia="zh-CN" w:bidi="ar"/>
              </w:rPr>
              <w:t>2</w:t>
            </w:r>
            <w:r>
              <w:rPr>
                <w:rFonts w:hint="default" w:ascii="Times New Roman" w:hAnsi="Times New Roman" w:cs="Times New Roman" w:eastAsiaTheme="majorEastAsia"/>
                <w:i w:val="0"/>
                <w:iCs w:val="0"/>
                <w:color w:val="auto"/>
                <w:kern w:val="0"/>
                <w:sz w:val="21"/>
                <w:szCs w:val="21"/>
                <w:highlight w:val="none"/>
                <w:u w:val="none"/>
                <w:lang w:val="en-US" w:eastAsia="zh-CN" w:bidi="ar"/>
              </w:rPr>
              <w:t>分，需提供身份证；</w:t>
            </w:r>
          </w:p>
          <w:p w14:paraId="34F14425">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kern w:val="0"/>
                <w:sz w:val="21"/>
                <w:szCs w:val="21"/>
                <w:highlight w:val="none"/>
                <w:u w:val="none"/>
                <w:lang w:val="en-US" w:eastAsia="zh-CN" w:bidi="ar"/>
              </w:rPr>
              <w:t>管理人员具有</w:t>
            </w:r>
            <w:r>
              <w:rPr>
                <w:rFonts w:hint="eastAsia" w:ascii="Times New Roman" w:hAnsi="Times New Roman" w:cs="Times New Roman" w:eastAsiaTheme="majorEastAsia"/>
                <w:i w:val="0"/>
                <w:iCs w:val="0"/>
                <w:color w:val="auto"/>
                <w:kern w:val="0"/>
                <w:sz w:val="21"/>
                <w:szCs w:val="21"/>
                <w:highlight w:val="none"/>
                <w:u w:val="none"/>
                <w:lang w:val="en-US" w:eastAsia="zh-CN" w:bidi="ar"/>
              </w:rPr>
              <w:t>物业</w:t>
            </w:r>
            <w:r>
              <w:rPr>
                <w:rFonts w:hint="default" w:ascii="Times New Roman" w:hAnsi="Times New Roman" w:cs="Times New Roman" w:eastAsiaTheme="majorEastAsia"/>
                <w:i w:val="0"/>
                <w:iCs w:val="0"/>
                <w:color w:val="auto"/>
                <w:kern w:val="0"/>
                <w:sz w:val="21"/>
                <w:szCs w:val="21"/>
                <w:highlight w:val="none"/>
                <w:u w:val="none"/>
                <w:lang w:val="en-US" w:eastAsia="zh-CN" w:bidi="ar"/>
              </w:rPr>
              <w:t>项目经理证书，且本科及以上学历的，满足1人得0.5分，最高得</w:t>
            </w:r>
            <w:r>
              <w:rPr>
                <w:rFonts w:hint="eastAsia" w:ascii="Times New Roman" w:hAnsi="Times New Roman" w:cs="Times New Roman" w:eastAsiaTheme="majorEastAsia"/>
                <w:i w:val="0"/>
                <w:iCs w:val="0"/>
                <w:color w:val="auto"/>
                <w:kern w:val="0"/>
                <w:sz w:val="21"/>
                <w:szCs w:val="21"/>
                <w:highlight w:val="none"/>
                <w:u w:val="none"/>
                <w:lang w:val="en-US" w:eastAsia="zh-CN" w:bidi="ar"/>
              </w:rPr>
              <w:t>1</w:t>
            </w:r>
            <w:r>
              <w:rPr>
                <w:rFonts w:hint="default" w:ascii="Times New Roman" w:hAnsi="Times New Roman" w:cs="Times New Roman" w:eastAsiaTheme="majorEastAsia"/>
                <w:i w:val="0"/>
                <w:iCs w:val="0"/>
                <w:color w:val="auto"/>
                <w:kern w:val="0"/>
                <w:sz w:val="21"/>
                <w:szCs w:val="21"/>
                <w:highlight w:val="none"/>
                <w:u w:val="none"/>
                <w:lang w:val="en-US" w:eastAsia="zh-CN" w:bidi="ar"/>
              </w:rPr>
              <w:t>分，需提供</w:t>
            </w:r>
            <w:r>
              <w:rPr>
                <w:rFonts w:hint="eastAsia" w:ascii="Times New Roman" w:hAnsi="Times New Roman" w:cs="Times New Roman" w:eastAsiaTheme="majorEastAsia"/>
                <w:i w:val="0"/>
                <w:iCs w:val="0"/>
                <w:color w:val="auto"/>
                <w:kern w:val="0"/>
                <w:sz w:val="21"/>
                <w:szCs w:val="21"/>
                <w:highlight w:val="none"/>
                <w:u w:val="none"/>
                <w:lang w:val="en-US" w:eastAsia="zh-CN" w:bidi="ar"/>
              </w:rPr>
              <w:t>物业</w:t>
            </w:r>
            <w:r>
              <w:rPr>
                <w:rFonts w:hint="default" w:ascii="Times New Roman" w:hAnsi="Times New Roman" w:cs="Times New Roman" w:eastAsiaTheme="majorEastAsia"/>
                <w:i w:val="0"/>
                <w:iCs w:val="0"/>
                <w:color w:val="auto"/>
                <w:kern w:val="0"/>
                <w:sz w:val="21"/>
                <w:szCs w:val="21"/>
                <w:highlight w:val="none"/>
                <w:u w:val="none"/>
                <w:lang w:val="en-US" w:eastAsia="zh-CN" w:bidi="ar"/>
              </w:rPr>
              <w:t>项目经理证书</w:t>
            </w:r>
            <w:r>
              <w:rPr>
                <w:rFonts w:hint="eastAsia" w:ascii="Times New Roman" w:hAnsi="Times New Roman" w:cs="Times New Roman" w:eastAsiaTheme="majorEastAsia"/>
                <w:i w:val="0"/>
                <w:iCs w:val="0"/>
                <w:color w:val="auto"/>
                <w:kern w:val="0"/>
                <w:sz w:val="21"/>
                <w:szCs w:val="21"/>
                <w:highlight w:val="none"/>
                <w:u w:val="none"/>
                <w:lang w:val="en-US" w:eastAsia="zh-CN" w:bidi="ar"/>
              </w:rPr>
              <w:t>（复印件并加盖公司公章）</w:t>
            </w:r>
            <w:r>
              <w:rPr>
                <w:rFonts w:hint="default" w:ascii="Times New Roman" w:hAnsi="Times New Roman" w:cs="Times New Roman" w:eastAsiaTheme="majorEastAsia"/>
                <w:i w:val="0"/>
                <w:iCs w:val="0"/>
                <w:color w:val="auto"/>
                <w:kern w:val="0"/>
                <w:sz w:val="21"/>
                <w:szCs w:val="21"/>
                <w:highlight w:val="none"/>
                <w:u w:val="none"/>
                <w:lang w:val="en-US" w:eastAsia="zh-CN" w:bidi="ar"/>
              </w:rPr>
              <w:t>和学历证明</w:t>
            </w:r>
            <w:r>
              <w:rPr>
                <w:rFonts w:hint="eastAsia" w:ascii="Times New Roman" w:hAnsi="Times New Roman" w:cs="Times New Roman" w:eastAsiaTheme="majorEastAsia"/>
                <w:i w:val="0"/>
                <w:iCs w:val="0"/>
                <w:color w:val="auto"/>
                <w:kern w:val="0"/>
                <w:sz w:val="21"/>
                <w:szCs w:val="21"/>
                <w:highlight w:val="none"/>
                <w:u w:val="none"/>
                <w:lang w:val="en-US" w:eastAsia="zh-CN" w:bidi="ar"/>
              </w:rPr>
              <w:t>（复印件并加盖公司公章）</w:t>
            </w:r>
            <w:r>
              <w:rPr>
                <w:rFonts w:hint="default" w:ascii="Times New Roman" w:hAnsi="Times New Roman" w:cs="Times New Roman" w:eastAsiaTheme="majorEastAsia"/>
                <w:i w:val="0"/>
                <w:iCs w:val="0"/>
                <w:color w:val="auto"/>
                <w:kern w:val="0"/>
                <w:sz w:val="21"/>
                <w:szCs w:val="21"/>
                <w:highlight w:val="none"/>
                <w:u w:val="none"/>
                <w:lang w:val="en-US" w:eastAsia="zh-CN" w:bidi="ar"/>
              </w:rPr>
              <w:t>相关资料。</w:t>
            </w:r>
            <w:r>
              <w:rPr>
                <w:rFonts w:hint="default" w:ascii="Times New Roman" w:hAnsi="Times New Roman" w:cs="Times New Roman" w:eastAsiaTheme="majorEastAsia"/>
                <w:i w:val="0"/>
                <w:iCs w:val="0"/>
                <w:color w:val="auto"/>
                <w:kern w:val="0"/>
                <w:sz w:val="21"/>
                <w:szCs w:val="21"/>
                <w:highlight w:val="none"/>
                <w:u w:val="none"/>
                <w:lang w:val="en-US" w:eastAsia="zh-CN" w:bidi="ar"/>
              </w:rPr>
              <w:br w:type="textWrapping"/>
            </w:r>
            <w:r>
              <w:rPr>
                <w:rFonts w:hint="eastAsia" w:ascii="Times New Roman" w:hAnsi="Times New Roman" w:cs="Times New Roman" w:eastAsiaTheme="majorEastAsia"/>
                <w:i w:val="0"/>
                <w:iCs w:val="0"/>
                <w:color w:val="auto"/>
                <w:kern w:val="0"/>
                <w:sz w:val="21"/>
                <w:szCs w:val="21"/>
                <w:highlight w:val="none"/>
                <w:u w:val="none"/>
                <w:lang w:val="en-US" w:eastAsia="zh-CN" w:bidi="ar"/>
              </w:rPr>
              <w:t xml:space="preserve"> </w:t>
            </w:r>
            <w:r>
              <w:rPr>
                <w:rFonts w:hint="default" w:ascii="Times New Roman" w:hAnsi="Times New Roman" w:cs="Times New Roman" w:eastAsiaTheme="majorEastAsia"/>
                <w:i w:val="0"/>
                <w:iCs w:val="0"/>
                <w:color w:val="auto"/>
                <w:kern w:val="0"/>
                <w:sz w:val="21"/>
                <w:szCs w:val="21"/>
                <w:highlight w:val="none"/>
                <w:u w:val="none"/>
                <w:lang w:val="en-US" w:eastAsia="zh-CN" w:bidi="ar"/>
              </w:rPr>
              <w:t>本项最高得</w:t>
            </w:r>
            <w:r>
              <w:rPr>
                <w:rFonts w:hint="eastAsia" w:ascii="Times New Roman" w:hAnsi="Times New Roman" w:cs="Times New Roman" w:eastAsiaTheme="majorEastAsia"/>
                <w:i w:val="0"/>
                <w:iCs w:val="0"/>
                <w:color w:val="auto"/>
                <w:kern w:val="0"/>
                <w:sz w:val="21"/>
                <w:szCs w:val="21"/>
                <w:highlight w:val="none"/>
                <w:u w:val="none"/>
                <w:lang w:val="en-US" w:eastAsia="zh-CN" w:bidi="ar"/>
              </w:rPr>
              <w:t>3</w:t>
            </w:r>
            <w:r>
              <w:rPr>
                <w:rFonts w:hint="default" w:ascii="Times New Roman" w:hAnsi="Times New Roman" w:cs="Times New Roman" w:eastAsiaTheme="majorEastAsia"/>
                <w:i w:val="0"/>
                <w:iCs w:val="0"/>
                <w:color w:val="auto"/>
                <w:kern w:val="0"/>
                <w:sz w:val="21"/>
                <w:szCs w:val="21"/>
                <w:highlight w:val="none"/>
                <w:u w:val="none"/>
                <w:lang w:val="en-US" w:eastAsia="zh-CN" w:bidi="ar"/>
              </w:rPr>
              <w:t>分，最低得0分。</w:t>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521F">
            <w:pPr>
              <w:keepNext w:val="0"/>
              <w:keepLines w:val="0"/>
              <w:pageBreakBefore w:val="0"/>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是</w:t>
            </w: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5A13D">
            <w:pPr>
              <w:keepNext w:val="0"/>
              <w:keepLines w:val="0"/>
              <w:pageBreakBefore w:val="0"/>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r w14:paraId="493D5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0" w:hRule="atLeast"/>
        </w:trPr>
        <w:tc>
          <w:tcPr>
            <w:tcW w:w="6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D0437">
            <w:pPr>
              <w:keepNext w:val="0"/>
              <w:keepLines w:val="0"/>
              <w:pageBreakBefore w:val="0"/>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66431">
            <w:pPr>
              <w:keepNext w:val="0"/>
              <w:keepLines w:val="0"/>
              <w:pageBreakBefore w:val="0"/>
              <w:kinsoku/>
              <w:wordWrap/>
              <w:overflowPunct/>
              <w:topLinePunct w:val="0"/>
              <w:autoSpaceDE/>
              <w:autoSpaceDN/>
              <w:bidi w:val="0"/>
              <w:adjustRightInd/>
              <w:snapToGrid/>
              <w:spacing w:line="340" w:lineRule="exact"/>
              <w:jc w:val="center"/>
              <w:rPr>
                <w:rFonts w:hint="default" w:ascii="Times New Roman" w:hAnsi="Times New Roman" w:cs="Times New Roman" w:eastAsiaTheme="majorEastAsia"/>
                <w:i w:val="0"/>
                <w:iCs w:val="0"/>
                <w:color w:val="auto"/>
                <w:sz w:val="21"/>
                <w:szCs w:val="21"/>
                <w:highlight w:val="none"/>
                <w:u w:val="none"/>
              </w:rPr>
            </w:pPr>
          </w:p>
        </w:tc>
        <w:tc>
          <w:tcPr>
            <w:tcW w:w="29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B55C0">
            <w:pPr>
              <w:keepNext w:val="0"/>
              <w:keepLines w:val="0"/>
              <w:pageBreakBefore w:val="0"/>
              <w:widowControl/>
              <w:suppressLineNumbers w:val="0"/>
              <w:kinsoku/>
              <w:wordWrap/>
              <w:overflowPunct/>
              <w:topLinePunct w:val="0"/>
              <w:autoSpaceDE/>
              <w:autoSpaceDN/>
              <w:bidi w:val="0"/>
              <w:adjustRightInd/>
              <w:snapToGrid/>
              <w:spacing w:line="340" w:lineRule="exact"/>
              <w:ind w:firstLineChars="100"/>
              <w:jc w:val="left"/>
              <w:textAlignment w:val="center"/>
              <w:rPr>
                <w:rFonts w:hint="default" w:ascii="Times New Roman" w:hAnsi="Times New Roman" w:cs="Times New Roman" w:eastAsiaTheme="majorEastAsia"/>
                <w:i w:val="0"/>
                <w:iCs w:val="0"/>
                <w:color w:val="auto"/>
                <w:sz w:val="21"/>
                <w:szCs w:val="21"/>
                <w:highlight w:val="none"/>
                <w:u w:val="none"/>
              </w:rPr>
            </w:pPr>
            <w:r>
              <w:rPr>
                <w:rFonts w:hint="default" w:ascii="Times New Roman" w:hAnsi="Times New Roman" w:cs="Times New Roman" w:eastAsiaTheme="majorEastAsia"/>
                <w:i w:val="0"/>
                <w:iCs w:val="0"/>
                <w:color w:val="auto"/>
                <w:kern w:val="0"/>
                <w:sz w:val="21"/>
                <w:szCs w:val="21"/>
                <w:highlight w:val="none"/>
                <w:u w:val="none"/>
                <w:lang w:val="en-US" w:eastAsia="zh-CN" w:bidi="ar"/>
              </w:rPr>
              <w:t>保安人员</w:t>
            </w:r>
            <w:r>
              <w:rPr>
                <w:rFonts w:hint="eastAsia" w:ascii="Times New Roman" w:hAnsi="Times New Roman" w:cs="Times New Roman" w:eastAsiaTheme="majorEastAsia"/>
                <w:i w:val="0"/>
                <w:iCs w:val="0"/>
                <w:color w:val="auto"/>
                <w:kern w:val="0"/>
                <w:sz w:val="21"/>
                <w:szCs w:val="21"/>
                <w:highlight w:val="none"/>
                <w:u w:val="none"/>
                <w:lang w:val="en-US" w:eastAsia="zh-CN" w:bidi="ar"/>
              </w:rPr>
              <w:t>要</w:t>
            </w:r>
            <w:r>
              <w:rPr>
                <w:rFonts w:hint="default" w:ascii="Times New Roman" w:hAnsi="Times New Roman" w:cs="Times New Roman" w:eastAsiaTheme="majorEastAsia"/>
                <w:i w:val="0"/>
                <w:iCs w:val="0"/>
                <w:color w:val="auto"/>
                <w:kern w:val="0"/>
                <w:sz w:val="21"/>
                <w:szCs w:val="21"/>
                <w:highlight w:val="none"/>
                <w:u w:val="none"/>
                <w:lang w:val="en-US" w:eastAsia="zh-CN" w:bidi="ar"/>
              </w:rPr>
              <w:t>具有保安员证书，满足1人得1分，最高得</w:t>
            </w:r>
            <w:r>
              <w:rPr>
                <w:rFonts w:hint="eastAsia" w:ascii="Times New Roman" w:hAnsi="Times New Roman" w:cs="Times New Roman" w:eastAsiaTheme="majorEastAsia"/>
                <w:i w:val="0"/>
                <w:iCs w:val="0"/>
                <w:color w:val="auto"/>
                <w:kern w:val="0"/>
                <w:sz w:val="21"/>
                <w:szCs w:val="21"/>
                <w:highlight w:val="none"/>
                <w:u w:val="none"/>
                <w:lang w:val="en-US" w:eastAsia="zh-CN" w:bidi="ar"/>
              </w:rPr>
              <w:t>5</w:t>
            </w:r>
            <w:r>
              <w:rPr>
                <w:rFonts w:hint="default" w:ascii="Times New Roman" w:hAnsi="Times New Roman" w:cs="Times New Roman" w:eastAsiaTheme="majorEastAsia"/>
                <w:i w:val="0"/>
                <w:iCs w:val="0"/>
                <w:color w:val="auto"/>
                <w:kern w:val="0"/>
                <w:sz w:val="21"/>
                <w:szCs w:val="21"/>
                <w:highlight w:val="none"/>
                <w:u w:val="none"/>
                <w:lang w:val="en-US" w:eastAsia="zh-CN" w:bidi="ar"/>
              </w:rPr>
              <w:t>分，需提供相关证书</w:t>
            </w:r>
            <w:r>
              <w:rPr>
                <w:rFonts w:hint="eastAsia" w:ascii="Times New Roman" w:hAnsi="Times New Roman" w:cs="Times New Roman" w:eastAsiaTheme="majorEastAsia"/>
                <w:i w:val="0"/>
                <w:iCs w:val="0"/>
                <w:color w:val="auto"/>
                <w:kern w:val="0"/>
                <w:sz w:val="21"/>
                <w:szCs w:val="21"/>
                <w:highlight w:val="none"/>
                <w:u w:val="none"/>
                <w:lang w:val="en-US" w:eastAsia="zh-CN" w:bidi="ar"/>
              </w:rPr>
              <w:t>（复印件并加盖公司公章）</w:t>
            </w:r>
            <w:r>
              <w:rPr>
                <w:rFonts w:hint="default" w:ascii="Times New Roman" w:hAnsi="Times New Roman" w:cs="Times New Roman" w:eastAsiaTheme="majorEastAsia"/>
                <w:i w:val="0"/>
                <w:iCs w:val="0"/>
                <w:color w:val="auto"/>
                <w:kern w:val="0"/>
                <w:sz w:val="21"/>
                <w:szCs w:val="21"/>
                <w:highlight w:val="none"/>
                <w:u w:val="none"/>
                <w:lang w:val="en-US" w:eastAsia="zh-CN" w:bidi="ar"/>
              </w:rPr>
              <w:t>。</w:t>
            </w:r>
            <w:r>
              <w:rPr>
                <w:rFonts w:hint="default" w:ascii="Times New Roman" w:hAnsi="Times New Roman" w:cs="Times New Roman" w:eastAsiaTheme="majorEastAsia"/>
                <w:i w:val="0"/>
                <w:iCs w:val="0"/>
                <w:color w:val="auto"/>
                <w:kern w:val="0"/>
                <w:sz w:val="21"/>
                <w:szCs w:val="21"/>
                <w:highlight w:val="none"/>
                <w:u w:val="none"/>
                <w:lang w:val="en-US" w:eastAsia="zh-CN" w:bidi="ar"/>
              </w:rPr>
              <w:br w:type="textWrapping"/>
            </w:r>
          </w:p>
        </w:tc>
        <w:tc>
          <w:tcPr>
            <w:tcW w:w="4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185E">
            <w:pPr>
              <w:keepNext w:val="0"/>
              <w:keepLines w:val="0"/>
              <w:pageBreakBefore w:val="0"/>
              <w:kinsoku/>
              <w:wordWrap/>
              <w:overflowPunct/>
              <w:topLinePunct w:val="0"/>
              <w:autoSpaceDE/>
              <w:autoSpaceDN/>
              <w:bidi w:val="0"/>
              <w:adjustRightInd/>
              <w:snapToGrid/>
              <w:spacing w:line="340" w:lineRule="exact"/>
              <w:jc w:val="both"/>
              <w:rPr>
                <w:rFonts w:hint="eastAsia" w:ascii="Times New Roman" w:hAnsi="Times New Roman" w:cs="Times New Roman" w:eastAsiaTheme="majorEastAsia"/>
                <w:i w:val="0"/>
                <w:iCs w:val="0"/>
                <w:color w:val="auto"/>
                <w:sz w:val="21"/>
                <w:szCs w:val="21"/>
                <w:highlight w:val="none"/>
                <w:u w:val="none"/>
                <w:lang w:val="en-US" w:eastAsia="zh-CN"/>
              </w:rPr>
            </w:pPr>
            <w:r>
              <w:rPr>
                <w:rFonts w:hint="eastAsia" w:ascii="Times New Roman" w:hAnsi="Times New Roman" w:cs="Times New Roman" w:eastAsiaTheme="majorEastAsia"/>
                <w:i w:val="0"/>
                <w:iCs w:val="0"/>
                <w:color w:val="auto"/>
                <w:sz w:val="21"/>
                <w:szCs w:val="21"/>
                <w:highlight w:val="none"/>
                <w:u w:val="none"/>
                <w:lang w:val="en-US" w:eastAsia="zh-CN"/>
              </w:rPr>
              <w:t>是</w:t>
            </w:r>
          </w:p>
        </w:tc>
        <w:tc>
          <w:tcPr>
            <w:tcW w:w="2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EF4DE">
            <w:pPr>
              <w:keepNext w:val="0"/>
              <w:keepLines w:val="0"/>
              <w:pageBreakBefore w:val="0"/>
              <w:kinsoku/>
              <w:wordWrap/>
              <w:overflowPunct/>
              <w:topLinePunct w:val="0"/>
              <w:autoSpaceDE/>
              <w:autoSpaceDN/>
              <w:bidi w:val="0"/>
              <w:adjustRightInd/>
              <w:snapToGrid/>
              <w:spacing w:line="340" w:lineRule="exact"/>
              <w:jc w:val="both"/>
              <w:rPr>
                <w:rFonts w:hint="default" w:ascii="Times New Roman" w:hAnsi="Times New Roman" w:cs="Times New Roman" w:eastAsiaTheme="majorEastAsia"/>
                <w:i w:val="0"/>
                <w:iCs w:val="0"/>
                <w:color w:val="auto"/>
                <w:sz w:val="21"/>
                <w:szCs w:val="21"/>
                <w:highlight w:val="none"/>
                <w:u w:val="none"/>
              </w:rPr>
            </w:pPr>
          </w:p>
        </w:tc>
      </w:tr>
    </w:tbl>
    <w:p w14:paraId="73076478">
      <w:pPr>
        <w:rPr>
          <w:rFonts w:hint="eastAsia"/>
          <w:color w:val="auto"/>
          <w:highlight w:val="none"/>
          <w:lang w:val="en-US" w:eastAsia="zh-CN"/>
        </w:rPr>
      </w:pPr>
    </w:p>
    <w:p w14:paraId="50D40BCB">
      <w:pPr>
        <w:pStyle w:val="2"/>
        <w:keepNext/>
        <w:keepLines/>
        <w:pageBreakBefore w:val="0"/>
        <w:widowControl w:val="0"/>
        <w:spacing w:line="240" w:lineRule="atLeast"/>
        <w:jc w:val="center"/>
        <w:rPr>
          <w:rFonts w:hint="eastAsia" w:ascii="仿宋" w:hAnsi="仿宋" w:eastAsia="仿宋" w:cs="仿宋"/>
          <w:b w:val="0"/>
          <w:bCs w:val="0"/>
          <w:color w:val="auto"/>
          <w:sz w:val="32"/>
          <w:szCs w:val="32"/>
          <w:highlight w:val="none"/>
          <w:lang w:val="en-US" w:eastAsia="zh-CN"/>
        </w:rPr>
      </w:pPr>
    </w:p>
    <w:p w14:paraId="6123ED8F">
      <w:pPr>
        <w:pStyle w:val="2"/>
        <w:keepNext/>
        <w:keepLines/>
        <w:pageBreakBefore w:val="0"/>
        <w:widowControl w:val="0"/>
        <w:spacing w:line="240" w:lineRule="atLeast"/>
        <w:jc w:val="center"/>
        <w:rPr>
          <w:rFonts w:hint="eastAsia" w:ascii="仿宋" w:hAnsi="仿宋" w:eastAsia="仿宋" w:cs="仿宋"/>
          <w:b w:val="0"/>
          <w:bCs w:val="0"/>
          <w:color w:val="auto"/>
          <w:sz w:val="32"/>
          <w:szCs w:val="32"/>
          <w:highlight w:val="none"/>
          <w:lang w:val="en-US" w:eastAsia="zh-CN"/>
        </w:rPr>
      </w:pPr>
    </w:p>
    <w:p w14:paraId="20116309">
      <w:pPr>
        <w:rPr>
          <w:rFonts w:hint="eastAsia" w:ascii="仿宋" w:hAnsi="仿宋" w:eastAsia="仿宋" w:cs="仿宋"/>
          <w:b w:val="0"/>
          <w:bCs w:val="0"/>
          <w:color w:val="auto"/>
          <w:sz w:val="32"/>
          <w:szCs w:val="32"/>
          <w:highlight w:val="none"/>
          <w:lang w:val="en-US" w:eastAsia="zh-CN"/>
        </w:rPr>
      </w:pPr>
    </w:p>
    <w:p w14:paraId="42AD8D67">
      <w:pPr>
        <w:pStyle w:val="45"/>
        <w:rPr>
          <w:rFonts w:hint="eastAsia" w:ascii="仿宋" w:hAnsi="仿宋" w:eastAsia="仿宋" w:cs="仿宋"/>
          <w:b w:val="0"/>
          <w:bCs w:val="0"/>
          <w:color w:val="auto"/>
          <w:sz w:val="32"/>
          <w:szCs w:val="32"/>
          <w:highlight w:val="none"/>
          <w:lang w:val="en-US" w:eastAsia="zh-CN"/>
        </w:rPr>
      </w:pPr>
    </w:p>
    <w:p w14:paraId="5166461E">
      <w:pPr>
        <w:rPr>
          <w:rFonts w:hint="eastAsia" w:ascii="仿宋" w:hAnsi="仿宋" w:eastAsia="仿宋" w:cs="仿宋"/>
          <w:b w:val="0"/>
          <w:bCs w:val="0"/>
          <w:color w:val="auto"/>
          <w:sz w:val="32"/>
          <w:szCs w:val="32"/>
          <w:highlight w:val="none"/>
          <w:lang w:val="en-US" w:eastAsia="zh-CN"/>
        </w:rPr>
      </w:pPr>
    </w:p>
    <w:p w14:paraId="5842E440">
      <w:pPr>
        <w:pStyle w:val="45"/>
        <w:rPr>
          <w:rFonts w:hint="eastAsia" w:ascii="仿宋" w:hAnsi="仿宋" w:eastAsia="仿宋" w:cs="仿宋"/>
          <w:b w:val="0"/>
          <w:bCs w:val="0"/>
          <w:color w:val="auto"/>
          <w:sz w:val="32"/>
          <w:szCs w:val="32"/>
          <w:highlight w:val="none"/>
          <w:lang w:val="en-US" w:eastAsia="zh-CN"/>
        </w:rPr>
      </w:pPr>
    </w:p>
    <w:p w14:paraId="292F6118">
      <w:pPr>
        <w:rPr>
          <w:rFonts w:hint="eastAsia" w:ascii="仿宋" w:hAnsi="仿宋" w:eastAsia="仿宋" w:cs="仿宋"/>
          <w:b w:val="0"/>
          <w:bCs w:val="0"/>
          <w:color w:val="auto"/>
          <w:sz w:val="32"/>
          <w:szCs w:val="32"/>
          <w:highlight w:val="none"/>
          <w:lang w:val="en-US" w:eastAsia="zh-CN"/>
        </w:rPr>
      </w:pPr>
    </w:p>
    <w:p w14:paraId="68D2BE72">
      <w:pPr>
        <w:pStyle w:val="45"/>
        <w:rPr>
          <w:rFonts w:hint="eastAsia"/>
          <w:color w:val="auto"/>
          <w:highlight w:val="none"/>
          <w:lang w:val="en-US" w:eastAsia="zh-CN"/>
        </w:rPr>
      </w:pPr>
    </w:p>
    <w:p w14:paraId="3E4BFDDA">
      <w:pPr>
        <w:pageBreakBefore/>
        <w:jc w:val="center"/>
        <w:rPr>
          <w:rFonts w:ascii="仿宋" w:hAnsi="仿宋" w:eastAsia="仿宋"/>
          <w:color w:val="auto"/>
          <w:sz w:val="30"/>
          <w:szCs w:val="30"/>
          <w:highlight w:val="none"/>
        </w:rPr>
      </w:pPr>
      <w:r>
        <w:rPr>
          <w:rFonts w:hint="eastAsia" w:ascii="仿宋" w:hAnsi="仿宋" w:eastAsia="仿宋"/>
          <w:color w:val="auto"/>
          <w:sz w:val="30"/>
          <w:szCs w:val="30"/>
          <w:highlight w:val="none"/>
        </w:rPr>
        <w:t>第五章  拟签订的合同文本</w:t>
      </w:r>
    </w:p>
    <w:p w14:paraId="19C4796B">
      <w:pPr>
        <w:ind w:left="5049" w:right="-624" w:hanging="5160"/>
        <w:contextualSpacing/>
        <w:rPr>
          <w:rFonts w:hint="eastAsia" w:ascii="仿宋" w:hAnsi="仿宋" w:eastAsia="仿宋"/>
          <w:color w:val="auto"/>
          <w:sz w:val="24"/>
          <w:highlight w:val="none"/>
          <w:lang w:eastAsia="zh-CN"/>
        </w:rPr>
      </w:pPr>
      <w:r>
        <w:rPr>
          <w:rFonts w:hint="eastAsia" w:ascii="仿宋" w:hAnsi="仿宋" w:eastAsia="仿宋"/>
          <w:color w:val="auto"/>
          <w:sz w:val="24"/>
          <w:szCs w:val="21"/>
          <w:highlight w:val="none"/>
        </w:rPr>
        <w:t>甲方：</w:t>
      </w:r>
      <w:r>
        <w:rPr>
          <w:rFonts w:hint="eastAsia" w:ascii="仿宋" w:hAnsi="仿宋" w:eastAsia="仿宋"/>
          <w:color w:val="auto"/>
          <w:sz w:val="24"/>
          <w:highlight w:val="none"/>
          <w:lang w:eastAsia="zh-CN"/>
        </w:rPr>
        <w:t>邳州市纪念场馆管理处</w:t>
      </w:r>
      <w:r>
        <w:rPr>
          <w:rFonts w:hint="eastAsia" w:ascii="仿宋" w:hAnsi="仿宋" w:eastAsia="仿宋"/>
          <w:color w:val="auto"/>
          <w:sz w:val="24"/>
          <w:highlight w:val="none"/>
        </w:rPr>
        <w:t xml:space="preserve">   </w:t>
      </w:r>
      <w:r>
        <w:rPr>
          <w:rFonts w:hint="eastAsia" w:ascii="仿宋" w:hAnsi="仿宋" w:eastAsia="仿宋"/>
          <w:color w:val="auto"/>
          <w:sz w:val="24"/>
          <w:szCs w:val="21"/>
          <w:highlight w:val="none"/>
        </w:rPr>
        <w:t>项目名称：</w:t>
      </w:r>
      <w:r>
        <w:rPr>
          <w:rFonts w:hint="eastAsia" w:ascii="仿宋" w:hAnsi="仿宋" w:eastAsia="仿宋"/>
          <w:color w:val="auto"/>
          <w:sz w:val="24"/>
          <w:highlight w:val="none"/>
          <w:lang w:eastAsia="zh-CN"/>
        </w:rPr>
        <w:t>纪念场馆及烈士陵园物业安保服务项目</w:t>
      </w:r>
    </w:p>
    <w:p w14:paraId="722D0997">
      <w:pPr>
        <w:ind w:left="-111" w:right="-624"/>
        <w:contextualSpacing/>
        <w:rPr>
          <w:rFonts w:hint="eastAsia" w:ascii="仿宋" w:hAnsi="仿宋" w:eastAsia="仿宋"/>
          <w:color w:val="auto"/>
          <w:sz w:val="24"/>
          <w:szCs w:val="21"/>
          <w:highlight w:val="none"/>
          <w:lang w:eastAsia="zh-CN"/>
        </w:rPr>
      </w:pPr>
      <w:r>
        <w:rPr>
          <w:rFonts w:hint="eastAsia" w:ascii="仿宋" w:hAnsi="仿宋" w:eastAsia="仿宋"/>
          <w:color w:val="auto"/>
          <w:sz w:val="24"/>
          <w:szCs w:val="21"/>
          <w:highlight w:val="none"/>
        </w:rPr>
        <w:t xml:space="preserve">乙方：                           </w:t>
      </w:r>
      <w:bookmarkStart w:id="3" w:name="OLE_LINK46"/>
      <w:r>
        <w:rPr>
          <w:rFonts w:hint="eastAsia" w:ascii="仿宋" w:hAnsi="仿宋" w:eastAsia="仿宋"/>
          <w:color w:val="auto"/>
          <w:sz w:val="24"/>
          <w:highlight w:val="none"/>
        </w:rPr>
        <w:t>项目编号：</w:t>
      </w:r>
      <w:bookmarkEnd w:id="3"/>
      <w:r>
        <w:rPr>
          <w:rFonts w:hint="eastAsia" w:ascii="仿宋" w:hAnsi="仿宋" w:eastAsia="仿宋"/>
          <w:color w:val="auto"/>
          <w:sz w:val="24"/>
          <w:highlight w:val="none"/>
          <w:lang w:eastAsia="zh-CN"/>
        </w:rPr>
        <w:t>JSZC-320382-PZZC-G2026-0005</w:t>
      </w:r>
    </w:p>
    <w:p w14:paraId="1280F7FF">
      <w:pPr>
        <w:ind w:left="-111" w:right="-624"/>
        <w:contextualSpacing/>
        <w:rPr>
          <w:rFonts w:ascii="仿宋" w:hAnsi="仿宋" w:eastAsia="仿宋"/>
          <w:color w:val="auto"/>
          <w:sz w:val="24"/>
          <w:highlight w:val="none"/>
        </w:rPr>
      </w:pPr>
      <w:r>
        <w:rPr>
          <w:rFonts w:hint="eastAsia" w:ascii="仿宋" w:hAnsi="仿宋" w:eastAsia="仿宋"/>
          <w:color w:val="auto"/>
          <w:sz w:val="24"/>
          <w:szCs w:val="21"/>
          <w:highlight w:val="none"/>
        </w:rPr>
        <w:t>签订时间：                       签订地点：</w:t>
      </w:r>
    </w:p>
    <w:p w14:paraId="069B2A53">
      <w:pPr>
        <w:contextualSpacing/>
        <w:jc w:val="center"/>
        <w:rPr>
          <w:rFonts w:ascii="仿宋" w:hAnsi="仿宋" w:eastAsia="仿宋" w:cs="宋体"/>
          <w:color w:val="auto"/>
          <w:sz w:val="24"/>
          <w:highlight w:val="none"/>
        </w:rPr>
      </w:pPr>
    </w:p>
    <w:p w14:paraId="5A1D9B09">
      <w:pPr>
        <w:widowControl/>
        <w:ind w:firstLine="480"/>
        <w:jc w:val="left"/>
        <w:rPr>
          <w:rFonts w:ascii="仿宋" w:hAnsi="仿宋" w:eastAsia="仿宋" w:cs="宋体"/>
          <w:color w:val="auto"/>
          <w:sz w:val="24"/>
          <w:highlight w:val="none"/>
        </w:rPr>
      </w:pPr>
    </w:p>
    <w:p w14:paraId="10E89C41">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甲、乙双方根据《中华人民共和国政府采购法》《中华人民共和国民法典》，按照</w:t>
      </w:r>
      <w:r>
        <w:rPr>
          <w:rFonts w:hint="eastAsia" w:ascii="仿宋" w:hAnsi="仿宋" w:eastAsia="仿宋"/>
          <w:color w:val="auto"/>
          <w:sz w:val="24"/>
          <w:highlight w:val="none"/>
          <w:lang w:eastAsia="zh-CN"/>
        </w:rPr>
        <w:t>纪念场馆及烈士陵园物业安保服务项目</w:t>
      </w:r>
      <w:r>
        <w:rPr>
          <w:rFonts w:hint="eastAsia" w:ascii="仿宋" w:hAnsi="仿宋" w:eastAsia="仿宋" w:cs="宋体"/>
          <w:color w:val="auto"/>
          <w:sz w:val="24"/>
          <w:highlight w:val="none"/>
        </w:rPr>
        <w:t>发出的中标通知书、招标文件及乙方的投标文件等，按照平等、自愿的原则，经友好协商，签订本合同。</w:t>
      </w:r>
    </w:p>
    <w:p w14:paraId="5E95CE6E">
      <w:pPr>
        <w:spacing w:line="380" w:lineRule="exact"/>
        <w:ind w:left="-426" w:right="-624" w:firstLine="600"/>
        <w:contextualSpacing/>
        <w:rPr>
          <w:rFonts w:ascii="仿宋" w:hAnsi="仿宋" w:eastAsia="仿宋"/>
          <w:color w:val="auto"/>
          <w:sz w:val="24"/>
          <w:highlight w:val="none"/>
        </w:rPr>
      </w:pPr>
    </w:p>
    <w:p w14:paraId="1D23A1DA">
      <w:pPr>
        <w:numPr>
          <w:ilvl w:val="0"/>
          <w:numId w:val="3"/>
        </w:numPr>
        <w:rPr>
          <w:rFonts w:ascii="仿宋" w:hAnsi="仿宋" w:eastAsia="仿宋"/>
          <w:color w:val="auto"/>
          <w:sz w:val="24"/>
          <w:highlight w:val="none"/>
        </w:rPr>
      </w:pPr>
      <w:r>
        <w:rPr>
          <w:rFonts w:hint="eastAsia" w:ascii="仿宋" w:hAnsi="仿宋" w:eastAsia="仿宋"/>
          <w:color w:val="auto"/>
          <w:sz w:val="24"/>
          <w:highlight w:val="none"/>
        </w:rPr>
        <w:t>物业管理服务基本情况</w:t>
      </w:r>
    </w:p>
    <w:p w14:paraId="46F2A3D1">
      <w:pPr>
        <w:pStyle w:val="211"/>
        <w:widowControl/>
        <w:numPr>
          <w:ilvl w:val="0"/>
          <w:numId w:val="4"/>
        </w:numPr>
        <w:spacing w:after="100" w:line="259" w:lineRule="auto"/>
        <w:ind w:right="0" w:rightChars="0"/>
        <w:jc w:val="left"/>
        <w:rPr>
          <w:rFonts w:ascii="仿宋" w:hAnsi="仿宋" w:eastAsia="仿宋"/>
          <w:color w:val="auto"/>
          <w:sz w:val="24"/>
          <w:highlight w:val="none"/>
        </w:rPr>
      </w:pPr>
      <w:r>
        <w:rPr>
          <w:rFonts w:hint="eastAsia" w:ascii="仿宋" w:hAnsi="仿宋" w:eastAsia="仿宋"/>
          <w:color w:val="auto"/>
          <w:sz w:val="24"/>
          <w:highlight w:val="none"/>
        </w:rPr>
        <w:t>物业管理服务区域</w:t>
      </w:r>
    </w:p>
    <w:tbl>
      <w:tblPr>
        <w:tblStyle w:val="56"/>
        <w:tblW w:w="55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090"/>
        <w:gridCol w:w="4090"/>
        <w:gridCol w:w="1127"/>
      </w:tblGrid>
      <w:tr w14:paraId="73047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1107" w:type="pct"/>
            <w:tcBorders>
              <w:top w:val="single" w:color="000000" w:sz="4" w:space="0"/>
              <w:left w:val="single" w:color="000000" w:sz="4" w:space="0"/>
              <w:bottom w:val="single" w:color="000000" w:sz="4" w:space="0"/>
              <w:right w:val="single" w:color="000000" w:sz="4" w:space="0"/>
            </w:tcBorders>
            <w:noWrap/>
            <w:vAlign w:val="center"/>
          </w:tcPr>
          <w:p w14:paraId="54CD54C9">
            <w:pPr>
              <w:spacing w:before="61"/>
              <w:jc w:val="center"/>
              <w:rPr>
                <w:rFonts w:ascii="仿宋" w:hAnsi="仿宋" w:eastAsia="仿宋" w:cs="宋体"/>
                <w:color w:val="auto"/>
                <w:sz w:val="24"/>
                <w:highlight w:val="none"/>
                <w:lang w:val="zh-CN" w:bidi="zh-CN"/>
              </w:rPr>
            </w:pPr>
            <w:r>
              <w:rPr>
                <w:rFonts w:hint="eastAsia" w:ascii="仿宋" w:hAnsi="仿宋" w:eastAsia="仿宋" w:cs="宋体"/>
                <w:color w:val="auto"/>
                <w:sz w:val="24"/>
                <w:highlight w:val="none"/>
                <w:lang w:val="zh-CN" w:bidi="zh-CN"/>
              </w:rPr>
              <w:t>项目名称</w:t>
            </w:r>
          </w:p>
        </w:tc>
        <w:tc>
          <w:tcPr>
            <w:tcW w:w="1828" w:type="pct"/>
            <w:tcBorders>
              <w:top w:val="single" w:color="000000" w:sz="4" w:space="0"/>
              <w:left w:val="single" w:color="000000" w:sz="4" w:space="0"/>
              <w:bottom w:val="single" w:color="000000" w:sz="4" w:space="0"/>
              <w:right w:val="single" w:color="000000" w:sz="4" w:space="0"/>
            </w:tcBorders>
            <w:noWrap/>
            <w:vAlign w:val="center"/>
          </w:tcPr>
          <w:p w14:paraId="3464E452">
            <w:pPr>
              <w:spacing w:before="61"/>
              <w:jc w:val="center"/>
              <w:rPr>
                <w:rFonts w:ascii="仿宋" w:hAnsi="仿宋" w:eastAsia="仿宋" w:cs="宋体"/>
                <w:color w:val="auto"/>
                <w:sz w:val="24"/>
                <w:highlight w:val="none"/>
                <w:lang w:val="zh-CN" w:bidi="zh-CN"/>
              </w:rPr>
            </w:pPr>
            <w:r>
              <w:rPr>
                <w:rFonts w:ascii="仿宋" w:hAnsi="仿宋" w:eastAsia="仿宋" w:cs="宋体"/>
                <w:color w:val="auto"/>
                <w:sz w:val="24"/>
                <w:highlight w:val="none"/>
                <w:lang w:val="zh-CN" w:bidi="zh-CN"/>
              </w:rPr>
              <w:t>物业名称</w:t>
            </w:r>
          </w:p>
        </w:tc>
        <w:tc>
          <w:tcPr>
            <w:tcW w:w="2065" w:type="pct"/>
            <w:tcBorders>
              <w:top w:val="single" w:color="000000" w:sz="4" w:space="0"/>
              <w:left w:val="single" w:color="000000" w:sz="4" w:space="0"/>
              <w:bottom w:val="single" w:color="000000" w:sz="4" w:space="0"/>
              <w:right w:val="single" w:color="000000" w:sz="4" w:space="0"/>
            </w:tcBorders>
            <w:noWrap/>
          </w:tcPr>
          <w:p w14:paraId="7F7EAC48">
            <w:pPr>
              <w:spacing w:before="61"/>
              <w:jc w:val="center"/>
              <w:rPr>
                <w:rFonts w:ascii="仿宋" w:hAnsi="仿宋" w:eastAsia="仿宋" w:cs="宋体"/>
                <w:color w:val="auto"/>
                <w:sz w:val="24"/>
                <w:highlight w:val="none"/>
                <w:lang w:val="zh-CN" w:bidi="zh-CN"/>
              </w:rPr>
            </w:pPr>
            <w:r>
              <w:rPr>
                <w:rFonts w:ascii="仿宋" w:hAnsi="仿宋" w:eastAsia="仿宋" w:cs="宋体"/>
                <w:color w:val="auto"/>
                <w:sz w:val="24"/>
                <w:highlight w:val="none"/>
                <w:lang w:val="zh-CN" w:bidi="zh-CN"/>
              </w:rPr>
              <w:t>物业地址</w:t>
            </w:r>
          </w:p>
        </w:tc>
      </w:tr>
      <w:tr w14:paraId="049C5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6" w:hRule="atLeast"/>
          <w:jc w:val="center"/>
        </w:trPr>
        <w:tc>
          <w:tcPr>
            <w:tcW w:w="1107" w:type="pct"/>
            <w:tcBorders>
              <w:top w:val="single" w:color="000000" w:sz="4" w:space="0"/>
              <w:left w:val="single" w:color="000000" w:sz="4" w:space="0"/>
              <w:right w:val="single" w:color="000000" w:sz="4" w:space="0"/>
            </w:tcBorders>
            <w:noWrap/>
            <w:vAlign w:val="center"/>
          </w:tcPr>
          <w:p w14:paraId="70AB8202">
            <w:pPr>
              <w:spacing w:before="61"/>
              <w:jc w:val="center"/>
              <w:rPr>
                <w:rFonts w:hint="eastAsia" w:ascii="仿宋" w:hAnsi="仿宋" w:eastAsia="仿宋" w:cs="宋体"/>
                <w:color w:val="auto"/>
                <w:sz w:val="24"/>
                <w:highlight w:val="none"/>
                <w:lang w:val="zh-CN" w:eastAsia="zh-CN" w:bidi="zh-CN"/>
              </w:rPr>
            </w:pPr>
            <w:r>
              <w:rPr>
                <w:rFonts w:hint="eastAsia" w:ascii="仿宋" w:hAnsi="仿宋" w:eastAsia="仿宋"/>
                <w:color w:val="auto"/>
                <w:sz w:val="24"/>
                <w:highlight w:val="none"/>
                <w:lang w:eastAsia="zh-CN"/>
              </w:rPr>
              <w:t>纪念场馆及烈士陵园物业安保服务项目</w:t>
            </w:r>
          </w:p>
        </w:tc>
        <w:tc>
          <w:tcPr>
            <w:tcW w:w="1828" w:type="pct"/>
            <w:tcBorders>
              <w:top w:val="single" w:color="000000" w:sz="4" w:space="0"/>
              <w:left w:val="single" w:color="000000" w:sz="4" w:space="0"/>
              <w:right w:val="single" w:color="000000" w:sz="4" w:space="0"/>
            </w:tcBorders>
            <w:noWrap/>
            <w:vAlign w:val="center"/>
          </w:tcPr>
          <w:p w14:paraId="31B334B7">
            <w:pPr>
              <w:spacing w:before="61"/>
              <w:jc w:val="center"/>
              <w:rPr>
                <w:rFonts w:hint="eastAsia" w:ascii="仿宋" w:hAnsi="仿宋" w:eastAsia="仿宋" w:cs="宋体"/>
                <w:color w:val="auto"/>
                <w:sz w:val="24"/>
                <w:highlight w:val="none"/>
                <w:lang w:val="zh-CN" w:eastAsia="zh-CN" w:bidi="zh-CN"/>
              </w:rPr>
            </w:pPr>
            <w:r>
              <w:rPr>
                <w:rFonts w:hint="eastAsia" w:ascii="仿宋" w:hAnsi="仿宋" w:eastAsia="仿宋"/>
                <w:color w:val="auto"/>
                <w:sz w:val="24"/>
                <w:highlight w:val="none"/>
                <w:lang w:eastAsia="zh-CN"/>
              </w:rPr>
              <w:t>纪念场馆及烈士陵园物业安保服务项目</w:t>
            </w:r>
          </w:p>
        </w:tc>
        <w:tc>
          <w:tcPr>
            <w:tcW w:w="2065" w:type="pct"/>
            <w:tcBorders>
              <w:top w:val="single" w:color="000000" w:sz="4" w:space="0"/>
              <w:left w:val="single" w:color="000000" w:sz="4" w:space="0"/>
              <w:right w:val="single" w:color="000000" w:sz="4" w:space="0"/>
            </w:tcBorders>
            <w:noWrap/>
            <w:vAlign w:val="center"/>
          </w:tcPr>
          <w:p w14:paraId="766CA24D">
            <w:pPr>
              <w:spacing w:before="61"/>
              <w:jc w:val="center"/>
              <w:rPr>
                <w:rFonts w:ascii="仿宋" w:hAnsi="仿宋" w:eastAsia="仿宋" w:cs="宋体"/>
                <w:color w:val="auto"/>
                <w:sz w:val="24"/>
                <w:highlight w:val="none"/>
                <w:lang w:val="zh-CN" w:bidi="zh-CN"/>
              </w:rPr>
            </w:pPr>
          </w:p>
        </w:tc>
      </w:tr>
    </w:tbl>
    <w:p w14:paraId="372E670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第二条 </w:t>
      </w:r>
      <w:r>
        <w:rPr>
          <w:rFonts w:ascii="仿宋" w:hAnsi="仿宋" w:eastAsia="仿宋" w:cs="宋体"/>
          <w:color w:val="auto"/>
          <w:sz w:val="24"/>
          <w:highlight w:val="none"/>
        </w:rPr>
        <w:t>物业管理服务</w:t>
      </w:r>
      <w:r>
        <w:rPr>
          <w:rFonts w:hint="eastAsia" w:ascii="仿宋" w:hAnsi="仿宋" w:eastAsia="仿宋" w:cs="宋体"/>
          <w:color w:val="auto"/>
          <w:sz w:val="24"/>
          <w:highlight w:val="none"/>
        </w:rPr>
        <w:t>内容</w:t>
      </w:r>
    </w:p>
    <w:p w14:paraId="7C5A70A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详见合同附件1</w:t>
      </w:r>
    </w:p>
    <w:p w14:paraId="634D214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第三条 物业管理服务要求</w:t>
      </w:r>
    </w:p>
    <w:p w14:paraId="3D7E7963">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1.物业管理服务工作要求</w:t>
      </w:r>
    </w:p>
    <w:p w14:paraId="7FED6B3D">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1.1物业管理服务工作原则：统一、规范、高效、安全。</w:t>
      </w:r>
    </w:p>
    <w:p w14:paraId="2CF1139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1.2物业管理服务工作要求：见合同附件2。</w:t>
      </w:r>
    </w:p>
    <w:p w14:paraId="30BDA080">
      <w:pPr>
        <w:widowControl/>
        <w:ind w:firstLine="480"/>
        <w:jc w:val="left"/>
        <w:rPr>
          <w:rFonts w:ascii="仿宋" w:hAnsi="仿宋" w:eastAsia="仿宋" w:cs="宋体"/>
          <w:color w:val="auto"/>
          <w:sz w:val="24"/>
          <w:highlight w:val="none"/>
        </w:rPr>
      </w:pPr>
      <w:r>
        <w:rPr>
          <w:rFonts w:ascii="仿宋" w:hAnsi="仿宋" w:eastAsia="仿宋" w:cs="宋体"/>
          <w:color w:val="auto"/>
          <w:sz w:val="24"/>
          <w:highlight w:val="none"/>
        </w:rPr>
        <w:t>2.物业管理服务人员要求</w:t>
      </w:r>
    </w:p>
    <w:p w14:paraId="6CAC5252">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w:t>
      </w:r>
      <w:r>
        <w:rPr>
          <w:rFonts w:ascii="仿宋" w:hAnsi="仿宋" w:eastAsia="仿宋" w:cs="宋体"/>
          <w:color w:val="auto"/>
          <w:sz w:val="24"/>
          <w:highlight w:val="none"/>
        </w:rPr>
        <w:t>物业管理服务人员配备原则：精干、专业、敬业、健康。</w:t>
      </w:r>
    </w:p>
    <w:p w14:paraId="52D66DA3">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2.2</w:t>
      </w:r>
      <w:r>
        <w:rPr>
          <w:rFonts w:ascii="仿宋" w:hAnsi="仿宋" w:eastAsia="仿宋" w:cs="宋体"/>
          <w:color w:val="auto"/>
          <w:sz w:val="24"/>
          <w:highlight w:val="none"/>
        </w:rPr>
        <w:t>物业管理服务人员均需同时具备以下条件：</w:t>
      </w:r>
    </w:p>
    <w:p w14:paraId="57286AF2">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2.2.1</w:t>
      </w:r>
      <w:r>
        <w:rPr>
          <w:rFonts w:ascii="仿宋" w:hAnsi="仿宋" w:eastAsia="仿宋" w:cs="宋体"/>
          <w:color w:val="auto"/>
          <w:sz w:val="24"/>
          <w:highlight w:val="none"/>
        </w:rPr>
        <w:t>无犯罪记录、无恶习、无复杂社会关系；</w:t>
      </w:r>
    </w:p>
    <w:p w14:paraId="7967AD25">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2.2.2</w:t>
      </w:r>
      <w:r>
        <w:rPr>
          <w:rFonts w:ascii="仿宋" w:hAnsi="仿宋" w:eastAsia="仿宋" w:cs="宋体"/>
          <w:color w:val="auto"/>
          <w:sz w:val="24"/>
          <w:highlight w:val="none"/>
        </w:rPr>
        <w:t>有医院出具的健康证明，无重大疾病和传染病，具备正常从事物业管理服务工作所需要的身体条件；</w:t>
      </w:r>
    </w:p>
    <w:p w14:paraId="0211DB6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2.2.3</w:t>
      </w:r>
      <w:r>
        <w:rPr>
          <w:rFonts w:ascii="仿宋" w:hAnsi="仿宋" w:eastAsia="仿宋" w:cs="宋体"/>
          <w:color w:val="auto"/>
          <w:sz w:val="24"/>
          <w:highlight w:val="none"/>
        </w:rPr>
        <w:t>岗前培训合格率100％。</w:t>
      </w:r>
    </w:p>
    <w:p w14:paraId="39460E1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2.3</w:t>
      </w:r>
      <w:r>
        <w:rPr>
          <w:rFonts w:ascii="仿宋" w:hAnsi="仿宋" w:eastAsia="仿宋" w:cs="宋体"/>
          <w:color w:val="auto"/>
          <w:sz w:val="24"/>
          <w:highlight w:val="none"/>
        </w:rPr>
        <w:t>按照乙方投标文件中《</w:t>
      </w:r>
      <w:r>
        <w:rPr>
          <w:rFonts w:ascii="仿宋" w:hAnsi="仿宋" w:eastAsia="仿宋"/>
          <w:color w:val="auto"/>
          <w:sz w:val="24"/>
          <w:highlight w:val="none"/>
        </w:rPr>
        <w:t>物业管理服务人员</w:t>
      </w:r>
      <w:r>
        <w:rPr>
          <w:rFonts w:hint="eastAsia" w:ascii="仿宋" w:hAnsi="仿宋" w:eastAsia="仿宋"/>
          <w:color w:val="auto"/>
          <w:sz w:val="24"/>
          <w:highlight w:val="none"/>
        </w:rPr>
        <w:t>方案</w:t>
      </w:r>
      <w:r>
        <w:rPr>
          <w:rFonts w:ascii="仿宋" w:hAnsi="仿宋" w:eastAsia="仿宋" w:cs="宋体"/>
          <w:color w:val="auto"/>
          <w:sz w:val="24"/>
          <w:highlight w:val="none"/>
        </w:rPr>
        <w:t>》组建物业管理服务队伍。合同签订后5个工作日内，乙方向甲方报送物业管理服务人员花名册、照片、相关证件影（复）印件和证明。合同期满后，甲方向乙方退还相关证件影（复）印件和证明。</w:t>
      </w:r>
    </w:p>
    <w:p w14:paraId="6829C0EE">
      <w:pPr>
        <w:widowControl/>
        <w:ind w:firstLine="480"/>
        <w:jc w:val="left"/>
        <w:rPr>
          <w:rFonts w:ascii="仿宋" w:hAnsi="仿宋" w:eastAsia="仿宋" w:cs="宋体"/>
          <w:color w:val="auto"/>
          <w:sz w:val="24"/>
          <w:highlight w:val="none"/>
        </w:rPr>
      </w:pPr>
      <w:r>
        <w:rPr>
          <w:rFonts w:ascii="仿宋" w:hAnsi="仿宋" w:eastAsia="仿宋" w:cs="宋体"/>
          <w:color w:val="auto"/>
          <w:sz w:val="24"/>
          <w:highlight w:val="none"/>
        </w:rPr>
        <w:t>3.</w:t>
      </w:r>
      <w:r>
        <w:rPr>
          <w:rFonts w:hint="eastAsia" w:ascii="仿宋" w:hAnsi="仿宋" w:eastAsia="仿宋"/>
          <w:color w:val="auto"/>
          <w:sz w:val="24"/>
          <w:highlight w:val="none"/>
        </w:rPr>
        <w:t>物业管理服务人员</w:t>
      </w:r>
      <w:r>
        <w:rPr>
          <w:rFonts w:ascii="仿宋" w:hAnsi="仿宋" w:eastAsia="仿宋" w:cs="宋体"/>
          <w:color w:val="auto"/>
          <w:sz w:val="24"/>
          <w:highlight w:val="none"/>
        </w:rPr>
        <w:t>要求：见合同附件</w:t>
      </w:r>
      <w:r>
        <w:rPr>
          <w:rFonts w:hint="eastAsia" w:ascii="仿宋" w:hAnsi="仿宋" w:eastAsia="仿宋" w:cs="宋体"/>
          <w:color w:val="auto"/>
          <w:sz w:val="24"/>
          <w:highlight w:val="none"/>
        </w:rPr>
        <w:t>3</w:t>
      </w:r>
      <w:r>
        <w:rPr>
          <w:rFonts w:ascii="仿宋" w:hAnsi="仿宋" w:eastAsia="仿宋" w:cs="宋体"/>
          <w:color w:val="auto"/>
          <w:sz w:val="24"/>
          <w:highlight w:val="none"/>
        </w:rPr>
        <w:t>。</w:t>
      </w:r>
    </w:p>
    <w:p w14:paraId="5DDD848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4</w:t>
      </w:r>
      <w:r>
        <w:rPr>
          <w:rFonts w:ascii="仿宋" w:hAnsi="仿宋" w:eastAsia="仿宋" w:cs="宋体"/>
          <w:color w:val="auto"/>
          <w:sz w:val="24"/>
          <w:highlight w:val="none"/>
        </w:rPr>
        <w:t>.采购需求：见合同附件</w:t>
      </w:r>
      <w:r>
        <w:rPr>
          <w:rFonts w:hint="eastAsia" w:ascii="仿宋" w:hAnsi="仿宋" w:eastAsia="仿宋" w:cs="宋体"/>
          <w:color w:val="auto"/>
          <w:sz w:val="24"/>
          <w:highlight w:val="none"/>
        </w:rPr>
        <w:t>4</w:t>
      </w:r>
      <w:r>
        <w:rPr>
          <w:rFonts w:ascii="仿宋" w:hAnsi="仿宋" w:eastAsia="仿宋" w:cs="宋体"/>
          <w:color w:val="auto"/>
          <w:sz w:val="24"/>
          <w:highlight w:val="none"/>
        </w:rPr>
        <w:t>。</w:t>
      </w:r>
    </w:p>
    <w:p w14:paraId="1FE1DF73">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5.验收标准（验收要求、验收标准和程序）：</w:t>
      </w:r>
    </w:p>
    <w:p w14:paraId="15D6181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(1)验收标准：见本合同“第二章  物业管理服务质量”。</w:t>
      </w:r>
    </w:p>
    <w:p w14:paraId="6498EC4D">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(2)验收要求、验收程序：乙方提出书面验收要求，甲方接到书面验收要求后5个工作日内出具验收书，如乙方对验收书有异议，在接到验收书后7个工作日内向甲方书面提出。</w:t>
      </w:r>
    </w:p>
    <w:p w14:paraId="0C62C0E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（3）验收组织方式：</w:t>
      </w:r>
      <w:r>
        <w:rPr>
          <w:rFonts w:ascii="Wingdings 2" w:hAnsi="Wingdings 2" w:eastAsia="Wingdings 2" w:cs="Wingdings 2"/>
          <w:color w:val="auto"/>
          <w:sz w:val="24"/>
          <w:highlight w:val="none"/>
        </w:rPr>
        <w:sym w:font="Wingdings 2" w:char="00A3"/>
      </w:r>
      <w:r>
        <w:rPr>
          <w:rFonts w:hint="eastAsia" w:ascii="仿宋" w:hAnsi="仿宋" w:eastAsia="仿宋" w:cs="宋体"/>
          <w:color w:val="auto"/>
          <w:sz w:val="24"/>
          <w:highlight w:val="none"/>
        </w:rPr>
        <w:t xml:space="preserve">自行组织 </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委托第三方组织</w:t>
      </w:r>
    </w:p>
    <w:p w14:paraId="2562B442">
      <w:pPr>
        <w:widowControl/>
        <w:ind w:firstLine="480"/>
        <w:jc w:val="left"/>
        <w:rPr>
          <w:rFonts w:ascii="仿宋" w:hAnsi="仿宋" w:eastAsia="仿宋" w:cs="宋体"/>
          <w:color w:val="auto"/>
          <w:sz w:val="24"/>
          <w:highlight w:val="none"/>
          <w:u w:val="single"/>
        </w:rPr>
      </w:pPr>
      <w:r>
        <w:rPr>
          <w:rFonts w:hint="eastAsia" w:ascii="仿宋" w:hAnsi="仿宋" w:eastAsia="仿宋" w:cs="宋体"/>
          <w:color w:val="auto"/>
          <w:sz w:val="24"/>
          <w:highlight w:val="none"/>
        </w:rPr>
        <w:t>验收主体：</w:t>
      </w:r>
    </w:p>
    <w:p w14:paraId="7A8467F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是否邀请本项目的其他供应商参加验收：</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 xml:space="preserve">是  </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否</w:t>
      </w:r>
    </w:p>
    <w:p w14:paraId="78C07803">
      <w:pPr>
        <w:widowControl/>
        <w:ind w:firstLine="1080"/>
        <w:jc w:val="left"/>
        <w:rPr>
          <w:rFonts w:ascii="仿宋" w:hAnsi="仿宋" w:eastAsia="仿宋" w:cs="宋体"/>
          <w:color w:val="auto"/>
          <w:sz w:val="24"/>
          <w:highlight w:val="none"/>
        </w:rPr>
      </w:pPr>
      <w:r>
        <w:rPr>
          <w:rFonts w:hint="eastAsia" w:ascii="仿宋" w:hAnsi="仿宋" w:eastAsia="仿宋" w:cs="宋体"/>
          <w:color w:val="auto"/>
          <w:sz w:val="24"/>
          <w:highlight w:val="none"/>
        </w:rPr>
        <w:t>是否邀请专家参加验收：</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 xml:space="preserve">是  </w:t>
      </w:r>
      <w:r>
        <w:rPr>
          <w:rFonts w:ascii="Wingdings 2" w:hAnsi="Wingdings 2" w:eastAsia="Wingdings 2" w:cs="Wingdings 2"/>
          <w:color w:val="auto"/>
          <w:sz w:val="24"/>
          <w:highlight w:val="none"/>
        </w:rPr>
        <w:sym w:font="Wingdings 2" w:char="00A3"/>
      </w:r>
      <w:r>
        <w:rPr>
          <w:rFonts w:hint="eastAsia" w:ascii="仿宋" w:hAnsi="仿宋" w:eastAsia="仿宋" w:cs="宋体"/>
          <w:color w:val="auto"/>
          <w:sz w:val="24"/>
          <w:highlight w:val="none"/>
        </w:rPr>
        <w:t>否</w:t>
      </w:r>
    </w:p>
    <w:p w14:paraId="24ED4B9A">
      <w:pPr>
        <w:widowControl/>
        <w:ind w:firstLine="1080"/>
        <w:jc w:val="left"/>
        <w:rPr>
          <w:rFonts w:ascii="仿宋" w:hAnsi="仿宋" w:eastAsia="仿宋" w:cs="宋体"/>
          <w:color w:val="auto"/>
          <w:sz w:val="24"/>
          <w:highlight w:val="none"/>
        </w:rPr>
      </w:pPr>
      <w:r>
        <w:rPr>
          <w:rFonts w:hint="eastAsia" w:ascii="仿宋" w:hAnsi="仿宋" w:eastAsia="仿宋" w:cs="宋体"/>
          <w:color w:val="auto"/>
          <w:sz w:val="24"/>
          <w:highlight w:val="none"/>
        </w:rPr>
        <w:t>是否邀请服务对象参加验收：</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 xml:space="preserve">是  </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否</w:t>
      </w:r>
    </w:p>
    <w:p w14:paraId="0BCDA9C4">
      <w:pPr>
        <w:widowControl/>
        <w:ind w:firstLine="1080"/>
        <w:jc w:val="left"/>
        <w:rPr>
          <w:rFonts w:ascii="仿宋" w:hAnsi="仿宋" w:eastAsia="仿宋" w:cs="宋体"/>
          <w:color w:val="auto"/>
          <w:sz w:val="24"/>
          <w:highlight w:val="none"/>
        </w:rPr>
      </w:pPr>
      <w:r>
        <w:rPr>
          <w:rFonts w:hint="eastAsia" w:ascii="仿宋" w:hAnsi="仿宋" w:eastAsia="仿宋" w:cs="宋体"/>
          <w:color w:val="auto"/>
          <w:sz w:val="24"/>
          <w:highlight w:val="none"/>
        </w:rPr>
        <w:t>是否邀请第三方检测机构参加验收：</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 xml:space="preserve">是  </w:t>
      </w:r>
      <w:r>
        <w:rPr>
          <w:rFonts w:ascii="Wingdings 2" w:hAnsi="Wingdings 2" w:eastAsia="Wingdings 2" w:cs="Wingdings 2"/>
          <w:color w:val="auto"/>
          <w:sz w:val="24"/>
          <w:highlight w:val="none"/>
        </w:rPr>
        <w:t></w:t>
      </w:r>
      <w:r>
        <w:rPr>
          <w:rFonts w:hint="eastAsia" w:ascii="仿宋" w:hAnsi="仿宋" w:eastAsia="仿宋" w:cs="宋体"/>
          <w:color w:val="auto"/>
          <w:sz w:val="24"/>
          <w:highlight w:val="none"/>
        </w:rPr>
        <w:t>否</w:t>
      </w:r>
    </w:p>
    <w:p w14:paraId="47DE6AD8">
      <w:pPr>
        <w:widowControl/>
        <w:ind w:firstLine="1080"/>
        <w:jc w:val="left"/>
        <w:rPr>
          <w:rFonts w:ascii="仿宋" w:hAnsi="仿宋" w:eastAsia="仿宋" w:cs="宋体"/>
          <w:color w:val="auto"/>
          <w:sz w:val="24"/>
          <w:highlight w:val="none"/>
        </w:rPr>
      </w:pPr>
      <w:r>
        <w:rPr>
          <w:rFonts w:hint="eastAsia" w:ascii="仿宋" w:hAnsi="仿宋" w:eastAsia="仿宋" w:cs="宋体"/>
          <w:color w:val="auto"/>
          <w:sz w:val="24"/>
          <w:highlight w:val="none"/>
        </w:rPr>
        <w:t>是否进行抽查：</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 xml:space="preserve">是 </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否</w:t>
      </w:r>
    </w:p>
    <w:p w14:paraId="1C7E1EAA">
      <w:pPr>
        <w:widowControl/>
        <w:ind w:firstLine="1080"/>
        <w:jc w:val="left"/>
        <w:rPr>
          <w:rFonts w:ascii="仿宋" w:hAnsi="仿宋" w:eastAsia="仿宋" w:cs="宋体"/>
          <w:color w:val="auto"/>
          <w:sz w:val="24"/>
          <w:highlight w:val="none"/>
        </w:rPr>
      </w:pPr>
      <w:r>
        <w:rPr>
          <w:rFonts w:hint="eastAsia" w:ascii="仿宋" w:hAnsi="仿宋" w:eastAsia="仿宋" w:cs="宋体"/>
          <w:color w:val="auto"/>
          <w:sz w:val="24"/>
          <w:highlight w:val="none"/>
        </w:rPr>
        <w:t>验收组织的其他事项：</w:t>
      </w:r>
    </w:p>
    <w:p w14:paraId="41CFF68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（4）履约验收时间：（计划于何时验收/供应商提出验收申请之日起日内组织验收） </w:t>
      </w:r>
    </w:p>
    <w:p w14:paraId="31EE2E02">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（5）履约验收方式：</w:t>
      </w:r>
      <w:r>
        <w:rPr>
          <w:rFonts w:ascii="Wingdings" w:hAnsi="Wingdings" w:eastAsia="Wingdings" w:cs="Wingdings"/>
          <w:color w:val="auto"/>
          <w:sz w:val="24"/>
          <w:highlight w:val="none"/>
        </w:rPr>
        <w:t></w:t>
      </w:r>
      <w:r>
        <w:rPr>
          <w:rFonts w:hint="eastAsia" w:ascii="仿宋" w:hAnsi="仿宋" w:eastAsia="仿宋" w:cs="宋体"/>
          <w:color w:val="auto"/>
          <w:sz w:val="24"/>
          <w:highlight w:val="none"/>
        </w:rPr>
        <w:t xml:space="preserve">一次性验收         </w:t>
      </w:r>
    </w:p>
    <w:p w14:paraId="43548619">
      <w:pPr>
        <w:widowControl/>
        <w:ind w:firstLine="480"/>
        <w:jc w:val="left"/>
        <w:rPr>
          <w:rFonts w:ascii="仿宋" w:hAnsi="仿宋" w:eastAsia="仿宋" w:cs="宋体"/>
          <w:color w:val="auto"/>
          <w:sz w:val="24"/>
          <w:highlight w:val="none"/>
        </w:rPr>
      </w:pPr>
      <w:r>
        <w:rPr>
          <w:rFonts w:ascii="Wingdings" w:hAnsi="Wingdings" w:eastAsia="Wingdings" w:cs="Wingdings"/>
          <w:color w:val="auto"/>
          <w:sz w:val="24"/>
          <w:highlight w:val="none"/>
        </w:rPr>
        <w:t></w:t>
      </w:r>
      <w:r>
        <w:rPr>
          <w:rFonts w:hint="eastAsia" w:ascii="仿宋" w:hAnsi="仿宋" w:eastAsia="仿宋" w:cs="宋体"/>
          <w:color w:val="auto"/>
          <w:sz w:val="24"/>
          <w:highlight w:val="none"/>
        </w:rPr>
        <w:t>分期/分项验收：</w:t>
      </w:r>
      <w:r>
        <w:rPr>
          <w:rFonts w:hint="eastAsia" w:ascii="仿宋" w:hAnsi="仿宋" w:eastAsia="仿宋" w:cs="宋体"/>
          <w:color w:val="auto"/>
          <w:sz w:val="24"/>
          <w:highlight w:val="none"/>
          <w:u w:val="single"/>
        </w:rPr>
        <w:t>（应明确分期</w:t>
      </w:r>
      <w:r>
        <w:rPr>
          <w:rFonts w:ascii="仿宋" w:hAnsi="仿宋" w:eastAsia="仿宋" w:cs="宋体"/>
          <w:color w:val="auto"/>
          <w:sz w:val="24"/>
          <w:highlight w:val="none"/>
          <w:u w:val="single"/>
        </w:rPr>
        <w:t>/</w:t>
      </w:r>
      <w:r>
        <w:rPr>
          <w:rFonts w:hint="eastAsia" w:ascii="仿宋" w:hAnsi="仿宋" w:eastAsia="仿宋" w:cs="宋体"/>
          <w:color w:val="auto"/>
          <w:sz w:val="24"/>
          <w:highlight w:val="none"/>
          <w:u w:val="single"/>
        </w:rPr>
        <w:t>分项验收的工作安排）</w:t>
      </w:r>
    </w:p>
    <w:p w14:paraId="46F65E79">
      <w:pPr>
        <w:widowControl/>
        <w:ind w:firstLine="480"/>
        <w:jc w:val="left"/>
        <w:rPr>
          <w:rFonts w:ascii="仿宋" w:hAnsi="仿宋" w:eastAsia="仿宋" w:cs="宋体"/>
          <w:color w:val="auto"/>
          <w:sz w:val="24"/>
          <w:highlight w:val="none"/>
          <w:u w:val="single"/>
        </w:rPr>
      </w:pPr>
      <w:r>
        <w:rPr>
          <w:rFonts w:hint="eastAsia" w:ascii="仿宋" w:hAnsi="仿宋" w:eastAsia="仿宋" w:cs="宋体"/>
          <w:color w:val="auto"/>
          <w:sz w:val="24"/>
          <w:highlight w:val="none"/>
        </w:rPr>
        <w:t>（6）履约验收程序：</w:t>
      </w:r>
    </w:p>
    <w:p w14:paraId="76BA706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（7）履约验收的内容： </w:t>
      </w:r>
      <w:r>
        <w:rPr>
          <w:rFonts w:hint="eastAsia" w:ascii="仿宋" w:hAnsi="仿宋" w:eastAsia="仿宋" w:cs="宋体"/>
          <w:color w:val="auto"/>
          <w:sz w:val="24"/>
          <w:highlight w:val="none"/>
          <w:u w:val="single"/>
        </w:rPr>
        <w:t>（应当包括每一项技术和商务要求的履约情况，特别是落实政府采购扶持中小企业，支持绿色发展和乡村振兴等政策情况。）</w:t>
      </w:r>
    </w:p>
    <w:p w14:paraId="66EF9F0E">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6.物业管理服务人员工资要求</w:t>
      </w:r>
    </w:p>
    <w:p w14:paraId="6E4FDA9D">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 按照法律、法规和国家、省、市的规定，乙方按月足额发放工资；</w:t>
      </w:r>
    </w:p>
    <w:p w14:paraId="1F39D6D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p>
    <w:p w14:paraId="3529D8D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(3)工资发放采用银行代发方式。</w:t>
      </w:r>
    </w:p>
    <w:p w14:paraId="070A16ED">
      <w:pPr>
        <w:rPr>
          <w:color w:val="auto"/>
          <w:highlight w:val="none"/>
        </w:rPr>
      </w:pPr>
    </w:p>
    <w:p w14:paraId="341B7B53">
      <w:pPr>
        <w:pBdr>
          <w:top w:val="none" w:color="000000" w:sz="0" w:space="0"/>
          <w:left w:val="none" w:color="000000" w:sz="0" w:space="0"/>
          <w:bottom w:val="none" w:color="000000" w:sz="0" w:space="0"/>
          <w:right w:val="none" w:color="000000" w:sz="0" w:space="0"/>
        </w:pBdr>
        <w:jc w:val="center"/>
        <w:rPr>
          <w:rFonts w:ascii="仿宋" w:hAnsi="仿宋" w:eastAsia="仿宋" w:cs="仿宋"/>
          <w:color w:val="auto"/>
          <w:sz w:val="24"/>
          <w:highlight w:val="none"/>
        </w:rPr>
      </w:pPr>
      <w:r>
        <w:rPr>
          <w:rFonts w:hint="eastAsia" w:ascii="仿宋" w:hAnsi="仿宋" w:eastAsia="仿宋" w:cs="仿宋"/>
          <w:color w:val="auto"/>
          <w:sz w:val="24"/>
          <w:highlight w:val="none"/>
        </w:rPr>
        <w:t>第二章  物业管理服务质量</w:t>
      </w:r>
    </w:p>
    <w:p w14:paraId="6F9047A7">
      <w:pPr>
        <w:widowControl/>
        <w:ind w:firstLine="480"/>
        <w:jc w:val="left"/>
        <w:rPr>
          <w:rFonts w:ascii="仿宋" w:hAnsi="仿宋" w:eastAsia="仿宋" w:cs="宋体"/>
          <w:color w:val="auto"/>
          <w:sz w:val="24"/>
          <w:highlight w:val="none"/>
        </w:rPr>
      </w:pPr>
    </w:p>
    <w:p w14:paraId="3ECDA8ED">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第四条  物业管理服务质量要求</w:t>
      </w:r>
    </w:p>
    <w:p w14:paraId="530D1586">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1.达</w:t>
      </w:r>
      <w:r>
        <w:rPr>
          <w:rFonts w:hint="eastAsia" w:ascii="仿宋" w:hAnsi="仿宋" w:eastAsia="仿宋"/>
          <w:color w:val="auto"/>
          <w:sz w:val="24"/>
          <w:highlight w:val="none"/>
        </w:rPr>
        <w:t>到</w:t>
      </w:r>
      <w:r>
        <w:rPr>
          <w:rFonts w:hint="eastAsia" w:ascii="仿宋" w:hAnsi="仿宋" w:eastAsia="仿宋"/>
          <w:color w:val="auto"/>
          <w:sz w:val="24"/>
          <w:highlight w:val="none"/>
          <w:lang w:eastAsia="zh-CN"/>
        </w:rPr>
        <w:t>邳州市纪念场馆管理处</w:t>
      </w:r>
      <w:r>
        <w:rPr>
          <w:rFonts w:hint="eastAsia" w:ascii="仿宋" w:hAnsi="仿宋" w:eastAsia="仿宋"/>
          <w:color w:val="auto"/>
          <w:sz w:val="24"/>
          <w:highlight w:val="none"/>
        </w:rPr>
        <w:t>《物业管理服务日常考核细则》</w:t>
      </w:r>
      <w:r>
        <w:rPr>
          <w:rFonts w:hint="eastAsia" w:ascii="仿宋" w:hAnsi="仿宋" w:eastAsia="仿宋" w:cs="宋体"/>
          <w:color w:val="auto"/>
          <w:sz w:val="24"/>
          <w:highlight w:val="none"/>
        </w:rPr>
        <w:t>（见合同附件5）95分以上。</w:t>
      </w:r>
    </w:p>
    <w:p w14:paraId="5E5F0C3C">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2.在有重大接待任务及重要检查时，不出现严重问题。</w:t>
      </w:r>
    </w:p>
    <w:p w14:paraId="06CCCF5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3.不出现水、电安全事故。</w:t>
      </w:r>
    </w:p>
    <w:p w14:paraId="5C137FC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4.严格执行上级有关部门防疫规定，认真履行消毒防疫措施。</w:t>
      </w:r>
    </w:p>
    <w:p w14:paraId="63F98C3B">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5.日常保洁，同一部位不能出现3次以上问题。</w:t>
      </w:r>
    </w:p>
    <w:p w14:paraId="6B623421">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6.要求按时巡视环境、设备，不得造成损失。</w:t>
      </w:r>
    </w:p>
    <w:p w14:paraId="7173E59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7.要求及时发现水、电设备故障。</w:t>
      </w:r>
    </w:p>
    <w:p w14:paraId="26F8E53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8.要求及时发现空房未上锁并及时处理。</w:t>
      </w:r>
    </w:p>
    <w:p w14:paraId="28F04371">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9.不得做出任何有损公共卫生的事，如随地吐痰、乱丢垃圾或乱写乱画等。</w:t>
      </w:r>
    </w:p>
    <w:p w14:paraId="1A6D9DE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10.不得迟到、早退、旷工、无故缺勤，或上班时间串岗、空岗等。</w:t>
      </w:r>
    </w:p>
    <w:p w14:paraId="6B90B835">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11.不得发生服务态度恶劣，粗言秽语，不按甲方规定保障行为。</w:t>
      </w:r>
    </w:p>
    <w:p w14:paraId="273D9AAB">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12.物业服务人员要求按规定统一着装。</w:t>
      </w:r>
    </w:p>
    <w:p w14:paraId="2755267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13.不得工作散漫、粗心大意造成工作差错。</w:t>
      </w:r>
    </w:p>
    <w:p w14:paraId="3BD7F4C6">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14.不得消极怠工，态度不端正，工作被动、拖拉、未能按时完成工作。</w:t>
      </w:r>
    </w:p>
    <w:p w14:paraId="54E04B48">
      <w:pPr>
        <w:pBdr>
          <w:top w:val="none" w:color="000000" w:sz="0" w:space="0"/>
          <w:left w:val="none" w:color="000000" w:sz="0" w:space="0"/>
          <w:bottom w:val="none" w:color="000000" w:sz="0" w:space="0"/>
          <w:right w:val="none" w:color="000000" w:sz="0" w:space="0"/>
        </w:pBdr>
        <w:ind w:firstLine="2280"/>
        <w:rPr>
          <w:rFonts w:ascii="仿宋" w:hAnsi="仿宋" w:eastAsia="仿宋" w:cs="仿宋"/>
          <w:color w:val="auto"/>
          <w:sz w:val="24"/>
          <w:highlight w:val="none"/>
        </w:rPr>
      </w:pPr>
    </w:p>
    <w:p w14:paraId="12E73787">
      <w:pPr>
        <w:pBdr>
          <w:top w:val="none" w:color="000000" w:sz="0" w:space="0"/>
          <w:left w:val="none" w:color="000000" w:sz="0" w:space="0"/>
          <w:bottom w:val="none" w:color="000000" w:sz="0" w:space="0"/>
          <w:right w:val="none" w:color="000000" w:sz="0" w:space="0"/>
        </w:pBdr>
        <w:ind w:firstLine="2280"/>
        <w:rPr>
          <w:rFonts w:ascii="仿宋" w:hAnsi="仿宋" w:eastAsia="仿宋" w:cs="仿宋"/>
          <w:color w:val="auto"/>
          <w:sz w:val="24"/>
          <w:highlight w:val="none"/>
        </w:rPr>
      </w:pPr>
      <w:r>
        <w:rPr>
          <w:rFonts w:hint="eastAsia" w:ascii="仿宋" w:hAnsi="仿宋" w:eastAsia="仿宋" w:cs="仿宋"/>
          <w:color w:val="auto"/>
          <w:sz w:val="24"/>
          <w:highlight w:val="none"/>
        </w:rPr>
        <w:t>第三章  物业管理服务期限及物业管理服务费</w:t>
      </w:r>
    </w:p>
    <w:p w14:paraId="020DEA76">
      <w:pPr>
        <w:pBdr>
          <w:top w:val="none" w:color="000000" w:sz="0" w:space="0"/>
          <w:left w:val="none" w:color="000000" w:sz="0" w:space="0"/>
          <w:bottom w:val="none" w:color="000000" w:sz="0" w:space="0"/>
          <w:right w:val="none" w:color="000000" w:sz="0" w:space="0"/>
        </w:pBdr>
        <w:ind w:firstLine="480"/>
        <w:rPr>
          <w:rFonts w:ascii="仿宋" w:hAnsi="仿宋" w:eastAsia="仿宋" w:cs="仿宋"/>
          <w:color w:val="auto"/>
          <w:sz w:val="24"/>
          <w:highlight w:val="none"/>
        </w:rPr>
      </w:pPr>
    </w:p>
    <w:p w14:paraId="50895737">
      <w:pPr>
        <w:pBdr>
          <w:top w:val="none" w:color="000000" w:sz="0" w:space="0"/>
          <w:left w:val="none" w:color="000000" w:sz="0" w:space="0"/>
          <w:bottom w:val="none" w:color="000000" w:sz="0" w:space="0"/>
          <w:right w:val="none" w:color="000000" w:sz="0" w:space="0"/>
        </w:pBd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第五条 物业管理服务期限（合同期限）</w:t>
      </w:r>
    </w:p>
    <w:p w14:paraId="23171984">
      <w:pPr>
        <w:pBdr>
          <w:top w:val="none" w:color="000000" w:sz="0" w:space="0"/>
          <w:left w:val="none" w:color="000000" w:sz="0" w:space="0"/>
          <w:bottom w:val="none" w:color="000000" w:sz="0" w:space="0"/>
          <w:right w:val="none" w:color="000000" w:sz="0" w:space="0"/>
        </w:pBdr>
        <w:ind w:firstLine="480"/>
        <w:rPr>
          <w:rFonts w:ascii="仿宋" w:hAnsi="仿宋" w:eastAsia="仿宋" w:cs="仿宋"/>
          <w:color w:val="auto"/>
          <w:sz w:val="24"/>
          <w:highlight w:val="none"/>
        </w:rPr>
      </w:pPr>
      <w:r>
        <w:rPr>
          <w:rFonts w:hint="eastAsia" w:ascii="仿宋" w:hAnsi="仿宋" w:eastAsia="仿宋"/>
          <w:color w:val="auto"/>
          <w:sz w:val="24"/>
          <w:highlight w:val="none"/>
        </w:rPr>
        <w:t>自合同签订生效之日起1年，即    年   月   日至   年  月   日。</w:t>
      </w:r>
    </w:p>
    <w:p w14:paraId="18614074">
      <w:pPr>
        <w:pBdr>
          <w:top w:val="none" w:color="000000" w:sz="0" w:space="0"/>
          <w:left w:val="none" w:color="000000" w:sz="0" w:space="0"/>
          <w:bottom w:val="none" w:color="000000" w:sz="0" w:space="0"/>
          <w:right w:val="none" w:color="000000" w:sz="0" w:space="0"/>
        </w:pBd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第六条 物业管理服务费</w:t>
      </w:r>
    </w:p>
    <w:p w14:paraId="255B4E8B">
      <w:pPr>
        <w:ind w:firstLine="425"/>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1.本合同总价: ￥大写：人民币 。  </w:t>
      </w:r>
    </w:p>
    <w:p w14:paraId="38F0F501">
      <w:pPr>
        <w:ind w:firstLine="425"/>
        <w:rPr>
          <w:rFonts w:ascii="仿宋" w:hAnsi="仿宋" w:eastAsia="仿宋" w:cs="仿宋"/>
          <w:color w:val="auto"/>
          <w:sz w:val="24"/>
          <w:highlight w:val="none"/>
        </w:rPr>
      </w:pPr>
      <w:r>
        <w:rPr>
          <w:rFonts w:hint="eastAsia" w:ascii="仿宋" w:hAnsi="仿宋" w:eastAsia="仿宋" w:cs="宋体"/>
          <w:color w:val="auto"/>
          <w:sz w:val="24"/>
          <w:highlight w:val="none"/>
        </w:rPr>
        <w:t>2.经双方协商一致，选择以下第</w:t>
      </w:r>
      <w:r>
        <w:rPr>
          <w:rFonts w:hint="eastAsia" w:ascii="宋体" w:hAnsi="宋体" w:cs="宋体"/>
          <w:color w:val="auto"/>
          <w:sz w:val="24"/>
          <w:highlight w:val="none"/>
          <w:u w:val="single"/>
        </w:rPr>
        <w:t> </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  </w:t>
      </w:r>
      <w:r>
        <w:rPr>
          <w:rFonts w:hint="eastAsia" w:ascii="仿宋" w:hAnsi="仿宋" w:eastAsia="仿宋" w:cs="宋体"/>
          <w:color w:val="auto"/>
          <w:sz w:val="24"/>
          <w:highlight w:val="none"/>
        </w:rPr>
        <w:t>种付款方式：</w:t>
      </w:r>
    </w:p>
    <w:p w14:paraId="757D1BA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第一种付款方式（不提交预付款保函的）</w:t>
      </w:r>
    </w:p>
    <w:p w14:paraId="76A01B96">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(1)合同总价的百分之</w:t>
      </w:r>
      <w:r>
        <w:rPr>
          <w:rFonts w:hint="eastAsia" w:ascii="仿宋" w:hAnsi="仿宋" w:eastAsia="仿宋" w:cs="宋体"/>
          <w:color w:val="auto"/>
          <w:sz w:val="24"/>
          <w:highlight w:val="none"/>
          <w:u w:val="single"/>
        </w:rPr>
        <w:t>十</w:t>
      </w:r>
      <w:r>
        <w:rPr>
          <w:rFonts w:hint="eastAsia" w:ascii="仿宋" w:hAnsi="仿宋" w:eastAsia="仿宋" w:cs="宋体"/>
          <w:color w:val="auto"/>
          <w:sz w:val="24"/>
          <w:highlight w:val="none"/>
        </w:rPr>
        <w:t>(</w:t>
      </w:r>
      <w:r>
        <w:rPr>
          <w:rFonts w:hint="eastAsia" w:ascii="仿宋" w:hAnsi="仿宋" w:eastAsia="仿宋" w:cs="宋体"/>
          <w:color w:val="auto"/>
          <w:sz w:val="24"/>
          <w:highlight w:val="none"/>
          <w:u w:val="single"/>
        </w:rPr>
        <w:t>10%</w:t>
      </w:r>
      <w:r>
        <w:rPr>
          <w:rFonts w:hint="eastAsia" w:ascii="仿宋" w:hAnsi="仿宋" w:eastAsia="仿宋" w:cs="宋体"/>
          <w:color w:val="auto"/>
          <w:sz w:val="24"/>
          <w:highlight w:val="none"/>
        </w:rPr>
        <w:t>)即￥大写：人民币，在合同签订生效，甲方自收到发票（发票金额为合同总价的</w:t>
      </w:r>
      <w:r>
        <w:rPr>
          <w:rFonts w:hint="eastAsia" w:ascii="仿宋" w:hAnsi="仿宋" w:eastAsia="仿宋" w:cs="宋体"/>
          <w:color w:val="auto"/>
          <w:sz w:val="24"/>
          <w:highlight w:val="none"/>
          <w:u w:val="single"/>
        </w:rPr>
        <w:t>10%</w:t>
      </w:r>
      <w:r>
        <w:rPr>
          <w:rFonts w:hint="eastAsia" w:ascii="仿宋" w:hAnsi="仿宋" w:eastAsia="仿宋" w:cs="宋体"/>
          <w:color w:val="auto"/>
          <w:sz w:val="24"/>
          <w:highlight w:val="none"/>
        </w:rPr>
        <w:t>）后10个工作日内，将资金支付到合同约定的乙方账户。</w:t>
      </w:r>
    </w:p>
    <w:p w14:paraId="5B39B2B1">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(2)预付款抵扣后期应支付的物业管理服务费。预付款抵扣完后，每季度物业管理服务费=物业管理服务费（即合同总价）*90% /4”。</w:t>
      </w:r>
    </w:p>
    <w:p w14:paraId="5BFAA38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第二种付款方式（（提交预付款保函的）</w:t>
      </w:r>
    </w:p>
    <w:p w14:paraId="40DC52A4">
      <w:pPr>
        <w:widowControl/>
        <w:ind w:firstLine="480"/>
        <w:jc w:val="left"/>
        <w:rPr>
          <w:rFonts w:ascii="仿宋" w:hAnsi="仿宋" w:eastAsia="仿宋" w:cs="宋体"/>
          <w:color w:val="auto"/>
          <w:sz w:val="24"/>
          <w:highlight w:val="none"/>
          <w:u w:val="single"/>
        </w:rPr>
      </w:pPr>
      <w:r>
        <w:rPr>
          <w:rFonts w:hint="eastAsia" w:ascii="仿宋" w:hAnsi="仿宋" w:eastAsia="仿宋" w:cs="宋体"/>
          <w:color w:val="auto"/>
          <w:sz w:val="24"/>
          <w:highlight w:val="none"/>
        </w:rPr>
        <w:t>(1)合同总价的百分之</w:t>
      </w:r>
      <w:r>
        <w:rPr>
          <w:rFonts w:hint="eastAsia" w:ascii="仿宋" w:hAnsi="仿宋" w:eastAsia="仿宋" w:cs="宋体"/>
          <w:color w:val="auto"/>
          <w:sz w:val="24"/>
          <w:highlight w:val="none"/>
          <w:u w:val="single"/>
        </w:rPr>
        <w:t>四十</w:t>
      </w:r>
      <w:r>
        <w:rPr>
          <w:rFonts w:hint="eastAsia" w:ascii="仿宋" w:hAnsi="仿宋" w:eastAsia="仿宋" w:cs="宋体"/>
          <w:color w:val="auto"/>
          <w:sz w:val="24"/>
          <w:highlight w:val="none"/>
        </w:rPr>
        <w:t>(</w:t>
      </w:r>
      <w:r>
        <w:rPr>
          <w:rFonts w:hint="eastAsia" w:ascii="仿宋" w:hAnsi="仿宋" w:eastAsia="仿宋" w:cs="宋体"/>
          <w:color w:val="auto"/>
          <w:sz w:val="24"/>
          <w:highlight w:val="none"/>
          <w:u w:val="single"/>
        </w:rPr>
        <w:t>40%</w:t>
      </w:r>
      <w:r>
        <w:rPr>
          <w:rFonts w:hint="eastAsia" w:ascii="仿宋" w:hAnsi="仿宋" w:eastAsia="仿宋" w:cs="宋体"/>
          <w:color w:val="auto"/>
          <w:sz w:val="24"/>
          <w:highlight w:val="none"/>
        </w:rPr>
        <w:t>)即￥大写：人民币作为预付款，在合同签订生效且乙方向甲方出具合同总价的百分之</w:t>
      </w:r>
      <w:r>
        <w:rPr>
          <w:rFonts w:hint="eastAsia" w:ascii="仿宋" w:hAnsi="仿宋" w:eastAsia="仿宋" w:cs="宋体"/>
          <w:color w:val="auto"/>
          <w:sz w:val="24"/>
          <w:highlight w:val="none"/>
          <w:u w:val="single"/>
        </w:rPr>
        <w:t>四十</w:t>
      </w:r>
      <w:r>
        <w:rPr>
          <w:rFonts w:hint="eastAsia" w:ascii="仿宋" w:hAnsi="仿宋" w:eastAsia="仿宋" w:cs="宋体"/>
          <w:color w:val="auto"/>
          <w:sz w:val="24"/>
          <w:highlight w:val="none"/>
        </w:rPr>
        <w:t>（</w:t>
      </w:r>
      <w:r>
        <w:rPr>
          <w:rFonts w:hint="eastAsia" w:ascii="仿宋" w:hAnsi="仿宋" w:eastAsia="仿宋" w:cs="宋体"/>
          <w:color w:val="auto"/>
          <w:sz w:val="24"/>
          <w:highlight w:val="none"/>
          <w:u w:val="single"/>
        </w:rPr>
        <w:t>40%</w:t>
      </w:r>
      <w:r>
        <w:rPr>
          <w:rFonts w:hint="eastAsia" w:ascii="仿宋" w:hAnsi="仿宋" w:eastAsia="仿宋" w:cs="宋体"/>
          <w:color w:val="auto"/>
          <w:sz w:val="24"/>
          <w:highlight w:val="none"/>
        </w:rPr>
        <w:t>)即￥大写：人民币的预付款保函，甲方自收到发票（发票金额为合同总价的</w:t>
      </w:r>
      <w:r>
        <w:rPr>
          <w:rFonts w:hint="eastAsia" w:ascii="仿宋" w:hAnsi="仿宋" w:eastAsia="仿宋" w:cs="宋体"/>
          <w:color w:val="auto"/>
          <w:sz w:val="24"/>
          <w:highlight w:val="none"/>
          <w:u w:val="single"/>
        </w:rPr>
        <w:t>40%</w:t>
      </w:r>
      <w:r>
        <w:rPr>
          <w:rFonts w:hint="eastAsia" w:ascii="仿宋" w:hAnsi="仿宋" w:eastAsia="仿宋" w:cs="宋体"/>
          <w:color w:val="auto"/>
          <w:sz w:val="24"/>
          <w:highlight w:val="none"/>
        </w:rPr>
        <w:t>）后10个工作日内，将资金支付到合同约定的乙方账户。</w:t>
      </w:r>
    </w:p>
    <w:p w14:paraId="1A22BD25">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(2)预付款抵扣后期应支付的物业管理服务费。预付款抵扣完后，每季度物业管理服务费=物业管理服务费（即合同总价）*60% /4”。</w:t>
      </w:r>
    </w:p>
    <w:p w14:paraId="7240F32D">
      <w:pPr>
        <w:widowControl/>
        <w:ind w:firstLine="480"/>
        <w:jc w:val="left"/>
        <w:rPr>
          <w:rFonts w:ascii="仿宋" w:hAnsi="仿宋" w:eastAsia="仿宋"/>
          <w:color w:val="auto"/>
          <w:sz w:val="24"/>
          <w:highlight w:val="none"/>
        </w:rPr>
      </w:pPr>
      <w:r>
        <w:rPr>
          <w:rFonts w:hint="eastAsia" w:ascii="仿宋" w:hAnsi="仿宋" w:eastAsia="仿宋" w:cs="仿宋"/>
          <w:color w:val="auto"/>
          <w:sz w:val="24"/>
          <w:highlight w:val="none"/>
        </w:rPr>
        <w:t>第三种付款方式</w:t>
      </w:r>
    </w:p>
    <w:p w14:paraId="24AA1AF1">
      <w:pPr>
        <w:widowControl/>
        <w:ind w:firstLine="480"/>
        <w:jc w:val="left"/>
        <w:rPr>
          <w:rFonts w:ascii="仿宋" w:hAnsi="仿宋" w:eastAsia="仿宋" w:cs="宋体"/>
          <w:color w:val="auto"/>
          <w:sz w:val="24"/>
          <w:highlight w:val="none"/>
        </w:rPr>
      </w:pPr>
      <w:r>
        <w:rPr>
          <w:rFonts w:ascii="仿宋" w:hAnsi="仿宋" w:eastAsia="仿宋"/>
          <w:color w:val="auto"/>
          <w:sz w:val="24"/>
          <w:highlight w:val="none"/>
        </w:rPr>
        <w:t>在签订合同时，</w:t>
      </w:r>
      <w:r>
        <w:rPr>
          <w:rFonts w:hint="eastAsia" w:ascii="仿宋" w:hAnsi="仿宋" w:eastAsia="仿宋"/>
          <w:color w:val="auto"/>
          <w:sz w:val="24"/>
          <w:highlight w:val="none"/>
        </w:rPr>
        <w:t>如乙方</w:t>
      </w:r>
      <w:r>
        <w:rPr>
          <w:rFonts w:ascii="仿宋" w:hAnsi="仿宋" w:eastAsia="仿宋"/>
          <w:color w:val="auto"/>
          <w:sz w:val="24"/>
          <w:highlight w:val="none"/>
        </w:rPr>
        <w:t>明确表示无需预付款的，</w:t>
      </w:r>
      <w:r>
        <w:rPr>
          <w:rFonts w:hint="eastAsia" w:ascii="仿宋" w:hAnsi="仿宋" w:eastAsia="仿宋"/>
          <w:color w:val="auto"/>
          <w:sz w:val="24"/>
          <w:highlight w:val="none"/>
        </w:rPr>
        <w:t>甲方可凭考核结果按季度支付乙方服务费。（注：此条符合</w:t>
      </w:r>
      <w:r>
        <w:rPr>
          <w:rFonts w:ascii="仿宋" w:hAnsi="仿宋" w:eastAsia="仿宋"/>
          <w:color w:val="auto"/>
          <w:sz w:val="24"/>
          <w:highlight w:val="none"/>
        </w:rPr>
        <w:t>苏财购〔2020〕52号</w:t>
      </w:r>
      <w:r>
        <w:rPr>
          <w:rFonts w:hint="eastAsia" w:ascii="仿宋" w:hAnsi="仿宋" w:eastAsia="仿宋"/>
          <w:color w:val="auto"/>
          <w:sz w:val="24"/>
          <w:highlight w:val="none"/>
        </w:rPr>
        <w:t>文件要求）</w:t>
      </w:r>
      <w:r>
        <w:rPr>
          <w:rFonts w:hint="eastAsia" w:ascii="仿宋" w:hAnsi="仿宋" w:eastAsia="仿宋" w:cs="宋体"/>
          <w:color w:val="auto"/>
          <w:sz w:val="24"/>
          <w:highlight w:val="none"/>
        </w:rPr>
        <w:t>每季度物业管理服务费=物业管理服务费（即合同总价）/4。</w:t>
      </w:r>
    </w:p>
    <w:p w14:paraId="073FAF0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w:t>
      </w:r>
      <w:r>
        <w:rPr>
          <w:rFonts w:hint="eastAsia" w:ascii="仿宋" w:hAnsi="仿宋" w:eastAsia="仿宋" w:cs="宋体"/>
          <w:color w:val="auto"/>
          <w:sz w:val="24"/>
          <w:highlight w:val="none"/>
          <w:lang w:val="en-US" w:eastAsia="zh-CN"/>
        </w:rPr>
        <w:t>每月</w:t>
      </w:r>
      <w:r>
        <w:rPr>
          <w:rFonts w:hint="eastAsia" w:ascii="仿宋" w:hAnsi="仿宋" w:eastAsia="仿宋" w:cs="宋体"/>
          <w:color w:val="auto"/>
          <w:sz w:val="24"/>
          <w:highlight w:val="none"/>
        </w:rPr>
        <w:t>物业管理服务费的支付</w:t>
      </w:r>
    </w:p>
    <w:p w14:paraId="7726CF5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次月</w:t>
      </w:r>
      <w:r>
        <w:rPr>
          <w:rFonts w:hint="eastAsia" w:ascii="仿宋" w:hAnsi="仿宋" w:eastAsia="仿宋" w:cs="宋体"/>
          <w:color w:val="auto"/>
          <w:sz w:val="24"/>
          <w:highlight w:val="none"/>
        </w:rPr>
        <w:t>甲方按验收（考核）结果，收到乙方开具发票之日起10个工作日内支付</w:t>
      </w:r>
      <w:r>
        <w:rPr>
          <w:rFonts w:hint="eastAsia" w:ascii="仿宋" w:hAnsi="仿宋" w:eastAsia="仿宋" w:cs="宋体"/>
          <w:color w:val="auto"/>
          <w:sz w:val="24"/>
          <w:highlight w:val="none"/>
          <w:lang w:val="en-US" w:eastAsia="zh-CN"/>
        </w:rPr>
        <w:t>当月</w:t>
      </w:r>
      <w:r>
        <w:rPr>
          <w:rFonts w:hint="eastAsia" w:ascii="仿宋" w:hAnsi="仿宋" w:eastAsia="仿宋" w:cs="宋体"/>
          <w:color w:val="auto"/>
          <w:sz w:val="24"/>
          <w:highlight w:val="none"/>
        </w:rPr>
        <w:t>物业管理服务费，由甲方办理政府采购资金结算手续，经审核后支付给乙方。具体如下：</w:t>
      </w:r>
    </w:p>
    <w:p w14:paraId="29AE84D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3.1验收（考核）结果按照</w:t>
      </w:r>
      <w:r>
        <w:rPr>
          <w:rFonts w:hint="eastAsia" w:ascii="仿宋" w:hAnsi="仿宋" w:eastAsia="仿宋"/>
          <w:color w:val="auto"/>
          <w:sz w:val="24"/>
          <w:highlight w:val="none"/>
        </w:rPr>
        <w:t>《物业管理服务日常考核细则》</w:t>
      </w:r>
      <w:r>
        <w:rPr>
          <w:rFonts w:hint="eastAsia" w:ascii="仿宋" w:hAnsi="仿宋" w:eastAsia="仿宋" w:cs="宋体"/>
          <w:color w:val="auto"/>
          <w:sz w:val="24"/>
          <w:highlight w:val="none"/>
        </w:rPr>
        <w:t>考核得分在95分以上（含95分）的，全额支付合同约定的“</w:t>
      </w:r>
      <w:r>
        <w:rPr>
          <w:rFonts w:hint="eastAsia" w:ascii="仿宋" w:hAnsi="仿宋" w:eastAsia="仿宋" w:cs="宋体"/>
          <w:color w:val="auto"/>
          <w:sz w:val="24"/>
          <w:highlight w:val="none"/>
          <w:lang w:val="en-US" w:eastAsia="zh-CN"/>
        </w:rPr>
        <w:t>每月</w:t>
      </w:r>
      <w:r>
        <w:rPr>
          <w:rFonts w:hint="eastAsia" w:ascii="仿宋" w:hAnsi="仿宋" w:eastAsia="仿宋" w:cs="宋体"/>
          <w:color w:val="auto"/>
          <w:sz w:val="24"/>
          <w:highlight w:val="none"/>
        </w:rPr>
        <w:t>物业管理服务费”；</w:t>
      </w:r>
    </w:p>
    <w:p w14:paraId="4EC9601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3.2验收（考核）结果按照《物业管理服务日常考核细则》考核得分在</w:t>
      </w:r>
      <w:r>
        <w:rPr>
          <w:rFonts w:hint="eastAsia" w:ascii="仿宋" w:hAnsi="仿宋" w:eastAsia="仿宋"/>
          <w:color w:val="auto"/>
          <w:sz w:val="24"/>
          <w:highlight w:val="none"/>
        </w:rPr>
        <w:t>94—70分（含70分）之间的，实际支付物业管理服务费为：[（实际得分+5）/100]*合同约定的“</w:t>
      </w:r>
      <w:r>
        <w:rPr>
          <w:rFonts w:hint="eastAsia" w:ascii="仿宋" w:hAnsi="仿宋" w:eastAsia="仿宋" w:cs="宋体"/>
          <w:color w:val="auto"/>
          <w:sz w:val="24"/>
          <w:highlight w:val="none"/>
          <w:lang w:val="en-US" w:eastAsia="zh-CN"/>
        </w:rPr>
        <w:t>每月</w:t>
      </w:r>
      <w:r>
        <w:rPr>
          <w:rFonts w:hint="eastAsia" w:ascii="仿宋" w:hAnsi="仿宋" w:eastAsia="仿宋"/>
          <w:color w:val="auto"/>
          <w:sz w:val="24"/>
          <w:highlight w:val="none"/>
        </w:rPr>
        <w:t>物业管理服务费”；</w:t>
      </w:r>
    </w:p>
    <w:p w14:paraId="3500F25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3.3</w:t>
      </w:r>
      <w:r>
        <w:rPr>
          <w:rFonts w:hint="eastAsia" w:ascii="仿宋" w:hAnsi="仿宋" w:eastAsia="仿宋"/>
          <w:color w:val="auto"/>
          <w:sz w:val="24"/>
          <w:highlight w:val="none"/>
        </w:rPr>
        <w:t>验收（考核）结果按照《物业管理服务日常考核细则》考核得分在70分以下的，全额扣除合同约定的“</w:t>
      </w:r>
      <w:r>
        <w:rPr>
          <w:rFonts w:hint="eastAsia" w:ascii="仿宋" w:hAnsi="仿宋" w:eastAsia="仿宋" w:cs="宋体"/>
          <w:color w:val="auto"/>
          <w:sz w:val="24"/>
          <w:highlight w:val="none"/>
          <w:lang w:val="en-US" w:eastAsia="zh-CN"/>
        </w:rPr>
        <w:t>每月</w:t>
      </w:r>
      <w:r>
        <w:rPr>
          <w:rFonts w:hint="eastAsia" w:ascii="仿宋" w:hAnsi="仿宋" w:eastAsia="仿宋"/>
          <w:color w:val="auto"/>
          <w:sz w:val="24"/>
          <w:highlight w:val="none"/>
        </w:rPr>
        <w:t>物业管理服务费”，甲方有权保留与乙方提前终止合同的权利。</w:t>
      </w:r>
    </w:p>
    <w:p w14:paraId="1F14E103">
      <w:pPr>
        <w:widowControl/>
        <w:ind w:firstLine="480"/>
        <w:jc w:val="center"/>
        <w:rPr>
          <w:rFonts w:ascii="仿宋" w:hAnsi="仿宋" w:eastAsia="仿宋" w:cs="宋体"/>
          <w:color w:val="auto"/>
          <w:sz w:val="24"/>
          <w:highlight w:val="none"/>
        </w:rPr>
      </w:pPr>
    </w:p>
    <w:p w14:paraId="5023E85E">
      <w:pPr>
        <w:widowControl/>
        <w:ind w:firstLine="480"/>
        <w:jc w:val="center"/>
        <w:rPr>
          <w:rFonts w:ascii="仿宋" w:hAnsi="仿宋" w:eastAsia="仿宋" w:cs="宋体"/>
          <w:color w:val="auto"/>
          <w:sz w:val="24"/>
          <w:highlight w:val="none"/>
        </w:rPr>
      </w:pPr>
      <w:r>
        <w:rPr>
          <w:rFonts w:hint="eastAsia" w:ascii="仿宋" w:hAnsi="仿宋" w:eastAsia="仿宋" w:cs="宋体"/>
          <w:color w:val="auto"/>
          <w:sz w:val="24"/>
          <w:highlight w:val="none"/>
        </w:rPr>
        <w:t>第四章  物业的承接验收</w:t>
      </w:r>
    </w:p>
    <w:p w14:paraId="364C8104">
      <w:pPr>
        <w:widowControl/>
        <w:ind w:firstLine="480"/>
        <w:jc w:val="left"/>
        <w:rPr>
          <w:rFonts w:ascii="仿宋" w:hAnsi="仿宋" w:eastAsia="仿宋" w:cs="宋体"/>
          <w:color w:val="auto"/>
          <w:sz w:val="24"/>
          <w:highlight w:val="none"/>
        </w:rPr>
      </w:pPr>
    </w:p>
    <w:p w14:paraId="0FA56C5D">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第七条 乙方承接物业时，甲方应配合乙方对以下物业共用部位、共用设施设备进行查验：</w:t>
      </w:r>
    </w:p>
    <w:p w14:paraId="2D25351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1.承重结构部位、外墙面、大厅、楼梯间、走廊通道、管道井等；</w:t>
      </w:r>
    </w:p>
    <w:p w14:paraId="2504EEA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w:t>
      </w:r>
      <w:r>
        <w:rPr>
          <w:rFonts w:hint="eastAsia" w:ascii="仿宋" w:hAnsi="仿宋" w:eastAsia="仿宋"/>
          <w:color w:val="auto"/>
          <w:sz w:val="24"/>
          <w:highlight w:val="none"/>
        </w:rPr>
        <w:t>上下水管道、落水管、供电线路、共用照明、化粪池、配电设备（高低压）、中央空调、加压供水设备、消防设备、电梯设备等；</w:t>
      </w:r>
    </w:p>
    <w:p w14:paraId="52D6C26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3.</w:t>
      </w:r>
      <w:r>
        <w:rPr>
          <w:rFonts w:hint="eastAsia" w:ascii="仿宋" w:hAnsi="仿宋" w:eastAsia="仿宋"/>
          <w:color w:val="auto"/>
          <w:sz w:val="24"/>
          <w:highlight w:val="none"/>
        </w:rPr>
        <w:t>配电房、水泵房、消防、安全监控室、公共卫生间等。</w:t>
      </w:r>
    </w:p>
    <w:p w14:paraId="2129D140">
      <w:pPr>
        <w:widowControl/>
        <w:ind w:firstLine="480"/>
        <w:jc w:val="left"/>
        <w:rPr>
          <w:rFonts w:ascii="仿宋" w:hAnsi="仿宋" w:eastAsia="仿宋" w:cs="宋体"/>
          <w:color w:val="auto"/>
          <w:sz w:val="24"/>
          <w:highlight w:val="none"/>
        </w:rPr>
      </w:pPr>
    </w:p>
    <w:p w14:paraId="33ED07E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第八条 资料移交</w:t>
      </w:r>
    </w:p>
    <w:p w14:paraId="1475005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1.乙方承接物业时，甲方应根据乙方需要移交以下相关资料：</w:t>
      </w:r>
    </w:p>
    <w:p w14:paraId="696D316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2.合同终止时，乙方应将已经移交给乙方的资料移交给甲方。</w:t>
      </w:r>
    </w:p>
    <w:p w14:paraId="61D72385">
      <w:pPr>
        <w:widowControl/>
        <w:ind w:firstLine="480"/>
        <w:jc w:val="left"/>
        <w:rPr>
          <w:rFonts w:ascii="仿宋" w:hAnsi="仿宋" w:eastAsia="仿宋" w:cs="宋体"/>
          <w:color w:val="auto"/>
          <w:sz w:val="24"/>
          <w:highlight w:val="none"/>
        </w:rPr>
      </w:pPr>
    </w:p>
    <w:p w14:paraId="0CCDC8FD">
      <w:pPr>
        <w:widowControl/>
        <w:ind w:firstLine="480"/>
        <w:jc w:val="center"/>
        <w:rPr>
          <w:rFonts w:ascii="仿宋" w:hAnsi="仿宋" w:eastAsia="仿宋" w:cs="宋体"/>
          <w:color w:val="auto"/>
          <w:sz w:val="24"/>
          <w:highlight w:val="none"/>
        </w:rPr>
      </w:pPr>
      <w:r>
        <w:rPr>
          <w:rFonts w:hint="eastAsia" w:ascii="仿宋" w:hAnsi="仿宋" w:eastAsia="仿宋" w:cs="宋体"/>
          <w:color w:val="auto"/>
          <w:sz w:val="24"/>
          <w:highlight w:val="none"/>
        </w:rPr>
        <w:t>第五章  双方的权利义务</w:t>
      </w:r>
    </w:p>
    <w:p w14:paraId="0BFE64F5">
      <w:pPr>
        <w:widowControl/>
        <w:ind w:firstLine="480"/>
        <w:jc w:val="left"/>
        <w:rPr>
          <w:rFonts w:ascii="仿宋" w:hAnsi="仿宋" w:eastAsia="仿宋" w:cs="宋体"/>
          <w:color w:val="auto"/>
          <w:sz w:val="24"/>
          <w:highlight w:val="none"/>
        </w:rPr>
      </w:pPr>
    </w:p>
    <w:p w14:paraId="2A5A184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第九条 甲方的权利义务</w:t>
      </w:r>
    </w:p>
    <w:p w14:paraId="1B8081BE">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1.甲方的权利</w:t>
      </w:r>
    </w:p>
    <w:p w14:paraId="4EE601D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1.1 依据合同约定，对乙方进行检查和考核。</w:t>
      </w:r>
    </w:p>
    <w:p w14:paraId="633A1D31">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1.2按照甲方审核认呆的服装式样、颜色，乙方制作和购买乙方物业管理服务人员的服装，所有服装费用均由乙方承担。</w:t>
      </w:r>
    </w:p>
    <w:p w14:paraId="62C66EA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1.3乙方如有人员调整应经甲方书面同意。涉及项目经理、项目经理助理等人员的调整应提前1个月告知甲方，保安人员无特殊情况保持在岗不少于6个月。</w:t>
      </w:r>
    </w:p>
    <w:p w14:paraId="61DC225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1.4甲方有权警告违反本合同规定的乙方人员。按照甲方要求，乙方更换违反本合同规定的人员。</w:t>
      </w:r>
    </w:p>
    <w:p w14:paraId="7788AC3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1.5追究乙方违约责任。</w:t>
      </w:r>
    </w:p>
    <w:p w14:paraId="70E6D9A6">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2.甲方的义务</w:t>
      </w:r>
    </w:p>
    <w:p w14:paraId="65E2A120">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2.1按合同约定支付物业管理服务费。</w:t>
      </w:r>
    </w:p>
    <w:p w14:paraId="2088CA6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2.2物业管理服务用房由甲方指定。</w:t>
      </w:r>
    </w:p>
    <w:p w14:paraId="6653467B">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2.3物业管理服务人员的服装及所有服装费用均由甲方承担。</w:t>
      </w:r>
    </w:p>
    <w:p w14:paraId="0ACC630C">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2.4甲方保证交付使用的物业符合国家规定的验收标准，按照国家规定的保修期限和保修范围承担物业的保修责任。 </w:t>
      </w:r>
    </w:p>
    <w:p w14:paraId="1A6A2F9D">
      <w:pPr>
        <w:widowControl/>
        <w:ind w:firstLine="480"/>
        <w:jc w:val="left"/>
        <w:rPr>
          <w:rFonts w:ascii="仿宋" w:hAnsi="仿宋" w:eastAsia="仿宋" w:cs="宋体"/>
          <w:color w:val="auto"/>
          <w:sz w:val="24"/>
          <w:highlight w:val="none"/>
        </w:rPr>
      </w:pPr>
    </w:p>
    <w:p w14:paraId="5BF7972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第十条 乙方的权利义务</w:t>
      </w:r>
    </w:p>
    <w:p w14:paraId="1B55384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1.乙方的权利</w:t>
      </w:r>
    </w:p>
    <w:p w14:paraId="4991CE3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1.1有权要求甲方按合同约定支付物业管理服务费。</w:t>
      </w:r>
    </w:p>
    <w:p w14:paraId="2B64B05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1.2有权要求甲方指定物业管理服务用房。</w:t>
      </w:r>
    </w:p>
    <w:p w14:paraId="513DF3C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2.乙方的义务</w:t>
      </w:r>
    </w:p>
    <w:p w14:paraId="0CEB29C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 乙方不得分包本项目；</w:t>
      </w:r>
    </w:p>
    <w:p w14:paraId="3FA5BC71">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2.2提供的物业服务符合本合同“第二章  物业管理服务质量”；</w:t>
      </w:r>
    </w:p>
    <w:p w14:paraId="5961740E">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2.3按照本合同约定提供物业服务，具体见“第三条  物业管理服务要求”中“1.物业管理服务工作要求”；</w:t>
      </w:r>
    </w:p>
    <w:p w14:paraId="440492FF">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2.4乙方应按响应文件配备人员及到岗，具体见“第三条  物业管理服务要求”中“3.</w:t>
      </w:r>
      <w:r>
        <w:rPr>
          <w:rFonts w:hint="eastAsia" w:ascii="仿宋" w:hAnsi="仿宋" w:eastAsia="仿宋" w:cs="宋体"/>
          <w:color w:val="auto"/>
          <w:sz w:val="24"/>
          <w:szCs w:val="22"/>
          <w:highlight w:val="none"/>
          <w:lang w:val="zh-CN" w:bidi="zh-CN"/>
        </w:rPr>
        <w:t xml:space="preserve"> 物业管理服务人员</w:t>
      </w:r>
      <w:r>
        <w:rPr>
          <w:rFonts w:ascii="仿宋" w:hAnsi="仿宋" w:eastAsia="仿宋" w:cs="宋体"/>
          <w:color w:val="auto"/>
          <w:sz w:val="24"/>
          <w:szCs w:val="22"/>
          <w:highlight w:val="none"/>
          <w:lang w:val="zh-CN" w:bidi="zh-CN"/>
        </w:rPr>
        <w:t>要求</w:t>
      </w:r>
      <w:r>
        <w:rPr>
          <w:rFonts w:hint="eastAsia" w:ascii="仿宋" w:hAnsi="仿宋" w:eastAsia="仿宋" w:cs="宋体"/>
          <w:color w:val="auto"/>
          <w:sz w:val="24"/>
          <w:highlight w:val="none"/>
        </w:rPr>
        <w:t>”；</w:t>
      </w:r>
    </w:p>
    <w:p w14:paraId="7667798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2.5按照甲方要求，乙方更换违反本合同规定的人员；</w:t>
      </w:r>
    </w:p>
    <w:p w14:paraId="225E8E25">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2.6接受甲方的检查和考核；</w:t>
      </w:r>
    </w:p>
    <w:p w14:paraId="35CC2C75">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2.7按照甲方审核认可的服装式样、颜色，乙方制作和购买乙方物业管理人员的服装，所有服装费用均由乙方承担；</w:t>
      </w:r>
    </w:p>
    <w:p w14:paraId="60030CC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2.8乙方如有人员调整应经甲方书面同意。涉及项目经理、保洁员等人员的调整应提前1个月告知甲方，秩序维护人员无特殊情况保持在岗不少于6个月；</w:t>
      </w:r>
    </w:p>
    <w:p w14:paraId="02094DF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2.9不得占用非指定的物业管理用房，不得改变物业管理用房用途；</w:t>
      </w:r>
    </w:p>
    <w:p w14:paraId="65545109">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2.10不得因乙方原因发生火灾、水灾、伤亡等重大安全事故；</w:t>
      </w:r>
    </w:p>
    <w:p w14:paraId="0101737A">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2.11合同终止时，乙方应将物业管理用房、相关资料等交还给甲方；</w:t>
      </w:r>
    </w:p>
    <w:p w14:paraId="324899A8">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2.12 乙方应及时向甲方通用通告本物业管理服务区域内有关物业管理服务的重大事项，及时处理投诉，接受甲方监督；</w:t>
      </w:r>
    </w:p>
    <w:p w14:paraId="7A9EF345">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2.13因维修物业或者公共利益，乙方确需临时占用、挖掘本物业管理服务区域内道路、场地的，应征得甲方的同意。临时占用、挖掘本物业管理服务区域内道路、场地的，应在甲方要求的期限内恢复原状；</w:t>
      </w:r>
    </w:p>
    <w:p w14:paraId="3C1C3087">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2.14乙方未能履行本合同的约定，导致甲方或第三方人身、财产安全受到损害的，依法承担相应的法律责任。乙方对自己管理的范围内因管理不善而造成的一切损失，负相应的赔偿责任；</w:t>
      </w:r>
    </w:p>
    <w:p w14:paraId="00A4037B">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2.15乙方对本项目物业管理服务人员进行岗前培训，不得违章指挥、强制冒险作业、违规作业；</w:t>
      </w:r>
    </w:p>
    <w:p w14:paraId="64009046">
      <w:pPr>
        <w:widowControl/>
        <w:ind w:firstLine="480"/>
        <w:jc w:val="left"/>
        <w:rPr>
          <w:rFonts w:ascii="仿宋" w:hAnsi="仿宋" w:eastAsia="仿宋" w:cs="宋体"/>
          <w:color w:val="auto"/>
          <w:sz w:val="24"/>
          <w:highlight w:val="none"/>
        </w:rPr>
      </w:pPr>
      <w:r>
        <w:rPr>
          <w:rFonts w:hint="eastAsia" w:ascii="仿宋" w:hAnsi="仿宋" w:eastAsia="仿宋" w:cs="宋体"/>
          <w:color w:val="auto"/>
          <w:sz w:val="24"/>
          <w:highlight w:val="none"/>
        </w:rPr>
        <w:t>2.16乙方负责处理本公司员工的生病、事故、伤残、死亡以及一切劳务纠纷，甲方不承担任何相关责任。乙方保证如有上述情况发生，积极处理，确保不影响甲方正常办公。</w:t>
      </w:r>
    </w:p>
    <w:p w14:paraId="56C62FBC">
      <w:pPr>
        <w:widowControl/>
        <w:spacing w:after="100" w:line="259" w:lineRule="auto"/>
        <w:jc w:val="left"/>
        <w:rPr>
          <w:rFonts w:ascii="Calibri" w:hAnsi="Calibri"/>
          <w:color w:val="auto"/>
          <w:sz w:val="22"/>
          <w:szCs w:val="22"/>
          <w:highlight w:val="none"/>
        </w:rPr>
      </w:pPr>
    </w:p>
    <w:p w14:paraId="1CF61A30">
      <w:pPr>
        <w:ind w:left="360"/>
        <w:jc w:val="center"/>
        <w:rPr>
          <w:rFonts w:ascii="仿宋" w:hAnsi="仿宋" w:eastAsia="仿宋"/>
          <w:color w:val="auto"/>
          <w:sz w:val="24"/>
          <w:highlight w:val="none"/>
        </w:rPr>
      </w:pPr>
      <w:r>
        <w:rPr>
          <w:rFonts w:hint="eastAsia" w:ascii="仿宋" w:hAnsi="仿宋" w:eastAsia="仿宋"/>
          <w:color w:val="auto"/>
          <w:sz w:val="24"/>
          <w:highlight w:val="none"/>
        </w:rPr>
        <w:t>第六章  违约责任</w:t>
      </w:r>
    </w:p>
    <w:p w14:paraId="29E10A51">
      <w:pPr>
        <w:ind w:firstLine="480"/>
        <w:rPr>
          <w:rFonts w:ascii="仿宋" w:hAnsi="仿宋" w:eastAsia="仿宋"/>
          <w:color w:val="auto"/>
          <w:sz w:val="24"/>
          <w:highlight w:val="none"/>
        </w:rPr>
      </w:pPr>
    </w:p>
    <w:p w14:paraId="367C592B">
      <w:pPr>
        <w:ind w:firstLine="480"/>
        <w:rPr>
          <w:rFonts w:ascii="仿宋" w:hAnsi="仿宋" w:eastAsia="仿宋"/>
          <w:color w:val="auto"/>
          <w:sz w:val="24"/>
          <w:highlight w:val="none"/>
        </w:rPr>
      </w:pPr>
      <w:r>
        <w:rPr>
          <w:rFonts w:hint="eastAsia" w:ascii="仿宋" w:hAnsi="仿宋" w:eastAsia="仿宋"/>
          <w:color w:val="auto"/>
          <w:sz w:val="24"/>
          <w:highlight w:val="none"/>
        </w:rPr>
        <w:t>第十一条 违约责任</w:t>
      </w:r>
    </w:p>
    <w:p w14:paraId="5C57CF9E">
      <w:pPr>
        <w:ind w:firstLine="480"/>
        <w:rPr>
          <w:rFonts w:ascii="仿宋" w:hAnsi="仿宋" w:eastAsia="仿宋"/>
          <w:color w:val="auto"/>
          <w:sz w:val="24"/>
          <w:highlight w:val="none"/>
        </w:rPr>
      </w:pPr>
      <w:r>
        <w:rPr>
          <w:rFonts w:hint="eastAsia" w:ascii="仿宋" w:hAnsi="仿宋" w:eastAsia="仿宋"/>
          <w:color w:val="auto"/>
          <w:sz w:val="24"/>
          <w:highlight w:val="none"/>
        </w:rPr>
        <w:t>一、甲方责任</w:t>
      </w:r>
    </w:p>
    <w:p w14:paraId="30F1EE4C">
      <w:pPr>
        <w:ind w:firstLine="540"/>
        <w:rPr>
          <w:rFonts w:ascii="仿宋" w:hAnsi="仿宋" w:eastAsia="仿宋"/>
          <w:color w:val="auto"/>
          <w:sz w:val="24"/>
          <w:highlight w:val="none"/>
        </w:rPr>
      </w:pPr>
      <w:r>
        <w:rPr>
          <w:rFonts w:hint="eastAsia" w:ascii="仿宋" w:hAnsi="仿宋" w:eastAsia="仿宋"/>
          <w:color w:val="auto"/>
          <w:sz w:val="24"/>
          <w:highlight w:val="none"/>
        </w:rPr>
        <w:t>乙方按合同履约，甲方按合同约定支付物业管理服务费，甲方每逾期10天，甲方向乙方支付当月物业管理服务费（0.1）%的违约金，但违约金的总数不超过当月物业管理服务费的（1）%。</w:t>
      </w:r>
    </w:p>
    <w:p w14:paraId="548A1CED">
      <w:pPr>
        <w:ind w:firstLine="480"/>
        <w:rPr>
          <w:rFonts w:ascii="仿宋" w:hAnsi="仿宋" w:eastAsia="仿宋"/>
          <w:color w:val="auto"/>
          <w:sz w:val="24"/>
          <w:highlight w:val="none"/>
        </w:rPr>
      </w:pPr>
      <w:r>
        <w:rPr>
          <w:rFonts w:hint="eastAsia" w:ascii="仿宋" w:hAnsi="仿宋" w:eastAsia="仿宋"/>
          <w:color w:val="auto"/>
          <w:sz w:val="24"/>
          <w:highlight w:val="none"/>
        </w:rPr>
        <w:t>二、乙方的责任</w:t>
      </w:r>
    </w:p>
    <w:p w14:paraId="7F026BBE">
      <w:pPr>
        <w:ind w:firstLine="480"/>
        <w:rPr>
          <w:rFonts w:ascii="仿宋" w:hAnsi="仿宋" w:eastAsia="仿宋"/>
          <w:color w:val="auto"/>
          <w:sz w:val="24"/>
          <w:highlight w:val="none"/>
        </w:rPr>
      </w:pPr>
      <w:r>
        <w:rPr>
          <w:rFonts w:hint="eastAsia" w:ascii="仿宋" w:hAnsi="仿宋" w:eastAsia="仿宋"/>
          <w:color w:val="auto"/>
          <w:sz w:val="24"/>
          <w:highlight w:val="none"/>
        </w:rPr>
        <w:t>第一部分</w:t>
      </w:r>
    </w:p>
    <w:p w14:paraId="4C2AE9FA">
      <w:pPr>
        <w:ind w:firstLine="470"/>
        <w:rPr>
          <w:rFonts w:ascii="仿宋" w:hAnsi="仿宋" w:eastAsia="仿宋"/>
          <w:color w:val="auto"/>
          <w:sz w:val="24"/>
          <w:highlight w:val="none"/>
        </w:rPr>
      </w:pPr>
      <w:r>
        <w:rPr>
          <w:rFonts w:hint="eastAsia" w:ascii="仿宋" w:hAnsi="仿宋" w:eastAsia="仿宋"/>
          <w:color w:val="auto"/>
          <w:sz w:val="24"/>
          <w:highlight w:val="none"/>
        </w:rPr>
        <w:t>乙方有下列情况之一的，全额扣除当季度的合同约定的 “每季度物业管理服务费”，且甲方有权解除合同，由此造成乙方的直接损失和间接损失，甲方不予补偿；造成甲方损失的，甲方有权要求乙方赔偿，赔偿费从物业管理服务费、履约保证金（如有）中直接扣除，不足部分向乙方追索。</w:t>
      </w:r>
    </w:p>
    <w:p w14:paraId="419394B0">
      <w:pPr>
        <w:ind w:firstLine="425"/>
        <w:rPr>
          <w:rFonts w:ascii="仿宋" w:hAnsi="仿宋" w:eastAsia="仿宋"/>
          <w:color w:val="auto"/>
          <w:sz w:val="24"/>
          <w:highlight w:val="none"/>
        </w:rPr>
      </w:pPr>
      <w:r>
        <w:rPr>
          <w:rFonts w:hint="eastAsia" w:ascii="仿宋" w:hAnsi="仿宋" w:eastAsia="仿宋"/>
          <w:color w:val="auto"/>
          <w:sz w:val="24"/>
          <w:highlight w:val="none"/>
        </w:rPr>
        <w:t>(1) 乙方分包本项目的；</w:t>
      </w:r>
    </w:p>
    <w:p w14:paraId="117F06F8">
      <w:pPr>
        <w:ind w:firstLine="425"/>
        <w:rPr>
          <w:rFonts w:ascii="仿宋" w:hAnsi="仿宋" w:eastAsia="仿宋"/>
          <w:color w:val="auto"/>
          <w:sz w:val="24"/>
          <w:highlight w:val="none"/>
        </w:rPr>
      </w:pPr>
      <w:r>
        <w:rPr>
          <w:rFonts w:hint="eastAsia" w:ascii="仿宋" w:hAnsi="仿宋" w:eastAsia="仿宋"/>
          <w:color w:val="auto"/>
          <w:sz w:val="24"/>
          <w:highlight w:val="none"/>
        </w:rPr>
        <w:t>(2) 按照《物业管理服务日常考核细则》考核得分在70分以下的。</w:t>
      </w:r>
    </w:p>
    <w:p w14:paraId="6865F0EF">
      <w:pPr>
        <w:ind w:firstLine="425"/>
        <w:rPr>
          <w:rFonts w:ascii="仿宋" w:hAnsi="仿宋" w:eastAsia="仿宋"/>
          <w:color w:val="auto"/>
          <w:sz w:val="24"/>
          <w:highlight w:val="none"/>
        </w:rPr>
      </w:pPr>
      <w:r>
        <w:rPr>
          <w:rFonts w:hint="eastAsia" w:ascii="仿宋" w:hAnsi="仿宋" w:eastAsia="仿宋"/>
          <w:color w:val="auto"/>
          <w:sz w:val="24"/>
          <w:highlight w:val="none"/>
        </w:rPr>
        <w:t>(3）乙方违反</w:t>
      </w:r>
      <w:r>
        <w:rPr>
          <w:rFonts w:hint="eastAsia" w:ascii="仿宋" w:hAnsi="仿宋" w:eastAsia="仿宋" w:cs="宋体"/>
          <w:color w:val="auto"/>
          <w:sz w:val="24"/>
          <w:highlight w:val="none"/>
        </w:rPr>
        <w:t>本合同“</w:t>
      </w:r>
      <w:r>
        <w:rPr>
          <w:rFonts w:hint="eastAsia" w:ascii="仿宋" w:hAnsi="仿宋" w:eastAsia="仿宋"/>
          <w:color w:val="auto"/>
          <w:sz w:val="24"/>
          <w:highlight w:val="none"/>
        </w:rPr>
        <w:t>第一章 物业管理服务基本情况</w:t>
      </w:r>
      <w:r>
        <w:rPr>
          <w:rFonts w:hint="eastAsia" w:ascii="仿宋" w:hAnsi="仿宋" w:eastAsia="仿宋" w:cs="宋体"/>
          <w:color w:val="auto"/>
          <w:sz w:val="24"/>
          <w:highlight w:val="none"/>
        </w:rPr>
        <w:t>”</w:t>
      </w:r>
      <w:r>
        <w:rPr>
          <w:rFonts w:hint="eastAsia" w:ascii="仿宋" w:hAnsi="仿宋" w:eastAsia="仿宋"/>
          <w:color w:val="auto"/>
          <w:sz w:val="24"/>
          <w:highlight w:val="none"/>
        </w:rPr>
        <w:t>中“</w:t>
      </w:r>
      <w:r>
        <w:rPr>
          <w:rFonts w:hint="eastAsia" w:ascii="仿宋" w:hAnsi="仿宋" w:eastAsia="仿宋" w:cs="宋体"/>
          <w:color w:val="auto"/>
          <w:sz w:val="24"/>
          <w:highlight w:val="none"/>
        </w:rPr>
        <w:t>第三条 物业管理服务要求</w:t>
      </w:r>
      <w:r>
        <w:rPr>
          <w:rFonts w:hint="eastAsia" w:ascii="仿宋" w:hAnsi="仿宋" w:eastAsia="仿宋"/>
          <w:color w:val="auto"/>
          <w:sz w:val="24"/>
          <w:highlight w:val="none"/>
        </w:rPr>
        <w:t>”中“6.</w:t>
      </w:r>
      <w:r>
        <w:rPr>
          <w:rFonts w:ascii="仿宋" w:hAnsi="仿宋" w:eastAsia="仿宋" w:cs="宋体"/>
          <w:color w:val="auto"/>
          <w:sz w:val="24"/>
          <w:highlight w:val="none"/>
        </w:rPr>
        <w:t>物业管理服务人员工资要求</w:t>
      </w:r>
      <w:r>
        <w:rPr>
          <w:rFonts w:hint="eastAsia" w:ascii="仿宋" w:hAnsi="仿宋" w:eastAsia="仿宋"/>
          <w:color w:val="auto"/>
          <w:sz w:val="24"/>
          <w:highlight w:val="none"/>
        </w:rPr>
        <w:t>”的。</w:t>
      </w:r>
    </w:p>
    <w:p w14:paraId="3C9813D6">
      <w:pPr>
        <w:ind w:firstLine="480"/>
        <w:rPr>
          <w:rFonts w:ascii="仿宋" w:hAnsi="仿宋" w:eastAsia="仿宋"/>
          <w:color w:val="auto"/>
          <w:sz w:val="24"/>
          <w:highlight w:val="none"/>
        </w:rPr>
      </w:pPr>
      <w:r>
        <w:rPr>
          <w:rFonts w:hint="eastAsia" w:ascii="仿宋" w:hAnsi="仿宋" w:eastAsia="仿宋"/>
          <w:color w:val="auto"/>
          <w:sz w:val="24"/>
          <w:highlight w:val="none"/>
        </w:rPr>
        <w:t>第二部分</w:t>
      </w:r>
    </w:p>
    <w:p w14:paraId="3F2ED243">
      <w:pPr>
        <w:ind w:firstLine="480"/>
        <w:rPr>
          <w:rFonts w:ascii="仿宋" w:hAnsi="仿宋" w:eastAsia="仿宋"/>
          <w:color w:val="auto"/>
          <w:sz w:val="24"/>
          <w:highlight w:val="none"/>
        </w:rPr>
      </w:pPr>
      <w:r>
        <w:rPr>
          <w:rFonts w:hint="eastAsia" w:ascii="仿宋" w:hAnsi="仿宋" w:eastAsia="仿宋"/>
          <w:color w:val="auto"/>
          <w:sz w:val="24"/>
          <w:highlight w:val="none"/>
        </w:rPr>
        <w:t>(一) 乙方违反“第十条 乙方的权利义务”中“2.乙方的义务”中2.3—2.16的，第一次发生（发现）的，甲方有权从</w:t>
      </w:r>
      <w:r>
        <w:rPr>
          <w:rFonts w:hint="eastAsia" w:ascii="仿宋" w:hAnsi="仿宋" w:eastAsia="仿宋" w:cs="宋体"/>
          <w:color w:val="auto"/>
          <w:sz w:val="24"/>
          <w:highlight w:val="none"/>
        </w:rPr>
        <w:t>物业管理服务</w:t>
      </w:r>
      <w:r>
        <w:rPr>
          <w:rFonts w:hint="eastAsia" w:ascii="仿宋" w:hAnsi="仿宋" w:eastAsia="仿宋"/>
          <w:color w:val="auto"/>
          <w:sz w:val="24"/>
          <w:highlight w:val="none"/>
        </w:rPr>
        <w:t>费中扣10000元。第二次发生（发现）的，甲方有权从</w:t>
      </w:r>
      <w:r>
        <w:rPr>
          <w:rFonts w:hint="eastAsia" w:ascii="仿宋" w:hAnsi="仿宋" w:eastAsia="仿宋" w:cs="宋体"/>
          <w:color w:val="auto"/>
          <w:sz w:val="24"/>
          <w:highlight w:val="none"/>
        </w:rPr>
        <w:t>物业管理服务</w:t>
      </w:r>
      <w:r>
        <w:rPr>
          <w:rFonts w:hint="eastAsia" w:ascii="仿宋" w:hAnsi="仿宋" w:eastAsia="仿宋"/>
          <w:color w:val="auto"/>
          <w:sz w:val="24"/>
          <w:highlight w:val="none"/>
        </w:rPr>
        <w:t>费中扣20000元，且甲方有权解除合同，由此造成乙方的直接损失和间接损失，甲方不予补偿；造成甲方损失的，甲方有权要求乙方赔偿，赔偿费从物业管理服务费、履约保证金（如有）中直接扣除，不足部分向乙方追索。</w:t>
      </w:r>
    </w:p>
    <w:p w14:paraId="5A4556DD">
      <w:pPr>
        <w:ind w:firstLine="480"/>
        <w:rPr>
          <w:rFonts w:ascii="仿宋" w:hAnsi="仿宋" w:eastAsia="仿宋"/>
          <w:color w:val="auto"/>
          <w:sz w:val="24"/>
          <w:highlight w:val="none"/>
        </w:rPr>
      </w:pPr>
      <w:r>
        <w:rPr>
          <w:rFonts w:hint="eastAsia" w:ascii="仿宋" w:hAnsi="仿宋" w:eastAsia="仿宋"/>
          <w:color w:val="auto"/>
          <w:sz w:val="24"/>
          <w:highlight w:val="none"/>
        </w:rPr>
        <w:t>(二) 上述违约事项如与《物业管理服务日常考核细则》中相关内容相同，乙方应先行承担上述违约责任，乙方按照本合同承担违约责任后，甲方按照《物业管理服务日常考核细则》考核时，将不再扣减相应的分值。</w:t>
      </w:r>
    </w:p>
    <w:p w14:paraId="19F67678">
      <w:pPr>
        <w:ind w:firstLine="360"/>
        <w:rPr>
          <w:rFonts w:ascii="仿宋" w:hAnsi="仿宋" w:eastAsia="仿宋"/>
          <w:color w:val="auto"/>
          <w:sz w:val="24"/>
          <w:highlight w:val="none"/>
        </w:rPr>
      </w:pPr>
    </w:p>
    <w:p w14:paraId="3B37C6F6">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第十二条 本合同在下列条件全部满足后生效，生效日期以下列条件全部满足的最晚日期为准： </w:t>
      </w:r>
    </w:p>
    <w:p w14:paraId="5F20931B">
      <w:pPr>
        <w:ind w:left="420"/>
        <w:rPr>
          <w:rFonts w:ascii="仿宋" w:hAnsi="仿宋" w:eastAsia="仿宋"/>
          <w:color w:val="auto"/>
          <w:sz w:val="24"/>
          <w:highlight w:val="none"/>
        </w:rPr>
      </w:pPr>
      <w:r>
        <w:rPr>
          <w:rFonts w:hint="eastAsia" w:ascii="仿宋" w:hAnsi="仿宋" w:eastAsia="仿宋"/>
          <w:color w:val="auto"/>
          <w:sz w:val="24"/>
          <w:highlight w:val="none"/>
        </w:rPr>
        <w:t xml:space="preserve">1.双方加盖公章或合同专用章； </w:t>
      </w:r>
    </w:p>
    <w:p w14:paraId="6AC00650">
      <w:pPr>
        <w:ind w:firstLine="420"/>
        <w:rPr>
          <w:rFonts w:ascii="仿宋" w:hAnsi="仿宋" w:eastAsia="仿宋"/>
          <w:color w:val="auto"/>
          <w:sz w:val="24"/>
          <w:highlight w:val="none"/>
        </w:rPr>
      </w:pPr>
      <w:r>
        <w:rPr>
          <w:rFonts w:hint="eastAsia" w:ascii="仿宋" w:hAnsi="仿宋" w:eastAsia="仿宋"/>
          <w:color w:val="auto"/>
          <w:sz w:val="24"/>
          <w:highlight w:val="none"/>
        </w:rPr>
        <w:t>2.甲方收到乙方按</w:t>
      </w:r>
      <w:r>
        <w:rPr>
          <w:rFonts w:hint="eastAsia" w:ascii="仿宋" w:hAnsi="仿宋" w:eastAsia="仿宋" w:cs="宋体"/>
          <w:color w:val="auto"/>
          <w:sz w:val="24"/>
          <w:highlight w:val="none"/>
        </w:rPr>
        <w:t>政府采购合同金额（</w:t>
      </w:r>
      <w:r>
        <w:rPr>
          <w:rFonts w:hint="eastAsia" w:ascii="仿宋" w:hAnsi="仿宋" w:eastAsia="仿宋"/>
          <w:color w:val="auto"/>
          <w:sz w:val="24"/>
          <w:highlight w:val="none"/>
        </w:rPr>
        <w:t>合同总价</w:t>
      </w:r>
      <w:r>
        <w:rPr>
          <w:rFonts w:hint="eastAsia" w:ascii="仿宋" w:hAnsi="仿宋" w:eastAsia="仿宋" w:cs="宋体"/>
          <w:color w:val="auto"/>
          <w:sz w:val="24"/>
          <w:highlight w:val="none"/>
        </w:rPr>
        <w:t>）的</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10</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w:t>
      </w:r>
      <w:r>
        <w:rPr>
          <w:rFonts w:hint="eastAsia" w:ascii="仿宋" w:hAnsi="仿宋" w:eastAsia="仿宋"/>
          <w:color w:val="auto"/>
          <w:sz w:val="24"/>
          <w:highlight w:val="none"/>
        </w:rPr>
        <w:t>提交的履约保证金</w:t>
      </w:r>
      <w:r>
        <w:rPr>
          <w:rFonts w:hint="eastAsia" w:ascii="仿宋" w:hAnsi="仿宋" w:eastAsia="仿宋" w:cs="宋体"/>
          <w:color w:val="auto"/>
          <w:sz w:val="24"/>
          <w:highlight w:val="none"/>
        </w:rPr>
        <w:t>。</w:t>
      </w:r>
      <w:r>
        <w:rPr>
          <w:rFonts w:hint="eastAsia" w:ascii="仿宋" w:hAnsi="仿宋" w:eastAsia="仿宋"/>
          <w:color w:val="auto"/>
          <w:sz w:val="24"/>
          <w:highlight w:val="none"/>
        </w:rPr>
        <w:t>（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p>
    <w:p w14:paraId="47EECD1F">
      <w:pPr>
        <w:ind w:firstLine="480"/>
        <w:rPr>
          <w:rFonts w:ascii="仿宋" w:hAnsi="仿宋" w:eastAsia="仿宋"/>
          <w:color w:val="auto"/>
          <w:sz w:val="24"/>
          <w:highlight w:val="none"/>
        </w:rPr>
      </w:pPr>
    </w:p>
    <w:p w14:paraId="04793D3D">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第十三条 合同的双方当事人不得擅自变更、中止或者终止合同。 </w:t>
      </w:r>
    </w:p>
    <w:p w14:paraId="37FFBD3C">
      <w:pPr>
        <w:widowControl/>
        <w:spacing w:line="120" w:lineRule="auto"/>
        <w:ind w:firstLine="480"/>
        <w:jc w:val="left"/>
        <w:rPr>
          <w:rFonts w:ascii="仿宋" w:hAnsi="仿宋" w:eastAsia="仿宋"/>
          <w:color w:val="auto"/>
          <w:sz w:val="24"/>
          <w:highlight w:val="none"/>
        </w:rPr>
      </w:pPr>
    </w:p>
    <w:p w14:paraId="572C4CCC">
      <w:pPr>
        <w:ind w:firstLine="480"/>
        <w:rPr>
          <w:rFonts w:ascii="仿宋" w:hAnsi="仿宋" w:eastAsia="仿宋"/>
          <w:color w:val="auto"/>
          <w:sz w:val="24"/>
          <w:highlight w:val="none"/>
        </w:rPr>
      </w:pPr>
      <w:r>
        <w:rPr>
          <w:rFonts w:hint="eastAsia" w:ascii="仿宋" w:hAnsi="仿宋" w:eastAsia="仿宋"/>
          <w:color w:val="auto"/>
          <w:sz w:val="24"/>
          <w:highlight w:val="none"/>
        </w:rPr>
        <w:t>第十四条 双方约定，在履行合同过程中产生争议时，应通过友好协商解决，若协商不成可向甲方所在地人民法院提起诉讼。</w:t>
      </w:r>
    </w:p>
    <w:p w14:paraId="4F378244">
      <w:pPr>
        <w:ind w:firstLine="480"/>
        <w:rPr>
          <w:rFonts w:ascii="仿宋" w:hAnsi="仿宋" w:eastAsia="仿宋" w:cs="宋体"/>
          <w:color w:val="auto"/>
          <w:sz w:val="24"/>
          <w:highlight w:val="none"/>
        </w:rPr>
      </w:pPr>
    </w:p>
    <w:p w14:paraId="03C71848">
      <w:pPr>
        <w:ind w:firstLine="480"/>
        <w:rPr>
          <w:rFonts w:ascii="仿宋" w:hAnsi="仿宋" w:eastAsia="仿宋"/>
          <w:color w:val="auto"/>
          <w:sz w:val="24"/>
          <w:highlight w:val="none"/>
        </w:rPr>
      </w:pPr>
      <w:r>
        <w:rPr>
          <w:rFonts w:hint="eastAsia" w:ascii="仿宋" w:hAnsi="仿宋" w:eastAsia="仿宋"/>
          <w:color w:val="auto"/>
          <w:sz w:val="24"/>
          <w:highlight w:val="none"/>
        </w:rPr>
        <w:t>第十五条 合同其他未尽事宜及与招标文件有矛盾之处，以招标文件[项目编号：</w:t>
      </w:r>
      <w:r>
        <w:rPr>
          <w:rFonts w:hint="eastAsia" w:ascii="仿宋" w:hAnsi="仿宋" w:eastAsia="仿宋"/>
          <w:color w:val="auto"/>
          <w:sz w:val="24"/>
          <w:highlight w:val="none"/>
          <w:lang w:eastAsia="zh-CN"/>
        </w:rPr>
        <w:t>JSZC-320382-PZZC-G2026-0005</w:t>
      </w:r>
      <w:r>
        <w:rPr>
          <w:rFonts w:hint="eastAsia" w:ascii="仿宋" w:hAnsi="仿宋" w:eastAsia="仿宋"/>
          <w:color w:val="auto"/>
          <w:sz w:val="24"/>
          <w:highlight w:val="none"/>
        </w:rPr>
        <w:t>]为准。</w:t>
      </w:r>
    </w:p>
    <w:p w14:paraId="137A4C43">
      <w:pPr>
        <w:ind w:firstLine="480"/>
        <w:rPr>
          <w:rFonts w:ascii="仿宋" w:hAnsi="仿宋" w:eastAsia="仿宋"/>
          <w:color w:val="auto"/>
          <w:sz w:val="24"/>
          <w:highlight w:val="none"/>
        </w:rPr>
      </w:pPr>
    </w:p>
    <w:p w14:paraId="6496469D">
      <w:pPr>
        <w:ind w:firstLine="480"/>
        <w:rPr>
          <w:rFonts w:ascii="仿宋" w:hAnsi="仿宋" w:eastAsia="仿宋"/>
          <w:color w:val="auto"/>
          <w:sz w:val="24"/>
          <w:highlight w:val="none"/>
        </w:rPr>
      </w:pPr>
      <w:r>
        <w:rPr>
          <w:rFonts w:hint="eastAsia" w:ascii="仿宋" w:hAnsi="仿宋" w:eastAsia="仿宋"/>
          <w:color w:val="auto"/>
          <w:sz w:val="24"/>
          <w:highlight w:val="none"/>
        </w:rPr>
        <w:t>第十六条 合同一式</w:t>
      </w:r>
      <w:r>
        <w:rPr>
          <w:rFonts w:hint="eastAsia" w:ascii="仿宋" w:hAnsi="仿宋" w:eastAsia="仿宋"/>
          <w:color w:val="auto"/>
          <w:sz w:val="24"/>
          <w:highlight w:val="none"/>
          <w:u w:val="single"/>
        </w:rPr>
        <w:t>四</w:t>
      </w:r>
      <w:r>
        <w:rPr>
          <w:rFonts w:hint="eastAsia" w:ascii="仿宋" w:hAnsi="仿宋" w:eastAsia="仿宋"/>
          <w:color w:val="auto"/>
          <w:sz w:val="24"/>
          <w:highlight w:val="none"/>
        </w:rPr>
        <w:t>份，具有同等法律效力，甲方</w:t>
      </w:r>
      <w:r>
        <w:rPr>
          <w:rFonts w:hint="eastAsia" w:ascii="仿宋" w:hAnsi="仿宋" w:eastAsia="仿宋"/>
          <w:color w:val="auto"/>
          <w:sz w:val="24"/>
          <w:highlight w:val="none"/>
          <w:u w:val="single"/>
        </w:rPr>
        <w:t xml:space="preserve"> 一 </w:t>
      </w:r>
      <w:r>
        <w:rPr>
          <w:rFonts w:hint="eastAsia" w:ascii="仿宋" w:hAnsi="仿宋" w:eastAsia="仿宋"/>
          <w:color w:val="auto"/>
          <w:sz w:val="24"/>
          <w:highlight w:val="none"/>
        </w:rPr>
        <w:t>份，乙方</w:t>
      </w:r>
      <w:r>
        <w:rPr>
          <w:rFonts w:hint="eastAsia" w:ascii="仿宋" w:hAnsi="仿宋" w:eastAsia="仿宋"/>
          <w:color w:val="auto"/>
          <w:sz w:val="24"/>
          <w:highlight w:val="none"/>
          <w:u w:val="single"/>
        </w:rPr>
        <w:t>一</w:t>
      </w:r>
      <w:r>
        <w:rPr>
          <w:rFonts w:hint="eastAsia" w:ascii="仿宋" w:hAnsi="仿宋" w:eastAsia="仿宋"/>
          <w:color w:val="auto"/>
          <w:sz w:val="24"/>
          <w:highlight w:val="none"/>
        </w:rPr>
        <w:t>份，徐州市政府采购中心一份存档，政府采购管理部门一份备案。</w:t>
      </w:r>
    </w:p>
    <w:p w14:paraId="5168D5E7">
      <w:pPr>
        <w:ind w:firstLine="480"/>
        <w:contextualSpacing/>
        <w:rPr>
          <w:rFonts w:ascii="仿宋" w:hAnsi="仿宋" w:eastAsia="仿宋"/>
          <w:color w:val="auto"/>
          <w:sz w:val="24"/>
          <w:highlight w:val="none"/>
        </w:rPr>
      </w:pPr>
    </w:p>
    <w:p w14:paraId="226B18F6">
      <w:pPr>
        <w:ind w:firstLine="480"/>
        <w:contextualSpacing/>
        <w:rPr>
          <w:rFonts w:ascii="仿宋" w:hAnsi="仿宋" w:eastAsia="仿宋"/>
          <w:color w:val="auto"/>
          <w:sz w:val="24"/>
          <w:highlight w:val="none"/>
        </w:rPr>
      </w:pPr>
      <w:r>
        <w:rPr>
          <w:rFonts w:hint="eastAsia" w:ascii="仿宋" w:hAnsi="仿宋" w:eastAsia="仿宋"/>
          <w:color w:val="auto"/>
          <w:sz w:val="24"/>
          <w:highlight w:val="none"/>
        </w:rPr>
        <w:t>第十七条 按照《财政部关于做好政府采购信息公开工作的通知》（财库〔2015〕135号），甲方依据《保守国家秘密法》等法律制度规定确定本合同</w:t>
      </w:r>
      <w:r>
        <w:rPr>
          <w:rFonts w:hint="eastAsia" w:ascii="仿宋" w:hAnsi="仿宋" w:eastAsia="仿宋"/>
          <w:color w:val="auto"/>
          <w:sz w:val="24"/>
          <w:highlight w:val="none"/>
          <w:u w:val="single"/>
        </w:rPr>
        <w:t xml:space="preserve">          （    ）</w:t>
      </w:r>
      <w:r>
        <w:rPr>
          <w:rFonts w:hint="eastAsia" w:ascii="仿宋" w:hAnsi="仿宋" w:eastAsia="仿宋"/>
          <w:color w:val="auto"/>
          <w:sz w:val="24"/>
          <w:highlight w:val="none"/>
        </w:rPr>
        <w:t>部分涉及国家秘密，该涉及国家秘密部分不公告；甲方依据《反不正当竞争法》等法律制度的规定与乙方约定本合同</w:t>
      </w:r>
      <w:r>
        <w:rPr>
          <w:rFonts w:hint="eastAsia" w:ascii="仿宋" w:hAnsi="仿宋" w:eastAsia="仿宋"/>
          <w:color w:val="auto"/>
          <w:sz w:val="24"/>
          <w:highlight w:val="none"/>
          <w:u w:val="single"/>
        </w:rPr>
        <w:t>（          ）</w:t>
      </w:r>
      <w:r>
        <w:rPr>
          <w:rFonts w:hint="eastAsia" w:ascii="仿宋" w:hAnsi="仿宋" w:eastAsia="仿宋"/>
          <w:color w:val="auto"/>
          <w:sz w:val="24"/>
          <w:highlight w:val="none"/>
        </w:rPr>
        <w:t>部分涉及商业秘密，该涉及商业秘密部分不公告。</w:t>
      </w:r>
    </w:p>
    <w:p w14:paraId="73150FB4">
      <w:pPr>
        <w:contextualSpacing/>
        <w:rPr>
          <w:rFonts w:ascii="仿宋" w:eastAsia="仿宋"/>
          <w:color w:val="auto"/>
          <w:sz w:val="24"/>
          <w:highlight w:val="none"/>
        </w:rPr>
      </w:pPr>
    </w:p>
    <w:p w14:paraId="61546F50">
      <w:pPr>
        <w:contextualSpacing/>
        <w:rPr>
          <w:rFonts w:ascii="仿宋" w:eastAsia="仿宋"/>
          <w:color w:val="auto"/>
          <w:sz w:val="24"/>
          <w:highlight w:val="none"/>
        </w:rPr>
      </w:pPr>
    </w:p>
    <w:p w14:paraId="1BF90BF0">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 xml:space="preserve">甲 </w:t>
      </w:r>
      <w:r>
        <w:rPr>
          <w:rFonts w:hint="eastAsia" w:ascii="仿宋" w:eastAsia="仿宋"/>
          <w:color w:val="auto"/>
          <w:sz w:val="24"/>
          <w:highlight w:val="none"/>
        </w:rPr>
        <w:t>    </w:t>
      </w:r>
      <w:r>
        <w:rPr>
          <w:rFonts w:hint="eastAsia" w:ascii="仿宋" w:hAnsi="仿宋" w:eastAsia="仿宋"/>
          <w:color w:val="auto"/>
          <w:sz w:val="24"/>
          <w:highlight w:val="none"/>
        </w:rPr>
        <w:t>方</w:t>
      </w:r>
      <w:r>
        <w:rPr>
          <w:rFonts w:hint="eastAsia" w:ascii="仿宋" w:eastAsia="仿宋"/>
          <w:color w:val="auto"/>
          <w:sz w:val="24"/>
          <w:highlight w:val="none"/>
        </w:rPr>
        <w:t>                    </w:t>
      </w:r>
      <w:r>
        <w:rPr>
          <w:rFonts w:hint="eastAsia" w:ascii="仿宋" w:hAnsi="仿宋" w:eastAsia="仿宋"/>
          <w:color w:val="auto"/>
          <w:sz w:val="24"/>
          <w:highlight w:val="none"/>
        </w:rPr>
        <w:t xml:space="preserve">                   乙 </w:t>
      </w:r>
      <w:r>
        <w:rPr>
          <w:rFonts w:hint="eastAsia" w:ascii="仿宋" w:eastAsia="仿宋"/>
          <w:color w:val="auto"/>
          <w:sz w:val="24"/>
          <w:highlight w:val="none"/>
        </w:rPr>
        <w:t>      </w:t>
      </w:r>
      <w:r>
        <w:rPr>
          <w:rFonts w:hint="eastAsia" w:ascii="仿宋" w:hAnsi="仿宋" w:eastAsia="仿宋"/>
          <w:color w:val="auto"/>
          <w:sz w:val="24"/>
          <w:highlight w:val="none"/>
        </w:rPr>
        <w:t xml:space="preserve">方 </w:t>
      </w:r>
    </w:p>
    <w:p w14:paraId="29E65E2F">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 xml:space="preserve">单位签章： </w:t>
      </w:r>
      <w:r>
        <w:rPr>
          <w:rFonts w:hint="eastAsia" w:ascii="仿宋" w:hAnsi="仿宋" w:eastAsia="仿宋"/>
          <w:color w:val="auto"/>
          <w:sz w:val="24"/>
          <w:highlight w:val="none"/>
        </w:rPr>
        <w:tab/>
      </w:r>
      <w:r>
        <w:rPr>
          <w:rFonts w:hint="eastAsia" w:ascii="仿宋" w:hAnsi="仿宋" w:eastAsia="仿宋"/>
          <w:color w:val="auto"/>
          <w:sz w:val="24"/>
          <w:highlight w:val="none"/>
        </w:rPr>
        <w:t xml:space="preserve">                                  单位签章： </w:t>
      </w:r>
    </w:p>
    <w:p w14:paraId="1AB5D862">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单位地址：                                      单位地址：</w:t>
      </w:r>
    </w:p>
    <w:p w14:paraId="1D2E58D6">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 xml:space="preserve">开户银行： </w:t>
      </w:r>
      <w:r>
        <w:rPr>
          <w:rFonts w:hint="eastAsia" w:ascii="仿宋" w:hAnsi="仿宋" w:eastAsia="仿宋"/>
          <w:color w:val="auto"/>
          <w:sz w:val="24"/>
          <w:highlight w:val="none"/>
        </w:rPr>
        <w:tab/>
      </w:r>
      <w:r>
        <w:rPr>
          <w:rFonts w:hint="eastAsia" w:ascii="仿宋" w:hAnsi="仿宋" w:eastAsia="仿宋"/>
          <w:color w:val="auto"/>
          <w:sz w:val="24"/>
          <w:highlight w:val="none"/>
        </w:rPr>
        <w:t xml:space="preserve">                                  开户银行：</w:t>
      </w:r>
    </w:p>
    <w:p w14:paraId="1178C529">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银行帐号：                                      银行帐号：</w:t>
      </w:r>
    </w:p>
    <w:p w14:paraId="6E04CFFE">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联 系 人：                                      联 系 人：</w:t>
      </w:r>
    </w:p>
    <w:p w14:paraId="70A44672">
      <w:pPr>
        <w:ind w:firstLine="240"/>
        <w:contextualSpacing/>
        <w:rPr>
          <w:rFonts w:ascii="仿宋" w:hAnsi="仿宋" w:eastAsia="仿宋"/>
          <w:color w:val="auto"/>
          <w:sz w:val="24"/>
          <w:highlight w:val="none"/>
        </w:rPr>
      </w:pPr>
      <w:r>
        <w:rPr>
          <w:rFonts w:hint="eastAsia" w:ascii="仿宋" w:hAnsi="仿宋" w:eastAsia="仿宋"/>
          <w:color w:val="auto"/>
          <w:sz w:val="24"/>
          <w:highlight w:val="none"/>
        </w:rPr>
        <w:t>联系电话：                                      联系电话：</w:t>
      </w:r>
    </w:p>
    <w:p w14:paraId="0ECF2800">
      <w:pPr>
        <w:widowControl/>
        <w:spacing w:after="100" w:line="259" w:lineRule="auto"/>
        <w:ind w:firstLine="240"/>
        <w:jc w:val="left"/>
        <w:rPr>
          <w:rFonts w:ascii="Calibri" w:hAnsi="Calibri"/>
          <w:color w:val="auto"/>
          <w:sz w:val="22"/>
          <w:szCs w:val="22"/>
          <w:highlight w:val="none"/>
        </w:rPr>
      </w:pPr>
      <w:r>
        <w:rPr>
          <w:rFonts w:hint="eastAsia" w:ascii="仿宋" w:hAnsi="仿宋" w:eastAsia="仿宋"/>
          <w:color w:val="auto"/>
          <w:sz w:val="24"/>
          <w:szCs w:val="22"/>
          <w:highlight w:val="none"/>
        </w:rPr>
        <w:t>日期：                                          日期：</w:t>
      </w:r>
    </w:p>
    <w:p w14:paraId="432C331A">
      <w:pPr>
        <w:rPr>
          <w:color w:val="auto"/>
          <w:highlight w:val="none"/>
        </w:rPr>
      </w:pPr>
    </w:p>
    <w:p w14:paraId="057177D5">
      <w:pPr>
        <w:pageBreakBefore/>
        <w:contextualSpacing/>
        <w:jc w:val="center"/>
        <w:rPr>
          <w:rFonts w:ascii="仿宋" w:hAnsi="仿宋" w:eastAsia="仿宋"/>
          <w:color w:val="auto"/>
          <w:sz w:val="24"/>
          <w:highlight w:val="none"/>
        </w:rPr>
      </w:pPr>
      <w:r>
        <w:rPr>
          <w:rFonts w:hint="eastAsia" w:ascii="仿宋" w:hAnsi="仿宋" w:eastAsia="仿宋"/>
          <w:color w:val="auto"/>
          <w:sz w:val="24"/>
          <w:highlight w:val="none"/>
        </w:rPr>
        <w:t>合同附件</w:t>
      </w:r>
    </w:p>
    <w:p w14:paraId="02ECC06E">
      <w:pPr>
        <w:widowControl/>
        <w:spacing w:after="100" w:line="259" w:lineRule="auto"/>
        <w:jc w:val="left"/>
        <w:rPr>
          <w:rFonts w:ascii="Calibri" w:hAnsi="Calibri"/>
          <w:color w:val="auto"/>
          <w:sz w:val="22"/>
          <w:szCs w:val="22"/>
          <w:highlight w:val="none"/>
        </w:rPr>
      </w:pPr>
    </w:p>
    <w:p w14:paraId="1D6E08AA">
      <w:pPr>
        <w:spacing w:before="240"/>
        <w:contextualSpacing/>
        <w:rPr>
          <w:rFonts w:ascii="仿宋" w:hAnsi="仿宋" w:eastAsia="仿宋"/>
          <w:color w:val="auto"/>
          <w:sz w:val="24"/>
          <w:highlight w:val="none"/>
        </w:rPr>
      </w:pPr>
      <w:r>
        <w:rPr>
          <w:rFonts w:hint="eastAsia" w:ascii="仿宋" w:hAnsi="仿宋" w:eastAsia="仿宋" w:cs="宋体"/>
          <w:color w:val="auto"/>
          <w:sz w:val="24"/>
          <w:highlight w:val="none"/>
        </w:rPr>
        <w:t>合同附件1：物业管理服务内容（要求见招标文件第六章《采购需求》。）</w:t>
      </w:r>
    </w:p>
    <w:p w14:paraId="60D5217B">
      <w:pPr>
        <w:spacing w:before="240"/>
        <w:contextualSpacing/>
        <w:rPr>
          <w:rFonts w:ascii="仿宋" w:hAnsi="仿宋" w:eastAsia="仿宋"/>
          <w:color w:val="auto"/>
          <w:sz w:val="24"/>
          <w:highlight w:val="none"/>
        </w:rPr>
      </w:pPr>
      <w:r>
        <w:rPr>
          <w:rFonts w:hint="eastAsia" w:ascii="仿宋" w:hAnsi="仿宋" w:eastAsia="仿宋"/>
          <w:color w:val="auto"/>
          <w:sz w:val="24"/>
          <w:highlight w:val="none"/>
        </w:rPr>
        <w:t>合同附件2：物业管理服务工作要求（要求见招标文件第六章《采购需求》；合同见乙方投标文件中《</w:t>
      </w:r>
      <w:r>
        <w:rPr>
          <w:rFonts w:hint="eastAsia" w:ascii="仿宋" w:hAnsi="仿宋" w:eastAsia="仿宋"/>
          <w:bCs/>
          <w:color w:val="auto"/>
          <w:sz w:val="24"/>
          <w:highlight w:val="none"/>
        </w:rPr>
        <w:t>物业管理服务方案》</w:t>
      </w:r>
      <w:r>
        <w:rPr>
          <w:rFonts w:hint="eastAsia" w:ascii="仿宋" w:hAnsi="仿宋" w:eastAsia="仿宋"/>
          <w:color w:val="auto"/>
          <w:sz w:val="24"/>
          <w:highlight w:val="none"/>
        </w:rPr>
        <w:t>。）</w:t>
      </w:r>
    </w:p>
    <w:p w14:paraId="50FC7F2E">
      <w:pPr>
        <w:spacing w:before="240"/>
        <w:contextualSpacing/>
        <w:rPr>
          <w:rFonts w:ascii="仿宋" w:hAnsi="仿宋" w:eastAsia="仿宋"/>
          <w:color w:val="auto"/>
          <w:sz w:val="24"/>
          <w:highlight w:val="none"/>
        </w:rPr>
      </w:pPr>
      <w:r>
        <w:rPr>
          <w:rFonts w:hint="eastAsia" w:ascii="仿宋" w:hAnsi="仿宋" w:eastAsia="仿宋"/>
          <w:color w:val="auto"/>
          <w:sz w:val="24"/>
          <w:highlight w:val="none"/>
        </w:rPr>
        <w:t>合同附件3：物业管理服务人员</w:t>
      </w:r>
      <w:r>
        <w:rPr>
          <w:rFonts w:hint="eastAsia" w:ascii="仿宋" w:hAnsi="仿宋" w:eastAsia="仿宋"/>
          <w:bCs/>
          <w:color w:val="auto"/>
          <w:sz w:val="24"/>
          <w:highlight w:val="none"/>
        </w:rPr>
        <w:t>要求</w:t>
      </w:r>
      <w:r>
        <w:rPr>
          <w:rFonts w:hint="eastAsia" w:ascii="仿宋" w:hAnsi="仿宋" w:eastAsia="仿宋"/>
          <w:color w:val="auto"/>
          <w:sz w:val="24"/>
          <w:highlight w:val="none"/>
        </w:rPr>
        <w:t>（要求见招标文件第六章《采购需求》；合同见乙方投标文件中《</w:t>
      </w:r>
      <w:r>
        <w:rPr>
          <w:rFonts w:ascii="仿宋" w:hAnsi="仿宋" w:eastAsia="仿宋"/>
          <w:color w:val="auto"/>
          <w:sz w:val="24"/>
          <w:highlight w:val="none"/>
        </w:rPr>
        <w:t>物业管理服务人员</w:t>
      </w:r>
      <w:r>
        <w:rPr>
          <w:rFonts w:hint="eastAsia" w:ascii="仿宋" w:hAnsi="仿宋" w:eastAsia="仿宋"/>
          <w:color w:val="auto"/>
          <w:sz w:val="24"/>
          <w:highlight w:val="none"/>
        </w:rPr>
        <w:t>方案</w:t>
      </w:r>
      <w:r>
        <w:rPr>
          <w:rFonts w:hint="eastAsia" w:ascii="仿宋" w:hAnsi="仿宋" w:eastAsia="仿宋"/>
          <w:bCs/>
          <w:color w:val="auto"/>
          <w:sz w:val="24"/>
          <w:highlight w:val="none"/>
        </w:rPr>
        <w:t>》</w:t>
      </w:r>
      <w:r>
        <w:rPr>
          <w:rFonts w:hint="eastAsia" w:ascii="仿宋" w:hAnsi="仿宋" w:eastAsia="仿宋"/>
          <w:color w:val="auto"/>
          <w:sz w:val="24"/>
          <w:highlight w:val="none"/>
        </w:rPr>
        <w:t>。）</w:t>
      </w:r>
    </w:p>
    <w:p w14:paraId="2DE1CF2C">
      <w:pPr>
        <w:spacing w:before="240"/>
        <w:contextualSpacing/>
        <w:rPr>
          <w:rFonts w:ascii="仿宋" w:hAnsi="仿宋" w:eastAsia="仿宋"/>
          <w:color w:val="auto"/>
          <w:sz w:val="24"/>
          <w:highlight w:val="none"/>
        </w:rPr>
      </w:pPr>
      <w:r>
        <w:rPr>
          <w:rFonts w:hint="eastAsia" w:ascii="仿宋" w:hAnsi="仿宋" w:eastAsia="仿宋"/>
          <w:color w:val="auto"/>
          <w:sz w:val="24"/>
          <w:highlight w:val="none"/>
        </w:rPr>
        <w:t>合同附件4：采购需求(要求见招标文件第六章《采购需求》）</w:t>
      </w:r>
    </w:p>
    <w:p w14:paraId="20F78E58">
      <w:pPr>
        <w:rPr>
          <w:color w:val="auto"/>
          <w:highlight w:val="none"/>
        </w:rPr>
      </w:pPr>
      <w:r>
        <w:rPr>
          <w:rFonts w:hint="eastAsia" w:ascii="仿宋" w:hAnsi="仿宋" w:eastAsia="仿宋"/>
          <w:color w:val="auto"/>
          <w:sz w:val="24"/>
          <w:highlight w:val="none"/>
        </w:rPr>
        <w:t>合同附件5：《物业管理服务日常考核细则》</w:t>
      </w:r>
    </w:p>
    <w:p w14:paraId="17935EA4">
      <w:pPr>
        <w:widowControl/>
        <w:spacing w:after="100" w:line="259" w:lineRule="auto"/>
        <w:jc w:val="left"/>
        <w:rPr>
          <w:rFonts w:ascii="Calibri" w:hAnsi="Calibri"/>
          <w:color w:val="auto"/>
          <w:sz w:val="22"/>
          <w:szCs w:val="22"/>
          <w:highlight w:val="none"/>
        </w:rPr>
      </w:pPr>
    </w:p>
    <w:p w14:paraId="2EDB6B7B">
      <w:pPr>
        <w:rPr>
          <w:color w:val="auto"/>
          <w:highlight w:val="none"/>
        </w:rPr>
      </w:pPr>
    </w:p>
    <w:p w14:paraId="58115FC4">
      <w:pPr>
        <w:widowControl/>
        <w:ind w:firstLine="240"/>
        <w:rPr>
          <w:rFonts w:ascii="仿宋" w:hAnsi="仿宋" w:eastAsia="仿宋"/>
          <w:b/>
          <w:color w:val="auto"/>
          <w:sz w:val="24"/>
          <w:highlight w:val="none"/>
        </w:rPr>
      </w:pPr>
      <w:r>
        <w:rPr>
          <w:rFonts w:ascii="仿宋" w:hAnsi="仿宋" w:eastAsia="仿宋"/>
          <w:color w:val="auto"/>
          <w:sz w:val="24"/>
          <w:highlight w:val="none"/>
        </w:rPr>
        <w:br w:type="page" w:clear="all"/>
      </w:r>
      <w:r>
        <w:rPr>
          <w:rFonts w:hint="eastAsia" w:ascii="仿宋" w:hAnsi="仿宋" w:eastAsia="仿宋"/>
          <w:color w:val="auto"/>
          <w:sz w:val="24"/>
          <w:highlight w:val="none"/>
        </w:rPr>
        <w:t>合同附件5：物业管理服务日常考核细则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9"/>
        <w:gridCol w:w="983"/>
        <w:gridCol w:w="766"/>
        <w:gridCol w:w="2350"/>
        <w:gridCol w:w="2105"/>
        <w:gridCol w:w="694"/>
        <w:gridCol w:w="835"/>
      </w:tblGrid>
      <w:tr w14:paraId="56DB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57" w:type="pct"/>
            <w:tcBorders>
              <w:tl2br w:val="nil"/>
              <w:tr2bl w:val="nil"/>
            </w:tcBorders>
            <w:shd w:val="clear" w:color="auto" w:fill="auto"/>
            <w:vAlign w:val="center"/>
          </w:tcPr>
          <w:p w14:paraId="5A934A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考核大类</w:t>
            </w:r>
          </w:p>
        </w:tc>
        <w:tc>
          <w:tcPr>
            <w:tcW w:w="570" w:type="pct"/>
            <w:tcBorders>
              <w:tl2br w:val="nil"/>
              <w:tr2bl w:val="nil"/>
            </w:tcBorders>
            <w:shd w:val="clear" w:color="auto" w:fill="auto"/>
            <w:noWrap/>
            <w:vAlign w:val="center"/>
          </w:tcPr>
          <w:p w14:paraId="11B034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考核细分项目</w:t>
            </w:r>
          </w:p>
        </w:tc>
        <w:tc>
          <w:tcPr>
            <w:tcW w:w="444" w:type="pct"/>
            <w:tcBorders>
              <w:tl2br w:val="nil"/>
              <w:tr2bl w:val="nil"/>
            </w:tcBorders>
            <w:shd w:val="clear" w:color="auto" w:fill="auto"/>
            <w:noWrap/>
            <w:vAlign w:val="center"/>
          </w:tcPr>
          <w:p w14:paraId="296D4A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细分项目分值</w:t>
            </w:r>
          </w:p>
        </w:tc>
        <w:tc>
          <w:tcPr>
            <w:tcW w:w="1362" w:type="pct"/>
            <w:tcBorders>
              <w:tl2br w:val="nil"/>
              <w:tr2bl w:val="nil"/>
            </w:tcBorders>
            <w:shd w:val="clear" w:color="auto" w:fill="auto"/>
            <w:vAlign w:val="center"/>
          </w:tcPr>
          <w:p w14:paraId="7B821B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详细考核标准</w:t>
            </w:r>
          </w:p>
        </w:tc>
        <w:tc>
          <w:tcPr>
            <w:tcW w:w="1220" w:type="pct"/>
            <w:tcBorders>
              <w:tl2br w:val="nil"/>
              <w:tr2bl w:val="nil"/>
            </w:tcBorders>
            <w:shd w:val="clear" w:color="auto" w:fill="auto"/>
            <w:noWrap/>
            <w:vAlign w:val="center"/>
          </w:tcPr>
          <w:p w14:paraId="254675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扣分标准</w:t>
            </w:r>
          </w:p>
        </w:tc>
        <w:tc>
          <w:tcPr>
            <w:tcW w:w="402" w:type="pct"/>
            <w:tcBorders>
              <w:tl2br w:val="nil"/>
              <w:tr2bl w:val="nil"/>
            </w:tcBorders>
            <w:shd w:val="clear" w:color="auto" w:fill="auto"/>
            <w:noWrap/>
            <w:vAlign w:val="center"/>
          </w:tcPr>
          <w:p w14:paraId="04A259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现场扣分</w:t>
            </w:r>
          </w:p>
        </w:tc>
        <w:tc>
          <w:tcPr>
            <w:tcW w:w="484" w:type="pct"/>
            <w:tcBorders>
              <w:tl2br w:val="nil"/>
              <w:tr2bl w:val="nil"/>
            </w:tcBorders>
            <w:shd w:val="clear" w:color="auto" w:fill="auto"/>
            <w:noWrap/>
            <w:vAlign w:val="center"/>
          </w:tcPr>
          <w:p w14:paraId="50D4FA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实得分</w:t>
            </w:r>
          </w:p>
        </w:tc>
      </w:tr>
      <w:tr w14:paraId="1441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0" w:hRule="atLeast"/>
        </w:trPr>
        <w:tc>
          <w:tcPr>
            <w:tcW w:w="457" w:type="pct"/>
            <w:tcBorders>
              <w:tl2br w:val="nil"/>
              <w:tr2bl w:val="nil"/>
            </w:tcBorders>
            <w:shd w:val="clear" w:color="auto" w:fill="auto"/>
            <w:vAlign w:val="center"/>
          </w:tcPr>
          <w:p w14:paraId="56C98E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一、项目综合管理（15分）</w:t>
            </w:r>
          </w:p>
        </w:tc>
        <w:tc>
          <w:tcPr>
            <w:tcW w:w="570" w:type="pct"/>
            <w:tcBorders>
              <w:tl2br w:val="nil"/>
              <w:tr2bl w:val="nil"/>
            </w:tcBorders>
            <w:shd w:val="clear" w:color="auto" w:fill="auto"/>
            <w:noWrap/>
            <w:vAlign w:val="center"/>
          </w:tcPr>
          <w:p w14:paraId="0128E1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制度、人员、物资综合管理</w:t>
            </w:r>
          </w:p>
        </w:tc>
        <w:tc>
          <w:tcPr>
            <w:tcW w:w="444" w:type="pct"/>
            <w:tcBorders>
              <w:tl2br w:val="nil"/>
              <w:tr2bl w:val="nil"/>
            </w:tcBorders>
            <w:shd w:val="clear" w:color="auto" w:fill="auto"/>
            <w:noWrap/>
            <w:vAlign w:val="center"/>
          </w:tcPr>
          <w:p w14:paraId="0152AB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362" w:type="pct"/>
            <w:tcBorders>
              <w:tl2br w:val="nil"/>
              <w:tr2bl w:val="nil"/>
            </w:tcBorders>
            <w:shd w:val="clear" w:color="auto" w:fill="auto"/>
            <w:vAlign w:val="center"/>
          </w:tcPr>
          <w:p w14:paraId="7AE5EA15">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物业全套管理制度、人员档案、各类工作台账分类归档完整，可随时查阅；</w:t>
            </w:r>
          </w:p>
          <w:p w14:paraId="142F8E54">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2.保洁、安保、维修岗位劳保用品、作业工具配齐到位；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3.全体员工统一着装、文明履职，遵纪守法，服从场馆统一管理，无服务冲突、违规违纪行为。</w:t>
            </w:r>
          </w:p>
        </w:tc>
        <w:tc>
          <w:tcPr>
            <w:tcW w:w="1220" w:type="pct"/>
            <w:tcBorders>
              <w:tl2br w:val="nil"/>
              <w:tr2bl w:val="nil"/>
            </w:tcBorders>
            <w:shd w:val="clear" w:color="auto" w:fill="auto"/>
            <w:noWrap/>
            <w:vAlign w:val="center"/>
          </w:tcPr>
          <w:p w14:paraId="39A035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存在一处不符合要求扣2分，扣完本大类15分为止</w:t>
            </w:r>
          </w:p>
        </w:tc>
        <w:tc>
          <w:tcPr>
            <w:tcW w:w="402" w:type="pct"/>
            <w:tcBorders>
              <w:tl2br w:val="nil"/>
              <w:tr2bl w:val="nil"/>
            </w:tcBorders>
            <w:shd w:val="clear" w:color="auto" w:fill="auto"/>
            <w:noWrap/>
            <w:vAlign w:val="center"/>
          </w:tcPr>
          <w:p w14:paraId="3D602A96">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7737974F">
            <w:pPr>
              <w:rPr>
                <w:rFonts w:hint="eastAsia" w:ascii="宋体" w:hAnsi="宋体" w:eastAsia="宋体" w:cs="宋体"/>
                <w:i w:val="0"/>
                <w:iCs w:val="0"/>
                <w:color w:val="auto"/>
                <w:sz w:val="20"/>
                <w:szCs w:val="20"/>
                <w:highlight w:val="none"/>
                <w:u w:val="none"/>
              </w:rPr>
            </w:pPr>
          </w:p>
        </w:tc>
      </w:tr>
      <w:tr w14:paraId="2BF2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93" w:hRule="atLeast"/>
        </w:trPr>
        <w:tc>
          <w:tcPr>
            <w:tcW w:w="457" w:type="pct"/>
            <w:vMerge w:val="restart"/>
            <w:tcBorders>
              <w:tl2br w:val="nil"/>
              <w:tr2bl w:val="nil"/>
            </w:tcBorders>
            <w:shd w:val="clear" w:color="auto" w:fill="auto"/>
            <w:vAlign w:val="center"/>
          </w:tcPr>
          <w:p w14:paraId="698F45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二、全域环境卫生保洁管理（25分）</w:t>
            </w:r>
          </w:p>
        </w:tc>
        <w:tc>
          <w:tcPr>
            <w:tcW w:w="570" w:type="pct"/>
            <w:tcBorders>
              <w:tl2br w:val="nil"/>
              <w:tr2bl w:val="nil"/>
            </w:tcBorders>
            <w:shd w:val="clear" w:color="auto" w:fill="auto"/>
            <w:noWrap/>
            <w:vAlign w:val="center"/>
          </w:tcPr>
          <w:p w14:paraId="4CC33A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会议室保洁</w:t>
            </w:r>
          </w:p>
        </w:tc>
        <w:tc>
          <w:tcPr>
            <w:tcW w:w="444" w:type="pct"/>
            <w:tcBorders>
              <w:tl2br w:val="nil"/>
              <w:tr2bl w:val="nil"/>
            </w:tcBorders>
            <w:shd w:val="clear" w:color="auto" w:fill="auto"/>
            <w:noWrap/>
            <w:vAlign w:val="center"/>
          </w:tcPr>
          <w:p w14:paraId="366D34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5B3DED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1.门窗、桌椅、台面无尘土、手印污渍，桌椅摆放规整，布艺椅面无毛发、污渍；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2.地面、踢脚线洁净无杂物，地毯无毛发；墙面、装饰摆件、排风口、灯罩无积尘、蛛网；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3.窗台、窗帘整齐，会前开窗通风，室内无异味；垃圾桶及时清倒，设施损坏第一时间报修。</w:t>
            </w:r>
          </w:p>
        </w:tc>
        <w:tc>
          <w:tcPr>
            <w:tcW w:w="1220" w:type="pct"/>
            <w:tcBorders>
              <w:tl2br w:val="nil"/>
              <w:tr2bl w:val="nil"/>
            </w:tcBorders>
            <w:shd w:val="clear" w:color="auto" w:fill="auto"/>
            <w:noWrap/>
            <w:vAlign w:val="center"/>
          </w:tcPr>
          <w:p w14:paraId="3A5EF8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6A148ED0">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7A9E2931">
            <w:pPr>
              <w:rPr>
                <w:rFonts w:hint="eastAsia" w:ascii="宋体" w:hAnsi="宋体" w:eastAsia="宋体" w:cs="宋体"/>
                <w:i w:val="0"/>
                <w:iCs w:val="0"/>
                <w:color w:val="auto"/>
                <w:sz w:val="20"/>
                <w:szCs w:val="20"/>
                <w:highlight w:val="none"/>
                <w:u w:val="none"/>
              </w:rPr>
            </w:pPr>
          </w:p>
        </w:tc>
      </w:tr>
      <w:tr w14:paraId="224D9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1" w:hRule="atLeast"/>
        </w:trPr>
        <w:tc>
          <w:tcPr>
            <w:tcW w:w="457" w:type="pct"/>
            <w:vMerge w:val="continue"/>
            <w:tcBorders>
              <w:tl2br w:val="nil"/>
              <w:tr2bl w:val="nil"/>
            </w:tcBorders>
            <w:shd w:val="clear" w:color="auto" w:fill="auto"/>
            <w:vAlign w:val="center"/>
          </w:tcPr>
          <w:p w14:paraId="11FCFEA8">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58050C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办公区域保洁</w:t>
            </w:r>
          </w:p>
        </w:tc>
        <w:tc>
          <w:tcPr>
            <w:tcW w:w="444" w:type="pct"/>
            <w:tcBorders>
              <w:tl2br w:val="nil"/>
              <w:tr2bl w:val="nil"/>
            </w:tcBorders>
            <w:shd w:val="clear" w:color="auto" w:fill="auto"/>
            <w:noWrap/>
            <w:vAlign w:val="center"/>
          </w:tcPr>
          <w:p w14:paraId="36FB5E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5DC569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1.每日8:00前完成保洁，不干扰日常办公；门框、桌面、空调、文件柜无积尘污渍；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2.沙发、座椅整洁摆放有序，墙面、天花板、墙角无蛛网垃圾；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3.打印设备、窗台、窗帘洁净；垃圾日产日清，室内无异味，破损设施及时上报维修。</w:t>
            </w:r>
          </w:p>
        </w:tc>
        <w:tc>
          <w:tcPr>
            <w:tcW w:w="1220" w:type="pct"/>
            <w:tcBorders>
              <w:tl2br w:val="nil"/>
              <w:tr2bl w:val="nil"/>
            </w:tcBorders>
            <w:shd w:val="clear" w:color="auto" w:fill="auto"/>
            <w:noWrap/>
            <w:vAlign w:val="center"/>
          </w:tcPr>
          <w:p w14:paraId="5F34C3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15F17EF7">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24615A8C">
            <w:pPr>
              <w:rPr>
                <w:rFonts w:hint="eastAsia" w:ascii="宋体" w:hAnsi="宋体" w:eastAsia="宋体" w:cs="宋体"/>
                <w:i w:val="0"/>
                <w:iCs w:val="0"/>
                <w:color w:val="auto"/>
                <w:sz w:val="20"/>
                <w:szCs w:val="20"/>
                <w:highlight w:val="none"/>
                <w:u w:val="none"/>
              </w:rPr>
            </w:pPr>
          </w:p>
        </w:tc>
      </w:tr>
      <w:tr w14:paraId="3C76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trPr>
        <w:tc>
          <w:tcPr>
            <w:tcW w:w="457" w:type="pct"/>
            <w:vMerge w:val="continue"/>
            <w:tcBorders>
              <w:tl2br w:val="nil"/>
              <w:tr2bl w:val="nil"/>
            </w:tcBorders>
            <w:shd w:val="clear" w:color="auto" w:fill="auto"/>
            <w:vAlign w:val="center"/>
          </w:tcPr>
          <w:p w14:paraId="0F0285A7">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205A7B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廊道、楼梯、中庭、标识、消防栓保洁</w:t>
            </w:r>
          </w:p>
        </w:tc>
        <w:tc>
          <w:tcPr>
            <w:tcW w:w="444" w:type="pct"/>
            <w:tcBorders>
              <w:tl2br w:val="nil"/>
              <w:tr2bl w:val="nil"/>
            </w:tcBorders>
            <w:shd w:val="clear" w:color="auto" w:fill="auto"/>
            <w:noWrap/>
            <w:vAlign w:val="center"/>
          </w:tcPr>
          <w:p w14:paraId="70450F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0B5D62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1.地面无积尘杂物，天花灯具无蛛网污渍；墙面、指示牌、各类通道门洁净无尘；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2.楼梯扶手、台阶无垃圾污渍；消防栓玻璃光亮无污渍；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3.垃圾桶外壁干净，桶内垃圾不超过容积1/3，烟灰缸无烟头杂物。</w:t>
            </w:r>
          </w:p>
        </w:tc>
        <w:tc>
          <w:tcPr>
            <w:tcW w:w="1220" w:type="pct"/>
            <w:tcBorders>
              <w:tl2br w:val="nil"/>
              <w:tr2bl w:val="nil"/>
            </w:tcBorders>
            <w:shd w:val="clear" w:color="auto" w:fill="auto"/>
            <w:noWrap/>
            <w:vAlign w:val="center"/>
          </w:tcPr>
          <w:p w14:paraId="5F2D1F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6D5D6344">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9D44B5A">
            <w:pPr>
              <w:rPr>
                <w:rFonts w:hint="eastAsia" w:ascii="宋体" w:hAnsi="宋体" w:eastAsia="宋体" w:cs="宋体"/>
                <w:i w:val="0"/>
                <w:iCs w:val="0"/>
                <w:color w:val="auto"/>
                <w:sz w:val="20"/>
                <w:szCs w:val="20"/>
                <w:highlight w:val="none"/>
                <w:u w:val="none"/>
              </w:rPr>
            </w:pPr>
          </w:p>
        </w:tc>
      </w:tr>
      <w:tr w14:paraId="287E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36" w:hRule="atLeast"/>
        </w:trPr>
        <w:tc>
          <w:tcPr>
            <w:tcW w:w="457" w:type="pct"/>
            <w:vMerge w:val="continue"/>
            <w:tcBorders>
              <w:tl2br w:val="nil"/>
              <w:tr2bl w:val="nil"/>
            </w:tcBorders>
            <w:shd w:val="clear" w:color="auto" w:fill="auto"/>
            <w:vAlign w:val="center"/>
          </w:tcPr>
          <w:p w14:paraId="4B43FA94">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00E666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卫生间保洁</w:t>
            </w:r>
          </w:p>
        </w:tc>
        <w:tc>
          <w:tcPr>
            <w:tcW w:w="444" w:type="pct"/>
            <w:tcBorders>
              <w:tl2br w:val="nil"/>
              <w:tr2bl w:val="nil"/>
            </w:tcBorders>
            <w:shd w:val="clear" w:color="auto" w:fill="auto"/>
            <w:noWrap/>
            <w:vAlign w:val="center"/>
          </w:tcPr>
          <w:p w14:paraId="131C24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713303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1.门、镜面、洗手台、五金件无水渍、手印，光亮洁净；瓷砖墙面、隔断无积尘污渍；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2.地面干燥无积水杂物，排风、天花板无积尘；定时更换垃圾袋，无异味；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3.便器无堵塞，皂液、卫生纸持续补给，设备损坏立即报修。</w:t>
            </w:r>
          </w:p>
        </w:tc>
        <w:tc>
          <w:tcPr>
            <w:tcW w:w="1220" w:type="pct"/>
            <w:tcBorders>
              <w:tl2br w:val="nil"/>
              <w:tr2bl w:val="nil"/>
            </w:tcBorders>
            <w:shd w:val="clear" w:color="auto" w:fill="auto"/>
            <w:noWrap/>
            <w:vAlign w:val="center"/>
          </w:tcPr>
          <w:p w14:paraId="7C876C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74B690B6">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1317A70">
            <w:pPr>
              <w:rPr>
                <w:rFonts w:hint="eastAsia" w:ascii="宋体" w:hAnsi="宋体" w:eastAsia="宋体" w:cs="宋体"/>
                <w:i w:val="0"/>
                <w:iCs w:val="0"/>
                <w:color w:val="auto"/>
                <w:sz w:val="20"/>
                <w:szCs w:val="20"/>
                <w:highlight w:val="none"/>
                <w:u w:val="none"/>
              </w:rPr>
            </w:pPr>
          </w:p>
        </w:tc>
      </w:tr>
      <w:tr w14:paraId="0A93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457" w:type="pct"/>
            <w:vMerge w:val="continue"/>
            <w:tcBorders>
              <w:tl2br w:val="nil"/>
              <w:tr2bl w:val="nil"/>
            </w:tcBorders>
            <w:shd w:val="clear" w:color="auto" w:fill="auto"/>
            <w:vAlign w:val="center"/>
          </w:tcPr>
          <w:p w14:paraId="1DA2A241">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6E305B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电梯保洁（展馆配套电梯）</w:t>
            </w:r>
          </w:p>
        </w:tc>
        <w:tc>
          <w:tcPr>
            <w:tcW w:w="444" w:type="pct"/>
            <w:tcBorders>
              <w:tl2br w:val="nil"/>
              <w:tr2bl w:val="nil"/>
            </w:tcBorders>
            <w:shd w:val="clear" w:color="auto" w:fill="auto"/>
            <w:noWrap/>
            <w:vAlign w:val="center"/>
          </w:tcPr>
          <w:p w14:paraId="281AC5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362" w:type="pct"/>
            <w:tcBorders>
              <w:tl2br w:val="nil"/>
              <w:tr2bl w:val="nil"/>
            </w:tcBorders>
            <w:shd w:val="clear" w:color="auto" w:fill="auto"/>
            <w:vAlign w:val="center"/>
          </w:tcPr>
          <w:p w14:paraId="61A5BF77">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电梯门、轿厢内壁、按键、报警电话无积尘污渍；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2.轿厢地面干净。</w:t>
            </w:r>
          </w:p>
          <w:p w14:paraId="2D6C92E2">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3.电梯定期进行消杀，并配备消杀记录</w:t>
            </w:r>
          </w:p>
        </w:tc>
        <w:tc>
          <w:tcPr>
            <w:tcW w:w="1220" w:type="pct"/>
            <w:tcBorders>
              <w:tl2br w:val="nil"/>
              <w:tr2bl w:val="nil"/>
            </w:tcBorders>
            <w:shd w:val="clear" w:color="auto" w:fill="auto"/>
            <w:noWrap/>
            <w:vAlign w:val="center"/>
          </w:tcPr>
          <w:p w14:paraId="3F1D13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一处不达标扣0.3分，扣完1.5分止</w:t>
            </w:r>
          </w:p>
        </w:tc>
        <w:tc>
          <w:tcPr>
            <w:tcW w:w="402" w:type="pct"/>
            <w:tcBorders>
              <w:tl2br w:val="nil"/>
              <w:tr2bl w:val="nil"/>
            </w:tcBorders>
            <w:shd w:val="clear" w:color="auto" w:fill="auto"/>
            <w:noWrap/>
            <w:vAlign w:val="center"/>
          </w:tcPr>
          <w:p w14:paraId="7C206263">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DAE6061">
            <w:pPr>
              <w:rPr>
                <w:rFonts w:hint="eastAsia" w:ascii="宋体" w:hAnsi="宋体" w:eastAsia="宋体" w:cs="宋体"/>
                <w:i w:val="0"/>
                <w:iCs w:val="0"/>
                <w:color w:val="auto"/>
                <w:sz w:val="20"/>
                <w:szCs w:val="20"/>
                <w:highlight w:val="none"/>
                <w:u w:val="none"/>
              </w:rPr>
            </w:pPr>
          </w:p>
        </w:tc>
      </w:tr>
      <w:tr w14:paraId="6A74A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89" w:hRule="atLeast"/>
        </w:trPr>
        <w:tc>
          <w:tcPr>
            <w:tcW w:w="457" w:type="pct"/>
            <w:vMerge w:val="continue"/>
            <w:tcBorders>
              <w:tl2br w:val="nil"/>
              <w:tr2bl w:val="nil"/>
            </w:tcBorders>
            <w:shd w:val="clear" w:color="auto" w:fill="auto"/>
            <w:vAlign w:val="center"/>
          </w:tcPr>
          <w:p w14:paraId="1D3B394E">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10BC78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垃圾清运与垃圾分类</w:t>
            </w:r>
          </w:p>
        </w:tc>
        <w:tc>
          <w:tcPr>
            <w:tcW w:w="444" w:type="pct"/>
            <w:tcBorders>
              <w:tl2br w:val="nil"/>
              <w:tr2bl w:val="nil"/>
            </w:tcBorders>
            <w:shd w:val="clear" w:color="auto" w:fill="auto"/>
            <w:noWrap/>
            <w:vAlign w:val="center"/>
          </w:tcPr>
          <w:p w14:paraId="4CA7D0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362" w:type="pct"/>
            <w:tcBorders>
              <w:tl2br w:val="nil"/>
              <w:tr2bl w:val="nil"/>
            </w:tcBorders>
            <w:shd w:val="clear" w:color="auto" w:fill="auto"/>
            <w:vAlign w:val="center"/>
          </w:tcPr>
          <w:p w14:paraId="41AA14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1.垃圾桶定点摆放，张贴合规分类标识，桶身每日清洁；垃圾中转房（或中转箱）整洁无异味；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2.楼层垃圾每日分类袋装清运，做到日产日清；定期消杀灭蚊、蝇、蟑螂等害虫；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3.主动引导参观、祭扫人员规范投放垃圾。</w:t>
            </w:r>
          </w:p>
        </w:tc>
        <w:tc>
          <w:tcPr>
            <w:tcW w:w="1220" w:type="pct"/>
            <w:tcBorders>
              <w:tl2br w:val="nil"/>
              <w:tr2bl w:val="nil"/>
            </w:tcBorders>
            <w:shd w:val="clear" w:color="auto" w:fill="auto"/>
            <w:noWrap/>
            <w:vAlign w:val="center"/>
          </w:tcPr>
          <w:p w14:paraId="5F3337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一处不达标扣0.5分，扣完3.5分止</w:t>
            </w:r>
          </w:p>
        </w:tc>
        <w:tc>
          <w:tcPr>
            <w:tcW w:w="402" w:type="pct"/>
            <w:tcBorders>
              <w:tl2br w:val="nil"/>
              <w:tr2bl w:val="nil"/>
            </w:tcBorders>
            <w:shd w:val="clear" w:color="auto" w:fill="auto"/>
            <w:noWrap/>
            <w:vAlign w:val="center"/>
          </w:tcPr>
          <w:p w14:paraId="446362C6">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195C8932">
            <w:pPr>
              <w:rPr>
                <w:rFonts w:hint="eastAsia" w:ascii="宋体" w:hAnsi="宋体" w:eastAsia="宋体" w:cs="宋体"/>
                <w:i w:val="0"/>
                <w:iCs w:val="0"/>
                <w:color w:val="auto"/>
                <w:sz w:val="20"/>
                <w:szCs w:val="20"/>
                <w:highlight w:val="none"/>
                <w:u w:val="none"/>
              </w:rPr>
            </w:pPr>
          </w:p>
        </w:tc>
      </w:tr>
      <w:tr w14:paraId="75FE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95" w:hRule="atLeast"/>
        </w:trPr>
        <w:tc>
          <w:tcPr>
            <w:tcW w:w="457" w:type="pct"/>
            <w:vMerge w:val="restart"/>
            <w:tcBorders>
              <w:tl2br w:val="nil"/>
              <w:tr2bl w:val="nil"/>
            </w:tcBorders>
            <w:shd w:val="clear" w:color="auto" w:fill="auto"/>
            <w:vAlign w:val="center"/>
          </w:tcPr>
          <w:p w14:paraId="1CE8BE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三、墓区专项运营管理（15分）</w:t>
            </w:r>
          </w:p>
        </w:tc>
        <w:tc>
          <w:tcPr>
            <w:tcW w:w="570" w:type="pct"/>
            <w:tcBorders>
              <w:tl2br w:val="nil"/>
              <w:tr2bl w:val="nil"/>
            </w:tcBorders>
            <w:shd w:val="clear" w:color="auto" w:fill="auto"/>
            <w:noWrap/>
            <w:vAlign w:val="center"/>
          </w:tcPr>
          <w:p w14:paraId="323C303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墓区环境卫生</w:t>
            </w:r>
          </w:p>
        </w:tc>
        <w:tc>
          <w:tcPr>
            <w:tcW w:w="444" w:type="pct"/>
            <w:tcBorders>
              <w:tl2br w:val="nil"/>
              <w:tr2bl w:val="nil"/>
            </w:tcBorders>
            <w:shd w:val="clear" w:color="auto" w:fill="auto"/>
            <w:noWrap/>
            <w:vAlign w:val="center"/>
          </w:tcPr>
          <w:p w14:paraId="19E5C9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1394BC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1.墓位、墓碑、墓盖无尘土、杂草、纸屑、残留祭品；祭扫遗留杂物定期清理，确保墓区整体整洁，无花朵枯萎，祭品腐败的现象；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2.墓区走道无积水、淤泥、散落垃圾。</w:t>
            </w:r>
          </w:p>
        </w:tc>
        <w:tc>
          <w:tcPr>
            <w:tcW w:w="1220" w:type="pct"/>
            <w:tcBorders>
              <w:tl2br w:val="nil"/>
              <w:tr2bl w:val="nil"/>
            </w:tcBorders>
            <w:shd w:val="clear" w:color="auto" w:fill="auto"/>
            <w:noWrap/>
            <w:vAlign w:val="center"/>
          </w:tcPr>
          <w:p w14:paraId="7E4F05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一处脏乱扣2分，扣完5分止</w:t>
            </w:r>
          </w:p>
        </w:tc>
        <w:tc>
          <w:tcPr>
            <w:tcW w:w="402" w:type="pct"/>
            <w:tcBorders>
              <w:tl2br w:val="nil"/>
              <w:tr2bl w:val="nil"/>
            </w:tcBorders>
            <w:shd w:val="clear" w:color="auto" w:fill="auto"/>
            <w:noWrap/>
            <w:vAlign w:val="center"/>
          </w:tcPr>
          <w:p w14:paraId="750E0C24">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01F2D0B">
            <w:pPr>
              <w:rPr>
                <w:rFonts w:hint="eastAsia" w:ascii="宋体" w:hAnsi="宋体" w:eastAsia="宋体" w:cs="宋体"/>
                <w:i w:val="0"/>
                <w:iCs w:val="0"/>
                <w:color w:val="auto"/>
                <w:sz w:val="20"/>
                <w:szCs w:val="20"/>
                <w:highlight w:val="none"/>
                <w:u w:val="none"/>
              </w:rPr>
            </w:pPr>
          </w:p>
        </w:tc>
      </w:tr>
      <w:tr w14:paraId="5C26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1" w:hRule="atLeast"/>
        </w:trPr>
        <w:tc>
          <w:tcPr>
            <w:tcW w:w="457" w:type="pct"/>
            <w:vMerge w:val="continue"/>
            <w:tcBorders>
              <w:tl2br w:val="nil"/>
              <w:tr2bl w:val="nil"/>
            </w:tcBorders>
            <w:shd w:val="clear" w:color="auto" w:fill="auto"/>
            <w:vAlign w:val="center"/>
          </w:tcPr>
          <w:p w14:paraId="23EABAE4">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43C1D5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墓体及附属设施管护</w:t>
            </w:r>
          </w:p>
        </w:tc>
        <w:tc>
          <w:tcPr>
            <w:tcW w:w="444" w:type="pct"/>
            <w:tcBorders>
              <w:tl2br w:val="nil"/>
              <w:tr2bl w:val="nil"/>
            </w:tcBorders>
            <w:shd w:val="clear" w:color="auto" w:fill="auto"/>
            <w:noWrap/>
            <w:vAlign w:val="center"/>
          </w:tcPr>
          <w:p w14:paraId="7EAA1A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362" w:type="pct"/>
            <w:tcBorders>
              <w:tl2br w:val="nil"/>
              <w:tr2bl w:val="nil"/>
            </w:tcBorders>
            <w:shd w:val="clear" w:color="auto" w:fill="auto"/>
            <w:vAlign w:val="center"/>
          </w:tcPr>
          <w:p w14:paraId="20EC7876">
            <w:pPr>
              <w:keepNext w:val="0"/>
              <w:keepLines w:val="0"/>
              <w:widowControl/>
              <w:suppressLineNumbers w:val="0"/>
              <w:jc w:val="left"/>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墓碑、墓基无倾斜、松动、破损、锈蚀；墓区护栏、台阶、隔离围栏完好，无安全隐患。一经发现损害情况，应及时向场馆负责汇报。</w:t>
            </w:r>
          </w:p>
        </w:tc>
        <w:tc>
          <w:tcPr>
            <w:tcW w:w="1220" w:type="pct"/>
            <w:tcBorders>
              <w:tl2br w:val="nil"/>
              <w:tr2bl w:val="nil"/>
            </w:tcBorders>
            <w:shd w:val="clear" w:color="auto" w:fill="auto"/>
            <w:noWrap/>
            <w:vAlign w:val="center"/>
          </w:tcPr>
          <w:p w14:paraId="5DAF12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一处损坏未上报处置扣2分</w:t>
            </w:r>
          </w:p>
        </w:tc>
        <w:tc>
          <w:tcPr>
            <w:tcW w:w="402" w:type="pct"/>
            <w:tcBorders>
              <w:tl2br w:val="nil"/>
              <w:tr2bl w:val="nil"/>
            </w:tcBorders>
            <w:shd w:val="clear" w:color="auto" w:fill="auto"/>
            <w:noWrap/>
            <w:vAlign w:val="center"/>
          </w:tcPr>
          <w:p w14:paraId="23551B22">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3BE6B653">
            <w:pPr>
              <w:rPr>
                <w:rFonts w:hint="eastAsia" w:ascii="宋体" w:hAnsi="宋体" w:eastAsia="宋体" w:cs="宋体"/>
                <w:i w:val="0"/>
                <w:iCs w:val="0"/>
                <w:color w:val="auto"/>
                <w:sz w:val="20"/>
                <w:szCs w:val="20"/>
                <w:highlight w:val="none"/>
                <w:u w:val="none"/>
              </w:rPr>
            </w:pPr>
          </w:p>
        </w:tc>
      </w:tr>
      <w:tr w14:paraId="5BD1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1" w:hRule="atLeast"/>
        </w:trPr>
        <w:tc>
          <w:tcPr>
            <w:tcW w:w="457" w:type="pct"/>
            <w:vMerge w:val="continue"/>
            <w:tcBorders>
              <w:tl2br w:val="nil"/>
              <w:tr2bl w:val="nil"/>
            </w:tcBorders>
            <w:shd w:val="clear" w:color="auto" w:fill="auto"/>
            <w:vAlign w:val="center"/>
          </w:tcPr>
          <w:p w14:paraId="50E2C799">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6E269E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墓区道路与排水管护</w:t>
            </w:r>
          </w:p>
        </w:tc>
        <w:tc>
          <w:tcPr>
            <w:tcW w:w="444" w:type="pct"/>
            <w:tcBorders>
              <w:tl2br w:val="nil"/>
              <w:tr2bl w:val="nil"/>
            </w:tcBorders>
            <w:shd w:val="clear" w:color="auto" w:fill="auto"/>
            <w:noWrap/>
            <w:vAlign w:val="center"/>
          </w:tcPr>
          <w:p w14:paraId="360F61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362" w:type="pct"/>
            <w:tcBorders>
              <w:tl2br w:val="nil"/>
              <w:tr2bl w:val="nil"/>
            </w:tcBorders>
            <w:shd w:val="clear" w:color="auto" w:fill="auto"/>
            <w:vAlign w:val="center"/>
          </w:tcPr>
          <w:p w14:paraId="616769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墓区通道平整无坑洼，排水管网通畅，雨天无积水，通道无杂物堆放堵塞。</w:t>
            </w:r>
          </w:p>
        </w:tc>
        <w:tc>
          <w:tcPr>
            <w:tcW w:w="1220" w:type="pct"/>
            <w:tcBorders>
              <w:tl2br w:val="nil"/>
              <w:tr2bl w:val="nil"/>
            </w:tcBorders>
            <w:shd w:val="clear" w:color="auto" w:fill="auto"/>
            <w:noWrap/>
            <w:vAlign w:val="center"/>
          </w:tcPr>
          <w:p w14:paraId="0E494E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一处不达标扣2分</w:t>
            </w:r>
          </w:p>
        </w:tc>
        <w:tc>
          <w:tcPr>
            <w:tcW w:w="402" w:type="pct"/>
            <w:tcBorders>
              <w:tl2br w:val="nil"/>
              <w:tr2bl w:val="nil"/>
            </w:tcBorders>
            <w:shd w:val="clear" w:color="auto" w:fill="auto"/>
            <w:noWrap/>
            <w:vAlign w:val="center"/>
          </w:tcPr>
          <w:p w14:paraId="770F3515">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21160D33">
            <w:pPr>
              <w:rPr>
                <w:rFonts w:hint="eastAsia" w:ascii="宋体" w:hAnsi="宋体" w:eastAsia="宋体" w:cs="宋体"/>
                <w:i w:val="0"/>
                <w:iCs w:val="0"/>
                <w:color w:val="auto"/>
                <w:sz w:val="20"/>
                <w:szCs w:val="20"/>
                <w:highlight w:val="none"/>
                <w:u w:val="none"/>
              </w:rPr>
            </w:pPr>
          </w:p>
        </w:tc>
      </w:tr>
      <w:tr w14:paraId="4AB19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457" w:type="pct"/>
            <w:vMerge w:val="continue"/>
            <w:tcBorders>
              <w:tl2br w:val="nil"/>
              <w:tr2bl w:val="nil"/>
            </w:tcBorders>
            <w:shd w:val="clear" w:color="auto" w:fill="auto"/>
            <w:vAlign w:val="center"/>
          </w:tcPr>
          <w:p w14:paraId="52391A50">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4472E2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文明祭扫秩序管控</w:t>
            </w:r>
          </w:p>
        </w:tc>
        <w:tc>
          <w:tcPr>
            <w:tcW w:w="444" w:type="pct"/>
            <w:tcBorders>
              <w:tl2br w:val="nil"/>
              <w:tr2bl w:val="nil"/>
            </w:tcBorders>
            <w:shd w:val="clear" w:color="auto" w:fill="auto"/>
            <w:noWrap/>
            <w:vAlign w:val="center"/>
          </w:tcPr>
          <w:p w14:paraId="060206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362" w:type="pct"/>
            <w:tcBorders>
              <w:tl2br w:val="nil"/>
              <w:tr2bl w:val="nil"/>
            </w:tcBorders>
            <w:shd w:val="clear" w:color="auto" w:fill="auto"/>
            <w:vAlign w:val="center"/>
          </w:tcPr>
          <w:p w14:paraId="589B1F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墓区全域严禁明火、违规焚烧、燃放祭品；及时劝阻喧哗嬉闹、违规拍摄行为，全程保持肃穆氛围。</w:t>
            </w:r>
          </w:p>
        </w:tc>
        <w:tc>
          <w:tcPr>
            <w:tcW w:w="1220" w:type="pct"/>
            <w:tcBorders>
              <w:tl2br w:val="nil"/>
              <w:tr2bl w:val="nil"/>
            </w:tcBorders>
            <w:shd w:val="clear" w:color="auto" w:fill="auto"/>
            <w:noWrap/>
            <w:vAlign w:val="center"/>
          </w:tcPr>
          <w:p w14:paraId="35871B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未及时劝阻违规行为1次扣3分</w:t>
            </w:r>
          </w:p>
        </w:tc>
        <w:tc>
          <w:tcPr>
            <w:tcW w:w="402" w:type="pct"/>
            <w:tcBorders>
              <w:tl2br w:val="nil"/>
              <w:tr2bl w:val="nil"/>
            </w:tcBorders>
            <w:shd w:val="clear" w:color="auto" w:fill="auto"/>
            <w:noWrap/>
            <w:vAlign w:val="center"/>
          </w:tcPr>
          <w:p w14:paraId="75DDED27">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CC10E14">
            <w:pPr>
              <w:rPr>
                <w:rFonts w:hint="eastAsia" w:ascii="宋体" w:hAnsi="宋体" w:eastAsia="宋体" w:cs="宋体"/>
                <w:i w:val="0"/>
                <w:iCs w:val="0"/>
                <w:color w:val="auto"/>
                <w:sz w:val="20"/>
                <w:szCs w:val="20"/>
                <w:highlight w:val="none"/>
                <w:u w:val="none"/>
              </w:rPr>
            </w:pPr>
          </w:p>
        </w:tc>
      </w:tr>
      <w:tr w14:paraId="5BAB7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62" w:hRule="atLeast"/>
        </w:trPr>
        <w:tc>
          <w:tcPr>
            <w:tcW w:w="457" w:type="pct"/>
            <w:vMerge w:val="continue"/>
            <w:tcBorders>
              <w:tl2br w:val="nil"/>
              <w:tr2bl w:val="nil"/>
            </w:tcBorders>
            <w:shd w:val="clear" w:color="auto" w:fill="auto"/>
            <w:vAlign w:val="center"/>
          </w:tcPr>
          <w:p w14:paraId="1402B5A1">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6F114F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祭扫便民服务与墓区绿化</w:t>
            </w:r>
          </w:p>
        </w:tc>
        <w:tc>
          <w:tcPr>
            <w:tcW w:w="444" w:type="pct"/>
            <w:tcBorders>
              <w:tl2br w:val="nil"/>
              <w:tr2bl w:val="nil"/>
            </w:tcBorders>
            <w:shd w:val="clear" w:color="auto" w:fill="auto"/>
            <w:noWrap/>
            <w:vAlign w:val="center"/>
          </w:tcPr>
          <w:p w14:paraId="66A1C6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362" w:type="pct"/>
            <w:tcBorders>
              <w:tl2br w:val="nil"/>
              <w:tr2bl w:val="nil"/>
            </w:tcBorders>
            <w:shd w:val="clear" w:color="auto" w:fill="auto"/>
            <w:vAlign w:val="center"/>
          </w:tcPr>
          <w:p w14:paraId="5DAC23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1.春节、清明、重阳等节日祭扫高峰专人疏导人流，主动帮扶老弱残障群众，指引路线清晰；拥堵混乱扣3分；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2.墓区绿化草丛杂草定期清除；对绿化苗木负有日常监管义务，发现问题要第一时间上报。</w:t>
            </w:r>
          </w:p>
        </w:tc>
        <w:tc>
          <w:tcPr>
            <w:tcW w:w="1220" w:type="pct"/>
            <w:tcBorders>
              <w:tl2br w:val="nil"/>
              <w:tr2bl w:val="nil"/>
            </w:tcBorders>
            <w:shd w:val="clear" w:color="auto" w:fill="auto"/>
            <w:noWrap/>
            <w:vAlign w:val="center"/>
          </w:tcPr>
          <w:p w14:paraId="5605E9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服务缺位扣3分；绿化一处养护不到位扣1分</w:t>
            </w:r>
          </w:p>
        </w:tc>
        <w:tc>
          <w:tcPr>
            <w:tcW w:w="402" w:type="pct"/>
            <w:tcBorders>
              <w:tl2br w:val="nil"/>
              <w:tr2bl w:val="nil"/>
            </w:tcBorders>
            <w:shd w:val="clear" w:color="auto" w:fill="auto"/>
            <w:noWrap/>
            <w:vAlign w:val="center"/>
          </w:tcPr>
          <w:p w14:paraId="2AB6E0FC">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20BC0B0">
            <w:pPr>
              <w:rPr>
                <w:rFonts w:hint="eastAsia" w:ascii="宋体" w:hAnsi="宋体" w:eastAsia="宋体" w:cs="宋体"/>
                <w:i w:val="0"/>
                <w:iCs w:val="0"/>
                <w:color w:val="auto"/>
                <w:sz w:val="20"/>
                <w:szCs w:val="20"/>
                <w:highlight w:val="none"/>
                <w:u w:val="none"/>
              </w:rPr>
            </w:pPr>
          </w:p>
        </w:tc>
      </w:tr>
      <w:tr w14:paraId="6096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3" w:hRule="atLeast"/>
        </w:trPr>
        <w:tc>
          <w:tcPr>
            <w:tcW w:w="457" w:type="pct"/>
            <w:tcBorders>
              <w:tl2br w:val="nil"/>
              <w:tr2bl w:val="nil"/>
            </w:tcBorders>
            <w:shd w:val="clear" w:color="auto" w:fill="auto"/>
            <w:vAlign w:val="center"/>
          </w:tcPr>
          <w:p w14:paraId="2D6CE4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四、安保、消防、秩序管理（20分）</w:t>
            </w:r>
          </w:p>
        </w:tc>
        <w:tc>
          <w:tcPr>
            <w:tcW w:w="570" w:type="pct"/>
            <w:tcBorders>
              <w:tl2br w:val="nil"/>
              <w:tr2bl w:val="nil"/>
            </w:tcBorders>
            <w:shd w:val="clear" w:color="auto" w:fill="auto"/>
            <w:noWrap/>
            <w:vAlign w:val="center"/>
          </w:tcPr>
          <w:p w14:paraId="62BBB2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全域安保综合服务（展厅+广场+墓区）</w:t>
            </w:r>
          </w:p>
        </w:tc>
        <w:tc>
          <w:tcPr>
            <w:tcW w:w="444" w:type="pct"/>
            <w:tcBorders>
              <w:tl2br w:val="nil"/>
              <w:tr2bl w:val="nil"/>
            </w:tcBorders>
            <w:shd w:val="clear" w:color="auto" w:fill="auto"/>
            <w:noWrap/>
            <w:vAlign w:val="center"/>
          </w:tcPr>
          <w:p w14:paraId="56A55F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362" w:type="pct"/>
            <w:tcBorders>
              <w:tl2br w:val="nil"/>
              <w:tr2bl w:val="nil"/>
            </w:tcBorders>
            <w:shd w:val="clear" w:color="auto" w:fill="auto"/>
            <w:vAlign w:val="center"/>
          </w:tcPr>
          <w:p w14:paraId="526B13E7">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ascii="仿宋" w:hAnsi="仿宋" w:eastAsia="仿宋" w:cstheme="minorBidi"/>
                <w:color w:val="auto"/>
                <w:kern w:val="2"/>
                <w:sz w:val="20"/>
                <w:szCs w:val="20"/>
                <w:highlight w:val="none"/>
                <w:lang w:val="en-US" w:eastAsia="zh-CN" w:bidi="en-US"/>
              </w:rPr>
              <w:t>1.</w:t>
            </w:r>
            <w:r>
              <w:rPr>
                <w:rFonts w:hint="eastAsia" w:ascii="宋体" w:hAnsi="宋体" w:eastAsia="宋体" w:cs="宋体"/>
                <w:i w:val="0"/>
                <w:iCs w:val="0"/>
                <w:color w:val="auto"/>
                <w:kern w:val="0"/>
                <w:sz w:val="20"/>
                <w:szCs w:val="20"/>
                <w:highlight w:val="none"/>
                <w:u w:val="none"/>
                <w:lang w:val="en-US" w:eastAsia="zh-CN" w:bidi="ar"/>
              </w:rPr>
              <w:t>全员服从管理、文明执勤，着装规范、精神饱满，维护纪念场馆庄重形象。禁止酒后值岗、上岗期间吸烟等不文明现象，一经发现，严肃处理；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2.工作时间不得擅离职守、确保安保人员在岗在位，严禁造成脱岗现象。</w:t>
            </w:r>
          </w:p>
          <w:p w14:paraId="41F948C3">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3.熟练掌握消防基础技能，按期参加消防培训、演练，熟悉疏散通道、灭火器材点位；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4.实行24小时值班，消控室严禁脱岗、睡岗，规范填写交接班、消防巡查记录，无涂改漏填；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5.每日全覆盖巡逻：展厅、广场、墓区、边角点位逐点巡查，排查防火防盗隐患，可疑情况及时上报；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6.严格外来人员、车辆登记管理，引导车辆有序停放，禁止堵塞通道。物业人员车辆有序停放，严禁乱停乱放及馆内进行充电；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7.监控设备每日检查，画面清晰，一经发现故障，第一时间上报，并于故障2小时内报修。</w:t>
            </w:r>
          </w:p>
        </w:tc>
        <w:tc>
          <w:tcPr>
            <w:tcW w:w="1220" w:type="pct"/>
            <w:tcBorders>
              <w:tl2br w:val="nil"/>
              <w:tr2bl w:val="nil"/>
            </w:tcBorders>
            <w:shd w:val="clear" w:color="auto" w:fill="auto"/>
            <w:noWrap/>
            <w:vAlign w:val="center"/>
          </w:tcPr>
          <w:p w14:paraId="57DB3D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一处落实不到位扣2分，扣完本大类20分为止</w:t>
            </w:r>
          </w:p>
        </w:tc>
        <w:tc>
          <w:tcPr>
            <w:tcW w:w="402" w:type="pct"/>
            <w:tcBorders>
              <w:tl2br w:val="nil"/>
              <w:tr2bl w:val="nil"/>
            </w:tcBorders>
            <w:shd w:val="clear" w:color="auto" w:fill="auto"/>
            <w:noWrap/>
            <w:vAlign w:val="center"/>
          </w:tcPr>
          <w:p w14:paraId="131D0D6C">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1B231369">
            <w:pPr>
              <w:rPr>
                <w:rFonts w:hint="eastAsia" w:ascii="宋体" w:hAnsi="宋体" w:eastAsia="宋体" w:cs="宋体"/>
                <w:i w:val="0"/>
                <w:iCs w:val="0"/>
                <w:color w:val="auto"/>
                <w:sz w:val="20"/>
                <w:szCs w:val="20"/>
                <w:highlight w:val="none"/>
                <w:u w:val="none"/>
              </w:rPr>
            </w:pPr>
          </w:p>
        </w:tc>
      </w:tr>
      <w:tr w14:paraId="78503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60" w:hRule="atLeast"/>
        </w:trPr>
        <w:tc>
          <w:tcPr>
            <w:tcW w:w="457" w:type="pct"/>
            <w:tcBorders>
              <w:tl2br w:val="nil"/>
              <w:tr2bl w:val="nil"/>
            </w:tcBorders>
            <w:shd w:val="clear" w:color="auto" w:fill="auto"/>
            <w:vAlign w:val="center"/>
          </w:tcPr>
          <w:p w14:paraId="640A2E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五、公用设施设备运维（10分）</w:t>
            </w:r>
          </w:p>
        </w:tc>
        <w:tc>
          <w:tcPr>
            <w:tcW w:w="570" w:type="pct"/>
            <w:tcBorders>
              <w:tl2br w:val="nil"/>
              <w:tr2bl w:val="nil"/>
            </w:tcBorders>
            <w:shd w:val="clear" w:color="auto" w:fill="auto"/>
            <w:noWrap/>
            <w:vAlign w:val="center"/>
          </w:tcPr>
          <w:p w14:paraId="7A7654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水电、照明、管网、标识、公共设施维修养护</w:t>
            </w:r>
          </w:p>
        </w:tc>
        <w:tc>
          <w:tcPr>
            <w:tcW w:w="444" w:type="pct"/>
            <w:tcBorders>
              <w:tl2br w:val="nil"/>
              <w:tr2bl w:val="nil"/>
            </w:tcBorders>
            <w:shd w:val="clear" w:color="auto" w:fill="auto"/>
            <w:noWrap/>
            <w:vAlign w:val="center"/>
          </w:tcPr>
          <w:p w14:paraId="3CE5425B">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10</w:t>
            </w:r>
          </w:p>
        </w:tc>
        <w:tc>
          <w:tcPr>
            <w:tcW w:w="1362" w:type="pct"/>
            <w:tcBorders>
              <w:tl2br w:val="nil"/>
              <w:tr2bl w:val="nil"/>
            </w:tcBorders>
            <w:shd w:val="clear" w:color="auto" w:fill="auto"/>
            <w:vAlign w:val="center"/>
          </w:tcPr>
          <w:p w14:paraId="7B745607">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重大节假日、恶劣天气前完成全系统巡检；按场馆规定开关水电，设备运行环境合规；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2.小修、急修限时处置，隐患点位设置警示防护；管道阀门无跑冒滴漏；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3.水泵房、水箱间每日巡视并留存记录；停水提前通知场馆负责人；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4.公共照明、馆内应急灯照明、墓区路灯、指示灯具完好，线路接地安全，灯具更换采用节能款；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5.墓区指引牌、警示牌无歪斜、褪色、脱落；休息亭、广播音响等公共设施完好。</w:t>
            </w:r>
          </w:p>
          <w:p w14:paraId="384A343F">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上述设备，一经发现故障或损坏现象，第一时间上报，并及时报修。</w:t>
            </w:r>
          </w:p>
        </w:tc>
        <w:tc>
          <w:tcPr>
            <w:tcW w:w="1220" w:type="pct"/>
            <w:tcBorders>
              <w:tl2br w:val="nil"/>
              <w:tr2bl w:val="nil"/>
            </w:tcBorders>
            <w:shd w:val="clear" w:color="auto" w:fill="auto"/>
            <w:noWrap/>
            <w:vAlign w:val="center"/>
          </w:tcPr>
          <w:p w14:paraId="1C69AE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一项未落实扣2分，扣完本大类10分为止</w:t>
            </w:r>
          </w:p>
        </w:tc>
        <w:tc>
          <w:tcPr>
            <w:tcW w:w="402" w:type="pct"/>
            <w:tcBorders>
              <w:tl2br w:val="nil"/>
              <w:tr2bl w:val="nil"/>
            </w:tcBorders>
            <w:shd w:val="clear" w:color="auto" w:fill="auto"/>
            <w:noWrap/>
            <w:vAlign w:val="center"/>
          </w:tcPr>
          <w:p w14:paraId="0CDE834B">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29750631">
            <w:pPr>
              <w:rPr>
                <w:rFonts w:hint="eastAsia" w:ascii="宋体" w:hAnsi="宋体" w:eastAsia="宋体" w:cs="宋体"/>
                <w:i w:val="0"/>
                <w:iCs w:val="0"/>
                <w:color w:val="auto"/>
                <w:sz w:val="20"/>
                <w:szCs w:val="20"/>
                <w:highlight w:val="none"/>
                <w:u w:val="none"/>
              </w:rPr>
            </w:pPr>
          </w:p>
        </w:tc>
      </w:tr>
      <w:tr w14:paraId="4FBF8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457" w:type="pct"/>
            <w:tcBorders>
              <w:tl2br w:val="nil"/>
              <w:tr2bl w:val="nil"/>
            </w:tcBorders>
            <w:shd w:val="clear" w:color="auto" w:fill="auto"/>
            <w:vAlign w:val="center"/>
          </w:tcPr>
          <w:p w14:paraId="263A43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六、物业物资配置管理（5分）</w:t>
            </w:r>
          </w:p>
        </w:tc>
        <w:tc>
          <w:tcPr>
            <w:tcW w:w="570" w:type="pct"/>
            <w:tcBorders>
              <w:tl2br w:val="nil"/>
              <w:tr2bl w:val="nil"/>
            </w:tcBorders>
            <w:shd w:val="clear" w:color="auto" w:fill="auto"/>
            <w:noWrap/>
            <w:vAlign w:val="center"/>
          </w:tcPr>
          <w:p w14:paraId="51BF48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服务工具、物资配置</w:t>
            </w:r>
          </w:p>
        </w:tc>
        <w:tc>
          <w:tcPr>
            <w:tcW w:w="444" w:type="pct"/>
            <w:tcBorders>
              <w:tl2br w:val="nil"/>
              <w:tr2bl w:val="nil"/>
            </w:tcBorders>
            <w:shd w:val="clear" w:color="auto" w:fill="auto"/>
            <w:noWrap/>
            <w:vAlign w:val="center"/>
          </w:tcPr>
          <w:p w14:paraId="145423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637CB0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足额配备保洁、安保、维修等全套作业工具、防护耗材，满足日常运维、祭扫高峰期保障需求。</w:t>
            </w:r>
          </w:p>
        </w:tc>
        <w:tc>
          <w:tcPr>
            <w:tcW w:w="1220" w:type="pct"/>
            <w:tcBorders>
              <w:tl2br w:val="nil"/>
              <w:tr2bl w:val="nil"/>
            </w:tcBorders>
            <w:shd w:val="clear" w:color="auto" w:fill="auto"/>
            <w:noWrap/>
            <w:vAlign w:val="center"/>
          </w:tcPr>
          <w:p w14:paraId="0EA6F8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每缺少一类必备物资扣1分，扣完5分为止</w:t>
            </w:r>
          </w:p>
        </w:tc>
        <w:tc>
          <w:tcPr>
            <w:tcW w:w="402" w:type="pct"/>
            <w:tcBorders>
              <w:tl2br w:val="nil"/>
              <w:tr2bl w:val="nil"/>
            </w:tcBorders>
            <w:shd w:val="clear" w:color="auto" w:fill="auto"/>
            <w:noWrap/>
            <w:vAlign w:val="center"/>
          </w:tcPr>
          <w:p w14:paraId="263BF4E2">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5DC572C">
            <w:pPr>
              <w:rPr>
                <w:rFonts w:hint="eastAsia" w:ascii="宋体" w:hAnsi="宋体" w:eastAsia="宋体" w:cs="宋体"/>
                <w:i w:val="0"/>
                <w:iCs w:val="0"/>
                <w:color w:val="auto"/>
                <w:sz w:val="20"/>
                <w:szCs w:val="20"/>
                <w:highlight w:val="none"/>
                <w:u w:val="none"/>
              </w:rPr>
            </w:pPr>
          </w:p>
        </w:tc>
      </w:tr>
      <w:tr w14:paraId="3B09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457" w:type="pct"/>
            <w:tcBorders>
              <w:tl2br w:val="nil"/>
              <w:tr2bl w:val="nil"/>
            </w:tcBorders>
            <w:shd w:val="clear" w:color="auto" w:fill="auto"/>
            <w:vAlign w:val="center"/>
          </w:tcPr>
          <w:p w14:paraId="4E1D96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七、节能降耗管理（5分）</w:t>
            </w:r>
          </w:p>
        </w:tc>
        <w:tc>
          <w:tcPr>
            <w:tcW w:w="570" w:type="pct"/>
            <w:tcBorders>
              <w:tl2br w:val="nil"/>
              <w:tr2bl w:val="nil"/>
            </w:tcBorders>
            <w:shd w:val="clear" w:color="auto" w:fill="auto"/>
            <w:noWrap/>
            <w:vAlign w:val="center"/>
          </w:tcPr>
          <w:p w14:paraId="4F5492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节水、节电、节能管控</w:t>
            </w:r>
          </w:p>
        </w:tc>
        <w:tc>
          <w:tcPr>
            <w:tcW w:w="444" w:type="pct"/>
            <w:tcBorders>
              <w:tl2br w:val="nil"/>
              <w:tr2bl w:val="nil"/>
            </w:tcBorders>
            <w:shd w:val="clear" w:color="auto" w:fill="auto"/>
            <w:noWrap/>
            <w:vAlign w:val="center"/>
          </w:tcPr>
          <w:p w14:paraId="65EA80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09FCC3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1.巡查发现管道漏水、长明灯及时处置上报；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2.劝导人员杜绝开窗开空调浪费行为；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3.卫生间张贴节水标识，配合场馆开展节能宣传。</w:t>
            </w:r>
          </w:p>
        </w:tc>
        <w:tc>
          <w:tcPr>
            <w:tcW w:w="1220" w:type="pct"/>
            <w:tcBorders>
              <w:tl2br w:val="nil"/>
              <w:tr2bl w:val="nil"/>
            </w:tcBorders>
            <w:shd w:val="clear" w:color="auto" w:fill="auto"/>
            <w:noWrap/>
            <w:vAlign w:val="center"/>
          </w:tcPr>
          <w:p w14:paraId="691D5D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一处未落实扣1分，扣完5分为止</w:t>
            </w:r>
          </w:p>
        </w:tc>
        <w:tc>
          <w:tcPr>
            <w:tcW w:w="402" w:type="pct"/>
            <w:tcBorders>
              <w:tl2br w:val="nil"/>
              <w:tr2bl w:val="nil"/>
            </w:tcBorders>
            <w:shd w:val="clear" w:color="auto" w:fill="auto"/>
            <w:noWrap/>
            <w:vAlign w:val="center"/>
          </w:tcPr>
          <w:p w14:paraId="3DB4F700">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D8015C4">
            <w:pPr>
              <w:rPr>
                <w:rFonts w:hint="eastAsia" w:ascii="宋体" w:hAnsi="宋体" w:eastAsia="宋体" w:cs="宋体"/>
                <w:i w:val="0"/>
                <w:iCs w:val="0"/>
                <w:color w:val="auto"/>
                <w:sz w:val="20"/>
                <w:szCs w:val="20"/>
                <w:highlight w:val="none"/>
                <w:u w:val="none"/>
              </w:rPr>
            </w:pPr>
          </w:p>
        </w:tc>
      </w:tr>
      <w:tr w14:paraId="6E03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50" w:hRule="atLeast"/>
        </w:trPr>
        <w:tc>
          <w:tcPr>
            <w:tcW w:w="457" w:type="pct"/>
            <w:tcBorders>
              <w:tl2br w:val="nil"/>
              <w:tr2bl w:val="nil"/>
            </w:tcBorders>
            <w:shd w:val="clear" w:color="auto" w:fill="auto"/>
            <w:vAlign w:val="center"/>
          </w:tcPr>
          <w:p w14:paraId="75EDC6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八、服务礼仪、台账与应急管理5分</w:t>
            </w:r>
          </w:p>
        </w:tc>
        <w:tc>
          <w:tcPr>
            <w:tcW w:w="570" w:type="pct"/>
            <w:tcBorders>
              <w:tl2br w:val="nil"/>
              <w:tr2bl w:val="nil"/>
            </w:tcBorders>
            <w:shd w:val="clear" w:color="auto" w:fill="auto"/>
            <w:noWrap/>
            <w:vAlign w:val="center"/>
          </w:tcPr>
          <w:p w14:paraId="29588E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服务氛围、台账、应急处置</w:t>
            </w:r>
          </w:p>
        </w:tc>
        <w:tc>
          <w:tcPr>
            <w:tcW w:w="444" w:type="pct"/>
            <w:tcBorders>
              <w:tl2br w:val="nil"/>
              <w:tr2bl w:val="nil"/>
            </w:tcBorders>
            <w:shd w:val="clear" w:color="auto" w:fill="auto"/>
            <w:noWrap/>
            <w:vAlign w:val="center"/>
          </w:tcPr>
          <w:p w14:paraId="7779FD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168666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1.全体工作人员语言文明礼貌，尊重祭扫习俗，无群众有效投诉；全域杜绝商业广告、嘈杂嬉闹；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2.保洁、安保、维修、巡查、投诉、培训台账完整规范；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3.防火、人流踩踏、极端天气、突发疾病应急预案齐全，每年不少于2次应急演练。</w:t>
            </w:r>
          </w:p>
        </w:tc>
        <w:tc>
          <w:tcPr>
            <w:tcW w:w="1220" w:type="pct"/>
            <w:tcBorders>
              <w:tl2br w:val="nil"/>
              <w:tr2bl w:val="nil"/>
            </w:tcBorders>
            <w:shd w:val="clear" w:color="auto" w:fill="auto"/>
            <w:noWrap/>
            <w:vAlign w:val="center"/>
          </w:tcPr>
          <w:p w14:paraId="7EB63F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有效投诉1次扣2分；台账缺项每项扣1分；无预案扣3分、未演练扣2分</w:t>
            </w:r>
          </w:p>
        </w:tc>
        <w:tc>
          <w:tcPr>
            <w:tcW w:w="402" w:type="pct"/>
            <w:tcBorders>
              <w:tl2br w:val="nil"/>
              <w:tr2bl w:val="nil"/>
            </w:tcBorders>
            <w:shd w:val="clear" w:color="auto" w:fill="auto"/>
            <w:noWrap/>
            <w:vAlign w:val="center"/>
          </w:tcPr>
          <w:p w14:paraId="77328488">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F5621A3">
            <w:pPr>
              <w:rPr>
                <w:rFonts w:hint="eastAsia" w:ascii="宋体" w:hAnsi="宋体" w:eastAsia="宋体" w:cs="宋体"/>
                <w:i w:val="0"/>
                <w:iCs w:val="0"/>
                <w:color w:val="auto"/>
                <w:sz w:val="20"/>
                <w:szCs w:val="20"/>
                <w:highlight w:val="none"/>
                <w:u w:val="none"/>
              </w:rPr>
            </w:pPr>
          </w:p>
        </w:tc>
      </w:tr>
      <w:tr w14:paraId="7E36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trPr>
        <w:tc>
          <w:tcPr>
            <w:tcW w:w="457" w:type="pct"/>
            <w:tcBorders>
              <w:tl2br w:val="nil"/>
              <w:tr2bl w:val="nil"/>
            </w:tcBorders>
            <w:shd w:val="clear" w:color="auto" w:fill="auto"/>
            <w:vAlign w:val="center"/>
          </w:tcPr>
          <w:p w14:paraId="716661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加分项（上限5分）</w:t>
            </w:r>
          </w:p>
        </w:tc>
        <w:tc>
          <w:tcPr>
            <w:tcW w:w="570" w:type="pct"/>
            <w:tcBorders>
              <w:tl2br w:val="nil"/>
              <w:tr2bl w:val="nil"/>
            </w:tcBorders>
            <w:shd w:val="clear" w:color="auto" w:fill="auto"/>
            <w:noWrap/>
            <w:vAlign w:val="center"/>
          </w:tcPr>
          <w:p w14:paraId="7313D4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优质服务激励项</w:t>
            </w:r>
          </w:p>
        </w:tc>
        <w:tc>
          <w:tcPr>
            <w:tcW w:w="444" w:type="pct"/>
            <w:tcBorders>
              <w:tl2br w:val="nil"/>
              <w:tr2bl w:val="nil"/>
            </w:tcBorders>
            <w:shd w:val="clear" w:color="auto" w:fill="auto"/>
            <w:noWrap/>
            <w:vAlign w:val="center"/>
          </w:tcPr>
          <w:p w14:paraId="63B64F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362" w:type="pct"/>
            <w:tcBorders>
              <w:tl2br w:val="nil"/>
              <w:tr2bl w:val="nil"/>
            </w:tcBorders>
            <w:shd w:val="clear" w:color="auto" w:fill="auto"/>
            <w:vAlign w:val="center"/>
          </w:tcPr>
          <w:p w14:paraId="222DB1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1.圆满完成重大纪念活动、集中祭扫保障工作；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2.收到场馆、祭扫家属书面表扬；</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3.创新物业服务举措、节能降耗成效突出。</w:t>
            </w:r>
          </w:p>
        </w:tc>
        <w:tc>
          <w:tcPr>
            <w:tcW w:w="1220" w:type="pct"/>
            <w:tcBorders>
              <w:tl2br w:val="nil"/>
              <w:tr2bl w:val="nil"/>
            </w:tcBorders>
            <w:shd w:val="clear" w:color="auto" w:fill="auto"/>
            <w:noWrap/>
            <w:vAlign w:val="center"/>
          </w:tcPr>
          <w:p w14:paraId="0C1492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每项加1～3分，总分累计不超过5分</w:t>
            </w:r>
          </w:p>
        </w:tc>
        <w:tc>
          <w:tcPr>
            <w:tcW w:w="402" w:type="pct"/>
            <w:tcBorders>
              <w:tl2br w:val="nil"/>
              <w:tr2bl w:val="nil"/>
            </w:tcBorders>
            <w:shd w:val="clear" w:color="auto" w:fill="auto"/>
            <w:noWrap/>
            <w:vAlign w:val="center"/>
          </w:tcPr>
          <w:p w14:paraId="2A8EE838">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0941F597">
            <w:pPr>
              <w:rPr>
                <w:rFonts w:hint="eastAsia" w:ascii="宋体" w:hAnsi="宋体" w:eastAsia="宋体" w:cs="宋体"/>
                <w:i w:val="0"/>
                <w:iCs w:val="0"/>
                <w:color w:val="auto"/>
                <w:sz w:val="20"/>
                <w:szCs w:val="20"/>
                <w:highlight w:val="none"/>
                <w:u w:val="none"/>
              </w:rPr>
            </w:pPr>
          </w:p>
        </w:tc>
      </w:tr>
      <w:tr w14:paraId="3CEB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57" w:type="pct"/>
            <w:tcBorders>
              <w:tl2br w:val="nil"/>
              <w:tr2bl w:val="nil"/>
            </w:tcBorders>
            <w:shd w:val="clear" w:color="auto" w:fill="auto"/>
            <w:vAlign w:val="center"/>
          </w:tcPr>
          <w:p w14:paraId="4D27FD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基础总分</w:t>
            </w:r>
          </w:p>
        </w:tc>
        <w:tc>
          <w:tcPr>
            <w:tcW w:w="570" w:type="pct"/>
            <w:tcBorders>
              <w:tl2br w:val="nil"/>
              <w:tr2bl w:val="nil"/>
            </w:tcBorders>
            <w:shd w:val="clear" w:color="auto" w:fill="auto"/>
            <w:noWrap/>
            <w:vAlign w:val="center"/>
          </w:tcPr>
          <w:p w14:paraId="12F839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44" w:type="pct"/>
            <w:tcBorders>
              <w:tl2br w:val="nil"/>
              <w:tr2bl w:val="nil"/>
            </w:tcBorders>
            <w:shd w:val="clear" w:color="auto" w:fill="auto"/>
            <w:noWrap/>
            <w:vAlign w:val="center"/>
          </w:tcPr>
          <w:p w14:paraId="397E6A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362" w:type="pct"/>
            <w:tcBorders>
              <w:tl2br w:val="nil"/>
              <w:tr2bl w:val="nil"/>
            </w:tcBorders>
            <w:shd w:val="clear" w:color="auto" w:fill="auto"/>
            <w:vAlign w:val="center"/>
          </w:tcPr>
          <w:p w14:paraId="7F9A31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220" w:type="pct"/>
            <w:tcBorders>
              <w:tl2br w:val="nil"/>
              <w:tr2bl w:val="nil"/>
            </w:tcBorders>
            <w:shd w:val="clear" w:color="auto" w:fill="auto"/>
            <w:noWrap/>
            <w:vAlign w:val="center"/>
          </w:tcPr>
          <w:p w14:paraId="5D0E68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02" w:type="pct"/>
            <w:tcBorders>
              <w:tl2br w:val="nil"/>
              <w:tr2bl w:val="nil"/>
            </w:tcBorders>
            <w:shd w:val="clear" w:color="auto" w:fill="auto"/>
            <w:noWrap/>
            <w:vAlign w:val="center"/>
          </w:tcPr>
          <w:p w14:paraId="757FA20D">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70C60D38">
            <w:pPr>
              <w:rPr>
                <w:rFonts w:hint="eastAsia" w:ascii="宋体" w:hAnsi="宋体" w:eastAsia="宋体" w:cs="宋体"/>
                <w:i w:val="0"/>
                <w:iCs w:val="0"/>
                <w:color w:val="auto"/>
                <w:sz w:val="20"/>
                <w:szCs w:val="20"/>
                <w:highlight w:val="none"/>
                <w:u w:val="none"/>
              </w:rPr>
            </w:pPr>
          </w:p>
        </w:tc>
      </w:tr>
      <w:tr w14:paraId="7CE86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57" w:type="pct"/>
            <w:tcBorders>
              <w:tl2br w:val="nil"/>
              <w:tr2bl w:val="nil"/>
            </w:tcBorders>
            <w:shd w:val="clear" w:color="auto" w:fill="auto"/>
            <w:vAlign w:val="center"/>
          </w:tcPr>
          <w:p w14:paraId="6B3513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考核大类</w:t>
            </w:r>
          </w:p>
        </w:tc>
        <w:tc>
          <w:tcPr>
            <w:tcW w:w="570" w:type="pct"/>
            <w:tcBorders>
              <w:tl2br w:val="nil"/>
              <w:tr2bl w:val="nil"/>
            </w:tcBorders>
            <w:shd w:val="clear" w:color="auto" w:fill="auto"/>
            <w:noWrap/>
            <w:vAlign w:val="center"/>
          </w:tcPr>
          <w:p w14:paraId="790887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考核细分项目</w:t>
            </w:r>
          </w:p>
        </w:tc>
        <w:tc>
          <w:tcPr>
            <w:tcW w:w="444" w:type="pct"/>
            <w:tcBorders>
              <w:tl2br w:val="nil"/>
              <w:tr2bl w:val="nil"/>
            </w:tcBorders>
            <w:shd w:val="clear" w:color="auto" w:fill="auto"/>
            <w:noWrap/>
            <w:vAlign w:val="center"/>
          </w:tcPr>
          <w:p w14:paraId="3DA491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细分项目分值</w:t>
            </w:r>
          </w:p>
        </w:tc>
        <w:tc>
          <w:tcPr>
            <w:tcW w:w="1362" w:type="pct"/>
            <w:tcBorders>
              <w:tl2br w:val="nil"/>
              <w:tr2bl w:val="nil"/>
            </w:tcBorders>
            <w:shd w:val="clear" w:color="auto" w:fill="auto"/>
            <w:vAlign w:val="center"/>
          </w:tcPr>
          <w:p w14:paraId="66D388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详细考核标准</w:t>
            </w:r>
          </w:p>
        </w:tc>
        <w:tc>
          <w:tcPr>
            <w:tcW w:w="1220" w:type="pct"/>
            <w:tcBorders>
              <w:tl2br w:val="nil"/>
              <w:tr2bl w:val="nil"/>
            </w:tcBorders>
            <w:shd w:val="clear" w:color="auto" w:fill="auto"/>
            <w:noWrap/>
            <w:vAlign w:val="center"/>
          </w:tcPr>
          <w:p w14:paraId="6BFEA6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扣分标准</w:t>
            </w:r>
          </w:p>
        </w:tc>
        <w:tc>
          <w:tcPr>
            <w:tcW w:w="402" w:type="pct"/>
            <w:tcBorders>
              <w:tl2br w:val="nil"/>
              <w:tr2bl w:val="nil"/>
            </w:tcBorders>
            <w:shd w:val="clear" w:color="auto" w:fill="auto"/>
            <w:noWrap/>
            <w:vAlign w:val="center"/>
          </w:tcPr>
          <w:p w14:paraId="0D541F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现场扣分</w:t>
            </w:r>
          </w:p>
        </w:tc>
        <w:tc>
          <w:tcPr>
            <w:tcW w:w="484" w:type="pct"/>
            <w:tcBorders>
              <w:tl2br w:val="nil"/>
              <w:tr2bl w:val="nil"/>
            </w:tcBorders>
            <w:shd w:val="clear" w:color="auto" w:fill="auto"/>
            <w:noWrap/>
            <w:vAlign w:val="center"/>
          </w:tcPr>
          <w:p w14:paraId="5A473F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实得分</w:t>
            </w:r>
          </w:p>
        </w:tc>
      </w:tr>
      <w:tr w14:paraId="327C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457" w:type="pct"/>
            <w:tcBorders>
              <w:tl2br w:val="nil"/>
              <w:tr2bl w:val="nil"/>
            </w:tcBorders>
            <w:shd w:val="clear" w:color="auto" w:fill="auto"/>
            <w:vAlign w:val="center"/>
          </w:tcPr>
          <w:p w14:paraId="6C3395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一、项目综合管理（15分）</w:t>
            </w:r>
          </w:p>
        </w:tc>
        <w:tc>
          <w:tcPr>
            <w:tcW w:w="570" w:type="pct"/>
            <w:tcBorders>
              <w:tl2br w:val="nil"/>
              <w:tr2bl w:val="nil"/>
            </w:tcBorders>
            <w:shd w:val="clear" w:color="auto" w:fill="auto"/>
            <w:noWrap/>
            <w:vAlign w:val="center"/>
          </w:tcPr>
          <w:p w14:paraId="176EE1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制度、人员、物资综合管理</w:t>
            </w:r>
          </w:p>
        </w:tc>
        <w:tc>
          <w:tcPr>
            <w:tcW w:w="444" w:type="pct"/>
            <w:tcBorders>
              <w:tl2br w:val="nil"/>
              <w:tr2bl w:val="nil"/>
            </w:tcBorders>
            <w:shd w:val="clear" w:color="auto" w:fill="auto"/>
            <w:noWrap/>
            <w:vAlign w:val="center"/>
          </w:tcPr>
          <w:p w14:paraId="7D17F510">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362" w:type="pct"/>
            <w:tcBorders>
              <w:tl2br w:val="nil"/>
              <w:tr2bl w:val="nil"/>
            </w:tcBorders>
            <w:shd w:val="clear" w:color="auto" w:fill="auto"/>
            <w:vAlign w:val="center"/>
          </w:tcPr>
          <w:p w14:paraId="7B071775">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物业全套管理制度、人员档案、各类工作台账分类归档完整，可随时查阅；</w:t>
            </w:r>
          </w:p>
          <w:p w14:paraId="10C0AF85">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2.保洁、安保、维修岗位劳保用品、作业工具配齐到位；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3.全体员工统一着装、文明履职，遵纪守法，服从场馆统一管理，无服务冲突、违规违纪行为。</w:t>
            </w:r>
          </w:p>
        </w:tc>
        <w:tc>
          <w:tcPr>
            <w:tcW w:w="1220" w:type="pct"/>
            <w:tcBorders>
              <w:tl2br w:val="nil"/>
              <w:tr2bl w:val="nil"/>
            </w:tcBorders>
            <w:shd w:val="clear" w:color="auto" w:fill="auto"/>
            <w:noWrap/>
            <w:vAlign w:val="center"/>
          </w:tcPr>
          <w:p w14:paraId="0177B3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存在一处不符合要求扣2分，扣完本大类15分为止</w:t>
            </w:r>
          </w:p>
        </w:tc>
        <w:tc>
          <w:tcPr>
            <w:tcW w:w="402" w:type="pct"/>
            <w:tcBorders>
              <w:tl2br w:val="nil"/>
              <w:tr2bl w:val="nil"/>
            </w:tcBorders>
            <w:shd w:val="clear" w:color="auto" w:fill="auto"/>
            <w:noWrap/>
            <w:vAlign w:val="center"/>
          </w:tcPr>
          <w:p w14:paraId="5BE46B6B">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10C3C8C8">
            <w:pPr>
              <w:rPr>
                <w:rFonts w:hint="eastAsia" w:ascii="宋体" w:hAnsi="宋体" w:eastAsia="宋体" w:cs="宋体"/>
                <w:i w:val="0"/>
                <w:iCs w:val="0"/>
                <w:color w:val="auto"/>
                <w:sz w:val="20"/>
                <w:szCs w:val="20"/>
                <w:highlight w:val="none"/>
                <w:u w:val="none"/>
              </w:rPr>
            </w:pPr>
          </w:p>
        </w:tc>
      </w:tr>
      <w:tr w14:paraId="50E8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3" w:hRule="atLeast"/>
        </w:trPr>
        <w:tc>
          <w:tcPr>
            <w:tcW w:w="457" w:type="pct"/>
            <w:vMerge w:val="restart"/>
            <w:tcBorders>
              <w:tl2br w:val="nil"/>
              <w:tr2bl w:val="nil"/>
            </w:tcBorders>
            <w:shd w:val="clear" w:color="auto" w:fill="auto"/>
            <w:vAlign w:val="center"/>
          </w:tcPr>
          <w:p w14:paraId="7F8195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二、全域环境卫生保洁管理（25分）</w:t>
            </w:r>
          </w:p>
        </w:tc>
        <w:tc>
          <w:tcPr>
            <w:tcW w:w="570" w:type="pct"/>
            <w:tcBorders>
              <w:tl2br w:val="nil"/>
              <w:tr2bl w:val="nil"/>
            </w:tcBorders>
            <w:shd w:val="clear" w:color="auto" w:fill="auto"/>
            <w:noWrap/>
            <w:vAlign w:val="center"/>
          </w:tcPr>
          <w:p w14:paraId="4F889D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会议室保洁</w:t>
            </w:r>
          </w:p>
        </w:tc>
        <w:tc>
          <w:tcPr>
            <w:tcW w:w="444" w:type="pct"/>
            <w:tcBorders>
              <w:tl2br w:val="nil"/>
              <w:tr2bl w:val="nil"/>
            </w:tcBorders>
            <w:shd w:val="clear" w:color="auto" w:fill="auto"/>
            <w:noWrap/>
            <w:vAlign w:val="center"/>
          </w:tcPr>
          <w:p w14:paraId="3F176AD0">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4CA182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1.门窗、桌椅、台面无尘土、手印污渍，桌椅摆放规整，布艺椅面无毛发、污渍；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2.地面、踢脚线洁净无杂物，地毯无毛发；墙面、装饰摆件、排风口、灯罩无积尘、蛛网；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3.窗台、窗帘整齐，会前开窗通风，室内无异味；垃圾桶及时清倒，设施损坏第一时间报修。</w:t>
            </w:r>
          </w:p>
        </w:tc>
        <w:tc>
          <w:tcPr>
            <w:tcW w:w="1220" w:type="pct"/>
            <w:tcBorders>
              <w:tl2br w:val="nil"/>
              <w:tr2bl w:val="nil"/>
            </w:tcBorders>
            <w:shd w:val="clear" w:color="auto" w:fill="auto"/>
            <w:noWrap/>
            <w:vAlign w:val="center"/>
          </w:tcPr>
          <w:p w14:paraId="47A82E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7F084335">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A4ECCD9">
            <w:pPr>
              <w:rPr>
                <w:rFonts w:hint="eastAsia" w:ascii="宋体" w:hAnsi="宋体" w:eastAsia="宋体" w:cs="宋体"/>
                <w:i w:val="0"/>
                <w:iCs w:val="0"/>
                <w:color w:val="auto"/>
                <w:sz w:val="20"/>
                <w:szCs w:val="20"/>
                <w:highlight w:val="none"/>
                <w:u w:val="none"/>
              </w:rPr>
            </w:pPr>
          </w:p>
        </w:tc>
      </w:tr>
      <w:tr w14:paraId="6626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1" w:hRule="atLeast"/>
        </w:trPr>
        <w:tc>
          <w:tcPr>
            <w:tcW w:w="457" w:type="pct"/>
            <w:vMerge w:val="continue"/>
            <w:tcBorders>
              <w:tl2br w:val="nil"/>
              <w:tr2bl w:val="nil"/>
            </w:tcBorders>
            <w:shd w:val="clear" w:color="auto" w:fill="auto"/>
            <w:vAlign w:val="center"/>
          </w:tcPr>
          <w:p w14:paraId="7F33266A">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67C597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办公区域保洁</w:t>
            </w:r>
          </w:p>
        </w:tc>
        <w:tc>
          <w:tcPr>
            <w:tcW w:w="444" w:type="pct"/>
            <w:tcBorders>
              <w:tl2br w:val="nil"/>
              <w:tr2bl w:val="nil"/>
            </w:tcBorders>
            <w:shd w:val="clear" w:color="auto" w:fill="auto"/>
            <w:noWrap/>
            <w:vAlign w:val="center"/>
          </w:tcPr>
          <w:p w14:paraId="3F0F6E4B">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30CB3A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1.每日8:00前完成保洁，不干扰日常办公；门框、桌面、空调、文件柜无积尘污渍；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2.沙发、座椅整洁摆放有序，墙面、天花板、墙角无蛛网垃圾；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3.打印设备、窗台、窗帘洁净；垃圾日产日清，室内无异味，破损设施及时上报维修。</w:t>
            </w:r>
          </w:p>
        </w:tc>
        <w:tc>
          <w:tcPr>
            <w:tcW w:w="1220" w:type="pct"/>
            <w:tcBorders>
              <w:tl2br w:val="nil"/>
              <w:tr2bl w:val="nil"/>
            </w:tcBorders>
            <w:shd w:val="clear" w:color="auto" w:fill="auto"/>
            <w:noWrap/>
            <w:vAlign w:val="center"/>
          </w:tcPr>
          <w:p w14:paraId="21E7EE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59E6DABD">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A0C0EB2">
            <w:pPr>
              <w:rPr>
                <w:rFonts w:hint="eastAsia" w:ascii="宋体" w:hAnsi="宋体" w:eastAsia="宋体" w:cs="宋体"/>
                <w:i w:val="0"/>
                <w:iCs w:val="0"/>
                <w:color w:val="auto"/>
                <w:sz w:val="20"/>
                <w:szCs w:val="20"/>
                <w:highlight w:val="none"/>
                <w:u w:val="none"/>
              </w:rPr>
            </w:pPr>
          </w:p>
        </w:tc>
      </w:tr>
      <w:tr w14:paraId="2A4CC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73" w:hRule="atLeast"/>
        </w:trPr>
        <w:tc>
          <w:tcPr>
            <w:tcW w:w="457" w:type="pct"/>
            <w:vMerge w:val="continue"/>
            <w:tcBorders>
              <w:tl2br w:val="nil"/>
              <w:tr2bl w:val="nil"/>
            </w:tcBorders>
            <w:shd w:val="clear" w:color="auto" w:fill="auto"/>
            <w:vAlign w:val="center"/>
          </w:tcPr>
          <w:p w14:paraId="49CA4817">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600EC9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廊道、楼梯、中庭、标识、消防栓保洁</w:t>
            </w:r>
          </w:p>
        </w:tc>
        <w:tc>
          <w:tcPr>
            <w:tcW w:w="444" w:type="pct"/>
            <w:tcBorders>
              <w:tl2br w:val="nil"/>
              <w:tr2bl w:val="nil"/>
            </w:tcBorders>
            <w:shd w:val="clear" w:color="auto" w:fill="auto"/>
            <w:noWrap/>
            <w:vAlign w:val="center"/>
          </w:tcPr>
          <w:p w14:paraId="3783350C">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2CBCDF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1.地面无积尘杂物，天花灯具无蛛网污渍；墙面、指示牌、各类通道门洁净无尘；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2.楼梯扶手、台阶无垃圾污渍；消防栓玻璃光亮无污渍；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3.垃圾桶外壁干净，桶内垃圾不超过容积1/3，烟灰缸无烟头杂物。</w:t>
            </w:r>
          </w:p>
        </w:tc>
        <w:tc>
          <w:tcPr>
            <w:tcW w:w="1220" w:type="pct"/>
            <w:tcBorders>
              <w:tl2br w:val="nil"/>
              <w:tr2bl w:val="nil"/>
            </w:tcBorders>
            <w:shd w:val="clear" w:color="auto" w:fill="auto"/>
            <w:noWrap/>
            <w:vAlign w:val="center"/>
          </w:tcPr>
          <w:p w14:paraId="4A6571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6E2B3CBE">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7C60622">
            <w:pPr>
              <w:rPr>
                <w:rFonts w:hint="eastAsia" w:ascii="宋体" w:hAnsi="宋体" w:eastAsia="宋体" w:cs="宋体"/>
                <w:i w:val="0"/>
                <w:iCs w:val="0"/>
                <w:color w:val="auto"/>
                <w:sz w:val="20"/>
                <w:szCs w:val="20"/>
                <w:highlight w:val="none"/>
                <w:u w:val="none"/>
              </w:rPr>
            </w:pPr>
          </w:p>
        </w:tc>
      </w:tr>
      <w:tr w14:paraId="129A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trPr>
        <w:tc>
          <w:tcPr>
            <w:tcW w:w="457" w:type="pct"/>
            <w:vMerge w:val="continue"/>
            <w:tcBorders>
              <w:tl2br w:val="nil"/>
              <w:tr2bl w:val="nil"/>
            </w:tcBorders>
            <w:shd w:val="clear" w:color="auto" w:fill="auto"/>
            <w:vAlign w:val="center"/>
          </w:tcPr>
          <w:p w14:paraId="5F5828E5">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27E666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卫生间保洁</w:t>
            </w:r>
          </w:p>
        </w:tc>
        <w:tc>
          <w:tcPr>
            <w:tcW w:w="444" w:type="pct"/>
            <w:tcBorders>
              <w:tl2br w:val="nil"/>
              <w:tr2bl w:val="nil"/>
            </w:tcBorders>
            <w:shd w:val="clear" w:color="auto" w:fill="auto"/>
            <w:noWrap/>
            <w:vAlign w:val="center"/>
          </w:tcPr>
          <w:p w14:paraId="354B5F8B">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056D6F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1.门、镜面、洗手台、五金件无水渍、手印，光亮洁净；瓷砖墙面、隔断无积尘污渍；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2.地面干燥无积水杂物，排风、天花板无积尘；定时更换垃圾袋，无异味；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3.便器无堵塞，皂液、卫生纸持续补给，设备损坏立即报修。</w:t>
            </w:r>
          </w:p>
        </w:tc>
        <w:tc>
          <w:tcPr>
            <w:tcW w:w="1220" w:type="pct"/>
            <w:tcBorders>
              <w:tl2br w:val="nil"/>
              <w:tr2bl w:val="nil"/>
            </w:tcBorders>
            <w:shd w:val="clear" w:color="auto" w:fill="auto"/>
            <w:noWrap/>
            <w:vAlign w:val="center"/>
          </w:tcPr>
          <w:p w14:paraId="6DFEDD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一处不达标扣0.5分，扣完5分止</w:t>
            </w:r>
          </w:p>
        </w:tc>
        <w:tc>
          <w:tcPr>
            <w:tcW w:w="402" w:type="pct"/>
            <w:tcBorders>
              <w:tl2br w:val="nil"/>
              <w:tr2bl w:val="nil"/>
            </w:tcBorders>
            <w:shd w:val="clear" w:color="auto" w:fill="auto"/>
            <w:noWrap/>
            <w:vAlign w:val="center"/>
          </w:tcPr>
          <w:p w14:paraId="58E7E591">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6FAC19B">
            <w:pPr>
              <w:rPr>
                <w:rFonts w:hint="eastAsia" w:ascii="宋体" w:hAnsi="宋体" w:eastAsia="宋体" w:cs="宋体"/>
                <w:i w:val="0"/>
                <w:iCs w:val="0"/>
                <w:color w:val="auto"/>
                <w:sz w:val="20"/>
                <w:szCs w:val="20"/>
                <w:highlight w:val="none"/>
                <w:u w:val="none"/>
              </w:rPr>
            </w:pPr>
          </w:p>
        </w:tc>
      </w:tr>
      <w:tr w14:paraId="5DEEB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457" w:type="pct"/>
            <w:vMerge w:val="continue"/>
            <w:tcBorders>
              <w:tl2br w:val="nil"/>
              <w:tr2bl w:val="nil"/>
            </w:tcBorders>
            <w:shd w:val="clear" w:color="auto" w:fill="auto"/>
            <w:vAlign w:val="center"/>
          </w:tcPr>
          <w:p w14:paraId="62496F68">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1B88B7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电梯保洁（展馆配套电梯）</w:t>
            </w:r>
          </w:p>
        </w:tc>
        <w:tc>
          <w:tcPr>
            <w:tcW w:w="444" w:type="pct"/>
            <w:tcBorders>
              <w:tl2br w:val="nil"/>
              <w:tr2bl w:val="nil"/>
            </w:tcBorders>
            <w:shd w:val="clear" w:color="auto" w:fill="auto"/>
            <w:noWrap/>
            <w:vAlign w:val="center"/>
          </w:tcPr>
          <w:p w14:paraId="6118DF71">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362" w:type="pct"/>
            <w:tcBorders>
              <w:tl2br w:val="nil"/>
              <w:tr2bl w:val="nil"/>
            </w:tcBorders>
            <w:shd w:val="clear" w:color="auto" w:fill="auto"/>
            <w:vAlign w:val="center"/>
          </w:tcPr>
          <w:p w14:paraId="10183605">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电梯门、轿厢内壁、按键、报警电话无积尘污渍；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2.轿厢地面干净。</w:t>
            </w:r>
          </w:p>
          <w:p w14:paraId="3013AD24">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3.电梯定期进行消杀，并配备消杀记录</w:t>
            </w:r>
          </w:p>
        </w:tc>
        <w:tc>
          <w:tcPr>
            <w:tcW w:w="1220" w:type="pct"/>
            <w:tcBorders>
              <w:tl2br w:val="nil"/>
              <w:tr2bl w:val="nil"/>
            </w:tcBorders>
            <w:shd w:val="clear" w:color="auto" w:fill="auto"/>
            <w:noWrap/>
            <w:vAlign w:val="center"/>
          </w:tcPr>
          <w:p w14:paraId="5BC344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一处不达标扣0.3分，扣完1.5分止</w:t>
            </w:r>
          </w:p>
        </w:tc>
        <w:tc>
          <w:tcPr>
            <w:tcW w:w="402" w:type="pct"/>
            <w:tcBorders>
              <w:tl2br w:val="nil"/>
              <w:tr2bl w:val="nil"/>
            </w:tcBorders>
            <w:shd w:val="clear" w:color="auto" w:fill="auto"/>
            <w:noWrap/>
            <w:vAlign w:val="center"/>
          </w:tcPr>
          <w:p w14:paraId="5D03E199">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14A1C478">
            <w:pPr>
              <w:rPr>
                <w:rFonts w:hint="eastAsia" w:ascii="宋体" w:hAnsi="宋体" w:eastAsia="宋体" w:cs="宋体"/>
                <w:i w:val="0"/>
                <w:iCs w:val="0"/>
                <w:color w:val="auto"/>
                <w:sz w:val="20"/>
                <w:szCs w:val="20"/>
                <w:highlight w:val="none"/>
                <w:u w:val="none"/>
              </w:rPr>
            </w:pPr>
          </w:p>
        </w:tc>
      </w:tr>
      <w:tr w14:paraId="1ED1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9" w:hRule="atLeast"/>
        </w:trPr>
        <w:tc>
          <w:tcPr>
            <w:tcW w:w="457" w:type="pct"/>
            <w:vMerge w:val="continue"/>
            <w:tcBorders>
              <w:tl2br w:val="nil"/>
              <w:tr2bl w:val="nil"/>
            </w:tcBorders>
            <w:shd w:val="clear" w:color="auto" w:fill="auto"/>
            <w:vAlign w:val="center"/>
          </w:tcPr>
          <w:p w14:paraId="283E5581">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735EEC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垃圾清运与垃圾分类</w:t>
            </w:r>
          </w:p>
        </w:tc>
        <w:tc>
          <w:tcPr>
            <w:tcW w:w="444" w:type="pct"/>
            <w:tcBorders>
              <w:tl2br w:val="nil"/>
              <w:tr2bl w:val="nil"/>
            </w:tcBorders>
            <w:shd w:val="clear" w:color="auto" w:fill="auto"/>
            <w:noWrap/>
            <w:vAlign w:val="center"/>
          </w:tcPr>
          <w:p w14:paraId="608BAC91">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362" w:type="pct"/>
            <w:tcBorders>
              <w:tl2br w:val="nil"/>
              <w:tr2bl w:val="nil"/>
            </w:tcBorders>
            <w:shd w:val="clear" w:color="auto" w:fill="auto"/>
            <w:vAlign w:val="center"/>
          </w:tcPr>
          <w:p w14:paraId="5EF9A4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1.垃圾桶定点摆放，张贴合规分类标识，桶身每日清洁；垃圾中转房（或中转箱）整洁无异味；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2.楼层垃圾每日分类袋装清运，做到日产日清；定期消杀灭蚊、蝇、蟑螂等害虫；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3.主动引导参观、祭扫人员规范投放垃圾。</w:t>
            </w:r>
          </w:p>
        </w:tc>
        <w:tc>
          <w:tcPr>
            <w:tcW w:w="1220" w:type="pct"/>
            <w:tcBorders>
              <w:tl2br w:val="nil"/>
              <w:tr2bl w:val="nil"/>
            </w:tcBorders>
            <w:shd w:val="clear" w:color="auto" w:fill="auto"/>
            <w:noWrap/>
            <w:vAlign w:val="center"/>
          </w:tcPr>
          <w:p w14:paraId="63F4D5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一处不达标扣0.5分，扣完3.5分止</w:t>
            </w:r>
          </w:p>
        </w:tc>
        <w:tc>
          <w:tcPr>
            <w:tcW w:w="402" w:type="pct"/>
            <w:tcBorders>
              <w:tl2br w:val="nil"/>
              <w:tr2bl w:val="nil"/>
            </w:tcBorders>
            <w:shd w:val="clear" w:color="auto" w:fill="auto"/>
            <w:noWrap/>
            <w:vAlign w:val="center"/>
          </w:tcPr>
          <w:p w14:paraId="59E736E4">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4BDE3617">
            <w:pPr>
              <w:rPr>
                <w:rFonts w:hint="eastAsia" w:ascii="宋体" w:hAnsi="宋体" w:eastAsia="宋体" w:cs="宋体"/>
                <w:i w:val="0"/>
                <w:iCs w:val="0"/>
                <w:color w:val="auto"/>
                <w:sz w:val="20"/>
                <w:szCs w:val="20"/>
                <w:highlight w:val="none"/>
                <w:u w:val="none"/>
              </w:rPr>
            </w:pPr>
          </w:p>
        </w:tc>
      </w:tr>
      <w:tr w14:paraId="0E007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95" w:hRule="atLeast"/>
        </w:trPr>
        <w:tc>
          <w:tcPr>
            <w:tcW w:w="457" w:type="pct"/>
            <w:vMerge w:val="restart"/>
            <w:tcBorders>
              <w:tl2br w:val="nil"/>
              <w:tr2bl w:val="nil"/>
            </w:tcBorders>
            <w:shd w:val="clear" w:color="auto" w:fill="auto"/>
            <w:vAlign w:val="center"/>
          </w:tcPr>
          <w:p w14:paraId="02BE6E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三、墓区专项运营管理（15分）</w:t>
            </w:r>
          </w:p>
        </w:tc>
        <w:tc>
          <w:tcPr>
            <w:tcW w:w="570" w:type="pct"/>
            <w:tcBorders>
              <w:tl2br w:val="nil"/>
              <w:tr2bl w:val="nil"/>
            </w:tcBorders>
            <w:shd w:val="clear" w:color="auto" w:fill="auto"/>
            <w:noWrap/>
            <w:vAlign w:val="center"/>
          </w:tcPr>
          <w:p w14:paraId="456C91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墓区环境卫生</w:t>
            </w:r>
          </w:p>
        </w:tc>
        <w:tc>
          <w:tcPr>
            <w:tcW w:w="444" w:type="pct"/>
            <w:tcBorders>
              <w:tl2br w:val="nil"/>
              <w:tr2bl w:val="nil"/>
            </w:tcBorders>
            <w:shd w:val="clear" w:color="auto" w:fill="auto"/>
            <w:noWrap/>
            <w:vAlign w:val="center"/>
          </w:tcPr>
          <w:p w14:paraId="7B3DBC0D">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0F0E4B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1.墓位、墓碑、墓盖无尘土、杂草、纸屑、残留祭品；祭扫遗留杂物定期清理，确保墓区整体整洁，无花朵枯萎，祭品腐败的现象；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2.墓区走道无积水、淤泥、散落垃圾。</w:t>
            </w:r>
          </w:p>
        </w:tc>
        <w:tc>
          <w:tcPr>
            <w:tcW w:w="1220" w:type="pct"/>
            <w:tcBorders>
              <w:tl2br w:val="nil"/>
              <w:tr2bl w:val="nil"/>
            </w:tcBorders>
            <w:shd w:val="clear" w:color="auto" w:fill="auto"/>
            <w:noWrap/>
            <w:vAlign w:val="center"/>
          </w:tcPr>
          <w:p w14:paraId="3F7330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一处脏乱扣2分，扣完5分止</w:t>
            </w:r>
          </w:p>
        </w:tc>
        <w:tc>
          <w:tcPr>
            <w:tcW w:w="402" w:type="pct"/>
            <w:tcBorders>
              <w:tl2br w:val="nil"/>
              <w:tr2bl w:val="nil"/>
            </w:tcBorders>
            <w:shd w:val="clear" w:color="auto" w:fill="auto"/>
            <w:noWrap/>
            <w:vAlign w:val="center"/>
          </w:tcPr>
          <w:p w14:paraId="4C4DECAF">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6E1EC22">
            <w:pPr>
              <w:rPr>
                <w:rFonts w:hint="eastAsia" w:ascii="宋体" w:hAnsi="宋体" w:eastAsia="宋体" w:cs="宋体"/>
                <w:i w:val="0"/>
                <w:iCs w:val="0"/>
                <w:color w:val="auto"/>
                <w:sz w:val="20"/>
                <w:szCs w:val="20"/>
                <w:highlight w:val="none"/>
                <w:u w:val="none"/>
              </w:rPr>
            </w:pPr>
          </w:p>
        </w:tc>
      </w:tr>
      <w:tr w14:paraId="47CD0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trPr>
        <w:tc>
          <w:tcPr>
            <w:tcW w:w="457" w:type="pct"/>
            <w:vMerge w:val="continue"/>
            <w:tcBorders>
              <w:tl2br w:val="nil"/>
              <w:tr2bl w:val="nil"/>
            </w:tcBorders>
            <w:shd w:val="clear" w:color="auto" w:fill="auto"/>
            <w:vAlign w:val="center"/>
          </w:tcPr>
          <w:p w14:paraId="7B087866">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3E93A9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墓体及附属设施管护</w:t>
            </w:r>
          </w:p>
        </w:tc>
        <w:tc>
          <w:tcPr>
            <w:tcW w:w="444" w:type="pct"/>
            <w:tcBorders>
              <w:tl2br w:val="nil"/>
              <w:tr2bl w:val="nil"/>
            </w:tcBorders>
            <w:shd w:val="clear" w:color="auto" w:fill="auto"/>
            <w:noWrap/>
            <w:vAlign w:val="center"/>
          </w:tcPr>
          <w:p w14:paraId="7A1862BD">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362" w:type="pct"/>
            <w:tcBorders>
              <w:tl2br w:val="nil"/>
              <w:tr2bl w:val="nil"/>
            </w:tcBorders>
            <w:shd w:val="clear" w:color="auto" w:fill="auto"/>
            <w:vAlign w:val="center"/>
          </w:tcPr>
          <w:p w14:paraId="5F646EF0">
            <w:pPr>
              <w:keepNext w:val="0"/>
              <w:keepLines w:val="0"/>
              <w:widowControl/>
              <w:suppressLineNumbers w:val="0"/>
              <w:jc w:val="left"/>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墓碑、墓基无倾斜、松动、破损、锈蚀；墓区护栏、台阶、隔离围栏完好，无安全隐患。一经发现损害情况，应及时向场馆负责汇报。</w:t>
            </w:r>
          </w:p>
        </w:tc>
        <w:tc>
          <w:tcPr>
            <w:tcW w:w="1220" w:type="pct"/>
            <w:tcBorders>
              <w:tl2br w:val="nil"/>
              <w:tr2bl w:val="nil"/>
            </w:tcBorders>
            <w:shd w:val="clear" w:color="auto" w:fill="auto"/>
            <w:noWrap/>
            <w:vAlign w:val="center"/>
          </w:tcPr>
          <w:p w14:paraId="4417D9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一处损坏未上报处置扣2分</w:t>
            </w:r>
          </w:p>
        </w:tc>
        <w:tc>
          <w:tcPr>
            <w:tcW w:w="402" w:type="pct"/>
            <w:tcBorders>
              <w:tl2br w:val="nil"/>
              <w:tr2bl w:val="nil"/>
            </w:tcBorders>
            <w:shd w:val="clear" w:color="auto" w:fill="auto"/>
            <w:noWrap/>
            <w:vAlign w:val="center"/>
          </w:tcPr>
          <w:p w14:paraId="3E1826FA">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6DD41FA8">
            <w:pPr>
              <w:rPr>
                <w:rFonts w:hint="eastAsia" w:ascii="宋体" w:hAnsi="宋体" w:eastAsia="宋体" w:cs="宋体"/>
                <w:i w:val="0"/>
                <w:iCs w:val="0"/>
                <w:color w:val="auto"/>
                <w:sz w:val="20"/>
                <w:szCs w:val="20"/>
                <w:highlight w:val="none"/>
                <w:u w:val="none"/>
              </w:rPr>
            </w:pPr>
          </w:p>
        </w:tc>
      </w:tr>
      <w:tr w14:paraId="23DD3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457" w:type="pct"/>
            <w:vMerge w:val="continue"/>
            <w:tcBorders>
              <w:tl2br w:val="nil"/>
              <w:tr2bl w:val="nil"/>
            </w:tcBorders>
            <w:shd w:val="clear" w:color="auto" w:fill="auto"/>
            <w:vAlign w:val="center"/>
          </w:tcPr>
          <w:p w14:paraId="288A0CCB">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6AD958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墓区道路与排水管护</w:t>
            </w:r>
          </w:p>
        </w:tc>
        <w:tc>
          <w:tcPr>
            <w:tcW w:w="444" w:type="pct"/>
            <w:tcBorders>
              <w:tl2br w:val="nil"/>
              <w:tr2bl w:val="nil"/>
            </w:tcBorders>
            <w:shd w:val="clear" w:color="auto" w:fill="auto"/>
            <w:noWrap/>
            <w:vAlign w:val="center"/>
          </w:tcPr>
          <w:p w14:paraId="223AA5C3">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362" w:type="pct"/>
            <w:tcBorders>
              <w:tl2br w:val="nil"/>
              <w:tr2bl w:val="nil"/>
            </w:tcBorders>
            <w:shd w:val="clear" w:color="auto" w:fill="auto"/>
            <w:vAlign w:val="center"/>
          </w:tcPr>
          <w:p w14:paraId="52485F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墓区通道平整无坑洼，排水管网通畅，雨天无积水，通道无杂物堆放堵塞。</w:t>
            </w:r>
          </w:p>
        </w:tc>
        <w:tc>
          <w:tcPr>
            <w:tcW w:w="1220" w:type="pct"/>
            <w:tcBorders>
              <w:tl2br w:val="nil"/>
              <w:tr2bl w:val="nil"/>
            </w:tcBorders>
            <w:shd w:val="clear" w:color="auto" w:fill="auto"/>
            <w:noWrap/>
            <w:vAlign w:val="center"/>
          </w:tcPr>
          <w:p w14:paraId="14481A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一处不达标扣2分</w:t>
            </w:r>
          </w:p>
        </w:tc>
        <w:tc>
          <w:tcPr>
            <w:tcW w:w="402" w:type="pct"/>
            <w:tcBorders>
              <w:tl2br w:val="nil"/>
              <w:tr2bl w:val="nil"/>
            </w:tcBorders>
            <w:shd w:val="clear" w:color="auto" w:fill="auto"/>
            <w:noWrap/>
            <w:vAlign w:val="center"/>
          </w:tcPr>
          <w:p w14:paraId="32C3B273">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5B879838">
            <w:pPr>
              <w:rPr>
                <w:rFonts w:hint="eastAsia" w:ascii="宋体" w:hAnsi="宋体" w:eastAsia="宋体" w:cs="宋体"/>
                <w:i w:val="0"/>
                <w:iCs w:val="0"/>
                <w:color w:val="auto"/>
                <w:sz w:val="20"/>
                <w:szCs w:val="20"/>
                <w:highlight w:val="none"/>
                <w:u w:val="none"/>
              </w:rPr>
            </w:pPr>
          </w:p>
        </w:tc>
      </w:tr>
      <w:tr w14:paraId="3514D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457" w:type="pct"/>
            <w:vMerge w:val="continue"/>
            <w:tcBorders>
              <w:tl2br w:val="nil"/>
              <w:tr2bl w:val="nil"/>
            </w:tcBorders>
            <w:shd w:val="clear" w:color="auto" w:fill="auto"/>
            <w:vAlign w:val="center"/>
          </w:tcPr>
          <w:p w14:paraId="6099C054">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5D05FF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文明祭扫秩序管控</w:t>
            </w:r>
          </w:p>
        </w:tc>
        <w:tc>
          <w:tcPr>
            <w:tcW w:w="444" w:type="pct"/>
            <w:tcBorders>
              <w:tl2br w:val="nil"/>
              <w:tr2bl w:val="nil"/>
            </w:tcBorders>
            <w:shd w:val="clear" w:color="auto" w:fill="auto"/>
            <w:noWrap/>
            <w:vAlign w:val="center"/>
          </w:tcPr>
          <w:p w14:paraId="207EA780">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362" w:type="pct"/>
            <w:tcBorders>
              <w:tl2br w:val="nil"/>
              <w:tr2bl w:val="nil"/>
            </w:tcBorders>
            <w:shd w:val="clear" w:color="auto" w:fill="auto"/>
            <w:vAlign w:val="center"/>
          </w:tcPr>
          <w:p w14:paraId="5C7FBA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墓区全域严禁明火、违规焚烧、燃放祭品；及时劝阻喧哗嬉闹、违规拍摄行为，全程保持肃穆氛围。</w:t>
            </w:r>
          </w:p>
        </w:tc>
        <w:tc>
          <w:tcPr>
            <w:tcW w:w="1220" w:type="pct"/>
            <w:tcBorders>
              <w:tl2br w:val="nil"/>
              <w:tr2bl w:val="nil"/>
            </w:tcBorders>
            <w:shd w:val="clear" w:color="auto" w:fill="auto"/>
            <w:noWrap/>
            <w:vAlign w:val="center"/>
          </w:tcPr>
          <w:p w14:paraId="7E73C6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未及时劝阻违规行为1次扣3分</w:t>
            </w:r>
          </w:p>
        </w:tc>
        <w:tc>
          <w:tcPr>
            <w:tcW w:w="402" w:type="pct"/>
            <w:tcBorders>
              <w:tl2br w:val="nil"/>
              <w:tr2bl w:val="nil"/>
            </w:tcBorders>
            <w:shd w:val="clear" w:color="auto" w:fill="auto"/>
            <w:noWrap/>
            <w:vAlign w:val="center"/>
          </w:tcPr>
          <w:p w14:paraId="356AD12A">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39CB7AAD">
            <w:pPr>
              <w:rPr>
                <w:rFonts w:hint="eastAsia" w:ascii="宋体" w:hAnsi="宋体" w:eastAsia="宋体" w:cs="宋体"/>
                <w:i w:val="0"/>
                <w:iCs w:val="0"/>
                <w:color w:val="auto"/>
                <w:sz w:val="20"/>
                <w:szCs w:val="20"/>
                <w:highlight w:val="none"/>
                <w:u w:val="none"/>
              </w:rPr>
            </w:pPr>
          </w:p>
        </w:tc>
      </w:tr>
      <w:tr w14:paraId="0C929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62" w:hRule="atLeast"/>
        </w:trPr>
        <w:tc>
          <w:tcPr>
            <w:tcW w:w="457" w:type="pct"/>
            <w:vMerge w:val="continue"/>
            <w:tcBorders>
              <w:tl2br w:val="nil"/>
              <w:tr2bl w:val="nil"/>
            </w:tcBorders>
            <w:shd w:val="clear" w:color="auto" w:fill="auto"/>
            <w:vAlign w:val="center"/>
          </w:tcPr>
          <w:p w14:paraId="1F327A3F">
            <w:pPr>
              <w:jc w:val="center"/>
              <w:rPr>
                <w:rFonts w:hint="eastAsia" w:ascii="宋体" w:hAnsi="宋体" w:eastAsia="宋体" w:cs="宋体"/>
                <w:i w:val="0"/>
                <w:iCs w:val="0"/>
                <w:color w:val="auto"/>
                <w:sz w:val="20"/>
                <w:szCs w:val="20"/>
                <w:highlight w:val="none"/>
                <w:u w:val="none"/>
              </w:rPr>
            </w:pPr>
          </w:p>
        </w:tc>
        <w:tc>
          <w:tcPr>
            <w:tcW w:w="570" w:type="pct"/>
            <w:tcBorders>
              <w:tl2br w:val="nil"/>
              <w:tr2bl w:val="nil"/>
            </w:tcBorders>
            <w:shd w:val="clear" w:color="auto" w:fill="auto"/>
            <w:noWrap/>
            <w:vAlign w:val="center"/>
          </w:tcPr>
          <w:p w14:paraId="45AB9F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祭扫便民服务与墓区绿化</w:t>
            </w:r>
          </w:p>
        </w:tc>
        <w:tc>
          <w:tcPr>
            <w:tcW w:w="444" w:type="pct"/>
            <w:tcBorders>
              <w:tl2br w:val="nil"/>
              <w:tr2bl w:val="nil"/>
            </w:tcBorders>
            <w:shd w:val="clear" w:color="auto" w:fill="auto"/>
            <w:noWrap/>
            <w:vAlign w:val="center"/>
          </w:tcPr>
          <w:p w14:paraId="4699B2D2">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362" w:type="pct"/>
            <w:tcBorders>
              <w:tl2br w:val="nil"/>
              <w:tr2bl w:val="nil"/>
            </w:tcBorders>
            <w:shd w:val="clear" w:color="auto" w:fill="auto"/>
            <w:vAlign w:val="center"/>
          </w:tcPr>
          <w:p w14:paraId="568691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1.春节、清明、重阳等节日祭扫高峰专人疏导人流，主动帮扶老弱残障群众，指引路线清晰；拥堵混乱扣3分；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2.墓区绿化草丛杂草定期清除；对绿化苗木负有日常监管义务，发现问题要第一时间上报。</w:t>
            </w:r>
          </w:p>
        </w:tc>
        <w:tc>
          <w:tcPr>
            <w:tcW w:w="1220" w:type="pct"/>
            <w:tcBorders>
              <w:tl2br w:val="nil"/>
              <w:tr2bl w:val="nil"/>
            </w:tcBorders>
            <w:shd w:val="clear" w:color="auto" w:fill="auto"/>
            <w:noWrap/>
            <w:vAlign w:val="center"/>
          </w:tcPr>
          <w:p w14:paraId="4E749E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服务缺位扣3分；绿化一处养护不到位扣1分</w:t>
            </w:r>
          </w:p>
        </w:tc>
        <w:tc>
          <w:tcPr>
            <w:tcW w:w="402" w:type="pct"/>
            <w:tcBorders>
              <w:tl2br w:val="nil"/>
              <w:tr2bl w:val="nil"/>
            </w:tcBorders>
            <w:shd w:val="clear" w:color="auto" w:fill="auto"/>
            <w:noWrap/>
            <w:vAlign w:val="center"/>
          </w:tcPr>
          <w:p w14:paraId="074D8F86">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7F2A3778">
            <w:pPr>
              <w:rPr>
                <w:rFonts w:hint="eastAsia" w:ascii="宋体" w:hAnsi="宋体" w:eastAsia="宋体" w:cs="宋体"/>
                <w:i w:val="0"/>
                <w:iCs w:val="0"/>
                <w:color w:val="auto"/>
                <w:sz w:val="20"/>
                <w:szCs w:val="20"/>
                <w:highlight w:val="none"/>
                <w:u w:val="none"/>
              </w:rPr>
            </w:pPr>
          </w:p>
        </w:tc>
      </w:tr>
      <w:tr w14:paraId="0E1F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3" w:hRule="atLeast"/>
        </w:trPr>
        <w:tc>
          <w:tcPr>
            <w:tcW w:w="457" w:type="pct"/>
            <w:tcBorders>
              <w:tl2br w:val="nil"/>
              <w:tr2bl w:val="nil"/>
            </w:tcBorders>
            <w:shd w:val="clear" w:color="auto" w:fill="auto"/>
            <w:vAlign w:val="center"/>
          </w:tcPr>
          <w:p w14:paraId="57D7BA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四、安保、消防、秩序管理（20分）</w:t>
            </w:r>
          </w:p>
        </w:tc>
        <w:tc>
          <w:tcPr>
            <w:tcW w:w="570" w:type="pct"/>
            <w:tcBorders>
              <w:tl2br w:val="nil"/>
              <w:tr2bl w:val="nil"/>
            </w:tcBorders>
            <w:shd w:val="clear" w:color="auto" w:fill="auto"/>
            <w:noWrap/>
            <w:vAlign w:val="center"/>
          </w:tcPr>
          <w:p w14:paraId="48F662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全域安保综合服务（展厅+广场+墓区）</w:t>
            </w:r>
          </w:p>
        </w:tc>
        <w:tc>
          <w:tcPr>
            <w:tcW w:w="444" w:type="pct"/>
            <w:tcBorders>
              <w:tl2br w:val="nil"/>
              <w:tr2bl w:val="nil"/>
            </w:tcBorders>
            <w:shd w:val="clear" w:color="auto" w:fill="auto"/>
            <w:noWrap/>
            <w:vAlign w:val="center"/>
          </w:tcPr>
          <w:p w14:paraId="7D0CFB20">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362" w:type="pct"/>
            <w:tcBorders>
              <w:tl2br w:val="nil"/>
              <w:tr2bl w:val="nil"/>
            </w:tcBorders>
            <w:shd w:val="clear" w:color="auto" w:fill="auto"/>
            <w:vAlign w:val="center"/>
          </w:tcPr>
          <w:p w14:paraId="29E50133">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ascii="仿宋" w:hAnsi="仿宋" w:eastAsia="仿宋" w:cstheme="minorBidi"/>
                <w:color w:val="auto"/>
                <w:kern w:val="2"/>
                <w:sz w:val="20"/>
                <w:szCs w:val="20"/>
                <w:highlight w:val="none"/>
                <w:lang w:val="en-US" w:eastAsia="zh-CN" w:bidi="en-US"/>
              </w:rPr>
              <w:t>1.</w:t>
            </w:r>
            <w:r>
              <w:rPr>
                <w:rFonts w:hint="eastAsia" w:ascii="宋体" w:hAnsi="宋体" w:eastAsia="宋体" w:cs="宋体"/>
                <w:i w:val="0"/>
                <w:iCs w:val="0"/>
                <w:color w:val="auto"/>
                <w:kern w:val="0"/>
                <w:sz w:val="20"/>
                <w:szCs w:val="20"/>
                <w:highlight w:val="none"/>
                <w:u w:val="none"/>
                <w:lang w:val="en-US" w:eastAsia="zh-CN" w:bidi="ar"/>
              </w:rPr>
              <w:t>全员服从管理、文明执勤，着装规范、精神饱满，维护纪念场馆庄重形象。禁止酒后值岗、上岗期间吸烟等不文明现象，一经发现，严肃处理；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2.工作时间不得擅离职守、确保安保人员在岗在位，严禁造成脱岗现象。</w:t>
            </w:r>
          </w:p>
          <w:p w14:paraId="7FC55DF3">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3.熟练掌握消防基础技能，按期参加消防培训、演练，熟悉疏散通道、灭火器材点位；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4.实行24小时值班，消控室严禁脱岗、睡岗，规范填写交接班、消防巡查记录，无涂改漏填；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5.每日全覆盖巡逻：展厅、广场、墓区、边角点位逐点巡查，排查防火防盗隐患，可疑情况及时上报；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6.严格外来人员、车辆登记管理，引导车辆有序停放，禁止堵塞通道。物业人员车辆有序停放，严禁乱停乱放及馆内进行充电；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7.监控设备每日检查，画面清晰，一经发现故障，第一时间上报，并于故障2小时内报修。</w:t>
            </w:r>
          </w:p>
        </w:tc>
        <w:tc>
          <w:tcPr>
            <w:tcW w:w="1220" w:type="pct"/>
            <w:tcBorders>
              <w:tl2br w:val="nil"/>
              <w:tr2bl w:val="nil"/>
            </w:tcBorders>
            <w:shd w:val="clear" w:color="auto" w:fill="auto"/>
            <w:noWrap/>
            <w:vAlign w:val="center"/>
          </w:tcPr>
          <w:p w14:paraId="699E55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一处落实不到位扣2分，扣完本大类20分为止</w:t>
            </w:r>
          </w:p>
        </w:tc>
        <w:tc>
          <w:tcPr>
            <w:tcW w:w="402" w:type="pct"/>
            <w:tcBorders>
              <w:tl2br w:val="nil"/>
              <w:tr2bl w:val="nil"/>
            </w:tcBorders>
            <w:shd w:val="clear" w:color="auto" w:fill="auto"/>
            <w:noWrap/>
            <w:vAlign w:val="center"/>
          </w:tcPr>
          <w:p w14:paraId="707A9FD8">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4962D2F8">
            <w:pPr>
              <w:rPr>
                <w:rFonts w:hint="eastAsia" w:ascii="宋体" w:hAnsi="宋体" w:eastAsia="宋体" w:cs="宋体"/>
                <w:i w:val="0"/>
                <w:iCs w:val="0"/>
                <w:color w:val="auto"/>
                <w:sz w:val="20"/>
                <w:szCs w:val="20"/>
                <w:highlight w:val="none"/>
                <w:u w:val="none"/>
              </w:rPr>
            </w:pPr>
          </w:p>
        </w:tc>
      </w:tr>
      <w:tr w14:paraId="30FF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60" w:hRule="atLeast"/>
        </w:trPr>
        <w:tc>
          <w:tcPr>
            <w:tcW w:w="457" w:type="pct"/>
            <w:tcBorders>
              <w:tl2br w:val="nil"/>
              <w:tr2bl w:val="nil"/>
            </w:tcBorders>
            <w:shd w:val="clear" w:color="auto" w:fill="auto"/>
            <w:vAlign w:val="center"/>
          </w:tcPr>
          <w:p w14:paraId="1203E0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五、公用设施设备运维（10分）</w:t>
            </w:r>
          </w:p>
        </w:tc>
        <w:tc>
          <w:tcPr>
            <w:tcW w:w="570" w:type="pct"/>
            <w:tcBorders>
              <w:tl2br w:val="nil"/>
              <w:tr2bl w:val="nil"/>
            </w:tcBorders>
            <w:shd w:val="clear" w:color="auto" w:fill="auto"/>
            <w:noWrap/>
            <w:vAlign w:val="center"/>
          </w:tcPr>
          <w:p w14:paraId="05C6AB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水电、照明、管网、标识、公共设施维修养护</w:t>
            </w:r>
          </w:p>
        </w:tc>
        <w:tc>
          <w:tcPr>
            <w:tcW w:w="444" w:type="pct"/>
            <w:tcBorders>
              <w:tl2br w:val="nil"/>
              <w:tr2bl w:val="nil"/>
            </w:tcBorders>
            <w:shd w:val="clear" w:color="auto" w:fill="auto"/>
            <w:noWrap/>
            <w:vAlign w:val="center"/>
          </w:tcPr>
          <w:p w14:paraId="021BA70E">
            <w:pPr>
              <w:keepNext w:val="0"/>
              <w:keepLines w:val="0"/>
              <w:widowControl/>
              <w:suppressLineNumbers w:val="0"/>
              <w:jc w:val="right"/>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10</w:t>
            </w:r>
          </w:p>
        </w:tc>
        <w:tc>
          <w:tcPr>
            <w:tcW w:w="1362" w:type="pct"/>
            <w:tcBorders>
              <w:tl2br w:val="nil"/>
              <w:tr2bl w:val="nil"/>
            </w:tcBorders>
            <w:shd w:val="clear" w:color="auto" w:fill="auto"/>
            <w:vAlign w:val="center"/>
          </w:tcPr>
          <w:p w14:paraId="6FBA019F">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重大节假日、恶劣天气前完成全系统巡检；按场馆规定开关水电，设备运行环境合规；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2.小修、急修限时处置，隐患点位设置警示防护；管道阀门无跑冒滴漏；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3.水泵房、水箱间每日巡视并留存记录；停水提前通知场馆负责人；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4.公共照明、馆内应急灯照明、墓区路灯、指示灯具完好，线路接地安全，灯具更换采用节能款；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5.墓区指引牌、警示牌无歪斜、褪色、脱落；休息亭、广播音响等公共设施完好。</w:t>
            </w:r>
          </w:p>
          <w:p w14:paraId="32182F07">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上述设备，一经发现故障或损坏现象，第一时间上报，并及时报修。</w:t>
            </w:r>
          </w:p>
        </w:tc>
        <w:tc>
          <w:tcPr>
            <w:tcW w:w="1220" w:type="pct"/>
            <w:tcBorders>
              <w:tl2br w:val="nil"/>
              <w:tr2bl w:val="nil"/>
            </w:tcBorders>
            <w:shd w:val="clear" w:color="auto" w:fill="auto"/>
            <w:noWrap/>
            <w:vAlign w:val="center"/>
          </w:tcPr>
          <w:p w14:paraId="6A3512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一项未落实扣2分，扣完本大类10分为止</w:t>
            </w:r>
          </w:p>
        </w:tc>
        <w:tc>
          <w:tcPr>
            <w:tcW w:w="402" w:type="pct"/>
            <w:tcBorders>
              <w:tl2br w:val="nil"/>
              <w:tr2bl w:val="nil"/>
            </w:tcBorders>
            <w:shd w:val="clear" w:color="auto" w:fill="auto"/>
            <w:noWrap/>
            <w:vAlign w:val="center"/>
          </w:tcPr>
          <w:p w14:paraId="7CF876C8">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428BC42D">
            <w:pPr>
              <w:rPr>
                <w:rFonts w:hint="eastAsia" w:ascii="宋体" w:hAnsi="宋体" w:eastAsia="宋体" w:cs="宋体"/>
                <w:i w:val="0"/>
                <w:iCs w:val="0"/>
                <w:color w:val="auto"/>
                <w:sz w:val="20"/>
                <w:szCs w:val="20"/>
                <w:highlight w:val="none"/>
                <w:u w:val="none"/>
              </w:rPr>
            </w:pPr>
          </w:p>
        </w:tc>
      </w:tr>
      <w:tr w14:paraId="4C2C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457" w:type="pct"/>
            <w:tcBorders>
              <w:tl2br w:val="nil"/>
              <w:tr2bl w:val="nil"/>
            </w:tcBorders>
            <w:shd w:val="clear" w:color="auto" w:fill="auto"/>
            <w:vAlign w:val="center"/>
          </w:tcPr>
          <w:p w14:paraId="1A3369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六、物业物资配置管理（5分）</w:t>
            </w:r>
          </w:p>
        </w:tc>
        <w:tc>
          <w:tcPr>
            <w:tcW w:w="570" w:type="pct"/>
            <w:tcBorders>
              <w:tl2br w:val="nil"/>
              <w:tr2bl w:val="nil"/>
            </w:tcBorders>
            <w:shd w:val="clear" w:color="auto" w:fill="auto"/>
            <w:noWrap/>
            <w:vAlign w:val="center"/>
          </w:tcPr>
          <w:p w14:paraId="7F15B8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服务工具、物资配置</w:t>
            </w:r>
          </w:p>
        </w:tc>
        <w:tc>
          <w:tcPr>
            <w:tcW w:w="444" w:type="pct"/>
            <w:tcBorders>
              <w:tl2br w:val="nil"/>
              <w:tr2bl w:val="nil"/>
            </w:tcBorders>
            <w:shd w:val="clear" w:color="auto" w:fill="auto"/>
            <w:noWrap/>
            <w:vAlign w:val="center"/>
          </w:tcPr>
          <w:p w14:paraId="5078347E">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0FAF09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足额配备保洁、安保、维修等全套作业工具、防护耗材，满足日常运维、祭扫高峰期保障需求。</w:t>
            </w:r>
          </w:p>
        </w:tc>
        <w:tc>
          <w:tcPr>
            <w:tcW w:w="1220" w:type="pct"/>
            <w:tcBorders>
              <w:tl2br w:val="nil"/>
              <w:tr2bl w:val="nil"/>
            </w:tcBorders>
            <w:shd w:val="clear" w:color="auto" w:fill="auto"/>
            <w:noWrap/>
            <w:vAlign w:val="center"/>
          </w:tcPr>
          <w:p w14:paraId="0DD366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每缺少一类必备物资扣1分，扣完5分为止</w:t>
            </w:r>
          </w:p>
        </w:tc>
        <w:tc>
          <w:tcPr>
            <w:tcW w:w="402" w:type="pct"/>
            <w:tcBorders>
              <w:tl2br w:val="nil"/>
              <w:tr2bl w:val="nil"/>
            </w:tcBorders>
            <w:shd w:val="clear" w:color="auto" w:fill="auto"/>
            <w:noWrap/>
            <w:vAlign w:val="center"/>
          </w:tcPr>
          <w:p w14:paraId="05C6A07A">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4A14DCE9">
            <w:pPr>
              <w:rPr>
                <w:rFonts w:hint="eastAsia" w:ascii="宋体" w:hAnsi="宋体" w:eastAsia="宋体" w:cs="宋体"/>
                <w:i w:val="0"/>
                <w:iCs w:val="0"/>
                <w:color w:val="auto"/>
                <w:sz w:val="20"/>
                <w:szCs w:val="20"/>
                <w:highlight w:val="none"/>
                <w:u w:val="none"/>
              </w:rPr>
            </w:pPr>
          </w:p>
        </w:tc>
      </w:tr>
      <w:tr w14:paraId="0CC0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trPr>
        <w:tc>
          <w:tcPr>
            <w:tcW w:w="457" w:type="pct"/>
            <w:tcBorders>
              <w:tl2br w:val="nil"/>
              <w:tr2bl w:val="nil"/>
            </w:tcBorders>
            <w:shd w:val="clear" w:color="auto" w:fill="auto"/>
            <w:vAlign w:val="center"/>
          </w:tcPr>
          <w:p w14:paraId="725B8A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七、节能降耗管理（5分）</w:t>
            </w:r>
          </w:p>
        </w:tc>
        <w:tc>
          <w:tcPr>
            <w:tcW w:w="570" w:type="pct"/>
            <w:tcBorders>
              <w:tl2br w:val="nil"/>
              <w:tr2bl w:val="nil"/>
            </w:tcBorders>
            <w:shd w:val="clear" w:color="auto" w:fill="auto"/>
            <w:noWrap/>
            <w:vAlign w:val="center"/>
          </w:tcPr>
          <w:p w14:paraId="163C8A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节水、节电、节能管控</w:t>
            </w:r>
          </w:p>
        </w:tc>
        <w:tc>
          <w:tcPr>
            <w:tcW w:w="444" w:type="pct"/>
            <w:tcBorders>
              <w:tl2br w:val="nil"/>
              <w:tr2bl w:val="nil"/>
            </w:tcBorders>
            <w:shd w:val="clear" w:color="auto" w:fill="auto"/>
            <w:noWrap/>
            <w:vAlign w:val="center"/>
          </w:tcPr>
          <w:p w14:paraId="214AE9F9">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196A8E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1.巡查发现管道漏水、长明灯及时处置上报；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2.劝导人员杜绝开窗开空调浪费行为；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3.卫生间张贴节水标识，配合场馆开展节能宣传。</w:t>
            </w:r>
          </w:p>
        </w:tc>
        <w:tc>
          <w:tcPr>
            <w:tcW w:w="1220" w:type="pct"/>
            <w:tcBorders>
              <w:tl2br w:val="nil"/>
              <w:tr2bl w:val="nil"/>
            </w:tcBorders>
            <w:shd w:val="clear" w:color="auto" w:fill="auto"/>
            <w:noWrap/>
            <w:vAlign w:val="center"/>
          </w:tcPr>
          <w:p w14:paraId="4E1C08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一处未落实扣1分，扣完5分为止</w:t>
            </w:r>
          </w:p>
        </w:tc>
        <w:tc>
          <w:tcPr>
            <w:tcW w:w="402" w:type="pct"/>
            <w:tcBorders>
              <w:tl2br w:val="nil"/>
              <w:tr2bl w:val="nil"/>
            </w:tcBorders>
            <w:shd w:val="clear" w:color="auto" w:fill="auto"/>
            <w:noWrap/>
            <w:vAlign w:val="center"/>
          </w:tcPr>
          <w:p w14:paraId="0F273587">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7857478D">
            <w:pPr>
              <w:rPr>
                <w:rFonts w:hint="eastAsia" w:ascii="宋体" w:hAnsi="宋体" w:eastAsia="宋体" w:cs="宋体"/>
                <w:i w:val="0"/>
                <w:iCs w:val="0"/>
                <w:color w:val="auto"/>
                <w:sz w:val="20"/>
                <w:szCs w:val="20"/>
                <w:highlight w:val="none"/>
                <w:u w:val="none"/>
              </w:rPr>
            </w:pPr>
          </w:p>
        </w:tc>
      </w:tr>
      <w:tr w14:paraId="5CC22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50" w:hRule="atLeast"/>
        </w:trPr>
        <w:tc>
          <w:tcPr>
            <w:tcW w:w="457" w:type="pct"/>
            <w:tcBorders>
              <w:tl2br w:val="nil"/>
              <w:tr2bl w:val="nil"/>
            </w:tcBorders>
            <w:shd w:val="clear" w:color="auto" w:fill="auto"/>
            <w:vAlign w:val="center"/>
          </w:tcPr>
          <w:p w14:paraId="123F13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八、服务礼仪、台账与应急管理5分</w:t>
            </w:r>
          </w:p>
        </w:tc>
        <w:tc>
          <w:tcPr>
            <w:tcW w:w="570" w:type="pct"/>
            <w:tcBorders>
              <w:tl2br w:val="nil"/>
              <w:tr2bl w:val="nil"/>
            </w:tcBorders>
            <w:shd w:val="clear" w:color="auto" w:fill="auto"/>
            <w:noWrap/>
            <w:vAlign w:val="center"/>
          </w:tcPr>
          <w:p w14:paraId="32A3B5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服务氛围、台账、应急处置</w:t>
            </w:r>
          </w:p>
        </w:tc>
        <w:tc>
          <w:tcPr>
            <w:tcW w:w="444" w:type="pct"/>
            <w:tcBorders>
              <w:tl2br w:val="nil"/>
              <w:tr2bl w:val="nil"/>
            </w:tcBorders>
            <w:shd w:val="clear" w:color="auto" w:fill="auto"/>
            <w:noWrap/>
            <w:vAlign w:val="center"/>
          </w:tcPr>
          <w:p w14:paraId="395459C1">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2" w:type="pct"/>
            <w:tcBorders>
              <w:tl2br w:val="nil"/>
              <w:tr2bl w:val="nil"/>
            </w:tcBorders>
            <w:shd w:val="clear" w:color="auto" w:fill="auto"/>
            <w:vAlign w:val="center"/>
          </w:tcPr>
          <w:p w14:paraId="59B32C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1.全体工作人员语言文明礼貌，尊重祭扫习俗，无群众有效投诉；全域杜绝商业广告、嘈杂嬉闹；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2.保洁、安保、维修、巡查、投诉、培训台账完整规范；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3.防火、人流踩踏、极端天气、突发疾病应急预案齐全，每年不少于2次应急演练。</w:t>
            </w:r>
          </w:p>
        </w:tc>
        <w:tc>
          <w:tcPr>
            <w:tcW w:w="1220" w:type="pct"/>
            <w:tcBorders>
              <w:tl2br w:val="nil"/>
              <w:tr2bl w:val="nil"/>
            </w:tcBorders>
            <w:shd w:val="clear" w:color="auto" w:fill="auto"/>
            <w:noWrap/>
            <w:vAlign w:val="center"/>
          </w:tcPr>
          <w:p w14:paraId="5E28DE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有效投诉1次扣2分；台账缺项每项扣1分；无预案扣3分、未演练扣2分</w:t>
            </w:r>
          </w:p>
        </w:tc>
        <w:tc>
          <w:tcPr>
            <w:tcW w:w="402" w:type="pct"/>
            <w:tcBorders>
              <w:tl2br w:val="nil"/>
              <w:tr2bl w:val="nil"/>
            </w:tcBorders>
            <w:shd w:val="clear" w:color="auto" w:fill="auto"/>
            <w:noWrap/>
            <w:vAlign w:val="center"/>
          </w:tcPr>
          <w:p w14:paraId="1418F513">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0B763D2E">
            <w:pPr>
              <w:rPr>
                <w:rFonts w:hint="eastAsia" w:ascii="宋体" w:hAnsi="宋体" w:eastAsia="宋体" w:cs="宋体"/>
                <w:i w:val="0"/>
                <w:iCs w:val="0"/>
                <w:color w:val="auto"/>
                <w:sz w:val="20"/>
                <w:szCs w:val="20"/>
                <w:highlight w:val="none"/>
                <w:u w:val="none"/>
              </w:rPr>
            </w:pPr>
          </w:p>
        </w:tc>
      </w:tr>
      <w:tr w14:paraId="6E36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0" w:hRule="atLeast"/>
        </w:trPr>
        <w:tc>
          <w:tcPr>
            <w:tcW w:w="457" w:type="pct"/>
            <w:tcBorders>
              <w:tl2br w:val="nil"/>
              <w:tr2bl w:val="nil"/>
            </w:tcBorders>
            <w:shd w:val="clear" w:color="auto" w:fill="auto"/>
            <w:vAlign w:val="center"/>
          </w:tcPr>
          <w:p w14:paraId="2E0FA0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加分项（上限5分）</w:t>
            </w:r>
          </w:p>
        </w:tc>
        <w:tc>
          <w:tcPr>
            <w:tcW w:w="570" w:type="pct"/>
            <w:tcBorders>
              <w:tl2br w:val="nil"/>
              <w:tr2bl w:val="nil"/>
            </w:tcBorders>
            <w:shd w:val="clear" w:color="auto" w:fill="auto"/>
            <w:noWrap/>
            <w:vAlign w:val="center"/>
          </w:tcPr>
          <w:p w14:paraId="68CFD7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优质服务激励项</w:t>
            </w:r>
          </w:p>
        </w:tc>
        <w:tc>
          <w:tcPr>
            <w:tcW w:w="444" w:type="pct"/>
            <w:tcBorders>
              <w:tl2br w:val="nil"/>
              <w:tr2bl w:val="nil"/>
            </w:tcBorders>
            <w:shd w:val="clear" w:color="auto" w:fill="auto"/>
            <w:noWrap/>
            <w:vAlign w:val="center"/>
          </w:tcPr>
          <w:p w14:paraId="5F5244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362" w:type="pct"/>
            <w:tcBorders>
              <w:tl2br w:val="nil"/>
              <w:tr2bl w:val="nil"/>
            </w:tcBorders>
            <w:shd w:val="clear" w:color="auto" w:fill="auto"/>
            <w:vAlign w:val="center"/>
          </w:tcPr>
          <w:p w14:paraId="488DD9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1.圆满完成重大纪念活动、集中祭扫保障工作；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2.收到场馆、祭扫家属书面表扬；</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3.创新物业服务举措、节能降耗成效突出。</w:t>
            </w:r>
          </w:p>
        </w:tc>
        <w:tc>
          <w:tcPr>
            <w:tcW w:w="1220" w:type="pct"/>
            <w:tcBorders>
              <w:tl2br w:val="nil"/>
              <w:tr2bl w:val="nil"/>
            </w:tcBorders>
            <w:shd w:val="clear" w:color="auto" w:fill="auto"/>
            <w:noWrap/>
            <w:vAlign w:val="center"/>
          </w:tcPr>
          <w:p w14:paraId="53D295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每项加1～3分，总分累计不超过5分</w:t>
            </w:r>
          </w:p>
        </w:tc>
        <w:tc>
          <w:tcPr>
            <w:tcW w:w="402" w:type="pct"/>
            <w:tcBorders>
              <w:tl2br w:val="nil"/>
              <w:tr2bl w:val="nil"/>
            </w:tcBorders>
            <w:shd w:val="clear" w:color="auto" w:fill="auto"/>
            <w:noWrap/>
            <w:vAlign w:val="center"/>
          </w:tcPr>
          <w:p w14:paraId="464E2DBE">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75C8EF4C">
            <w:pPr>
              <w:rPr>
                <w:rFonts w:hint="eastAsia" w:ascii="宋体" w:hAnsi="宋体" w:eastAsia="宋体" w:cs="宋体"/>
                <w:i w:val="0"/>
                <w:iCs w:val="0"/>
                <w:color w:val="auto"/>
                <w:sz w:val="20"/>
                <w:szCs w:val="20"/>
                <w:highlight w:val="none"/>
                <w:u w:val="none"/>
              </w:rPr>
            </w:pPr>
          </w:p>
        </w:tc>
      </w:tr>
      <w:tr w14:paraId="50CD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57" w:type="pct"/>
            <w:tcBorders>
              <w:tl2br w:val="nil"/>
              <w:tr2bl w:val="nil"/>
            </w:tcBorders>
            <w:shd w:val="clear" w:color="auto" w:fill="auto"/>
            <w:vAlign w:val="center"/>
          </w:tcPr>
          <w:p w14:paraId="5434A7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基础总分</w:t>
            </w:r>
          </w:p>
        </w:tc>
        <w:tc>
          <w:tcPr>
            <w:tcW w:w="570" w:type="pct"/>
            <w:tcBorders>
              <w:tl2br w:val="nil"/>
              <w:tr2bl w:val="nil"/>
            </w:tcBorders>
            <w:shd w:val="clear" w:color="auto" w:fill="auto"/>
            <w:noWrap/>
            <w:vAlign w:val="center"/>
          </w:tcPr>
          <w:p w14:paraId="3FE0C3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44" w:type="pct"/>
            <w:tcBorders>
              <w:tl2br w:val="nil"/>
              <w:tr2bl w:val="nil"/>
            </w:tcBorders>
            <w:shd w:val="clear" w:color="auto" w:fill="auto"/>
            <w:noWrap/>
            <w:vAlign w:val="center"/>
          </w:tcPr>
          <w:p w14:paraId="1CC54E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362" w:type="pct"/>
            <w:tcBorders>
              <w:tl2br w:val="nil"/>
              <w:tr2bl w:val="nil"/>
            </w:tcBorders>
            <w:shd w:val="clear" w:color="auto" w:fill="auto"/>
            <w:vAlign w:val="center"/>
          </w:tcPr>
          <w:p w14:paraId="1B538C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220" w:type="pct"/>
            <w:tcBorders>
              <w:tl2br w:val="nil"/>
              <w:tr2bl w:val="nil"/>
            </w:tcBorders>
            <w:shd w:val="clear" w:color="auto" w:fill="auto"/>
            <w:noWrap/>
            <w:vAlign w:val="center"/>
          </w:tcPr>
          <w:p w14:paraId="58FE56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402" w:type="pct"/>
            <w:tcBorders>
              <w:tl2br w:val="nil"/>
              <w:tr2bl w:val="nil"/>
            </w:tcBorders>
            <w:shd w:val="clear" w:color="auto" w:fill="auto"/>
            <w:noWrap/>
            <w:vAlign w:val="center"/>
          </w:tcPr>
          <w:p w14:paraId="205BFD49">
            <w:pPr>
              <w:rPr>
                <w:rFonts w:hint="eastAsia" w:ascii="宋体" w:hAnsi="宋体" w:eastAsia="宋体" w:cs="宋体"/>
                <w:i w:val="0"/>
                <w:iCs w:val="0"/>
                <w:color w:val="auto"/>
                <w:sz w:val="20"/>
                <w:szCs w:val="20"/>
                <w:highlight w:val="none"/>
                <w:u w:val="none"/>
              </w:rPr>
            </w:pPr>
          </w:p>
        </w:tc>
        <w:tc>
          <w:tcPr>
            <w:tcW w:w="484" w:type="pct"/>
            <w:tcBorders>
              <w:tl2br w:val="nil"/>
              <w:tr2bl w:val="nil"/>
            </w:tcBorders>
            <w:shd w:val="clear" w:color="auto" w:fill="auto"/>
            <w:noWrap/>
            <w:vAlign w:val="center"/>
          </w:tcPr>
          <w:p w14:paraId="3DE88D56">
            <w:pPr>
              <w:rPr>
                <w:rFonts w:hint="eastAsia" w:ascii="宋体" w:hAnsi="宋体" w:eastAsia="宋体" w:cs="宋体"/>
                <w:i w:val="0"/>
                <w:iCs w:val="0"/>
                <w:color w:val="auto"/>
                <w:sz w:val="20"/>
                <w:szCs w:val="20"/>
                <w:highlight w:val="none"/>
                <w:u w:val="none"/>
              </w:rPr>
            </w:pPr>
          </w:p>
        </w:tc>
      </w:tr>
    </w:tbl>
    <w:p w14:paraId="4CFAE3F9">
      <w:pPr>
        <w:widowControl/>
        <w:numPr>
          <w:ilvl w:val="0"/>
          <w:numId w:val="6"/>
        </w:numPr>
        <w:adjustRightInd w:val="0"/>
        <w:snapToGrid w:val="0"/>
        <w:ind w:firstLine="300" w:firstLineChars="100"/>
        <w:jc w:val="center"/>
        <w:rPr>
          <w:rFonts w:hint="eastAsia" w:ascii="仿宋" w:hAnsi="仿宋" w:eastAsia="仿宋"/>
          <w:color w:val="auto"/>
          <w:sz w:val="30"/>
          <w:szCs w:val="30"/>
          <w:highlight w:val="none"/>
        </w:rPr>
      </w:pPr>
      <w:r>
        <w:rPr>
          <w:rFonts w:ascii="仿宋" w:hAnsi="仿宋" w:eastAsia="仿宋"/>
          <w:color w:val="auto"/>
          <w:sz w:val="30"/>
          <w:szCs w:val="30"/>
          <w:highlight w:val="none"/>
        </w:rPr>
        <w:br w:type="page"/>
      </w:r>
      <w:r>
        <w:rPr>
          <w:rFonts w:hint="eastAsia" w:ascii="仿宋" w:hAnsi="仿宋" w:eastAsia="仿宋"/>
          <w:color w:val="auto"/>
          <w:sz w:val="30"/>
          <w:szCs w:val="30"/>
          <w:highlight w:val="none"/>
        </w:rPr>
        <w:t xml:space="preserve"> 采购需求</w:t>
      </w:r>
    </w:p>
    <w:p w14:paraId="53874472">
      <w:pPr>
        <w:widowControl/>
        <w:numPr>
          <w:ilvl w:val="0"/>
          <w:numId w:val="0"/>
        </w:numPr>
        <w:adjustRightInd w:val="0"/>
        <w:snapToGrid w:val="0"/>
        <w:jc w:val="center"/>
        <w:rPr>
          <w:rFonts w:ascii="仿宋" w:hAnsi="仿宋" w:eastAsia="仿宋"/>
          <w:color w:val="auto"/>
          <w:sz w:val="30"/>
          <w:szCs w:val="30"/>
          <w:highlight w:val="none"/>
        </w:rPr>
      </w:pPr>
      <w:r>
        <w:rPr>
          <w:rFonts w:hint="eastAsia" w:ascii="仿宋" w:hAnsi="仿宋" w:eastAsia="仿宋" w:cs="仿宋"/>
          <w:b w:val="0"/>
          <w:bCs w:val="0"/>
          <w:color w:val="auto"/>
          <w:sz w:val="32"/>
          <w:szCs w:val="32"/>
          <w:highlight w:val="none"/>
          <w:lang w:val="en-US" w:eastAsia="zh-CN"/>
        </w:rPr>
        <w:t>采购包一：</w:t>
      </w:r>
    </w:p>
    <w:p w14:paraId="7B20210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一、说明</w:t>
      </w:r>
    </w:p>
    <w:p w14:paraId="2CC9CDE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（一）采购人：</w:t>
      </w:r>
      <w:r>
        <w:rPr>
          <w:rFonts w:hint="eastAsia"/>
          <w:color w:val="auto"/>
          <w:sz w:val="24"/>
          <w:szCs w:val="24"/>
          <w:highlight w:val="none"/>
          <w:lang w:val="en-US" w:eastAsia="zh-CN"/>
        </w:rPr>
        <w:t>邳州市纪念场馆管理处</w:t>
      </w:r>
    </w:p>
    <w:p w14:paraId="1689B17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（二）采购项目名称：纪念场馆及烈士陵园物业安保服务项目</w:t>
      </w:r>
    </w:p>
    <w:p w14:paraId="2E3743F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（三）采购标的：纪念场馆及烈士陵园物业安保服务项目</w:t>
      </w:r>
    </w:p>
    <w:p w14:paraId="1404513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（纪念场馆及烈士陵园物业安保服务项目</w:t>
      </w:r>
      <w:r>
        <w:rPr>
          <w:rFonts w:hint="eastAsia"/>
          <w:color w:val="auto"/>
          <w:sz w:val="24"/>
          <w:szCs w:val="24"/>
          <w:highlight w:val="none"/>
        </w:rPr>
        <w:t>）对应的中小企业划分标准所属行业为（物业管理）。</w:t>
      </w:r>
    </w:p>
    <w:p w14:paraId="558D39A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color w:val="auto"/>
          <w:sz w:val="24"/>
          <w:szCs w:val="24"/>
          <w:highlight w:val="none"/>
        </w:rPr>
        <w:t>（四）本项目为专门面向中小企业采购的项目。</w:t>
      </w:r>
    </w:p>
    <w:p w14:paraId="23CB7BE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（五）本项目不接受超过</w:t>
      </w:r>
      <w:r>
        <w:rPr>
          <w:rFonts w:hint="eastAsia"/>
          <w:color w:val="auto"/>
          <w:sz w:val="24"/>
          <w:szCs w:val="24"/>
          <w:highlight w:val="none"/>
          <w:lang w:val="en-US" w:eastAsia="zh-CN"/>
        </w:rPr>
        <w:t>217.44</w:t>
      </w:r>
      <w:r>
        <w:rPr>
          <w:rFonts w:hint="eastAsia"/>
          <w:color w:val="auto"/>
          <w:sz w:val="24"/>
          <w:szCs w:val="24"/>
          <w:highlight w:val="none"/>
        </w:rPr>
        <w:t>万元（采购项目预算金额）的投标报价。</w:t>
      </w:r>
    </w:p>
    <w:p w14:paraId="6592221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二、项目概况：</w:t>
      </w:r>
    </w:p>
    <w:p w14:paraId="6C39501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eastAsia="zh-CN"/>
        </w:rPr>
        <w:t>（</w:t>
      </w:r>
      <w:r>
        <w:rPr>
          <w:rFonts w:hint="eastAsia"/>
          <w:color w:val="auto"/>
          <w:sz w:val="24"/>
          <w:szCs w:val="24"/>
          <w:highlight w:val="none"/>
          <w:lang w:val="en-US" w:eastAsia="zh-CN"/>
        </w:rPr>
        <w:t>一</w:t>
      </w:r>
      <w:r>
        <w:rPr>
          <w:rFonts w:hint="eastAsia"/>
          <w:color w:val="auto"/>
          <w:sz w:val="24"/>
          <w:szCs w:val="24"/>
          <w:highlight w:val="none"/>
          <w:lang w:eastAsia="zh-CN"/>
        </w:rPr>
        <w:t>）</w:t>
      </w:r>
      <w:r>
        <w:rPr>
          <w:rFonts w:hint="eastAsia"/>
          <w:color w:val="auto"/>
          <w:sz w:val="24"/>
          <w:szCs w:val="24"/>
          <w:highlight w:val="none"/>
          <w:lang w:val="en-US" w:eastAsia="zh-CN"/>
        </w:rPr>
        <w:t>基本情况：</w:t>
      </w:r>
    </w:p>
    <w:tbl>
      <w:tblPr>
        <w:tblStyle w:val="56"/>
        <w:tblpPr w:leftFromText="180" w:rightFromText="180" w:vertAnchor="text" w:horzAnchor="page" w:tblpX="1533" w:tblpY="294"/>
        <w:tblOverlap w:val="neve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111"/>
        <w:gridCol w:w="6212"/>
      </w:tblGrid>
      <w:tr w14:paraId="49BED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268" w:type="pct"/>
            <w:noWrap w:val="0"/>
            <w:vAlign w:val="center"/>
          </w:tcPr>
          <w:p w14:paraId="62FC41D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物业名称</w:t>
            </w:r>
          </w:p>
        </w:tc>
        <w:tc>
          <w:tcPr>
            <w:tcW w:w="3731" w:type="pct"/>
            <w:noWrap w:val="0"/>
            <w:vAlign w:val="center"/>
          </w:tcPr>
          <w:p w14:paraId="26A68F3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物业地址</w:t>
            </w:r>
          </w:p>
        </w:tc>
      </w:tr>
      <w:tr w14:paraId="6B1FE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268" w:type="pct"/>
            <w:noWrap w:val="0"/>
            <w:vAlign w:val="center"/>
          </w:tcPr>
          <w:p w14:paraId="3D8B1F3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王杰烈士陵园</w:t>
            </w:r>
          </w:p>
        </w:tc>
        <w:tc>
          <w:tcPr>
            <w:tcW w:w="3731" w:type="pct"/>
            <w:noWrap w:val="0"/>
            <w:vAlign w:val="center"/>
          </w:tcPr>
          <w:p w14:paraId="7678CA18">
            <w:pPr>
              <w:keepNext w:val="0"/>
              <w:keepLines w:val="0"/>
              <w:pageBreakBefore w:val="0"/>
              <w:widowControl w:val="0"/>
              <w:kinsoku/>
              <w:wordWrap/>
              <w:overflowPunct/>
              <w:topLinePunct w:val="0"/>
              <w:autoSpaceDE/>
              <w:autoSpaceDN/>
              <w:bidi w:val="0"/>
              <w:adjustRightInd/>
              <w:snapToGrid/>
              <w:spacing w:line="360" w:lineRule="exact"/>
              <w:ind w:left="105" w:leftChars="50" w:firstLineChars="0"/>
              <w:textAlignment w:val="auto"/>
              <w:rPr>
                <w:rFonts w:hint="eastAsia"/>
                <w:color w:val="auto"/>
                <w:sz w:val="22"/>
                <w:szCs w:val="22"/>
                <w:highlight w:val="none"/>
                <w:lang w:val="en-US" w:eastAsia="zh-CN"/>
              </w:rPr>
            </w:pPr>
            <w:r>
              <w:rPr>
                <w:rFonts w:hint="eastAsia"/>
                <w:color w:val="auto"/>
                <w:sz w:val="22"/>
                <w:szCs w:val="22"/>
                <w:highlight w:val="none"/>
                <w:lang w:val="en-US" w:eastAsia="zh-CN"/>
              </w:rPr>
              <w:t>邳州市运河街道南京路1号</w:t>
            </w:r>
          </w:p>
        </w:tc>
      </w:tr>
      <w:tr w14:paraId="3F458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268" w:type="pct"/>
            <w:noWrap w:val="0"/>
            <w:vAlign w:val="center"/>
          </w:tcPr>
          <w:p w14:paraId="5B0369F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小萝卜头纪念馆</w:t>
            </w:r>
          </w:p>
        </w:tc>
        <w:tc>
          <w:tcPr>
            <w:tcW w:w="3731" w:type="pct"/>
            <w:noWrap w:val="0"/>
            <w:vAlign w:val="center"/>
          </w:tcPr>
          <w:p w14:paraId="35FD9E4C">
            <w:pPr>
              <w:keepNext w:val="0"/>
              <w:keepLines w:val="0"/>
              <w:pageBreakBefore w:val="0"/>
              <w:widowControl w:val="0"/>
              <w:kinsoku/>
              <w:wordWrap/>
              <w:overflowPunct/>
              <w:topLinePunct w:val="0"/>
              <w:autoSpaceDE/>
              <w:autoSpaceDN/>
              <w:bidi w:val="0"/>
              <w:adjustRightInd/>
              <w:snapToGrid/>
              <w:spacing w:line="360" w:lineRule="exact"/>
              <w:ind w:left="105" w:leftChars="50" w:firstLineChars="0"/>
              <w:textAlignment w:val="auto"/>
              <w:rPr>
                <w:rFonts w:hint="eastAsia"/>
                <w:color w:val="auto"/>
                <w:sz w:val="22"/>
                <w:szCs w:val="22"/>
                <w:highlight w:val="none"/>
                <w:lang w:val="en-US" w:eastAsia="zh-CN"/>
              </w:rPr>
            </w:pPr>
            <w:r>
              <w:rPr>
                <w:rFonts w:hint="eastAsia"/>
                <w:color w:val="auto"/>
                <w:sz w:val="22"/>
                <w:szCs w:val="22"/>
                <w:highlight w:val="none"/>
                <w:lang w:val="en-US" w:eastAsia="zh-CN"/>
              </w:rPr>
              <w:t>邳州市八路镇山北村</w:t>
            </w:r>
          </w:p>
        </w:tc>
      </w:tr>
    </w:tbl>
    <w:p w14:paraId="6BEF8DCC">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color w:val="auto"/>
          <w:sz w:val="24"/>
          <w:szCs w:val="24"/>
          <w:highlight w:val="none"/>
          <w:lang w:val="en-US" w:eastAsia="zh-CN"/>
        </w:rPr>
      </w:pPr>
    </w:p>
    <w:p w14:paraId="6228041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三、物业服务范围：</w:t>
      </w:r>
    </w:p>
    <w:p w14:paraId="4B4B359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（一）王杰烈士陵园</w:t>
      </w:r>
      <w:r>
        <w:rPr>
          <w:rFonts w:hint="eastAsia"/>
          <w:color w:val="auto"/>
          <w:sz w:val="24"/>
          <w:szCs w:val="24"/>
          <w:highlight w:val="none"/>
        </w:rPr>
        <w:t>物业管理（建筑物）</w:t>
      </w:r>
    </w:p>
    <w:tbl>
      <w:tblPr>
        <w:tblStyle w:val="266"/>
        <w:tblpPr w:leftFromText="180" w:rightFromText="180" w:vertAnchor="text" w:horzAnchor="page" w:tblpX="1548" w:tblpY="308"/>
        <w:tblOverlap w:val="never"/>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40"/>
        <w:gridCol w:w="1912"/>
        <w:gridCol w:w="2618"/>
        <w:gridCol w:w="2469"/>
      </w:tblGrid>
      <w:tr w14:paraId="4888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949" w:type="pct"/>
            <w:gridSpan w:val="2"/>
            <w:noWrap w:val="0"/>
            <w:vAlign w:val="center"/>
          </w:tcPr>
          <w:p w14:paraId="266FA0F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569" w:type="pct"/>
            <w:noWrap w:val="0"/>
            <w:vAlign w:val="center"/>
          </w:tcPr>
          <w:p w14:paraId="09E9CE7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1480" w:type="pct"/>
            <w:noWrap w:val="0"/>
            <w:vAlign w:val="center"/>
          </w:tcPr>
          <w:p w14:paraId="286EFB4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14CA4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949" w:type="pct"/>
            <w:gridSpan w:val="2"/>
            <w:noWrap w:val="0"/>
            <w:vAlign w:val="center"/>
          </w:tcPr>
          <w:p w14:paraId="7612E8B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建筑名称</w:t>
            </w:r>
          </w:p>
        </w:tc>
        <w:tc>
          <w:tcPr>
            <w:tcW w:w="1569" w:type="pct"/>
            <w:noWrap w:val="0"/>
            <w:vAlign w:val="center"/>
          </w:tcPr>
          <w:p w14:paraId="6704CFF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王杰事迹陈列馆、办公用房、纪念亭、烈士墓等</w:t>
            </w:r>
          </w:p>
        </w:tc>
        <w:tc>
          <w:tcPr>
            <w:tcW w:w="1480" w:type="pct"/>
            <w:noWrap w:val="0"/>
            <w:vAlign w:val="center"/>
          </w:tcPr>
          <w:p w14:paraId="07E85A9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7F3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restart"/>
            <w:noWrap w:val="0"/>
            <w:vAlign w:val="center"/>
          </w:tcPr>
          <w:p w14:paraId="60667A2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总面积</w:t>
            </w:r>
          </w:p>
        </w:tc>
        <w:tc>
          <w:tcPr>
            <w:tcW w:w="1146" w:type="pct"/>
            <w:noWrap w:val="0"/>
            <w:vAlign w:val="center"/>
          </w:tcPr>
          <w:p w14:paraId="3CA3E8E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建筑面积（㎡）</w:t>
            </w:r>
          </w:p>
        </w:tc>
        <w:tc>
          <w:tcPr>
            <w:tcW w:w="1569" w:type="pct"/>
            <w:noWrap w:val="0"/>
            <w:vAlign w:val="center"/>
          </w:tcPr>
          <w:p w14:paraId="42B5EF2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3800</w:t>
            </w:r>
            <w:r>
              <w:rPr>
                <w:rFonts w:hint="eastAsia"/>
                <w:color w:val="auto"/>
                <w:sz w:val="22"/>
                <w:szCs w:val="22"/>
                <w:highlight w:val="none"/>
              </w:rPr>
              <w:t>㎡</w:t>
            </w:r>
          </w:p>
        </w:tc>
        <w:tc>
          <w:tcPr>
            <w:tcW w:w="1480" w:type="pct"/>
            <w:noWrap w:val="0"/>
            <w:vAlign w:val="center"/>
          </w:tcPr>
          <w:p w14:paraId="35103D7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095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continue"/>
            <w:noWrap w:val="0"/>
            <w:vAlign w:val="center"/>
          </w:tcPr>
          <w:p w14:paraId="5BDC624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146" w:type="pct"/>
            <w:noWrap w:val="0"/>
            <w:vAlign w:val="center"/>
          </w:tcPr>
          <w:p w14:paraId="5062E55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需保洁面积（㎡）</w:t>
            </w:r>
          </w:p>
        </w:tc>
        <w:tc>
          <w:tcPr>
            <w:tcW w:w="1569" w:type="pct"/>
            <w:noWrap w:val="0"/>
            <w:vAlign w:val="center"/>
          </w:tcPr>
          <w:p w14:paraId="00FA25A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3800</w:t>
            </w:r>
            <w:r>
              <w:rPr>
                <w:rFonts w:hint="eastAsia"/>
                <w:color w:val="auto"/>
                <w:sz w:val="22"/>
                <w:szCs w:val="22"/>
                <w:highlight w:val="none"/>
              </w:rPr>
              <w:t>㎡</w:t>
            </w:r>
          </w:p>
        </w:tc>
        <w:tc>
          <w:tcPr>
            <w:tcW w:w="1480" w:type="pct"/>
            <w:noWrap w:val="0"/>
            <w:vAlign w:val="center"/>
          </w:tcPr>
          <w:p w14:paraId="6C4C5BD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DD73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continue"/>
            <w:noWrap w:val="0"/>
            <w:vAlign w:val="center"/>
          </w:tcPr>
          <w:p w14:paraId="72341E4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146" w:type="pct"/>
            <w:noWrap w:val="0"/>
            <w:vAlign w:val="center"/>
          </w:tcPr>
          <w:p w14:paraId="34CC0C7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会议室数量（个）</w:t>
            </w:r>
          </w:p>
          <w:p w14:paraId="5A9CBBA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及总面积（㎡）</w:t>
            </w:r>
          </w:p>
        </w:tc>
        <w:tc>
          <w:tcPr>
            <w:tcW w:w="1569" w:type="pct"/>
            <w:noWrap w:val="0"/>
            <w:vAlign w:val="center"/>
          </w:tcPr>
          <w:p w14:paraId="16F263F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会议室1个，总面积30</w:t>
            </w:r>
            <w:r>
              <w:rPr>
                <w:rFonts w:hint="eastAsia"/>
                <w:color w:val="auto"/>
                <w:sz w:val="22"/>
                <w:szCs w:val="22"/>
                <w:highlight w:val="none"/>
              </w:rPr>
              <w:t>㎡</w:t>
            </w:r>
          </w:p>
        </w:tc>
        <w:tc>
          <w:tcPr>
            <w:tcW w:w="1480" w:type="pct"/>
            <w:noWrap w:val="0"/>
            <w:vAlign w:val="center"/>
          </w:tcPr>
          <w:p w14:paraId="0315DC9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D7A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continue"/>
            <w:noWrap w:val="0"/>
            <w:vAlign w:val="center"/>
          </w:tcPr>
          <w:p w14:paraId="0024FA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146" w:type="pct"/>
            <w:noWrap w:val="0"/>
            <w:vAlign w:val="center"/>
          </w:tcPr>
          <w:p w14:paraId="7816B7F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报告厅数量（个）</w:t>
            </w:r>
          </w:p>
          <w:p w14:paraId="3B19CE1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及总面积（㎡）</w:t>
            </w:r>
          </w:p>
        </w:tc>
        <w:tc>
          <w:tcPr>
            <w:tcW w:w="1569" w:type="pct"/>
            <w:noWrap w:val="0"/>
            <w:vAlign w:val="center"/>
          </w:tcPr>
          <w:p w14:paraId="559A213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报告厅1个，总面积50㎡</w:t>
            </w:r>
          </w:p>
        </w:tc>
        <w:tc>
          <w:tcPr>
            <w:tcW w:w="1480" w:type="pct"/>
            <w:noWrap w:val="0"/>
            <w:vAlign w:val="center"/>
          </w:tcPr>
          <w:p w14:paraId="4966FD5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2001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16B67EC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卫生间</w:t>
            </w:r>
          </w:p>
        </w:tc>
        <w:tc>
          <w:tcPr>
            <w:tcW w:w="1146" w:type="pct"/>
            <w:noWrap w:val="0"/>
            <w:vAlign w:val="center"/>
          </w:tcPr>
          <w:p w14:paraId="7D300C1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卫生间数量（个）</w:t>
            </w:r>
          </w:p>
          <w:p w14:paraId="560D246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及总面积（㎡）</w:t>
            </w:r>
          </w:p>
        </w:tc>
        <w:tc>
          <w:tcPr>
            <w:tcW w:w="1569" w:type="pct"/>
            <w:noWrap w:val="0"/>
            <w:vAlign w:val="center"/>
          </w:tcPr>
          <w:p w14:paraId="77A17CB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卫生间4个，总面积160㎡</w:t>
            </w:r>
          </w:p>
        </w:tc>
        <w:tc>
          <w:tcPr>
            <w:tcW w:w="1480" w:type="pct"/>
            <w:noWrap w:val="0"/>
            <w:vAlign w:val="center"/>
          </w:tcPr>
          <w:p w14:paraId="56E5F48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7E1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6001E51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垃圾存放点</w:t>
            </w:r>
          </w:p>
        </w:tc>
        <w:tc>
          <w:tcPr>
            <w:tcW w:w="1146" w:type="pct"/>
            <w:noWrap w:val="0"/>
            <w:vAlign w:val="center"/>
          </w:tcPr>
          <w:p w14:paraId="1EC6EF31">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垃圾存放点数量、面积（㎡）</w:t>
            </w:r>
          </w:p>
        </w:tc>
        <w:tc>
          <w:tcPr>
            <w:tcW w:w="1569" w:type="pct"/>
            <w:noWrap w:val="0"/>
            <w:vAlign w:val="center"/>
          </w:tcPr>
          <w:p w14:paraId="0CFE997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rPr>
              <w:t>垃圾存放点</w:t>
            </w:r>
            <w:r>
              <w:rPr>
                <w:rFonts w:hint="eastAsia"/>
                <w:color w:val="auto"/>
                <w:sz w:val="22"/>
                <w:szCs w:val="22"/>
                <w:highlight w:val="none"/>
                <w:lang w:val="en-US" w:eastAsia="zh-CN"/>
              </w:rPr>
              <w:t>2个，</w:t>
            </w:r>
            <w:r>
              <w:rPr>
                <w:rFonts w:hint="eastAsia"/>
                <w:color w:val="auto"/>
                <w:sz w:val="22"/>
                <w:szCs w:val="22"/>
                <w:highlight w:val="none"/>
                <w:lang w:val="en-US"/>
              </w:rPr>
              <w:t>面积</w:t>
            </w:r>
            <w:r>
              <w:rPr>
                <w:rFonts w:hint="eastAsia"/>
                <w:color w:val="auto"/>
                <w:sz w:val="22"/>
                <w:szCs w:val="22"/>
                <w:highlight w:val="none"/>
                <w:lang w:val="en-US" w:eastAsia="zh-CN"/>
              </w:rPr>
              <w:t>15</w:t>
            </w:r>
            <w:r>
              <w:rPr>
                <w:rFonts w:hint="eastAsia"/>
                <w:color w:val="auto"/>
                <w:sz w:val="22"/>
                <w:szCs w:val="22"/>
                <w:highlight w:val="none"/>
                <w:lang w:val="en-US"/>
              </w:rPr>
              <w:t>㎡</w:t>
            </w:r>
          </w:p>
        </w:tc>
        <w:tc>
          <w:tcPr>
            <w:tcW w:w="1480" w:type="pct"/>
            <w:noWrap w:val="0"/>
            <w:vAlign w:val="center"/>
          </w:tcPr>
          <w:p w14:paraId="039641B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5476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2AC4B70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1146" w:type="pct"/>
            <w:noWrap w:val="0"/>
            <w:vAlign w:val="center"/>
          </w:tcPr>
          <w:p w14:paraId="47B5848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1569" w:type="pct"/>
            <w:noWrap w:val="0"/>
            <w:vAlign w:val="center"/>
          </w:tcPr>
          <w:p w14:paraId="2DAE71C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2个</w:t>
            </w:r>
          </w:p>
        </w:tc>
        <w:tc>
          <w:tcPr>
            <w:tcW w:w="1480" w:type="pct"/>
            <w:noWrap w:val="0"/>
            <w:vAlign w:val="center"/>
          </w:tcPr>
          <w:p w14:paraId="39E39F5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5B3A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4CED310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eastAsia="zh-CN"/>
              </w:rPr>
            </w:pPr>
            <w:r>
              <w:rPr>
                <w:rFonts w:hint="eastAsia"/>
                <w:color w:val="auto"/>
                <w:sz w:val="22"/>
                <w:szCs w:val="22"/>
                <w:highlight w:val="none"/>
              </w:rPr>
              <w:t>设施设备</w:t>
            </w:r>
          </w:p>
        </w:tc>
        <w:tc>
          <w:tcPr>
            <w:tcW w:w="1146" w:type="pct"/>
            <w:noWrap w:val="0"/>
            <w:vAlign w:val="center"/>
          </w:tcPr>
          <w:p w14:paraId="7EC954C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电梯系统</w:t>
            </w:r>
          </w:p>
        </w:tc>
        <w:tc>
          <w:tcPr>
            <w:tcW w:w="1569" w:type="pct"/>
            <w:noWrap w:val="0"/>
            <w:vAlign w:val="center"/>
          </w:tcPr>
          <w:p w14:paraId="4EF1563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rPr>
            </w:pPr>
            <w:r>
              <w:rPr>
                <w:rFonts w:hint="eastAsia"/>
                <w:color w:val="auto"/>
                <w:sz w:val="22"/>
                <w:szCs w:val="22"/>
                <w:highlight w:val="none"/>
                <w:lang w:val="en-US" w:eastAsia="zh-CN"/>
              </w:rPr>
              <w:t>客梯数量2个</w:t>
            </w:r>
          </w:p>
        </w:tc>
        <w:tc>
          <w:tcPr>
            <w:tcW w:w="1480" w:type="pct"/>
            <w:noWrap w:val="0"/>
            <w:vAlign w:val="center"/>
          </w:tcPr>
          <w:p w14:paraId="03AF489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382806C1">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color w:val="auto"/>
          <w:sz w:val="24"/>
          <w:szCs w:val="24"/>
          <w:highlight w:val="none"/>
          <w:lang w:val="en-US" w:eastAsia="zh-CN"/>
        </w:rPr>
      </w:pPr>
    </w:p>
    <w:p w14:paraId="4D64D03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（二）</w:t>
      </w:r>
      <w:r>
        <w:rPr>
          <w:rFonts w:hint="eastAsia"/>
          <w:color w:val="auto"/>
          <w:sz w:val="24"/>
          <w:szCs w:val="24"/>
          <w:highlight w:val="none"/>
          <w:lang w:val="en-US" w:eastAsia="zh-CN"/>
        </w:rPr>
        <w:t>王杰烈士陵园</w:t>
      </w:r>
      <w:r>
        <w:rPr>
          <w:rFonts w:hint="eastAsia"/>
          <w:color w:val="auto"/>
          <w:sz w:val="24"/>
          <w:szCs w:val="24"/>
          <w:highlight w:val="none"/>
        </w:rPr>
        <w:t>物业管理（室外）</w:t>
      </w:r>
    </w:p>
    <w:p w14:paraId="1FBFDF8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75"/>
        <w:gridCol w:w="2864"/>
        <w:gridCol w:w="3670"/>
      </w:tblGrid>
      <w:tr w14:paraId="6CCA6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068" w:type="pct"/>
            <w:noWrap w:val="0"/>
            <w:vAlign w:val="center"/>
          </w:tcPr>
          <w:p w14:paraId="1D6245A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723" w:type="pct"/>
            <w:noWrap w:val="0"/>
            <w:vAlign w:val="center"/>
          </w:tcPr>
          <w:p w14:paraId="2F1B56C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2207" w:type="pct"/>
            <w:noWrap w:val="0"/>
            <w:vAlign w:val="center"/>
          </w:tcPr>
          <w:p w14:paraId="09D653B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0D4A2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1068" w:type="pct"/>
            <w:noWrap w:val="0"/>
            <w:vAlign w:val="center"/>
          </w:tcPr>
          <w:p w14:paraId="7EEE92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室外面积</w:t>
            </w:r>
          </w:p>
        </w:tc>
        <w:tc>
          <w:tcPr>
            <w:tcW w:w="1723" w:type="pct"/>
            <w:noWrap w:val="0"/>
            <w:vAlign w:val="center"/>
          </w:tcPr>
          <w:p w14:paraId="7F2D125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31820</w:t>
            </w:r>
            <w:r>
              <w:rPr>
                <w:rFonts w:hint="eastAsia"/>
                <w:color w:val="auto"/>
                <w:sz w:val="22"/>
                <w:szCs w:val="22"/>
                <w:highlight w:val="none"/>
              </w:rPr>
              <w:t>㎡</w:t>
            </w:r>
          </w:p>
        </w:tc>
        <w:tc>
          <w:tcPr>
            <w:tcW w:w="2207" w:type="pct"/>
            <w:noWrap w:val="0"/>
            <w:vAlign w:val="center"/>
          </w:tcPr>
          <w:p w14:paraId="4252E79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79CC7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068" w:type="pct"/>
            <w:noWrap w:val="0"/>
            <w:vAlign w:val="center"/>
          </w:tcPr>
          <w:p w14:paraId="4C1F7A4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绿化</w:t>
            </w:r>
          </w:p>
        </w:tc>
        <w:tc>
          <w:tcPr>
            <w:tcW w:w="1723" w:type="pct"/>
            <w:noWrap w:val="0"/>
            <w:vAlign w:val="center"/>
          </w:tcPr>
          <w:p w14:paraId="25FA034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10200</w:t>
            </w:r>
            <w:r>
              <w:rPr>
                <w:rFonts w:hint="eastAsia"/>
                <w:color w:val="auto"/>
                <w:sz w:val="22"/>
                <w:szCs w:val="22"/>
                <w:highlight w:val="none"/>
              </w:rPr>
              <w:t>㎡</w:t>
            </w:r>
          </w:p>
        </w:tc>
        <w:tc>
          <w:tcPr>
            <w:tcW w:w="2207" w:type="pct"/>
            <w:noWrap w:val="0"/>
            <w:vAlign w:val="center"/>
          </w:tcPr>
          <w:p w14:paraId="19F2250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684F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068" w:type="pct"/>
            <w:noWrap w:val="0"/>
            <w:vAlign w:val="center"/>
          </w:tcPr>
          <w:p w14:paraId="18D74A5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广场</w:t>
            </w:r>
          </w:p>
        </w:tc>
        <w:tc>
          <w:tcPr>
            <w:tcW w:w="1723" w:type="pct"/>
            <w:noWrap w:val="0"/>
            <w:vAlign w:val="center"/>
          </w:tcPr>
          <w:p w14:paraId="767AC85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13320</w:t>
            </w:r>
            <w:r>
              <w:rPr>
                <w:rFonts w:hint="eastAsia"/>
                <w:color w:val="auto"/>
                <w:sz w:val="22"/>
                <w:szCs w:val="22"/>
                <w:highlight w:val="none"/>
              </w:rPr>
              <w:t>㎡</w:t>
            </w:r>
          </w:p>
        </w:tc>
        <w:tc>
          <w:tcPr>
            <w:tcW w:w="2207" w:type="pct"/>
            <w:noWrap w:val="0"/>
            <w:vAlign w:val="center"/>
          </w:tcPr>
          <w:p w14:paraId="47BBE35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54BA6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068" w:type="pct"/>
            <w:noWrap w:val="0"/>
            <w:vAlign w:val="center"/>
          </w:tcPr>
          <w:p w14:paraId="0F8B533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垃圾箱</w:t>
            </w:r>
          </w:p>
        </w:tc>
        <w:tc>
          <w:tcPr>
            <w:tcW w:w="1723" w:type="pct"/>
            <w:noWrap w:val="0"/>
            <w:vAlign w:val="center"/>
          </w:tcPr>
          <w:p w14:paraId="42EB672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20个</w:t>
            </w:r>
          </w:p>
        </w:tc>
        <w:tc>
          <w:tcPr>
            <w:tcW w:w="2207" w:type="pct"/>
            <w:noWrap w:val="0"/>
            <w:vAlign w:val="center"/>
          </w:tcPr>
          <w:p w14:paraId="118B284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7BDEB005">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color w:val="auto"/>
          <w:sz w:val="24"/>
          <w:szCs w:val="24"/>
          <w:highlight w:val="none"/>
          <w:lang w:val="en-US" w:eastAsia="zh-CN"/>
        </w:rPr>
      </w:pPr>
    </w:p>
    <w:p w14:paraId="7EB0878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（三）小萝卜头纪念馆物业管理（建筑物）</w:t>
      </w:r>
    </w:p>
    <w:p w14:paraId="6F4EA88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36"/>
        <w:gridCol w:w="1708"/>
        <w:gridCol w:w="2808"/>
        <w:gridCol w:w="2462"/>
      </w:tblGrid>
      <w:tr w14:paraId="7418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830" w:type="pct"/>
            <w:gridSpan w:val="2"/>
            <w:noWrap w:val="0"/>
            <w:vAlign w:val="center"/>
          </w:tcPr>
          <w:p w14:paraId="0652D4F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688" w:type="pct"/>
            <w:noWrap w:val="0"/>
            <w:vAlign w:val="center"/>
          </w:tcPr>
          <w:p w14:paraId="77E0644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1480" w:type="pct"/>
            <w:noWrap w:val="0"/>
            <w:vAlign w:val="center"/>
          </w:tcPr>
          <w:p w14:paraId="39F2175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7696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830" w:type="pct"/>
            <w:gridSpan w:val="2"/>
            <w:noWrap w:val="0"/>
            <w:vAlign w:val="center"/>
          </w:tcPr>
          <w:p w14:paraId="3859473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建筑名称</w:t>
            </w:r>
          </w:p>
        </w:tc>
        <w:tc>
          <w:tcPr>
            <w:tcW w:w="1688" w:type="pct"/>
            <w:noWrap w:val="0"/>
            <w:vAlign w:val="center"/>
          </w:tcPr>
          <w:p w14:paraId="2EA1388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小萝卜头纪念馆、办公用房等</w:t>
            </w:r>
          </w:p>
        </w:tc>
        <w:tc>
          <w:tcPr>
            <w:tcW w:w="1480" w:type="pct"/>
            <w:noWrap w:val="0"/>
            <w:vAlign w:val="center"/>
          </w:tcPr>
          <w:p w14:paraId="7BE9724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9E9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803" w:type="pct"/>
            <w:vMerge w:val="restart"/>
            <w:noWrap w:val="0"/>
            <w:vAlign w:val="center"/>
          </w:tcPr>
          <w:p w14:paraId="6A4CCCF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总面积</w:t>
            </w:r>
          </w:p>
        </w:tc>
        <w:tc>
          <w:tcPr>
            <w:tcW w:w="1027" w:type="pct"/>
            <w:noWrap w:val="0"/>
            <w:vAlign w:val="center"/>
          </w:tcPr>
          <w:p w14:paraId="5F5C85C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建筑面积（㎡）</w:t>
            </w:r>
          </w:p>
        </w:tc>
        <w:tc>
          <w:tcPr>
            <w:tcW w:w="1688" w:type="pct"/>
            <w:noWrap w:val="0"/>
            <w:vAlign w:val="center"/>
          </w:tcPr>
          <w:p w14:paraId="420D912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2600</w:t>
            </w:r>
            <w:r>
              <w:rPr>
                <w:rFonts w:hint="eastAsia"/>
                <w:color w:val="auto"/>
                <w:sz w:val="22"/>
                <w:szCs w:val="22"/>
                <w:highlight w:val="none"/>
              </w:rPr>
              <w:t>㎡</w:t>
            </w:r>
          </w:p>
        </w:tc>
        <w:tc>
          <w:tcPr>
            <w:tcW w:w="1480" w:type="pct"/>
            <w:noWrap w:val="0"/>
            <w:vAlign w:val="center"/>
          </w:tcPr>
          <w:p w14:paraId="5674392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104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9" w:hRule="atLeast"/>
        </w:trPr>
        <w:tc>
          <w:tcPr>
            <w:tcW w:w="803" w:type="pct"/>
            <w:vMerge w:val="continue"/>
            <w:noWrap w:val="0"/>
            <w:vAlign w:val="center"/>
          </w:tcPr>
          <w:p w14:paraId="6B99EEA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0DA693F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需保洁面积（㎡）</w:t>
            </w:r>
          </w:p>
        </w:tc>
        <w:tc>
          <w:tcPr>
            <w:tcW w:w="1688" w:type="pct"/>
            <w:noWrap w:val="0"/>
            <w:vAlign w:val="center"/>
          </w:tcPr>
          <w:p w14:paraId="7EE4272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2600</w:t>
            </w:r>
            <w:r>
              <w:rPr>
                <w:rFonts w:hint="eastAsia"/>
                <w:color w:val="auto"/>
                <w:sz w:val="22"/>
                <w:szCs w:val="22"/>
                <w:highlight w:val="none"/>
              </w:rPr>
              <w:t>㎡</w:t>
            </w:r>
          </w:p>
        </w:tc>
        <w:tc>
          <w:tcPr>
            <w:tcW w:w="1480" w:type="pct"/>
            <w:noWrap w:val="0"/>
            <w:vAlign w:val="center"/>
          </w:tcPr>
          <w:p w14:paraId="5F7C5C0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C8A3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803" w:type="pct"/>
            <w:vMerge w:val="continue"/>
            <w:noWrap w:val="0"/>
            <w:vAlign w:val="center"/>
          </w:tcPr>
          <w:p w14:paraId="6BE1AA4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1282407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会议室数量（个）</w:t>
            </w:r>
          </w:p>
          <w:p w14:paraId="7871A02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1688" w:type="pct"/>
            <w:noWrap w:val="0"/>
            <w:vAlign w:val="center"/>
          </w:tcPr>
          <w:p w14:paraId="72825F3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会议室1个，总面积40</w:t>
            </w:r>
            <w:r>
              <w:rPr>
                <w:rFonts w:hint="eastAsia"/>
                <w:color w:val="auto"/>
                <w:sz w:val="22"/>
                <w:szCs w:val="22"/>
                <w:highlight w:val="none"/>
              </w:rPr>
              <w:t>㎡</w:t>
            </w:r>
          </w:p>
        </w:tc>
        <w:tc>
          <w:tcPr>
            <w:tcW w:w="1480" w:type="pct"/>
            <w:noWrap w:val="0"/>
            <w:vAlign w:val="center"/>
          </w:tcPr>
          <w:p w14:paraId="5D8992C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76EA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803" w:type="pct"/>
            <w:vMerge w:val="continue"/>
            <w:noWrap w:val="0"/>
            <w:vAlign w:val="center"/>
          </w:tcPr>
          <w:p w14:paraId="2DCA589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03E8488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报告厅数量（个）</w:t>
            </w:r>
          </w:p>
          <w:p w14:paraId="21E9727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1688" w:type="pct"/>
            <w:noWrap w:val="0"/>
            <w:vAlign w:val="center"/>
          </w:tcPr>
          <w:p w14:paraId="7A11FDA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报告厅1个，总面积500㎡</w:t>
            </w:r>
          </w:p>
        </w:tc>
        <w:tc>
          <w:tcPr>
            <w:tcW w:w="1480" w:type="pct"/>
            <w:noWrap w:val="0"/>
            <w:vAlign w:val="center"/>
          </w:tcPr>
          <w:p w14:paraId="25EF77F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A94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803" w:type="pct"/>
            <w:noWrap w:val="0"/>
            <w:vAlign w:val="center"/>
          </w:tcPr>
          <w:p w14:paraId="0FC095A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卫生间</w:t>
            </w:r>
          </w:p>
        </w:tc>
        <w:tc>
          <w:tcPr>
            <w:tcW w:w="1027" w:type="pct"/>
            <w:noWrap w:val="0"/>
            <w:vAlign w:val="center"/>
          </w:tcPr>
          <w:p w14:paraId="20EDD31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卫生间数量（个）</w:t>
            </w:r>
          </w:p>
          <w:p w14:paraId="635648F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1688" w:type="pct"/>
            <w:noWrap w:val="0"/>
            <w:vAlign w:val="center"/>
          </w:tcPr>
          <w:p w14:paraId="0FE1982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卫生间3个，总面积45㎡</w:t>
            </w:r>
          </w:p>
        </w:tc>
        <w:tc>
          <w:tcPr>
            <w:tcW w:w="1480" w:type="pct"/>
            <w:noWrap w:val="0"/>
            <w:vAlign w:val="center"/>
          </w:tcPr>
          <w:p w14:paraId="56C73BA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44E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399BDFE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消防箱</w:t>
            </w:r>
          </w:p>
        </w:tc>
        <w:tc>
          <w:tcPr>
            <w:tcW w:w="1027" w:type="pct"/>
            <w:noWrap w:val="0"/>
            <w:vAlign w:val="center"/>
          </w:tcPr>
          <w:p w14:paraId="1F3AD70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消防箱数量（个）</w:t>
            </w:r>
          </w:p>
        </w:tc>
        <w:tc>
          <w:tcPr>
            <w:tcW w:w="1688" w:type="pct"/>
            <w:noWrap w:val="0"/>
            <w:vAlign w:val="center"/>
          </w:tcPr>
          <w:p w14:paraId="10E6327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18个</w:t>
            </w:r>
          </w:p>
        </w:tc>
        <w:tc>
          <w:tcPr>
            <w:tcW w:w="1480" w:type="pct"/>
            <w:noWrap w:val="0"/>
            <w:vAlign w:val="center"/>
          </w:tcPr>
          <w:p w14:paraId="39F236B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F3D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5A6C669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1027" w:type="pct"/>
            <w:noWrap w:val="0"/>
            <w:vAlign w:val="center"/>
          </w:tcPr>
          <w:p w14:paraId="16E2C4B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人行口</w:t>
            </w:r>
          </w:p>
        </w:tc>
        <w:tc>
          <w:tcPr>
            <w:tcW w:w="1688" w:type="pct"/>
            <w:noWrap w:val="0"/>
            <w:vAlign w:val="center"/>
          </w:tcPr>
          <w:p w14:paraId="208D828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2个</w:t>
            </w:r>
          </w:p>
        </w:tc>
        <w:tc>
          <w:tcPr>
            <w:tcW w:w="1480" w:type="pct"/>
            <w:noWrap w:val="0"/>
            <w:vAlign w:val="center"/>
          </w:tcPr>
          <w:p w14:paraId="586978D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9F1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68A2A3E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eastAsia="宋体"/>
                <w:color w:val="auto"/>
                <w:sz w:val="22"/>
                <w:szCs w:val="22"/>
                <w:highlight w:val="none"/>
                <w:lang w:val="en-US" w:eastAsia="zh-CN"/>
              </w:rPr>
            </w:pPr>
            <w:r>
              <w:rPr>
                <w:rFonts w:hint="eastAsia"/>
                <w:color w:val="auto"/>
                <w:sz w:val="22"/>
                <w:szCs w:val="22"/>
                <w:highlight w:val="none"/>
                <w:lang w:val="en-US" w:eastAsia="zh-CN"/>
              </w:rPr>
              <w:t>消防及配电室</w:t>
            </w:r>
          </w:p>
        </w:tc>
        <w:tc>
          <w:tcPr>
            <w:tcW w:w="1027" w:type="pct"/>
            <w:noWrap w:val="0"/>
            <w:vAlign w:val="center"/>
          </w:tcPr>
          <w:p w14:paraId="0FC9592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eastAsia="宋体"/>
                <w:color w:val="auto"/>
                <w:sz w:val="22"/>
                <w:szCs w:val="22"/>
                <w:highlight w:val="none"/>
                <w:lang w:val="en-US" w:eastAsia="zh-CN"/>
              </w:rPr>
            </w:pPr>
            <w:r>
              <w:rPr>
                <w:rFonts w:hint="eastAsia"/>
                <w:color w:val="auto"/>
                <w:sz w:val="22"/>
                <w:szCs w:val="22"/>
                <w:highlight w:val="none"/>
              </w:rPr>
              <w:t>总面积（㎡）</w:t>
            </w:r>
          </w:p>
        </w:tc>
        <w:tc>
          <w:tcPr>
            <w:tcW w:w="1688" w:type="pct"/>
            <w:noWrap w:val="0"/>
            <w:vAlign w:val="center"/>
          </w:tcPr>
          <w:p w14:paraId="0A1CB3D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500㎡</w:t>
            </w:r>
          </w:p>
        </w:tc>
        <w:tc>
          <w:tcPr>
            <w:tcW w:w="1480" w:type="pct"/>
            <w:noWrap w:val="0"/>
            <w:vAlign w:val="center"/>
          </w:tcPr>
          <w:p w14:paraId="55A86A6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68F5B075">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160BDF0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（四）小萝卜头纪念馆物业管理物业管理（室外）</w:t>
      </w:r>
    </w:p>
    <w:p w14:paraId="618A8F3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15"/>
        <w:gridCol w:w="2861"/>
        <w:gridCol w:w="3534"/>
      </w:tblGrid>
      <w:tr w14:paraId="5BC25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61EC395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721" w:type="pct"/>
            <w:noWrap w:val="0"/>
            <w:vAlign w:val="center"/>
          </w:tcPr>
          <w:p w14:paraId="2D2CC4C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2126" w:type="pct"/>
            <w:noWrap w:val="0"/>
            <w:vAlign w:val="center"/>
          </w:tcPr>
          <w:p w14:paraId="5BB784B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09009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1152" w:type="pct"/>
            <w:noWrap w:val="0"/>
            <w:vAlign w:val="center"/>
          </w:tcPr>
          <w:p w14:paraId="3BAA4CC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室外面积</w:t>
            </w:r>
          </w:p>
        </w:tc>
        <w:tc>
          <w:tcPr>
            <w:tcW w:w="1721" w:type="pct"/>
            <w:noWrap w:val="0"/>
            <w:vAlign w:val="center"/>
          </w:tcPr>
          <w:p w14:paraId="6E600BD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46216</w:t>
            </w:r>
            <w:r>
              <w:rPr>
                <w:rFonts w:hint="eastAsia"/>
                <w:color w:val="auto"/>
                <w:sz w:val="22"/>
                <w:szCs w:val="22"/>
                <w:highlight w:val="none"/>
              </w:rPr>
              <w:t>㎡</w:t>
            </w:r>
          </w:p>
        </w:tc>
        <w:tc>
          <w:tcPr>
            <w:tcW w:w="2126" w:type="pct"/>
            <w:noWrap w:val="0"/>
            <w:vAlign w:val="center"/>
          </w:tcPr>
          <w:p w14:paraId="28FAADE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6207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152" w:type="pct"/>
            <w:noWrap w:val="0"/>
            <w:vAlign w:val="center"/>
          </w:tcPr>
          <w:p w14:paraId="7AA27DC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绿化</w:t>
            </w:r>
          </w:p>
        </w:tc>
        <w:tc>
          <w:tcPr>
            <w:tcW w:w="1721" w:type="pct"/>
            <w:noWrap w:val="0"/>
            <w:vAlign w:val="center"/>
          </w:tcPr>
          <w:p w14:paraId="6C09163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34216</w:t>
            </w:r>
            <w:r>
              <w:rPr>
                <w:rFonts w:hint="eastAsia"/>
                <w:color w:val="auto"/>
                <w:sz w:val="22"/>
                <w:szCs w:val="22"/>
                <w:highlight w:val="none"/>
              </w:rPr>
              <w:t>㎡</w:t>
            </w:r>
          </w:p>
        </w:tc>
        <w:tc>
          <w:tcPr>
            <w:tcW w:w="2126" w:type="pct"/>
            <w:noWrap w:val="0"/>
            <w:vAlign w:val="center"/>
          </w:tcPr>
          <w:p w14:paraId="7FDAE3F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99F7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152" w:type="pct"/>
            <w:noWrap w:val="0"/>
            <w:vAlign w:val="center"/>
          </w:tcPr>
          <w:p w14:paraId="13C710E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广场</w:t>
            </w:r>
          </w:p>
        </w:tc>
        <w:tc>
          <w:tcPr>
            <w:tcW w:w="1721" w:type="pct"/>
            <w:noWrap w:val="0"/>
            <w:vAlign w:val="center"/>
          </w:tcPr>
          <w:p w14:paraId="7DC03CF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12000</w:t>
            </w:r>
            <w:r>
              <w:rPr>
                <w:rFonts w:hint="eastAsia"/>
                <w:color w:val="auto"/>
                <w:sz w:val="22"/>
                <w:szCs w:val="22"/>
                <w:highlight w:val="none"/>
              </w:rPr>
              <w:t>㎡</w:t>
            </w:r>
          </w:p>
        </w:tc>
        <w:tc>
          <w:tcPr>
            <w:tcW w:w="2126" w:type="pct"/>
            <w:noWrap w:val="0"/>
            <w:vAlign w:val="center"/>
          </w:tcPr>
          <w:p w14:paraId="6C05B84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22280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152" w:type="pct"/>
            <w:noWrap w:val="0"/>
            <w:vAlign w:val="center"/>
          </w:tcPr>
          <w:p w14:paraId="483472A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消防栓</w:t>
            </w:r>
          </w:p>
        </w:tc>
        <w:tc>
          <w:tcPr>
            <w:tcW w:w="1721" w:type="pct"/>
            <w:noWrap w:val="0"/>
            <w:vAlign w:val="center"/>
          </w:tcPr>
          <w:p w14:paraId="1F375C2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4个</w:t>
            </w:r>
          </w:p>
        </w:tc>
        <w:tc>
          <w:tcPr>
            <w:tcW w:w="2126" w:type="pct"/>
            <w:noWrap w:val="0"/>
            <w:vAlign w:val="center"/>
          </w:tcPr>
          <w:p w14:paraId="20853D3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1663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59580ED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垃圾箱</w:t>
            </w:r>
          </w:p>
        </w:tc>
        <w:tc>
          <w:tcPr>
            <w:tcW w:w="1721" w:type="pct"/>
            <w:noWrap w:val="0"/>
            <w:vAlign w:val="center"/>
          </w:tcPr>
          <w:p w14:paraId="3FD4ED3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5个</w:t>
            </w:r>
          </w:p>
        </w:tc>
        <w:tc>
          <w:tcPr>
            <w:tcW w:w="2126" w:type="pct"/>
            <w:noWrap w:val="0"/>
            <w:vAlign w:val="center"/>
          </w:tcPr>
          <w:p w14:paraId="65BAC08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1C7E1BCD">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p w14:paraId="65A593C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四、物业管理服务内容及标准</w:t>
      </w:r>
    </w:p>
    <w:p w14:paraId="512F5EB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（一）</w:t>
      </w:r>
      <w:r>
        <w:rPr>
          <w:rFonts w:hint="eastAsia" w:ascii="Times New Roman" w:hAnsi="Times New Roman" w:eastAsia="宋体" w:cs="Times New Roman"/>
          <w:color w:val="auto"/>
          <w:sz w:val="24"/>
          <w:szCs w:val="24"/>
          <w:highlight w:val="none"/>
          <w:lang w:val="en-US" w:eastAsia="zh-CN" w:bidi="ar-SA"/>
        </w:rPr>
        <w:t>物业管理服务包括基本服务、保洁服务、安保服务、公用设施设备维护服务、公共设施节水、节电、节能管理、处理突发事件</w:t>
      </w:r>
      <w:r>
        <w:rPr>
          <w:rFonts w:hint="eastAsia"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物业移交</w:t>
      </w:r>
      <w:r>
        <w:rPr>
          <w:rFonts w:hint="eastAsia" w:cs="Times New Roman"/>
          <w:color w:val="auto"/>
          <w:sz w:val="24"/>
          <w:szCs w:val="24"/>
          <w:highlight w:val="none"/>
          <w:lang w:val="en-US" w:eastAsia="zh-CN" w:bidi="ar-SA"/>
        </w:rPr>
        <w:t>等。</w:t>
      </w:r>
    </w:p>
    <w:p w14:paraId="788BA90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1.基本服务</w:t>
      </w:r>
      <w:r>
        <w:rPr>
          <w:rFonts w:hint="eastAsia" w:cs="Times New Roman"/>
          <w:color w:val="auto"/>
          <w:sz w:val="24"/>
          <w:szCs w:val="24"/>
          <w:highlight w:val="none"/>
          <w:lang w:val="en-US" w:eastAsia="zh-CN" w:bidi="ar-SA"/>
        </w:rPr>
        <w:t>。</w:t>
      </w:r>
    </w:p>
    <w:p w14:paraId="522D726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5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7"/>
        <w:gridCol w:w="1258"/>
        <w:gridCol w:w="6095"/>
      </w:tblGrid>
      <w:tr w14:paraId="18AD3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Align w:val="center"/>
          </w:tcPr>
          <w:p w14:paraId="6B1CC29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序号</w:t>
            </w:r>
          </w:p>
        </w:tc>
        <w:tc>
          <w:tcPr>
            <w:tcW w:w="738" w:type="pct"/>
            <w:vAlign w:val="center"/>
          </w:tcPr>
          <w:p w14:paraId="3BB1012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服务内容</w:t>
            </w:r>
          </w:p>
        </w:tc>
        <w:tc>
          <w:tcPr>
            <w:tcW w:w="3576" w:type="pct"/>
            <w:vAlign w:val="center"/>
          </w:tcPr>
          <w:p w14:paraId="3DEC56D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服务标准</w:t>
            </w:r>
          </w:p>
        </w:tc>
      </w:tr>
      <w:tr w14:paraId="31E53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Align w:val="center"/>
          </w:tcPr>
          <w:p w14:paraId="616EEB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1</w:t>
            </w:r>
          </w:p>
        </w:tc>
        <w:tc>
          <w:tcPr>
            <w:tcW w:w="738" w:type="pct"/>
            <w:vAlign w:val="center"/>
          </w:tcPr>
          <w:p w14:paraId="3AAD3D0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目标与责任</w:t>
            </w:r>
          </w:p>
        </w:tc>
        <w:tc>
          <w:tcPr>
            <w:tcW w:w="3576" w:type="pct"/>
            <w:vAlign w:val="center"/>
          </w:tcPr>
          <w:p w14:paraId="5DACD1C9">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（1）结合采购人要求及物业服务实际情况，制定年度管理目标，明确责任分工，并制定配套实施方案。</w:t>
            </w:r>
          </w:p>
        </w:tc>
      </w:tr>
      <w:tr w14:paraId="58D3B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3B1904A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2</w:t>
            </w:r>
          </w:p>
        </w:tc>
        <w:tc>
          <w:tcPr>
            <w:tcW w:w="738" w:type="pct"/>
            <w:vMerge w:val="restart"/>
            <w:vAlign w:val="center"/>
          </w:tcPr>
          <w:p w14:paraId="7A0E05D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服务人员</w:t>
            </w:r>
          </w:p>
          <w:p w14:paraId="482E201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要求</w:t>
            </w:r>
          </w:p>
        </w:tc>
        <w:tc>
          <w:tcPr>
            <w:tcW w:w="3576" w:type="pct"/>
            <w:vAlign w:val="center"/>
          </w:tcPr>
          <w:p w14:paraId="134EF18B">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（1）每</w:t>
            </w:r>
            <w:r>
              <w:rPr>
                <w:rFonts w:hint="eastAsia"/>
                <w:color w:val="auto"/>
                <w:sz w:val="22"/>
                <w:szCs w:val="22"/>
                <w:highlight w:val="none"/>
                <w:lang w:val="en-US" w:eastAsia="zh-CN"/>
              </w:rPr>
              <w:t>半年</w:t>
            </w:r>
            <w:r>
              <w:rPr>
                <w:rFonts w:hint="eastAsia"/>
                <w:color w:val="auto"/>
                <w:sz w:val="22"/>
                <w:szCs w:val="22"/>
                <w:highlight w:val="none"/>
                <w:lang w:val="en-US"/>
              </w:rPr>
              <w:t>至少开展 1 次岗位技能、职业素质、服务知识、客户文化、绿色节能环保等教育培训，并进行适当形式的考核。</w:t>
            </w:r>
          </w:p>
        </w:tc>
      </w:tr>
      <w:tr w14:paraId="119B4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67C8290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9BE2A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30DE03F3">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（2）根据采购人要求对服务人员进行从业资格审查，审查结果向采购人报备。</w:t>
            </w:r>
          </w:p>
        </w:tc>
      </w:tr>
      <w:tr w14:paraId="26C61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34DA388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6042A9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291FD6FA">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1CAAA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773553F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434DFEE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54EE405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p>
        </w:tc>
      </w:tr>
      <w:tr w14:paraId="31EAC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3D33D17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4C1624E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489B485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（5）着装分类统一，佩戴标识。仪容整洁、姿态端正、举止文明。用语文明礼貌，态度温和耐心。</w:t>
            </w:r>
          </w:p>
        </w:tc>
      </w:tr>
      <w:tr w14:paraId="3DBBC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6D3EA0E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3</w:t>
            </w:r>
          </w:p>
        </w:tc>
        <w:tc>
          <w:tcPr>
            <w:tcW w:w="738" w:type="pct"/>
            <w:vMerge w:val="restart"/>
            <w:vAlign w:val="center"/>
          </w:tcPr>
          <w:p w14:paraId="7A7381A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档案管理</w:t>
            </w:r>
          </w:p>
        </w:tc>
        <w:tc>
          <w:tcPr>
            <w:tcW w:w="3576" w:type="pct"/>
            <w:vAlign w:val="center"/>
          </w:tcPr>
          <w:p w14:paraId="01D50678">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（1）建立物业信息，准确、及时地对文件资料和服务记录进行归档保存，并确保其物理安全。</w:t>
            </w:r>
          </w:p>
        </w:tc>
      </w:tr>
      <w:tr w14:paraId="4125D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55C61F2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15E6FB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12DB123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（2）档案和记录齐全，包括但不限于：①采购人建议与投诉等。教育培训和考核记录。保密、思想 政治教育培训记录。②保洁服务：工作日志、清洁检查表、用品清单、客户反馈表等。 ③保安服务：监控记录、突发事件演习与处置记录等。④公用设施设备维护服务：设备台账、设备卡、使用说明、维保记录、巡查记录、设施设备安全运行、设施设备定期巡检、维护保养、维修档案等。</w:t>
            </w:r>
          </w:p>
        </w:tc>
      </w:tr>
      <w:tr w14:paraId="6520F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0D9603A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4F96972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6F3A7DC4">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（3）遵守采购人的信息、档案资料保密要求，未经许可，不得将建筑物平面图等资料转作其他用途或向其他单位、个人提供。</w:t>
            </w:r>
          </w:p>
        </w:tc>
      </w:tr>
      <w:tr w14:paraId="31150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734FD7E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620D5D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222FF786">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（4）履约结束后，相关资料交还采购人，采购人按政府采购相关规定存档。</w:t>
            </w:r>
          </w:p>
        </w:tc>
      </w:tr>
      <w:tr w14:paraId="5113C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1428FBB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4</w:t>
            </w:r>
          </w:p>
        </w:tc>
        <w:tc>
          <w:tcPr>
            <w:tcW w:w="738" w:type="pct"/>
            <w:vMerge w:val="restart"/>
            <w:vAlign w:val="center"/>
          </w:tcPr>
          <w:p w14:paraId="652C48C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服务改进</w:t>
            </w:r>
          </w:p>
        </w:tc>
        <w:tc>
          <w:tcPr>
            <w:tcW w:w="3576" w:type="pct"/>
            <w:vAlign w:val="center"/>
          </w:tcPr>
          <w:p w14:paraId="66E09FBC">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（1）明确负责人，定期对物业服务过程进行自查，结合反馈意见与评价结果采取改进措施，持续提升管理与服务水平。</w:t>
            </w:r>
          </w:p>
        </w:tc>
      </w:tr>
      <w:tr w14:paraId="29A88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44B194B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EF922F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76B7DD37">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（2）对不合格服务进行控制，对不合格服务的原因进行识别和分析，及时采取纠正措施，消除不合格的原因，防止不合格再发生。</w:t>
            </w:r>
          </w:p>
        </w:tc>
      </w:tr>
      <w:tr w14:paraId="5D152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418B8E7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7CFED4F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537B2D9C">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（3）需整改问题及时整改完成。</w:t>
            </w:r>
          </w:p>
        </w:tc>
      </w:tr>
      <w:tr w14:paraId="62111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36A16B2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lang w:val="en-US" w:eastAsia="zh-CN"/>
              </w:rPr>
              <w:t>5</w:t>
            </w:r>
          </w:p>
        </w:tc>
        <w:tc>
          <w:tcPr>
            <w:tcW w:w="738" w:type="pct"/>
            <w:vMerge w:val="restart"/>
            <w:vAlign w:val="center"/>
          </w:tcPr>
          <w:p w14:paraId="6F1FE30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服务方案及工作制度</w:t>
            </w:r>
          </w:p>
        </w:tc>
        <w:tc>
          <w:tcPr>
            <w:tcW w:w="3576" w:type="pct"/>
            <w:vAlign w:val="center"/>
          </w:tcPr>
          <w:p w14:paraId="4334E54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（1）制定工作制度，主要包括：人员录用制度、档案管理制度、物业服务管理制度、</w:t>
            </w:r>
            <w:r>
              <w:rPr>
                <w:rFonts w:hint="eastAsia"/>
                <w:color w:val="auto"/>
                <w:sz w:val="22"/>
                <w:szCs w:val="22"/>
                <w:highlight w:val="none"/>
                <w:lang w:val="en-US" w:eastAsia="zh-CN"/>
              </w:rPr>
              <w:t>安保服务管理制度、</w:t>
            </w:r>
            <w:r>
              <w:rPr>
                <w:rFonts w:hint="eastAsia"/>
                <w:color w:val="auto"/>
                <w:sz w:val="22"/>
                <w:szCs w:val="22"/>
                <w:highlight w:val="none"/>
                <w:lang w:val="en-US"/>
              </w:rPr>
              <w:t>公用设施设备相关管理制度等。</w:t>
            </w:r>
          </w:p>
        </w:tc>
      </w:tr>
      <w:tr w14:paraId="3BAC5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5AD650F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6DD007E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35742597">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（2）制定项目实施方案，主要包括：交接方案、人员培训方案、人员稳定性方案、保密方案等。</w:t>
            </w:r>
          </w:p>
        </w:tc>
      </w:tr>
      <w:tr w14:paraId="718DB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081CA40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4514524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3D93160D">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 xml:space="preserve">（3）制定物业服务方案 </w:t>
            </w:r>
          </w:p>
        </w:tc>
      </w:tr>
    </w:tbl>
    <w:p w14:paraId="6D66F287">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51BC262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2.保洁服务</w:t>
      </w:r>
    </w:p>
    <w:p w14:paraId="2DB0EF6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5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6"/>
        <w:gridCol w:w="1348"/>
        <w:gridCol w:w="5996"/>
      </w:tblGrid>
      <w:tr w14:paraId="13C66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Align w:val="center"/>
          </w:tcPr>
          <w:p w14:paraId="4FB1436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序号</w:t>
            </w:r>
          </w:p>
        </w:tc>
        <w:tc>
          <w:tcPr>
            <w:tcW w:w="791" w:type="pct"/>
            <w:vAlign w:val="center"/>
          </w:tcPr>
          <w:p w14:paraId="3D4D349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服务内容</w:t>
            </w:r>
          </w:p>
        </w:tc>
        <w:tc>
          <w:tcPr>
            <w:tcW w:w="3517" w:type="pct"/>
            <w:vAlign w:val="center"/>
          </w:tcPr>
          <w:p w14:paraId="1E80495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服务标准</w:t>
            </w:r>
          </w:p>
        </w:tc>
      </w:tr>
      <w:tr w14:paraId="5AC77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72455F7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791" w:type="pct"/>
            <w:vMerge w:val="restart"/>
            <w:vAlign w:val="center"/>
          </w:tcPr>
          <w:p w14:paraId="24B5F93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基本要求</w:t>
            </w:r>
          </w:p>
        </w:tc>
        <w:tc>
          <w:tcPr>
            <w:tcW w:w="3517" w:type="pct"/>
            <w:vAlign w:val="center"/>
          </w:tcPr>
          <w:p w14:paraId="02FB3C9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（1）建立保洁服务的工作制度及工作计划，并按照执行。</w:t>
            </w:r>
          </w:p>
        </w:tc>
      </w:tr>
      <w:tr w14:paraId="527E4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2A695B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1B4FD7E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7317B02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（2）做好保洁服务工作记录，记录填写规范、保存完好。</w:t>
            </w:r>
          </w:p>
        </w:tc>
      </w:tr>
      <w:tr w14:paraId="1CA46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116432C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4EC057F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4AE8428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（3）作业时采取安全防护措施，防止对作业人员或他人造成伤害。相关耗材的环保、安全性等应当符合国家相关规定要求。</w:t>
            </w:r>
          </w:p>
        </w:tc>
      </w:tr>
      <w:tr w14:paraId="12F76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16C9178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6104F9D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p>
        </w:tc>
        <w:tc>
          <w:tcPr>
            <w:tcW w:w="3517" w:type="pct"/>
            <w:vAlign w:val="center"/>
          </w:tcPr>
          <w:p w14:paraId="1BA6A96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eastAsia="zh-CN"/>
              </w:rPr>
              <w:t>（</w:t>
            </w:r>
            <w:r>
              <w:rPr>
                <w:rFonts w:hint="eastAsia"/>
                <w:color w:val="auto"/>
                <w:sz w:val="22"/>
                <w:szCs w:val="22"/>
                <w:highlight w:val="none"/>
                <w:lang w:val="en-US" w:eastAsia="zh-CN"/>
              </w:rPr>
              <w:t>4</w:t>
            </w:r>
            <w:r>
              <w:rPr>
                <w:rFonts w:hint="eastAsia"/>
                <w:color w:val="auto"/>
                <w:sz w:val="22"/>
                <w:szCs w:val="22"/>
                <w:highlight w:val="none"/>
                <w:lang w:eastAsia="zh-CN"/>
              </w:rPr>
              <w:t>）</w:t>
            </w:r>
            <w:r>
              <w:rPr>
                <w:rFonts w:hint="eastAsia"/>
                <w:color w:val="auto"/>
                <w:sz w:val="22"/>
                <w:szCs w:val="22"/>
                <w:highlight w:val="none"/>
                <w:lang w:val="en-US" w:eastAsia="zh-CN"/>
              </w:rPr>
              <w:t>保洁服务时间为</w:t>
            </w:r>
            <w:r>
              <w:rPr>
                <w:rFonts w:hint="eastAsia"/>
                <w:color w:val="auto"/>
                <w:sz w:val="22"/>
                <w:szCs w:val="22"/>
                <w:highlight w:val="none"/>
              </w:rPr>
              <w:t>上午7：00-下午17：00。具体保洁工作、保洁程序及休息时间须不影响工作人员正常生活、工作。</w:t>
            </w:r>
          </w:p>
        </w:tc>
      </w:tr>
      <w:tr w14:paraId="06E83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7B2F20A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791" w:type="pct"/>
            <w:vMerge w:val="restart"/>
            <w:vAlign w:val="center"/>
          </w:tcPr>
          <w:p w14:paraId="51C1CF4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eastAsia="zh-CN"/>
              </w:rPr>
              <w:t>纪念馆及</w:t>
            </w:r>
            <w:r>
              <w:rPr>
                <w:rFonts w:hint="eastAsia"/>
                <w:color w:val="auto"/>
                <w:sz w:val="22"/>
                <w:szCs w:val="22"/>
                <w:highlight w:val="none"/>
                <w:lang w:val="en-US"/>
              </w:rPr>
              <w:t>办公用房区域保洁</w:t>
            </w:r>
          </w:p>
        </w:tc>
        <w:tc>
          <w:tcPr>
            <w:tcW w:w="3517" w:type="pct"/>
            <w:vAlign w:val="center"/>
          </w:tcPr>
          <w:p w14:paraId="7E4EA1B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lang w:val="en-US" w:eastAsia="zh-CN"/>
              </w:rPr>
              <w:t>（1）办公区域：</w:t>
            </w:r>
          </w:p>
          <w:p w14:paraId="704DA95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①</w:t>
            </w:r>
            <w:r>
              <w:rPr>
                <w:rFonts w:hint="eastAsia"/>
                <w:color w:val="auto"/>
                <w:sz w:val="22"/>
                <w:szCs w:val="22"/>
                <w:highlight w:val="none"/>
              </w:rPr>
              <w:t>灯开关、插座：无污渍、无尘渍。</w:t>
            </w:r>
          </w:p>
          <w:p w14:paraId="7E35F28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②纸篓：垃圾及时清理。</w:t>
            </w:r>
          </w:p>
          <w:p w14:paraId="2535595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③地面、墙面、屋面及其附着物无灰尘、无污迹、无杂物、无水迹、无蜘蛛网、表面洁净；</w:t>
            </w:r>
          </w:p>
          <w:p w14:paraId="5A20AC9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rPr>
              <w:t>④家具（桌、椅、凳，橱、柜等）、电器、装饰物及设施无灰尘、无污迹、无水迹、无蜘蛛网、表面洁净干燥；</w:t>
            </w:r>
          </w:p>
        </w:tc>
      </w:tr>
      <w:tr w14:paraId="70867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7F8E68D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A65725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33C17BA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（2）</w:t>
            </w:r>
            <w:r>
              <w:rPr>
                <w:rFonts w:hint="eastAsia"/>
                <w:color w:val="auto"/>
                <w:sz w:val="22"/>
                <w:szCs w:val="22"/>
                <w:highlight w:val="none"/>
              </w:rPr>
              <w:t>楼道与楼层走廊：</w:t>
            </w:r>
          </w:p>
          <w:p w14:paraId="4BB2723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①</w:t>
            </w:r>
            <w:r>
              <w:rPr>
                <w:rFonts w:hint="eastAsia"/>
                <w:color w:val="auto"/>
                <w:sz w:val="22"/>
                <w:szCs w:val="22"/>
                <w:highlight w:val="none"/>
              </w:rPr>
              <w:t>台阶、地面无污渍、污迹、脚印、垃圾、灰尘；</w:t>
            </w:r>
          </w:p>
          <w:p w14:paraId="437E599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②</w:t>
            </w:r>
            <w:r>
              <w:rPr>
                <w:rFonts w:hint="eastAsia"/>
                <w:color w:val="auto"/>
                <w:sz w:val="22"/>
                <w:szCs w:val="22"/>
                <w:highlight w:val="none"/>
              </w:rPr>
              <w:t>扶手、栏杆无灰尘、无污渍、光滑、洁亮；</w:t>
            </w:r>
          </w:p>
          <w:p w14:paraId="2C8F899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③</w:t>
            </w:r>
            <w:r>
              <w:rPr>
                <w:rFonts w:hint="eastAsia"/>
                <w:color w:val="auto"/>
                <w:sz w:val="22"/>
                <w:szCs w:val="22"/>
                <w:highlight w:val="none"/>
              </w:rPr>
              <w:t>墙面（玻璃墙面）、屋面、门窗无灰尘、无污渍、无指印、无蜘蛛网；</w:t>
            </w:r>
          </w:p>
          <w:p w14:paraId="3CF64D8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rPr>
              <w:t>④开关、灯具及罩内无灰尘、无污迹、无虫尸、无蜘蛛网。</w:t>
            </w:r>
          </w:p>
        </w:tc>
      </w:tr>
      <w:tr w14:paraId="0A31A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2F0390C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3C0C489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151F19A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（3）</w:t>
            </w:r>
            <w:r>
              <w:rPr>
                <w:rFonts w:hint="eastAsia"/>
                <w:color w:val="auto"/>
                <w:sz w:val="22"/>
                <w:szCs w:val="22"/>
                <w:highlight w:val="none"/>
              </w:rPr>
              <w:t>机房：</w:t>
            </w:r>
          </w:p>
          <w:p w14:paraId="5EBECF8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rPr>
              <w:t>无灰尘、垃圾、纸屑、烟头、杂物等，门窗洁净光亮</w:t>
            </w:r>
            <w:r>
              <w:rPr>
                <w:rFonts w:hint="eastAsia"/>
                <w:color w:val="auto"/>
                <w:sz w:val="22"/>
                <w:szCs w:val="22"/>
                <w:highlight w:val="none"/>
                <w:lang w:eastAsia="zh-CN"/>
              </w:rPr>
              <w:t>。</w:t>
            </w:r>
          </w:p>
        </w:tc>
      </w:tr>
      <w:tr w14:paraId="59F56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4DDE91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71FC7E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3CE9FFC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lang w:val="en-US"/>
              </w:rPr>
              <w:t>（</w:t>
            </w:r>
            <w:r>
              <w:rPr>
                <w:rFonts w:hint="eastAsia"/>
                <w:color w:val="auto"/>
                <w:sz w:val="22"/>
                <w:szCs w:val="22"/>
                <w:highlight w:val="none"/>
                <w:lang w:val="en-US" w:eastAsia="zh-CN"/>
              </w:rPr>
              <w:t>4</w:t>
            </w:r>
            <w:r>
              <w:rPr>
                <w:rFonts w:hint="eastAsia"/>
                <w:color w:val="auto"/>
                <w:sz w:val="22"/>
                <w:szCs w:val="22"/>
                <w:highlight w:val="none"/>
                <w:lang w:val="en-US"/>
              </w:rPr>
              <w:t>）消防栓（箱）：无尘、无污迹</w:t>
            </w:r>
            <w:r>
              <w:rPr>
                <w:rFonts w:hint="eastAsia"/>
                <w:color w:val="auto"/>
                <w:sz w:val="22"/>
                <w:szCs w:val="22"/>
                <w:highlight w:val="none"/>
                <w:lang w:val="en-US" w:eastAsia="zh-CN"/>
              </w:rPr>
              <w:t>。</w:t>
            </w:r>
          </w:p>
        </w:tc>
      </w:tr>
      <w:tr w14:paraId="12589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306B3E7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90C92E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7EA4463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lang w:val="en-US"/>
              </w:rPr>
              <w:t>（</w:t>
            </w:r>
            <w:r>
              <w:rPr>
                <w:rFonts w:hint="eastAsia"/>
                <w:color w:val="auto"/>
                <w:sz w:val="22"/>
                <w:szCs w:val="22"/>
                <w:highlight w:val="none"/>
                <w:lang w:val="en-US" w:eastAsia="zh-CN"/>
              </w:rPr>
              <w:t>5</w:t>
            </w:r>
            <w:r>
              <w:rPr>
                <w:rFonts w:hint="eastAsia"/>
                <w:color w:val="auto"/>
                <w:sz w:val="22"/>
                <w:szCs w:val="22"/>
                <w:highlight w:val="none"/>
                <w:lang w:val="en-US"/>
              </w:rPr>
              <w:t>）开水间保持干净、无异味、无杂物、无积水</w:t>
            </w:r>
            <w:r>
              <w:rPr>
                <w:rFonts w:hint="eastAsia"/>
                <w:color w:val="auto"/>
                <w:sz w:val="22"/>
                <w:szCs w:val="22"/>
                <w:highlight w:val="none"/>
                <w:lang w:val="en-US" w:eastAsia="zh-CN"/>
              </w:rPr>
              <w:t>。</w:t>
            </w:r>
          </w:p>
        </w:tc>
      </w:tr>
      <w:tr w14:paraId="5583B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5D2135A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AEBD9B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1F88B23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6</w:t>
            </w:r>
            <w:r>
              <w:rPr>
                <w:rFonts w:hint="eastAsia"/>
                <w:color w:val="auto"/>
                <w:sz w:val="22"/>
                <w:szCs w:val="22"/>
                <w:highlight w:val="none"/>
                <w:lang w:val="en-US"/>
              </w:rPr>
              <w:t>）作业工具间：</w:t>
            </w:r>
          </w:p>
          <w:p w14:paraId="32B5C6B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①保持干净，无异味、无杂物、无积水。</w:t>
            </w:r>
          </w:p>
          <w:p w14:paraId="5B421F0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②作业工具摆放整齐有序，表面干净无渍，每日消毒。</w:t>
            </w:r>
          </w:p>
        </w:tc>
      </w:tr>
      <w:tr w14:paraId="63FEF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7A0A390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BEBBBE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5C1C74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eastAsia="zh-CN"/>
              </w:rPr>
              <w:t>（7）</w:t>
            </w:r>
            <w:r>
              <w:rPr>
                <w:rFonts w:hint="eastAsia"/>
                <w:color w:val="auto"/>
                <w:sz w:val="22"/>
                <w:szCs w:val="22"/>
                <w:highlight w:val="none"/>
                <w:lang w:val="en-US"/>
              </w:rPr>
              <w:t>公共卫生间：</w:t>
            </w:r>
          </w:p>
          <w:p w14:paraId="3C085E5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①</w:t>
            </w:r>
            <w:r>
              <w:rPr>
                <w:rFonts w:hint="eastAsia"/>
                <w:color w:val="auto"/>
                <w:sz w:val="22"/>
                <w:szCs w:val="22"/>
                <w:highlight w:val="none"/>
              </w:rPr>
              <w:t>天花板、墙角、灯具：无灰尘、蜘蛛网等；</w:t>
            </w:r>
          </w:p>
          <w:p w14:paraId="76E508B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②</w:t>
            </w:r>
            <w:r>
              <w:rPr>
                <w:rFonts w:hint="eastAsia"/>
                <w:color w:val="auto"/>
                <w:sz w:val="22"/>
                <w:szCs w:val="22"/>
                <w:highlight w:val="none"/>
              </w:rPr>
              <w:t>卫生间大小便器：无污渍、无锈迹、洁净光亮；</w:t>
            </w:r>
          </w:p>
          <w:p w14:paraId="4A240FF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③</w:t>
            </w:r>
            <w:r>
              <w:rPr>
                <w:rFonts w:hint="eastAsia"/>
                <w:color w:val="auto"/>
                <w:sz w:val="22"/>
                <w:szCs w:val="22"/>
                <w:highlight w:val="none"/>
              </w:rPr>
              <w:t>洗脸盘及面盆、镜面：无水渍、无污迹、洁净光亮；</w:t>
            </w:r>
          </w:p>
          <w:p w14:paraId="1D1B09D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④大小便器隔断：内外无灰尘、无污渍、无水渍、无蜘蛛网；</w:t>
            </w:r>
          </w:p>
          <w:p w14:paraId="1AFE678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⑤地面：无烟头、纸屑、污渍、脚印、积水。</w:t>
            </w:r>
          </w:p>
          <w:p w14:paraId="5C806BC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rPr>
              <w:t>⑥墙面、门窗、屋面：无灰尘、无污渍、无蜘蛛网</w:t>
            </w:r>
            <w:r>
              <w:rPr>
                <w:rFonts w:hint="eastAsia"/>
                <w:color w:val="auto"/>
                <w:sz w:val="22"/>
                <w:szCs w:val="22"/>
                <w:highlight w:val="none"/>
                <w:lang w:eastAsia="zh-CN"/>
              </w:rPr>
              <w:t>。</w:t>
            </w:r>
          </w:p>
        </w:tc>
      </w:tr>
      <w:tr w14:paraId="163B3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63A579A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791" w:type="pct"/>
            <w:vMerge w:val="restart"/>
            <w:vAlign w:val="center"/>
          </w:tcPr>
          <w:p w14:paraId="356B234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eastAsia="zh-CN"/>
              </w:rPr>
              <w:t>室外</w:t>
            </w:r>
            <w:r>
              <w:rPr>
                <w:rFonts w:hint="eastAsia"/>
                <w:color w:val="auto"/>
                <w:sz w:val="22"/>
                <w:szCs w:val="22"/>
                <w:highlight w:val="none"/>
                <w:lang w:val="en-US"/>
              </w:rPr>
              <w:t>区域保洁</w:t>
            </w:r>
          </w:p>
        </w:tc>
        <w:tc>
          <w:tcPr>
            <w:tcW w:w="3517" w:type="pct"/>
            <w:vAlign w:val="center"/>
          </w:tcPr>
          <w:p w14:paraId="568FCA0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（1）道路地面、广场等公共区域 保持干净、无杂物、无积水、</w:t>
            </w:r>
            <w:r>
              <w:rPr>
                <w:rFonts w:hint="eastAsia"/>
                <w:color w:val="auto"/>
                <w:sz w:val="22"/>
                <w:szCs w:val="22"/>
                <w:highlight w:val="none"/>
              </w:rPr>
              <w:t>下水道口保持畅通</w:t>
            </w:r>
            <w:r>
              <w:rPr>
                <w:rFonts w:hint="eastAsia"/>
                <w:color w:val="auto"/>
                <w:sz w:val="22"/>
                <w:szCs w:val="22"/>
                <w:highlight w:val="none"/>
                <w:lang w:val="en-US"/>
              </w:rPr>
              <w:t>。</w:t>
            </w:r>
          </w:p>
        </w:tc>
      </w:tr>
      <w:tr w14:paraId="3C1F1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63C591A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60F74FC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2FD2B57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（2）雪、冰冻等恶劣天气时及时清扫积水、积雪，并采取安全防护措施。</w:t>
            </w:r>
          </w:p>
        </w:tc>
      </w:tr>
      <w:tr w14:paraId="19EB0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5D7E696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2A2150F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9558F6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（3）各种路标、宣传栏等保持干净。</w:t>
            </w:r>
          </w:p>
        </w:tc>
      </w:tr>
      <w:tr w14:paraId="655D4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1A73FD6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AFF8A4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E2826B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（4）垃圾桶：桶体光洁无污迹、无痰迹；桶内垃圾不超过容积</w:t>
            </w:r>
            <w:r>
              <w:rPr>
                <w:rFonts w:hint="eastAsia"/>
                <w:color w:val="auto"/>
                <w:sz w:val="22"/>
                <w:szCs w:val="22"/>
                <w:highlight w:val="none"/>
                <w:lang w:val="en-US" w:eastAsia="zh-CN"/>
              </w:rPr>
              <w:t>2</w:t>
            </w:r>
            <w:r>
              <w:rPr>
                <w:rFonts w:hint="eastAsia"/>
                <w:color w:val="auto"/>
                <w:sz w:val="22"/>
                <w:szCs w:val="22"/>
                <w:highlight w:val="none"/>
                <w:lang w:val="en-US"/>
              </w:rPr>
              <w:t>/3。</w:t>
            </w:r>
          </w:p>
        </w:tc>
      </w:tr>
      <w:tr w14:paraId="315FC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006AB4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3F555E3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6A85849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（5）绿化带、池塘内无杂物。</w:t>
            </w:r>
          </w:p>
        </w:tc>
      </w:tr>
      <w:tr w14:paraId="3E56B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2FDE765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791" w:type="pct"/>
            <w:vMerge w:val="restart"/>
            <w:vAlign w:val="center"/>
          </w:tcPr>
          <w:p w14:paraId="46F0A81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垃圾处理</w:t>
            </w:r>
          </w:p>
        </w:tc>
        <w:tc>
          <w:tcPr>
            <w:tcW w:w="3517" w:type="pct"/>
            <w:vAlign w:val="center"/>
          </w:tcPr>
          <w:p w14:paraId="262264F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（1）在指定位置摆放分类垃圾桶，并在显著处张贴垃圾分类标识。分类垃圾桶和垃圾分类标识根据所在城市的要求设置。</w:t>
            </w:r>
          </w:p>
        </w:tc>
      </w:tr>
      <w:tr w14:paraId="12EF4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4992681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DBCED8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667212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（2）桶身表面干净无污渍。</w:t>
            </w:r>
          </w:p>
        </w:tc>
      </w:tr>
      <w:tr w14:paraId="20F48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AFA3B1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9EBB7E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643F6AE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w:t>
            </w:r>
            <w:r>
              <w:rPr>
                <w:rFonts w:hint="eastAsia"/>
                <w:color w:val="auto"/>
                <w:sz w:val="22"/>
                <w:szCs w:val="22"/>
                <w:highlight w:val="none"/>
              </w:rPr>
              <w:t>定期清洁、定期喷洒消毒和灭蚊蝇药物。</w:t>
            </w:r>
          </w:p>
        </w:tc>
      </w:tr>
      <w:tr w14:paraId="4527E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5A750BA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CE5391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1E13CC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4</w:t>
            </w:r>
            <w:r>
              <w:rPr>
                <w:rFonts w:hint="eastAsia"/>
                <w:color w:val="auto"/>
                <w:sz w:val="22"/>
                <w:szCs w:val="22"/>
                <w:highlight w:val="none"/>
                <w:lang w:val="en-US"/>
              </w:rPr>
              <w:t>）垃圾装袋，日产日清。</w:t>
            </w:r>
          </w:p>
        </w:tc>
      </w:tr>
      <w:tr w14:paraId="3C546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4BA8AED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84B4CF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1AD429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5</w:t>
            </w:r>
            <w:r>
              <w:rPr>
                <w:rFonts w:hint="eastAsia"/>
                <w:color w:val="auto"/>
                <w:sz w:val="22"/>
                <w:szCs w:val="22"/>
                <w:highlight w:val="none"/>
                <w:lang w:val="en-US"/>
              </w:rPr>
              <w:t>）做好垃圾分类管理的宣传工作，督促并引导全员参与垃圾分类投放。</w:t>
            </w:r>
          </w:p>
        </w:tc>
      </w:tr>
      <w:tr w14:paraId="4F25D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563EEDC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5</w:t>
            </w:r>
          </w:p>
        </w:tc>
        <w:tc>
          <w:tcPr>
            <w:tcW w:w="791" w:type="pct"/>
            <w:vMerge w:val="restart"/>
            <w:vAlign w:val="center"/>
          </w:tcPr>
          <w:p w14:paraId="02DB244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卫生消毒</w:t>
            </w:r>
          </w:p>
        </w:tc>
        <w:tc>
          <w:tcPr>
            <w:tcW w:w="3517" w:type="pct"/>
            <w:vAlign w:val="center"/>
          </w:tcPr>
          <w:p w14:paraId="12D2AC5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（1）办公用房区域、公共场所区域和周围环境预防性卫生消毒，消毒后及时通风。</w:t>
            </w:r>
          </w:p>
        </w:tc>
      </w:tr>
      <w:tr w14:paraId="1B9E0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48647C6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2A95577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0416B3A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（2）采取综合措施消灭老鼠、蟑螂，控制室内外蚊虫孳生，达到基本无蝇。</w:t>
            </w:r>
          </w:p>
        </w:tc>
      </w:tr>
      <w:tr w14:paraId="6977E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6F5D634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3A95C38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7" w:type="pct"/>
            <w:vAlign w:val="center"/>
          </w:tcPr>
          <w:p w14:paraId="715C29A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（3）发生公共卫生事件时，邀请专业单位开展消毒、检测等工作。</w:t>
            </w:r>
          </w:p>
        </w:tc>
      </w:tr>
      <w:tr w14:paraId="1C87C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Align w:val="center"/>
          </w:tcPr>
          <w:p w14:paraId="188F87B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6</w:t>
            </w:r>
          </w:p>
        </w:tc>
        <w:tc>
          <w:tcPr>
            <w:tcW w:w="791" w:type="pct"/>
            <w:vAlign w:val="center"/>
          </w:tcPr>
          <w:p w14:paraId="06A4B3D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报告厅</w:t>
            </w:r>
          </w:p>
          <w:p w14:paraId="2C2B962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及会议室保洁</w:t>
            </w:r>
          </w:p>
        </w:tc>
        <w:tc>
          <w:tcPr>
            <w:tcW w:w="3517" w:type="pct"/>
            <w:vAlign w:val="center"/>
          </w:tcPr>
          <w:p w14:paraId="2EAD429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rPr>
              <w:t>报告厅及会议室音视频设备、消防栓及开关插座、地面、门窗等保持表面干净，无尘无污迹。</w:t>
            </w:r>
          </w:p>
        </w:tc>
      </w:tr>
    </w:tbl>
    <w:p w14:paraId="3BDA456D">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3870683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3、安保服务</w:t>
      </w:r>
    </w:p>
    <w:p w14:paraId="559A392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31"/>
        <w:gridCol w:w="1826"/>
        <w:gridCol w:w="5357"/>
      </w:tblGrid>
      <w:tr w14:paraId="055D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noWrap w:val="0"/>
            <w:vAlign w:val="center"/>
          </w:tcPr>
          <w:p w14:paraId="3C00EA3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序号</w:t>
            </w:r>
          </w:p>
        </w:tc>
        <w:tc>
          <w:tcPr>
            <w:tcW w:w="1098" w:type="pct"/>
            <w:noWrap w:val="0"/>
            <w:vAlign w:val="center"/>
          </w:tcPr>
          <w:p w14:paraId="1A71916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w:t>
            </w:r>
          </w:p>
        </w:tc>
        <w:tc>
          <w:tcPr>
            <w:tcW w:w="3220" w:type="pct"/>
            <w:noWrap w:val="0"/>
            <w:vAlign w:val="center"/>
          </w:tcPr>
          <w:p w14:paraId="159B555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服务标准</w:t>
            </w:r>
          </w:p>
        </w:tc>
      </w:tr>
      <w:tr w14:paraId="3F64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72B5CC4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1098" w:type="pct"/>
            <w:vMerge w:val="restart"/>
            <w:noWrap w:val="0"/>
            <w:vAlign w:val="center"/>
          </w:tcPr>
          <w:p w14:paraId="623B776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基本要求</w:t>
            </w:r>
          </w:p>
        </w:tc>
        <w:tc>
          <w:tcPr>
            <w:tcW w:w="3220" w:type="pct"/>
            <w:noWrap w:val="0"/>
            <w:vAlign w:val="center"/>
          </w:tcPr>
          <w:p w14:paraId="7B7A4FF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（1）建立保安服务相关制度，并按照执行。</w:t>
            </w:r>
          </w:p>
        </w:tc>
      </w:tr>
      <w:tr w14:paraId="7ABB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598274B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64A9B7D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3819DE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（2）对巡查、值守及异常情况等做好相关记录，填写规范，保存完好。</w:t>
            </w:r>
          </w:p>
        </w:tc>
      </w:tr>
      <w:tr w14:paraId="0ECD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4BCF131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BFEEDA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516475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（3）配备保安服务必要的器材。</w:t>
            </w:r>
          </w:p>
        </w:tc>
      </w:tr>
      <w:tr w14:paraId="4D8F6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4162A93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1098" w:type="pct"/>
            <w:vMerge w:val="restart"/>
            <w:noWrap w:val="0"/>
            <w:vAlign w:val="center"/>
          </w:tcPr>
          <w:p w14:paraId="639F5AB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出入管理</w:t>
            </w:r>
          </w:p>
        </w:tc>
        <w:tc>
          <w:tcPr>
            <w:tcW w:w="3220" w:type="pct"/>
            <w:noWrap w:val="0"/>
            <w:vAlign w:val="center"/>
          </w:tcPr>
          <w:p w14:paraId="17722E1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（1）</w:t>
            </w:r>
            <w:r>
              <w:rPr>
                <w:rFonts w:hint="eastAsia"/>
                <w:color w:val="auto"/>
                <w:sz w:val="22"/>
                <w:szCs w:val="22"/>
                <w:highlight w:val="none"/>
                <w:lang w:val="en-US" w:eastAsia="zh-CN"/>
              </w:rPr>
              <w:t>纪念馆（园）</w:t>
            </w:r>
            <w:r>
              <w:rPr>
                <w:rFonts w:hint="eastAsia"/>
                <w:color w:val="auto"/>
                <w:sz w:val="22"/>
                <w:szCs w:val="22"/>
                <w:highlight w:val="none"/>
              </w:rPr>
              <w:t>主出入口应当实行 24 小时值班制。</w:t>
            </w:r>
          </w:p>
        </w:tc>
      </w:tr>
      <w:tr w14:paraId="439A1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7BFA464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3225AAA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20DA306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（2）设置门岗。</w:t>
            </w:r>
          </w:p>
        </w:tc>
      </w:tr>
      <w:tr w14:paraId="54FD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045F542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23A7811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B22E8E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（3）在出入口对携带大件物品、外来车辆进行询问和记录，并与相关部门取得联系， 同意后方可进入。</w:t>
            </w:r>
          </w:p>
        </w:tc>
      </w:tr>
      <w:tr w14:paraId="7B41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1DD97AF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01F7518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43DBC39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（4）大件物品搬出有相关部门开具的证明和清单，经核实后放行。</w:t>
            </w:r>
          </w:p>
        </w:tc>
      </w:tr>
      <w:tr w14:paraId="0467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6246B2F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3FAA71F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68F857A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（5）排查可疑人员， 对于不出示证件、不按规定登记、不听劝阻而强行闯入者，及时劝离， 必要时 通知公安机关进行处理。</w:t>
            </w:r>
          </w:p>
        </w:tc>
      </w:tr>
      <w:tr w14:paraId="3340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5777CCA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1098" w:type="pct"/>
            <w:vMerge w:val="restart"/>
            <w:noWrap w:val="0"/>
            <w:vAlign w:val="center"/>
          </w:tcPr>
          <w:p w14:paraId="46D553D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值班巡查</w:t>
            </w:r>
          </w:p>
        </w:tc>
        <w:tc>
          <w:tcPr>
            <w:tcW w:w="3220" w:type="pct"/>
            <w:noWrap w:val="0"/>
            <w:vAlign w:val="center"/>
          </w:tcPr>
          <w:p w14:paraId="517583F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（1）建立 24 小时值班巡查制度。</w:t>
            </w:r>
          </w:p>
        </w:tc>
      </w:tr>
      <w:tr w14:paraId="4FE8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3B393B2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01FCC1E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75CD576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（2）制定巡查路线， 按照指定时间执行，加强重点区域、重点部位及装修区域的巡查。</w:t>
            </w:r>
          </w:p>
        </w:tc>
      </w:tr>
      <w:tr w14:paraId="456B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496C315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0F38A17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4D10EB0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（3）巡查期间保持通信设施设备畅通，遇到异常情况立即上报并在现场采取相应措施。</w:t>
            </w:r>
          </w:p>
        </w:tc>
      </w:tr>
      <w:tr w14:paraId="3D38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55F966B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02A10A1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21E75CC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（4）收到</w:t>
            </w:r>
            <w:r>
              <w:rPr>
                <w:rFonts w:hint="eastAsia"/>
                <w:color w:val="auto"/>
                <w:sz w:val="22"/>
                <w:szCs w:val="22"/>
                <w:highlight w:val="none"/>
                <w:lang w:val="en-US" w:eastAsia="zh-CN"/>
              </w:rPr>
              <w:t>场馆负责人</w:t>
            </w:r>
            <w:r>
              <w:rPr>
                <w:rFonts w:hint="eastAsia"/>
                <w:color w:val="auto"/>
                <w:sz w:val="22"/>
                <w:szCs w:val="22"/>
                <w:highlight w:val="none"/>
              </w:rPr>
              <w:t>指令后，巡查人员及时到达指定地点并迅速采取相应措施。</w:t>
            </w:r>
          </w:p>
        </w:tc>
      </w:tr>
      <w:tr w14:paraId="38C8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6F91C03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1098" w:type="pct"/>
            <w:vMerge w:val="restart"/>
            <w:noWrap w:val="0"/>
            <w:vAlign w:val="center"/>
          </w:tcPr>
          <w:p w14:paraId="1B2BE50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监控值守</w:t>
            </w:r>
          </w:p>
        </w:tc>
        <w:tc>
          <w:tcPr>
            <w:tcW w:w="3220" w:type="pct"/>
            <w:noWrap w:val="0"/>
            <w:vAlign w:val="center"/>
          </w:tcPr>
          <w:p w14:paraId="440029E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1</w:t>
            </w:r>
            <w:r>
              <w:rPr>
                <w:rFonts w:hint="eastAsia"/>
                <w:color w:val="auto"/>
                <w:sz w:val="22"/>
                <w:szCs w:val="22"/>
                <w:highlight w:val="none"/>
              </w:rPr>
              <w:t>）监控设备 24 小时正常运行， 监控室实行 24 小时值班制度。</w:t>
            </w:r>
          </w:p>
        </w:tc>
      </w:tr>
      <w:tr w14:paraId="1DF36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3D99069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651E01E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70DBDF8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2</w:t>
            </w:r>
            <w:r>
              <w:rPr>
                <w:rFonts w:hint="eastAsia"/>
                <w:color w:val="auto"/>
                <w:sz w:val="22"/>
                <w:szCs w:val="22"/>
                <w:highlight w:val="none"/>
              </w:rPr>
              <w:t>）值班期间遵守操作规程和保密制度， 做好监控记录的保存工作。</w:t>
            </w:r>
          </w:p>
        </w:tc>
      </w:tr>
      <w:tr w14:paraId="6BB1B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6A71B32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23051A9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215017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3</w:t>
            </w:r>
            <w:r>
              <w:rPr>
                <w:rFonts w:hint="eastAsia"/>
                <w:color w:val="auto"/>
                <w:sz w:val="22"/>
                <w:szCs w:val="22"/>
                <w:highlight w:val="none"/>
              </w:rPr>
              <w:t>）无关人员进入监控室或查阅监控记录，经</w:t>
            </w:r>
            <w:r>
              <w:rPr>
                <w:rFonts w:hint="eastAsia"/>
                <w:color w:val="auto"/>
                <w:sz w:val="22"/>
                <w:szCs w:val="22"/>
                <w:highlight w:val="none"/>
                <w:lang w:val="en-US" w:eastAsia="zh-CN"/>
              </w:rPr>
              <w:t>场馆负责</w:t>
            </w:r>
            <w:r>
              <w:rPr>
                <w:rFonts w:hint="eastAsia"/>
                <w:color w:val="auto"/>
                <w:sz w:val="22"/>
                <w:szCs w:val="22"/>
                <w:highlight w:val="none"/>
              </w:rPr>
              <w:t>人批准并做好相关记录。</w:t>
            </w:r>
          </w:p>
        </w:tc>
      </w:tr>
      <w:tr w14:paraId="20EAE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2C84CF3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AC69B3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34BF259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4</w:t>
            </w:r>
            <w:r>
              <w:rPr>
                <w:rFonts w:hint="eastAsia"/>
                <w:color w:val="auto"/>
                <w:sz w:val="22"/>
                <w:szCs w:val="22"/>
                <w:highlight w:val="none"/>
              </w:rPr>
              <w:t>）监控室收到火情等报警信号、其他异常情况信号后， 及时报警并安排其他安保人员前往现场进 行处理。</w:t>
            </w:r>
          </w:p>
        </w:tc>
      </w:tr>
      <w:tr w14:paraId="71E07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0BA1D77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5</w:t>
            </w:r>
          </w:p>
        </w:tc>
        <w:tc>
          <w:tcPr>
            <w:tcW w:w="1098" w:type="pct"/>
            <w:vMerge w:val="restart"/>
            <w:noWrap w:val="0"/>
            <w:vAlign w:val="center"/>
          </w:tcPr>
          <w:p w14:paraId="65FB225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车辆停放</w:t>
            </w:r>
          </w:p>
        </w:tc>
        <w:tc>
          <w:tcPr>
            <w:tcW w:w="3220" w:type="pct"/>
            <w:noWrap w:val="0"/>
            <w:vAlign w:val="center"/>
          </w:tcPr>
          <w:p w14:paraId="3860331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1</w:t>
            </w:r>
            <w:r>
              <w:rPr>
                <w:rFonts w:hint="eastAsia"/>
                <w:color w:val="auto"/>
                <w:sz w:val="22"/>
                <w:szCs w:val="22"/>
                <w:highlight w:val="none"/>
              </w:rPr>
              <w:t>）对车辆及停放区域实行规范管理。</w:t>
            </w:r>
          </w:p>
        </w:tc>
      </w:tr>
      <w:tr w14:paraId="6603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0572337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D573E2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6E26874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2</w:t>
            </w:r>
            <w:r>
              <w:rPr>
                <w:rFonts w:hint="eastAsia"/>
                <w:color w:val="auto"/>
                <w:sz w:val="22"/>
                <w:szCs w:val="22"/>
                <w:highlight w:val="none"/>
              </w:rPr>
              <w:t>）严禁在办公楼的公用走道、楼梯间、安全出口处等公共区域停放</w:t>
            </w:r>
            <w:r>
              <w:rPr>
                <w:rFonts w:hint="eastAsia"/>
                <w:color w:val="auto"/>
                <w:sz w:val="22"/>
                <w:szCs w:val="22"/>
                <w:highlight w:val="none"/>
                <w:lang w:val="en-US" w:eastAsia="zh-CN"/>
              </w:rPr>
              <w:t>非机动车</w:t>
            </w:r>
            <w:r>
              <w:rPr>
                <w:rFonts w:hint="eastAsia"/>
                <w:color w:val="auto"/>
                <w:sz w:val="22"/>
                <w:szCs w:val="22"/>
                <w:highlight w:val="none"/>
              </w:rPr>
              <w:t>或充电。</w:t>
            </w:r>
          </w:p>
        </w:tc>
      </w:tr>
      <w:tr w14:paraId="74737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58814EF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7197D23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3C6B248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3</w:t>
            </w:r>
            <w:r>
              <w:rPr>
                <w:rFonts w:hint="eastAsia"/>
                <w:color w:val="auto"/>
                <w:sz w:val="22"/>
                <w:szCs w:val="22"/>
                <w:highlight w:val="none"/>
              </w:rPr>
              <w:t>）非机动车定点有序停放。</w:t>
            </w:r>
          </w:p>
        </w:tc>
      </w:tr>
      <w:tr w14:paraId="61AD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1241F4A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3D2847D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695E3E2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4</w:t>
            </w:r>
            <w:r>
              <w:rPr>
                <w:rFonts w:hint="eastAsia"/>
                <w:color w:val="auto"/>
                <w:sz w:val="22"/>
                <w:szCs w:val="22"/>
                <w:highlight w:val="none"/>
              </w:rPr>
              <w:t>）发现车辆异常情况及时通知车主，并做好登记；发生交通事故、自然灾害等意外事故时及时赶赴现场疏导和协助处理， 响应时间不超过 3 分钟。</w:t>
            </w:r>
          </w:p>
        </w:tc>
      </w:tr>
    </w:tbl>
    <w:p w14:paraId="6D67B75D">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p w14:paraId="5F7E2EC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.公用设施设备维护服务</w:t>
      </w:r>
    </w:p>
    <w:p w14:paraId="4A535A2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5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56"/>
        <w:gridCol w:w="1132"/>
        <w:gridCol w:w="6232"/>
      </w:tblGrid>
      <w:tr w14:paraId="5B37D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Align w:val="center"/>
          </w:tcPr>
          <w:p w14:paraId="0B1BCA9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序号</w:t>
            </w:r>
          </w:p>
        </w:tc>
        <w:tc>
          <w:tcPr>
            <w:tcW w:w="664" w:type="pct"/>
            <w:vAlign w:val="center"/>
          </w:tcPr>
          <w:p w14:paraId="739106B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服务内容</w:t>
            </w:r>
          </w:p>
        </w:tc>
        <w:tc>
          <w:tcPr>
            <w:tcW w:w="3656" w:type="pct"/>
            <w:vAlign w:val="center"/>
          </w:tcPr>
          <w:p w14:paraId="3A2FA63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服务标准</w:t>
            </w:r>
          </w:p>
        </w:tc>
      </w:tr>
      <w:tr w14:paraId="46FD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633D4D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1</w:t>
            </w:r>
          </w:p>
        </w:tc>
        <w:tc>
          <w:tcPr>
            <w:tcW w:w="664" w:type="pct"/>
            <w:vMerge w:val="restart"/>
            <w:vAlign w:val="center"/>
          </w:tcPr>
          <w:p w14:paraId="57F5F80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基本要求</w:t>
            </w:r>
          </w:p>
        </w:tc>
        <w:tc>
          <w:tcPr>
            <w:tcW w:w="3656" w:type="pct"/>
            <w:vAlign w:val="center"/>
          </w:tcPr>
          <w:p w14:paraId="1132648A">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（1）重大节假日及恶劣天气前后，组织系统巡检 1 次。</w:t>
            </w:r>
          </w:p>
        </w:tc>
      </w:tr>
      <w:tr w14:paraId="6BE0B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6718AFB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67CF870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0B47F0F9">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w:t>
            </w:r>
            <w:r>
              <w:rPr>
                <w:rFonts w:hint="eastAsia"/>
                <w:color w:val="auto"/>
                <w:sz w:val="22"/>
                <w:szCs w:val="22"/>
                <w:highlight w:val="none"/>
              </w:rPr>
              <w:t>按规定时间开关</w:t>
            </w:r>
            <w:r>
              <w:rPr>
                <w:rFonts w:hint="eastAsia"/>
                <w:color w:val="auto"/>
                <w:sz w:val="22"/>
                <w:szCs w:val="22"/>
                <w:highlight w:val="none"/>
                <w:lang w:val="en-US" w:eastAsia="zh-CN"/>
              </w:rPr>
              <w:t>纪念场馆</w:t>
            </w:r>
            <w:r>
              <w:rPr>
                <w:rFonts w:hint="eastAsia"/>
                <w:color w:val="auto"/>
                <w:sz w:val="22"/>
                <w:szCs w:val="22"/>
                <w:highlight w:val="none"/>
              </w:rPr>
              <w:t>水电，</w:t>
            </w:r>
            <w:r>
              <w:rPr>
                <w:rFonts w:hint="eastAsia"/>
                <w:color w:val="auto"/>
                <w:sz w:val="22"/>
                <w:szCs w:val="22"/>
                <w:highlight w:val="none"/>
                <w:lang w:val="en-US"/>
              </w:rPr>
              <w:t>具备设施设备安全、稳定运行的环境和场所（含有限空间），温湿度、照度、粉尘和烟雾浓度等符合相关安全规范。</w:t>
            </w:r>
          </w:p>
        </w:tc>
      </w:tr>
      <w:tr w14:paraId="1FAFF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43A6F28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2</w:t>
            </w:r>
          </w:p>
        </w:tc>
        <w:tc>
          <w:tcPr>
            <w:tcW w:w="664" w:type="pct"/>
            <w:vMerge w:val="restart"/>
            <w:vAlign w:val="center"/>
          </w:tcPr>
          <w:p w14:paraId="27CDC69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给排水系统</w:t>
            </w:r>
          </w:p>
        </w:tc>
        <w:tc>
          <w:tcPr>
            <w:tcW w:w="3656" w:type="pct"/>
            <w:vAlign w:val="center"/>
          </w:tcPr>
          <w:p w14:paraId="36BEFA3A">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（1）设施设备、阀门、管道等运行正常，无跑、冒、滴、漏现象。</w:t>
            </w:r>
          </w:p>
        </w:tc>
      </w:tr>
      <w:tr w14:paraId="39C48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7428488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p>
        </w:tc>
        <w:tc>
          <w:tcPr>
            <w:tcW w:w="664" w:type="pct"/>
            <w:vMerge w:val="continue"/>
            <w:vAlign w:val="center"/>
          </w:tcPr>
          <w:p w14:paraId="3DD6F54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0AAA52C8">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（2）水泵房、水箱间，每日至少巡视 1 次。</w:t>
            </w:r>
          </w:p>
        </w:tc>
      </w:tr>
      <w:tr w14:paraId="0A30D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38A37C6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p>
        </w:tc>
        <w:tc>
          <w:tcPr>
            <w:tcW w:w="664" w:type="pct"/>
            <w:vMerge w:val="continue"/>
            <w:vAlign w:val="center"/>
          </w:tcPr>
          <w:p w14:paraId="1F18428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51CCD36A">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（3）遇供水单位限水、停水，按规定时间通知采购人。</w:t>
            </w:r>
          </w:p>
        </w:tc>
      </w:tr>
      <w:tr w14:paraId="2B0A3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6F30440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3</w:t>
            </w:r>
          </w:p>
        </w:tc>
        <w:tc>
          <w:tcPr>
            <w:tcW w:w="664" w:type="pct"/>
            <w:vMerge w:val="restart"/>
            <w:vAlign w:val="center"/>
          </w:tcPr>
          <w:p w14:paraId="643390B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供配电系统</w:t>
            </w:r>
          </w:p>
        </w:tc>
        <w:tc>
          <w:tcPr>
            <w:tcW w:w="3656" w:type="pct"/>
            <w:vAlign w:val="center"/>
          </w:tcPr>
          <w:p w14:paraId="312BF0BF">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（1）建立 24 小时运行值班制度。</w:t>
            </w:r>
          </w:p>
        </w:tc>
      </w:tr>
      <w:tr w14:paraId="1BE79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0C1FCF1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5E466E7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232DC3A1">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（2）公共使用的照明、指示灯具线路、开关、接地等保持完好，确保用电安全。</w:t>
            </w:r>
          </w:p>
        </w:tc>
      </w:tr>
      <w:tr w14:paraId="01A84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3367725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382760D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0D071845">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（3）发生非计划性停电的，应当在事件发生后及时通知采购人，快速恢复或启用应急电源，并做好应急事件上报及处理工作。</w:t>
            </w:r>
          </w:p>
        </w:tc>
      </w:tr>
      <w:tr w14:paraId="28389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0445810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664" w:type="pct"/>
            <w:vMerge w:val="restart"/>
            <w:vAlign w:val="center"/>
          </w:tcPr>
          <w:p w14:paraId="38755D8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照明系统</w:t>
            </w:r>
          </w:p>
        </w:tc>
        <w:tc>
          <w:tcPr>
            <w:tcW w:w="3656" w:type="pct"/>
            <w:vAlign w:val="center"/>
          </w:tcPr>
          <w:p w14:paraId="2DCA7749">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（1）外观整洁无缺损、无松落。</w:t>
            </w:r>
          </w:p>
        </w:tc>
      </w:tr>
      <w:tr w14:paraId="49C87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6BF4EDF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4EB9FAB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2874C7D2">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（2）更换的照明灯具应当选用节能环保产品，亮度与更换前保持一致。</w:t>
            </w:r>
          </w:p>
        </w:tc>
      </w:tr>
    </w:tbl>
    <w:p w14:paraId="01D31523">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7B21BC1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5.处理突发事件</w:t>
      </w:r>
      <w:r>
        <w:rPr>
          <w:rFonts w:hint="eastAsia" w:cs="Times New Roman"/>
          <w:color w:val="auto"/>
          <w:sz w:val="24"/>
          <w:szCs w:val="24"/>
          <w:highlight w:val="none"/>
          <w:lang w:val="en-US" w:eastAsia="zh-CN" w:bidi="ar-SA"/>
        </w:rPr>
        <w:t>服务</w:t>
      </w:r>
      <w:r>
        <w:rPr>
          <w:rFonts w:hint="eastAsia" w:ascii="Times New Roman" w:hAnsi="Times New Roman" w:eastAsia="宋体" w:cs="Times New Roman"/>
          <w:color w:val="auto"/>
          <w:sz w:val="24"/>
          <w:szCs w:val="24"/>
          <w:highlight w:val="none"/>
          <w:lang w:val="en-US" w:eastAsia="zh-CN" w:bidi="ar-SA"/>
        </w:rPr>
        <w:t>：</w:t>
      </w:r>
    </w:p>
    <w:p w14:paraId="5979260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（1）配合采购人制订应急保障措施，需对任务进行详细了解，并根据工作安排制定详细的应急保障措施。</w:t>
      </w:r>
    </w:p>
    <w:p w14:paraId="1E5E83B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根据馆（园）隐患排查的结果和实际情况，制定专项预案，包括但不限于：重大活动应急预案、上级突击检查应急预案、火警紧急处理应急预案、紧急疏散应急预案、停水停电应急预案、恶劣天气应对应急预案等。</w:t>
      </w:r>
    </w:p>
    <w:p w14:paraId="4E1ACD6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w:t>
      </w:r>
      <w:r>
        <w:rPr>
          <w:rFonts w:hint="eastAsia" w:cs="Times New Roman"/>
          <w:color w:val="auto"/>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bidi="ar-SA"/>
        </w:rPr>
        <w:t>）建立消防安全责任制， 确定各级消防安全责任人及其职责。</w:t>
      </w:r>
    </w:p>
    <w:p w14:paraId="4EFE969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w:t>
      </w:r>
      <w:r>
        <w:rPr>
          <w:rFonts w:hint="eastAsia"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）应急预案定期培训和演练，组织相关岗定期开展专项应急预案演练，留存培训及演练记录和影像资料，并对预案进行评价，确保与实际情况相结合。</w:t>
      </w:r>
    </w:p>
    <w:p w14:paraId="3B46830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（5）消火栓、应急照明、消防及人员逃生通道、消防车通道可随时正常使用。</w:t>
      </w:r>
    </w:p>
    <w:p w14:paraId="6CE66E4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（6）定期组织消防安全宣传，每半年至少开展 1 次消防演练。</w:t>
      </w:r>
    </w:p>
    <w:p w14:paraId="12F8E3C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6</w:t>
      </w:r>
      <w:r>
        <w:rPr>
          <w:rFonts w:hint="eastAsia" w:ascii="Times New Roman" w:hAnsi="Times New Roman" w:eastAsia="宋体" w:cs="Times New Roman"/>
          <w:color w:val="auto"/>
          <w:sz w:val="24"/>
          <w:szCs w:val="24"/>
          <w:highlight w:val="none"/>
          <w:lang w:val="en-US" w:eastAsia="zh-CN" w:bidi="ar-SA"/>
        </w:rPr>
        <w:t>.公共设施节水、节电、节能管理：</w:t>
      </w:r>
    </w:p>
    <w:p w14:paraId="3EC3A11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（1）定期巡查及时统计损坏的设备设施并报给采购人，消耗品及时供应保证物业正常运行。</w:t>
      </w:r>
    </w:p>
    <w:p w14:paraId="4894A68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（2）巡查卫生间，发现跑、冒、滴、漏水情况迅速处理或报告；</w:t>
      </w:r>
    </w:p>
    <w:p w14:paraId="6FF9601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（3）卫生间粘贴节水标识；</w:t>
      </w:r>
    </w:p>
    <w:p w14:paraId="035EB4B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（4）发现房间无人时开空调的情况及时提醒；</w:t>
      </w:r>
    </w:p>
    <w:p w14:paraId="084669B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（5）发现长明灯的情况要及时采取相应措施。</w:t>
      </w:r>
    </w:p>
    <w:p w14:paraId="546CDE4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7</w:t>
      </w:r>
      <w:r>
        <w:rPr>
          <w:rFonts w:hint="eastAsia" w:ascii="Times New Roman" w:hAnsi="Times New Roman" w:eastAsia="宋体" w:cs="Times New Roman"/>
          <w:color w:val="auto"/>
          <w:sz w:val="24"/>
          <w:szCs w:val="24"/>
          <w:highlight w:val="none"/>
          <w:lang w:val="en-US" w:eastAsia="zh-CN" w:bidi="ar-SA"/>
        </w:rPr>
        <w:t>.物业移交要求</w:t>
      </w:r>
    </w:p>
    <w:p w14:paraId="7717D98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p>
    <w:p w14:paraId="46C7FEB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p>
    <w:p w14:paraId="32ABE7B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二</w:t>
      </w:r>
      <w:r>
        <w:rPr>
          <w:rFonts w:hint="eastAsia"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投标文件要求</w:t>
      </w:r>
    </w:p>
    <w:p w14:paraId="31DB6B1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1、投标文件中提供《物业管理服务方案》文件。</w:t>
      </w:r>
    </w:p>
    <w:p w14:paraId="62ACD84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2、《物业管理服务方案》需包括以下内容:</w:t>
      </w:r>
    </w:p>
    <w:p w14:paraId="4E3DCF1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（1）基本服务方案;</w:t>
      </w:r>
    </w:p>
    <w:p w14:paraId="06A7FEA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（2）保洁服务方案;</w:t>
      </w:r>
    </w:p>
    <w:p w14:paraId="5F009BE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（3）保安服务方案;</w:t>
      </w:r>
    </w:p>
    <w:p w14:paraId="7F3734C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（4）公用设施设备维护服务;</w:t>
      </w:r>
    </w:p>
    <w:p w14:paraId="20CBB1D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（5）处理突发事件服务方案;</w:t>
      </w:r>
    </w:p>
    <w:p w14:paraId="06F0E2A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（6）公共设施节水、节电、节能管理方案;</w:t>
      </w:r>
    </w:p>
    <w:p w14:paraId="410C8E9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（7）物业移交衔接方案。</w:t>
      </w:r>
    </w:p>
    <w:p w14:paraId="17BDF25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bidi="ar-SA"/>
        </w:rPr>
      </w:pPr>
      <w:r>
        <w:rPr>
          <w:rFonts w:hint="eastAsia" w:ascii="方正黑体_GBK" w:hAnsi="方正黑体_GBK" w:eastAsia="方正黑体_GBK" w:cs="方正黑体_GBK"/>
          <w:color w:val="auto"/>
          <w:sz w:val="24"/>
          <w:szCs w:val="24"/>
          <w:highlight w:val="none"/>
          <w:lang w:val="en-US" w:eastAsia="zh-CN" w:bidi="ar-SA"/>
        </w:rPr>
        <w:t>五、组织机构设置方案及人员配备方案</w:t>
      </w:r>
    </w:p>
    <w:p w14:paraId="04D7195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（一）物业管理服务人员具体需求</w:t>
      </w:r>
    </w:p>
    <w:p w14:paraId="77DBC59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王杰烈士陵园、小萝卜纪念馆物业服务人员22人，人员岗位设置如下：</w:t>
      </w:r>
    </w:p>
    <w:tbl>
      <w:tblPr>
        <w:tblStyle w:val="56"/>
        <w:tblpPr w:leftFromText="180" w:rightFromText="180" w:vertAnchor="text" w:horzAnchor="page" w:tblpX="1543" w:tblpY="300"/>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16"/>
        <w:gridCol w:w="1602"/>
        <w:gridCol w:w="1370"/>
        <w:gridCol w:w="4243"/>
      </w:tblGrid>
      <w:tr w14:paraId="6B52B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7" w:hRule="atLeast"/>
        </w:trPr>
        <w:tc>
          <w:tcPr>
            <w:tcW w:w="670" w:type="pct"/>
            <w:vAlign w:val="center"/>
          </w:tcPr>
          <w:p w14:paraId="6B721CF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序号</w:t>
            </w:r>
          </w:p>
        </w:tc>
        <w:tc>
          <w:tcPr>
            <w:tcW w:w="960" w:type="pct"/>
            <w:vAlign w:val="center"/>
          </w:tcPr>
          <w:p w14:paraId="312EED0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岗位</w:t>
            </w:r>
          </w:p>
        </w:tc>
        <w:tc>
          <w:tcPr>
            <w:tcW w:w="822" w:type="pct"/>
            <w:vAlign w:val="center"/>
          </w:tcPr>
          <w:p w14:paraId="1A10947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人员数量</w:t>
            </w:r>
          </w:p>
        </w:tc>
        <w:tc>
          <w:tcPr>
            <w:tcW w:w="2546" w:type="pct"/>
            <w:vAlign w:val="center"/>
          </w:tcPr>
          <w:p w14:paraId="6759EB8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备注</w:t>
            </w:r>
          </w:p>
        </w:tc>
      </w:tr>
      <w:tr w14:paraId="0471D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7" w:hRule="atLeast"/>
        </w:trPr>
        <w:tc>
          <w:tcPr>
            <w:tcW w:w="670" w:type="pct"/>
            <w:vAlign w:val="center"/>
          </w:tcPr>
          <w:p w14:paraId="4F597E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960" w:type="pct"/>
            <w:vAlign w:val="center"/>
          </w:tcPr>
          <w:p w14:paraId="71A585D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项目经理</w:t>
            </w:r>
          </w:p>
        </w:tc>
        <w:tc>
          <w:tcPr>
            <w:tcW w:w="822" w:type="pct"/>
            <w:vAlign w:val="center"/>
          </w:tcPr>
          <w:p w14:paraId="72498FA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eastAsia="zh-CN"/>
              </w:rPr>
            </w:pPr>
            <w:r>
              <w:rPr>
                <w:rFonts w:hint="eastAsia"/>
                <w:color w:val="auto"/>
                <w:sz w:val="22"/>
                <w:szCs w:val="22"/>
                <w:highlight w:val="none"/>
                <w:lang w:val="en-US" w:eastAsia="zh-CN"/>
              </w:rPr>
              <w:t>2</w:t>
            </w:r>
          </w:p>
        </w:tc>
        <w:tc>
          <w:tcPr>
            <w:tcW w:w="2546" w:type="pct"/>
            <w:vAlign w:val="center"/>
          </w:tcPr>
          <w:p w14:paraId="74403E7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lang w:val="en-US" w:eastAsia="zh-CN"/>
              </w:rPr>
            </w:pPr>
            <w:r>
              <w:rPr>
                <w:rFonts w:hint="eastAsia"/>
                <w:color w:val="auto"/>
                <w:sz w:val="22"/>
                <w:szCs w:val="22"/>
                <w:highlight w:val="none"/>
                <w:lang w:val="en-US" w:eastAsia="zh-CN"/>
              </w:rPr>
              <w:t>其中，王杰烈士陵园1名，小萝卜头纪念馆1名。</w:t>
            </w:r>
          </w:p>
        </w:tc>
      </w:tr>
      <w:tr w14:paraId="7B437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0" w:hRule="atLeast"/>
        </w:trPr>
        <w:tc>
          <w:tcPr>
            <w:tcW w:w="670" w:type="pct"/>
            <w:vAlign w:val="center"/>
          </w:tcPr>
          <w:p w14:paraId="04AF155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960" w:type="pct"/>
            <w:vAlign w:val="center"/>
          </w:tcPr>
          <w:p w14:paraId="276BFB6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水电工</w:t>
            </w:r>
          </w:p>
        </w:tc>
        <w:tc>
          <w:tcPr>
            <w:tcW w:w="822" w:type="pct"/>
            <w:vAlign w:val="center"/>
          </w:tcPr>
          <w:p w14:paraId="69FCE82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2546" w:type="pct"/>
            <w:vAlign w:val="center"/>
          </w:tcPr>
          <w:p w14:paraId="2E76D9C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lang w:val="en-US" w:eastAsia="zh-CN"/>
              </w:rPr>
            </w:pPr>
            <w:r>
              <w:rPr>
                <w:rFonts w:hint="eastAsia"/>
                <w:color w:val="auto"/>
                <w:sz w:val="22"/>
                <w:szCs w:val="22"/>
                <w:highlight w:val="none"/>
                <w:lang w:val="en-US" w:eastAsia="zh-CN"/>
              </w:rPr>
              <w:t>须持有初级以上</w:t>
            </w:r>
            <w:r>
              <w:rPr>
                <w:rFonts w:hint="eastAsia"/>
                <w:color w:val="auto"/>
                <w:sz w:val="22"/>
                <w:szCs w:val="22"/>
                <w:highlight w:val="none"/>
              </w:rPr>
              <w:t>电工证。</w:t>
            </w:r>
            <w:r>
              <w:rPr>
                <w:rFonts w:hint="eastAsia"/>
                <w:color w:val="auto"/>
                <w:sz w:val="22"/>
                <w:szCs w:val="22"/>
                <w:highlight w:val="none"/>
                <w:lang w:val="en-US" w:eastAsia="zh-CN"/>
              </w:rPr>
              <w:t>王杰烈士陵园、小萝卜头纪念馆共用。</w:t>
            </w:r>
          </w:p>
        </w:tc>
      </w:tr>
      <w:tr w14:paraId="2310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5" w:hRule="atLeast"/>
        </w:trPr>
        <w:tc>
          <w:tcPr>
            <w:tcW w:w="670" w:type="pct"/>
            <w:vAlign w:val="center"/>
          </w:tcPr>
          <w:p w14:paraId="5F3046E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960" w:type="pct"/>
            <w:vAlign w:val="center"/>
          </w:tcPr>
          <w:p w14:paraId="626C572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rPr>
              <w:t>保安</w:t>
            </w:r>
            <w:r>
              <w:rPr>
                <w:rFonts w:hint="eastAsia"/>
                <w:color w:val="auto"/>
                <w:sz w:val="22"/>
                <w:szCs w:val="22"/>
                <w:highlight w:val="none"/>
                <w:lang w:val="en-US" w:eastAsia="zh-CN"/>
              </w:rPr>
              <w:t>人员</w:t>
            </w:r>
          </w:p>
        </w:tc>
        <w:tc>
          <w:tcPr>
            <w:tcW w:w="822" w:type="pct"/>
            <w:vAlign w:val="center"/>
          </w:tcPr>
          <w:p w14:paraId="3DFA0DC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eastAsia="zh-CN"/>
              </w:rPr>
            </w:pPr>
            <w:r>
              <w:rPr>
                <w:rFonts w:hint="eastAsia"/>
                <w:color w:val="auto"/>
                <w:sz w:val="22"/>
                <w:szCs w:val="22"/>
                <w:highlight w:val="none"/>
                <w:lang w:val="en-US" w:eastAsia="zh-CN"/>
              </w:rPr>
              <w:t>9</w:t>
            </w:r>
          </w:p>
        </w:tc>
        <w:tc>
          <w:tcPr>
            <w:tcW w:w="2546" w:type="pct"/>
            <w:vAlign w:val="center"/>
          </w:tcPr>
          <w:p w14:paraId="0146AB0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lang w:val="en-US" w:eastAsia="zh-CN"/>
              </w:rPr>
            </w:pPr>
            <w:r>
              <w:rPr>
                <w:rFonts w:hint="eastAsia"/>
                <w:color w:val="auto"/>
                <w:sz w:val="22"/>
                <w:szCs w:val="22"/>
                <w:highlight w:val="none"/>
              </w:rPr>
              <w:t>须持初级保安员</w:t>
            </w:r>
            <w:r>
              <w:rPr>
                <w:rFonts w:hint="eastAsia"/>
                <w:color w:val="auto"/>
                <w:sz w:val="22"/>
                <w:szCs w:val="22"/>
                <w:highlight w:val="none"/>
                <w:lang w:val="en-US" w:eastAsia="zh-CN"/>
              </w:rPr>
              <w:t>及以上保安证</w:t>
            </w:r>
            <w:r>
              <w:rPr>
                <w:rFonts w:hint="eastAsia"/>
                <w:color w:val="auto"/>
                <w:sz w:val="22"/>
                <w:szCs w:val="22"/>
                <w:highlight w:val="none"/>
              </w:rPr>
              <w:t>。</w:t>
            </w:r>
            <w:r>
              <w:rPr>
                <w:rFonts w:hint="eastAsia"/>
                <w:color w:val="auto"/>
                <w:sz w:val="22"/>
                <w:szCs w:val="22"/>
                <w:highlight w:val="none"/>
                <w:lang w:val="en-US" w:eastAsia="zh-CN"/>
              </w:rPr>
              <w:t>其中，王杰烈士陵园5名，小萝卜头纪念馆4名。</w:t>
            </w:r>
          </w:p>
        </w:tc>
      </w:tr>
      <w:tr w14:paraId="3DB3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29" w:hRule="atLeast"/>
        </w:trPr>
        <w:tc>
          <w:tcPr>
            <w:tcW w:w="670" w:type="pct"/>
            <w:vAlign w:val="center"/>
          </w:tcPr>
          <w:p w14:paraId="06A6707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960" w:type="pct"/>
            <w:vAlign w:val="center"/>
          </w:tcPr>
          <w:p w14:paraId="7903E78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eastAsia="zh-CN"/>
              </w:rPr>
            </w:pPr>
            <w:r>
              <w:rPr>
                <w:rFonts w:hint="eastAsia"/>
                <w:color w:val="auto"/>
                <w:sz w:val="22"/>
                <w:szCs w:val="22"/>
                <w:highlight w:val="none"/>
              </w:rPr>
              <w:t>保洁</w:t>
            </w:r>
            <w:r>
              <w:rPr>
                <w:rFonts w:hint="eastAsia"/>
                <w:color w:val="auto"/>
                <w:sz w:val="22"/>
                <w:szCs w:val="22"/>
                <w:highlight w:val="none"/>
                <w:lang w:val="en-US" w:eastAsia="zh-CN"/>
              </w:rPr>
              <w:t>人员</w:t>
            </w:r>
          </w:p>
        </w:tc>
        <w:tc>
          <w:tcPr>
            <w:tcW w:w="822" w:type="pct"/>
            <w:vAlign w:val="center"/>
          </w:tcPr>
          <w:p w14:paraId="4F530E4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10</w:t>
            </w:r>
          </w:p>
        </w:tc>
        <w:tc>
          <w:tcPr>
            <w:tcW w:w="2546" w:type="pct"/>
            <w:vAlign w:val="center"/>
          </w:tcPr>
          <w:p w14:paraId="47B132E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lang w:val="en-US" w:eastAsia="zh-CN"/>
              </w:rPr>
              <w:t>其中，王杰烈士陵园5名，小萝卜头纪念馆5名。</w:t>
            </w:r>
          </w:p>
        </w:tc>
      </w:tr>
      <w:tr w14:paraId="74D4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9" w:hRule="atLeast"/>
        </w:trPr>
        <w:tc>
          <w:tcPr>
            <w:tcW w:w="1631" w:type="pct"/>
            <w:gridSpan w:val="2"/>
            <w:vAlign w:val="center"/>
          </w:tcPr>
          <w:p w14:paraId="0F68381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合计</w:t>
            </w:r>
          </w:p>
        </w:tc>
        <w:tc>
          <w:tcPr>
            <w:tcW w:w="822" w:type="pct"/>
            <w:vAlign w:val="center"/>
          </w:tcPr>
          <w:p w14:paraId="312F44C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22</w:t>
            </w:r>
          </w:p>
        </w:tc>
        <w:tc>
          <w:tcPr>
            <w:tcW w:w="2546" w:type="pct"/>
            <w:vAlign w:val="center"/>
          </w:tcPr>
          <w:p w14:paraId="4853F98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p>
        </w:tc>
      </w:tr>
    </w:tbl>
    <w:p w14:paraId="2DCF9417">
      <w:pPr>
        <w:spacing w:before="32" w:line="213"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注： 1.供应商应当按国家相关法律法规，合理确定服务人员工资标准、工作时间等。供应商应当自行为服务人员办理必需的保险，有关人员伤亡及第三者责任险均应当考虑在报价因素中。</w:t>
      </w:r>
    </w:p>
    <w:p w14:paraId="3C580BDA">
      <w:pPr>
        <w:spacing w:before="32" w:line="213"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CN"/>
        </w:rPr>
        <w:t>验收后</w:t>
      </w:r>
      <w:r>
        <w:rPr>
          <w:rFonts w:hint="eastAsia" w:ascii="宋体" w:hAnsi="宋体" w:eastAsia="宋体" w:cs="宋体"/>
          <w:color w:val="auto"/>
          <w:spacing w:val="0"/>
          <w:sz w:val="24"/>
          <w:szCs w:val="24"/>
          <w:highlight w:val="none"/>
          <w:lang w:val="en-US" w:eastAsia="zh-CN"/>
        </w:rPr>
        <w:t>项目经理</w:t>
      </w:r>
      <w:r>
        <w:rPr>
          <w:rFonts w:hint="eastAsia" w:ascii="宋体" w:hAnsi="宋体" w:eastAsia="宋体" w:cs="宋体"/>
          <w:color w:val="auto"/>
          <w:spacing w:val="0"/>
          <w:sz w:val="24"/>
          <w:szCs w:val="24"/>
          <w:highlight w:val="none"/>
          <w:lang w:val="zh-CN" w:eastAsia="zh-CN"/>
        </w:rPr>
        <w:t>必须</w:t>
      </w:r>
      <w:r>
        <w:rPr>
          <w:rFonts w:hint="eastAsia" w:ascii="宋体" w:hAnsi="宋体" w:eastAsia="宋体" w:cs="宋体"/>
          <w:color w:val="auto"/>
          <w:spacing w:val="0"/>
          <w:sz w:val="24"/>
          <w:szCs w:val="24"/>
          <w:highlight w:val="none"/>
          <w:lang w:val="en-US" w:eastAsia="zh-CN"/>
        </w:rPr>
        <w:t>长期在本项目工作，如因故无法长期在本项目工作，需在甲方允许的情况下，更换同等资历工作人员，且需支付5万元/人违约金。</w:t>
      </w:r>
    </w:p>
    <w:p w14:paraId="6CC95E7F">
      <w:pPr>
        <w:pStyle w:val="15"/>
        <w:spacing w:before="72" w:line="24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说明：上表中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人员数量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为不允许负偏离的实质性要求和条件，如有偏离，在符合性审查时按照响应无效处理。</w:t>
      </w:r>
    </w:p>
    <w:p w14:paraId="2FFB3A4D">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（二）投标文件要求</w:t>
      </w:r>
    </w:p>
    <w:p w14:paraId="66F0F517">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1.投标文件中提供《物业管理服务人员方案》文件。</w:t>
      </w:r>
    </w:p>
    <w:p w14:paraId="4C341A61">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2.《物业管理服务人员方案》对照“（一）物业管理服务人员具体需求”编制。包含但不限于组织机构设置方案、人员配备具体方案。</w:t>
      </w:r>
    </w:p>
    <w:p w14:paraId="3A49D2AB">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组织机构设置方案包含但不限于:</w:t>
      </w:r>
    </w:p>
    <w:p w14:paraId="77F7A4DC">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的职责和工作流程。</w:t>
      </w:r>
    </w:p>
    <w:p w14:paraId="257F73AA">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水电工</w:t>
      </w:r>
      <w:r>
        <w:rPr>
          <w:rFonts w:hint="eastAsia" w:ascii="宋体" w:hAnsi="宋体" w:eastAsia="宋体" w:cs="宋体"/>
          <w:color w:val="auto"/>
          <w:sz w:val="24"/>
          <w:szCs w:val="24"/>
          <w:highlight w:val="none"/>
        </w:rPr>
        <w:t>的职责和工作流程。</w:t>
      </w:r>
    </w:p>
    <w:p w14:paraId="0E666B22">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保安人员</w:t>
      </w:r>
      <w:r>
        <w:rPr>
          <w:rFonts w:hint="eastAsia" w:ascii="宋体" w:hAnsi="宋体" w:eastAsia="宋体" w:cs="宋体"/>
          <w:color w:val="auto"/>
          <w:sz w:val="24"/>
          <w:szCs w:val="24"/>
          <w:highlight w:val="none"/>
        </w:rPr>
        <w:t>的职责和工作流程。</w:t>
      </w:r>
    </w:p>
    <w:p w14:paraId="4EBD045B">
      <w:pPr>
        <w:pStyle w:val="45"/>
        <w:spacing w:line="240" w:lineRule="auto"/>
        <w:ind w:firstLine="480" w:firstLineChars="200"/>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④</w:t>
      </w:r>
      <w:r>
        <w:rPr>
          <w:rFonts w:hint="eastAsia" w:ascii="宋体" w:hAnsi="宋体" w:eastAsia="宋体" w:cs="宋体"/>
          <w:color w:val="auto"/>
          <w:sz w:val="24"/>
          <w:szCs w:val="24"/>
          <w:highlight w:val="none"/>
          <w:lang w:val="en-US" w:eastAsia="zh-CN"/>
        </w:rPr>
        <w:t>保洁人员职责和工作流程。</w:t>
      </w:r>
    </w:p>
    <w:p w14:paraId="5F2FFBF4">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人员配备具体方案包含但不限于按照岗位配备人员，详细描述各岗位职责。</w:t>
      </w:r>
    </w:p>
    <w:p w14:paraId="17CEBC5F">
      <w:pPr>
        <w:keepNext w:val="0"/>
        <w:keepLines w:val="0"/>
        <w:pageBreakBefore w:val="0"/>
        <w:widowControl/>
        <w:tabs>
          <w:tab w:val="left" w:pos="0"/>
        </w:tabs>
        <w:spacing w:before="0" w:after="0"/>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六、服务期限：自合同签订生效之日起3年。</w:t>
      </w:r>
    </w:p>
    <w:p w14:paraId="7A325F83">
      <w:pPr>
        <w:keepNext w:val="0"/>
        <w:keepLines w:val="0"/>
        <w:pageBreakBefore w:val="0"/>
        <w:widowControl/>
        <w:tabs>
          <w:tab w:val="left" w:pos="0"/>
        </w:tabs>
        <w:spacing w:before="0" w:after="0"/>
        <w:ind w:firstLine="484"/>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七、付款方式:见招标文件第五章《拟签订的合同文本》中“第六条 物业管理服务费用”。</w:t>
      </w:r>
    </w:p>
    <w:p w14:paraId="7D13E394">
      <w:pPr>
        <w:pStyle w:val="211"/>
        <w:spacing w:line="240" w:lineRule="auto"/>
        <w:ind w:left="0" w:right="-107" w:firstLine="482" w:firstLineChars="200"/>
        <w:jc w:val="both"/>
        <w:rPr>
          <w:rFonts w:hint="eastAsia" w:ascii="宋体" w:hAnsi="宋体" w:eastAsia="宋体" w:cs="宋体"/>
          <w:b/>
          <w:color w:val="auto"/>
          <w:sz w:val="24"/>
          <w:szCs w:val="24"/>
          <w:highlight w:val="none"/>
          <w:lang w:val="en-US" w:bidi="ar-SA"/>
        </w:rPr>
      </w:pPr>
      <w:r>
        <w:rPr>
          <w:rFonts w:hint="eastAsia" w:ascii="宋体" w:hAnsi="宋体" w:eastAsia="宋体" w:cs="宋体"/>
          <w:b/>
          <w:color w:val="auto"/>
          <w:sz w:val="24"/>
          <w:szCs w:val="24"/>
          <w:highlight w:val="none"/>
          <w:lang w:val="en-US" w:bidi="ar-SA"/>
        </w:rPr>
        <w:t>说明：本“付款方式”为不允许偏离的实质性要求和条件，如有偏离，在符合性审查时按照响应无效处理。</w:t>
      </w:r>
    </w:p>
    <w:p w14:paraId="2EB37764">
      <w:pPr>
        <w:keepNext w:val="0"/>
        <w:keepLines w:val="0"/>
        <w:pageBreakBefore w:val="0"/>
        <w:widowControl/>
        <w:tabs>
          <w:tab w:val="left" w:pos="0"/>
        </w:tabs>
        <w:spacing w:before="0" w:after="0"/>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八</w:t>
      </w:r>
      <w:r>
        <w:rPr>
          <w:rFonts w:hint="eastAsia" w:ascii="宋体" w:hAnsi="宋体" w:eastAsia="宋体" w:cs="宋体"/>
          <w:b w:val="0"/>
          <w:bCs w:val="0"/>
          <w:color w:val="auto"/>
          <w:sz w:val="24"/>
          <w:highlight w:val="none"/>
          <w:lang w:val="en-US" w:eastAsia="zh-CN"/>
        </w:rPr>
        <w:t>、投标报价的相关说明</w:t>
      </w:r>
    </w:p>
    <w:p w14:paraId="6A42AF6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不接受超过</w:t>
      </w:r>
      <w:r>
        <w:rPr>
          <w:rFonts w:hint="eastAsia" w:ascii="宋体" w:hAnsi="宋体" w:eastAsia="宋体" w:cs="宋体"/>
          <w:bCs/>
          <w:color w:val="auto"/>
          <w:sz w:val="24"/>
          <w:szCs w:val="24"/>
          <w:highlight w:val="none"/>
          <w:lang w:val="en-US" w:eastAsia="zh-CN"/>
        </w:rPr>
        <w:t>217.44</w:t>
      </w:r>
      <w:r>
        <w:rPr>
          <w:rFonts w:hint="eastAsia" w:ascii="宋体" w:hAnsi="宋体" w:eastAsia="宋体" w:cs="宋体"/>
          <w:color w:val="auto"/>
          <w:sz w:val="24"/>
          <w:szCs w:val="24"/>
          <w:highlight w:val="none"/>
        </w:rPr>
        <w:t>万元</w:t>
      </w:r>
      <w:r>
        <w:rPr>
          <w:rFonts w:hint="eastAsia" w:ascii="宋体" w:hAnsi="宋体" w:eastAsia="宋体" w:cs="宋体"/>
          <w:bCs/>
          <w:color w:val="auto"/>
          <w:sz w:val="24"/>
          <w:szCs w:val="24"/>
          <w:highlight w:val="none"/>
        </w:rPr>
        <w:t>人民币（采购项目预算金额）</w:t>
      </w:r>
      <w:r>
        <w:rPr>
          <w:rFonts w:hint="eastAsia" w:ascii="宋体" w:hAnsi="宋体" w:eastAsia="宋体" w:cs="宋体"/>
          <w:color w:val="auto"/>
          <w:sz w:val="24"/>
          <w:szCs w:val="24"/>
          <w:highlight w:val="none"/>
        </w:rPr>
        <w:t>的投标报价。</w:t>
      </w:r>
    </w:p>
    <w:p w14:paraId="19DE0E7E">
      <w:pPr>
        <w:spacing w:line="24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报价不得违反</w:t>
      </w:r>
      <w:r>
        <w:rPr>
          <w:rFonts w:hint="eastAsia" w:ascii="宋体" w:hAnsi="宋体" w:eastAsia="宋体" w:cs="宋体"/>
          <w:bCs/>
          <w:color w:val="auto"/>
          <w:sz w:val="24"/>
          <w:szCs w:val="24"/>
          <w:highlight w:val="none"/>
          <w:lang w:val="en-US" w:eastAsia="zh-CN"/>
        </w:rPr>
        <w:t>邳州市</w:t>
      </w:r>
      <w:r>
        <w:rPr>
          <w:rFonts w:hint="eastAsia" w:ascii="宋体" w:hAnsi="宋体" w:eastAsia="宋体" w:cs="宋体"/>
          <w:bCs/>
          <w:color w:val="auto"/>
          <w:sz w:val="24"/>
          <w:szCs w:val="24"/>
          <w:highlight w:val="none"/>
        </w:rPr>
        <w:t>关于最低工资标准的相关规定和社会保险基数的相关规定。</w:t>
      </w:r>
      <w:r>
        <w:rPr>
          <w:rFonts w:hint="eastAsia" w:ascii="宋体" w:hAnsi="宋体" w:eastAsia="宋体" w:cs="宋体"/>
          <w:color w:val="auto"/>
          <w:sz w:val="24"/>
          <w:szCs w:val="24"/>
          <w:highlight w:val="none"/>
        </w:rPr>
        <w:t>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14:paraId="11D59020">
      <w:pPr>
        <w:spacing w:line="240" w:lineRule="auto"/>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报价须充分考虑服务期限（合同期限）</w:t>
      </w:r>
      <w:r>
        <w:rPr>
          <w:rFonts w:hint="eastAsia" w:ascii="宋体" w:hAnsi="宋体" w:eastAsia="宋体" w:cs="宋体"/>
          <w:bCs/>
          <w:color w:val="auto"/>
          <w:sz w:val="24"/>
          <w:szCs w:val="24"/>
          <w:highlight w:val="none"/>
        </w:rPr>
        <w:t>内最低工资标准调整因素和社会保险基数调整因素。</w:t>
      </w:r>
    </w:p>
    <w:p w14:paraId="39BA18ED">
      <w:pPr>
        <w:spacing w:line="24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报价需充分考虑</w:t>
      </w:r>
      <w:r>
        <w:rPr>
          <w:rFonts w:hint="eastAsia" w:ascii="宋体" w:hAnsi="宋体" w:eastAsia="宋体" w:cs="宋体"/>
          <w:color w:val="auto"/>
          <w:sz w:val="24"/>
          <w:szCs w:val="24"/>
          <w:highlight w:val="none"/>
        </w:rPr>
        <w:t>服务期限（合同期限）</w:t>
      </w:r>
      <w:r>
        <w:rPr>
          <w:rFonts w:hint="eastAsia" w:ascii="宋体" w:hAnsi="宋体" w:eastAsia="宋体" w:cs="宋体"/>
          <w:bCs/>
          <w:color w:val="auto"/>
          <w:sz w:val="24"/>
          <w:szCs w:val="24"/>
          <w:highlight w:val="none"/>
        </w:rPr>
        <w:t>内的市场因素和成本变化状况的风险。</w:t>
      </w:r>
    </w:p>
    <w:p w14:paraId="4F5A09E4">
      <w:pPr>
        <w:spacing w:line="24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采购人不支付投标报价以外的任何费用。</w:t>
      </w:r>
    </w:p>
    <w:p w14:paraId="7CFCA91C">
      <w:pPr>
        <w:tabs>
          <w:tab w:val="left" w:pos="0"/>
          <w:tab w:val="left" w:pos="284"/>
        </w:tabs>
        <w:spacing w:line="24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六</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报价在合同执行过程中是固定的，不得以任何理由予以变更。</w:t>
      </w:r>
    </w:p>
    <w:p w14:paraId="4AC0DB48">
      <w:pPr>
        <w:pStyle w:val="45"/>
        <w:spacing w:line="24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说明：本“投标报价的相关说明”为不允许偏离的实质性要求和条件，如有偏离，在符合性审查时按照响应无效处理。</w:t>
      </w:r>
    </w:p>
    <w:p w14:paraId="6F76C96A">
      <w:pPr>
        <w:ind w:firstLine="480" w:firstLineChars="200"/>
        <w:rPr>
          <w:rFonts w:hint="default" w:eastAsia="宋体"/>
          <w:color w:val="auto"/>
          <w:highlight w:val="none"/>
          <w:lang w:val="en-US" w:eastAsia="zh-CN"/>
        </w:rPr>
      </w:pPr>
      <w:r>
        <w:rPr>
          <w:rFonts w:hint="eastAsia" w:ascii="宋体" w:hAnsi="宋体" w:eastAsia="宋体" w:cs="宋体"/>
          <w:b w:val="0"/>
          <w:bCs w:val="0"/>
          <w:color w:val="auto"/>
          <w:sz w:val="24"/>
          <w:highlight w:val="none"/>
          <w:lang w:val="en-US" w:eastAsia="zh-CN"/>
        </w:rPr>
        <w:t>九</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其他要求：见招标文件第五章《拟签订的合同文本》。</w:t>
      </w:r>
    </w:p>
    <w:p w14:paraId="31D6C550">
      <w:pPr>
        <w:keepNext w:val="0"/>
        <w:keepLines w:val="0"/>
        <w:pageBreakBefore w:val="0"/>
        <w:widowControl/>
        <w:tabs>
          <w:tab w:val="left" w:pos="0"/>
        </w:tabs>
        <w:spacing w:before="0" w:after="0"/>
        <w:ind w:firstLine="480" w:firstLineChars="200"/>
        <w:rPr>
          <w:rFonts w:hint="eastAsia" w:ascii="宋体" w:hAnsi="宋体" w:eastAsia="宋体" w:cs="宋体"/>
          <w:bCs/>
          <w:color w:val="auto"/>
          <w:sz w:val="24"/>
          <w:szCs w:val="24"/>
          <w:highlight w:val="none"/>
          <w:u w:val="single"/>
        </w:rPr>
      </w:pPr>
    </w:p>
    <w:p w14:paraId="799DACA1">
      <w:pPr>
        <w:pStyle w:val="2"/>
        <w:keepNext/>
        <w:keepLines/>
        <w:pageBreakBefore w:val="0"/>
        <w:widowControl w:val="0"/>
        <w:spacing w:line="240" w:lineRule="atLeast"/>
        <w:jc w:val="center"/>
        <w:rPr>
          <w:rFonts w:hint="eastAsia" w:ascii="宋体" w:hAnsi="宋体" w:cs="新宋体"/>
          <w:b/>
          <w:color w:val="auto"/>
          <w:sz w:val="36"/>
          <w:szCs w:val="36"/>
          <w:highlight w:val="none"/>
          <w:lang w:val="en-US" w:eastAsia="zh-CN"/>
        </w:rPr>
      </w:pPr>
      <w:r>
        <w:rPr>
          <w:rFonts w:hint="eastAsia" w:ascii="宋体" w:hAnsi="宋体" w:cs="新宋体"/>
          <w:b/>
          <w:color w:val="auto"/>
          <w:sz w:val="36"/>
          <w:szCs w:val="36"/>
          <w:highlight w:val="none"/>
          <w:lang w:val="en-US" w:eastAsia="zh-CN"/>
        </w:rPr>
        <w:t>采购包二</w:t>
      </w:r>
    </w:p>
    <w:p w14:paraId="28F0F62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一、说明</w:t>
      </w:r>
    </w:p>
    <w:p w14:paraId="1ED26EC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（一）采购人：</w:t>
      </w:r>
      <w:r>
        <w:rPr>
          <w:rFonts w:hint="eastAsia"/>
          <w:color w:val="auto"/>
          <w:sz w:val="24"/>
          <w:szCs w:val="24"/>
          <w:highlight w:val="none"/>
          <w:lang w:val="en-US" w:eastAsia="zh-CN"/>
        </w:rPr>
        <w:t>邳州市纪念场馆管理处</w:t>
      </w:r>
    </w:p>
    <w:p w14:paraId="7FC1BF1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（二）采购项目名称：纪念场馆及烈士陵园物业安保服务项目</w:t>
      </w:r>
    </w:p>
    <w:p w14:paraId="2F6C10D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（三）采购标的：纪念场馆及烈士陵园物业安保服务项目</w:t>
      </w:r>
    </w:p>
    <w:p w14:paraId="7FA75D7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（纪念场馆及烈士陵园物业安保服务项目</w:t>
      </w:r>
      <w:r>
        <w:rPr>
          <w:rFonts w:hint="eastAsia"/>
          <w:color w:val="auto"/>
          <w:sz w:val="24"/>
          <w:szCs w:val="24"/>
          <w:highlight w:val="none"/>
        </w:rPr>
        <w:t>）对应的中小企业划分标准所属行业为（物业管理）。</w:t>
      </w:r>
    </w:p>
    <w:p w14:paraId="6546F12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color w:val="auto"/>
          <w:sz w:val="24"/>
          <w:szCs w:val="24"/>
          <w:highlight w:val="none"/>
        </w:rPr>
        <w:t>（四）本项目为专门面向中小企业采购的项目。</w:t>
      </w:r>
    </w:p>
    <w:p w14:paraId="6A4B925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（五）本项目不接受超过</w:t>
      </w:r>
      <w:r>
        <w:rPr>
          <w:rFonts w:hint="eastAsia"/>
          <w:color w:val="auto"/>
          <w:sz w:val="24"/>
          <w:szCs w:val="24"/>
          <w:highlight w:val="none"/>
          <w:lang w:val="en-US" w:eastAsia="zh-CN"/>
        </w:rPr>
        <w:t>227.88</w:t>
      </w:r>
      <w:r>
        <w:rPr>
          <w:rFonts w:hint="eastAsia"/>
          <w:color w:val="auto"/>
          <w:sz w:val="24"/>
          <w:szCs w:val="24"/>
          <w:highlight w:val="none"/>
        </w:rPr>
        <w:t>万元（采购项目预算金额）的投标报价。</w:t>
      </w:r>
    </w:p>
    <w:p w14:paraId="16BC84D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二、项目概况：</w:t>
      </w:r>
    </w:p>
    <w:p w14:paraId="77B65FA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eastAsia="zh-CN"/>
        </w:rPr>
        <w:t>（</w:t>
      </w:r>
      <w:r>
        <w:rPr>
          <w:rFonts w:hint="eastAsia"/>
          <w:color w:val="auto"/>
          <w:sz w:val="24"/>
          <w:szCs w:val="24"/>
          <w:highlight w:val="none"/>
          <w:lang w:val="en-US" w:eastAsia="zh-CN"/>
        </w:rPr>
        <w:t>一</w:t>
      </w:r>
      <w:r>
        <w:rPr>
          <w:rFonts w:hint="eastAsia"/>
          <w:color w:val="auto"/>
          <w:sz w:val="24"/>
          <w:szCs w:val="24"/>
          <w:highlight w:val="none"/>
          <w:lang w:eastAsia="zh-CN"/>
        </w:rPr>
        <w:t>）</w:t>
      </w:r>
      <w:r>
        <w:rPr>
          <w:rFonts w:hint="eastAsia"/>
          <w:color w:val="auto"/>
          <w:sz w:val="24"/>
          <w:szCs w:val="24"/>
          <w:highlight w:val="none"/>
          <w:lang w:val="en-US" w:eastAsia="zh-CN"/>
        </w:rPr>
        <w:t>基本情况：</w:t>
      </w:r>
    </w:p>
    <w:tbl>
      <w:tblPr>
        <w:tblStyle w:val="56"/>
        <w:tblpPr w:leftFromText="180" w:rightFromText="180" w:vertAnchor="text" w:horzAnchor="page" w:tblpX="1533" w:tblpY="294"/>
        <w:tblOverlap w:val="never"/>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172"/>
        <w:gridCol w:w="5171"/>
      </w:tblGrid>
      <w:tr w14:paraId="7F3A4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901" w:type="pct"/>
            <w:noWrap w:val="0"/>
            <w:vAlign w:val="center"/>
          </w:tcPr>
          <w:p w14:paraId="314D2D7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物业名称</w:t>
            </w:r>
          </w:p>
        </w:tc>
        <w:tc>
          <w:tcPr>
            <w:tcW w:w="3098" w:type="pct"/>
            <w:noWrap w:val="0"/>
            <w:vAlign w:val="center"/>
          </w:tcPr>
          <w:p w14:paraId="47C7FDF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物业地址</w:t>
            </w:r>
          </w:p>
        </w:tc>
      </w:tr>
      <w:tr w14:paraId="75740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901" w:type="pct"/>
            <w:noWrap w:val="0"/>
            <w:vAlign w:val="center"/>
          </w:tcPr>
          <w:p w14:paraId="7ED9EC7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rPr>
            </w:pPr>
            <w:r>
              <w:rPr>
                <w:rFonts w:hint="eastAsia"/>
                <w:color w:val="auto"/>
                <w:sz w:val="22"/>
                <w:szCs w:val="22"/>
                <w:highlight w:val="none"/>
                <w:lang w:val="en-US" w:eastAsia="zh-CN"/>
              </w:rPr>
              <w:t>淮海战役碾庄圩战斗纪念馆</w:t>
            </w:r>
          </w:p>
        </w:tc>
        <w:tc>
          <w:tcPr>
            <w:tcW w:w="3098" w:type="pct"/>
            <w:noWrap w:val="0"/>
            <w:vAlign w:val="center"/>
          </w:tcPr>
          <w:p w14:paraId="683260A0">
            <w:pPr>
              <w:keepNext w:val="0"/>
              <w:keepLines w:val="0"/>
              <w:pageBreakBefore w:val="0"/>
              <w:widowControl w:val="0"/>
              <w:kinsoku/>
              <w:wordWrap/>
              <w:overflowPunct/>
              <w:topLinePunct w:val="0"/>
              <w:autoSpaceDE/>
              <w:autoSpaceDN/>
              <w:bidi w:val="0"/>
              <w:adjustRightInd/>
              <w:snapToGrid/>
              <w:spacing w:line="360" w:lineRule="exact"/>
              <w:ind w:left="105" w:leftChars="50" w:firstLineChars="0"/>
              <w:textAlignment w:val="auto"/>
              <w:rPr>
                <w:rFonts w:hint="default"/>
                <w:color w:val="auto"/>
                <w:sz w:val="22"/>
                <w:szCs w:val="22"/>
                <w:highlight w:val="none"/>
                <w:lang w:val="en-US" w:eastAsia="zh-CN"/>
              </w:rPr>
            </w:pPr>
            <w:r>
              <w:rPr>
                <w:rFonts w:hint="eastAsia"/>
                <w:color w:val="auto"/>
                <w:sz w:val="22"/>
                <w:szCs w:val="22"/>
                <w:highlight w:val="none"/>
                <w:lang w:val="en-US" w:eastAsia="zh-CN"/>
              </w:rPr>
              <w:t>邳州市碾庄镇新街居委会</w:t>
            </w:r>
          </w:p>
        </w:tc>
      </w:tr>
      <w:tr w14:paraId="659AA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901" w:type="pct"/>
            <w:noWrap w:val="0"/>
            <w:vAlign w:val="center"/>
          </w:tcPr>
          <w:p w14:paraId="2A97673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rPr>
            </w:pPr>
            <w:r>
              <w:rPr>
                <w:rFonts w:hint="eastAsia"/>
                <w:color w:val="auto"/>
                <w:sz w:val="22"/>
                <w:szCs w:val="22"/>
                <w:highlight w:val="none"/>
                <w:lang w:val="en-US" w:eastAsia="zh-CN"/>
              </w:rPr>
              <w:t>李超时纪念馆</w:t>
            </w:r>
          </w:p>
        </w:tc>
        <w:tc>
          <w:tcPr>
            <w:tcW w:w="3098" w:type="pct"/>
            <w:noWrap w:val="0"/>
            <w:vAlign w:val="center"/>
          </w:tcPr>
          <w:p w14:paraId="1E2FE148">
            <w:pPr>
              <w:keepNext w:val="0"/>
              <w:keepLines w:val="0"/>
              <w:pageBreakBefore w:val="0"/>
              <w:widowControl w:val="0"/>
              <w:kinsoku/>
              <w:wordWrap/>
              <w:overflowPunct/>
              <w:topLinePunct w:val="0"/>
              <w:autoSpaceDE/>
              <w:autoSpaceDN/>
              <w:bidi w:val="0"/>
              <w:adjustRightInd/>
              <w:snapToGrid/>
              <w:spacing w:line="360" w:lineRule="exact"/>
              <w:ind w:left="105" w:leftChars="50" w:firstLineChars="0"/>
              <w:textAlignment w:val="auto"/>
              <w:rPr>
                <w:rFonts w:hint="default"/>
                <w:color w:val="auto"/>
                <w:sz w:val="22"/>
                <w:szCs w:val="22"/>
                <w:highlight w:val="none"/>
                <w:lang w:val="en-US" w:eastAsia="zh-CN"/>
              </w:rPr>
            </w:pPr>
            <w:r>
              <w:rPr>
                <w:rFonts w:hint="eastAsia"/>
                <w:color w:val="auto"/>
                <w:sz w:val="22"/>
                <w:szCs w:val="22"/>
                <w:highlight w:val="none"/>
                <w:lang w:val="en-US" w:eastAsia="zh-CN"/>
              </w:rPr>
              <w:t>邳州市碾庄镇才庄村</w:t>
            </w:r>
          </w:p>
        </w:tc>
      </w:tr>
      <w:tr w14:paraId="51778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1901" w:type="pct"/>
            <w:noWrap w:val="0"/>
            <w:vAlign w:val="center"/>
          </w:tcPr>
          <w:p w14:paraId="1E0DCD0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石山烈士陵园</w:t>
            </w:r>
          </w:p>
        </w:tc>
        <w:tc>
          <w:tcPr>
            <w:tcW w:w="3098" w:type="pct"/>
            <w:noWrap w:val="0"/>
            <w:vAlign w:val="center"/>
          </w:tcPr>
          <w:p w14:paraId="78DF41C3">
            <w:pPr>
              <w:keepNext w:val="0"/>
              <w:keepLines w:val="0"/>
              <w:pageBreakBefore w:val="0"/>
              <w:widowControl w:val="0"/>
              <w:kinsoku/>
              <w:wordWrap/>
              <w:overflowPunct/>
              <w:topLinePunct w:val="0"/>
              <w:autoSpaceDE/>
              <w:autoSpaceDN/>
              <w:bidi w:val="0"/>
              <w:adjustRightInd/>
              <w:snapToGrid/>
              <w:spacing w:line="360" w:lineRule="exact"/>
              <w:ind w:left="105" w:leftChars="50" w:firstLineChars="0"/>
              <w:textAlignment w:val="auto"/>
              <w:rPr>
                <w:rFonts w:hint="default"/>
                <w:color w:val="auto"/>
                <w:sz w:val="22"/>
                <w:szCs w:val="22"/>
                <w:highlight w:val="none"/>
                <w:lang w:val="en-US" w:eastAsia="zh-CN"/>
              </w:rPr>
            </w:pPr>
            <w:r>
              <w:rPr>
                <w:rFonts w:hint="eastAsia"/>
                <w:color w:val="auto"/>
                <w:sz w:val="22"/>
                <w:szCs w:val="22"/>
                <w:highlight w:val="none"/>
                <w:lang w:val="en-US" w:eastAsia="zh-CN"/>
              </w:rPr>
              <w:t>邳州市八义集镇石山村</w:t>
            </w:r>
          </w:p>
        </w:tc>
      </w:tr>
    </w:tbl>
    <w:p w14:paraId="3A8AFDA3">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color w:val="auto"/>
          <w:sz w:val="24"/>
          <w:szCs w:val="24"/>
          <w:highlight w:val="none"/>
          <w:lang w:val="en-US" w:eastAsia="zh-CN"/>
        </w:rPr>
      </w:pPr>
    </w:p>
    <w:p w14:paraId="3120DE3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三、物业服务范围：</w:t>
      </w:r>
    </w:p>
    <w:p w14:paraId="3B407CA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（一）</w:t>
      </w:r>
      <w:r>
        <w:rPr>
          <w:rFonts w:hint="eastAsia"/>
          <w:color w:val="auto"/>
          <w:sz w:val="22"/>
          <w:szCs w:val="22"/>
          <w:highlight w:val="none"/>
          <w:lang w:val="en-US" w:eastAsia="zh-CN"/>
        </w:rPr>
        <w:t>淮海战役碾庄圩战斗纪念馆</w:t>
      </w:r>
      <w:r>
        <w:rPr>
          <w:rFonts w:hint="eastAsia"/>
          <w:color w:val="auto"/>
          <w:sz w:val="24"/>
          <w:szCs w:val="24"/>
          <w:highlight w:val="none"/>
        </w:rPr>
        <w:t>物业管理（建筑物）</w:t>
      </w:r>
    </w:p>
    <w:tbl>
      <w:tblPr>
        <w:tblStyle w:val="266"/>
        <w:tblpPr w:leftFromText="180" w:rightFromText="180" w:vertAnchor="text" w:horzAnchor="page" w:tblpX="1548" w:tblpY="308"/>
        <w:tblOverlap w:val="never"/>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40"/>
        <w:gridCol w:w="1912"/>
        <w:gridCol w:w="2618"/>
        <w:gridCol w:w="2469"/>
      </w:tblGrid>
      <w:tr w14:paraId="561D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949" w:type="pct"/>
            <w:gridSpan w:val="2"/>
            <w:noWrap w:val="0"/>
            <w:vAlign w:val="center"/>
          </w:tcPr>
          <w:p w14:paraId="538608D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569" w:type="pct"/>
            <w:noWrap w:val="0"/>
            <w:vAlign w:val="center"/>
          </w:tcPr>
          <w:p w14:paraId="76E8D63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1480" w:type="pct"/>
            <w:noWrap w:val="0"/>
            <w:vAlign w:val="center"/>
          </w:tcPr>
          <w:p w14:paraId="5F48D36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3E22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949" w:type="pct"/>
            <w:gridSpan w:val="2"/>
            <w:noWrap w:val="0"/>
            <w:vAlign w:val="center"/>
          </w:tcPr>
          <w:p w14:paraId="5A0030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建筑名称</w:t>
            </w:r>
          </w:p>
        </w:tc>
        <w:tc>
          <w:tcPr>
            <w:tcW w:w="1569" w:type="pct"/>
            <w:noWrap w:val="0"/>
            <w:vAlign w:val="center"/>
          </w:tcPr>
          <w:p w14:paraId="28156FC5">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战役纪念馆、办公用房等</w:t>
            </w:r>
          </w:p>
        </w:tc>
        <w:tc>
          <w:tcPr>
            <w:tcW w:w="1480" w:type="pct"/>
            <w:noWrap w:val="0"/>
            <w:vAlign w:val="center"/>
          </w:tcPr>
          <w:p w14:paraId="3F11CD2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49C7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restart"/>
            <w:noWrap w:val="0"/>
            <w:vAlign w:val="center"/>
          </w:tcPr>
          <w:p w14:paraId="46A7788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总面积</w:t>
            </w:r>
          </w:p>
        </w:tc>
        <w:tc>
          <w:tcPr>
            <w:tcW w:w="1146" w:type="pct"/>
            <w:noWrap w:val="0"/>
            <w:vAlign w:val="center"/>
          </w:tcPr>
          <w:p w14:paraId="10E7E0B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建筑面积（㎡）</w:t>
            </w:r>
          </w:p>
        </w:tc>
        <w:tc>
          <w:tcPr>
            <w:tcW w:w="2618" w:type="dxa"/>
            <w:noWrap w:val="0"/>
            <w:vAlign w:val="center"/>
          </w:tcPr>
          <w:p w14:paraId="5E13A44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7000</w:t>
            </w:r>
            <w:r>
              <w:rPr>
                <w:rFonts w:hint="eastAsia"/>
                <w:color w:val="auto"/>
                <w:sz w:val="22"/>
                <w:szCs w:val="22"/>
                <w:highlight w:val="none"/>
              </w:rPr>
              <w:t>㎡</w:t>
            </w:r>
          </w:p>
        </w:tc>
        <w:tc>
          <w:tcPr>
            <w:tcW w:w="1480" w:type="pct"/>
            <w:noWrap w:val="0"/>
            <w:vAlign w:val="center"/>
          </w:tcPr>
          <w:p w14:paraId="0128514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2CB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continue"/>
            <w:noWrap w:val="0"/>
            <w:vAlign w:val="center"/>
          </w:tcPr>
          <w:p w14:paraId="01669A9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146" w:type="pct"/>
            <w:noWrap w:val="0"/>
            <w:vAlign w:val="center"/>
          </w:tcPr>
          <w:p w14:paraId="1BDC629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需保洁面积（㎡）</w:t>
            </w:r>
          </w:p>
        </w:tc>
        <w:tc>
          <w:tcPr>
            <w:tcW w:w="2618" w:type="dxa"/>
            <w:noWrap w:val="0"/>
            <w:vAlign w:val="center"/>
          </w:tcPr>
          <w:p w14:paraId="64958A6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7000</w:t>
            </w:r>
            <w:r>
              <w:rPr>
                <w:rFonts w:hint="eastAsia"/>
                <w:color w:val="auto"/>
                <w:sz w:val="22"/>
                <w:szCs w:val="22"/>
                <w:highlight w:val="none"/>
              </w:rPr>
              <w:t>㎡</w:t>
            </w:r>
          </w:p>
        </w:tc>
        <w:tc>
          <w:tcPr>
            <w:tcW w:w="1480" w:type="pct"/>
            <w:noWrap w:val="0"/>
            <w:vAlign w:val="center"/>
          </w:tcPr>
          <w:p w14:paraId="472DA94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67E4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continue"/>
            <w:noWrap w:val="0"/>
            <w:vAlign w:val="center"/>
          </w:tcPr>
          <w:p w14:paraId="1DADDA2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146" w:type="pct"/>
            <w:noWrap w:val="0"/>
            <w:vAlign w:val="center"/>
          </w:tcPr>
          <w:p w14:paraId="03DCB66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会议室数量（个）</w:t>
            </w:r>
          </w:p>
          <w:p w14:paraId="3B11B80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及总面积（㎡）</w:t>
            </w:r>
          </w:p>
        </w:tc>
        <w:tc>
          <w:tcPr>
            <w:tcW w:w="2618" w:type="dxa"/>
            <w:noWrap w:val="0"/>
            <w:vAlign w:val="center"/>
          </w:tcPr>
          <w:p w14:paraId="19A9DB6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会议室1个，总面积30</w:t>
            </w:r>
            <w:r>
              <w:rPr>
                <w:rFonts w:hint="eastAsia"/>
                <w:color w:val="auto"/>
                <w:sz w:val="22"/>
                <w:szCs w:val="22"/>
                <w:highlight w:val="none"/>
              </w:rPr>
              <w:t>㎡</w:t>
            </w:r>
          </w:p>
        </w:tc>
        <w:tc>
          <w:tcPr>
            <w:tcW w:w="1480" w:type="pct"/>
            <w:noWrap w:val="0"/>
            <w:vAlign w:val="center"/>
          </w:tcPr>
          <w:p w14:paraId="281D7A8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B10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vMerge w:val="continue"/>
            <w:noWrap w:val="0"/>
            <w:vAlign w:val="center"/>
          </w:tcPr>
          <w:p w14:paraId="7F4C058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146" w:type="pct"/>
            <w:noWrap w:val="0"/>
            <w:vAlign w:val="center"/>
          </w:tcPr>
          <w:p w14:paraId="6C9025B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报告厅数量（个）</w:t>
            </w:r>
          </w:p>
          <w:p w14:paraId="197D997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及总面积（㎡）</w:t>
            </w:r>
          </w:p>
        </w:tc>
        <w:tc>
          <w:tcPr>
            <w:tcW w:w="2618" w:type="dxa"/>
            <w:noWrap w:val="0"/>
            <w:vAlign w:val="center"/>
          </w:tcPr>
          <w:p w14:paraId="1838065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eastAsia"/>
                <w:color w:val="auto"/>
                <w:sz w:val="22"/>
                <w:szCs w:val="22"/>
                <w:highlight w:val="none"/>
              </w:rPr>
            </w:pPr>
            <w:r>
              <w:rPr>
                <w:rFonts w:hint="eastAsia"/>
                <w:color w:val="auto"/>
                <w:sz w:val="22"/>
                <w:szCs w:val="22"/>
                <w:highlight w:val="none"/>
                <w:lang w:val="en-US" w:eastAsia="zh-CN"/>
              </w:rPr>
              <w:t>报告厅1个，总面积50㎡</w:t>
            </w:r>
          </w:p>
        </w:tc>
        <w:tc>
          <w:tcPr>
            <w:tcW w:w="1480" w:type="pct"/>
            <w:noWrap w:val="0"/>
            <w:vAlign w:val="center"/>
          </w:tcPr>
          <w:p w14:paraId="5233B29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7F1D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224B6E2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卫生间</w:t>
            </w:r>
          </w:p>
        </w:tc>
        <w:tc>
          <w:tcPr>
            <w:tcW w:w="1146" w:type="pct"/>
            <w:noWrap w:val="0"/>
            <w:vAlign w:val="center"/>
          </w:tcPr>
          <w:p w14:paraId="726577F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卫生间数量（个）</w:t>
            </w:r>
          </w:p>
          <w:p w14:paraId="268E19F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及总面积（㎡）</w:t>
            </w:r>
          </w:p>
        </w:tc>
        <w:tc>
          <w:tcPr>
            <w:tcW w:w="2618" w:type="dxa"/>
            <w:noWrap w:val="0"/>
            <w:vAlign w:val="center"/>
          </w:tcPr>
          <w:p w14:paraId="12D6379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eastAsia"/>
                <w:color w:val="auto"/>
                <w:sz w:val="22"/>
                <w:szCs w:val="22"/>
                <w:highlight w:val="none"/>
              </w:rPr>
            </w:pPr>
            <w:r>
              <w:rPr>
                <w:rFonts w:hint="eastAsia"/>
                <w:color w:val="auto"/>
                <w:sz w:val="22"/>
                <w:szCs w:val="22"/>
                <w:highlight w:val="none"/>
                <w:lang w:val="en-US" w:eastAsia="zh-CN"/>
              </w:rPr>
              <w:t>卫生间4个，总面积160㎡</w:t>
            </w:r>
          </w:p>
        </w:tc>
        <w:tc>
          <w:tcPr>
            <w:tcW w:w="1480" w:type="pct"/>
            <w:noWrap w:val="0"/>
            <w:vAlign w:val="center"/>
          </w:tcPr>
          <w:p w14:paraId="57DA9D1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810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49DC9BE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垃圾存放点</w:t>
            </w:r>
          </w:p>
        </w:tc>
        <w:tc>
          <w:tcPr>
            <w:tcW w:w="1146" w:type="pct"/>
            <w:noWrap w:val="0"/>
            <w:vAlign w:val="center"/>
          </w:tcPr>
          <w:p w14:paraId="6350E2E3">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垃圾存放点数量、面积（㎡）</w:t>
            </w:r>
          </w:p>
        </w:tc>
        <w:tc>
          <w:tcPr>
            <w:tcW w:w="2618" w:type="dxa"/>
            <w:noWrap w:val="0"/>
            <w:vAlign w:val="center"/>
          </w:tcPr>
          <w:p w14:paraId="0A1E8E5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rPr>
              <w:t>垃圾存放点</w:t>
            </w:r>
            <w:r>
              <w:rPr>
                <w:rFonts w:hint="eastAsia"/>
                <w:color w:val="auto"/>
                <w:sz w:val="22"/>
                <w:szCs w:val="22"/>
                <w:highlight w:val="none"/>
                <w:lang w:val="en-US" w:eastAsia="zh-CN"/>
              </w:rPr>
              <w:t>2个，</w:t>
            </w:r>
            <w:r>
              <w:rPr>
                <w:rFonts w:hint="eastAsia"/>
                <w:color w:val="auto"/>
                <w:sz w:val="22"/>
                <w:szCs w:val="22"/>
                <w:highlight w:val="none"/>
                <w:lang w:val="en-US"/>
              </w:rPr>
              <w:t>面积</w:t>
            </w:r>
            <w:r>
              <w:rPr>
                <w:rFonts w:hint="eastAsia"/>
                <w:color w:val="auto"/>
                <w:sz w:val="22"/>
                <w:szCs w:val="22"/>
                <w:highlight w:val="none"/>
                <w:lang w:val="en-US" w:eastAsia="zh-CN"/>
              </w:rPr>
              <w:t>15</w:t>
            </w:r>
            <w:r>
              <w:rPr>
                <w:rFonts w:hint="eastAsia"/>
                <w:color w:val="auto"/>
                <w:sz w:val="22"/>
                <w:szCs w:val="22"/>
                <w:highlight w:val="none"/>
                <w:lang w:val="en-US"/>
              </w:rPr>
              <w:t>㎡</w:t>
            </w:r>
          </w:p>
        </w:tc>
        <w:tc>
          <w:tcPr>
            <w:tcW w:w="1480" w:type="pct"/>
            <w:noWrap w:val="0"/>
            <w:vAlign w:val="center"/>
          </w:tcPr>
          <w:p w14:paraId="5351F47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EF5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0BCF7B2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1146" w:type="pct"/>
            <w:noWrap w:val="0"/>
            <w:vAlign w:val="center"/>
          </w:tcPr>
          <w:p w14:paraId="2AB5410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2618" w:type="dxa"/>
            <w:noWrap w:val="0"/>
            <w:vAlign w:val="center"/>
          </w:tcPr>
          <w:p w14:paraId="13706B8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2个</w:t>
            </w:r>
          </w:p>
        </w:tc>
        <w:tc>
          <w:tcPr>
            <w:tcW w:w="1480" w:type="pct"/>
            <w:noWrap w:val="0"/>
            <w:vAlign w:val="center"/>
          </w:tcPr>
          <w:p w14:paraId="75B5D8D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7036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03" w:type="pct"/>
            <w:noWrap w:val="0"/>
            <w:vAlign w:val="center"/>
          </w:tcPr>
          <w:p w14:paraId="5C87AB5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eastAsia="zh-CN"/>
              </w:rPr>
            </w:pPr>
            <w:r>
              <w:rPr>
                <w:rFonts w:hint="eastAsia"/>
                <w:color w:val="auto"/>
                <w:sz w:val="22"/>
                <w:szCs w:val="22"/>
                <w:highlight w:val="none"/>
              </w:rPr>
              <w:t>设施设备</w:t>
            </w:r>
          </w:p>
        </w:tc>
        <w:tc>
          <w:tcPr>
            <w:tcW w:w="1146" w:type="pct"/>
            <w:noWrap w:val="0"/>
            <w:vAlign w:val="center"/>
          </w:tcPr>
          <w:p w14:paraId="23B9AF4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电梯系统</w:t>
            </w:r>
          </w:p>
        </w:tc>
        <w:tc>
          <w:tcPr>
            <w:tcW w:w="2618" w:type="dxa"/>
            <w:noWrap w:val="0"/>
            <w:vAlign w:val="center"/>
          </w:tcPr>
          <w:p w14:paraId="60E17F3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rPr>
            </w:pPr>
            <w:r>
              <w:rPr>
                <w:rFonts w:hint="eastAsia"/>
                <w:color w:val="auto"/>
                <w:sz w:val="22"/>
                <w:szCs w:val="22"/>
                <w:highlight w:val="none"/>
                <w:lang w:val="en-US" w:eastAsia="zh-CN"/>
              </w:rPr>
              <w:t>垂直电梯2个，手扶梯1个</w:t>
            </w:r>
          </w:p>
        </w:tc>
        <w:tc>
          <w:tcPr>
            <w:tcW w:w="1480" w:type="pct"/>
            <w:noWrap w:val="0"/>
            <w:vAlign w:val="center"/>
          </w:tcPr>
          <w:p w14:paraId="31DA640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618B2F18">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color w:val="auto"/>
          <w:sz w:val="24"/>
          <w:szCs w:val="24"/>
          <w:highlight w:val="none"/>
          <w:lang w:val="en-US" w:eastAsia="zh-CN"/>
        </w:rPr>
      </w:pPr>
    </w:p>
    <w:p w14:paraId="1D406D0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（二）</w:t>
      </w:r>
      <w:r>
        <w:rPr>
          <w:rFonts w:hint="eastAsia"/>
          <w:color w:val="auto"/>
          <w:sz w:val="22"/>
          <w:szCs w:val="22"/>
          <w:highlight w:val="none"/>
          <w:lang w:val="en-US" w:eastAsia="zh-CN"/>
        </w:rPr>
        <w:t>淮海战役碾庄圩战斗纪念馆</w:t>
      </w:r>
      <w:r>
        <w:rPr>
          <w:rFonts w:hint="eastAsia"/>
          <w:color w:val="auto"/>
          <w:sz w:val="24"/>
          <w:szCs w:val="24"/>
          <w:highlight w:val="none"/>
        </w:rPr>
        <w:t>物业管理（室外）</w:t>
      </w:r>
    </w:p>
    <w:p w14:paraId="4B3A7C4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75"/>
        <w:gridCol w:w="2864"/>
        <w:gridCol w:w="3670"/>
      </w:tblGrid>
      <w:tr w14:paraId="42338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068" w:type="pct"/>
            <w:noWrap w:val="0"/>
            <w:vAlign w:val="center"/>
          </w:tcPr>
          <w:p w14:paraId="18142EF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723" w:type="pct"/>
            <w:noWrap w:val="0"/>
            <w:vAlign w:val="center"/>
          </w:tcPr>
          <w:p w14:paraId="353CEB1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2207" w:type="pct"/>
            <w:noWrap w:val="0"/>
            <w:vAlign w:val="center"/>
          </w:tcPr>
          <w:p w14:paraId="5D51C53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3E937D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1068" w:type="pct"/>
            <w:noWrap w:val="0"/>
            <w:vAlign w:val="center"/>
          </w:tcPr>
          <w:p w14:paraId="045299A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室外面积</w:t>
            </w:r>
          </w:p>
        </w:tc>
        <w:tc>
          <w:tcPr>
            <w:tcW w:w="2864" w:type="dxa"/>
            <w:noWrap w:val="0"/>
            <w:vAlign w:val="center"/>
          </w:tcPr>
          <w:p w14:paraId="35FAE9E4">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66600</w:t>
            </w:r>
            <w:r>
              <w:rPr>
                <w:rFonts w:hint="eastAsia"/>
                <w:color w:val="auto"/>
                <w:sz w:val="22"/>
                <w:szCs w:val="22"/>
                <w:highlight w:val="none"/>
              </w:rPr>
              <w:t>㎡</w:t>
            </w:r>
          </w:p>
        </w:tc>
        <w:tc>
          <w:tcPr>
            <w:tcW w:w="2207" w:type="pct"/>
            <w:noWrap w:val="0"/>
            <w:vAlign w:val="center"/>
          </w:tcPr>
          <w:p w14:paraId="500E955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C6F7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068" w:type="pct"/>
            <w:noWrap w:val="0"/>
            <w:vAlign w:val="center"/>
          </w:tcPr>
          <w:p w14:paraId="1F686BE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绿化</w:t>
            </w:r>
          </w:p>
        </w:tc>
        <w:tc>
          <w:tcPr>
            <w:tcW w:w="2864" w:type="dxa"/>
            <w:noWrap w:val="0"/>
            <w:vAlign w:val="center"/>
          </w:tcPr>
          <w:p w14:paraId="69895A58">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10200</w:t>
            </w:r>
            <w:r>
              <w:rPr>
                <w:rFonts w:hint="eastAsia"/>
                <w:color w:val="auto"/>
                <w:sz w:val="22"/>
                <w:szCs w:val="22"/>
                <w:highlight w:val="none"/>
              </w:rPr>
              <w:t>㎡</w:t>
            </w:r>
          </w:p>
        </w:tc>
        <w:tc>
          <w:tcPr>
            <w:tcW w:w="2207" w:type="pct"/>
            <w:noWrap w:val="0"/>
            <w:vAlign w:val="center"/>
          </w:tcPr>
          <w:p w14:paraId="4F0ADEE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3BD8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068" w:type="pct"/>
            <w:noWrap w:val="0"/>
            <w:vAlign w:val="center"/>
          </w:tcPr>
          <w:p w14:paraId="3C556D0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广场</w:t>
            </w:r>
          </w:p>
        </w:tc>
        <w:tc>
          <w:tcPr>
            <w:tcW w:w="2864" w:type="dxa"/>
            <w:noWrap w:val="0"/>
            <w:vAlign w:val="center"/>
          </w:tcPr>
          <w:p w14:paraId="76B69A92">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13320</w:t>
            </w:r>
            <w:r>
              <w:rPr>
                <w:rFonts w:hint="eastAsia"/>
                <w:color w:val="auto"/>
                <w:sz w:val="22"/>
                <w:szCs w:val="22"/>
                <w:highlight w:val="none"/>
              </w:rPr>
              <w:t>㎡</w:t>
            </w:r>
          </w:p>
        </w:tc>
        <w:tc>
          <w:tcPr>
            <w:tcW w:w="2207" w:type="pct"/>
            <w:noWrap w:val="0"/>
            <w:vAlign w:val="center"/>
          </w:tcPr>
          <w:p w14:paraId="4734B91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9AF9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068" w:type="pct"/>
            <w:noWrap w:val="0"/>
            <w:vAlign w:val="center"/>
          </w:tcPr>
          <w:p w14:paraId="34021EF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垃圾箱</w:t>
            </w:r>
          </w:p>
        </w:tc>
        <w:tc>
          <w:tcPr>
            <w:tcW w:w="2864" w:type="dxa"/>
            <w:noWrap w:val="0"/>
            <w:vAlign w:val="center"/>
          </w:tcPr>
          <w:p w14:paraId="67F74831">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20个</w:t>
            </w:r>
          </w:p>
        </w:tc>
        <w:tc>
          <w:tcPr>
            <w:tcW w:w="2207" w:type="pct"/>
            <w:noWrap w:val="0"/>
            <w:vAlign w:val="center"/>
          </w:tcPr>
          <w:p w14:paraId="31397ED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7E6819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068" w:type="pct"/>
            <w:noWrap w:val="0"/>
            <w:vAlign w:val="center"/>
          </w:tcPr>
          <w:p w14:paraId="3EAAC17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lang w:val="en-US" w:eastAsia="zh-CN"/>
              </w:rPr>
              <w:t>墓区</w:t>
            </w:r>
          </w:p>
        </w:tc>
        <w:tc>
          <w:tcPr>
            <w:tcW w:w="2864" w:type="dxa"/>
            <w:noWrap w:val="0"/>
            <w:vAlign w:val="center"/>
          </w:tcPr>
          <w:p w14:paraId="7B528B90">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1000</w:t>
            </w:r>
            <w:r>
              <w:rPr>
                <w:rFonts w:hint="eastAsia"/>
                <w:color w:val="auto"/>
                <w:sz w:val="22"/>
                <w:szCs w:val="22"/>
                <w:highlight w:val="none"/>
              </w:rPr>
              <w:t>㎡</w:t>
            </w:r>
            <w:r>
              <w:rPr>
                <w:rFonts w:hint="eastAsia"/>
                <w:color w:val="auto"/>
                <w:sz w:val="22"/>
                <w:szCs w:val="22"/>
                <w:highlight w:val="none"/>
                <w:lang w:eastAsia="zh-CN"/>
              </w:rPr>
              <w:t>、</w:t>
            </w:r>
            <w:r>
              <w:rPr>
                <w:rFonts w:hint="eastAsia"/>
                <w:color w:val="auto"/>
                <w:sz w:val="22"/>
                <w:szCs w:val="22"/>
                <w:highlight w:val="none"/>
                <w:lang w:val="en-US" w:eastAsia="zh-CN"/>
              </w:rPr>
              <w:t>650座</w:t>
            </w:r>
          </w:p>
        </w:tc>
        <w:tc>
          <w:tcPr>
            <w:tcW w:w="2207" w:type="pct"/>
            <w:noWrap w:val="0"/>
            <w:vAlign w:val="center"/>
          </w:tcPr>
          <w:p w14:paraId="7CC6C25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p>
        </w:tc>
      </w:tr>
    </w:tbl>
    <w:p w14:paraId="0941C77D">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color w:val="auto"/>
          <w:sz w:val="24"/>
          <w:szCs w:val="24"/>
          <w:highlight w:val="none"/>
          <w:lang w:val="en-US" w:eastAsia="zh-CN"/>
        </w:rPr>
      </w:pPr>
    </w:p>
    <w:p w14:paraId="1E948F1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（三）</w:t>
      </w:r>
      <w:r>
        <w:rPr>
          <w:rFonts w:hint="eastAsia" w:cs="Times New Roman"/>
          <w:color w:val="auto"/>
          <w:sz w:val="24"/>
          <w:szCs w:val="24"/>
          <w:highlight w:val="none"/>
          <w:lang w:val="en-US" w:eastAsia="zh-CN" w:bidi="ar-SA"/>
        </w:rPr>
        <w:t>李超时</w:t>
      </w:r>
      <w:r>
        <w:rPr>
          <w:rFonts w:hint="eastAsia" w:ascii="Times New Roman" w:hAnsi="Times New Roman" w:eastAsia="宋体" w:cs="Times New Roman"/>
          <w:color w:val="auto"/>
          <w:sz w:val="24"/>
          <w:szCs w:val="24"/>
          <w:highlight w:val="none"/>
          <w:lang w:val="en-US" w:eastAsia="zh-CN" w:bidi="ar-SA"/>
        </w:rPr>
        <w:t>纪念馆物业管理（建筑物）</w:t>
      </w:r>
    </w:p>
    <w:p w14:paraId="3BED68C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36"/>
        <w:gridCol w:w="1708"/>
        <w:gridCol w:w="2808"/>
        <w:gridCol w:w="2462"/>
      </w:tblGrid>
      <w:tr w14:paraId="0C5C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830" w:type="pct"/>
            <w:gridSpan w:val="2"/>
            <w:noWrap w:val="0"/>
            <w:vAlign w:val="center"/>
          </w:tcPr>
          <w:p w14:paraId="25EA2CB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688" w:type="pct"/>
            <w:noWrap w:val="0"/>
            <w:vAlign w:val="center"/>
          </w:tcPr>
          <w:p w14:paraId="49A962A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1480" w:type="pct"/>
            <w:noWrap w:val="0"/>
            <w:vAlign w:val="center"/>
          </w:tcPr>
          <w:p w14:paraId="0E0F1BB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09E7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830" w:type="pct"/>
            <w:gridSpan w:val="2"/>
            <w:noWrap w:val="0"/>
            <w:vAlign w:val="center"/>
          </w:tcPr>
          <w:p w14:paraId="5786157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建筑名称</w:t>
            </w:r>
          </w:p>
        </w:tc>
        <w:tc>
          <w:tcPr>
            <w:tcW w:w="1688" w:type="pct"/>
            <w:noWrap w:val="0"/>
            <w:vAlign w:val="center"/>
          </w:tcPr>
          <w:p w14:paraId="57F1422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李超时纪念馆、办公用房等</w:t>
            </w:r>
          </w:p>
        </w:tc>
        <w:tc>
          <w:tcPr>
            <w:tcW w:w="1480" w:type="pct"/>
            <w:noWrap w:val="0"/>
            <w:vAlign w:val="center"/>
          </w:tcPr>
          <w:p w14:paraId="0440D2B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3093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803" w:type="pct"/>
            <w:vMerge w:val="restart"/>
            <w:noWrap w:val="0"/>
            <w:vAlign w:val="center"/>
          </w:tcPr>
          <w:p w14:paraId="49F9338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总面积</w:t>
            </w:r>
          </w:p>
        </w:tc>
        <w:tc>
          <w:tcPr>
            <w:tcW w:w="1027" w:type="pct"/>
            <w:noWrap w:val="0"/>
            <w:vAlign w:val="center"/>
          </w:tcPr>
          <w:p w14:paraId="20A7AE9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建筑面积（㎡）</w:t>
            </w:r>
          </w:p>
        </w:tc>
        <w:tc>
          <w:tcPr>
            <w:tcW w:w="2808" w:type="dxa"/>
            <w:noWrap w:val="0"/>
            <w:vAlign w:val="center"/>
          </w:tcPr>
          <w:p w14:paraId="120E47E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500</w:t>
            </w:r>
            <w:r>
              <w:rPr>
                <w:rFonts w:hint="eastAsia"/>
                <w:color w:val="auto"/>
                <w:sz w:val="22"/>
                <w:szCs w:val="22"/>
                <w:highlight w:val="none"/>
              </w:rPr>
              <w:t>㎡</w:t>
            </w:r>
          </w:p>
        </w:tc>
        <w:tc>
          <w:tcPr>
            <w:tcW w:w="1480" w:type="pct"/>
            <w:noWrap w:val="0"/>
            <w:vAlign w:val="center"/>
          </w:tcPr>
          <w:p w14:paraId="5C9A77E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B27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9" w:hRule="atLeast"/>
        </w:trPr>
        <w:tc>
          <w:tcPr>
            <w:tcW w:w="803" w:type="pct"/>
            <w:vMerge w:val="continue"/>
            <w:noWrap w:val="0"/>
            <w:vAlign w:val="center"/>
          </w:tcPr>
          <w:p w14:paraId="204BAAA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2F4E6E2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需保洁面积（㎡）</w:t>
            </w:r>
          </w:p>
        </w:tc>
        <w:tc>
          <w:tcPr>
            <w:tcW w:w="2808" w:type="dxa"/>
            <w:noWrap w:val="0"/>
            <w:vAlign w:val="center"/>
          </w:tcPr>
          <w:p w14:paraId="0EBF8B2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500</w:t>
            </w:r>
            <w:r>
              <w:rPr>
                <w:rFonts w:hint="eastAsia"/>
                <w:color w:val="auto"/>
                <w:sz w:val="22"/>
                <w:szCs w:val="22"/>
                <w:highlight w:val="none"/>
              </w:rPr>
              <w:t>㎡</w:t>
            </w:r>
          </w:p>
        </w:tc>
        <w:tc>
          <w:tcPr>
            <w:tcW w:w="1480" w:type="pct"/>
            <w:noWrap w:val="0"/>
            <w:vAlign w:val="center"/>
          </w:tcPr>
          <w:p w14:paraId="03BD512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ABE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803" w:type="pct"/>
            <w:vMerge w:val="continue"/>
            <w:noWrap w:val="0"/>
            <w:vAlign w:val="center"/>
          </w:tcPr>
          <w:p w14:paraId="5735B28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184D385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会议室数量（个）</w:t>
            </w:r>
          </w:p>
          <w:p w14:paraId="6F3EB87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2808" w:type="dxa"/>
            <w:noWrap w:val="0"/>
            <w:vAlign w:val="center"/>
          </w:tcPr>
          <w:p w14:paraId="15D3105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会议室1个，总面积40</w:t>
            </w:r>
            <w:r>
              <w:rPr>
                <w:rFonts w:hint="eastAsia"/>
                <w:color w:val="auto"/>
                <w:sz w:val="22"/>
                <w:szCs w:val="22"/>
                <w:highlight w:val="none"/>
              </w:rPr>
              <w:t>㎡</w:t>
            </w:r>
          </w:p>
        </w:tc>
        <w:tc>
          <w:tcPr>
            <w:tcW w:w="1480" w:type="pct"/>
            <w:noWrap w:val="0"/>
            <w:vAlign w:val="center"/>
          </w:tcPr>
          <w:p w14:paraId="469A5E8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CFC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803" w:type="pct"/>
            <w:vMerge w:val="continue"/>
            <w:noWrap w:val="0"/>
            <w:vAlign w:val="center"/>
          </w:tcPr>
          <w:p w14:paraId="0EABFC5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0D3812D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报告厅数量（个）</w:t>
            </w:r>
          </w:p>
          <w:p w14:paraId="0AB01DC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2808" w:type="dxa"/>
            <w:noWrap w:val="0"/>
            <w:vAlign w:val="center"/>
          </w:tcPr>
          <w:p w14:paraId="6743688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eastAsia"/>
                <w:color w:val="auto"/>
                <w:sz w:val="22"/>
                <w:szCs w:val="22"/>
                <w:highlight w:val="none"/>
              </w:rPr>
            </w:pPr>
            <w:r>
              <w:rPr>
                <w:rFonts w:hint="eastAsia"/>
                <w:color w:val="auto"/>
                <w:sz w:val="22"/>
                <w:szCs w:val="22"/>
                <w:highlight w:val="none"/>
                <w:lang w:val="en-US" w:eastAsia="zh-CN"/>
              </w:rPr>
              <w:t>报告厅1个，总面积60㎡</w:t>
            </w:r>
          </w:p>
        </w:tc>
        <w:tc>
          <w:tcPr>
            <w:tcW w:w="1480" w:type="pct"/>
            <w:noWrap w:val="0"/>
            <w:vAlign w:val="center"/>
          </w:tcPr>
          <w:p w14:paraId="144FA15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1C55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803" w:type="pct"/>
            <w:noWrap w:val="0"/>
            <w:vAlign w:val="center"/>
          </w:tcPr>
          <w:p w14:paraId="79CA7CE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卫生间</w:t>
            </w:r>
          </w:p>
        </w:tc>
        <w:tc>
          <w:tcPr>
            <w:tcW w:w="1027" w:type="pct"/>
            <w:noWrap w:val="0"/>
            <w:vAlign w:val="center"/>
          </w:tcPr>
          <w:p w14:paraId="57AD2DA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卫生间数量（个）</w:t>
            </w:r>
          </w:p>
          <w:p w14:paraId="4D18FEC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2808" w:type="dxa"/>
            <w:noWrap w:val="0"/>
            <w:vAlign w:val="center"/>
          </w:tcPr>
          <w:p w14:paraId="4CA1122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eastAsia"/>
                <w:color w:val="auto"/>
                <w:sz w:val="22"/>
                <w:szCs w:val="22"/>
                <w:highlight w:val="none"/>
              </w:rPr>
            </w:pPr>
            <w:r>
              <w:rPr>
                <w:rFonts w:hint="eastAsia"/>
                <w:color w:val="auto"/>
                <w:sz w:val="22"/>
                <w:szCs w:val="22"/>
                <w:highlight w:val="none"/>
                <w:lang w:val="en-US" w:eastAsia="zh-CN"/>
              </w:rPr>
              <w:t>卫生间3个，总面积45㎡</w:t>
            </w:r>
          </w:p>
        </w:tc>
        <w:tc>
          <w:tcPr>
            <w:tcW w:w="1480" w:type="pct"/>
            <w:noWrap w:val="0"/>
            <w:vAlign w:val="center"/>
          </w:tcPr>
          <w:p w14:paraId="03A31F2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747B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2E3D4AB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消防箱</w:t>
            </w:r>
          </w:p>
        </w:tc>
        <w:tc>
          <w:tcPr>
            <w:tcW w:w="1027" w:type="pct"/>
            <w:noWrap w:val="0"/>
            <w:vAlign w:val="center"/>
          </w:tcPr>
          <w:p w14:paraId="0072046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消防箱数量（个）</w:t>
            </w:r>
          </w:p>
        </w:tc>
        <w:tc>
          <w:tcPr>
            <w:tcW w:w="2808" w:type="dxa"/>
            <w:noWrap w:val="0"/>
            <w:vAlign w:val="center"/>
          </w:tcPr>
          <w:p w14:paraId="18A3A15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18个</w:t>
            </w:r>
          </w:p>
        </w:tc>
        <w:tc>
          <w:tcPr>
            <w:tcW w:w="1480" w:type="pct"/>
            <w:noWrap w:val="0"/>
            <w:vAlign w:val="center"/>
          </w:tcPr>
          <w:p w14:paraId="48191D4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54E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2E44E21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1027" w:type="pct"/>
            <w:noWrap w:val="0"/>
            <w:vAlign w:val="center"/>
          </w:tcPr>
          <w:p w14:paraId="1DD4F15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人行口</w:t>
            </w:r>
          </w:p>
        </w:tc>
        <w:tc>
          <w:tcPr>
            <w:tcW w:w="2808" w:type="dxa"/>
            <w:noWrap w:val="0"/>
            <w:vAlign w:val="center"/>
          </w:tcPr>
          <w:p w14:paraId="342AC1E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2个</w:t>
            </w:r>
          </w:p>
        </w:tc>
        <w:tc>
          <w:tcPr>
            <w:tcW w:w="1480" w:type="pct"/>
            <w:noWrap w:val="0"/>
            <w:vAlign w:val="center"/>
          </w:tcPr>
          <w:p w14:paraId="078D6EA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7217B2C0">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3BFD725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（四）</w:t>
      </w:r>
      <w:r>
        <w:rPr>
          <w:rFonts w:hint="eastAsia" w:cs="Times New Roman"/>
          <w:color w:val="auto"/>
          <w:sz w:val="24"/>
          <w:szCs w:val="24"/>
          <w:highlight w:val="none"/>
          <w:lang w:val="en-US" w:eastAsia="zh-CN" w:bidi="ar-SA"/>
        </w:rPr>
        <w:t>李超时</w:t>
      </w:r>
      <w:r>
        <w:rPr>
          <w:rFonts w:hint="eastAsia" w:ascii="Times New Roman" w:hAnsi="Times New Roman" w:eastAsia="宋体" w:cs="Times New Roman"/>
          <w:color w:val="auto"/>
          <w:sz w:val="24"/>
          <w:szCs w:val="24"/>
          <w:highlight w:val="none"/>
          <w:lang w:val="en-US" w:eastAsia="zh-CN" w:bidi="ar-SA"/>
        </w:rPr>
        <w:t>纪念馆物业管理（室外）</w:t>
      </w:r>
    </w:p>
    <w:p w14:paraId="5B69006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15"/>
        <w:gridCol w:w="2861"/>
        <w:gridCol w:w="3534"/>
      </w:tblGrid>
      <w:tr w14:paraId="4862E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336D293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721" w:type="pct"/>
            <w:noWrap w:val="0"/>
            <w:vAlign w:val="center"/>
          </w:tcPr>
          <w:p w14:paraId="7CD8A8C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2126" w:type="pct"/>
            <w:noWrap w:val="0"/>
            <w:vAlign w:val="center"/>
          </w:tcPr>
          <w:p w14:paraId="641E6C1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056A6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1152" w:type="pct"/>
            <w:noWrap w:val="0"/>
            <w:vAlign w:val="center"/>
          </w:tcPr>
          <w:p w14:paraId="3D11DBE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室外面积</w:t>
            </w:r>
          </w:p>
        </w:tc>
        <w:tc>
          <w:tcPr>
            <w:tcW w:w="2861" w:type="dxa"/>
            <w:noWrap w:val="0"/>
            <w:vAlign w:val="center"/>
          </w:tcPr>
          <w:p w14:paraId="528F53B2">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13320</w:t>
            </w:r>
            <w:r>
              <w:rPr>
                <w:rFonts w:hint="eastAsia"/>
                <w:color w:val="auto"/>
                <w:sz w:val="22"/>
                <w:szCs w:val="22"/>
                <w:highlight w:val="none"/>
              </w:rPr>
              <w:t>㎡</w:t>
            </w:r>
          </w:p>
        </w:tc>
        <w:tc>
          <w:tcPr>
            <w:tcW w:w="2126" w:type="pct"/>
            <w:noWrap w:val="0"/>
            <w:vAlign w:val="center"/>
          </w:tcPr>
          <w:p w14:paraId="18BE4D4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D594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152" w:type="pct"/>
            <w:noWrap w:val="0"/>
            <w:vAlign w:val="center"/>
          </w:tcPr>
          <w:p w14:paraId="446CA36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绿化</w:t>
            </w:r>
          </w:p>
        </w:tc>
        <w:tc>
          <w:tcPr>
            <w:tcW w:w="2861" w:type="dxa"/>
            <w:noWrap w:val="0"/>
            <w:vAlign w:val="center"/>
          </w:tcPr>
          <w:p w14:paraId="780C2256">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8000</w:t>
            </w:r>
            <w:r>
              <w:rPr>
                <w:rFonts w:hint="eastAsia"/>
                <w:color w:val="auto"/>
                <w:sz w:val="22"/>
                <w:szCs w:val="22"/>
                <w:highlight w:val="none"/>
              </w:rPr>
              <w:t>㎡</w:t>
            </w:r>
          </w:p>
        </w:tc>
        <w:tc>
          <w:tcPr>
            <w:tcW w:w="2126" w:type="pct"/>
            <w:noWrap w:val="0"/>
            <w:vAlign w:val="center"/>
          </w:tcPr>
          <w:p w14:paraId="6057901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3B922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152" w:type="pct"/>
            <w:noWrap w:val="0"/>
            <w:vAlign w:val="center"/>
          </w:tcPr>
          <w:p w14:paraId="6A0F522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广场</w:t>
            </w:r>
          </w:p>
        </w:tc>
        <w:tc>
          <w:tcPr>
            <w:tcW w:w="2861" w:type="dxa"/>
            <w:noWrap w:val="0"/>
            <w:vAlign w:val="center"/>
          </w:tcPr>
          <w:p w14:paraId="1BE8BAC7">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500</w:t>
            </w:r>
            <w:r>
              <w:rPr>
                <w:rFonts w:hint="eastAsia"/>
                <w:color w:val="auto"/>
                <w:sz w:val="22"/>
                <w:szCs w:val="22"/>
                <w:highlight w:val="none"/>
              </w:rPr>
              <w:t>㎡</w:t>
            </w:r>
          </w:p>
        </w:tc>
        <w:tc>
          <w:tcPr>
            <w:tcW w:w="2126" w:type="pct"/>
            <w:noWrap w:val="0"/>
            <w:vAlign w:val="center"/>
          </w:tcPr>
          <w:p w14:paraId="23CCD64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8226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152" w:type="pct"/>
            <w:noWrap w:val="0"/>
            <w:vAlign w:val="center"/>
          </w:tcPr>
          <w:p w14:paraId="4F4B270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消防栓</w:t>
            </w:r>
          </w:p>
        </w:tc>
        <w:tc>
          <w:tcPr>
            <w:tcW w:w="2861" w:type="dxa"/>
            <w:noWrap w:val="0"/>
            <w:vAlign w:val="center"/>
          </w:tcPr>
          <w:p w14:paraId="3228D3A4">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4个</w:t>
            </w:r>
          </w:p>
        </w:tc>
        <w:tc>
          <w:tcPr>
            <w:tcW w:w="2126" w:type="pct"/>
            <w:noWrap w:val="0"/>
            <w:vAlign w:val="center"/>
          </w:tcPr>
          <w:p w14:paraId="57D17E6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53590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073C83C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垃圾箱</w:t>
            </w:r>
          </w:p>
        </w:tc>
        <w:tc>
          <w:tcPr>
            <w:tcW w:w="2861" w:type="dxa"/>
            <w:noWrap w:val="0"/>
            <w:vAlign w:val="center"/>
          </w:tcPr>
          <w:p w14:paraId="29B679E1">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5个</w:t>
            </w:r>
          </w:p>
        </w:tc>
        <w:tc>
          <w:tcPr>
            <w:tcW w:w="2126" w:type="pct"/>
            <w:noWrap w:val="0"/>
            <w:vAlign w:val="center"/>
          </w:tcPr>
          <w:p w14:paraId="38502E4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95EE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42F2CBE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lang w:val="en-US" w:eastAsia="zh-CN"/>
              </w:rPr>
              <w:t>烈士墓</w:t>
            </w:r>
          </w:p>
        </w:tc>
        <w:tc>
          <w:tcPr>
            <w:tcW w:w="2861" w:type="dxa"/>
            <w:noWrap w:val="0"/>
            <w:vAlign w:val="center"/>
          </w:tcPr>
          <w:p w14:paraId="537E23E4">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60</w:t>
            </w:r>
            <w:r>
              <w:rPr>
                <w:rFonts w:hint="eastAsia"/>
                <w:color w:val="auto"/>
                <w:sz w:val="22"/>
                <w:szCs w:val="22"/>
                <w:highlight w:val="none"/>
              </w:rPr>
              <w:t>㎡</w:t>
            </w:r>
            <w:r>
              <w:rPr>
                <w:rFonts w:hint="eastAsia"/>
                <w:color w:val="auto"/>
                <w:sz w:val="22"/>
                <w:szCs w:val="22"/>
                <w:highlight w:val="none"/>
                <w:lang w:eastAsia="zh-CN"/>
              </w:rPr>
              <w:t>、</w:t>
            </w:r>
            <w:r>
              <w:rPr>
                <w:rFonts w:hint="eastAsia"/>
                <w:color w:val="auto"/>
                <w:sz w:val="22"/>
                <w:szCs w:val="22"/>
                <w:highlight w:val="none"/>
                <w:lang w:val="en-US" w:eastAsia="zh-CN"/>
              </w:rPr>
              <w:t>1座</w:t>
            </w:r>
          </w:p>
        </w:tc>
        <w:tc>
          <w:tcPr>
            <w:tcW w:w="2126" w:type="pct"/>
            <w:noWrap w:val="0"/>
            <w:vAlign w:val="center"/>
          </w:tcPr>
          <w:p w14:paraId="02F49F2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p>
        </w:tc>
      </w:tr>
    </w:tbl>
    <w:p w14:paraId="4DC97B1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10C3EA3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w:t>
      </w:r>
      <w:r>
        <w:rPr>
          <w:rFonts w:hint="eastAsia" w:cs="Times New Roman"/>
          <w:color w:val="auto"/>
          <w:sz w:val="24"/>
          <w:szCs w:val="24"/>
          <w:highlight w:val="none"/>
          <w:lang w:val="en-US" w:eastAsia="zh-CN" w:bidi="ar-SA"/>
        </w:rPr>
        <w:t>五</w:t>
      </w:r>
      <w:r>
        <w:rPr>
          <w:rFonts w:hint="eastAsia" w:ascii="Times New Roman" w:hAnsi="Times New Roman" w:eastAsia="宋体" w:cs="Times New Roman"/>
          <w:color w:val="auto"/>
          <w:sz w:val="24"/>
          <w:szCs w:val="24"/>
          <w:highlight w:val="none"/>
          <w:lang w:val="en-US" w:eastAsia="zh-CN" w:bidi="ar-SA"/>
        </w:rPr>
        <w:t>）</w:t>
      </w:r>
      <w:r>
        <w:rPr>
          <w:rFonts w:hint="eastAsia" w:cs="Times New Roman"/>
          <w:color w:val="auto"/>
          <w:sz w:val="24"/>
          <w:szCs w:val="24"/>
          <w:highlight w:val="none"/>
          <w:lang w:val="en-US" w:eastAsia="zh-CN" w:bidi="ar-SA"/>
        </w:rPr>
        <w:t>石山烈士陵园</w:t>
      </w:r>
      <w:r>
        <w:rPr>
          <w:rFonts w:hint="eastAsia" w:ascii="Times New Roman" w:hAnsi="Times New Roman" w:eastAsia="宋体" w:cs="Times New Roman"/>
          <w:color w:val="auto"/>
          <w:sz w:val="24"/>
          <w:szCs w:val="24"/>
          <w:highlight w:val="none"/>
          <w:lang w:val="en-US" w:eastAsia="zh-CN" w:bidi="ar-SA"/>
        </w:rPr>
        <w:t>物业管理（建筑物）</w:t>
      </w:r>
    </w:p>
    <w:p w14:paraId="1F79B68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37"/>
        <w:gridCol w:w="1710"/>
        <w:gridCol w:w="2811"/>
        <w:gridCol w:w="2465"/>
      </w:tblGrid>
      <w:tr w14:paraId="7512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830" w:type="pct"/>
            <w:gridSpan w:val="2"/>
            <w:noWrap w:val="0"/>
            <w:vAlign w:val="center"/>
          </w:tcPr>
          <w:p w14:paraId="7A3358C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688" w:type="pct"/>
            <w:noWrap w:val="0"/>
            <w:vAlign w:val="center"/>
          </w:tcPr>
          <w:p w14:paraId="6DBDED6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1480" w:type="pct"/>
            <w:noWrap w:val="0"/>
            <w:vAlign w:val="center"/>
          </w:tcPr>
          <w:p w14:paraId="04B7D7F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6E46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830" w:type="pct"/>
            <w:gridSpan w:val="2"/>
            <w:noWrap w:val="0"/>
            <w:vAlign w:val="center"/>
          </w:tcPr>
          <w:p w14:paraId="5FB6FF7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建筑名称</w:t>
            </w:r>
          </w:p>
        </w:tc>
        <w:tc>
          <w:tcPr>
            <w:tcW w:w="1688" w:type="pct"/>
            <w:noWrap w:val="0"/>
            <w:vAlign w:val="center"/>
          </w:tcPr>
          <w:p w14:paraId="71B4CA1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办公用房、卫生间等</w:t>
            </w:r>
          </w:p>
        </w:tc>
        <w:tc>
          <w:tcPr>
            <w:tcW w:w="1480" w:type="pct"/>
            <w:noWrap w:val="0"/>
            <w:vAlign w:val="center"/>
          </w:tcPr>
          <w:p w14:paraId="0008E5F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center"/>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6EC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803" w:type="pct"/>
            <w:vMerge w:val="restart"/>
            <w:noWrap w:val="0"/>
            <w:vAlign w:val="center"/>
          </w:tcPr>
          <w:p w14:paraId="1DB748D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总面积</w:t>
            </w:r>
          </w:p>
        </w:tc>
        <w:tc>
          <w:tcPr>
            <w:tcW w:w="1027" w:type="pct"/>
            <w:noWrap w:val="0"/>
            <w:vAlign w:val="center"/>
          </w:tcPr>
          <w:p w14:paraId="6A9A7A5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建筑面积（㎡）</w:t>
            </w:r>
          </w:p>
        </w:tc>
        <w:tc>
          <w:tcPr>
            <w:tcW w:w="2811" w:type="dxa"/>
            <w:noWrap w:val="0"/>
            <w:vAlign w:val="center"/>
          </w:tcPr>
          <w:p w14:paraId="2B9654C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200</w:t>
            </w:r>
            <w:r>
              <w:rPr>
                <w:rFonts w:hint="eastAsia"/>
                <w:color w:val="auto"/>
                <w:sz w:val="22"/>
                <w:szCs w:val="22"/>
                <w:highlight w:val="none"/>
              </w:rPr>
              <w:t>㎡</w:t>
            </w:r>
          </w:p>
        </w:tc>
        <w:tc>
          <w:tcPr>
            <w:tcW w:w="1480" w:type="pct"/>
            <w:noWrap w:val="0"/>
            <w:vAlign w:val="center"/>
          </w:tcPr>
          <w:p w14:paraId="3B8C475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F4B4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9" w:hRule="atLeast"/>
        </w:trPr>
        <w:tc>
          <w:tcPr>
            <w:tcW w:w="803" w:type="pct"/>
            <w:vMerge w:val="continue"/>
            <w:noWrap w:val="0"/>
            <w:vAlign w:val="center"/>
          </w:tcPr>
          <w:p w14:paraId="3C7FC26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27" w:type="pct"/>
            <w:noWrap w:val="0"/>
            <w:vAlign w:val="center"/>
          </w:tcPr>
          <w:p w14:paraId="7BEEA68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需保洁面积（㎡）</w:t>
            </w:r>
          </w:p>
        </w:tc>
        <w:tc>
          <w:tcPr>
            <w:tcW w:w="2811" w:type="dxa"/>
            <w:noWrap w:val="0"/>
            <w:vAlign w:val="center"/>
          </w:tcPr>
          <w:p w14:paraId="3578731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200</w:t>
            </w:r>
            <w:r>
              <w:rPr>
                <w:rFonts w:hint="eastAsia"/>
                <w:color w:val="auto"/>
                <w:sz w:val="22"/>
                <w:szCs w:val="22"/>
                <w:highlight w:val="none"/>
              </w:rPr>
              <w:t>㎡</w:t>
            </w:r>
          </w:p>
        </w:tc>
        <w:tc>
          <w:tcPr>
            <w:tcW w:w="1480" w:type="pct"/>
            <w:noWrap w:val="0"/>
            <w:vAlign w:val="center"/>
          </w:tcPr>
          <w:p w14:paraId="1984970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7BED9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803" w:type="pct"/>
            <w:noWrap w:val="0"/>
            <w:vAlign w:val="center"/>
          </w:tcPr>
          <w:p w14:paraId="00595F7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卫生间</w:t>
            </w:r>
          </w:p>
        </w:tc>
        <w:tc>
          <w:tcPr>
            <w:tcW w:w="1027" w:type="pct"/>
            <w:noWrap w:val="0"/>
            <w:vAlign w:val="center"/>
          </w:tcPr>
          <w:p w14:paraId="7FD7821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卫生间数量（个）</w:t>
            </w:r>
          </w:p>
          <w:p w14:paraId="1946025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及总面积（㎡）</w:t>
            </w:r>
          </w:p>
        </w:tc>
        <w:tc>
          <w:tcPr>
            <w:tcW w:w="2811" w:type="dxa"/>
            <w:noWrap w:val="0"/>
            <w:vAlign w:val="center"/>
          </w:tcPr>
          <w:p w14:paraId="6C0EC2C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eastAsia"/>
                <w:color w:val="auto"/>
                <w:sz w:val="22"/>
                <w:szCs w:val="22"/>
                <w:highlight w:val="none"/>
              </w:rPr>
            </w:pPr>
            <w:r>
              <w:rPr>
                <w:rFonts w:hint="eastAsia"/>
                <w:color w:val="auto"/>
                <w:sz w:val="22"/>
                <w:szCs w:val="22"/>
                <w:highlight w:val="none"/>
                <w:lang w:val="en-US" w:eastAsia="zh-CN"/>
              </w:rPr>
              <w:t>卫生间1个，总面积45㎡</w:t>
            </w:r>
          </w:p>
        </w:tc>
        <w:tc>
          <w:tcPr>
            <w:tcW w:w="1480" w:type="pct"/>
            <w:noWrap w:val="0"/>
            <w:vAlign w:val="center"/>
          </w:tcPr>
          <w:p w14:paraId="216D448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01A6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7A36563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消防箱</w:t>
            </w:r>
          </w:p>
        </w:tc>
        <w:tc>
          <w:tcPr>
            <w:tcW w:w="1027" w:type="pct"/>
            <w:noWrap w:val="0"/>
            <w:vAlign w:val="center"/>
          </w:tcPr>
          <w:p w14:paraId="53D3F95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消防箱数量（个）</w:t>
            </w:r>
          </w:p>
        </w:tc>
        <w:tc>
          <w:tcPr>
            <w:tcW w:w="2811" w:type="dxa"/>
            <w:noWrap w:val="0"/>
            <w:vAlign w:val="center"/>
          </w:tcPr>
          <w:p w14:paraId="2F7F732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18个</w:t>
            </w:r>
          </w:p>
        </w:tc>
        <w:tc>
          <w:tcPr>
            <w:tcW w:w="1480" w:type="pct"/>
            <w:noWrap w:val="0"/>
            <w:vAlign w:val="center"/>
          </w:tcPr>
          <w:p w14:paraId="781C302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E4B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803" w:type="pct"/>
            <w:noWrap w:val="0"/>
            <w:vAlign w:val="center"/>
          </w:tcPr>
          <w:p w14:paraId="58EFEA7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人行口</w:t>
            </w:r>
          </w:p>
        </w:tc>
        <w:tc>
          <w:tcPr>
            <w:tcW w:w="1027" w:type="pct"/>
            <w:noWrap w:val="0"/>
            <w:vAlign w:val="center"/>
          </w:tcPr>
          <w:p w14:paraId="4750CA4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人行口</w:t>
            </w:r>
          </w:p>
        </w:tc>
        <w:tc>
          <w:tcPr>
            <w:tcW w:w="2811" w:type="dxa"/>
            <w:noWrap w:val="0"/>
            <w:vAlign w:val="center"/>
          </w:tcPr>
          <w:p w14:paraId="2F4F169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0" w:firstLineChars="0"/>
              <w:jc w:val="both"/>
              <w:textAlignment w:val="auto"/>
              <w:rPr>
                <w:rFonts w:hint="default"/>
                <w:color w:val="auto"/>
                <w:sz w:val="22"/>
                <w:szCs w:val="22"/>
                <w:highlight w:val="none"/>
                <w:lang w:val="en-US" w:eastAsia="zh-CN"/>
              </w:rPr>
            </w:pPr>
            <w:r>
              <w:rPr>
                <w:rFonts w:hint="eastAsia"/>
                <w:color w:val="auto"/>
                <w:sz w:val="22"/>
                <w:szCs w:val="22"/>
                <w:highlight w:val="none"/>
                <w:lang w:val="en-US" w:eastAsia="zh-CN"/>
              </w:rPr>
              <w:t>2个</w:t>
            </w:r>
          </w:p>
        </w:tc>
        <w:tc>
          <w:tcPr>
            <w:tcW w:w="1480" w:type="pct"/>
            <w:noWrap w:val="0"/>
            <w:vAlign w:val="center"/>
          </w:tcPr>
          <w:p w14:paraId="131A845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bl>
    <w:p w14:paraId="182874C5">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16B60AE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（四）</w:t>
      </w:r>
      <w:r>
        <w:rPr>
          <w:rFonts w:hint="eastAsia" w:cs="Times New Roman"/>
          <w:color w:val="auto"/>
          <w:sz w:val="24"/>
          <w:szCs w:val="24"/>
          <w:highlight w:val="none"/>
          <w:lang w:val="en-US" w:eastAsia="zh-CN" w:bidi="ar-SA"/>
        </w:rPr>
        <w:t>石山烈士陵园</w:t>
      </w:r>
      <w:r>
        <w:rPr>
          <w:rFonts w:hint="eastAsia" w:ascii="Times New Roman" w:hAnsi="Times New Roman" w:eastAsia="宋体" w:cs="Times New Roman"/>
          <w:color w:val="auto"/>
          <w:sz w:val="24"/>
          <w:szCs w:val="24"/>
          <w:highlight w:val="none"/>
          <w:lang w:val="en-US" w:eastAsia="zh-CN" w:bidi="ar-SA"/>
        </w:rPr>
        <w:t>物业管理（室外）</w:t>
      </w:r>
    </w:p>
    <w:p w14:paraId="4E078DF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15"/>
        <w:gridCol w:w="2861"/>
        <w:gridCol w:w="3534"/>
      </w:tblGrid>
      <w:tr w14:paraId="717F22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77D15A2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名称</w:t>
            </w:r>
          </w:p>
        </w:tc>
        <w:tc>
          <w:tcPr>
            <w:tcW w:w="1721" w:type="pct"/>
            <w:noWrap w:val="0"/>
            <w:vAlign w:val="center"/>
          </w:tcPr>
          <w:p w14:paraId="530B3A8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明细</w:t>
            </w:r>
          </w:p>
        </w:tc>
        <w:tc>
          <w:tcPr>
            <w:tcW w:w="2126" w:type="pct"/>
            <w:noWrap w:val="0"/>
            <w:vAlign w:val="center"/>
          </w:tcPr>
          <w:p w14:paraId="6FCA8FE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服务内容及标准</w:t>
            </w:r>
          </w:p>
        </w:tc>
      </w:tr>
      <w:tr w14:paraId="15D23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1152" w:type="pct"/>
            <w:noWrap w:val="0"/>
            <w:vAlign w:val="center"/>
          </w:tcPr>
          <w:p w14:paraId="01CCCE3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室外面积</w:t>
            </w:r>
          </w:p>
        </w:tc>
        <w:tc>
          <w:tcPr>
            <w:tcW w:w="2861" w:type="dxa"/>
            <w:noWrap w:val="0"/>
            <w:vAlign w:val="center"/>
          </w:tcPr>
          <w:p w14:paraId="08696AED">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17316</w:t>
            </w:r>
            <w:r>
              <w:rPr>
                <w:rFonts w:hint="eastAsia"/>
                <w:color w:val="auto"/>
                <w:sz w:val="22"/>
                <w:szCs w:val="22"/>
                <w:highlight w:val="none"/>
              </w:rPr>
              <w:t>㎡</w:t>
            </w:r>
          </w:p>
        </w:tc>
        <w:tc>
          <w:tcPr>
            <w:tcW w:w="2126" w:type="pct"/>
            <w:noWrap w:val="0"/>
            <w:vAlign w:val="center"/>
          </w:tcPr>
          <w:p w14:paraId="4468801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2E421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1152" w:type="pct"/>
            <w:noWrap w:val="0"/>
            <w:vAlign w:val="center"/>
          </w:tcPr>
          <w:p w14:paraId="37F64C0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绿化</w:t>
            </w:r>
          </w:p>
        </w:tc>
        <w:tc>
          <w:tcPr>
            <w:tcW w:w="2861" w:type="dxa"/>
            <w:noWrap w:val="0"/>
            <w:vAlign w:val="center"/>
          </w:tcPr>
          <w:p w14:paraId="6FD20A98">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12121</w:t>
            </w:r>
            <w:r>
              <w:rPr>
                <w:rFonts w:hint="eastAsia"/>
                <w:color w:val="auto"/>
                <w:sz w:val="22"/>
                <w:szCs w:val="22"/>
                <w:highlight w:val="none"/>
              </w:rPr>
              <w:t>㎡</w:t>
            </w:r>
          </w:p>
        </w:tc>
        <w:tc>
          <w:tcPr>
            <w:tcW w:w="2126" w:type="pct"/>
            <w:noWrap w:val="0"/>
            <w:vAlign w:val="center"/>
          </w:tcPr>
          <w:p w14:paraId="5CB8251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47E31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152" w:type="pct"/>
            <w:noWrap w:val="0"/>
            <w:vAlign w:val="center"/>
          </w:tcPr>
          <w:p w14:paraId="668636F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广场</w:t>
            </w:r>
          </w:p>
        </w:tc>
        <w:tc>
          <w:tcPr>
            <w:tcW w:w="2861" w:type="dxa"/>
            <w:noWrap w:val="0"/>
            <w:vAlign w:val="center"/>
          </w:tcPr>
          <w:p w14:paraId="7558BE3A">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2000</w:t>
            </w:r>
            <w:r>
              <w:rPr>
                <w:rFonts w:hint="eastAsia"/>
                <w:color w:val="auto"/>
                <w:sz w:val="22"/>
                <w:szCs w:val="22"/>
                <w:highlight w:val="none"/>
              </w:rPr>
              <w:t>㎡</w:t>
            </w:r>
          </w:p>
        </w:tc>
        <w:tc>
          <w:tcPr>
            <w:tcW w:w="2126" w:type="pct"/>
            <w:noWrap w:val="0"/>
            <w:vAlign w:val="center"/>
          </w:tcPr>
          <w:p w14:paraId="6DDC623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26EC7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1152" w:type="pct"/>
            <w:noWrap w:val="0"/>
            <w:vAlign w:val="center"/>
          </w:tcPr>
          <w:p w14:paraId="29A724C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消防栓</w:t>
            </w:r>
          </w:p>
        </w:tc>
        <w:tc>
          <w:tcPr>
            <w:tcW w:w="2861" w:type="dxa"/>
            <w:noWrap w:val="0"/>
            <w:vAlign w:val="center"/>
          </w:tcPr>
          <w:p w14:paraId="01F09519">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4个</w:t>
            </w:r>
          </w:p>
        </w:tc>
        <w:tc>
          <w:tcPr>
            <w:tcW w:w="2126" w:type="pct"/>
            <w:noWrap w:val="0"/>
            <w:vAlign w:val="center"/>
          </w:tcPr>
          <w:p w14:paraId="3380D5C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6485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1B65F30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垃圾箱</w:t>
            </w:r>
          </w:p>
        </w:tc>
        <w:tc>
          <w:tcPr>
            <w:tcW w:w="2861" w:type="dxa"/>
            <w:noWrap w:val="0"/>
            <w:vAlign w:val="center"/>
          </w:tcPr>
          <w:p w14:paraId="0157ED6E">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5个</w:t>
            </w:r>
          </w:p>
        </w:tc>
        <w:tc>
          <w:tcPr>
            <w:tcW w:w="2126" w:type="pct"/>
            <w:noWrap w:val="0"/>
            <w:vAlign w:val="center"/>
          </w:tcPr>
          <w:p w14:paraId="42A66EC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见“</w:t>
            </w:r>
            <w:r>
              <w:rPr>
                <w:rFonts w:hint="eastAsia"/>
                <w:color w:val="auto"/>
                <w:sz w:val="22"/>
                <w:szCs w:val="22"/>
                <w:highlight w:val="none"/>
                <w:lang w:val="en-US" w:eastAsia="zh-CN"/>
              </w:rPr>
              <w:t>保洁服务、保安服务</w:t>
            </w:r>
            <w:r>
              <w:rPr>
                <w:rFonts w:hint="eastAsia"/>
                <w:color w:val="auto"/>
                <w:sz w:val="22"/>
                <w:szCs w:val="22"/>
                <w:highlight w:val="none"/>
              </w:rPr>
              <w:t>”</w:t>
            </w:r>
          </w:p>
        </w:tc>
      </w:tr>
      <w:tr w14:paraId="6B828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1152" w:type="pct"/>
            <w:noWrap w:val="0"/>
            <w:vAlign w:val="center"/>
          </w:tcPr>
          <w:p w14:paraId="466B2D9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lang w:val="en-US" w:eastAsia="zh-CN"/>
              </w:rPr>
              <w:t>烈士墓</w:t>
            </w:r>
          </w:p>
        </w:tc>
        <w:tc>
          <w:tcPr>
            <w:tcW w:w="2861" w:type="dxa"/>
            <w:noWrap w:val="0"/>
            <w:vAlign w:val="center"/>
          </w:tcPr>
          <w:p w14:paraId="334780EA">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2000</w:t>
            </w:r>
            <w:r>
              <w:rPr>
                <w:rFonts w:hint="eastAsia"/>
                <w:color w:val="auto"/>
                <w:sz w:val="22"/>
                <w:szCs w:val="22"/>
                <w:highlight w:val="none"/>
              </w:rPr>
              <w:t>㎡</w:t>
            </w:r>
            <w:r>
              <w:rPr>
                <w:rFonts w:hint="eastAsia"/>
                <w:color w:val="auto"/>
                <w:sz w:val="22"/>
                <w:szCs w:val="22"/>
                <w:highlight w:val="none"/>
                <w:lang w:eastAsia="zh-CN"/>
              </w:rPr>
              <w:t>，</w:t>
            </w:r>
            <w:r>
              <w:rPr>
                <w:rFonts w:hint="eastAsia"/>
                <w:color w:val="auto"/>
                <w:sz w:val="22"/>
                <w:szCs w:val="22"/>
                <w:highlight w:val="none"/>
                <w:lang w:val="en-US" w:eastAsia="zh-CN"/>
              </w:rPr>
              <w:t>550座</w:t>
            </w:r>
          </w:p>
        </w:tc>
        <w:tc>
          <w:tcPr>
            <w:tcW w:w="2126" w:type="pct"/>
            <w:noWrap w:val="0"/>
            <w:vAlign w:val="center"/>
          </w:tcPr>
          <w:p w14:paraId="28AC9D9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p>
        </w:tc>
      </w:tr>
    </w:tbl>
    <w:p w14:paraId="3C3C1FDF">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p w14:paraId="4E67792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四、物业管理服务内容及标准</w:t>
      </w:r>
    </w:p>
    <w:p w14:paraId="0D12040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（一）</w:t>
      </w:r>
      <w:r>
        <w:rPr>
          <w:rFonts w:hint="eastAsia" w:ascii="Times New Roman" w:hAnsi="Times New Roman" w:eastAsia="宋体" w:cs="Times New Roman"/>
          <w:color w:val="auto"/>
          <w:sz w:val="24"/>
          <w:szCs w:val="24"/>
          <w:highlight w:val="none"/>
          <w:lang w:val="en-US" w:eastAsia="zh-CN" w:bidi="ar-SA"/>
        </w:rPr>
        <w:t>物业管理服务包括基本服务、保洁服务、安保服务、公用设施设备维护服务、公共设施节水、节电、节能管理、处理突发事件</w:t>
      </w:r>
      <w:r>
        <w:rPr>
          <w:rFonts w:hint="eastAsia"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物业移交</w:t>
      </w:r>
      <w:r>
        <w:rPr>
          <w:rFonts w:hint="eastAsia" w:cs="Times New Roman"/>
          <w:color w:val="auto"/>
          <w:sz w:val="24"/>
          <w:szCs w:val="24"/>
          <w:highlight w:val="none"/>
          <w:lang w:val="en-US" w:eastAsia="zh-CN" w:bidi="ar-SA"/>
        </w:rPr>
        <w:t>等。</w:t>
      </w:r>
    </w:p>
    <w:p w14:paraId="7BAF616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1.基本服务</w:t>
      </w:r>
      <w:r>
        <w:rPr>
          <w:rFonts w:hint="eastAsia" w:cs="Times New Roman"/>
          <w:color w:val="auto"/>
          <w:sz w:val="24"/>
          <w:szCs w:val="24"/>
          <w:highlight w:val="none"/>
          <w:lang w:val="en-US" w:eastAsia="zh-CN" w:bidi="ar-SA"/>
        </w:rPr>
        <w:t>。</w:t>
      </w:r>
    </w:p>
    <w:p w14:paraId="2E642CB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5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7"/>
        <w:gridCol w:w="1258"/>
        <w:gridCol w:w="6095"/>
      </w:tblGrid>
      <w:tr w14:paraId="08BE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Align w:val="center"/>
          </w:tcPr>
          <w:p w14:paraId="05C1D9F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序号</w:t>
            </w:r>
          </w:p>
        </w:tc>
        <w:tc>
          <w:tcPr>
            <w:tcW w:w="738" w:type="pct"/>
            <w:vAlign w:val="center"/>
          </w:tcPr>
          <w:p w14:paraId="54F00EB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服务内容</w:t>
            </w:r>
          </w:p>
        </w:tc>
        <w:tc>
          <w:tcPr>
            <w:tcW w:w="3576" w:type="pct"/>
            <w:vAlign w:val="center"/>
          </w:tcPr>
          <w:p w14:paraId="7FFD82A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服务标准</w:t>
            </w:r>
          </w:p>
        </w:tc>
      </w:tr>
      <w:tr w14:paraId="69641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Align w:val="center"/>
          </w:tcPr>
          <w:p w14:paraId="3B0737C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1</w:t>
            </w:r>
          </w:p>
        </w:tc>
        <w:tc>
          <w:tcPr>
            <w:tcW w:w="738" w:type="pct"/>
            <w:vAlign w:val="center"/>
          </w:tcPr>
          <w:p w14:paraId="4ADD357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目标与责任</w:t>
            </w:r>
          </w:p>
        </w:tc>
        <w:tc>
          <w:tcPr>
            <w:tcW w:w="3576" w:type="pct"/>
            <w:vAlign w:val="center"/>
          </w:tcPr>
          <w:p w14:paraId="44B39E2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（1）结合采购人要求及物业服务实际情况，制定年度管理目标，明确责任分工，并制定配套实施方案。</w:t>
            </w:r>
          </w:p>
        </w:tc>
      </w:tr>
      <w:tr w14:paraId="7F368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669F94C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2</w:t>
            </w:r>
          </w:p>
        </w:tc>
        <w:tc>
          <w:tcPr>
            <w:tcW w:w="738" w:type="pct"/>
            <w:vMerge w:val="restart"/>
            <w:vAlign w:val="center"/>
          </w:tcPr>
          <w:p w14:paraId="0B92A93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服务人员</w:t>
            </w:r>
          </w:p>
          <w:p w14:paraId="50AEFDC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要求</w:t>
            </w:r>
          </w:p>
        </w:tc>
        <w:tc>
          <w:tcPr>
            <w:tcW w:w="3576" w:type="pct"/>
            <w:vAlign w:val="center"/>
          </w:tcPr>
          <w:p w14:paraId="60BFCB0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（1）每</w:t>
            </w:r>
            <w:r>
              <w:rPr>
                <w:rFonts w:hint="eastAsia"/>
                <w:color w:val="auto"/>
                <w:sz w:val="22"/>
                <w:szCs w:val="22"/>
                <w:highlight w:val="none"/>
                <w:lang w:val="en-US" w:eastAsia="zh-CN"/>
              </w:rPr>
              <w:t>半年</w:t>
            </w:r>
            <w:r>
              <w:rPr>
                <w:rFonts w:hint="eastAsia"/>
                <w:color w:val="auto"/>
                <w:sz w:val="22"/>
                <w:szCs w:val="22"/>
                <w:highlight w:val="none"/>
                <w:lang w:val="en-US"/>
              </w:rPr>
              <w:t>至少开展 1 次岗位技能、职业素质、服务知识、客户文化、绿色节能环保等教育培训，并进行适当形式的考核。</w:t>
            </w:r>
          </w:p>
        </w:tc>
      </w:tr>
      <w:tr w14:paraId="217E3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0435CDA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748E94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39AE6757">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（2）根据采购人要求对服务人员进行从业资格审查，审查结果向采购人报备。</w:t>
            </w:r>
          </w:p>
        </w:tc>
      </w:tr>
      <w:tr w14:paraId="07CA7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5A49F76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74E19B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3871D16F">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2F54D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6310710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526109E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13689509">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p>
        </w:tc>
      </w:tr>
      <w:tr w14:paraId="56C8F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11E29B7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2F90D00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6CBA2CB7">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（5）着装分类统一，佩戴标识。仪容整洁、姿态端正、举止文明。用语文明礼貌，态度温和耐心。</w:t>
            </w:r>
          </w:p>
        </w:tc>
      </w:tr>
      <w:tr w14:paraId="73602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788B16B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3</w:t>
            </w:r>
          </w:p>
        </w:tc>
        <w:tc>
          <w:tcPr>
            <w:tcW w:w="738" w:type="pct"/>
            <w:vMerge w:val="restart"/>
            <w:vAlign w:val="center"/>
          </w:tcPr>
          <w:p w14:paraId="07FCBDB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档案管理</w:t>
            </w:r>
          </w:p>
        </w:tc>
        <w:tc>
          <w:tcPr>
            <w:tcW w:w="3576" w:type="pct"/>
            <w:vAlign w:val="center"/>
          </w:tcPr>
          <w:p w14:paraId="1474A5D9">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（1）建立物业信息，准确、及时地对文件资料和服务记录进行归档保存，并确保其物理安全。</w:t>
            </w:r>
          </w:p>
        </w:tc>
      </w:tr>
      <w:tr w14:paraId="72441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1ADA413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1A6A2D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7BEF6146">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（2）档案和记录齐全，包括但不限于：①采购人建议与投诉等。教育培训和考核记录。保密、思想 政治教育培训记录。②保洁服务：工作日志、清洁检查表、用品清单、客户反馈表等。 ③保安服务：监控记录、突发事件演习与处置记录等。④公用设施设备维护服务：设备台账、设备卡、使用说明、维保记录、巡查记录、设施设备安全运行、设施设备定期巡检、维护保养、维修档案等。</w:t>
            </w:r>
          </w:p>
        </w:tc>
      </w:tr>
      <w:tr w14:paraId="7FE93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707E452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593C5C1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653F2AA9">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（3）遵守采购人的信息、档案资料保密要求，未经许可，不得将建筑物平面图等资料转作其他用途或向其他单位、个人提供。</w:t>
            </w:r>
          </w:p>
        </w:tc>
      </w:tr>
      <w:tr w14:paraId="1E6DF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5AE0E2E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7496065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404E31C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（4）履约结束后，相关资料交还采购人，采购人按政府采购相关规定存档。</w:t>
            </w:r>
          </w:p>
        </w:tc>
      </w:tr>
      <w:tr w14:paraId="26CB5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13218DE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4</w:t>
            </w:r>
          </w:p>
        </w:tc>
        <w:tc>
          <w:tcPr>
            <w:tcW w:w="738" w:type="pct"/>
            <w:vMerge w:val="restart"/>
            <w:vAlign w:val="center"/>
          </w:tcPr>
          <w:p w14:paraId="488B52C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服务改进</w:t>
            </w:r>
          </w:p>
        </w:tc>
        <w:tc>
          <w:tcPr>
            <w:tcW w:w="3576" w:type="pct"/>
            <w:vAlign w:val="center"/>
          </w:tcPr>
          <w:p w14:paraId="46FDD27D">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（1）明确负责人，定期对物业服务过程进行自查，结合反馈意见与评价结果采取改进措施，持续提升管理与服务水平。</w:t>
            </w:r>
          </w:p>
        </w:tc>
      </w:tr>
      <w:tr w14:paraId="2FE31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6BBF6A7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40BA694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5589B316">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（2）对不合格服务进行控制，对不合格服务的原因进行识别和分析，及时采取纠正措施，消除不合格的原因，防止不合格再发生。</w:t>
            </w:r>
          </w:p>
        </w:tc>
      </w:tr>
      <w:tr w14:paraId="74DDC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66EAE8A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028324B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17E7535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（3）需整改问题及时整改完成。</w:t>
            </w:r>
          </w:p>
        </w:tc>
      </w:tr>
      <w:tr w14:paraId="37258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restart"/>
            <w:vAlign w:val="center"/>
          </w:tcPr>
          <w:p w14:paraId="19CBE4A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lang w:val="en-US" w:eastAsia="zh-CN"/>
              </w:rPr>
              <w:t>5</w:t>
            </w:r>
          </w:p>
        </w:tc>
        <w:tc>
          <w:tcPr>
            <w:tcW w:w="738" w:type="pct"/>
            <w:vMerge w:val="restart"/>
            <w:vAlign w:val="center"/>
          </w:tcPr>
          <w:p w14:paraId="7D30199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服务方案及工作制度</w:t>
            </w:r>
          </w:p>
        </w:tc>
        <w:tc>
          <w:tcPr>
            <w:tcW w:w="3576" w:type="pct"/>
            <w:vAlign w:val="center"/>
          </w:tcPr>
          <w:p w14:paraId="57E44CED">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（1）制定工作制度，主要包括：人员录用制度、档案管理制度、物业服务管理制度、</w:t>
            </w:r>
            <w:r>
              <w:rPr>
                <w:rFonts w:hint="eastAsia"/>
                <w:color w:val="auto"/>
                <w:sz w:val="22"/>
                <w:szCs w:val="22"/>
                <w:highlight w:val="none"/>
                <w:lang w:val="en-US" w:eastAsia="zh-CN"/>
              </w:rPr>
              <w:t>安保服务管理制度、</w:t>
            </w:r>
            <w:r>
              <w:rPr>
                <w:rFonts w:hint="eastAsia"/>
                <w:color w:val="auto"/>
                <w:sz w:val="22"/>
                <w:szCs w:val="22"/>
                <w:highlight w:val="none"/>
                <w:lang w:val="en-US"/>
              </w:rPr>
              <w:t>公用设施设备相关管理制度等。</w:t>
            </w:r>
          </w:p>
        </w:tc>
      </w:tr>
      <w:tr w14:paraId="32382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25321C8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1B22C4F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1EFD3085">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（2）制定项目实施方案，主要包括：交接方案、人员培训方案、人员稳定性方案、保密方案等。</w:t>
            </w:r>
          </w:p>
        </w:tc>
      </w:tr>
      <w:tr w14:paraId="47228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685" w:type="pct"/>
            <w:vMerge w:val="continue"/>
            <w:vAlign w:val="center"/>
          </w:tcPr>
          <w:p w14:paraId="69EFCB9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38" w:type="pct"/>
            <w:vMerge w:val="continue"/>
            <w:vAlign w:val="center"/>
          </w:tcPr>
          <w:p w14:paraId="73E9184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76" w:type="pct"/>
            <w:vAlign w:val="center"/>
          </w:tcPr>
          <w:p w14:paraId="5800B2C4">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 xml:space="preserve">（3）制定物业服务方案 </w:t>
            </w:r>
          </w:p>
        </w:tc>
      </w:tr>
    </w:tbl>
    <w:p w14:paraId="66B6F999">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6EB81F0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2.保洁服务</w:t>
      </w:r>
    </w:p>
    <w:p w14:paraId="1477BF7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5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6"/>
        <w:gridCol w:w="1348"/>
        <w:gridCol w:w="5995"/>
      </w:tblGrid>
      <w:tr w14:paraId="61EB4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Align w:val="center"/>
          </w:tcPr>
          <w:p w14:paraId="4061D3E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序号</w:t>
            </w:r>
          </w:p>
        </w:tc>
        <w:tc>
          <w:tcPr>
            <w:tcW w:w="791" w:type="pct"/>
            <w:vAlign w:val="center"/>
          </w:tcPr>
          <w:p w14:paraId="707BFCE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服务内容</w:t>
            </w:r>
          </w:p>
        </w:tc>
        <w:tc>
          <w:tcPr>
            <w:tcW w:w="3518" w:type="pct"/>
            <w:vAlign w:val="center"/>
          </w:tcPr>
          <w:p w14:paraId="5A03751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服务标准</w:t>
            </w:r>
          </w:p>
        </w:tc>
      </w:tr>
      <w:tr w14:paraId="11EFE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2B66E5F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791" w:type="pct"/>
            <w:vMerge w:val="restart"/>
            <w:vAlign w:val="center"/>
          </w:tcPr>
          <w:p w14:paraId="3BEC802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基本要求</w:t>
            </w:r>
          </w:p>
        </w:tc>
        <w:tc>
          <w:tcPr>
            <w:tcW w:w="3518" w:type="pct"/>
            <w:vAlign w:val="center"/>
          </w:tcPr>
          <w:p w14:paraId="75FC544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（1）建立保洁服务的工作制度及工作计划，并按照执行。</w:t>
            </w:r>
          </w:p>
        </w:tc>
      </w:tr>
      <w:tr w14:paraId="6CCB2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3FE256E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136253C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360219B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（2）做好保洁服务工作记录，记录填写规范、保存完好。</w:t>
            </w:r>
          </w:p>
        </w:tc>
      </w:tr>
      <w:tr w14:paraId="7F2B5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7F53742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3EA8EE7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15D25FC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（3）作业时采取安全防护措施，防止对作业人员或他人造成伤害。相关耗材的环保、安全性等应当符合国家相关规定要求。</w:t>
            </w:r>
          </w:p>
        </w:tc>
      </w:tr>
      <w:tr w14:paraId="525D1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747A219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758688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p>
        </w:tc>
        <w:tc>
          <w:tcPr>
            <w:tcW w:w="3518" w:type="pct"/>
            <w:vAlign w:val="center"/>
          </w:tcPr>
          <w:p w14:paraId="1F4DF94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eastAsia="zh-CN"/>
              </w:rPr>
              <w:t>（</w:t>
            </w:r>
            <w:r>
              <w:rPr>
                <w:rFonts w:hint="eastAsia"/>
                <w:color w:val="auto"/>
                <w:sz w:val="22"/>
                <w:szCs w:val="22"/>
                <w:highlight w:val="none"/>
                <w:lang w:val="en-US" w:eastAsia="zh-CN"/>
              </w:rPr>
              <w:t>4</w:t>
            </w:r>
            <w:r>
              <w:rPr>
                <w:rFonts w:hint="eastAsia"/>
                <w:color w:val="auto"/>
                <w:sz w:val="22"/>
                <w:szCs w:val="22"/>
                <w:highlight w:val="none"/>
                <w:lang w:eastAsia="zh-CN"/>
              </w:rPr>
              <w:t>）</w:t>
            </w:r>
            <w:r>
              <w:rPr>
                <w:rFonts w:hint="eastAsia"/>
                <w:color w:val="auto"/>
                <w:sz w:val="22"/>
                <w:szCs w:val="22"/>
                <w:highlight w:val="none"/>
                <w:lang w:val="en-US" w:eastAsia="zh-CN"/>
              </w:rPr>
              <w:t>保洁服务时间为</w:t>
            </w:r>
            <w:r>
              <w:rPr>
                <w:rFonts w:hint="eastAsia"/>
                <w:color w:val="auto"/>
                <w:sz w:val="22"/>
                <w:szCs w:val="22"/>
                <w:highlight w:val="none"/>
              </w:rPr>
              <w:t>上午7：00-下午17：00。具体保洁工作、保洁程序及休息时间须不影响工作人员正常生活、工作。</w:t>
            </w:r>
          </w:p>
        </w:tc>
      </w:tr>
      <w:tr w14:paraId="1A9F1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094B55B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791" w:type="pct"/>
            <w:vMerge w:val="restart"/>
            <w:vAlign w:val="center"/>
          </w:tcPr>
          <w:p w14:paraId="1182343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eastAsia="zh-CN"/>
              </w:rPr>
              <w:t>纪念馆及</w:t>
            </w:r>
            <w:r>
              <w:rPr>
                <w:rFonts w:hint="eastAsia"/>
                <w:color w:val="auto"/>
                <w:sz w:val="22"/>
                <w:szCs w:val="22"/>
                <w:highlight w:val="none"/>
                <w:lang w:val="en-US"/>
              </w:rPr>
              <w:t>办公用房区域保洁</w:t>
            </w:r>
          </w:p>
        </w:tc>
        <w:tc>
          <w:tcPr>
            <w:tcW w:w="3518" w:type="pct"/>
            <w:vAlign w:val="center"/>
          </w:tcPr>
          <w:p w14:paraId="642CE46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lang w:val="en-US" w:eastAsia="zh-CN"/>
              </w:rPr>
              <w:t>（1）办公区域：</w:t>
            </w:r>
          </w:p>
          <w:p w14:paraId="4C160B57">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①</w:t>
            </w:r>
            <w:r>
              <w:rPr>
                <w:rFonts w:hint="eastAsia"/>
                <w:color w:val="auto"/>
                <w:sz w:val="22"/>
                <w:szCs w:val="22"/>
                <w:highlight w:val="none"/>
              </w:rPr>
              <w:t>灯开关、插座：无污渍、无尘渍。</w:t>
            </w:r>
          </w:p>
          <w:p w14:paraId="3D5CE1C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②纸篓：垃圾及时清理。</w:t>
            </w:r>
          </w:p>
          <w:p w14:paraId="76835B5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③地面、墙面、屋面及其附着物无灰尘、无污迹、无杂物、无水迹、无蜘蛛网、表面洁净；</w:t>
            </w:r>
          </w:p>
          <w:p w14:paraId="7A7300B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default"/>
                <w:color w:val="auto"/>
                <w:sz w:val="22"/>
                <w:szCs w:val="22"/>
                <w:highlight w:val="none"/>
                <w:lang w:val="en-US" w:eastAsia="zh-CN"/>
              </w:rPr>
            </w:pPr>
            <w:r>
              <w:rPr>
                <w:rFonts w:hint="eastAsia"/>
                <w:color w:val="auto"/>
                <w:sz w:val="22"/>
                <w:szCs w:val="22"/>
                <w:highlight w:val="none"/>
              </w:rPr>
              <w:t>④家具（桌、椅、凳，橱、柜等）、电器、装饰物及设施无灰尘、无污迹、无水迹、无蜘蛛网、表面洁净干燥；</w:t>
            </w:r>
          </w:p>
        </w:tc>
      </w:tr>
      <w:tr w14:paraId="30021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EE2239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326EA0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230A0CE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（2）</w:t>
            </w:r>
            <w:r>
              <w:rPr>
                <w:rFonts w:hint="eastAsia"/>
                <w:color w:val="auto"/>
                <w:sz w:val="22"/>
                <w:szCs w:val="22"/>
                <w:highlight w:val="none"/>
              </w:rPr>
              <w:t>楼道与楼层走廊：</w:t>
            </w:r>
          </w:p>
          <w:p w14:paraId="5BF1E3C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①</w:t>
            </w:r>
            <w:r>
              <w:rPr>
                <w:rFonts w:hint="eastAsia"/>
                <w:color w:val="auto"/>
                <w:sz w:val="22"/>
                <w:szCs w:val="22"/>
                <w:highlight w:val="none"/>
              </w:rPr>
              <w:t>台阶、地面无污渍、污迹、脚印、垃圾、灰尘；</w:t>
            </w:r>
          </w:p>
          <w:p w14:paraId="07EDB90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②</w:t>
            </w:r>
            <w:r>
              <w:rPr>
                <w:rFonts w:hint="eastAsia"/>
                <w:color w:val="auto"/>
                <w:sz w:val="22"/>
                <w:szCs w:val="22"/>
                <w:highlight w:val="none"/>
              </w:rPr>
              <w:t>扶手、栏杆无灰尘、无污渍、光滑、洁亮；</w:t>
            </w:r>
          </w:p>
          <w:p w14:paraId="115D7BC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③</w:t>
            </w:r>
            <w:r>
              <w:rPr>
                <w:rFonts w:hint="eastAsia"/>
                <w:color w:val="auto"/>
                <w:sz w:val="22"/>
                <w:szCs w:val="22"/>
                <w:highlight w:val="none"/>
              </w:rPr>
              <w:t>墙面（玻璃墙面）、屋面、门窗无灰尘、无污渍、无指印、无蜘蛛网；</w:t>
            </w:r>
          </w:p>
          <w:p w14:paraId="65C129A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rPr>
              <w:t>④开关、灯具及罩内无灰尘、无污迹、无虫尸、无蜘蛛网。</w:t>
            </w:r>
          </w:p>
        </w:tc>
      </w:tr>
      <w:tr w14:paraId="678C0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1329DD4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805883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5528AD5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（3）</w:t>
            </w:r>
            <w:r>
              <w:rPr>
                <w:rFonts w:hint="eastAsia"/>
                <w:color w:val="auto"/>
                <w:sz w:val="22"/>
                <w:szCs w:val="22"/>
                <w:highlight w:val="none"/>
              </w:rPr>
              <w:t>机房：</w:t>
            </w:r>
          </w:p>
          <w:p w14:paraId="3CB4400F">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rPr>
              <w:t>无灰尘、垃圾、纸屑、烟头、杂物等，门窗洁净光亮</w:t>
            </w:r>
            <w:r>
              <w:rPr>
                <w:rFonts w:hint="eastAsia"/>
                <w:color w:val="auto"/>
                <w:sz w:val="22"/>
                <w:szCs w:val="22"/>
                <w:highlight w:val="none"/>
                <w:lang w:eastAsia="zh-CN"/>
              </w:rPr>
              <w:t>。</w:t>
            </w:r>
          </w:p>
        </w:tc>
      </w:tr>
      <w:tr w14:paraId="61B61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71FA51D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427729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3A71950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lang w:val="en-US"/>
              </w:rPr>
              <w:t>（</w:t>
            </w:r>
            <w:r>
              <w:rPr>
                <w:rFonts w:hint="eastAsia"/>
                <w:color w:val="auto"/>
                <w:sz w:val="22"/>
                <w:szCs w:val="22"/>
                <w:highlight w:val="none"/>
                <w:lang w:val="en-US" w:eastAsia="zh-CN"/>
              </w:rPr>
              <w:t>4</w:t>
            </w:r>
            <w:r>
              <w:rPr>
                <w:rFonts w:hint="eastAsia"/>
                <w:color w:val="auto"/>
                <w:sz w:val="22"/>
                <w:szCs w:val="22"/>
                <w:highlight w:val="none"/>
                <w:lang w:val="en-US"/>
              </w:rPr>
              <w:t>）消防栓（箱）：无尘、无污迹</w:t>
            </w:r>
            <w:r>
              <w:rPr>
                <w:rFonts w:hint="eastAsia"/>
                <w:color w:val="auto"/>
                <w:sz w:val="22"/>
                <w:szCs w:val="22"/>
                <w:highlight w:val="none"/>
                <w:lang w:val="en-US" w:eastAsia="zh-CN"/>
              </w:rPr>
              <w:t>。</w:t>
            </w:r>
          </w:p>
        </w:tc>
      </w:tr>
      <w:tr w14:paraId="0DA42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5775A9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0F8622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36E645F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eastAsia="zh-CN"/>
              </w:rPr>
            </w:pPr>
            <w:r>
              <w:rPr>
                <w:rFonts w:hint="eastAsia"/>
                <w:color w:val="auto"/>
                <w:sz w:val="22"/>
                <w:szCs w:val="22"/>
                <w:highlight w:val="none"/>
                <w:lang w:val="en-US"/>
              </w:rPr>
              <w:t>（</w:t>
            </w:r>
            <w:r>
              <w:rPr>
                <w:rFonts w:hint="eastAsia"/>
                <w:color w:val="auto"/>
                <w:sz w:val="22"/>
                <w:szCs w:val="22"/>
                <w:highlight w:val="none"/>
                <w:lang w:val="en-US" w:eastAsia="zh-CN"/>
              </w:rPr>
              <w:t>5</w:t>
            </w:r>
            <w:r>
              <w:rPr>
                <w:rFonts w:hint="eastAsia"/>
                <w:color w:val="auto"/>
                <w:sz w:val="22"/>
                <w:szCs w:val="22"/>
                <w:highlight w:val="none"/>
                <w:lang w:val="en-US"/>
              </w:rPr>
              <w:t>）开水间保持干净、无异味、无杂物、无积水</w:t>
            </w:r>
            <w:r>
              <w:rPr>
                <w:rFonts w:hint="eastAsia"/>
                <w:color w:val="auto"/>
                <w:sz w:val="22"/>
                <w:szCs w:val="22"/>
                <w:highlight w:val="none"/>
                <w:lang w:val="en-US" w:eastAsia="zh-CN"/>
              </w:rPr>
              <w:t>。</w:t>
            </w:r>
          </w:p>
        </w:tc>
      </w:tr>
      <w:tr w14:paraId="7AC98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126F35B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1E8300D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42EC273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6</w:t>
            </w:r>
            <w:r>
              <w:rPr>
                <w:rFonts w:hint="eastAsia"/>
                <w:color w:val="auto"/>
                <w:sz w:val="22"/>
                <w:szCs w:val="22"/>
                <w:highlight w:val="none"/>
                <w:lang w:val="en-US"/>
              </w:rPr>
              <w:t>）作业工具间：</w:t>
            </w:r>
          </w:p>
          <w:p w14:paraId="463B599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①保持干净，无异味、无杂物、无积水。</w:t>
            </w:r>
          </w:p>
          <w:p w14:paraId="06324C8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②作业工具摆放整齐有序，表面干净无渍，每日消毒。</w:t>
            </w:r>
          </w:p>
        </w:tc>
      </w:tr>
      <w:tr w14:paraId="75415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4E68914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8F0FFB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1F28B7A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eastAsia="zh-CN"/>
              </w:rPr>
              <w:t>（7）</w:t>
            </w:r>
            <w:r>
              <w:rPr>
                <w:rFonts w:hint="eastAsia"/>
                <w:color w:val="auto"/>
                <w:sz w:val="22"/>
                <w:szCs w:val="22"/>
                <w:highlight w:val="none"/>
                <w:lang w:val="en-US"/>
              </w:rPr>
              <w:t>公共卫生间：</w:t>
            </w:r>
          </w:p>
          <w:p w14:paraId="28C8070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lang w:val="en-US" w:eastAsia="zh-CN"/>
              </w:rPr>
              <w:t>①</w:t>
            </w:r>
            <w:r>
              <w:rPr>
                <w:rFonts w:hint="eastAsia"/>
                <w:color w:val="auto"/>
                <w:sz w:val="22"/>
                <w:szCs w:val="22"/>
                <w:highlight w:val="none"/>
              </w:rPr>
              <w:t>天花板、墙角、灯具：无灰尘、蜘蛛网等；</w:t>
            </w:r>
          </w:p>
          <w:p w14:paraId="3A7B575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②</w:t>
            </w:r>
            <w:r>
              <w:rPr>
                <w:rFonts w:hint="eastAsia"/>
                <w:color w:val="auto"/>
                <w:sz w:val="22"/>
                <w:szCs w:val="22"/>
                <w:highlight w:val="none"/>
              </w:rPr>
              <w:t>卫生间大小便器：无污渍、无锈迹、洁净光亮；</w:t>
            </w:r>
          </w:p>
          <w:p w14:paraId="587DF33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default"/>
                <w:color w:val="auto"/>
                <w:sz w:val="22"/>
                <w:szCs w:val="22"/>
                <w:highlight w:val="none"/>
              </w:rPr>
              <w:t>③</w:t>
            </w:r>
            <w:r>
              <w:rPr>
                <w:rFonts w:hint="eastAsia"/>
                <w:color w:val="auto"/>
                <w:sz w:val="22"/>
                <w:szCs w:val="22"/>
                <w:highlight w:val="none"/>
              </w:rPr>
              <w:t>洗脸盘及面盆、镜面：无水渍、无污迹、洁净光亮；</w:t>
            </w:r>
          </w:p>
          <w:p w14:paraId="25A3CC8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④大小便器隔断：内外无灰尘、无污渍、无水渍、无蜘蛛网；</w:t>
            </w:r>
          </w:p>
          <w:p w14:paraId="138859E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⑤地面：无烟头、纸屑、污渍、脚印、积水。</w:t>
            </w:r>
          </w:p>
          <w:p w14:paraId="6D8E727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rPr>
              <w:t>⑥墙面、门窗、屋面：无灰尘、无污渍、无蜘蛛网</w:t>
            </w:r>
            <w:r>
              <w:rPr>
                <w:rFonts w:hint="eastAsia"/>
                <w:color w:val="auto"/>
                <w:sz w:val="22"/>
                <w:szCs w:val="22"/>
                <w:highlight w:val="none"/>
                <w:lang w:eastAsia="zh-CN"/>
              </w:rPr>
              <w:t>。</w:t>
            </w:r>
          </w:p>
        </w:tc>
      </w:tr>
      <w:tr w14:paraId="176A1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7DFE293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791" w:type="pct"/>
            <w:vMerge w:val="restart"/>
            <w:vAlign w:val="center"/>
          </w:tcPr>
          <w:p w14:paraId="2A65498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eastAsia="zh-CN"/>
              </w:rPr>
              <w:t>室外</w:t>
            </w:r>
            <w:r>
              <w:rPr>
                <w:rFonts w:hint="eastAsia"/>
                <w:color w:val="auto"/>
                <w:sz w:val="22"/>
                <w:szCs w:val="22"/>
                <w:highlight w:val="none"/>
                <w:lang w:val="en-US"/>
              </w:rPr>
              <w:t>区域保洁</w:t>
            </w:r>
          </w:p>
        </w:tc>
        <w:tc>
          <w:tcPr>
            <w:tcW w:w="3518" w:type="pct"/>
            <w:vAlign w:val="center"/>
          </w:tcPr>
          <w:p w14:paraId="6EDD1C3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（1）道路地面、广场等公共区域 保持干净、无杂物、无积水、</w:t>
            </w:r>
            <w:r>
              <w:rPr>
                <w:rFonts w:hint="eastAsia"/>
                <w:color w:val="auto"/>
                <w:sz w:val="22"/>
                <w:szCs w:val="22"/>
                <w:highlight w:val="none"/>
              </w:rPr>
              <w:t>下水道口保持畅通</w:t>
            </w:r>
            <w:r>
              <w:rPr>
                <w:rFonts w:hint="eastAsia"/>
                <w:color w:val="auto"/>
                <w:sz w:val="22"/>
                <w:szCs w:val="22"/>
                <w:highlight w:val="none"/>
                <w:lang w:val="en-US"/>
              </w:rPr>
              <w:t>。</w:t>
            </w:r>
          </w:p>
        </w:tc>
      </w:tr>
      <w:tr w14:paraId="35EFA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0FA644E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DA374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11B507F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（2）雪、冰冻等恶劣天气时及时清扫积水、积雪，并采取安全防护措施。</w:t>
            </w:r>
          </w:p>
        </w:tc>
      </w:tr>
      <w:tr w14:paraId="3FE89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345A11E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8F254C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6D1AF8B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（3）各种路标、宣传栏等保持干净。</w:t>
            </w:r>
          </w:p>
        </w:tc>
      </w:tr>
      <w:tr w14:paraId="36407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613D7BF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1866DE7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2B2257B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（4）垃圾桶：桶体光洁无污迹、无痰迹；桶内垃圾不超过容积</w:t>
            </w:r>
            <w:r>
              <w:rPr>
                <w:rFonts w:hint="eastAsia"/>
                <w:color w:val="auto"/>
                <w:sz w:val="22"/>
                <w:szCs w:val="22"/>
                <w:highlight w:val="none"/>
                <w:lang w:val="en-US" w:eastAsia="zh-CN"/>
              </w:rPr>
              <w:t>2</w:t>
            </w:r>
            <w:r>
              <w:rPr>
                <w:rFonts w:hint="eastAsia"/>
                <w:color w:val="auto"/>
                <w:sz w:val="22"/>
                <w:szCs w:val="22"/>
                <w:highlight w:val="none"/>
                <w:lang w:val="en-US"/>
              </w:rPr>
              <w:t>/3。</w:t>
            </w:r>
          </w:p>
        </w:tc>
      </w:tr>
      <w:tr w14:paraId="751E7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trPr>
        <w:tc>
          <w:tcPr>
            <w:tcW w:w="690" w:type="pct"/>
            <w:vMerge w:val="continue"/>
            <w:vAlign w:val="center"/>
          </w:tcPr>
          <w:p w14:paraId="2AB4B0F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327A8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16E87552">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eastAsia="宋体"/>
                <w:color w:val="auto"/>
                <w:sz w:val="22"/>
                <w:szCs w:val="22"/>
                <w:highlight w:val="none"/>
                <w:lang w:val="en-US" w:eastAsia="zh-CN"/>
              </w:rPr>
            </w:pPr>
            <w:r>
              <w:rPr>
                <w:rFonts w:hint="eastAsia"/>
                <w:color w:val="auto"/>
                <w:sz w:val="22"/>
                <w:szCs w:val="22"/>
                <w:highlight w:val="none"/>
                <w:lang w:val="en-US" w:eastAsia="zh-CN"/>
              </w:rPr>
              <w:t>（5）墓区墓碑</w:t>
            </w:r>
            <w:r>
              <w:rPr>
                <w:rFonts w:hint="eastAsia"/>
                <w:color w:val="auto"/>
                <w:sz w:val="22"/>
                <w:szCs w:val="22"/>
                <w:highlight w:val="none"/>
                <w:lang w:val="en-US"/>
              </w:rPr>
              <w:t>无灰尘、无污迹、无杂物、无水迹、无蜘蛛网、表面洁净；</w:t>
            </w:r>
            <w:r>
              <w:rPr>
                <w:rFonts w:hint="eastAsia"/>
                <w:color w:val="auto"/>
                <w:sz w:val="22"/>
                <w:szCs w:val="22"/>
                <w:highlight w:val="none"/>
                <w:lang w:val="en-US" w:eastAsia="zh-CN"/>
              </w:rPr>
              <w:t>祭扫鲜花及贡品要有序排放，不得随意放置、私自占有。</w:t>
            </w:r>
          </w:p>
        </w:tc>
      </w:tr>
      <w:tr w14:paraId="500D8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5F95336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173AA01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43B6EB5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6</w:t>
            </w:r>
            <w:r>
              <w:rPr>
                <w:rFonts w:hint="eastAsia"/>
                <w:color w:val="auto"/>
                <w:sz w:val="22"/>
                <w:szCs w:val="22"/>
                <w:highlight w:val="none"/>
                <w:lang w:val="en-US"/>
              </w:rPr>
              <w:t>）绿化带、池塘内无杂物。</w:t>
            </w:r>
          </w:p>
        </w:tc>
      </w:tr>
      <w:tr w14:paraId="33C53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5705886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791" w:type="pct"/>
            <w:vMerge w:val="restart"/>
            <w:vAlign w:val="center"/>
          </w:tcPr>
          <w:p w14:paraId="3F746A8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垃圾处理</w:t>
            </w:r>
          </w:p>
        </w:tc>
        <w:tc>
          <w:tcPr>
            <w:tcW w:w="3518" w:type="pct"/>
            <w:vAlign w:val="center"/>
          </w:tcPr>
          <w:p w14:paraId="5B109A7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（1）在指定位置摆放分类垃圾桶，并在显著处张贴垃圾分类标识。分类垃圾桶和垃圾分类标识根据所在城市的要求设置。</w:t>
            </w:r>
          </w:p>
        </w:tc>
      </w:tr>
      <w:tr w14:paraId="26A16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4280569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E94EA8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5DA38E7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（2）桶身表面干净无污渍。</w:t>
            </w:r>
          </w:p>
        </w:tc>
      </w:tr>
      <w:tr w14:paraId="1FD18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39275F8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0DEC2C8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154D8D4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w:t>
            </w:r>
            <w:r>
              <w:rPr>
                <w:rFonts w:hint="eastAsia"/>
                <w:color w:val="auto"/>
                <w:sz w:val="22"/>
                <w:szCs w:val="22"/>
                <w:highlight w:val="none"/>
              </w:rPr>
              <w:t>定期清洁、定期喷洒消毒和灭蚊蝇药物。</w:t>
            </w:r>
          </w:p>
        </w:tc>
      </w:tr>
      <w:tr w14:paraId="668BB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1EC99BE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DCD86A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3F415F3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4</w:t>
            </w:r>
            <w:r>
              <w:rPr>
                <w:rFonts w:hint="eastAsia"/>
                <w:color w:val="auto"/>
                <w:sz w:val="22"/>
                <w:szCs w:val="22"/>
                <w:highlight w:val="none"/>
                <w:lang w:val="en-US"/>
              </w:rPr>
              <w:t>）垃圾装袋，日产日清。</w:t>
            </w:r>
          </w:p>
        </w:tc>
      </w:tr>
      <w:tr w14:paraId="41D58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6C4AE3B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589B049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41C3A27B">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w:t>
            </w:r>
            <w:r>
              <w:rPr>
                <w:rFonts w:hint="eastAsia"/>
                <w:color w:val="auto"/>
                <w:sz w:val="22"/>
                <w:szCs w:val="22"/>
                <w:highlight w:val="none"/>
                <w:lang w:val="en-US" w:eastAsia="zh-CN"/>
              </w:rPr>
              <w:t>5</w:t>
            </w:r>
            <w:r>
              <w:rPr>
                <w:rFonts w:hint="eastAsia"/>
                <w:color w:val="auto"/>
                <w:sz w:val="22"/>
                <w:szCs w:val="22"/>
                <w:highlight w:val="none"/>
                <w:lang w:val="en-US"/>
              </w:rPr>
              <w:t>）做好垃圾分类管理的宣传工作，督促并引导全员参与垃圾分类投放。</w:t>
            </w:r>
          </w:p>
        </w:tc>
      </w:tr>
      <w:tr w14:paraId="106F2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restart"/>
            <w:vAlign w:val="center"/>
          </w:tcPr>
          <w:p w14:paraId="23ABB93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5</w:t>
            </w:r>
          </w:p>
        </w:tc>
        <w:tc>
          <w:tcPr>
            <w:tcW w:w="791" w:type="pct"/>
            <w:vMerge w:val="restart"/>
            <w:vAlign w:val="center"/>
          </w:tcPr>
          <w:p w14:paraId="7A1ED48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卫生消毒</w:t>
            </w:r>
          </w:p>
        </w:tc>
        <w:tc>
          <w:tcPr>
            <w:tcW w:w="3518" w:type="pct"/>
            <w:vAlign w:val="center"/>
          </w:tcPr>
          <w:p w14:paraId="2458AFD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（1）办公用房区域、公共场所区域和周围环境预防性卫生消毒，消毒后及时通风。</w:t>
            </w:r>
          </w:p>
        </w:tc>
      </w:tr>
      <w:tr w14:paraId="2CA31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6EE1727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26970DF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2ABF7B4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（2）采取综合措施消灭老鼠、蟑螂，控制室内外蚊虫孳生，达到基本无蝇。</w:t>
            </w:r>
          </w:p>
        </w:tc>
      </w:tr>
      <w:tr w14:paraId="3457D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Merge w:val="continue"/>
            <w:vAlign w:val="center"/>
          </w:tcPr>
          <w:p w14:paraId="23FB859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791" w:type="pct"/>
            <w:vMerge w:val="continue"/>
            <w:vAlign w:val="center"/>
          </w:tcPr>
          <w:p w14:paraId="7A8AB25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518" w:type="pct"/>
            <w:vAlign w:val="center"/>
          </w:tcPr>
          <w:p w14:paraId="5F1DD7F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lang w:val="en-US"/>
              </w:rPr>
              <w:t>（3）发生公共卫生事件时，邀请专业单位开展消毒、检测等工作。</w:t>
            </w:r>
          </w:p>
        </w:tc>
      </w:tr>
      <w:tr w14:paraId="72BF2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pct"/>
            <w:vAlign w:val="center"/>
          </w:tcPr>
          <w:p w14:paraId="06A678E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6</w:t>
            </w:r>
          </w:p>
        </w:tc>
        <w:tc>
          <w:tcPr>
            <w:tcW w:w="791" w:type="pct"/>
            <w:vAlign w:val="center"/>
          </w:tcPr>
          <w:p w14:paraId="206341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报告厅</w:t>
            </w:r>
          </w:p>
          <w:p w14:paraId="55FB8B8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及会议室保洁</w:t>
            </w:r>
          </w:p>
        </w:tc>
        <w:tc>
          <w:tcPr>
            <w:tcW w:w="3518" w:type="pct"/>
            <w:vAlign w:val="center"/>
          </w:tcPr>
          <w:p w14:paraId="3B9F834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lang w:val="en-US"/>
              </w:rPr>
            </w:pPr>
            <w:r>
              <w:rPr>
                <w:rFonts w:hint="eastAsia"/>
                <w:color w:val="auto"/>
                <w:sz w:val="22"/>
                <w:szCs w:val="22"/>
                <w:highlight w:val="none"/>
              </w:rPr>
              <w:t>报告厅及会议室音视频设备、消防栓及开关插座、地面、门窗等保持表面干净，无尘无污迹。</w:t>
            </w:r>
          </w:p>
        </w:tc>
      </w:tr>
    </w:tbl>
    <w:p w14:paraId="5536A5CC">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410220F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3、安保服务</w:t>
      </w:r>
    </w:p>
    <w:p w14:paraId="50BFAC1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26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31"/>
        <w:gridCol w:w="1826"/>
        <w:gridCol w:w="5357"/>
      </w:tblGrid>
      <w:tr w14:paraId="1E14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80" w:type="pct"/>
            <w:noWrap w:val="0"/>
            <w:vAlign w:val="center"/>
          </w:tcPr>
          <w:p w14:paraId="0EE1D1F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序号</w:t>
            </w:r>
          </w:p>
        </w:tc>
        <w:tc>
          <w:tcPr>
            <w:tcW w:w="1098" w:type="pct"/>
            <w:noWrap w:val="0"/>
            <w:vAlign w:val="center"/>
          </w:tcPr>
          <w:p w14:paraId="5F054FF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服务内容</w:t>
            </w:r>
          </w:p>
        </w:tc>
        <w:tc>
          <w:tcPr>
            <w:tcW w:w="3220" w:type="pct"/>
            <w:noWrap w:val="0"/>
            <w:vAlign w:val="center"/>
          </w:tcPr>
          <w:p w14:paraId="421EC76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服务标准</w:t>
            </w:r>
          </w:p>
        </w:tc>
      </w:tr>
      <w:tr w14:paraId="7150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7B4824F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1098" w:type="pct"/>
            <w:vMerge w:val="restart"/>
            <w:noWrap w:val="0"/>
            <w:vAlign w:val="center"/>
          </w:tcPr>
          <w:p w14:paraId="6A0EEA6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基本要求</w:t>
            </w:r>
          </w:p>
        </w:tc>
        <w:tc>
          <w:tcPr>
            <w:tcW w:w="3220" w:type="pct"/>
            <w:noWrap w:val="0"/>
            <w:vAlign w:val="center"/>
          </w:tcPr>
          <w:p w14:paraId="26076AB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（1）建立保安服务相关制度，并按照执行。</w:t>
            </w:r>
          </w:p>
        </w:tc>
      </w:tr>
      <w:tr w14:paraId="5E18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5D22C64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60B2863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4123494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（2）对巡查、值守及异常情况等做好相关记录，填写规范，保存完好。</w:t>
            </w:r>
          </w:p>
        </w:tc>
      </w:tr>
      <w:tr w14:paraId="6F23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3C212C6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71AF84F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514A2C9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（3）配备保安服务必要的器材。</w:t>
            </w:r>
          </w:p>
        </w:tc>
      </w:tr>
      <w:tr w14:paraId="02B6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1650F6D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1098" w:type="pct"/>
            <w:vMerge w:val="restart"/>
            <w:noWrap w:val="0"/>
            <w:vAlign w:val="center"/>
          </w:tcPr>
          <w:p w14:paraId="6318A2A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出入管理</w:t>
            </w:r>
          </w:p>
        </w:tc>
        <w:tc>
          <w:tcPr>
            <w:tcW w:w="3220" w:type="pct"/>
            <w:noWrap w:val="0"/>
            <w:vAlign w:val="center"/>
          </w:tcPr>
          <w:p w14:paraId="6FA683FA">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（1）</w:t>
            </w:r>
            <w:r>
              <w:rPr>
                <w:rFonts w:hint="eastAsia"/>
                <w:color w:val="auto"/>
                <w:sz w:val="22"/>
                <w:szCs w:val="22"/>
                <w:highlight w:val="none"/>
                <w:lang w:val="en-US" w:eastAsia="zh-CN"/>
              </w:rPr>
              <w:t>纪念馆（园）</w:t>
            </w:r>
            <w:r>
              <w:rPr>
                <w:rFonts w:hint="eastAsia"/>
                <w:color w:val="auto"/>
                <w:sz w:val="22"/>
                <w:szCs w:val="22"/>
                <w:highlight w:val="none"/>
              </w:rPr>
              <w:t>主出入口应当实行 24 小时值班制。</w:t>
            </w:r>
          </w:p>
        </w:tc>
      </w:tr>
      <w:tr w14:paraId="113A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0A071A1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5C763D1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68B7934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（2）设置门岗。</w:t>
            </w:r>
          </w:p>
        </w:tc>
      </w:tr>
      <w:tr w14:paraId="7893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408AB4F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9A8562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190DA629">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（3）在出入口对携带大件物品、外来车辆进行询问和记录，并与相关部门取得联系， 同意后方可进入。</w:t>
            </w:r>
          </w:p>
        </w:tc>
      </w:tr>
      <w:tr w14:paraId="0FBC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2FABA32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BDE026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3AB86214">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（4）大件物品搬出有相关部门开具的证明和清单，经核实后放行。</w:t>
            </w:r>
          </w:p>
        </w:tc>
      </w:tr>
      <w:tr w14:paraId="59F9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6ADBD01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1FE269B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25BC7FA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（5）排查可疑人员， 对于不出示证件、不按规定登记、不听劝阻而强行闯入者，及时劝离， 必要时 通知公安机关进行处理。</w:t>
            </w:r>
          </w:p>
        </w:tc>
      </w:tr>
      <w:tr w14:paraId="3C717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0BE9455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1098" w:type="pct"/>
            <w:vMerge w:val="restart"/>
            <w:noWrap w:val="0"/>
            <w:vAlign w:val="center"/>
          </w:tcPr>
          <w:p w14:paraId="753E6CE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值班巡查</w:t>
            </w:r>
          </w:p>
        </w:tc>
        <w:tc>
          <w:tcPr>
            <w:tcW w:w="3220" w:type="pct"/>
            <w:noWrap w:val="0"/>
            <w:vAlign w:val="center"/>
          </w:tcPr>
          <w:p w14:paraId="7CA50175">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（1）建立 24 小时值班巡查制度。</w:t>
            </w:r>
          </w:p>
        </w:tc>
      </w:tr>
      <w:tr w14:paraId="31F16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57C8C74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0EE3A3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7E39CF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（2）制定巡查路线， 按照指定时间执行，加强重点区域、重点部位及装修区域的巡查。</w:t>
            </w:r>
          </w:p>
        </w:tc>
      </w:tr>
      <w:tr w14:paraId="4FE9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398FC75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057543F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122BF6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（3）巡查期间保持通信设施设备畅通，遇到异常情况立即上报并在现场采取相应措施。</w:t>
            </w:r>
          </w:p>
        </w:tc>
      </w:tr>
      <w:tr w14:paraId="7296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7867F0E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43E9ABB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7AA737FE">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（4）收到</w:t>
            </w:r>
            <w:r>
              <w:rPr>
                <w:rFonts w:hint="eastAsia"/>
                <w:color w:val="auto"/>
                <w:sz w:val="22"/>
                <w:szCs w:val="22"/>
                <w:highlight w:val="none"/>
                <w:lang w:val="en-US" w:eastAsia="zh-CN"/>
              </w:rPr>
              <w:t>场馆负责人</w:t>
            </w:r>
            <w:r>
              <w:rPr>
                <w:rFonts w:hint="eastAsia"/>
                <w:color w:val="auto"/>
                <w:sz w:val="22"/>
                <w:szCs w:val="22"/>
                <w:highlight w:val="none"/>
              </w:rPr>
              <w:t>指令后，巡查人员及时到达指定地点并迅速采取相应措施。</w:t>
            </w:r>
          </w:p>
        </w:tc>
      </w:tr>
      <w:tr w14:paraId="5DEB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03C2331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1098" w:type="pct"/>
            <w:vMerge w:val="restart"/>
            <w:noWrap w:val="0"/>
            <w:vAlign w:val="center"/>
          </w:tcPr>
          <w:p w14:paraId="5B28A7B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监控值守</w:t>
            </w:r>
          </w:p>
        </w:tc>
        <w:tc>
          <w:tcPr>
            <w:tcW w:w="3220" w:type="pct"/>
            <w:noWrap w:val="0"/>
            <w:vAlign w:val="center"/>
          </w:tcPr>
          <w:p w14:paraId="463BD713">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1</w:t>
            </w:r>
            <w:r>
              <w:rPr>
                <w:rFonts w:hint="eastAsia"/>
                <w:color w:val="auto"/>
                <w:sz w:val="22"/>
                <w:szCs w:val="22"/>
                <w:highlight w:val="none"/>
              </w:rPr>
              <w:t>）监控设备 24 小时正常运行， 监控室实行 24 小时值班制度。</w:t>
            </w:r>
          </w:p>
        </w:tc>
      </w:tr>
      <w:tr w14:paraId="27783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33041C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311EFDA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74E63586">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2</w:t>
            </w:r>
            <w:r>
              <w:rPr>
                <w:rFonts w:hint="eastAsia"/>
                <w:color w:val="auto"/>
                <w:sz w:val="22"/>
                <w:szCs w:val="22"/>
                <w:highlight w:val="none"/>
              </w:rPr>
              <w:t>）值班期间遵守操作规程和保密制度， 做好监控记录的保存工作。</w:t>
            </w:r>
          </w:p>
        </w:tc>
      </w:tr>
      <w:tr w14:paraId="33D5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2FB22E1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68F39BC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41B3A68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3</w:t>
            </w:r>
            <w:r>
              <w:rPr>
                <w:rFonts w:hint="eastAsia"/>
                <w:color w:val="auto"/>
                <w:sz w:val="22"/>
                <w:szCs w:val="22"/>
                <w:highlight w:val="none"/>
              </w:rPr>
              <w:t>）无关人员进入监控室或查阅监控记录，经</w:t>
            </w:r>
            <w:r>
              <w:rPr>
                <w:rFonts w:hint="eastAsia"/>
                <w:color w:val="auto"/>
                <w:sz w:val="22"/>
                <w:szCs w:val="22"/>
                <w:highlight w:val="none"/>
                <w:lang w:val="en-US" w:eastAsia="zh-CN"/>
              </w:rPr>
              <w:t>场馆负责</w:t>
            </w:r>
            <w:r>
              <w:rPr>
                <w:rFonts w:hint="eastAsia"/>
                <w:color w:val="auto"/>
                <w:sz w:val="22"/>
                <w:szCs w:val="22"/>
                <w:highlight w:val="none"/>
              </w:rPr>
              <w:t>人批准并做好相关记录。</w:t>
            </w:r>
          </w:p>
        </w:tc>
      </w:tr>
      <w:tr w14:paraId="5BC2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3AE025F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59FA281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09030AC1">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4</w:t>
            </w:r>
            <w:r>
              <w:rPr>
                <w:rFonts w:hint="eastAsia"/>
                <w:color w:val="auto"/>
                <w:sz w:val="22"/>
                <w:szCs w:val="22"/>
                <w:highlight w:val="none"/>
              </w:rPr>
              <w:t>）监控室收到火情等报警信号、其他异常情况信号后， 及时报警并安排其他安保人员前往现场进 行处理。</w:t>
            </w:r>
          </w:p>
        </w:tc>
      </w:tr>
      <w:tr w14:paraId="46E13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restart"/>
            <w:noWrap w:val="0"/>
            <w:vAlign w:val="center"/>
          </w:tcPr>
          <w:p w14:paraId="739DA97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5</w:t>
            </w:r>
          </w:p>
        </w:tc>
        <w:tc>
          <w:tcPr>
            <w:tcW w:w="1098" w:type="pct"/>
            <w:vMerge w:val="restart"/>
            <w:noWrap w:val="0"/>
            <w:vAlign w:val="center"/>
          </w:tcPr>
          <w:p w14:paraId="765DBFA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车辆停放</w:t>
            </w:r>
          </w:p>
        </w:tc>
        <w:tc>
          <w:tcPr>
            <w:tcW w:w="3220" w:type="pct"/>
            <w:noWrap w:val="0"/>
            <w:vAlign w:val="center"/>
          </w:tcPr>
          <w:p w14:paraId="5E56D12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1</w:t>
            </w:r>
            <w:r>
              <w:rPr>
                <w:rFonts w:hint="eastAsia"/>
                <w:color w:val="auto"/>
                <w:sz w:val="22"/>
                <w:szCs w:val="22"/>
                <w:highlight w:val="none"/>
              </w:rPr>
              <w:t>）对车辆及停放区域实行规范管理。</w:t>
            </w:r>
          </w:p>
        </w:tc>
      </w:tr>
      <w:tr w14:paraId="10E5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1C5F229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094E97A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788F5C98">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2</w:t>
            </w:r>
            <w:r>
              <w:rPr>
                <w:rFonts w:hint="eastAsia"/>
                <w:color w:val="auto"/>
                <w:sz w:val="22"/>
                <w:szCs w:val="22"/>
                <w:highlight w:val="none"/>
              </w:rPr>
              <w:t>）严禁在办公楼的公用走道、楼梯间、安全出口处等公共区域停放</w:t>
            </w:r>
            <w:r>
              <w:rPr>
                <w:rFonts w:hint="eastAsia"/>
                <w:color w:val="auto"/>
                <w:sz w:val="22"/>
                <w:szCs w:val="22"/>
                <w:highlight w:val="none"/>
                <w:lang w:val="en-US" w:eastAsia="zh-CN"/>
              </w:rPr>
              <w:t>非机动车</w:t>
            </w:r>
            <w:r>
              <w:rPr>
                <w:rFonts w:hint="eastAsia"/>
                <w:color w:val="auto"/>
                <w:sz w:val="22"/>
                <w:szCs w:val="22"/>
                <w:highlight w:val="none"/>
              </w:rPr>
              <w:t>或充电。</w:t>
            </w:r>
          </w:p>
        </w:tc>
      </w:tr>
      <w:tr w14:paraId="20C1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42BBE46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1D5FA04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5AD0FF1D">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3</w:t>
            </w:r>
            <w:r>
              <w:rPr>
                <w:rFonts w:hint="eastAsia"/>
                <w:color w:val="auto"/>
                <w:sz w:val="22"/>
                <w:szCs w:val="22"/>
                <w:highlight w:val="none"/>
              </w:rPr>
              <w:t>）非机动车定点有序停放。</w:t>
            </w:r>
          </w:p>
        </w:tc>
      </w:tr>
      <w:tr w14:paraId="60C94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680" w:type="pct"/>
            <w:vMerge w:val="continue"/>
            <w:noWrap w:val="0"/>
            <w:vAlign w:val="center"/>
          </w:tcPr>
          <w:p w14:paraId="196D68F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1098" w:type="pct"/>
            <w:vMerge w:val="continue"/>
            <w:noWrap w:val="0"/>
            <w:vAlign w:val="center"/>
          </w:tcPr>
          <w:p w14:paraId="1D4C0A3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220" w:type="pct"/>
            <w:noWrap w:val="0"/>
            <w:vAlign w:val="center"/>
          </w:tcPr>
          <w:p w14:paraId="47BFCC00">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both"/>
              <w:textAlignment w:val="auto"/>
              <w:rPr>
                <w:rFonts w:hint="eastAsia"/>
                <w:color w:val="auto"/>
                <w:sz w:val="22"/>
                <w:szCs w:val="22"/>
                <w:highlight w:val="none"/>
              </w:rPr>
            </w:pPr>
            <w:r>
              <w:rPr>
                <w:rFonts w:hint="eastAsia"/>
                <w:color w:val="auto"/>
                <w:sz w:val="22"/>
                <w:szCs w:val="22"/>
                <w:highlight w:val="none"/>
              </w:rPr>
              <w:t>（</w:t>
            </w:r>
            <w:r>
              <w:rPr>
                <w:rFonts w:hint="eastAsia"/>
                <w:color w:val="auto"/>
                <w:sz w:val="22"/>
                <w:szCs w:val="22"/>
                <w:highlight w:val="none"/>
                <w:lang w:val="en-US" w:eastAsia="zh-CN"/>
              </w:rPr>
              <w:t>4</w:t>
            </w:r>
            <w:r>
              <w:rPr>
                <w:rFonts w:hint="eastAsia"/>
                <w:color w:val="auto"/>
                <w:sz w:val="22"/>
                <w:szCs w:val="22"/>
                <w:highlight w:val="none"/>
              </w:rPr>
              <w:t>）发现车辆异常情况及时通知车主，并做好登记；发生交通事故、自然灾害等意外事故时及时赶赴现场疏导和协助处理， 响应时间不超过 3 分钟。</w:t>
            </w:r>
          </w:p>
        </w:tc>
      </w:tr>
    </w:tbl>
    <w:p w14:paraId="3CD03BE0">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p w14:paraId="529B1A8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.公用设施设备维护服务</w:t>
      </w:r>
    </w:p>
    <w:p w14:paraId="584FFB2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rPr>
      </w:pPr>
    </w:p>
    <w:tbl>
      <w:tblPr>
        <w:tblStyle w:val="5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56"/>
        <w:gridCol w:w="1132"/>
        <w:gridCol w:w="6232"/>
      </w:tblGrid>
      <w:tr w14:paraId="0D4EA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Align w:val="center"/>
          </w:tcPr>
          <w:p w14:paraId="4FDB9A7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序号</w:t>
            </w:r>
          </w:p>
        </w:tc>
        <w:tc>
          <w:tcPr>
            <w:tcW w:w="664" w:type="pct"/>
            <w:vAlign w:val="center"/>
          </w:tcPr>
          <w:p w14:paraId="6B54D60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服务内容</w:t>
            </w:r>
          </w:p>
        </w:tc>
        <w:tc>
          <w:tcPr>
            <w:tcW w:w="3656" w:type="pct"/>
            <w:vAlign w:val="center"/>
          </w:tcPr>
          <w:p w14:paraId="0E04CEA3">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服务标准</w:t>
            </w:r>
          </w:p>
        </w:tc>
      </w:tr>
      <w:tr w14:paraId="6B278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5403097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1</w:t>
            </w:r>
          </w:p>
        </w:tc>
        <w:tc>
          <w:tcPr>
            <w:tcW w:w="664" w:type="pct"/>
            <w:vMerge w:val="restart"/>
            <w:vAlign w:val="center"/>
          </w:tcPr>
          <w:p w14:paraId="0257E06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基本要求</w:t>
            </w:r>
          </w:p>
        </w:tc>
        <w:tc>
          <w:tcPr>
            <w:tcW w:w="3656" w:type="pct"/>
            <w:vAlign w:val="center"/>
          </w:tcPr>
          <w:p w14:paraId="1F1E7CED">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（1）重大节假日及恶劣天气前后，组织系统巡检 1 次。</w:t>
            </w:r>
          </w:p>
        </w:tc>
      </w:tr>
      <w:tr w14:paraId="04D9A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7579C51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36840F3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7FB68FF9">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w:t>
            </w:r>
            <w:r>
              <w:rPr>
                <w:rFonts w:hint="eastAsia"/>
                <w:color w:val="auto"/>
                <w:sz w:val="22"/>
                <w:szCs w:val="22"/>
                <w:highlight w:val="none"/>
              </w:rPr>
              <w:t>按规定时间开关</w:t>
            </w:r>
            <w:r>
              <w:rPr>
                <w:rFonts w:hint="eastAsia"/>
                <w:color w:val="auto"/>
                <w:sz w:val="22"/>
                <w:szCs w:val="22"/>
                <w:highlight w:val="none"/>
                <w:lang w:val="en-US" w:eastAsia="zh-CN"/>
              </w:rPr>
              <w:t>纪念场馆</w:t>
            </w:r>
            <w:r>
              <w:rPr>
                <w:rFonts w:hint="eastAsia"/>
                <w:color w:val="auto"/>
                <w:sz w:val="22"/>
                <w:szCs w:val="22"/>
                <w:highlight w:val="none"/>
              </w:rPr>
              <w:t>水电，</w:t>
            </w:r>
            <w:r>
              <w:rPr>
                <w:rFonts w:hint="eastAsia"/>
                <w:color w:val="auto"/>
                <w:sz w:val="22"/>
                <w:szCs w:val="22"/>
                <w:highlight w:val="none"/>
                <w:lang w:val="en-US"/>
              </w:rPr>
              <w:t>具备设施设备安全、稳定运行的环境和场所（含有限空间），温湿度、照度、粉尘和烟雾浓度等符合相关安全规范。</w:t>
            </w:r>
          </w:p>
        </w:tc>
      </w:tr>
      <w:tr w14:paraId="1F47B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07D6A90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2</w:t>
            </w:r>
          </w:p>
        </w:tc>
        <w:tc>
          <w:tcPr>
            <w:tcW w:w="664" w:type="pct"/>
            <w:vMerge w:val="restart"/>
            <w:vAlign w:val="center"/>
          </w:tcPr>
          <w:p w14:paraId="240B230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给排水系统</w:t>
            </w:r>
          </w:p>
        </w:tc>
        <w:tc>
          <w:tcPr>
            <w:tcW w:w="3656" w:type="pct"/>
            <w:vAlign w:val="center"/>
          </w:tcPr>
          <w:p w14:paraId="5ECE42B0">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（1）设施设备、阀门、管道等运行正常，无跑、冒、滴、漏现象。</w:t>
            </w:r>
          </w:p>
        </w:tc>
      </w:tr>
      <w:tr w14:paraId="28F77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239EDBD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p>
        </w:tc>
        <w:tc>
          <w:tcPr>
            <w:tcW w:w="664" w:type="pct"/>
            <w:vMerge w:val="continue"/>
            <w:vAlign w:val="center"/>
          </w:tcPr>
          <w:p w14:paraId="71902557">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7BC91D27">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（2）水泵房、水箱间，每日至少巡视 1 次。</w:t>
            </w:r>
          </w:p>
        </w:tc>
      </w:tr>
      <w:tr w14:paraId="5479C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161D6B0B">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p>
        </w:tc>
        <w:tc>
          <w:tcPr>
            <w:tcW w:w="664" w:type="pct"/>
            <w:vMerge w:val="continue"/>
            <w:vAlign w:val="center"/>
          </w:tcPr>
          <w:p w14:paraId="3144E92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646B09ED">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（3）遇供水单位限水、停水，按规定时间通知采购人。</w:t>
            </w:r>
          </w:p>
        </w:tc>
      </w:tr>
      <w:tr w14:paraId="15884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19C6BAC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3</w:t>
            </w:r>
          </w:p>
        </w:tc>
        <w:tc>
          <w:tcPr>
            <w:tcW w:w="664" w:type="pct"/>
            <w:vMerge w:val="restart"/>
            <w:vAlign w:val="center"/>
          </w:tcPr>
          <w:p w14:paraId="191715E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lang w:val="en-US" w:eastAsia="zh-CN"/>
              </w:rPr>
              <w:t>供配电系统</w:t>
            </w:r>
          </w:p>
        </w:tc>
        <w:tc>
          <w:tcPr>
            <w:tcW w:w="3656" w:type="pct"/>
            <w:vAlign w:val="center"/>
          </w:tcPr>
          <w:p w14:paraId="31343A41">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（1）建立 24 小时运行值班制度。</w:t>
            </w:r>
          </w:p>
        </w:tc>
      </w:tr>
      <w:tr w14:paraId="19194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735BA61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5C7945B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60E24816">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（2）公共使用的照明、指示灯具线路、开关、接地等保持完好，确保用电安全。</w:t>
            </w:r>
          </w:p>
        </w:tc>
      </w:tr>
      <w:tr w14:paraId="70D7F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323E027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5D19C4E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748662C2">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（3）发生非计划性停电的，应当在事件发生后及时通知采购人，快速恢复或启用应急电源，并做好应急事件上报及处理工作。</w:t>
            </w:r>
          </w:p>
        </w:tc>
      </w:tr>
      <w:tr w14:paraId="743EF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restart"/>
            <w:vAlign w:val="center"/>
          </w:tcPr>
          <w:p w14:paraId="4DE1D8B0">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664" w:type="pct"/>
            <w:vMerge w:val="restart"/>
            <w:vAlign w:val="center"/>
          </w:tcPr>
          <w:p w14:paraId="7F37243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rPr>
            </w:pPr>
            <w:r>
              <w:rPr>
                <w:rFonts w:hint="eastAsia"/>
                <w:color w:val="auto"/>
                <w:sz w:val="22"/>
                <w:szCs w:val="22"/>
                <w:highlight w:val="none"/>
                <w:lang w:val="en-US"/>
              </w:rPr>
              <w:t>照明系统</w:t>
            </w:r>
          </w:p>
        </w:tc>
        <w:tc>
          <w:tcPr>
            <w:tcW w:w="3656" w:type="pct"/>
            <w:vAlign w:val="center"/>
          </w:tcPr>
          <w:p w14:paraId="1CEDF048">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（1）外观整洁无缺损、无松落。</w:t>
            </w:r>
          </w:p>
        </w:tc>
      </w:tr>
      <w:tr w14:paraId="356C7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678" w:type="pct"/>
            <w:vMerge w:val="continue"/>
            <w:vAlign w:val="center"/>
          </w:tcPr>
          <w:p w14:paraId="67F60C4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664" w:type="pct"/>
            <w:vMerge w:val="continue"/>
            <w:vAlign w:val="center"/>
          </w:tcPr>
          <w:p w14:paraId="0BAACAE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p>
        </w:tc>
        <w:tc>
          <w:tcPr>
            <w:tcW w:w="3656" w:type="pct"/>
            <w:vAlign w:val="center"/>
          </w:tcPr>
          <w:p w14:paraId="723E0822">
            <w:pPr>
              <w:keepNext w:val="0"/>
              <w:keepLines w:val="0"/>
              <w:pageBreakBefore w:val="0"/>
              <w:widowControl w:val="0"/>
              <w:kinsoku/>
              <w:wordWrap/>
              <w:overflowPunct/>
              <w:topLinePunct w:val="0"/>
              <w:autoSpaceDE/>
              <w:autoSpaceDN/>
              <w:bidi w:val="0"/>
              <w:adjustRightInd/>
              <w:snapToGrid/>
              <w:spacing w:line="360" w:lineRule="exact"/>
              <w:ind w:firstLineChars="0"/>
              <w:jc w:val="left"/>
              <w:textAlignment w:val="auto"/>
              <w:rPr>
                <w:rFonts w:hint="eastAsia"/>
                <w:color w:val="auto"/>
                <w:sz w:val="22"/>
                <w:szCs w:val="22"/>
                <w:highlight w:val="none"/>
                <w:lang w:val="en-US"/>
              </w:rPr>
            </w:pPr>
            <w:r>
              <w:rPr>
                <w:rFonts w:hint="eastAsia"/>
                <w:color w:val="auto"/>
                <w:sz w:val="22"/>
                <w:szCs w:val="22"/>
                <w:highlight w:val="none"/>
                <w:lang w:val="en-US"/>
              </w:rPr>
              <w:t>（2）更换的照明灯具应当选用节能环保产品，亮度与更换前保持一致。</w:t>
            </w:r>
          </w:p>
        </w:tc>
      </w:tr>
    </w:tbl>
    <w:p w14:paraId="44FB8218">
      <w:pPr>
        <w:keepNext w:val="0"/>
        <w:keepLines w:val="0"/>
        <w:pageBreakBefore w:val="0"/>
        <w:widowControl w:val="0"/>
        <w:kinsoku/>
        <w:wordWrap/>
        <w:overflowPunct/>
        <w:topLinePunct w:val="0"/>
        <w:autoSpaceDE/>
        <w:autoSpaceDN/>
        <w:bidi w:val="0"/>
        <w:adjustRightInd/>
        <w:snapToGrid/>
        <w:spacing w:line="360" w:lineRule="exact"/>
        <w:ind w:firstLineChars="0"/>
        <w:textAlignment w:val="auto"/>
        <w:rPr>
          <w:rFonts w:hint="eastAsia"/>
          <w:color w:val="auto"/>
          <w:sz w:val="24"/>
          <w:szCs w:val="24"/>
          <w:highlight w:val="none"/>
          <w:lang w:val="en-US" w:eastAsia="zh-CN"/>
        </w:rPr>
      </w:pPr>
    </w:p>
    <w:p w14:paraId="48C9139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5.处理突发事件</w:t>
      </w:r>
      <w:r>
        <w:rPr>
          <w:rFonts w:hint="eastAsia" w:cs="Times New Roman"/>
          <w:color w:val="auto"/>
          <w:sz w:val="24"/>
          <w:szCs w:val="24"/>
          <w:highlight w:val="none"/>
          <w:lang w:val="en-US" w:eastAsia="zh-CN" w:bidi="ar-SA"/>
        </w:rPr>
        <w:t>服务</w:t>
      </w:r>
      <w:r>
        <w:rPr>
          <w:rFonts w:hint="eastAsia" w:ascii="Times New Roman" w:hAnsi="Times New Roman" w:eastAsia="宋体" w:cs="Times New Roman"/>
          <w:color w:val="auto"/>
          <w:sz w:val="24"/>
          <w:szCs w:val="24"/>
          <w:highlight w:val="none"/>
          <w:lang w:val="en-US" w:eastAsia="zh-CN" w:bidi="ar-SA"/>
        </w:rPr>
        <w:t>：</w:t>
      </w:r>
    </w:p>
    <w:p w14:paraId="39D7DD2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（1）配合采购人制订应急保障措施，需对任务进行详细了解，并根据工作安排制定详细的应急保障措施。</w:t>
      </w:r>
    </w:p>
    <w:p w14:paraId="26CECBB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根据馆（园）隐患排查的结果和实际情况，制定专项预案，包括但不限于：重大活动应急预案、上级突击检查应急预案、火警紧急处理应急预案、紧急疏散应急预案、停水停电应急预案、恶劣天气应对应急预案等。</w:t>
      </w:r>
    </w:p>
    <w:p w14:paraId="4399B9B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w:t>
      </w:r>
      <w:r>
        <w:rPr>
          <w:rFonts w:hint="eastAsia" w:cs="Times New Roman"/>
          <w:color w:val="auto"/>
          <w:sz w:val="24"/>
          <w:szCs w:val="24"/>
          <w:highlight w:val="none"/>
          <w:lang w:val="en-US" w:eastAsia="zh-CN" w:bidi="ar-SA"/>
        </w:rPr>
        <w:t>3</w:t>
      </w:r>
      <w:r>
        <w:rPr>
          <w:rFonts w:hint="eastAsia" w:ascii="Times New Roman" w:hAnsi="Times New Roman" w:eastAsia="宋体" w:cs="Times New Roman"/>
          <w:color w:val="auto"/>
          <w:sz w:val="24"/>
          <w:szCs w:val="24"/>
          <w:highlight w:val="none"/>
          <w:lang w:val="en-US" w:eastAsia="zh-CN" w:bidi="ar-SA"/>
        </w:rPr>
        <w:t>）建立消防安全责任制， 确定各级消防安全责任人及其职责。</w:t>
      </w:r>
    </w:p>
    <w:p w14:paraId="599E453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w:t>
      </w:r>
      <w:r>
        <w:rPr>
          <w:rFonts w:hint="eastAsia" w:cs="Times New Roman"/>
          <w:color w:val="auto"/>
          <w:sz w:val="24"/>
          <w:szCs w:val="24"/>
          <w:highlight w:val="none"/>
          <w:lang w:val="en-US" w:eastAsia="zh-CN" w:bidi="ar-SA"/>
        </w:rPr>
        <w:t>4</w:t>
      </w:r>
      <w:r>
        <w:rPr>
          <w:rFonts w:hint="eastAsia" w:ascii="Times New Roman" w:hAnsi="Times New Roman" w:eastAsia="宋体" w:cs="Times New Roman"/>
          <w:color w:val="auto"/>
          <w:sz w:val="24"/>
          <w:szCs w:val="24"/>
          <w:highlight w:val="none"/>
          <w:lang w:val="en-US" w:eastAsia="zh-CN" w:bidi="ar-SA"/>
        </w:rPr>
        <w:t>）应急预案定期培训和演练，组织相关岗定期开展专项应急预案演练，留存培训及演练记录和影像资料，并对预案进行评价，确保与实际情况相结合。</w:t>
      </w:r>
    </w:p>
    <w:p w14:paraId="2B6AD9C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（5）消火栓、应急照明、消防及人员逃生通道、消防车通道可随时正常使用。</w:t>
      </w:r>
    </w:p>
    <w:p w14:paraId="5B69CA7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（6）定期组织消防安全宣传，每半年至少开展 1 次消防演练。</w:t>
      </w:r>
    </w:p>
    <w:p w14:paraId="578CA26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6</w:t>
      </w:r>
      <w:r>
        <w:rPr>
          <w:rFonts w:hint="eastAsia" w:ascii="Times New Roman" w:hAnsi="Times New Roman" w:eastAsia="宋体" w:cs="Times New Roman"/>
          <w:color w:val="auto"/>
          <w:sz w:val="24"/>
          <w:szCs w:val="24"/>
          <w:highlight w:val="none"/>
          <w:lang w:val="en-US" w:eastAsia="zh-CN" w:bidi="ar-SA"/>
        </w:rPr>
        <w:t>.公共设施节水、节电、节能管理：</w:t>
      </w:r>
    </w:p>
    <w:p w14:paraId="13B7A63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（1）定期巡查及时统计损坏的设备设施并报给采购人，消耗品及时供应保证物业正常运行。</w:t>
      </w:r>
    </w:p>
    <w:p w14:paraId="31E8C44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（2）巡查卫生间，发现跑、冒、滴、漏水情况迅速处理或报告；</w:t>
      </w:r>
    </w:p>
    <w:p w14:paraId="3A4065E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（3）卫生间粘贴节水标识；</w:t>
      </w:r>
    </w:p>
    <w:p w14:paraId="1AE4B11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（4）发现房间无人时开空调的情况及时提醒；</w:t>
      </w:r>
    </w:p>
    <w:p w14:paraId="30B1FF8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（5）发现长明灯的情况要及时采取相应措施。</w:t>
      </w:r>
    </w:p>
    <w:p w14:paraId="1B3D563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7</w:t>
      </w:r>
      <w:r>
        <w:rPr>
          <w:rFonts w:hint="eastAsia" w:ascii="Times New Roman" w:hAnsi="Times New Roman" w:eastAsia="宋体" w:cs="Times New Roman"/>
          <w:color w:val="auto"/>
          <w:sz w:val="24"/>
          <w:szCs w:val="24"/>
          <w:highlight w:val="none"/>
          <w:lang w:val="en-US" w:eastAsia="zh-CN" w:bidi="ar-SA"/>
        </w:rPr>
        <w:t>.物业移交要求</w:t>
      </w:r>
    </w:p>
    <w:p w14:paraId="13C3CAC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p>
    <w:p w14:paraId="4958E8C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p>
    <w:p w14:paraId="12B46B1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二</w:t>
      </w:r>
      <w:r>
        <w:rPr>
          <w:rFonts w:hint="eastAsia"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投标文件要求</w:t>
      </w:r>
    </w:p>
    <w:p w14:paraId="60180C0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1、投标文件中提供《物业管理服务方案》文件。</w:t>
      </w:r>
    </w:p>
    <w:p w14:paraId="35E3BC7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2、《物业管理服务方案》需包括以下内容:</w:t>
      </w:r>
    </w:p>
    <w:p w14:paraId="3C1D087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（1）基本服务方案;</w:t>
      </w:r>
    </w:p>
    <w:p w14:paraId="73E6932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（2）保洁服务方案;</w:t>
      </w:r>
    </w:p>
    <w:p w14:paraId="3BFF581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（3）保安服务方案;</w:t>
      </w:r>
    </w:p>
    <w:p w14:paraId="7ECD23B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（4）公用设施设备维护服务;</w:t>
      </w:r>
    </w:p>
    <w:p w14:paraId="6073ABF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（5）处理突发事件服务方案;</w:t>
      </w:r>
    </w:p>
    <w:p w14:paraId="633C768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（6）公共设施节水、节电、节能管理方案;</w:t>
      </w:r>
    </w:p>
    <w:p w14:paraId="794A8AD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（7）物业移交衔接方案。</w:t>
      </w:r>
    </w:p>
    <w:p w14:paraId="2AADA36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方正黑体_GBK" w:hAnsi="方正黑体_GBK" w:eastAsia="方正黑体_GBK" w:cs="方正黑体_GBK"/>
          <w:color w:val="auto"/>
          <w:sz w:val="24"/>
          <w:szCs w:val="24"/>
          <w:highlight w:val="none"/>
          <w:lang w:val="en-US" w:eastAsia="zh-CN"/>
        </w:rPr>
      </w:pPr>
      <w:r>
        <w:rPr>
          <w:rFonts w:hint="eastAsia" w:ascii="方正黑体_GBK" w:hAnsi="方正黑体_GBK" w:eastAsia="方正黑体_GBK" w:cs="方正黑体_GBK"/>
          <w:color w:val="auto"/>
          <w:sz w:val="24"/>
          <w:szCs w:val="24"/>
          <w:highlight w:val="none"/>
          <w:lang w:val="en-US" w:eastAsia="zh-CN"/>
        </w:rPr>
        <w:t>五、组织机构设置方案及人员配备方案</w:t>
      </w:r>
    </w:p>
    <w:p w14:paraId="7EF4857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（一）物业管理服务人员具体需求</w:t>
      </w:r>
    </w:p>
    <w:p w14:paraId="6565DF9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淮海战役碾庄圩战斗纪念馆</w:t>
      </w:r>
      <w:r>
        <w:rPr>
          <w:rFonts w:hint="eastAsia" w:ascii="Times New Roman" w:hAnsi="Times New Roman" w:eastAsia="宋体" w:cs="Times New Roman"/>
          <w:color w:val="auto"/>
          <w:sz w:val="24"/>
          <w:szCs w:val="24"/>
          <w:highlight w:val="none"/>
          <w:lang w:val="en-US" w:eastAsia="zh-CN" w:bidi="ar-SA"/>
        </w:rPr>
        <w:t>物业服务人员</w:t>
      </w:r>
      <w:r>
        <w:rPr>
          <w:rFonts w:hint="eastAsia" w:cs="Times New Roman"/>
          <w:color w:val="auto"/>
          <w:sz w:val="24"/>
          <w:szCs w:val="24"/>
          <w:highlight w:val="none"/>
          <w:lang w:val="en-US" w:eastAsia="zh-CN" w:bidi="ar-SA"/>
        </w:rPr>
        <w:t>23</w:t>
      </w:r>
      <w:r>
        <w:rPr>
          <w:rFonts w:hint="eastAsia" w:ascii="Times New Roman" w:hAnsi="Times New Roman" w:eastAsia="宋体" w:cs="Times New Roman"/>
          <w:color w:val="auto"/>
          <w:sz w:val="24"/>
          <w:szCs w:val="24"/>
          <w:highlight w:val="none"/>
          <w:lang w:val="en-US" w:eastAsia="zh-CN" w:bidi="ar-SA"/>
        </w:rPr>
        <w:t>人，人员岗位设置如下：</w:t>
      </w:r>
    </w:p>
    <w:tbl>
      <w:tblPr>
        <w:tblStyle w:val="56"/>
        <w:tblpPr w:leftFromText="180" w:rightFromText="180" w:vertAnchor="text" w:horzAnchor="page" w:tblpX="1543" w:tblpY="300"/>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14"/>
        <w:gridCol w:w="1604"/>
        <w:gridCol w:w="1369"/>
        <w:gridCol w:w="4246"/>
      </w:tblGrid>
      <w:tr w14:paraId="681CF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7" w:hRule="atLeast"/>
        </w:trPr>
        <w:tc>
          <w:tcPr>
            <w:tcW w:w="668" w:type="pct"/>
            <w:vAlign w:val="center"/>
          </w:tcPr>
          <w:p w14:paraId="5936661C">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序号</w:t>
            </w:r>
          </w:p>
        </w:tc>
        <w:tc>
          <w:tcPr>
            <w:tcW w:w="962" w:type="pct"/>
            <w:vAlign w:val="center"/>
          </w:tcPr>
          <w:p w14:paraId="16505BF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岗位</w:t>
            </w:r>
          </w:p>
        </w:tc>
        <w:tc>
          <w:tcPr>
            <w:tcW w:w="821" w:type="pct"/>
            <w:vAlign w:val="center"/>
          </w:tcPr>
          <w:p w14:paraId="295329D5">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人员数量</w:t>
            </w:r>
          </w:p>
        </w:tc>
        <w:tc>
          <w:tcPr>
            <w:tcW w:w="2547" w:type="pct"/>
            <w:vAlign w:val="center"/>
          </w:tcPr>
          <w:p w14:paraId="6014B00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备注</w:t>
            </w:r>
          </w:p>
        </w:tc>
      </w:tr>
      <w:tr w14:paraId="7480D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7" w:hRule="atLeast"/>
        </w:trPr>
        <w:tc>
          <w:tcPr>
            <w:tcW w:w="668" w:type="pct"/>
            <w:vAlign w:val="center"/>
          </w:tcPr>
          <w:p w14:paraId="65CC33C4">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962" w:type="pct"/>
            <w:vAlign w:val="center"/>
          </w:tcPr>
          <w:p w14:paraId="4A66C52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项目经理</w:t>
            </w:r>
          </w:p>
        </w:tc>
        <w:tc>
          <w:tcPr>
            <w:tcW w:w="821" w:type="pct"/>
            <w:vAlign w:val="center"/>
          </w:tcPr>
          <w:p w14:paraId="74122C5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eastAsia="zh-CN"/>
              </w:rPr>
            </w:pPr>
            <w:r>
              <w:rPr>
                <w:rFonts w:hint="eastAsia"/>
                <w:color w:val="auto"/>
                <w:sz w:val="22"/>
                <w:szCs w:val="22"/>
                <w:highlight w:val="none"/>
                <w:lang w:val="en-US" w:eastAsia="zh-CN"/>
              </w:rPr>
              <w:t>2</w:t>
            </w:r>
          </w:p>
        </w:tc>
        <w:tc>
          <w:tcPr>
            <w:tcW w:w="2547" w:type="pct"/>
            <w:vAlign w:val="center"/>
          </w:tcPr>
          <w:p w14:paraId="64A975DD">
            <w:pPr>
              <w:keepNext w:val="0"/>
              <w:keepLines w:val="0"/>
              <w:pageBreakBefore w:val="0"/>
              <w:widowControl w:val="0"/>
              <w:kinsoku/>
              <w:wordWrap/>
              <w:overflowPunct/>
              <w:topLinePunct w:val="0"/>
              <w:autoSpaceDE/>
              <w:autoSpaceDN/>
              <w:bidi w:val="0"/>
              <w:adjustRightInd w:val="0"/>
              <w:snapToGrid w:val="0"/>
              <w:spacing w:line="400" w:lineRule="exact"/>
              <w:ind w:left="105" w:leftChars="50" w:right="105" w:rightChars="50"/>
              <w:textAlignment w:val="auto"/>
              <w:rPr>
                <w:rFonts w:hint="eastAsia"/>
                <w:color w:val="auto"/>
                <w:sz w:val="22"/>
                <w:szCs w:val="22"/>
                <w:highlight w:val="none"/>
                <w:lang w:val="en-US" w:eastAsia="zh-CN"/>
              </w:rPr>
            </w:pPr>
            <w:r>
              <w:rPr>
                <w:rFonts w:hint="eastAsia" w:ascii="仿宋" w:hAnsi="仿宋" w:eastAsia="仿宋" w:cs="仿宋"/>
                <w:color w:val="auto"/>
                <w:sz w:val="24"/>
                <w:szCs w:val="24"/>
                <w:highlight w:val="none"/>
                <w:lang w:val="en-US" w:eastAsia="zh-CN"/>
              </w:rPr>
              <w:t>其中，</w:t>
            </w:r>
            <w:r>
              <w:rPr>
                <w:rFonts w:hint="eastAsia" w:ascii="Times New Roman" w:hAnsi="Times New Roman" w:eastAsia="方正仿宋_GBK" w:cs="Times New Roman"/>
                <w:color w:val="auto"/>
                <w:sz w:val="24"/>
                <w:szCs w:val="24"/>
                <w:highlight w:val="none"/>
                <w:lang w:val="en-US" w:eastAsia="zh-CN"/>
              </w:rPr>
              <w:t>淮海战役碾庄圩战斗纪念馆1名，李超时纪念馆、石山烈士陵园共用</w:t>
            </w:r>
            <w:r>
              <w:rPr>
                <w:rFonts w:hint="eastAsia" w:ascii="仿宋" w:hAnsi="仿宋" w:eastAsia="仿宋" w:cs="仿宋"/>
                <w:color w:val="auto"/>
                <w:sz w:val="24"/>
                <w:szCs w:val="24"/>
                <w:highlight w:val="none"/>
                <w:lang w:val="en-US" w:eastAsia="zh-CN"/>
              </w:rPr>
              <w:t>1名。</w:t>
            </w:r>
          </w:p>
        </w:tc>
      </w:tr>
      <w:tr w14:paraId="0A26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0" w:hRule="atLeast"/>
        </w:trPr>
        <w:tc>
          <w:tcPr>
            <w:tcW w:w="668" w:type="pct"/>
            <w:vAlign w:val="center"/>
          </w:tcPr>
          <w:p w14:paraId="6F58D3F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962" w:type="pct"/>
            <w:vAlign w:val="center"/>
          </w:tcPr>
          <w:p w14:paraId="57F298F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水电工</w:t>
            </w:r>
          </w:p>
        </w:tc>
        <w:tc>
          <w:tcPr>
            <w:tcW w:w="821" w:type="pct"/>
            <w:vAlign w:val="center"/>
          </w:tcPr>
          <w:p w14:paraId="2DEBB282">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2547" w:type="pct"/>
            <w:vAlign w:val="center"/>
          </w:tcPr>
          <w:p w14:paraId="7E01DC93">
            <w:pPr>
              <w:keepNext w:val="0"/>
              <w:keepLines w:val="0"/>
              <w:pageBreakBefore w:val="0"/>
              <w:widowControl w:val="0"/>
              <w:kinsoku/>
              <w:wordWrap/>
              <w:overflowPunct/>
              <w:topLinePunct w:val="0"/>
              <w:autoSpaceDE/>
              <w:autoSpaceDN/>
              <w:bidi w:val="0"/>
              <w:adjustRightInd w:val="0"/>
              <w:snapToGrid w:val="0"/>
              <w:spacing w:line="400" w:lineRule="exact"/>
              <w:ind w:left="105" w:leftChars="50" w:right="105" w:rightChars="50"/>
              <w:textAlignment w:val="auto"/>
              <w:rPr>
                <w:rFonts w:hint="eastAsia"/>
                <w:color w:val="auto"/>
                <w:sz w:val="22"/>
                <w:szCs w:val="22"/>
                <w:highlight w:val="none"/>
                <w:lang w:val="en-US" w:eastAsia="zh-CN"/>
              </w:rPr>
            </w:pPr>
            <w:r>
              <w:rPr>
                <w:rFonts w:hint="eastAsia" w:ascii="仿宋" w:hAnsi="仿宋" w:eastAsia="仿宋" w:cs="仿宋"/>
                <w:color w:val="auto"/>
                <w:sz w:val="24"/>
                <w:szCs w:val="24"/>
                <w:highlight w:val="none"/>
                <w:lang w:val="en-US" w:eastAsia="zh-CN"/>
              </w:rPr>
              <w:t>须持有初级以上</w:t>
            </w:r>
            <w:r>
              <w:rPr>
                <w:rFonts w:hint="eastAsia" w:ascii="仿宋" w:hAnsi="仿宋" w:eastAsia="仿宋" w:cs="仿宋"/>
                <w:color w:val="auto"/>
                <w:sz w:val="24"/>
                <w:szCs w:val="24"/>
                <w:highlight w:val="none"/>
              </w:rPr>
              <w:t>电工证。</w:t>
            </w:r>
            <w:r>
              <w:rPr>
                <w:rFonts w:hint="eastAsia" w:ascii="Times New Roman" w:hAnsi="Times New Roman" w:eastAsia="方正仿宋_GBK" w:cs="Times New Roman"/>
                <w:color w:val="auto"/>
                <w:sz w:val="24"/>
                <w:szCs w:val="24"/>
                <w:highlight w:val="none"/>
                <w:lang w:val="en-US" w:eastAsia="zh-CN"/>
              </w:rPr>
              <w:t>淮海战役碾庄圩战斗纪念馆、李超时纪念馆、石山烈士陵园</w:t>
            </w:r>
            <w:r>
              <w:rPr>
                <w:rFonts w:hint="eastAsia" w:ascii="仿宋" w:hAnsi="仿宋" w:eastAsia="仿宋" w:cs="仿宋"/>
                <w:color w:val="auto"/>
                <w:sz w:val="24"/>
                <w:szCs w:val="24"/>
                <w:highlight w:val="none"/>
                <w:lang w:val="en-US" w:eastAsia="zh-CN"/>
              </w:rPr>
              <w:t>共用。</w:t>
            </w:r>
          </w:p>
        </w:tc>
      </w:tr>
      <w:tr w14:paraId="5B01E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5" w:hRule="atLeast"/>
        </w:trPr>
        <w:tc>
          <w:tcPr>
            <w:tcW w:w="668" w:type="pct"/>
            <w:vAlign w:val="center"/>
          </w:tcPr>
          <w:p w14:paraId="41C1807D">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962" w:type="pct"/>
            <w:vAlign w:val="center"/>
          </w:tcPr>
          <w:p w14:paraId="5C2726BF">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eastAsia="宋体"/>
                <w:color w:val="auto"/>
                <w:sz w:val="22"/>
                <w:szCs w:val="22"/>
                <w:highlight w:val="none"/>
                <w:lang w:val="en-US" w:eastAsia="zh-CN"/>
              </w:rPr>
            </w:pPr>
            <w:r>
              <w:rPr>
                <w:rFonts w:hint="eastAsia"/>
                <w:color w:val="auto"/>
                <w:sz w:val="22"/>
                <w:szCs w:val="22"/>
                <w:highlight w:val="none"/>
              </w:rPr>
              <w:t>保安</w:t>
            </w:r>
            <w:r>
              <w:rPr>
                <w:rFonts w:hint="eastAsia"/>
                <w:color w:val="auto"/>
                <w:sz w:val="22"/>
                <w:szCs w:val="22"/>
                <w:highlight w:val="none"/>
                <w:lang w:val="en-US" w:eastAsia="zh-CN"/>
              </w:rPr>
              <w:t>人员</w:t>
            </w:r>
          </w:p>
        </w:tc>
        <w:tc>
          <w:tcPr>
            <w:tcW w:w="821" w:type="pct"/>
            <w:vAlign w:val="center"/>
          </w:tcPr>
          <w:p w14:paraId="657AEA16">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default"/>
                <w:color w:val="auto"/>
                <w:sz w:val="22"/>
                <w:szCs w:val="22"/>
                <w:highlight w:val="none"/>
                <w:lang w:val="en-US" w:eastAsia="zh-CN"/>
              </w:rPr>
            </w:pPr>
            <w:r>
              <w:rPr>
                <w:rFonts w:hint="eastAsia"/>
                <w:color w:val="auto"/>
                <w:sz w:val="22"/>
                <w:szCs w:val="22"/>
                <w:highlight w:val="none"/>
                <w:lang w:val="en-US" w:eastAsia="zh-CN"/>
              </w:rPr>
              <w:t>10</w:t>
            </w:r>
          </w:p>
        </w:tc>
        <w:tc>
          <w:tcPr>
            <w:tcW w:w="2547" w:type="pct"/>
            <w:vAlign w:val="center"/>
          </w:tcPr>
          <w:p w14:paraId="69893640">
            <w:pPr>
              <w:keepNext w:val="0"/>
              <w:keepLines w:val="0"/>
              <w:pageBreakBefore w:val="0"/>
              <w:widowControl w:val="0"/>
              <w:kinsoku/>
              <w:wordWrap/>
              <w:overflowPunct/>
              <w:topLinePunct w:val="0"/>
              <w:autoSpaceDE/>
              <w:autoSpaceDN/>
              <w:bidi w:val="0"/>
              <w:adjustRightInd w:val="0"/>
              <w:snapToGrid w:val="0"/>
              <w:spacing w:line="400" w:lineRule="exact"/>
              <w:ind w:left="105" w:leftChars="50" w:right="105" w:rightChars="50"/>
              <w:textAlignment w:val="auto"/>
              <w:rPr>
                <w:rFonts w:hint="eastAsia"/>
                <w:color w:val="auto"/>
                <w:sz w:val="22"/>
                <w:szCs w:val="22"/>
                <w:highlight w:val="none"/>
                <w:lang w:val="en-US" w:eastAsia="zh-CN"/>
              </w:rPr>
            </w:pPr>
            <w:r>
              <w:rPr>
                <w:rFonts w:hint="eastAsia" w:ascii="仿宋" w:hAnsi="仿宋" w:eastAsia="仿宋" w:cs="仿宋"/>
                <w:color w:val="auto"/>
                <w:sz w:val="24"/>
                <w:szCs w:val="24"/>
                <w:highlight w:val="none"/>
              </w:rPr>
              <w:t>须持初级保安员</w:t>
            </w:r>
            <w:r>
              <w:rPr>
                <w:rFonts w:hint="eastAsia" w:ascii="仿宋" w:hAnsi="仿宋" w:eastAsia="仿宋" w:cs="仿宋"/>
                <w:color w:val="auto"/>
                <w:sz w:val="24"/>
                <w:szCs w:val="24"/>
                <w:highlight w:val="none"/>
                <w:lang w:val="en-US" w:eastAsia="zh-CN"/>
              </w:rPr>
              <w:t>及以上保安证</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其中，</w:t>
            </w:r>
            <w:r>
              <w:rPr>
                <w:rFonts w:hint="eastAsia" w:ascii="Times New Roman" w:hAnsi="Times New Roman" w:eastAsia="方正仿宋_GBK" w:cs="Times New Roman"/>
                <w:color w:val="auto"/>
                <w:sz w:val="24"/>
                <w:szCs w:val="24"/>
                <w:highlight w:val="none"/>
                <w:lang w:val="en-US" w:eastAsia="zh-CN"/>
              </w:rPr>
              <w:t>淮海战役碾庄圩战斗纪念馆6名、李超时纪念馆2名、石山烈士陵园2名。</w:t>
            </w:r>
          </w:p>
        </w:tc>
      </w:tr>
      <w:tr w14:paraId="214C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29" w:hRule="atLeast"/>
        </w:trPr>
        <w:tc>
          <w:tcPr>
            <w:tcW w:w="668" w:type="pct"/>
            <w:vAlign w:val="center"/>
          </w:tcPr>
          <w:p w14:paraId="4CEFB4D8">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962" w:type="pct"/>
            <w:vAlign w:val="center"/>
          </w:tcPr>
          <w:p w14:paraId="144A42CA">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保洁</w:t>
            </w:r>
            <w:r>
              <w:rPr>
                <w:rFonts w:hint="eastAsia"/>
                <w:color w:val="auto"/>
                <w:sz w:val="22"/>
                <w:szCs w:val="22"/>
                <w:highlight w:val="none"/>
                <w:lang w:val="en-US" w:eastAsia="zh-CN"/>
              </w:rPr>
              <w:t>人</w:t>
            </w:r>
            <w:r>
              <w:rPr>
                <w:rFonts w:hint="eastAsia"/>
                <w:color w:val="auto"/>
                <w:sz w:val="22"/>
                <w:szCs w:val="22"/>
                <w:highlight w:val="none"/>
              </w:rPr>
              <w:t>员</w:t>
            </w:r>
          </w:p>
        </w:tc>
        <w:tc>
          <w:tcPr>
            <w:tcW w:w="821" w:type="pct"/>
            <w:vAlign w:val="center"/>
          </w:tcPr>
          <w:p w14:paraId="49B4B8E9">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10</w:t>
            </w:r>
          </w:p>
        </w:tc>
        <w:tc>
          <w:tcPr>
            <w:tcW w:w="2547" w:type="pct"/>
            <w:vAlign w:val="center"/>
          </w:tcPr>
          <w:p w14:paraId="3372B961">
            <w:pPr>
              <w:keepNext w:val="0"/>
              <w:keepLines w:val="0"/>
              <w:pageBreakBefore w:val="0"/>
              <w:widowControl w:val="0"/>
              <w:kinsoku/>
              <w:wordWrap/>
              <w:overflowPunct/>
              <w:topLinePunct w:val="0"/>
              <w:autoSpaceDE/>
              <w:autoSpaceDN/>
              <w:bidi w:val="0"/>
              <w:adjustRightInd w:val="0"/>
              <w:snapToGrid w:val="0"/>
              <w:spacing w:line="400" w:lineRule="exact"/>
              <w:ind w:left="105" w:leftChars="50" w:right="105" w:rightChars="50"/>
              <w:textAlignment w:val="auto"/>
              <w:rPr>
                <w:rFonts w:hint="eastAsia"/>
                <w:color w:val="auto"/>
                <w:sz w:val="22"/>
                <w:szCs w:val="22"/>
                <w:highlight w:val="none"/>
              </w:rPr>
            </w:pPr>
            <w:r>
              <w:rPr>
                <w:rFonts w:hint="eastAsia" w:ascii="仿宋" w:hAnsi="仿宋" w:eastAsia="仿宋" w:cs="仿宋"/>
                <w:color w:val="auto"/>
                <w:sz w:val="24"/>
                <w:szCs w:val="24"/>
                <w:highlight w:val="none"/>
                <w:lang w:val="en-US" w:eastAsia="zh-CN"/>
              </w:rPr>
              <w:t>其中，</w:t>
            </w:r>
            <w:r>
              <w:rPr>
                <w:rFonts w:hint="eastAsia" w:ascii="Times New Roman" w:hAnsi="Times New Roman" w:eastAsia="方正仿宋_GBK" w:cs="Times New Roman"/>
                <w:color w:val="auto"/>
                <w:sz w:val="24"/>
                <w:szCs w:val="24"/>
                <w:highlight w:val="none"/>
                <w:lang w:val="en-US" w:eastAsia="zh-CN"/>
              </w:rPr>
              <w:t>淮海战役碾庄圩战斗纪念馆7名、李超时纪念馆1名、石山烈士陵园2名。</w:t>
            </w:r>
          </w:p>
        </w:tc>
      </w:tr>
      <w:tr w14:paraId="2F42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9" w:hRule="atLeast"/>
        </w:trPr>
        <w:tc>
          <w:tcPr>
            <w:tcW w:w="1630" w:type="pct"/>
            <w:gridSpan w:val="2"/>
            <w:vAlign w:val="center"/>
          </w:tcPr>
          <w:p w14:paraId="6347579E">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rPr>
            </w:pPr>
            <w:r>
              <w:rPr>
                <w:rFonts w:hint="eastAsia"/>
                <w:color w:val="auto"/>
                <w:sz w:val="22"/>
                <w:szCs w:val="22"/>
                <w:highlight w:val="none"/>
              </w:rPr>
              <w:t>合计</w:t>
            </w:r>
          </w:p>
        </w:tc>
        <w:tc>
          <w:tcPr>
            <w:tcW w:w="821" w:type="pct"/>
            <w:vAlign w:val="center"/>
          </w:tcPr>
          <w:p w14:paraId="43E7B6F1">
            <w:pPr>
              <w:keepNext w:val="0"/>
              <w:keepLines w:val="0"/>
              <w:pageBreakBefore w:val="0"/>
              <w:widowControl w:val="0"/>
              <w:kinsoku/>
              <w:wordWrap/>
              <w:overflowPunct/>
              <w:topLinePunct w:val="0"/>
              <w:autoSpaceDE/>
              <w:autoSpaceDN/>
              <w:bidi w:val="0"/>
              <w:adjustRightInd/>
              <w:snapToGrid/>
              <w:spacing w:line="360" w:lineRule="exact"/>
              <w:ind w:firstLineChars="0"/>
              <w:jc w:val="center"/>
              <w:textAlignment w:val="auto"/>
              <w:rPr>
                <w:rFonts w:hint="eastAsia"/>
                <w:color w:val="auto"/>
                <w:sz w:val="22"/>
                <w:szCs w:val="22"/>
                <w:highlight w:val="none"/>
                <w:lang w:val="en-US" w:eastAsia="zh-CN"/>
              </w:rPr>
            </w:pPr>
            <w:r>
              <w:rPr>
                <w:rFonts w:hint="eastAsia"/>
                <w:color w:val="auto"/>
                <w:sz w:val="22"/>
                <w:szCs w:val="22"/>
                <w:highlight w:val="none"/>
                <w:lang w:val="en-US" w:eastAsia="zh-CN"/>
              </w:rPr>
              <w:t>23</w:t>
            </w:r>
          </w:p>
        </w:tc>
        <w:tc>
          <w:tcPr>
            <w:tcW w:w="2547" w:type="pct"/>
            <w:vAlign w:val="center"/>
          </w:tcPr>
          <w:p w14:paraId="4F2E56AC">
            <w:pPr>
              <w:keepNext w:val="0"/>
              <w:keepLines w:val="0"/>
              <w:pageBreakBefore w:val="0"/>
              <w:widowControl w:val="0"/>
              <w:kinsoku/>
              <w:wordWrap/>
              <w:overflowPunct/>
              <w:topLinePunct w:val="0"/>
              <w:autoSpaceDE/>
              <w:autoSpaceDN/>
              <w:bidi w:val="0"/>
              <w:adjustRightInd/>
              <w:snapToGrid/>
              <w:spacing w:line="360" w:lineRule="exact"/>
              <w:ind w:left="105" w:leftChars="50" w:right="105" w:rightChars="50" w:firstLineChars="0"/>
              <w:jc w:val="left"/>
              <w:textAlignment w:val="auto"/>
              <w:rPr>
                <w:rFonts w:hint="eastAsia"/>
                <w:color w:val="auto"/>
                <w:sz w:val="22"/>
                <w:szCs w:val="22"/>
                <w:highlight w:val="none"/>
              </w:rPr>
            </w:pPr>
          </w:p>
        </w:tc>
      </w:tr>
    </w:tbl>
    <w:p w14:paraId="53146D14">
      <w:pPr>
        <w:spacing w:before="32" w:line="213"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注： 1.供应商应当按国家相关法律法规，合理确定服务人员工资标准、工作时间等。供应商应当自行为服务人员办理必需的保险，有关人员伤亡及第三者责任险均应当考虑在报价因素中。</w:t>
      </w:r>
    </w:p>
    <w:p w14:paraId="72D267D5">
      <w:pPr>
        <w:spacing w:before="32" w:line="213"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CN"/>
        </w:rPr>
        <w:t>验收后</w:t>
      </w:r>
      <w:r>
        <w:rPr>
          <w:rFonts w:hint="eastAsia" w:ascii="宋体" w:hAnsi="宋体" w:eastAsia="宋体" w:cs="宋体"/>
          <w:color w:val="auto"/>
          <w:spacing w:val="0"/>
          <w:sz w:val="24"/>
          <w:szCs w:val="24"/>
          <w:highlight w:val="none"/>
          <w:lang w:val="en-US" w:eastAsia="zh-CN"/>
        </w:rPr>
        <w:t>项目经理</w:t>
      </w:r>
      <w:r>
        <w:rPr>
          <w:rFonts w:hint="eastAsia" w:ascii="宋体" w:hAnsi="宋体" w:eastAsia="宋体" w:cs="宋体"/>
          <w:color w:val="auto"/>
          <w:spacing w:val="0"/>
          <w:sz w:val="24"/>
          <w:szCs w:val="24"/>
          <w:highlight w:val="none"/>
          <w:lang w:val="zh-CN" w:eastAsia="zh-CN"/>
        </w:rPr>
        <w:t>必须</w:t>
      </w:r>
      <w:r>
        <w:rPr>
          <w:rFonts w:hint="eastAsia" w:ascii="宋体" w:hAnsi="宋体" w:eastAsia="宋体" w:cs="宋体"/>
          <w:color w:val="auto"/>
          <w:spacing w:val="0"/>
          <w:sz w:val="24"/>
          <w:szCs w:val="24"/>
          <w:highlight w:val="none"/>
          <w:lang w:val="en-US" w:eastAsia="zh-CN"/>
        </w:rPr>
        <w:t>长期在本项目工作，如因故无法长期在本项目工作，需在甲方允许的情况下，更换同等资历工作人员，且需支付5万元/人违约金。</w:t>
      </w:r>
    </w:p>
    <w:p w14:paraId="3AD8A34E">
      <w:pPr>
        <w:pStyle w:val="15"/>
        <w:spacing w:before="72" w:line="24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说明：上表中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人员数量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为不允许负偏离的实质性要求和条件，如有偏离，在符合性审查时按照响应无效处理。</w:t>
      </w:r>
    </w:p>
    <w:p w14:paraId="4768C1B8">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（二）投标文件要求</w:t>
      </w:r>
    </w:p>
    <w:p w14:paraId="056D22EA">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1.投标文件中提供《物业管理服务人员方案》文件。</w:t>
      </w:r>
    </w:p>
    <w:p w14:paraId="252BB143">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2.《物业管理服务人员方案》对照“（一）物业管理服务人员具体需求”编制。包含但不限于组织机构设置方案、人员配备具体方案。</w:t>
      </w:r>
    </w:p>
    <w:p w14:paraId="472479FE">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组织机构设置方案包含但不限于:</w:t>
      </w:r>
    </w:p>
    <w:p w14:paraId="71BB3573">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的职责和工作流程。</w:t>
      </w:r>
    </w:p>
    <w:p w14:paraId="66E100D7">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水电工</w:t>
      </w:r>
      <w:r>
        <w:rPr>
          <w:rFonts w:hint="eastAsia" w:ascii="宋体" w:hAnsi="宋体" w:eastAsia="宋体" w:cs="宋体"/>
          <w:color w:val="auto"/>
          <w:sz w:val="24"/>
          <w:szCs w:val="24"/>
          <w:highlight w:val="none"/>
        </w:rPr>
        <w:t>的职责和工作流程。</w:t>
      </w:r>
    </w:p>
    <w:p w14:paraId="21990D52">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保安人员</w:t>
      </w:r>
      <w:r>
        <w:rPr>
          <w:rFonts w:hint="eastAsia" w:ascii="宋体" w:hAnsi="宋体" w:eastAsia="宋体" w:cs="宋体"/>
          <w:color w:val="auto"/>
          <w:sz w:val="24"/>
          <w:szCs w:val="24"/>
          <w:highlight w:val="none"/>
        </w:rPr>
        <w:t>的职责和工作流程。</w:t>
      </w:r>
    </w:p>
    <w:p w14:paraId="61273E8E">
      <w:pPr>
        <w:pStyle w:val="45"/>
        <w:spacing w:line="240" w:lineRule="auto"/>
        <w:ind w:firstLine="480" w:firstLineChars="200"/>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④</w:t>
      </w:r>
      <w:r>
        <w:rPr>
          <w:rFonts w:hint="eastAsia" w:ascii="宋体" w:hAnsi="宋体" w:eastAsia="宋体" w:cs="宋体"/>
          <w:color w:val="auto"/>
          <w:sz w:val="24"/>
          <w:szCs w:val="24"/>
          <w:highlight w:val="none"/>
          <w:lang w:val="en-US" w:eastAsia="zh-CN"/>
        </w:rPr>
        <w:t>保洁人员职责和工作流程。</w:t>
      </w:r>
    </w:p>
    <w:p w14:paraId="0DD19C27">
      <w:pPr>
        <w:keepNext w:val="0"/>
        <w:keepLines w:val="0"/>
        <w:pageBreakBefore w:val="0"/>
        <w:widowControl/>
        <w:spacing w:line="24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人员配备具体方案包含但不限于按照岗位配备人员，详细描述各岗位职责。</w:t>
      </w:r>
    </w:p>
    <w:p w14:paraId="0ADD08A6">
      <w:pPr>
        <w:keepNext w:val="0"/>
        <w:keepLines w:val="0"/>
        <w:pageBreakBefore w:val="0"/>
        <w:widowControl/>
        <w:tabs>
          <w:tab w:val="left" w:pos="0"/>
        </w:tabs>
        <w:spacing w:before="0" w:after="0"/>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六、服务期限：自合同签订生效之日起3年。</w:t>
      </w:r>
    </w:p>
    <w:p w14:paraId="1AB32D16">
      <w:pPr>
        <w:keepNext w:val="0"/>
        <w:keepLines w:val="0"/>
        <w:pageBreakBefore w:val="0"/>
        <w:widowControl/>
        <w:tabs>
          <w:tab w:val="left" w:pos="0"/>
        </w:tabs>
        <w:spacing w:before="0" w:after="0"/>
        <w:ind w:firstLine="484"/>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七、付款方式:见招标文件第五章《拟签订的合同文本》中“第六条 物业管理服务费用”。</w:t>
      </w:r>
    </w:p>
    <w:p w14:paraId="395F8F00">
      <w:pPr>
        <w:pStyle w:val="211"/>
        <w:spacing w:line="240" w:lineRule="auto"/>
        <w:ind w:left="0" w:right="-107" w:firstLine="482" w:firstLineChars="200"/>
        <w:jc w:val="both"/>
        <w:rPr>
          <w:rFonts w:hint="eastAsia" w:ascii="宋体" w:hAnsi="宋体" w:eastAsia="宋体" w:cs="宋体"/>
          <w:b/>
          <w:color w:val="auto"/>
          <w:sz w:val="24"/>
          <w:szCs w:val="24"/>
          <w:highlight w:val="none"/>
          <w:lang w:val="en-US" w:bidi="ar-SA"/>
        </w:rPr>
      </w:pPr>
      <w:r>
        <w:rPr>
          <w:rFonts w:hint="eastAsia" w:ascii="宋体" w:hAnsi="宋体" w:eastAsia="宋体" w:cs="宋体"/>
          <w:b/>
          <w:color w:val="auto"/>
          <w:sz w:val="24"/>
          <w:szCs w:val="24"/>
          <w:highlight w:val="none"/>
          <w:lang w:val="en-US" w:bidi="ar-SA"/>
        </w:rPr>
        <w:t>说明：本“付款方式”为不允许偏离的实质性要求和条件，如有偏离，在符合性审查时按照响应无效处理。</w:t>
      </w:r>
    </w:p>
    <w:p w14:paraId="26C34182">
      <w:pPr>
        <w:keepNext w:val="0"/>
        <w:keepLines w:val="0"/>
        <w:pageBreakBefore w:val="0"/>
        <w:widowControl/>
        <w:tabs>
          <w:tab w:val="left" w:pos="0"/>
        </w:tabs>
        <w:spacing w:before="0" w:after="0"/>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八</w:t>
      </w:r>
      <w:r>
        <w:rPr>
          <w:rFonts w:hint="eastAsia" w:ascii="宋体" w:hAnsi="宋体" w:eastAsia="宋体" w:cs="宋体"/>
          <w:b w:val="0"/>
          <w:bCs w:val="0"/>
          <w:color w:val="auto"/>
          <w:sz w:val="24"/>
          <w:highlight w:val="none"/>
          <w:lang w:val="en-US" w:eastAsia="zh-CN"/>
        </w:rPr>
        <w:t>、投标报价的相关说明</w:t>
      </w:r>
    </w:p>
    <w:p w14:paraId="2F44DE6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不接受超过</w:t>
      </w:r>
      <w:r>
        <w:rPr>
          <w:rFonts w:hint="eastAsia" w:ascii="宋体" w:hAnsi="宋体" w:eastAsia="宋体" w:cs="宋体"/>
          <w:bCs/>
          <w:color w:val="auto"/>
          <w:sz w:val="24"/>
          <w:szCs w:val="24"/>
          <w:highlight w:val="none"/>
          <w:lang w:val="en-US" w:eastAsia="zh-CN"/>
        </w:rPr>
        <w:t>227.88</w:t>
      </w:r>
      <w:r>
        <w:rPr>
          <w:rFonts w:hint="eastAsia" w:ascii="宋体" w:hAnsi="宋体" w:eastAsia="宋体" w:cs="宋体"/>
          <w:bCs/>
          <w:color w:val="auto"/>
          <w:sz w:val="24"/>
          <w:szCs w:val="24"/>
          <w:highlight w:val="none"/>
        </w:rPr>
        <w:t>万元人民币（采购项目预算金额）</w:t>
      </w:r>
      <w:r>
        <w:rPr>
          <w:rFonts w:hint="eastAsia" w:ascii="宋体" w:hAnsi="宋体" w:eastAsia="宋体" w:cs="宋体"/>
          <w:color w:val="auto"/>
          <w:sz w:val="24"/>
          <w:szCs w:val="24"/>
          <w:highlight w:val="none"/>
        </w:rPr>
        <w:t>的投标报价。</w:t>
      </w:r>
    </w:p>
    <w:p w14:paraId="3887F698">
      <w:pPr>
        <w:spacing w:line="24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报价不得违反</w:t>
      </w:r>
      <w:r>
        <w:rPr>
          <w:rFonts w:hint="eastAsia" w:ascii="宋体" w:hAnsi="宋体" w:eastAsia="宋体" w:cs="宋体"/>
          <w:bCs/>
          <w:color w:val="auto"/>
          <w:sz w:val="24"/>
          <w:szCs w:val="24"/>
          <w:highlight w:val="none"/>
          <w:lang w:val="en-US" w:eastAsia="zh-CN"/>
        </w:rPr>
        <w:t>邳州市</w:t>
      </w:r>
      <w:r>
        <w:rPr>
          <w:rFonts w:hint="eastAsia" w:ascii="宋体" w:hAnsi="宋体" w:eastAsia="宋体" w:cs="宋体"/>
          <w:bCs/>
          <w:color w:val="auto"/>
          <w:sz w:val="24"/>
          <w:szCs w:val="24"/>
          <w:highlight w:val="none"/>
        </w:rPr>
        <w:t>关于最低工资标准的相关规定和社会保险基数的相关规定。</w:t>
      </w:r>
      <w:r>
        <w:rPr>
          <w:rFonts w:hint="eastAsia" w:ascii="宋体" w:hAnsi="宋体" w:eastAsia="宋体" w:cs="宋体"/>
          <w:color w:val="auto"/>
          <w:sz w:val="24"/>
          <w:szCs w:val="24"/>
          <w:highlight w:val="none"/>
        </w:rPr>
        <w:t>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14:paraId="72D071B9">
      <w:pPr>
        <w:spacing w:line="240" w:lineRule="auto"/>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报价须充分考虑服务期限（合同期限）</w:t>
      </w:r>
      <w:r>
        <w:rPr>
          <w:rFonts w:hint="eastAsia" w:ascii="宋体" w:hAnsi="宋体" w:eastAsia="宋体" w:cs="宋体"/>
          <w:bCs/>
          <w:color w:val="auto"/>
          <w:sz w:val="24"/>
          <w:szCs w:val="24"/>
          <w:highlight w:val="none"/>
        </w:rPr>
        <w:t>内最低工资标准调整因素和社会保险基数调整因素。</w:t>
      </w:r>
    </w:p>
    <w:p w14:paraId="5E815F35">
      <w:pPr>
        <w:spacing w:line="24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报价需充分考虑</w:t>
      </w:r>
      <w:r>
        <w:rPr>
          <w:rFonts w:hint="eastAsia" w:ascii="宋体" w:hAnsi="宋体" w:eastAsia="宋体" w:cs="宋体"/>
          <w:color w:val="auto"/>
          <w:sz w:val="24"/>
          <w:szCs w:val="24"/>
          <w:highlight w:val="none"/>
        </w:rPr>
        <w:t>服务期限（合同期限）</w:t>
      </w:r>
      <w:r>
        <w:rPr>
          <w:rFonts w:hint="eastAsia" w:ascii="宋体" w:hAnsi="宋体" w:eastAsia="宋体" w:cs="宋体"/>
          <w:bCs/>
          <w:color w:val="auto"/>
          <w:sz w:val="24"/>
          <w:szCs w:val="24"/>
          <w:highlight w:val="none"/>
        </w:rPr>
        <w:t>内的市场因素和成本变化状况的风险。</w:t>
      </w:r>
    </w:p>
    <w:p w14:paraId="78530B22">
      <w:pPr>
        <w:spacing w:line="24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采购人不支付投标报价以外的任何费用。</w:t>
      </w:r>
    </w:p>
    <w:p w14:paraId="07948BA6">
      <w:pPr>
        <w:tabs>
          <w:tab w:val="left" w:pos="0"/>
          <w:tab w:val="left" w:pos="284"/>
        </w:tabs>
        <w:spacing w:line="24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六</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报价在合同执行过程中是固定的，不得以任何理由予以变更。</w:t>
      </w:r>
    </w:p>
    <w:p w14:paraId="231A2109">
      <w:pPr>
        <w:pStyle w:val="45"/>
        <w:spacing w:line="24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说明：本“投标报价的相关说明”为不允许偏离的实质性要求和条件，如有偏离，在符合性审查时按照响应无效处理。</w:t>
      </w:r>
    </w:p>
    <w:p w14:paraId="017B750F">
      <w:pPr>
        <w:ind w:firstLine="480" w:firstLineChars="200"/>
        <w:rPr>
          <w:rFonts w:hint="eastAsia"/>
          <w:color w:val="auto"/>
          <w:highlight w:val="none"/>
        </w:rPr>
      </w:pPr>
      <w:r>
        <w:rPr>
          <w:rFonts w:hint="eastAsia" w:ascii="宋体" w:hAnsi="宋体" w:eastAsia="宋体" w:cs="宋体"/>
          <w:b w:val="0"/>
          <w:bCs w:val="0"/>
          <w:color w:val="auto"/>
          <w:sz w:val="24"/>
          <w:highlight w:val="none"/>
          <w:lang w:val="en-US" w:eastAsia="zh-CN"/>
        </w:rPr>
        <w:t>九</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其他要求：见招标文件第五章《拟签订的合同文本》。</w:t>
      </w:r>
    </w:p>
    <w:p w14:paraId="4ABE16C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41AE1D8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121BF75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161523C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04529BF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2F676CF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5D1EDD1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3EE818A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6249339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558EE69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61DA695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31C349F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4F03E4F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1EE2FD6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2898C95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265E9DE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00B920A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269ABEB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519BE18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3DEE7EE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4B909F2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6EA6DCE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5B344DC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66D4CC0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7594359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3D95F93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273C9E0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7DC5866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color w:val="auto"/>
          <w:sz w:val="24"/>
          <w:szCs w:val="24"/>
          <w:highlight w:val="none"/>
          <w:lang w:val="en-US" w:eastAsia="zh-CN" w:bidi="ar-SA"/>
        </w:rPr>
      </w:pPr>
    </w:p>
    <w:p w14:paraId="772925A5">
      <w:pPr>
        <w:rPr>
          <w:color w:val="auto"/>
          <w:highlight w:val="none"/>
        </w:rPr>
      </w:pPr>
    </w:p>
    <w:p w14:paraId="2A6B25E4">
      <w:pPr>
        <w:rPr>
          <w:rFonts w:hint="eastAsia"/>
          <w:color w:val="auto"/>
          <w:highlight w:val="none"/>
          <w:lang w:val="en-US" w:eastAsia="zh-CN"/>
        </w:rPr>
      </w:pPr>
    </w:p>
    <w:p w14:paraId="00FAB6C2">
      <w:pPr>
        <w:pStyle w:val="2"/>
        <w:keepNext/>
        <w:keepLines/>
        <w:pageBreakBefore w:val="0"/>
        <w:widowControl w:val="0"/>
        <w:spacing w:line="240" w:lineRule="atLeast"/>
        <w:jc w:val="center"/>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第七章  投标文件相关格式</w:t>
      </w:r>
    </w:p>
    <w:p w14:paraId="5EC1C9F2">
      <w:pPr>
        <w:jc w:val="center"/>
        <w:rPr>
          <w:rFonts w:ascii="仿宋" w:hAnsi="仿宋" w:eastAsia="仿宋" w:cs="仿宋"/>
          <w:color w:val="auto"/>
          <w:sz w:val="32"/>
          <w:szCs w:val="32"/>
          <w:highlight w:val="none"/>
        </w:rPr>
      </w:pPr>
    </w:p>
    <w:p w14:paraId="61158929">
      <w:pPr>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目录</w:t>
      </w:r>
    </w:p>
    <w:p w14:paraId="6DF639E7">
      <w:pPr>
        <w:rPr>
          <w:rFonts w:ascii="仿宋" w:hAnsi="仿宋" w:eastAsia="仿宋" w:cs="仿宋"/>
          <w:color w:val="auto"/>
          <w:sz w:val="32"/>
          <w:szCs w:val="32"/>
          <w:highlight w:val="none"/>
        </w:rPr>
      </w:pPr>
    </w:p>
    <w:p w14:paraId="06288970">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1. 投标函</w:t>
      </w:r>
    </w:p>
    <w:p w14:paraId="36E2512A">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2. 开标一览表</w:t>
      </w:r>
    </w:p>
    <w:p w14:paraId="7C62FF9E">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3．分项价格表</w:t>
      </w:r>
    </w:p>
    <w:p w14:paraId="04E9352D">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偏离表</w:t>
      </w:r>
    </w:p>
    <w:p w14:paraId="702E755B">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 授权委托书</w:t>
      </w:r>
    </w:p>
    <w:p w14:paraId="370A7823">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 中小企业声明函</w:t>
      </w:r>
    </w:p>
    <w:p w14:paraId="18921D57">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7</w:t>
      </w:r>
      <w:r>
        <w:rPr>
          <w:rFonts w:hint="eastAsia" w:ascii="仿宋" w:hAnsi="仿宋" w:eastAsia="仿宋" w:cs="仿宋"/>
          <w:color w:val="auto"/>
          <w:sz w:val="32"/>
          <w:szCs w:val="32"/>
          <w:highlight w:val="none"/>
        </w:rPr>
        <w:t>. 投标人参加政府采购活动前3年内在经营活动中没有重大违法记录的书面声明</w:t>
      </w:r>
    </w:p>
    <w:p w14:paraId="6CFC47F4">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8</w:t>
      </w:r>
      <w:r>
        <w:rPr>
          <w:rFonts w:hint="eastAsia" w:ascii="仿宋" w:hAnsi="仿宋" w:eastAsia="仿宋" w:cs="仿宋"/>
          <w:color w:val="auto"/>
          <w:sz w:val="32"/>
          <w:szCs w:val="32"/>
          <w:highlight w:val="none"/>
        </w:rPr>
        <w:t>. 残疾人福利性单位声明函</w:t>
      </w:r>
    </w:p>
    <w:p w14:paraId="1DA98E87">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bCs/>
          <w:color w:val="auto"/>
          <w:sz w:val="32"/>
          <w:szCs w:val="32"/>
          <w:highlight w:val="none"/>
        </w:rPr>
      </w:pPr>
      <w:r>
        <w:rPr>
          <w:rFonts w:hint="eastAsia" w:ascii="仿宋" w:hAnsi="仿宋" w:eastAsia="仿宋" w:cs="仿宋"/>
          <w:color w:val="auto"/>
          <w:sz w:val="32"/>
          <w:szCs w:val="32"/>
          <w:highlight w:val="none"/>
          <w:lang w:val="en-US" w:eastAsia="zh-CN"/>
        </w:rPr>
        <w:t>9</w:t>
      </w: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32"/>
          <w:szCs w:val="32"/>
          <w:highlight w:val="none"/>
        </w:rPr>
        <w:t>具备履行合同所必需的设备和专业技术能力的书面声明（附证明材料的扫描件）</w:t>
      </w:r>
    </w:p>
    <w:p w14:paraId="57B3AEFD">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10</w:t>
      </w:r>
      <w:r>
        <w:rPr>
          <w:rFonts w:hint="eastAsia" w:ascii="仿宋" w:hAnsi="仿宋" w:eastAsia="仿宋" w:cs="仿宋"/>
          <w:color w:val="auto"/>
          <w:sz w:val="32"/>
          <w:szCs w:val="32"/>
          <w:highlight w:val="none"/>
        </w:rPr>
        <w:t>.投标人相关承诺</w:t>
      </w:r>
    </w:p>
    <w:p w14:paraId="0FEF13E4">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.投标人书面声明</w:t>
      </w:r>
    </w:p>
    <w:p w14:paraId="67438B9E">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t>.采购需求符合性条件响应表</w:t>
      </w:r>
    </w:p>
    <w:p w14:paraId="0FC12659">
      <w:pPr>
        <w:pStyle w:val="45"/>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仿宋"/>
          <w:color w:val="auto"/>
          <w:sz w:val="32"/>
          <w:szCs w:val="32"/>
          <w:highlight w:val="none"/>
        </w:rPr>
      </w:pPr>
    </w:p>
    <w:p w14:paraId="2E6EA11F">
      <w:pPr>
        <w:rPr>
          <w:rFonts w:ascii="仿宋" w:hAnsi="仿宋" w:eastAsia="仿宋" w:cs="仿宋"/>
          <w:color w:val="auto"/>
          <w:sz w:val="32"/>
          <w:szCs w:val="32"/>
          <w:highlight w:val="none"/>
        </w:rPr>
      </w:pPr>
    </w:p>
    <w:p w14:paraId="0DBC862B">
      <w:pPr>
        <w:pStyle w:val="45"/>
        <w:rPr>
          <w:rFonts w:ascii="仿宋" w:hAnsi="仿宋" w:eastAsia="仿宋" w:cs="仿宋"/>
          <w:color w:val="auto"/>
          <w:sz w:val="32"/>
          <w:szCs w:val="32"/>
          <w:highlight w:val="none"/>
        </w:rPr>
      </w:pPr>
    </w:p>
    <w:p w14:paraId="54E8713D">
      <w:pPr>
        <w:rPr>
          <w:rFonts w:ascii="仿宋" w:hAnsi="仿宋" w:eastAsia="仿宋" w:cs="仿宋"/>
          <w:color w:val="auto"/>
          <w:sz w:val="32"/>
          <w:szCs w:val="32"/>
          <w:highlight w:val="none"/>
        </w:rPr>
      </w:pPr>
    </w:p>
    <w:p w14:paraId="6597E40F">
      <w:pPr>
        <w:pStyle w:val="45"/>
        <w:rPr>
          <w:rFonts w:ascii="仿宋" w:hAnsi="仿宋" w:eastAsia="仿宋" w:cs="仿宋"/>
          <w:color w:val="auto"/>
          <w:sz w:val="32"/>
          <w:szCs w:val="32"/>
          <w:highlight w:val="none"/>
        </w:rPr>
      </w:pPr>
    </w:p>
    <w:p w14:paraId="7D08C60D">
      <w:pPr>
        <w:rPr>
          <w:rFonts w:ascii="仿宋" w:hAnsi="仿宋" w:eastAsia="仿宋" w:cs="仿宋"/>
          <w:color w:val="auto"/>
          <w:sz w:val="32"/>
          <w:szCs w:val="32"/>
          <w:highlight w:val="none"/>
        </w:rPr>
      </w:pPr>
    </w:p>
    <w:p w14:paraId="0640D502">
      <w:pPr>
        <w:pStyle w:val="45"/>
        <w:rPr>
          <w:color w:val="auto"/>
          <w:highlight w:val="none"/>
        </w:rPr>
      </w:pPr>
    </w:p>
    <w:p w14:paraId="3FC3EB1B">
      <w:pPr>
        <w:jc w:val="center"/>
        <w:rPr>
          <w:rFonts w:hint="eastAsia" w:ascii="仿宋" w:hAnsi="仿宋" w:eastAsia="仿宋" w:cs="仿宋"/>
          <w:color w:val="auto"/>
          <w:sz w:val="24"/>
          <w:szCs w:val="24"/>
          <w:highlight w:val="none"/>
        </w:rPr>
      </w:pPr>
    </w:p>
    <w:p w14:paraId="50ADD029">
      <w:pPr>
        <w:widowControl/>
        <w:jc w:val="center"/>
        <w:outlineLvl w:val="2"/>
        <w:rPr>
          <w:rFonts w:hint="eastAsia" w:ascii="仿宋" w:hAnsi="仿宋" w:eastAsia="仿宋"/>
          <w:color w:val="auto"/>
          <w:sz w:val="24"/>
          <w:highlight w:val="none"/>
        </w:rPr>
      </w:pPr>
      <w:r>
        <w:rPr>
          <w:rFonts w:hint="eastAsia" w:ascii="仿宋" w:hAnsi="仿宋" w:eastAsia="仿宋"/>
          <w:color w:val="auto"/>
          <w:sz w:val="24"/>
          <w:highlight w:val="none"/>
        </w:rPr>
        <w:t>1. 投标函</w:t>
      </w:r>
    </w:p>
    <w:p w14:paraId="0562C664">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邳州市公共资源交易中心</w:t>
      </w:r>
    </w:p>
    <w:p w14:paraId="5AD40DCA">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纪念场馆及烈士陵园物业安保服务项目</w:t>
      </w:r>
      <w:r>
        <w:rPr>
          <w:rFonts w:hint="eastAsia" w:ascii="仿宋" w:hAnsi="仿宋" w:eastAsia="仿宋" w:cs="仿宋"/>
          <w:color w:val="auto"/>
          <w:sz w:val="24"/>
          <w:highlight w:val="none"/>
        </w:rPr>
        <w:t>项目[项目编号：</w:t>
      </w:r>
      <w:r>
        <w:rPr>
          <w:rFonts w:hint="eastAsia" w:ascii="仿宋" w:hAnsi="仿宋" w:eastAsia="仿宋" w:cs="仿宋"/>
          <w:color w:val="auto"/>
          <w:sz w:val="24"/>
          <w:highlight w:val="none"/>
          <w:u w:val="single"/>
          <w:lang w:eastAsia="zh-CN"/>
        </w:rPr>
        <w:t>JSZC-320382-PZZC-G2026-0005</w:t>
      </w:r>
      <w:r>
        <w:rPr>
          <w:rFonts w:hint="eastAsia" w:ascii="仿宋" w:hAnsi="仿宋" w:eastAsia="仿宋" w:cs="仿宋"/>
          <w:color w:val="auto"/>
          <w:sz w:val="24"/>
          <w:highlight w:val="none"/>
        </w:rPr>
        <w:t xml:space="preserve">]招标文件，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(姓名)代表我方______________（投标人的名称）全权处理本次投标的有关事宜。</w:t>
      </w:r>
    </w:p>
    <w:p w14:paraId="70C0AB07">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据此函，投标人承诺并同意如下： </w:t>
      </w:r>
    </w:p>
    <w:p w14:paraId="0EA6DC32">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 本项目由投标人本企业提供服务，投标人唯一投标报价见《开标一览表》。</w:t>
      </w:r>
    </w:p>
    <w:p w14:paraId="1EED29E6">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 投标人将按招标文件的规定履行合同责任和义务。</w:t>
      </w:r>
    </w:p>
    <w:p w14:paraId="26761D1B">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 投标人已详细审查全部招标文件，包括第[插入编号] [补遗书][如果有的话]。投标人完全理解并同意放弃对这方面有不明及误解的权力。</w:t>
      </w:r>
    </w:p>
    <w:p w14:paraId="1950556E">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 投标有效期为90天。</w:t>
      </w:r>
    </w:p>
    <w:p w14:paraId="0963B0A8">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5. 投标人同意提供按照贵方可能要求的与其投标有关的一切数据或资料，完全理解贵方不一定接受最低价的投标或收到的任何投标。</w:t>
      </w:r>
    </w:p>
    <w:p w14:paraId="712FC38E">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6.招标文件中关于“投标文件的密封要求”的规定由</w:t>
      </w:r>
      <w:r>
        <w:rPr>
          <w:rFonts w:hint="eastAsia" w:ascii="仿宋" w:hAnsi="仿宋" w:eastAsia="仿宋" w:cs="仿宋"/>
          <w:color w:val="auto"/>
          <w:sz w:val="24"/>
          <w:highlight w:val="none"/>
          <w:lang w:val="en-US" w:eastAsia="zh-CN"/>
        </w:rPr>
        <w:t>邳州市公共资源交易中心</w:t>
      </w:r>
      <w:r>
        <w:rPr>
          <w:rFonts w:hint="eastAsia" w:ascii="仿宋" w:hAnsi="仿宋" w:eastAsia="仿宋" w:cs="仿宋"/>
          <w:color w:val="auto"/>
          <w:sz w:val="24"/>
          <w:highlight w:val="none"/>
        </w:rPr>
        <w:t>解释，投标人完全理解招标文件中关于“投标文件的密封要求”的规定。</w:t>
      </w:r>
    </w:p>
    <w:p w14:paraId="45417EFB">
      <w:pPr>
        <w:spacing w:line="400" w:lineRule="exact"/>
        <w:ind w:right="29"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 </w:t>
      </w:r>
      <w:r>
        <w:rPr>
          <w:rFonts w:hint="eastAsia" w:ascii="仿宋" w:hAnsi="仿宋" w:eastAsia="仿宋" w:cs="仿宋"/>
          <w:color w:val="auto"/>
          <w:sz w:val="24"/>
          <w:highlight w:val="none"/>
          <w:lang w:val="en-US" w:eastAsia="zh-CN"/>
        </w:rPr>
        <w:t>邳州市公共资源交易中心</w:t>
      </w:r>
      <w:r>
        <w:rPr>
          <w:rFonts w:hint="eastAsia" w:ascii="仿宋" w:hAnsi="仿宋" w:eastAsia="仿宋" w:cs="仿宋"/>
          <w:color w:val="auto"/>
          <w:sz w:val="24"/>
          <w:highlight w:val="none"/>
        </w:rPr>
        <w:t>有权将我单位本项目投标文件中的《开标一览表》予以公示，公示的方式由</w:t>
      </w:r>
      <w:r>
        <w:rPr>
          <w:rFonts w:hint="eastAsia" w:ascii="仿宋" w:hAnsi="仿宋" w:eastAsia="仿宋" w:cs="仿宋"/>
          <w:color w:val="auto"/>
          <w:sz w:val="24"/>
          <w:highlight w:val="none"/>
          <w:lang w:val="en-US" w:eastAsia="zh-CN"/>
        </w:rPr>
        <w:t>邳州市公共资源交易中心</w:t>
      </w:r>
      <w:r>
        <w:rPr>
          <w:rFonts w:hint="eastAsia" w:ascii="仿宋" w:hAnsi="仿宋" w:eastAsia="仿宋" w:cs="仿宋"/>
          <w:color w:val="auto"/>
          <w:sz w:val="24"/>
          <w:highlight w:val="none"/>
        </w:rPr>
        <w:t>确定。如我单位被确定为中标、成交供应商，</w:t>
      </w:r>
      <w:r>
        <w:rPr>
          <w:rFonts w:hint="eastAsia" w:ascii="仿宋" w:hAnsi="仿宋" w:eastAsia="仿宋" w:cs="仿宋"/>
          <w:color w:val="auto"/>
          <w:sz w:val="24"/>
          <w:highlight w:val="none"/>
          <w:lang w:val="en-US" w:eastAsia="zh-CN"/>
        </w:rPr>
        <w:t>邳州市公共资源交易中心</w:t>
      </w:r>
      <w:r>
        <w:rPr>
          <w:rFonts w:hint="eastAsia" w:ascii="仿宋" w:hAnsi="仿宋" w:eastAsia="仿宋" w:cs="仿宋"/>
          <w:color w:val="auto"/>
          <w:sz w:val="24"/>
          <w:highlight w:val="none"/>
        </w:rPr>
        <w:t>有权将我单位本项目投标文件中的《中小企业声明函》（如有）和《残疾人福利性单位声明函》（如有）作为《中标（成交）结果公告》的附件予以公告。</w:t>
      </w:r>
    </w:p>
    <w:p w14:paraId="0F1AEE6D">
      <w:pPr>
        <w:spacing w:line="400" w:lineRule="exact"/>
        <w:ind w:right="29" w:firstLine="480"/>
        <w:rPr>
          <w:rFonts w:ascii="仿宋" w:hAnsi="仿宋" w:eastAsia="仿宋" w:cs="仿宋"/>
          <w:color w:val="auto"/>
          <w:sz w:val="24"/>
          <w:highlight w:val="none"/>
        </w:rPr>
      </w:pPr>
      <w:r>
        <w:rPr>
          <w:rFonts w:hint="eastAsia" w:ascii="仿宋" w:hAnsi="仿宋" w:eastAsia="仿宋" w:cs="仿宋"/>
          <w:color w:val="auto"/>
          <w:sz w:val="24"/>
          <w:highlight w:val="none"/>
        </w:rPr>
        <w:t>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0474114A">
      <w:pPr>
        <w:spacing w:line="4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9. 与本投标有关的一切正式往来信函请寄：</w:t>
      </w:r>
    </w:p>
    <w:p w14:paraId="154D9D8B">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p>
    <w:p w14:paraId="2AF9D3BD">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手机号码： </w:t>
      </w:r>
    </w:p>
    <w:p w14:paraId="7AC6FD98">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 </w:t>
      </w:r>
    </w:p>
    <w:p w14:paraId="306B8335">
      <w:pPr>
        <w:spacing w:line="400" w:lineRule="exact"/>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180328C">
      <w:pPr>
        <w:spacing w:line="400" w:lineRule="exact"/>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355A2D7C">
      <w:pPr>
        <w:spacing w:line="360" w:lineRule="auto"/>
        <w:ind w:firstLine="4560"/>
        <w:rPr>
          <w:rFonts w:ascii="仿宋" w:hAnsi="仿宋" w:eastAsia="仿宋" w:cs="仿宋"/>
          <w:color w:val="auto"/>
          <w:sz w:val="24"/>
          <w:highlight w:val="none"/>
        </w:rPr>
      </w:pPr>
    </w:p>
    <w:p w14:paraId="119F7B99">
      <w:pPr>
        <w:pStyle w:val="34"/>
        <w:rPr>
          <w:rFonts w:ascii="仿宋" w:hAnsi="仿宋" w:cs="仿宋"/>
          <w:color w:val="auto"/>
          <w:sz w:val="24"/>
          <w:szCs w:val="24"/>
          <w:highlight w:val="none"/>
        </w:rPr>
      </w:pPr>
    </w:p>
    <w:p w14:paraId="4D45D910">
      <w:pPr>
        <w:spacing w:line="360" w:lineRule="auto"/>
        <w:ind w:firstLine="4560"/>
        <w:rPr>
          <w:rFonts w:ascii="仿宋" w:hAnsi="仿宋" w:eastAsia="仿宋" w:cs="仿宋"/>
          <w:color w:val="auto"/>
          <w:sz w:val="24"/>
          <w:highlight w:val="none"/>
        </w:rPr>
      </w:pPr>
    </w:p>
    <w:p w14:paraId="6F2646A9">
      <w:pPr>
        <w:jc w:val="center"/>
        <w:rPr>
          <w:rFonts w:ascii="仿宋" w:hAnsi="仿宋" w:eastAsia="仿宋" w:cs="仿宋"/>
          <w:color w:val="auto"/>
          <w:sz w:val="24"/>
          <w:highlight w:val="none"/>
        </w:rPr>
      </w:pPr>
    </w:p>
    <w:p w14:paraId="2CD83BED">
      <w:pPr>
        <w:widowControl/>
        <w:jc w:val="center"/>
        <w:outlineLvl w:val="2"/>
        <w:rPr>
          <w:rFonts w:hint="eastAsia" w:ascii="仿宋" w:hAnsi="仿宋" w:eastAsia="仿宋"/>
          <w:color w:val="auto"/>
          <w:sz w:val="24"/>
          <w:highlight w:val="none"/>
        </w:rPr>
      </w:pPr>
      <w:r>
        <w:rPr>
          <w:rFonts w:hint="eastAsia" w:ascii="仿宋" w:hAnsi="仿宋" w:eastAsia="仿宋"/>
          <w:color w:val="auto"/>
          <w:sz w:val="24"/>
          <w:highlight w:val="none"/>
        </w:rPr>
        <w:t>2．开标一览表</w:t>
      </w:r>
    </w:p>
    <w:p w14:paraId="15514024">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1A78F05E">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1E8B951D">
      <w:pPr>
        <w:ind w:firstLine="6240"/>
        <w:rPr>
          <w:rFonts w:ascii="仿宋" w:hAnsi="仿宋" w:eastAsia="仿宋" w:cs="仿宋"/>
          <w:color w:val="auto"/>
          <w:sz w:val="24"/>
          <w:highlight w:val="none"/>
        </w:rPr>
      </w:pPr>
    </w:p>
    <w:tbl>
      <w:tblPr>
        <w:tblStyle w:val="56"/>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289"/>
        <w:gridCol w:w="3855"/>
        <w:gridCol w:w="1770"/>
      </w:tblGrid>
      <w:tr w14:paraId="6C1C0B5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PrEx>
        <w:trPr>
          <w:cantSplit/>
          <w:trHeight w:val="884" w:hRule="atLeast"/>
          <w:jc w:val="center"/>
        </w:trPr>
        <w:tc>
          <w:tcPr>
            <w:tcW w:w="3289" w:type="dxa"/>
            <w:tcBorders>
              <w:top w:val="single" w:color="000000" w:sz="6" w:space="0"/>
              <w:left w:val="single" w:color="000000" w:sz="6" w:space="0"/>
              <w:bottom w:val="single" w:color="000000" w:sz="2" w:space="0"/>
              <w:right w:val="single" w:color="000000" w:sz="2" w:space="0"/>
            </w:tcBorders>
            <w:noWrap w:val="0"/>
            <w:vAlign w:val="center"/>
          </w:tcPr>
          <w:p w14:paraId="0BD36B38">
            <w:pPr>
              <w:jc w:val="center"/>
              <w:rPr>
                <w:rFonts w:ascii="仿宋" w:hAnsi="仿宋" w:eastAsia="仿宋"/>
                <w:color w:val="auto"/>
                <w:sz w:val="24"/>
                <w:highlight w:val="none"/>
              </w:rPr>
            </w:pPr>
            <w:r>
              <w:rPr>
                <w:rFonts w:hint="eastAsia" w:ascii="仿宋" w:hAnsi="仿宋" w:eastAsia="仿宋"/>
                <w:color w:val="auto"/>
                <w:sz w:val="24"/>
                <w:highlight w:val="none"/>
              </w:rPr>
              <w:t>项目名称</w:t>
            </w:r>
          </w:p>
        </w:tc>
        <w:tc>
          <w:tcPr>
            <w:tcW w:w="3855" w:type="dxa"/>
            <w:tcBorders>
              <w:top w:val="single" w:color="000000" w:sz="6" w:space="0"/>
              <w:left w:val="single" w:color="000000" w:sz="2" w:space="0"/>
              <w:bottom w:val="single" w:color="000000" w:sz="2" w:space="0"/>
              <w:right w:val="single" w:color="auto" w:sz="4" w:space="0"/>
            </w:tcBorders>
            <w:noWrap w:val="0"/>
            <w:vAlign w:val="center"/>
          </w:tcPr>
          <w:p w14:paraId="3AFA7039">
            <w:pPr>
              <w:jc w:val="center"/>
              <w:rPr>
                <w:rFonts w:ascii="仿宋" w:hAnsi="仿宋" w:eastAsia="仿宋"/>
                <w:color w:val="auto"/>
                <w:sz w:val="24"/>
                <w:highlight w:val="none"/>
              </w:rPr>
            </w:pPr>
            <w:r>
              <w:rPr>
                <w:rFonts w:hint="eastAsia" w:ascii="仿宋" w:hAnsi="仿宋" w:eastAsia="仿宋"/>
                <w:color w:val="auto"/>
                <w:sz w:val="24"/>
                <w:highlight w:val="none"/>
              </w:rPr>
              <w:t>项目内容</w:t>
            </w:r>
          </w:p>
        </w:tc>
        <w:tc>
          <w:tcPr>
            <w:tcW w:w="1770" w:type="dxa"/>
            <w:tcBorders>
              <w:top w:val="single" w:color="000000" w:sz="6" w:space="0"/>
              <w:left w:val="single" w:color="auto" w:sz="4" w:space="0"/>
              <w:bottom w:val="single" w:color="000000" w:sz="2" w:space="0"/>
              <w:right w:val="single" w:color="000000" w:sz="2" w:space="0"/>
            </w:tcBorders>
            <w:noWrap w:val="0"/>
            <w:vAlign w:val="center"/>
          </w:tcPr>
          <w:p w14:paraId="2968C1ED">
            <w:pPr>
              <w:jc w:val="center"/>
              <w:rPr>
                <w:rFonts w:ascii="仿宋" w:hAnsi="仿宋" w:eastAsia="仿宋"/>
                <w:color w:val="auto"/>
                <w:sz w:val="24"/>
                <w:highlight w:val="none"/>
              </w:rPr>
            </w:pPr>
            <w:r>
              <w:rPr>
                <w:rFonts w:hint="eastAsia" w:ascii="仿宋" w:hAnsi="仿宋" w:eastAsia="仿宋"/>
                <w:color w:val="auto"/>
                <w:sz w:val="24"/>
                <w:highlight w:val="none"/>
              </w:rPr>
              <w:t>总价（小写）</w:t>
            </w:r>
          </w:p>
        </w:tc>
      </w:tr>
      <w:tr w14:paraId="6F25CE35">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23" w:hRule="atLeast"/>
          <w:jc w:val="center"/>
        </w:trPr>
        <w:tc>
          <w:tcPr>
            <w:tcW w:w="3289" w:type="dxa"/>
            <w:tcBorders>
              <w:top w:val="single" w:color="000000" w:sz="2" w:space="0"/>
              <w:left w:val="single" w:color="000000" w:sz="6" w:space="0"/>
              <w:right w:val="single" w:color="000000" w:sz="2" w:space="0"/>
            </w:tcBorders>
            <w:noWrap w:val="0"/>
            <w:vAlign w:val="center"/>
          </w:tcPr>
          <w:p w14:paraId="661A1CB7">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纪念场馆及烈士陵园物业安保服务项目</w:t>
            </w:r>
          </w:p>
        </w:tc>
        <w:tc>
          <w:tcPr>
            <w:tcW w:w="3855" w:type="dxa"/>
            <w:tcBorders>
              <w:top w:val="single" w:color="000000" w:sz="2" w:space="0"/>
              <w:left w:val="single" w:color="000000" w:sz="2" w:space="0"/>
              <w:right w:val="single" w:color="auto" w:sz="4" w:space="0"/>
            </w:tcBorders>
            <w:noWrap w:val="0"/>
            <w:vAlign w:val="center"/>
          </w:tcPr>
          <w:p w14:paraId="0F70C38C">
            <w:pPr>
              <w:jc w:val="center"/>
              <w:rPr>
                <w:rFonts w:ascii="仿宋" w:hAnsi="仿宋" w:eastAsia="仿宋"/>
                <w:color w:val="auto"/>
                <w:sz w:val="24"/>
                <w:highlight w:val="none"/>
              </w:rPr>
            </w:pPr>
            <w:r>
              <w:rPr>
                <w:rFonts w:hint="eastAsia" w:ascii="仿宋" w:hAnsi="仿宋" w:eastAsia="仿宋"/>
                <w:color w:val="auto"/>
                <w:sz w:val="24"/>
                <w:highlight w:val="none"/>
              </w:rPr>
              <w:t xml:space="preserve">详见投标文件  </w:t>
            </w:r>
          </w:p>
        </w:tc>
        <w:tc>
          <w:tcPr>
            <w:tcW w:w="1770" w:type="dxa"/>
            <w:tcBorders>
              <w:top w:val="single" w:color="000000" w:sz="2" w:space="0"/>
              <w:left w:val="single" w:color="auto" w:sz="4" w:space="0"/>
              <w:right w:val="single" w:color="000000" w:sz="2" w:space="0"/>
            </w:tcBorders>
            <w:noWrap w:val="0"/>
            <w:vAlign w:val="center"/>
          </w:tcPr>
          <w:p w14:paraId="45C5D07A">
            <w:pPr>
              <w:jc w:val="center"/>
              <w:rPr>
                <w:rFonts w:ascii="仿宋" w:hAnsi="仿宋" w:eastAsia="仿宋"/>
                <w:color w:val="auto"/>
                <w:sz w:val="24"/>
                <w:highlight w:val="none"/>
              </w:rPr>
            </w:pPr>
          </w:p>
        </w:tc>
      </w:tr>
      <w:tr w14:paraId="6F2D5257">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47" w:hRule="atLeast"/>
          <w:jc w:val="center"/>
        </w:trPr>
        <w:tc>
          <w:tcPr>
            <w:tcW w:w="8914" w:type="dxa"/>
            <w:gridSpan w:val="3"/>
            <w:tcBorders>
              <w:top w:val="single" w:color="000000" w:sz="2" w:space="0"/>
              <w:left w:val="single" w:color="000000" w:sz="6" w:space="0"/>
              <w:bottom w:val="single" w:color="000000" w:sz="2" w:space="0"/>
              <w:right w:val="single" w:color="000000" w:sz="2" w:space="0"/>
            </w:tcBorders>
            <w:noWrap w:val="0"/>
            <w:vAlign w:val="center"/>
          </w:tcPr>
          <w:p w14:paraId="143DB683">
            <w:pPr>
              <w:jc w:val="left"/>
              <w:rPr>
                <w:rFonts w:ascii="仿宋" w:hAnsi="仿宋" w:eastAsia="仿宋"/>
                <w:color w:val="auto"/>
                <w:sz w:val="24"/>
                <w:highlight w:val="none"/>
              </w:rPr>
            </w:pPr>
            <w:r>
              <w:rPr>
                <w:rFonts w:hint="eastAsia" w:ascii="仿宋" w:hAnsi="仿宋" w:eastAsia="仿宋"/>
                <w:color w:val="auto"/>
                <w:sz w:val="24"/>
                <w:highlight w:val="none"/>
              </w:rPr>
              <w:t>总价（大写）：</w:t>
            </w:r>
          </w:p>
        </w:tc>
      </w:tr>
    </w:tbl>
    <w:p w14:paraId="60FEB0B1">
      <w:pPr>
        <w:rPr>
          <w:rFonts w:ascii="仿宋" w:hAnsi="仿宋" w:eastAsia="仿宋" w:cs="仿宋"/>
          <w:color w:val="auto"/>
          <w:sz w:val="24"/>
          <w:highlight w:val="none"/>
        </w:rPr>
      </w:pPr>
    </w:p>
    <w:p w14:paraId="0D191840">
      <w:pPr>
        <w:rPr>
          <w:rFonts w:ascii="仿宋" w:hAnsi="仿宋" w:eastAsia="仿宋" w:cs="仿宋"/>
          <w:color w:val="auto"/>
          <w:sz w:val="24"/>
          <w:highlight w:val="none"/>
        </w:rPr>
      </w:pPr>
    </w:p>
    <w:p w14:paraId="620B79EC">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05037836">
      <w:pPr>
        <w:spacing w:line="36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44CA4F54">
      <w:pPr>
        <w:rPr>
          <w:rFonts w:ascii="仿宋" w:hAnsi="仿宋" w:eastAsia="仿宋" w:cs="仿宋"/>
          <w:color w:val="auto"/>
          <w:sz w:val="24"/>
          <w:highlight w:val="none"/>
        </w:rPr>
      </w:pPr>
    </w:p>
    <w:p w14:paraId="67E1E97F">
      <w:pPr>
        <w:rPr>
          <w:rFonts w:ascii="仿宋" w:hAnsi="仿宋" w:eastAsia="仿宋" w:cs="仿宋"/>
          <w:color w:val="auto"/>
          <w:sz w:val="24"/>
          <w:highlight w:val="none"/>
        </w:rPr>
      </w:pPr>
    </w:p>
    <w:p w14:paraId="43C102CF">
      <w:pPr>
        <w:jc w:val="center"/>
        <w:rPr>
          <w:rFonts w:hint="eastAsia" w:ascii="仿宋" w:hAnsi="仿宋" w:eastAsia="仿宋"/>
          <w:color w:val="auto"/>
          <w:sz w:val="28"/>
          <w:szCs w:val="28"/>
          <w:highlight w:val="none"/>
        </w:rPr>
      </w:pPr>
    </w:p>
    <w:p w14:paraId="6227972A">
      <w:pPr>
        <w:jc w:val="center"/>
        <w:rPr>
          <w:rFonts w:hint="eastAsia" w:ascii="仿宋" w:hAnsi="仿宋" w:eastAsia="仿宋"/>
          <w:color w:val="auto"/>
          <w:sz w:val="28"/>
          <w:szCs w:val="28"/>
          <w:highlight w:val="none"/>
        </w:rPr>
      </w:pPr>
    </w:p>
    <w:p w14:paraId="0957670E">
      <w:pPr>
        <w:jc w:val="center"/>
        <w:rPr>
          <w:rFonts w:hint="eastAsia" w:ascii="仿宋" w:hAnsi="仿宋" w:eastAsia="仿宋"/>
          <w:color w:val="auto"/>
          <w:sz w:val="28"/>
          <w:szCs w:val="28"/>
          <w:highlight w:val="none"/>
        </w:rPr>
      </w:pPr>
    </w:p>
    <w:p w14:paraId="6C3C71FA">
      <w:pPr>
        <w:jc w:val="center"/>
        <w:rPr>
          <w:rFonts w:hint="eastAsia" w:ascii="仿宋" w:hAnsi="仿宋" w:eastAsia="仿宋"/>
          <w:color w:val="auto"/>
          <w:sz w:val="28"/>
          <w:szCs w:val="28"/>
          <w:highlight w:val="none"/>
        </w:rPr>
      </w:pPr>
    </w:p>
    <w:p w14:paraId="4AE148F6">
      <w:pPr>
        <w:jc w:val="center"/>
        <w:rPr>
          <w:rFonts w:hint="eastAsia" w:ascii="仿宋" w:hAnsi="仿宋" w:eastAsia="仿宋"/>
          <w:color w:val="auto"/>
          <w:sz w:val="28"/>
          <w:szCs w:val="28"/>
          <w:highlight w:val="none"/>
        </w:rPr>
      </w:pPr>
    </w:p>
    <w:p w14:paraId="4AD1058E">
      <w:pPr>
        <w:jc w:val="center"/>
        <w:rPr>
          <w:rFonts w:hint="eastAsia" w:ascii="仿宋" w:hAnsi="仿宋" w:eastAsia="仿宋"/>
          <w:color w:val="auto"/>
          <w:sz w:val="28"/>
          <w:szCs w:val="28"/>
          <w:highlight w:val="none"/>
        </w:rPr>
      </w:pPr>
    </w:p>
    <w:p w14:paraId="152BE957">
      <w:pPr>
        <w:jc w:val="center"/>
        <w:rPr>
          <w:rFonts w:hint="eastAsia" w:ascii="仿宋" w:hAnsi="仿宋" w:eastAsia="仿宋"/>
          <w:color w:val="auto"/>
          <w:sz w:val="28"/>
          <w:szCs w:val="28"/>
          <w:highlight w:val="none"/>
        </w:rPr>
      </w:pPr>
    </w:p>
    <w:p w14:paraId="14B42EDD">
      <w:pPr>
        <w:jc w:val="center"/>
        <w:rPr>
          <w:rFonts w:hint="eastAsia" w:ascii="仿宋" w:hAnsi="仿宋" w:eastAsia="仿宋"/>
          <w:color w:val="auto"/>
          <w:sz w:val="28"/>
          <w:szCs w:val="28"/>
          <w:highlight w:val="none"/>
        </w:rPr>
      </w:pPr>
    </w:p>
    <w:p w14:paraId="21737FD3">
      <w:pPr>
        <w:jc w:val="center"/>
        <w:rPr>
          <w:rFonts w:hint="eastAsia" w:ascii="仿宋" w:hAnsi="仿宋" w:eastAsia="仿宋"/>
          <w:color w:val="auto"/>
          <w:sz w:val="28"/>
          <w:szCs w:val="28"/>
          <w:highlight w:val="none"/>
        </w:rPr>
      </w:pPr>
    </w:p>
    <w:p w14:paraId="01F09890">
      <w:pPr>
        <w:jc w:val="center"/>
        <w:rPr>
          <w:rFonts w:hint="eastAsia" w:ascii="仿宋" w:hAnsi="仿宋" w:eastAsia="仿宋"/>
          <w:color w:val="auto"/>
          <w:sz w:val="28"/>
          <w:szCs w:val="28"/>
          <w:highlight w:val="none"/>
        </w:rPr>
      </w:pPr>
    </w:p>
    <w:p w14:paraId="2454A3C5">
      <w:pPr>
        <w:jc w:val="center"/>
        <w:rPr>
          <w:rFonts w:hint="eastAsia" w:ascii="仿宋" w:hAnsi="仿宋" w:eastAsia="仿宋"/>
          <w:color w:val="auto"/>
          <w:sz w:val="28"/>
          <w:szCs w:val="28"/>
          <w:highlight w:val="none"/>
        </w:rPr>
      </w:pPr>
    </w:p>
    <w:p w14:paraId="05A1D3CB">
      <w:pPr>
        <w:jc w:val="center"/>
        <w:rPr>
          <w:rFonts w:hint="eastAsia" w:ascii="仿宋" w:hAnsi="仿宋" w:eastAsia="仿宋"/>
          <w:color w:val="auto"/>
          <w:sz w:val="28"/>
          <w:szCs w:val="28"/>
          <w:highlight w:val="none"/>
        </w:rPr>
      </w:pPr>
    </w:p>
    <w:p w14:paraId="7629CD92">
      <w:pPr>
        <w:jc w:val="center"/>
        <w:rPr>
          <w:rFonts w:hint="eastAsia" w:ascii="仿宋" w:hAnsi="仿宋" w:eastAsia="仿宋" w:cs="仿宋"/>
          <w:color w:val="auto"/>
          <w:sz w:val="24"/>
          <w:szCs w:val="24"/>
          <w:highlight w:val="none"/>
        </w:rPr>
      </w:pPr>
    </w:p>
    <w:p w14:paraId="2976606B">
      <w:pPr>
        <w:jc w:val="center"/>
        <w:rPr>
          <w:rFonts w:hint="eastAsia" w:ascii="仿宋" w:hAnsi="仿宋" w:eastAsia="仿宋" w:cs="仿宋"/>
          <w:color w:val="auto"/>
          <w:sz w:val="24"/>
          <w:szCs w:val="24"/>
          <w:highlight w:val="none"/>
        </w:rPr>
      </w:pPr>
    </w:p>
    <w:p w14:paraId="46B1ABCF">
      <w:pPr>
        <w:jc w:val="center"/>
        <w:rPr>
          <w:rFonts w:hint="eastAsia" w:ascii="仿宋" w:hAnsi="仿宋" w:eastAsia="仿宋" w:cs="仿宋"/>
          <w:color w:val="auto"/>
          <w:sz w:val="24"/>
          <w:szCs w:val="24"/>
          <w:highlight w:val="none"/>
        </w:rPr>
      </w:pPr>
    </w:p>
    <w:p w14:paraId="37D4FF47">
      <w:pPr>
        <w:jc w:val="center"/>
        <w:rPr>
          <w:rFonts w:hint="eastAsia" w:ascii="仿宋" w:hAnsi="仿宋" w:eastAsia="仿宋" w:cs="仿宋"/>
          <w:color w:val="auto"/>
          <w:sz w:val="24"/>
          <w:szCs w:val="24"/>
          <w:highlight w:val="none"/>
        </w:rPr>
      </w:pPr>
    </w:p>
    <w:p w14:paraId="75DBA9F7">
      <w:pPr>
        <w:jc w:val="center"/>
        <w:rPr>
          <w:rFonts w:hint="eastAsia" w:ascii="仿宋" w:hAnsi="仿宋" w:eastAsia="仿宋" w:cs="仿宋"/>
          <w:color w:val="auto"/>
          <w:sz w:val="24"/>
          <w:szCs w:val="24"/>
          <w:highlight w:val="none"/>
        </w:rPr>
      </w:pPr>
    </w:p>
    <w:p w14:paraId="5BBCADFC">
      <w:pPr>
        <w:pStyle w:val="45"/>
        <w:rPr>
          <w:rFonts w:hint="eastAsia" w:ascii="仿宋" w:hAnsi="仿宋" w:eastAsia="仿宋" w:cs="仿宋"/>
          <w:color w:val="auto"/>
          <w:sz w:val="24"/>
          <w:szCs w:val="24"/>
          <w:highlight w:val="none"/>
        </w:rPr>
      </w:pPr>
    </w:p>
    <w:p w14:paraId="03A3AE5C">
      <w:pPr>
        <w:rPr>
          <w:rFonts w:hint="eastAsia"/>
          <w:color w:val="auto"/>
          <w:highlight w:val="none"/>
        </w:rPr>
      </w:pPr>
    </w:p>
    <w:p w14:paraId="40EE636A">
      <w:pPr>
        <w:jc w:val="center"/>
        <w:rPr>
          <w:rFonts w:hint="eastAsia" w:ascii="仿宋" w:hAnsi="仿宋" w:eastAsia="仿宋" w:cs="仿宋"/>
          <w:color w:val="auto"/>
          <w:sz w:val="24"/>
          <w:szCs w:val="24"/>
          <w:highlight w:val="none"/>
        </w:rPr>
      </w:pPr>
    </w:p>
    <w:p w14:paraId="2D73069F">
      <w:pPr>
        <w:widowControl/>
        <w:jc w:val="center"/>
        <w:outlineLvl w:val="2"/>
        <w:rPr>
          <w:rFonts w:hint="eastAsia" w:ascii="仿宋" w:hAnsi="仿宋" w:eastAsia="仿宋"/>
          <w:color w:val="auto"/>
          <w:sz w:val="24"/>
          <w:highlight w:val="none"/>
        </w:rPr>
      </w:pPr>
      <w:r>
        <w:rPr>
          <w:rFonts w:hint="eastAsia" w:ascii="仿宋" w:hAnsi="仿宋" w:eastAsia="仿宋"/>
          <w:color w:val="auto"/>
          <w:sz w:val="24"/>
          <w:highlight w:val="none"/>
        </w:rPr>
        <w:t>3．分项价格表</w:t>
      </w:r>
    </w:p>
    <w:p w14:paraId="025752D0">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31EE8D77">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0AE6F24E">
      <w:pPr>
        <w:ind w:firstLine="156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                    货币单位：人民币元</w:t>
      </w:r>
    </w:p>
    <w:p w14:paraId="0C3C10AD">
      <w:pPr>
        <w:ind w:firstLine="1080" w:firstLineChars="450"/>
        <w:rPr>
          <w:rFonts w:hint="eastAsia" w:ascii="仿宋" w:hAnsi="仿宋" w:eastAsia="仿宋"/>
          <w:color w:val="auto"/>
          <w:sz w:val="24"/>
          <w:highlight w:val="none"/>
        </w:rPr>
      </w:pPr>
    </w:p>
    <w:p w14:paraId="3A11FC0B">
      <w:pPr>
        <w:ind w:firstLine="1080" w:firstLineChars="450"/>
        <w:rPr>
          <w:rFonts w:hint="eastAsia" w:ascii="仿宋" w:hAnsi="仿宋" w:eastAsia="仿宋"/>
          <w:color w:val="auto"/>
          <w:sz w:val="24"/>
          <w:highlight w:val="none"/>
        </w:rPr>
      </w:pPr>
    </w:p>
    <w:p w14:paraId="348DE8D2">
      <w:pPr>
        <w:ind w:firstLine="1080" w:firstLineChars="450"/>
        <w:rPr>
          <w:rFonts w:hint="eastAsia" w:ascii="仿宋" w:hAnsi="仿宋" w:eastAsia="仿宋"/>
          <w:color w:val="auto"/>
          <w:sz w:val="24"/>
          <w:highlight w:val="none"/>
        </w:rPr>
      </w:pPr>
    </w:p>
    <w:p w14:paraId="163795D3">
      <w:pPr>
        <w:ind w:firstLine="1080" w:firstLineChars="450"/>
        <w:rPr>
          <w:rFonts w:hint="eastAsia" w:ascii="仿宋" w:hAnsi="仿宋" w:eastAsia="仿宋"/>
          <w:color w:val="auto"/>
          <w:sz w:val="24"/>
          <w:highlight w:val="none"/>
        </w:rPr>
      </w:pPr>
    </w:p>
    <w:p w14:paraId="05269A61">
      <w:pPr>
        <w:ind w:firstLine="1080" w:firstLineChars="450"/>
        <w:rPr>
          <w:rFonts w:hint="eastAsia" w:ascii="仿宋" w:hAnsi="仿宋" w:eastAsia="仿宋"/>
          <w:color w:val="auto"/>
          <w:sz w:val="24"/>
          <w:highlight w:val="none"/>
        </w:rPr>
      </w:pPr>
    </w:p>
    <w:p w14:paraId="73BB0881">
      <w:pPr>
        <w:ind w:firstLine="1080" w:firstLineChars="450"/>
        <w:rPr>
          <w:rFonts w:hint="eastAsia" w:ascii="仿宋" w:hAnsi="仿宋" w:eastAsia="仿宋"/>
          <w:color w:val="auto"/>
          <w:sz w:val="24"/>
          <w:highlight w:val="none"/>
        </w:rPr>
      </w:pPr>
    </w:p>
    <w:p w14:paraId="20439B42">
      <w:pPr>
        <w:ind w:firstLine="1080" w:firstLineChars="450"/>
        <w:rPr>
          <w:rFonts w:hint="eastAsia" w:ascii="仿宋" w:hAnsi="仿宋" w:eastAsia="仿宋"/>
          <w:color w:val="auto"/>
          <w:sz w:val="24"/>
          <w:highlight w:val="none"/>
        </w:rPr>
      </w:pPr>
    </w:p>
    <w:p w14:paraId="55799F2D">
      <w:pPr>
        <w:ind w:firstLine="1080" w:firstLineChars="450"/>
        <w:rPr>
          <w:rFonts w:ascii="仿宋" w:hAnsi="仿宋" w:eastAsia="仿宋"/>
          <w:color w:val="auto"/>
          <w:sz w:val="24"/>
          <w:highlight w:val="none"/>
        </w:rPr>
      </w:pPr>
      <w:r>
        <w:rPr>
          <w:rFonts w:hint="eastAsia" w:ascii="仿宋" w:hAnsi="仿宋" w:eastAsia="仿宋"/>
          <w:color w:val="auto"/>
          <w:sz w:val="24"/>
          <w:highlight w:val="none"/>
        </w:rPr>
        <w:t>（详细分项报价内容自制）</w:t>
      </w:r>
    </w:p>
    <w:p w14:paraId="3164309A">
      <w:pPr>
        <w:pStyle w:val="45"/>
        <w:rPr>
          <w:color w:val="auto"/>
          <w:highlight w:val="none"/>
        </w:rPr>
      </w:pPr>
    </w:p>
    <w:p w14:paraId="02C71D13">
      <w:pPr>
        <w:rPr>
          <w:color w:val="auto"/>
          <w:highlight w:val="none"/>
        </w:rPr>
      </w:pPr>
    </w:p>
    <w:p w14:paraId="6119F3BD">
      <w:pPr>
        <w:rPr>
          <w:rFonts w:ascii="仿宋" w:hAnsi="仿宋" w:eastAsia="仿宋"/>
          <w:color w:val="auto"/>
          <w:sz w:val="24"/>
          <w:highlight w:val="none"/>
        </w:rPr>
      </w:pPr>
    </w:p>
    <w:p w14:paraId="2D1B5233">
      <w:pPr>
        <w:spacing w:line="300" w:lineRule="auto"/>
        <w:ind w:firstLine="3120"/>
        <w:rPr>
          <w:rFonts w:ascii="仿宋" w:hAnsi="仿宋" w:eastAsia="仿宋"/>
          <w:color w:val="auto"/>
          <w:sz w:val="24"/>
          <w:highlight w:val="none"/>
        </w:rPr>
      </w:pPr>
      <w:r>
        <w:rPr>
          <w:rFonts w:hint="eastAsia" w:ascii="仿宋" w:hAnsi="仿宋" w:eastAsia="仿宋"/>
          <w:color w:val="auto"/>
          <w:sz w:val="24"/>
          <w:highlight w:val="none"/>
        </w:rPr>
        <w:t>投标人：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（电子签章）  </w:t>
      </w:r>
    </w:p>
    <w:p w14:paraId="5E348357">
      <w:pPr>
        <w:spacing w:line="360" w:lineRule="auto"/>
        <w:ind w:firstLine="3120"/>
        <w:rPr>
          <w:color w:val="auto"/>
          <w:highlight w:val="none"/>
        </w:rPr>
      </w:pPr>
      <w:r>
        <w:rPr>
          <w:rFonts w:hint="eastAsia" w:ascii="仿宋" w:hAnsi="仿宋" w:eastAsia="仿宋"/>
          <w:color w:val="auto"/>
          <w:sz w:val="24"/>
          <w:highlight w:val="none"/>
        </w:rPr>
        <w:t>日期：   年  月  日</w:t>
      </w:r>
    </w:p>
    <w:p w14:paraId="29816669">
      <w:pPr>
        <w:rPr>
          <w:rFonts w:ascii="仿宋" w:hAnsi="仿宋" w:eastAsia="仿宋"/>
          <w:color w:val="auto"/>
          <w:sz w:val="24"/>
          <w:highlight w:val="none"/>
        </w:rPr>
      </w:pPr>
      <w:r>
        <w:rPr>
          <w:rFonts w:hint="eastAsia" w:ascii="仿宋" w:hAnsi="仿宋" w:eastAsia="仿宋"/>
          <w:b w:val="0"/>
          <w:bCs w:val="0"/>
          <w:color w:val="auto"/>
          <w:sz w:val="24"/>
          <w:highlight w:val="none"/>
        </w:rPr>
        <w:t>注：</w:t>
      </w:r>
      <w:r>
        <w:rPr>
          <w:rFonts w:hint="eastAsia" w:ascii="仿宋" w:hAnsi="仿宋" w:eastAsia="仿宋"/>
          <w:b/>
          <w:bCs/>
          <w:color w:val="auto"/>
          <w:sz w:val="24"/>
          <w:highlight w:val="none"/>
        </w:rPr>
        <w:t>1.如果不提供详细分项报价将视为没有实质性响应招标文件。</w:t>
      </w:r>
    </w:p>
    <w:p w14:paraId="41E4B0F7">
      <w:pPr>
        <w:ind w:firstLine="480"/>
        <w:rPr>
          <w:rFonts w:ascii="仿宋" w:hAnsi="仿宋" w:eastAsia="仿宋"/>
          <w:color w:val="auto"/>
          <w:sz w:val="24"/>
          <w:highlight w:val="none"/>
        </w:rPr>
      </w:pPr>
      <w:r>
        <w:rPr>
          <w:rFonts w:hint="eastAsia" w:ascii="仿宋" w:hAnsi="仿宋" w:eastAsia="仿宋"/>
          <w:color w:val="auto"/>
          <w:sz w:val="24"/>
          <w:highlight w:val="none"/>
        </w:rPr>
        <w:t>2.本表的总价合计与《开标一览表》中的“总价”以及按单价汇总金额应保持一致。</w:t>
      </w:r>
    </w:p>
    <w:p w14:paraId="43B420AC">
      <w:pPr>
        <w:ind w:firstLine="480"/>
        <w:rPr>
          <w:color w:val="auto"/>
          <w:highlight w:val="none"/>
        </w:rPr>
      </w:pPr>
      <w:r>
        <w:rPr>
          <w:rFonts w:hint="eastAsia" w:ascii="仿宋" w:hAnsi="仿宋" w:eastAsia="仿宋"/>
          <w:color w:val="auto"/>
          <w:sz w:val="24"/>
          <w:highlight w:val="none"/>
          <w:lang w:val="en-US" w:eastAsia="zh-CN"/>
        </w:rPr>
        <w:t>3.</w:t>
      </w:r>
      <w:r>
        <w:rPr>
          <w:rFonts w:hint="eastAsia" w:ascii="仿宋" w:hAnsi="仿宋" w:eastAsia="仿宋"/>
          <w:color w:val="auto"/>
          <w:sz w:val="24"/>
          <w:highlight w:val="none"/>
        </w:rPr>
        <w:t>投标人对以上数据的真实性负责。</w:t>
      </w:r>
    </w:p>
    <w:p w14:paraId="13515967">
      <w:pPr>
        <w:ind w:firstLine="480"/>
        <w:rPr>
          <w:rFonts w:ascii="仿宋" w:hAnsi="仿宋" w:eastAsia="仿宋"/>
          <w:i/>
          <w:color w:val="auto"/>
          <w:sz w:val="24"/>
          <w:highlight w:val="none"/>
          <w:u w:val="single"/>
        </w:rPr>
      </w:pPr>
      <w:r>
        <w:rPr>
          <w:rFonts w:hint="eastAsia" w:ascii="仿宋" w:hAnsi="仿宋" w:eastAsia="仿宋"/>
          <w:i/>
          <w:color w:val="auto"/>
          <w:sz w:val="24"/>
          <w:highlight w:val="none"/>
          <w:u w:val="single"/>
          <w:lang w:val="en-US" w:eastAsia="zh-CN"/>
        </w:rPr>
        <w:t>邳州市公共资源交易中心</w:t>
      </w:r>
      <w:r>
        <w:rPr>
          <w:rFonts w:hint="eastAsia" w:ascii="仿宋" w:hAnsi="仿宋" w:eastAsia="仿宋"/>
          <w:i/>
          <w:color w:val="auto"/>
          <w:sz w:val="24"/>
          <w:highlight w:val="none"/>
          <w:u w:val="single"/>
        </w:rPr>
        <w:t>有权将以上内容进行公示。</w:t>
      </w:r>
    </w:p>
    <w:p w14:paraId="0706D2FD">
      <w:pPr>
        <w:rPr>
          <w:color w:val="auto"/>
          <w:highlight w:val="none"/>
        </w:rPr>
      </w:pPr>
    </w:p>
    <w:p w14:paraId="596C0F16">
      <w:pPr>
        <w:widowControl/>
        <w:jc w:val="center"/>
        <w:outlineLvl w:val="2"/>
        <w:rPr>
          <w:rFonts w:hint="eastAsia" w:ascii="仿宋" w:hAnsi="仿宋" w:eastAsia="仿宋"/>
          <w:color w:val="auto"/>
          <w:sz w:val="24"/>
          <w:highlight w:val="none"/>
          <w:lang w:val="en-US" w:eastAsia="zh-CN"/>
        </w:rPr>
      </w:pPr>
    </w:p>
    <w:p w14:paraId="40164E1E">
      <w:pPr>
        <w:widowControl/>
        <w:jc w:val="center"/>
        <w:outlineLvl w:val="2"/>
        <w:rPr>
          <w:rFonts w:hint="eastAsia" w:ascii="仿宋" w:hAnsi="仿宋" w:eastAsia="仿宋"/>
          <w:color w:val="auto"/>
          <w:sz w:val="24"/>
          <w:highlight w:val="none"/>
          <w:lang w:val="en-US" w:eastAsia="zh-CN"/>
        </w:rPr>
      </w:pPr>
    </w:p>
    <w:p w14:paraId="396F85DB">
      <w:pPr>
        <w:widowControl/>
        <w:jc w:val="center"/>
        <w:outlineLvl w:val="2"/>
        <w:rPr>
          <w:rFonts w:hint="eastAsia" w:ascii="仿宋" w:hAnsi="仿宋" w:eastAsia="仿宋"/>
          <w:color w:val="auto"/>
          <w:sz w:val="24"/>
          <w:highlight w:val="none"/>
          <w:lang w:val="en-US" w:eastAsia="zh-CN"/>
        </w:rPr>
      </w:pPr>
    </w:p>
    <w:p w14:paraId="0461B36E">
      <w:pPr>
        <w:widowControl/>
        <w:jc w:val="center"/>
        <w:outlineLvl w:val="2"/>
        <w:rPr>
          <w:rFonts w:hint="eastAsia" w:ascii="仿宋" w:hAnsi="仿宋" w:eastAsia="仿宋"/>
          <w:color w:val="auto"/>
          <w:sz w:val="24"/>
          <w:highlight w:val="none"/>
          <w:lang w:val="en-US" w:eastAsia="zh-CN"/>
        </w:rPr>
      </w:pPr>
    </w:p>
    <w:p w14:paraId="7811EBBE">
      <w:pPr>
        <w:widowControl/>
        <w:jc w:val="center"/>
        <w:outlineLvl w:val="2"/>
        <w:rPr>
          <w:rFonts w:hint="eastAsia" w:ascii="仿宋" w:hAnsi="仿宋" w:eastAsia="仿宋"/>
          <w:color w:val="auto"/>
          <w:sz w:val="24"/>
          <w:highlight w:val="none"/>
          <w:lang w:val="en-US" w:eastAsia="zh-CN"/>
        </w:rPr>
      </w:pPr>
    </w:p>
    <w:p w14:paraId="467AF383">
      <w:pPr>
        <w:widowControl/>
        <w:jc w:val="center"/>
        <w:outlineLvl w:val="2"/>
        <w:rPr>
          <w:rFonts w:hint="eastAsia" w:ascii="仿宋" w:hAnsi="仿宋" w:eastAsia="仿宋"/>
          <w:color w:val="auto"/>
          <w:sz w:val="24"/>
          <w:highlight w:val="none"/>
          <w:lang w:val="en-US" w:eastAsia="zh-CN"/>
        </w:rPr>
      </w:pPr>
    </w:p>
    <w:p w14:paraId="011AF0E5">
      <w:pPr>
        <w:widowControl/>
        <w:jc w:val="center"/>
        <w:outlineLvl w:val="2"/>
        <w:rPr>
          <w:rFonts w:hint="eastAsia" w:ascii="仿宋" w:hAnsi="仿宋" w:eastAsia="仿宋"/>
          <w:color w:val="auto"/>
          <w:sz w:val="24"/>
          <w:highlight w:val="none"/>
          <w:lang w:val="en-US" w:eastAsia="zh-CN"/>
        </w:rPr>
      </w:pPr>
    </w:p>
    <w:p w14:paraId="27FC5ACE">
      <w:pPr>
        <w:widowControl/>
        <w:jc w:val="center"/>
        <w:outlineLvl w:val="2"/>
        <w:rPr>
          <w:rFonts w:hint="eastAsia" w:ascii="仿宋" w:hAnsi="仿宋" w:eastAsia="仿宋"/>
          <w:color w:val="auto"/>
          <w:sz w:val="24"/>
          <w:highlight w:val="none"/>
          <w:lang w:val="en-US" w:eastAsia="zh-CN"/>
        </w:rPr>
      </w:pPr>
    </w:p>
    <w:p w14:paraId="7E044016">
      <w:pPr>
        <w:widowControl/>
        <w:jc w:val="center"/>
        <w:outlineLvl w:val="2"/>
        <w:rPr>
          <w:rFonts w:hint="eastAsia" w:ascii="仿宋" w:hAnsi="仿宋" w:eastAsia="仿宋"/>
          <w:color w:val="auto"/>
          <w:sz w:val="24"/>
          <w:highlight w:val="none"/>
          <w:lang w:val="en-US" w:eastAsia="zh-CN"/>
        </w:rPr>
      </w:pPr>
    </w:p>
    <w:p w14:paraId="2665B25E">
      <w:pPr>
        <w:widowControl/>
        <w:jc w:val="center"/>
        <w:outlineLvl w:val="2"/>
        <w:rPr>
          <w:rFonts w:hint="eastAsia" w:ascii="仿宋" w:hAnsi="仿宋" w:eastAsia="仿宋"/>
          <w:color w:val="auto"/>
          <w:sz w:val="24"/>
          <w:highlight w:val="none"/>
          <w:lang w:val="en-US" w:eastAsia="zh-CN"/>
        </w:rPr>
      </w:pPr>
    </w:p>
    <w:p w14:paraId="10C2E8F6">
      <w:pPr>
        <w:widowControl/>
        <w:jc w:val="center"/>
        <w:outlineLvl w:val="2"/>
        <w:rPr>
          <w:rFonts w:hint="eastAsia" w:ascii="仿宋" w:hAnsi="仿宋" w:eastAsia="仿宋"/>
          <w:color w:val="auto"/>
          <w:sz w:val="24"/>
          <w:highlight w:val="none"/>
          <w:lang w:val="en-US" w:eastAsia="zh-CN"/>
        </w:rPr>
      </w:pPr>
    </w:p>
    <w:p w14:paraId="22731781">
      <w:pPr>
        <w:widowControl/>
        <w:jc w:val="center"/>
        <w:outlineLvl w:val="2"/>
        <w:rPr>
          <w:rFonts w:hint="eastAsia" w:ascii="仿宋" w:hAnsi="仿宋" w:eastAsia="仿宋"/>
          <w:color w:val="auto"/>
          <w:sz w:val="24"/>
          <w:highlight w:val="none"/>
          <w:lang w:val="en-US" w:eastAsia="zh-CN"/>
        </w:rPr>
      </w:pPr>
    </w:p>
    <w:p w14:paraId="3D797EA0">
      <w:pPr>
        <w:widowControl/>
        <w:jc w:val="center"/>
        <w:outlineLvl w:val="2"/>
        <w:rPr>
          <w:rFonts w:hint="eastAsia" w:ascii="仿宋" w:hAnsi="仿宋" w:eastAsia="仿宋"/>
          <w:color w:val="auto"/>
          <w:sz w:val="24"/>
          <w:highlight w:val="none"/>
          <w:lang w:val="en-US" w:eastAsia="zh-CN"/>
        </w:rPr>
      </w:pPr>
    </w:p>
    <w:p w14:paraId="1DC45BDE">
      <w:pPr>
        <w:widowControl/>
        <w:jc w:val="center"/>
        <w:outlineLvl w:val="2"/>
        <w:rPr>
          <w:rFonts w:hint="eastAsia" w:ascii="仿宋" w:hAnsi="仿宋" w:eastAsia="仿宋"/>
          <w:color w:val="auto"/>
          <w:sz w:val="24"/>
          <w:highlight w:val="none"/>
          <w:lang w:val="en-US" w:eastAsia="zh-CN"/>
        </w:rPr>
      </w:pPr>
    </w:p>
    <w:p w14:paraId="7759BE85">
      <w:pPr>
        <w:widowControl/>
        <w:jc w:val="center"/>
        <w:outlineLvl w:val="2"/>
        <w:rPr>
          <w:rFonts w:hint="eastAsia" w:ascii="仿宋" w:hAnsi="仿宋" w:eastAsia="仿宋"/>
          <w:color w:val="auto"/>
          <w:sz w:val="24"/>
          <w:highlight w:val="none"/>
          <w:lang w:val="en-US" w:eastAsia="zh-CN"/>
        </w:rPr>
      </w:pPr>
    </w:p>
    <w:p w14:paraId="20491752">
      <w:pPr>
        <w:widowControl/>
        <w:jc w:val="center"/>
        <w:outlineLvl w:val="2"/>
        <w:rPr>
          <w:rFonts w:hint="eastAsia" w:ascii="仿宋" w:hAnsi="仿宋" w:eastAsia="仿宋"/>
          <w:color w:val="auto"/>
          <w:sz w:val="24"/>
          <w:highlight w:val="none"/>
          <w:lang w:val="en-US" w:eastAsia="zh-CN"/>
        </w:rPr>
      </w:pPr>
    </w:p>
    <w:p w14:paraId="59B3E98C">
      <w:pPr>
        <w:widowControl/>
        <w:jc w:val="center"/>
        <w:outlineLvl w:val="2"/>
        <w:rPr>
          <w:rFonts w:hint="eastAsia" w:ascii="仿宋" w:hAnsi="仿宋" w:eastAsia="仿宋"/>
          <w:color w:val="auto"/>
          <w:sz w:val="24"/>
          <w:highlight w:val="none"/>
          <w:lang w:val="en-US" w:eastAsia="zh-CN"/>
        </w:rPr>
      </w:pPr>
    </w:p>
    <w:p w14:paraId="1A290EB5">
      <w:pPr>
        <w:widowControl/>
        <w:jc w:val="center"/>
        <w:outlineLvl w:val="2"/>
        <w:rPr>
          <w:rFonts w:hint="eastAsia" w:ascii="仿宋" w:hAnsi="仿宋" w:eastAsia="仿宋"/>
          <w:color w:val="auto"/>
          <w:sz w:val="24"/>
          <w:highlight w:val="none"/>
          <w:lang w:val="en-US" w:eastAsia="zh-CN"/>
        </w:rPr>
      </w:pPr>
    </w:p>
    <w:p w14:paraId="633BABEA">
      <w:pPr>
        <w:widowControl/>
        <w:jc w:val="center"/>
        <w:outlineLvl w:val="2"/>
        <w:rPr>
          <w:rFonts w:hint="eastAsia" w:ascii="仿宋" w:hAnsi="仿宋" w:eastAsia="仿宋"/>
          <w:color w:val="auto"/>
          <w:sz w:val="24"/>
          <w:highlight w:val="none"/>
          <w:lang w:val="en-US" w:eastAsia="zh-CN"/>
        </w:rPr>
      </w:pPr>
    </w:p>
    <w:p w14:paraId="1FEC58BF">
      <w:pPr>
        <w:widowControl/>
        <w:jc w:val="center"/>
        <w:outlineLvl w:val="2"/>
        <w:rPr>
          <w:rFonts w:hint="eastAsia" w:ascii="仿宋" w:hAnsi="仿宋" w:eastAsia="仿宋"/>
          <w:color w:val="auto"/>
          <w:sz w:val="24"/>
          <w:highlight w:val="none"/>
          <w:lang w:val="en-US" w:eastAsia="zh-CN"/>
        </w:rPr>
      </w:pPr>
    </w:p>
    <w:p w14:paraId="573F5705">
      <w:pPr>
        <w:widowControl/>
        <w:jc w:val="center"/>
        <w:outlineLvl w:val="2"/>
        <w:rPr>
          <w:rFonts w:hint="eastAsia" w:ascii="仿宋" w:hAnsi="仿宋" w:eastAsia="仿宋"/>
          <w:color w:val="auto"/>
          <w:sz w:val="24"/>
          <w:highlight w:val="none"/>
          <w:lang w:val="en-US" w:eastAsia="zh-CN"/>
        </w:rPr>
      </w:pPr>
    </w:p>
    <w:p w14:paraId="486A3394">
      <w:pPr>
        <w:widowControl/>
        <w:jc w:val="center"/>
        <w:outlineLvl w:val="2"/>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4</w:t>
      </w:r>
      <w:r>
        <w:rPr>
          <w:rFonts w:hint="eastAsia" w:ascii="仿宋" w:hAnsi="仿宋" w:eastAsia="仿宋"/>
          <w:color w:val="auto"/>
          <w:sz w:val="24"/>
          <w:highlight w:val="none"/>
        </w:rPr>
        <w:t>．偏离表</w:t>
      </w:r>
    </w:p>
    <w:p w14:paraId="50B1366B">
      <w:pPr>
        <w:rPr>
          <w:rFonts w:ascii="仿宋" w:hAnsi="仿宋" w:eastAsia="仿宋" w:cs="仿宋"/>
          <w:color w:val="auto"/>
          <w:sz w:val="24"/>
          <w:highlight w:val="none"/>
        </w:rPr>
      </w:pPr>
    </w:p>
    <w:p w14:paraId="4518B152">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354ED73B">
      <w:pPr>
        <w:rPr>
          <w:rFonts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641A5018">
      <w:pPr>
        <w:rPr>
          <w:rFonts w:ascii="仿宋" w:hAnsi="仿宋" w:eastAsia="仿宋" w:cs="仿宋"/>
          <w:color w:val="auto"/>
          <w:sz w:val="24"/>
          <w:highlight w:val="none"/>
          <w:u w:val="single"/>
        </w:rPr>
      </w:pPr>
    </w:p>
    <w:tbl>
      <w:tblPr>
        <w:tblStyle w:val="56"/>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28"/>
        <w:gridCol w:w="1404"/>
        <w:gridCol w:w="1476"/>
        <w:gridCol w:w="1620"/>
        <w:gridCol w:w="1260"/>
        <w:gridCol w:w="2340"/>
      </w:tblGrid>
      <w:tr w14:paraId="7B215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center"/>
          </w:tcPr>
          <w:p w14:paraId="407173E8">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序号</w:t>
            </w:r>
          </w:p>
        </w:tc>
        <w:tc>
          <w:tcPr>
            <w:tcW w:w="1404" w:type="dxa"/>
            <w:noWrap w:val="0"/>
            <w:vAlign w:val="center"/>
          </w:tcPr>
          <w:p w14:paraId="3EBE0307">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偏离内容</w:t>
            </w:r>
          </w:p>
        </w:tc>
        <w:tc>
          <w:tcPr>
            <w:tcW w:w="1476" w:type="dxa"/>
            <w:noWrap w:val="0"/>
            <w:vAlign w:val="center"/>
          </w:tcPr>
          <w:p w14:paraId="50837DD6">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招标文件的要求</w:t>
            </w:r>
          </w:p>
        </w:tc>
        <w:tc>
          <w:tcPr>
            <w:tcW w:w="1620" w:type="dxa"/>
            <w:noWrap w:val="0"/>
            <w:vAlign w:val="center"/>
          </w:tcPr>
          <w:p w14:paraId="42F2223F">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投标文件中的内容</w:t>
            </w:r>
          </w:p>
        </w:tc>
        <w:tc>
          <w:tcPr>
            <w:tcW w:w="1260" w:type="dxa"/>
            <w:noWrap w:val="0"/>
            <w:vAlign w:val="center"/>
          </w:tcPr>
          <w:p w14:paraId="38A80154">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（正/负/无）偏离</w:t>
            </w:r>
          </w:p>
        </w:tc>
        <w:tc>
          <w:tcPr>
            <w:tcW w:w="2340" w:type="dxa"/>
            <w:noWrap w:val="0"/>
            <w:vAlign w:val="center"/>
          </w:tcPr>
          <w:p w14:paraId="57782946">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说明</w:t>
            </w:r>
          </w:p>
        </w:tc>
      </w:tr>
      <w:tr w14:paraId="2A07E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24B0D5A7">
            <w:pPr>
              <w:rPr>
                <w:rFonts w:ascii="仿宋" w:hAnsi="仿宋" w:eastAsia="仿宋" w:cs="仿宋"/>
                <w:color w:val="auto"/>
                <w:sz w:val="24"/>
                <w:highlight w:val="none"/>
              </w:rPr>
            </w:pPr>
          </w:p>
        </w:tc>
        <w:tc>
          <w:tcPr>
            <w:tcW w:w="1404" w:type="dxa"/>
            <w:noWrap w:val="0"/>
          </w:tcPr>
          <w:p w14:paraId="1F3B5185">
            <w:pPr>
              <w:rPr>
                <w:rFonts w:ascii="仿宋" w:hAnsi="仿宋" w:eastAsia="仿宋" w:cs="仿宋"/>
                <w:color w:val="auto"/>
                <w:sz w:val="24"/>
                <w:highlight w:val="none"/>
              </w:rPr>
            </w:pPr>
          </w:p>
        </w:tc>
        <w:tc>
          <w:tcPr>
            <w:tcW w:w="1476" w:type="dxa"/>
            <w:noWrap w:val="0"/>
          </w:tcPr>
          <w:p w14:paraId="49BD4B11">
            <w:pPr>
              <w:rPr>
                <w:rFonts w:ascii="仿宋" w:hAnsi="仿宋" w:eastAsia="仿宋" w:cs="仿宋"/>
                <w:color w:val="auto"/>
                <w:sz w:val="24"/>
                <w:highlight w:val="none"/>
              </w:rPr>
            </w:pPr>
          </w:p>
        </w:tc>
        <w:tc>
          <w:tcPr>
            <w:tcW w:w="1620" w:type="dxa"/>
            <w:noWrap w:val="0"/>
          </w:tcPr>
          <w:p w14:paraId="0EB45803">
            <w:pPr>
              <w:rPr>
                <w:rFonts w:ascii="仿宋" w:hAnsi="仿宋" w:eastAsia="仿宋" w:cs="仿宋"/>
                <w:color w:val="auto"/>
                <w:sz w:val="24"/>
                <w:highlight w:val="none"/>
              </w:rPr>
            </w:pPr>
          </w:p>
        </w:tc>
        <w:tc>
          <w:tcPr>
            <w:tcW w:w="1260" w:type="dxa"/>
            <w:noWrap w:val="0"/>
          </w:tcPr>
          <w:p w14:paraId="6CA15A23">
            <w:pPr>
              <w:rPr>
                <w:rFonts w:ascii="仿宋" w:hAnsi="仿宋" w:eastAsia="仿宋" w:cs="仿宋"/>
                <w:color w:val="auto"/>
                <w:sz w:val="24"/>
                <w:highlight w:val="none"/>
              </w:rPr>
            </w:pPr>
          </w:p>
        </w:tc>
        <w:tc>
          <w:tcPr>
            <w:tcW w:w="2340" w:type="dxa"/>
            <w:noWrap w:val="0"/>
          </w:tcPr>
          <w:p w14:paraId="67D6AA0A">
            <w:pPr>
              <w:rPr>
                <w:rFonts w:ascii="仿宋" w:hAnsi="仿宋" w:eastAsia="仿宋" w:cs="仿宋"/>
                <w:color w:val="auto"/>
                <w:sz w:val="24"/>
                <w:highlight w:val="none"/>
              </w:rPr>
            </w:pPr>
          </w:p>
        </w:tc>
      </w:tr>
      <w:tr w14:paraId="729A6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08DAF5DD">
            <w:pPr>
              <w:rPr>
                <w:rFonts w:ascii="仿宋" w:hAnsi="仿宋" w:eastAsia="仿宋" w:cs="仿宋"/>
                <w:color w:val="auto"/>
                <w:sz w:val="24"/>
                <w:highlight w:val="none"/>
              </w:rPr>
            </w:pPr>
          </w:p>
        </w:tc>
        <w:tc>
          <w:tcPr>
            <w:tcW w:w="1404" w:type="dxa"/>
            <w:noWrap w:val="0"/>
          </w:tcPr>
          <w:p w14:paraId="44F6938A">
            <w:pPr>
              <w:rPr>
                <w:rFonts w:ascii="仿宋" w:hAnsi="仿宋" w:eastAsia="仿宋" w:cs="仿宋"/>
                <w:color w:val="auto"/>
                <w:sz w:val="24"/>
                <w:highlight w:val="none"/>
              </w:rPr>
            </w:pPr>
          </w:p>
        </w:tc>
        <w:tc>
          <w:tcPr>
            <w:tcW w:w="1476" w:type="dxa"/>
            <w:noWrap w:val="0"/>
          </w:tcPr>
          <w:p w14:paraId="34517CF6">
            <w:pPr>
              <w:rPr>
                <w:rFonts w:ascii="仿宋" w:hAnsi="仿宋" w:eastAsia="仿宋" w:cs="仿宋"/>
                <w:color w:val="auto"/>
                <w:sz w:val="24"/>
                <w:highlight w:val="none"/>
              </w:rPr>
            </w:pPr>
          </w:p>
        </w:tc>
        <w:tc>
          <w:tcPr>
            <w:tcW w:w="1620" w:type="dxa"/>
            <w:noWrap w:val="0"/>
          </w:tcPr>
          <w:p w14:paraId="26F1D9A7">
            <w:pPr>
              <w:rPr>
                <w:rFonts w:ascii="仿宋" w:hAnsi="仿宋" w:eastAsia="仿宋" w:cs="仿宋"/>
                <w:color w:val="auto"/>
                <w:sz w:val="24"/>
                <w:highlight w:val="none"/>
              </w:rPr>
            </w:pPr>
          </w:p>
        </w:tc>
        <w:tc>
          <w:tcPr>
            <w:tcW w:w="1260" w:type="dxa"/>
            <w:noWrap w:val="0"/>
          </w:tcPr>
          <w:p w14:paraId="4AFF44CA">
            <w:pPr>
              <w:rPr>
                <w:rFonts w:ascii="仿宋" w:hAnsi="仿宋" w:eastAsia="仿宋" w:cs="仿宋"/>
                <w:color w:val="auto"/>
                <w:sz w:val="24"/>
                <w:highlight w:val="none"/>
              </w:rPr>
            </w:pPr>
          </w:p>
        </w:tc>
        <w:tc>
          <w:tcPr>
            <w:tcW w:w="2340" w:type="dxa"/>
            <w:noWrap w:val="0"/>
          </w:tcPr>
          <w:p w14:paraId="230D5385">
            <w:pPr>
              <w:rPr>
                <w:rFonts w:ascii="仿宋" w:hAnsi="仿宋" w:eastAsia="仿宋" w:cs="仿宋"/>
                <w:color w:val="auto"/>
                <w:sz w:val="24"/>
                <w:highlight w:val="none"/>
              </w:rPr>
            </w:pPr>
          </w:p>
        </w:tc>
      </w:tr>
      <w:tr w14:paraId="6158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7AF4951E">
            <w:pPr>
              <w:rPr>
                <w:rFonts w:ascii="仿宋" w:hAnsi="仿宋" w:eastAsia="仿宋" w:cs="仿宋"/>
                <w:color w:val="auto"/>
                <w:sz w:val="24"/>
                <w:highlight w:val="none"/>
              </w:rPr>
            </w:pPr>
          </w:p>
        </w:tc>
        <w:tc>
          <w:tcPr>
            <w:tcW w:w="1404" w:type="dxa"/>
            <w:noWrap w:val="0"/>
          </w:tcPr>
          <w:p w14:paraId="639890D8">
            <w:pPr>
              <w:rPr>
                <w:rFonts w:ascii="仿宋" w:hAnsi="仿宋" w:eastAsia="仿宋" w:cs="仿宋"/>
                <w:color w:val="auto"/>
                <w:sz w:val="24"/>
                <w:highlight w:val="none"/>
              </w:rPr>
            </w:pPr>
          </w:p>
        </w:tc>
        <w:tc>
          <w:tcPr>
            <w:tcW w:w="1476" w:type="dxa"/>
            <w:noWrap w:val="0"/>
          </w:tcPr>
          <w:p w14:paraId="2A5CCA4E">
            <w:pPr>
              <w:rPr>
                <w:rFonts w:ascii="仿宋" w:hAnsi="仿宋" w:eastAsia="仿宋" w:cs="仿宋"/>
                <w:color w:val="auto"/>
                <w:sz w:val="24"/>
                <w:highlight w:val="none"/>
              </w:rPr>
            </w:pPr>
          </w:p>
        </w:tc>
        <w:tc>
          <w:tcPr>
            <w:tcW w:w="1620" w:type="dxa"/>
            <w:noWrap w:val="0"/>
          </w:tcPr>
          <w:p w14:paraId="02150A2E">
            <w:pPr>
              <w:rPr>
                <w:rFonts w:ascii="仿宋" w:hAnsi="仿宋" w:eastAsia="仿宋" w:cs="仿宋"/>
                <w:color w:val="auto"/>
                <w:sz w:val="24"/>
                <w:highlight w:val="none"/>
              </w:rPr>
            </w:pPr>
          </w:p>
        </w:tc>
        <w:tc>
          <w:tcPr>
            <w:tcW w:w="1260" w:type="dxa"/>
            <w:noWrap w:val="0"/>
          </w:tcPr>
          <w:p w14:paraId="04FDD17F">
            <w:pPr>
              <w:rPr>
                <w:rFonts w:ascii="仿宋" w:hAnsi="仿宋" w:eastAsia="仿宋" w:cs="仿宋"/>
                <w:color w:val="auto"/>
                <w:sz w:val="24"/>
                <w:highlight w:val="none"/>
              </w:rPr>
            </w:pPr>
          </w:p>
        </w:tc>
        <w:tc>
          <w:tcPr>
            <w:tcW w:w="2340" w:type="dxa"/>
            <w:noWrap w:val="0"/>
          </w:tcPr>
          <w:p w14:paraId="4A6F26BC">
            <w:pPr>
              <w:rPr>
                <w:rFonts w:ascii="仿宋" w:hAnsi="仿宋" w:eastAsia="仿宋" w:cs="仿宋"/>
                <w:color w:val="auto"/>
                <w:sz w:val="24"/>
                <w:highlight w:val="none"/>
              </w:rPr>
            </w:pPr>
          </w:p>
        </w:tc>
      </w:tr>
      <w:tr w14:paraId="0C58D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1E745F7D">
            <w:pPr>
              <w:rPr>
                <w:rFonts w:ascii="仿宋" w:hAnsi="仿宋" w:eastAsia="仿宋" w:cs="仿宋"/>
                <w:color w:val="auto"/>
                <w:sz w:val="24"/>
                <w:highlight w:val="none"/>
              </w:rPr>
            </w:pPr>
          </w:p>
        </w:tc>
        <w:tc>
          <w:tcPr>
            <w:tcW w:w="1404" w:type="dxa"/>
            <w:noWrap w:val="0"/>
          </w:tcPr>
          <w:p w14:paraId="393DBB22">
            <w:pPr>
              <w:rPr>
                <w:rFonts w:ascii="仿宋" w:hAnsi="仿宋" w:eastAsia="仿宋" w:cs="仿宋"/>
                <w:color w:val="auto"/>
                <w:sz w:val="24"/>
                <w:highlight w:val="none"/>
              </w:rPr>
            </w:pPr>
          </w:p>
        </w:tc>
        <w:tc>
          <w:tcPr>
            <w:tcW w:w="1476" w:type="dxa"/>
            <w:noWrap w:val="0"/>
          </w:tcPr>
          <w:p w14:paraId="2BB03DA1">
            <w:pPr>
              <w:rPr>
                <w:rFonts w:ascii="仿宋" w:hAnsi="仿宋" w:eastAsia="仿宋" w:cs="仿宋"/>
                <w:color w:val="auto"/>
                <w:sz w:val="24"/>
                <w:highlight w:val="none"/>
              </w:rPr>
            </w:pPr>
          </w:p>
        </w:tc>
        <w:tc>
          <w:tcPr>
            <w:tcW w:w="1620" w:type="dxa"/>
            <w:noWrap w:val="0"/>
          </w:tcPr>
          <w:p w14:paraId="42ECD611">
            <w:pPr>
              <w:rPr>
                <w:rFonts w:ascii="仿宋" w:hAnsi="仿宋" w:eastAsia="仿宋" w:cs="仿宋"/>
                <w:color w:val="auto"/>
                <w:sz w:val="24"/>
                <w:highlight w:val="none"/>
              </w:rPr>
            </w:pPr>
          </w:p>
        </w:tc>
        <w:tc>
          <w:tcPr>
            <w:tcW w:w="1260" w:type="dxa"/>
            <w:noWrap w:val="0"/>
          </w:tcPr>
          <w:p w14:paraId="333F7697">
            <w:pPr>
              <w:rPr>
                <w:rFonts w:ascii="仿宋" w:hAnsi="仿宋" w:eastAsia="仿宋" w:cs="仿宋"/>
                <w:color w:val="auto"/>
                <w:sz w:val="24"/>
                <w:highlight w:val="none"/>
              </w:rPr>
            </w:pPr>
          </w:p>
        </w:tc>
        <w:tc>
          <w:tcPr>
            <w:tcW w:w="2340" w:type="dxa"/>
            <w:noWrap w:val="0"/>
          </w:tcPr>
          <w:p w14:paraId="06CA728A">
            <w:pPr>
              <w:rPr>
                <w:rFonts w:ascii="仿宋" w:hAnsi="仿宋" w:eastAsia="仿宋" w:cs="仿宋"/>
                <w:color w:val="auto"/>
                <w:sz w:val="24"/>
                <w:highlight w:val="none"/>
              </w:rPr>
            </w:pPr>
          </w:p>
        </w:tc>
      </w:tr>
      <w:tr w14:paraId="2ED3D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0A6D8E25">
            <w:pPr>
              <w:rPr>
                <w:rFonts w:ascii="仿宋" w:hAnsi="仿宋" w:eastAsia="仿宋" w:cs="仿宋"/>
                <w:color w:val="auto"/>
                <w:sz w:val="24"/>
                <w:highlight w:val="none"/>
              </w:rPr>
            </w:pPr>
          </w:p>
        </w:tc>
        <w:tc>
          <w:tcPr>
            <w:tcW w:w="1404" w:type="dxa"/>
            <w:noWrap w:val="0"/>
          </w:tcPr>
          <w:p w14:paraId="4C59BD1D">
            <w:pPr>
              <w:rPr>
                <w:rFonts w:ascii="仿宋" w:hAnsi="仿宋" w:eastAsia="仿宋" w:cs="仿宋"/>
                <w:color w:val="auto"/>
                <w:sz w:val="24"/>
                <w:highlight w:val="none"/>
              </w:rPr>
            </w:pPr>
          </w:p>
        </w:tc>
        <w:tc>
          <w:tcPr>
            <w:tcW w:w="1476" w:type="dxa"/>
            <w:noWrap w:val="0"/>
          </w:tcPr>
          <w:p w14:paraId="59BF65EC">
            <w:pPr>
              <w:rPr>
                <w:rFonts w:ascii="仿宋" w:hAnsi="仿宋" w:eastAsia="仿宋" w:cs="仿宋"/>
                <w:color w:val="auto"/>
                <w:sz w:val="24"/>
                <w:highlight w:val="none"/>
              </w:rPr>
            </w:pPr>
          </w:p>
        </w:tc>
        <w:tc>
          <w:tcPr>
            <w:tcW w:w="1620" w:type="dxa"/>
            <w:noWrap w:val="0"/>
          </w:tcPr>
          <w:p w14:paraId="37E929FC">
            <w:pPr>
              <w:rPr>
                <w:rFonts w:ascii="仿宋" w:hAnsi="仿宋" w:eastAsia="仿宋" w:cs="仿宋"/>
                <w:color w:val="auto"/>
                <w:sz w:val="24"/>
                <w:highlight w:val="none"/>
              </w:rPr>
            </w:pPr>
          </w:p>
        </w:tc>
        <w:tc>
          <w:tcPr>
            <w:tcW w:w="1260" w:type="dxa"/>
            <w:noWrap w:val="0"/>
          </w:tcPr>
          <w:p w14:paraId="126A4FB1">
            <w:pPr>
              <w:rPr>
                <w:rFonts w:ascii="仿宋" w:hAnsi="仿宋" w:eastAsia="仿宋" w:cs="仿宋"/>
                <w:color w:val="auto"/>
                <w:sz w:val="24"/>
                <w:highlight w:val="none"/>
              </w:rPr>
            </w:pPr>
          </w:p>
        </w:tc>
        <w:tc>
          <w:tcPr>
            <w:tcW w:w="2340" w:type="dxa"/>
            <w:noWrap w:val="0"/>
          </w:tcPr>
          <w:p w14:paraId="70A0FA69">
            <w:pPr>
              <w:rPr>
                <w:rFonts w:ascii="仿宋" w:hAnsi="仿宋" w:eastAsia="仿宋" w:cs="仿宋"/>
                <w:color w:val="auto"/>
                <w:sz w:val="24"/>
                <w:highlight w:val="none"/>
              </w:rPr>
            </w:pPr>
          </w:p>
        </w:tc>
      </w:tr>
      <w:tr w14:paraId="6D533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53E81B9B">
            <w:pPr>
              <w:rPr>
                <w:rFonts w:ascii="仿宋" w:hAnsi="仿宋" w:eastAsia="仿宋" w:cs="仿宋"/>
                <w:color w:val="auto"/>
                <w:sz w:val="24"/>
                <w:highlight w:val="none"/>
              </w:rPr>
            </w:pPr>
          </w:p>
        </w:tc>
        <w:tc>
          <w:tcPr>
            <w:tcW w:w="1404" w:type="dxa"/>
            <w:noWrap w:val="0"/>
          </w:tcPr>
          <w:p w14:paraId="7269E4EC">
            <w:pPr>
              <w:rPr>
                <w:rFonts w:ascii="仿宋" w:hAnsi="仿宋" w:eastAsia="仿宋" w:cs="仿宋"/>
                <w:color w:val="auto"/>
                <w:sz w:val="24"/>
                <w:highlight w:val="none"/>
              </w:rPr>
            </w:pPr>
          </w:p>
        </w:tc>
        <w:tc>
          <w:tcPr>
            <w:tcW w:w="1476" w:type="dxa"/>
            <w:noWrap w:val="0"/>
          </w:tcPr>
          <w:p w14:paraId="29469001">
            <w:pPr>
              <w:rPr>
                <w:rFonts w:ascii="仿宋" w:hAnsi="仿宋" w:eastAsia="仿宋" w:cs="仿宋"/>
                <w:color w:val="auto"/>
                <w:sz w:val="24"/>
                <w:highlight w:val="none"/>
              </w:rPr>
            </w:pPr>
          </w:p>
        </w:tc>
        <w:tc>
          <w:tcPr>
            <w:tcW w:w="1620" w:type="dxa"/>
            <w:noWrap w:val="0"/>
          </w:tcPr>
          <w:p w14:paraId="49351635">
            <w:pPr>
              <w:rPr>
                <w:rFonts w:ascii="仿宋" w:hAnsi="仿宋" w:eastAsia="仿宋" w:cs="仿宋"/>
                <w:color w:val="auto"/>
                <w:sz w:val="24"/>
                <w:highlight w:val="none"/>
              </w:rPr>
            </w:pPr>
          </w:p>
        </w:tc>
        <w:tc>
          <w:tcPr>
            <w:tcW w:w="1260" w:type="dxa"/>
            <w:noWrap w:val="0"/>
          </w:tcPr>
          <w:p w14:paraId="4AE39BFE">
            <w:pPr>
              <w:rPr>
                <w:rFonts w:ascii="仿宋" w:hAnsi="仿宋" w:eastAsia="仿宋" w:cs="仿宋"/>
                <w:color w:val="auto"/>
                <w:sz w:val="24"/>
                <w:highlight w:val="none"/>
              </w:rPr>
            </w:pPr>
          </w:p>
        </w:tc>
        <w:tc>
          <w:tcPr>
            <w:tcW w:w="2340" w:type="dxa"/>
            <w:noWrap w:val="0"/>
          </w:tcPr>
          <w:p w14:paraId="2B3B99A8">
            <w:pPr>
              <w:rPr>
                <w:rFonts w:ascii="仿宋" w:hAnsi="仿宋" w:eastAsia="仿宋" w:cs="仿宋"/>
                <w:color w:val="auto"/>
                <w:sz w:val="24"/>
                <w:highlight w:val="none"/>
              </w:rPr>
            </w:pPr>
          </w:p>
        </w:tc>
      </w:tr>
      <w:tr w14:paraId="680E9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430E67B4">
            <w:pPr>
              <w:rPr>
                <w:rFonts w:ascii="仿宋" w:hAnsi="仿宋" w:eastAsia="仿宋" w:cs="仿宋"/>
                <w:color w:val="auto"/>
                <w:sz w:val="24"/>
                <w:highlight w:val="none"/>
              </w:rPr>
            </w:pPr>
          </w:p>
        </w:tc>
        <w:tc>
          <w:tcPr>
            <w:tcW w:w="1404" w:type="dxa"/>
            <w:noWrap w:val="0"/>
          </w:tcPr>
          <w:p w14:paraId="5C195CE0">
            <w:pPr>
              <w:rPr>
                <w:rFonts w:ascii="仿宋" w:hAnsi="仿宋" w:eastAsia="仿宋" w:cs="仿宋"/>
                <w:color w:val="auto"/>
                <w:sz w:val="24"/>
                <w:highlight w:val="none"/>
              </w:rPr>
            </w:pPr>
          </w:p>
        </w:tc>
        <w:tc>
          <w:tcPr>
            <w:tcW w:w="1476" w:type="dxa"/>
            <w:noWrap w:val="0"/>
          </w:tcPr>
          <w:p w14:paraId="7DF11481">
            <w:pPr>
              <w:rPr>
                <w:rFonts w:ascii="仿宋" w:hAnsi="仿宋" w:eastAsia="仿宋" w:cs="仿宋"/>
                <w:color w:val="auto"/>
                <w:sz w:val="24"/>
                <w:highlight w:val="none"/>
              </w:rPr>
            </w:pPr>
          </w:p>
        </w:tc>
        <w:tc>
          <w:tcPr>
            <w:tcW w:w="1620" w:type="dxa"/>
            <w:noWrap w:val="0"/>
          </w:tcPr>
          <w:p w14:paraId="4BF1FBAC">
            <w:pPr>
              <w:rPr>
                <w:rFonts w:ascii="仿宋" w:hAnsi="仿宋" w:eastAsia="仿宋" w:cs="仿宋"/>
                <w:color w:val="auto"/>
                <w:sz w:val="24"/>
                <w:highlight w:val="none"/>
              </w:rPr>
            </w:pPr>
          </w:p>
        </w:tc>
        <w:tc>
          <w:tcPr>
            <w:tcW w:w="1260" w:type="dxa"/>
            <w:noWrap w:val="0"/>
          </w:tcPr>
          <w:p w14:paraId="13DFA8AB">
            <w:pPr>
              <w:rPr>
                <w:rFonts w:ascii="仿宋" w:hAnsi="仿宋" w:eastAsia="仿宋" w:cs="仿宋"/>
                <w:color w:val="auto"/>
                <w:sz w:val="24"/>
                <w:highlight w:val="none"/>
              </w:rPr>
            </w:pPr>
          </w:p>
        </w:tc>
        <w:tc>
          <w:tcPr>
            <w:tcW w:w="2340" w:type="dxa"/>
            <w:noWrap w:val="0"/>
          </w:tcPr>
          <w:p w14:paraId="2CCFD2F7">
            <w:pPr>
              <w:rPr>
                <w:rFonts w:ascii="仿宋" w:hAnsi="仿宋" w:eastAsia="仿宋" w:cs="仿宋"/>
                <w:color w:val="auto"/>
                <w:sz w:val="24"/>
                <w:highlight w:val="none"/>
              </w:rPr>
            </w:pPr>
          </w:p>
        </w:tc>
      </w:tr>
      <w:tr w14:paraId="59200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02426037">
            <w:pPr>
              <w:rPr>
                <w:rFonts w:ascii="仿宋" w:hAnsi="仿宋" w:eastAsia="仿宋" w:cs="仿宋"/>
                <w:color w:val="auto"/>
                <w:sz w:val="24"/>
                <w:highlight w:val="none"/>
              </w:rPr>
            </w:pPr>
          </w:p>
        </w:tc>
        <w:tc>
          <w:tcPr>
            <w:tcW w:w="1404" w:type="dxa"/>
            <w:noWrap w:val="0"/>
          </w:tcPr>
          <w:p w14:paraId="590393A6">
            <w:pPr>
              <w:rPr>
                <w:rFonts w:ascii="仿宋" w:hAnsi="仿宋" w:eastAsia="仿宋" w:cs="仿宋"/>
                <w:color w:val="auto"/>
                <w:sz w:val="24"/>
                <w:highlight w:val="none"/>
              </w:rPr>
            </w:pPr>
          </w:p>
        </w:tc>
        <w:tc>
          <w:tcPr>
            <w:tcW w:w="1476" w:type="dxa"/>
            <w:noWrap w:val="0"/>
          </w:tcPr>
          <w:p w14:paraId="6596071C">
            <w:pPr>
              <w:rPr>
                <w:rFonts w:ascii="仿宋" w:hAnsi="仿宋" w:eastAsia="仿宋" w:cs="仿宋"/>
                <w:color w:val="auto"/>
                <w:sz w:val="24"/>
                <w:highlight w:val="none"/>
              </w:rPr>
            </w:pPr>
          </w:p>
        </w:tc>
        <w:tc>
          <w:tcPr>
            <w:tcW w:w="1620" w:type="dxa"/>
            <w:noWrap w:val="0"/>
          </w:tcPr>
          <w:p w14:paraId="3D326E36">
            <w:pPr>
              <w:rPr>
                <w:rFonts w:ascii="仿宋" w:hAnsi="仿宋" w:eastAsia="仿宋" w:cs="仿宋"/>
                <w:color w:val="auto"/>
                <w:sz w:val="24"/>
                <w:highlight w:val="none"/>
              </w:rPr>
            </w:pPr>
          </w:p>
        </w:tc>
        <w:tc>
          <w:tcPr>
            <w:tcW w:w="1260" w:type="dxa"/>
            <w:noWrap w:val="0"/>
          </w:tcPr>
          <w:p w14:paraId="7AC879FC">
            <w:pPr>
              <w:rPr>
                <w:rFonts w:ascii="仿宋" w:hAnsi="仿宋" w:eastAsia="仿宋" w:cs="仿宋"/>
                <w:color w:val="auto"/>
                <w:sz w:val="24"/>
                <w:highlight w:val="none"/>
              </w:rPr>
            </w:pPr>
          </w:p>
        </w:tc>
        <w:tc>
          <w:tcPr>
            <w:tcW w:w="2340" w:type="dxa"/>
            <w:noWrap w:val="0"/>
          </w:tcPr>
          <w:p w14:paraId="07B01419">
            <w:pPr>
              <w:rPr>
                <w:rFonts w:ascii="仿宋" w:hAnsi="仿宋" w:eastAsia="仿宋" w:cs="仿宋"/>
                <w:color w:val="auto"/>
                <w:sz w:val="24"/>
                <w:highlight w:val="none"/>
              </w:rPr>
            </w:pPr>
          </w:p>
        </w:tc>
      </w:tr>
    </w:tbl>
    <w:p w14:paraId="62604EF3">
      <w:pPr>
        <w:rPr>
          <w:rFonts w:ascii="仿宋" w:hAnsi="仿宋" w:eastAsia="仿宋" w:cs="仿宋"/>
          <w:color w:val="auto"/>
          <w:sz w:val="24"/>
          <w:highlight w:val="none"/>
          <w:u w:val="single"/>
        </w:rPr>
      </w:pPr>
    </w:p>
    <w:p w14:paraId="06BCC0C4">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注：投标人的投标文件中除采购需求符合性条件外的内容与招标文件（含招标文件的澄清或者修改的内容，下同）的要求不同时，逐条列在偏离表中，否则将认为投标人接受招标文件的要求。</w:t>
      </w:r>
    </w:p>
    <w:p w14:paraId="1FC2AB17">
      <w:pPr>
        <w:rPr>
          <w:rFonts w:ascii="仿宋" w:hAnsi="仿宋" w:eastAsia="仿宋" w:cs="仿宋"/>
          <w:color w:val="auto"/>
          <w:sz w:val="24"/>
          <w:highlight w:val="none"/>
        </w:rPr>
      </w:pPr>
    </w:p>
    <w:p w14:paraId="3352791B">
      <w:pPr>
        <w:rPr>
          <w:rFonts w:ascii="仿宋" w:hAnsi="仿宋" w:eastAsia="仿宋" w:cs="仿宋"/>
          <w:color w:val="auto"/>
          <w:sz w:val="24"/>
          <w:highlight w:val="none"/>
        </w:rPr>
      </w:pPr>
    </w:p>
    <w:p w14:paraId="79E4A737">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4A21804F">
      <w:pPr>
        <w:spacing w:line="360" w:lineRule="auto"/>
        <w:ind w:firstLine="3120"/>
        <w:rPr>
          <w:rFonts w:ascii="仿宋" w:hAnsi="仿宋" w:eastAsia="仿宋" w:cs="仿宋"/>
          <w:bCs/>
          <w:color w:val="auto"/>
          <w:sz w:val="24"/>
          <w:highlight w:val="none"/>
        </w:rPr>
      </w:pPr>
      <w:r>
        <w:rPr>
          <w:rFonts w:hint="eastAsia" w:ascii="仿宋" w:hAnsi="仿宋" w:eastAsia="仿宋" w:cs="仿宋"/>
          <w:color w:val="auto"/>
          <w:sz w:val="24"/>
          <w:highlight w:val="none"/>
        </w:rPr>
        <w:t>日期：   年  月  日</w:t>
      </w:r>
    </w:p>
    <w:p w14:paraId="6A56E7AF">
      <w:pPr>
        <w:jc w:val="center"/>
        <w:rPr>
          <w:rFonts w:ascii="仿宋" w:hAnsi="仿宋" w:eastAsia="仿宋" w:cs="仿宋"/>
          <w:bCs/>
          <w:color w:val="auto"/>
          <w:sz w:val="24"/>
          <w:highlight w:val="none"/>
        </w:rPr>
      </w:pPr>
    </w:p>
    <w:p w14:paraId="401DA376">
      <w:pPr>
        <w:pStyle w:val="45"/>
        <w:rPr>
          <w:rFonts w:ascii="仿宋" w:hAnsi="仿宋" w:eastAsia="仿宋" w:cs="仿宋"/>
          <w:bCs/>
          <w:color w:val="auto"/>
          <w:sz w:val="24"/>
          <w:highlight w:val="none"/>
        </w:rPr>
      </w:pPr>
    </w:p>
    <w:p w14:paraId="4EBC4F8D">
      <w:pPr>
        <w:rPr>
          <w:rFonts w:ascii="仿宋" w:hAnsi="仿宋" w:eastAsia="仿宋" w:cs="仿宋"/>
          <w:bCs/>
          <w:color w:val="auto"/>
          <w:sz w:val="24"/>
          <w:highlight w:val="none"/>
        </w:rPr>
      </w:pPr>
    </w:p>
    <w:p w14:paraId="6DEBD92C">
      <w:pPr>
        <w:pStyle w:val="45"/>
        <w:rPr>
          <w:color w:val="auto"/>
          <w:highlight w:val="none"/>
        </w:rPr>
      </w:pPr>
    </w:p>
    <w:p w14:paraId="6E56FDBE">
      <w:pPr>
        <w:pStyle w:val="45"/>
        <w:rPr>
          <w:rFonts w:ascii="仿宋" w:hAnsi="仿宋" w:eastAsia="仿宋" w:cs="仿宋"/>
          <w:bCs/>
          <w:color w:val="auto"/>
          <w:sz w:val="24"/>
          <w:highlight w:val="none"/>
        </w:rPr>
      </w:pPr>
    </w:p>
    <w:p w14:paraId="52E19402">
      <w:pPr>
        <w:rPr>
          <w:color w:val="auto"/>
          <w:highlight w:val="none"/>
        </w:rPr>
      </w:pPr>
    </w:p>
    <w:p w14:paraId="48C4E0FD">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 授权委托书</w:t>
      </w:r>
    </w:p>
    <w:p w14:paraId="5D38D9FF">
      <w:pPr>
        <w:rPr>
          <w:rFonts w:ascii="仿宋" w:hAnsi="仿宋" w:eastAsia="仿宋" w:cs="仿宋"/>
          <w:color w:val="auto"/>
          <w:sz w:val="24"/>
          <w:highlight w:val="none"/>
        </w:rPr>
      </w:pPr>
      <w:r>
        <w:rPr>
          <w:rFonts w:hint="eastAsia" w:ascii="仿宋" w:hAnsi="仿宋" w:eastAsia="仿宋" w:cs="仿宋"/>
          <w:color w:val="auto"/>
          <w:sz w:val="24"/>
          <w:highlight w:val="none"/>
        </w:rPr>
        <w:t>委托人：</w:t>
      </w:r>
    </w:p>
    <w:p w14:paraId="261B563B">
      <w:pPr>
        <w:rPr>
          <w:rFonts w:ascii="仿宋" w:hAnsi="仿宋" w:eastAsia="仿宋" w:cs="仿宋"/>
          <w:color w:val="auto"/>
          <w:sz w:val="24"/>
          <w:highlight w:val="none"/>
        </w:rPr>
      </w:pPr>
      <w:r>
        <w:rPr>
          <w:rFonts w:hint="eastAsia" w:ascii="仿宋" w:hAnsi="仿宋" w:eastAsia="仿宋" w:cs="仿宋"/>
          <w:color w:val="auto"/>
          <w:sz w:val="24"/>
          <w:highlight w:val="none"/>
        </w:rPr>
        <w:t>地  址：</w:t>
      </w:r>
    </w:p>
    <w:p w14:paraId="3A97FB28">
      <w:pPr>
        <w:rPr>
          <w:rFonts w:ascii="仿宋" w:hAnsi="仿宋" w:eastAsia="仿宋" w:cs="仿宋"/>
          <w:color w:val="auto"/>
          <w:sz w:val="24"/>
          <w:highlight w:val="none"/>
        </w:rPr>
      </w:pPr>
      <w:r>
        <w:rPr>
          <w:rFonts w:hint="eastAsia" w:ascii="仿宋" w:hAnsi="仿宋" w:eastAsia="仿宋" w:cs="仿宋"/>
          <w:color w:val="auto"/>
          <w:sz w:val="24"/>
          <w:highlight w:val="none"/>
        </w:rPr>
        <w:t>法定代表人（负责人）：               职务：</w:t>
      </w:r>
    </w:p>
    <w:p w14:paraId="4A55D647">
      <w:pPr>
        <w:rPr>
          <w:rFonts w:ascii="仿宋" w:hAnsi="仿宋" w:eastAsia="仿宋" w:cs="仿宋"/>
          <w:color w:val="auto"/>
          <w:sz w:val="24"/>
          <w:highlight w:val="none"/>
        </w:rPr>
      </w:pPr>
      <w:r>
        <w:rPr>
          <w:rFonts w:hint="eastAsia" w:ascii="仿宋" w:hAnsi="仿宋" w:eastAsia="仿宋" w:cs="仿宋"/>
          <w:color w:val="auto"/>
          <w:sz w:val="24"/>
          <w:highlight w:val="none"/>
        </w:rPr>
        <w:t>统一社会信用代码：</w:t>
      </w:r>
    </w:p>
    <w:p w14:paraId="5FA6F4F5">
      <w:pPr>
        <w:rPr>
          <w:rFonts w:ascii="仿宋" w:hAnsi="仿宋" w:eastAsia="仿宋" w:cs="仿宋"/>
          <w:color w:val="auto"/>
          <w:sz w:val="24"/>
          <w:highlight w:val="none"/>
        </w:rPr>
      </w:pPr>
    </w:p>
    <w:p w14:paraId="482C7DA9">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                   性别：男（女）  </w:t>
      </w:r>
    </w:p>
    <w:p w14:paraId="2BAE039B">
      <w:pPr>
        <w:rPr>
          <w:rFonts w:ascii="仿宋" w:hAnsi="仿宋" w:eastAsia="仿宋" w:cs="仿宋"/>
          <w:color w:val="auto"/>
          <w:sz w:val="24"/>
          <w:highlight w:val="none"/>
        </w:rPr>
      </w:pPr>
      <w:r>
        <w:rPr>
          <w:rFonts w:hint="eastAsia" w:ascii="仿宋" w:hAnsi="仿宋" w:eastAsia="仿宋" w:cs="仿宋"/>
          <w:color w:val="auto"/>
          <w:sz w:val="24"/>
          <w:highlight w:val="none"/>
        </w:rPr>
        <w:t>年龄：  岁                 民族：   族</w:t>
      </w:r>
    </w:p>
    <w:p w14:paraId="0F3E3EA8">
      <w:pPr>
        <w:rPr>
          <w:rFonts w:ascii="仿宋" w:hAnsi="仿宋" w:eastAsia="仿宋" w:cs="仿宋"/>
          <w:color w:val="auto"/>
          <w:sz w:val="24"/>
          <w:highlight w:val="none"/>
        </w:rPr>
      </w:pPr>
      <w:r>
        <w:rPr>
          <w:rFonts w:hint="eastAsia" w:ascii="仿宋" w:hAnsi="仿宋" w:eastAsia="仿宋" w:cs="仿宋"/>
          <w:color w:val="auto"/>
          <w:sz w:val="24"/>
          <w:highlight w:val="none"/>
        </w:rPr>
        <w:t>职务：</w:t>
      </w:r>
    </w:p>
    <w:p w14:paraId="41A172F4">
      <w:pPr>
        <w:rPr>
          <w:rFonts w:ascii="仿宋" w:hAnsi="仿宋" w:eastAsia="仿宋" w:cs="仿宋"/>
          <w:color w:val="auto"/>
          <w:sz w:val="24"/>
          <w:highlight w:val="none"/>
        </w:rPr>
      </w:pPr>
      <w:r>
        <w:rPr>
          <w:rFonts w:hint="eastAsia" w:ascii="仿宋" w:hAnsi="仿宋" w:eastAsia="仿宋" w:cs="仿宋"/>
          <w:color w:val="auto"/>
          <w:sz w:val="24"/>
          <w:highlight w:val="none"/>
        </w:rPr>
        <w:t>身份证号：</w:t>
      </w:r>
    </w:p>
    <w:p w14:paraId="0CCD6FD7">
      <w:pPr>
        <w:rPr>
          <w:rFonts w:ascii="仿宋" w:hAnsi="仿宋" w:eastAsia="仿宋" w:cs="仿宋"/>
          <w:color w:val="auto"/>
          <w:sz w:val="24"/>
          <w:highlight w:val="none"/>
        </w:rPr>
      </w:pPr>
      <w:r>
        <w:rPr>
          <w:rFonts w:hint="eastAsia" w:ascii="仿宋" w:hAnsi="仿宋" w:eastAsia="仿宋" w:cs="仿宋"/>
          <w:color w:val="auto"/>
          <w:sz w:val="24"/>
          <w:highlight w:val="none"/>
        </w:rPr>
        <w:t>兹委托（      ）全权代表我企业（公司）参与（</w:t>
      </w:r>
      <w:r>
        <w:rPr>
          <w:rFonts w:hint="eastAsia" w:ascii="仿宋" w:hAnsi="仿宋" w:eastAsia="仿宋" w:cs="仿宋"/>
          <w:color w:val="auto"/>
          <w:sz w:val="24"/>
          <w:highlight w:val="none"/>
          <w:u w:val="single"/>
          <w:lang w:val="en-US" w:eastAsia="zh-CN"/>
        </w:rPr>
        <w:t>纪念场馆及烈士陵园物业安保服务项目</w:t>
      </w:r>
      <w:r>
        <w:rPr>
          <w:rFonts w:hint="eastAsia" w:ascii="仿宋" w:hAnsi="仿宋" w:eastAsia="仿宋" w:cs="仿宋"/>
          <w:color w:val="auto"/>
          <w:sz w:val="24"/>
          <w:highlight w:val="none"/>
        </w:rPr>
        <w:t>）项目（项目编号：</w:t>
      </w:r>
      <w:r>
        <w:rPr>
          <w:rFonts w:hint="eastAsia" w:ascii="仿宋" w:hAnsi="仿宋" w:eastAsia="仿宋" w:cs="仿宋"/>
          <w:color w:val="auto"/>
          <w:sz w:val="24"/>
          <w:highlight w:val="none"/>
          <w:lang w:eastAsia="zh-CN"/>
        </w:rPr>
        <w:t>JSZC-320382-PZZC-G2026-0005</w:t>
      </w:r>
      <w:r>
        <w:rPr>
          <w:rFonts w:hint="eastAsia" w:ascii="仿宋" w:hAnsi="仿宋" w:eastAsia="仿宋" w:cs="仿宋"/>
          <w:color w:val="auto"/>
          <w:sz w:val="24"/>
          <w:highlight w:val="none"/>
        </w:rPr>
        <w:t>）的招、投标活动及签订合同。（         ）以我企业（公司）名义所为的法律行为及签署的文件，我企业（公司）均予以认可。有关法律责任均由我企业（公司）承担。（         ）无转委托权。委托期限自   年  月   日起至  年  月    日止。</w:t>
      </w:r>
    </w:p>
    <w:p w14:paraId="28606605">
      <w:pPr>
        <w:ind w:firstLine="630"/>
        <w:rPr>
          <w:rFonts w:ascii="仿宋" w:hAnsi="仿宋" w:eastAsia="仿宋" w:cs="仿宋"/>
          <w:color w:val="auto"/>
          <w:sz w:val="24"/>
          <w:highlight w:val="none"/>
        </w:rPr>
      </w:pPr>
      <w:r>
        <w:rPr>
          <w:rFonts w:hint="eastAsia" w:ascii="仿宋" w:hAnsi="仿宋" w:eastAsia="仿宋" w:cs="仿宋"/>
          <w:color w:val="auto"/>
          <w:sz w:val="24"/>
          <w:highlight w:val="none"/>
        </w:rPr>
        <w:t>特此授权委托。</w:t>
      </w:r>
    </w:p>
    <w:p w14:paraId="0DECEC2E">
      <w:pPr>
        <w:rPr>
          <w:rFonts w:ascii="仿宋" w:hAnsi="仿宋" w:eastAsia="仿宋" w:cs="仿宋"/>
          <w:color w:val="auto"/>
          <w:sz w:val="24"/>
          <w:highlight w:val="none"/>
        </w:rPr>
      </w:pPr>
    </w:p>
    <w:p w14:paraId="5AB02A22">
      <w:pPr>
        <w:rPr>
          <w:rFonts w:ascii="仿宋" w:hAnsi="仿宋" w:eastAsia="仿宋" w:cs="仿宋"/>
          <w:color w:val="auto"/>
          <w:sz w:val="24"/>
          <w:highlight w:val="none"/>
        </w:rPr>
      </w:pPr>
      <w:r>
        <w:rPr>
          <w:rFonts w:hint="eastAsia" w:ascii="仿宋" w:hAnsi="仿宋" w:eastAsia="仿宋" w:cs="仿宋"/>
          <w:color w:val="auto"/>
          <w:sz w:val="24"/>
          <w:highlight w:val="none"/>
        </w:rPr>
        <w:t>委托人（公章）：                      受托人（签字）：</w:t>
      </w:r>
    </w:p>
    <w:p w14:paraId="585B2C6B">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 </w:t>
      </w:r>
    </w:p>
    <w:p w14:paraId="31C367F3">
      <w:pPr>
        <w:ind w:firstLine="419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 </w:t>
      </w:r>
    </w:p>
    <w:p w14:paraId="2CA3310D">
      <w:pPr>
        <w:rPr>
          <w:rFonts w:ascii="仿宋" w:hAnsi="仿宋" w:eastAsia="仿宋" w:cs="仿宋"/>
          <w:color w:val="auto"/>
          <w:sz w:val="24"/>
          <w:highlight w:val="none"/>
        </w:rPr>
      </w:pPr>
      <w:r>
        <w:rPr>
          <w:rFonts w:hint="eastAsia" w:ascii="仿宋" w:hAnsi="仿宋" w:eastAsia="仿宋" w:cs="仿宋"/>
          <w:color w:val="auto"/>
          <w:sz w:val="24"/>
          <w:highlight w:val="none"/>
        </w:rPr>
        <w:t>(受托人身份证扫描件附后)</w:t>
      </w:r>
    </w:p>
    <w:p w14:paraId="716840AB">
      <w:pPr>
        <w:widowControl/>
        <w:spacing w:line="380" w:lineRule="exact"/>
        <w:jc w:val="center"/>
        <w:rPr>
          <w:rFonts w:ascii="仿宋" w:hAnsi="仿宋" w:eastAsia="仿宋" w:cs="仿宋"/>
          <w:color w:val="auto"/>
          <w:sz w:val="24"/>
          <w:highlight w:val="none"/>
        </w:rPr>
      </w:pPr>
    </w:p>
    <w:p w14:paraId="77AE82C8">
      <w:pPr>
        <w:widowControl/>
        <w:spacing w:line="380" w:lineRule="exact"/>
        <w:jc w:val="center"/>
        <w:rPr>
          <w:rFonts w:ascii="仿宋" w:hAnsi="仿宋" w:eastAsia="仿宋" w:cs="仿宋"/>
          <w:color w:val="auto"/>
          <w:sz w:val="24"/>
          <w:highlight w:val="none"/>
        </w:rPr>
      </w:pPr>
    </w:p>
    <w:p w14:paraId="7D7C98AE">
      <w:pPr>
        <w:widowControl/>
        <w:spacing w:line="380" w:lineRule="exact"/>
        <w:jc w:val="center"/>
        <w:rPr>
          <w:rFonts w:ascii="仿宋" w:hAnsi="仿宋" w:eastAsia="仿宋" w:cs="仿宋"/>
          <w:color w:val="auto"/>
          <w:sz w:val="24"/>
          <w:highlight w:val="none"/>
        </w:rPr>
      </w:pPr>
    </w:p>
    <w:p w14:paraId="4B0FE24F">
      <w:pPr>
        <w:widowControl/>
        <w:spacing w:line="380" w:lineRule="exact"/>
        <w:jc w:val="center"/>
        <w:rPr>
          <w:rFonts w:ascii="仿宋" w:hAnsi="仿宋" w:eastAsia="仿宋" w:cs="仿宋"/>
          <w:color w:val="auto"/>
          <w:sz w:val="24"/>
          <w:highlight w:val="none"/>
        </w:rPr>
      </w:pPr>
    </w:p>
    <w:p w14:paraId="0883EA32">
      <w:pPr>
        <w:widowControl/>
        <w:spacing w:line="380" w:lineRule="exact"/>
        <w:jc w:val="center"/>
        <w:rPr>
          <w:rFonts w:ascii="仿宋" w:hAnsi="仿宋" w:eastAsia="仿宋" w:cs="仿宋"/>
          <w:color w:val="auto"/>
          <w:sz w:val="24"/>
          <w:highlight w:val="none"/>
        </w:rPr>
      </w:pPr>
    </w:p>
    <w:p w14:paraId="3457A574">
      <w:pPr>
        <w:widowControl/>
        <w:spacing w:line="380" w:lineRule="exact"/>
        <w:jc w:val="center"/>
        <w:rPr>
          <w:rFonts w:ascii="仿宋" w:hAnsi="仿宋" w:eastAsia="仿宋" w:cs="仿宋"/>
          <w:color w:val="auto"/>
          <w:sz w:val="24"/>
          <w:highlight w:val="none"/>
        </w:rPr>
      </w:pPr>
    </w:p>
    <w:p w14:paraId="62536CDB">
      <w:pPr>
        <w:widowControl/>
        <w:spacing w:line="380" w:lineRule="exact"/>
        <w:jc w:val="center"/>
        <w:rPr>
          <w:rFonts w:ascii="仿宋" w:hAnsi="仿宋" w:eastAsia="仿宋" w:cs="仿宋"/>
          <w:color w:val="auto"/>
          <w:sz w:val="24"/>
          <w:highlight w:val="none"/>
        </w:rPr>
      </w:pPr>
    </w:p>
    <w:p w14:paraId="763F0263">
      <w:pPr>
        <w:widowControl/>
        <w:spacing w:line="380" w:lineRule="exact"/>
        <w:jc w:val="center"/>
        <w:rPr>
          <w:rFonts w:ascii="仿宋" w:hAnsi="仿宋" w:eastAsia="仿宋" w:cs="仿宋"/>
          <w:color w:val="auto"/>
          <w:sz w:val="24"/>
          <w:highlight w:val="none"/>
        </w:rPr>
      </w:pPr>
    </w:p>
    <w:p w14:paraId="7DD2A785">
      <w:pPr>
        <w:widowControl/>
        <w:spacing w:line="380" w:lineRule="exact"/>
        <w:jc w:val="center"/>
        <w:rPr>
          <w:rFonts w:ascii="仿宋" w:hAnsi="仿宋" w:eastAsia="仿宋" w:cs="仿宋"/>
          <w:color w:val="auto"/>
          <w:sz w:val="24"/>
          <w:highlight w:val="none"/>
        </w:rPr>
      </w:pPr>
    </w:p>
    <w:p w14:paraId="256D9297">
      <w:pPr>
        <w:widowControl/>
        <w:spacing w:line="380" w:lineRule="exact"/>
        <w:jc w:val="center"/>
        <w:rPr>
          <w:rFonts w:ascii="仿宋" w:hAnsi="仿宋" w:eastAsia="仿宋" w:cs="仿宋"/>
          <w:color w:val="auto"/>
          <w:sz w:val="24"/>
          <w:highlight w:val="none"/>
        </w:rPr>
      </w:pPr>
    </w:p>
    <w:p w14:paraId="7890D8E6">
      <w:pPr>
        <w:widowControl/>
        <w:spacing w:line="380" w:lineRule="exact"/>
        <w:jc w:val="center"/>
        <w:rPr>
          <w:rFonts w:ascii="仿宋" w:hAnsi="仿宋" w:eastAsia="仿宋" w:cs="仿宋"/>
          <w:color w:val="auto"/>
          <w:sz w:val="24"/>
          <w:highlight w:val="none"/>
        </w:rPr>
      </w:pPr>
    </w:p>
    <w:p w14:paraId="59902AAC">
      <w:pPr>
        <w:widowControl/>
        <w:spacing w:line="380" w:lineRule="exact"/>
        <w:jc w:val="center"/>
        <w:rPr>
          <w:rFonts w:ascii="仿宋" w:hAnsi="仿宋" w:eastAsia="仿宋" w:cs="仿宋"/>
          <w:color w:val="auto"/>
          <w:sz w:val="24"/>
          <w:highlight w:val="none"/>
        </w:rPr>
      </w:pPr>
    </w:p>
    <w:p w14:paraId="62A94291">
      <w:pPr>
        <w:widowControl/>
        <w:spacing w:line="380" w:lineRule="exact"/>
        <w:jc w:val="center"/>
        <w:rPr>
          <w:rFonts w:ascii="仿宋" w:hAnsi="仿宋" w:eastAsia="仿宋" w:cs="仿宋"/>
          <w:color w:val="auto"/>
          <w:sz w:val="24"/>
          <w:highlight w:val="none"/>
        </w:rPr>
      </w:pPr>
    </w:p>
    <w:p w14:paraId="6F63F227">
      <w:pPr>
        <w:widowControl/>
        <w:spacing w:line="380" w:lineRule="exact"/>
        <w:jc w:val="center"/>
        <w:rPr>
          <w:rFonts w:ascii="仿宋" w:hAnsi="仿宋" w:eastAsia="仿宋" w:cs="仿宋"/>
          <w:color w:val="auto"/>
          <w:sz w:val="24"/>
          <w:highlight w:val="none"/>
        </w:rPr>
      </w:pPr>
    </w:p>
    <w:p w14:paraId="31B2E2B0">
      <w:pPr>
        <w:widowControl/>
        <w:spacing w:line="380" w:lineRule="exact"/>
        <w:jc w:val="center"/>
        <w:rPr>
          <w:rFonts w:ascii="仿宋" w:hAnsi="仿宋" w:eastAsia="仿宋" w:cs="仿宋"/>
          <w:color w:val="auto"/>
          <w:sz w:val="24"/>
          <w:highlight w:val="none"/>
        </w:rPr>
      </w:pPr>
    </w:p>
    <w:p w14:paraId="243BAF84">
      <w:pPr>
        <w:widowControl/>
        <w:spacing w:line="380" w:lineRule="exact"/>
        <w:jc w:val="center"/>
        <w:rPr>
          <w:rFonts w:ascii="仿宋" w:hAnsi="仿宋" w:eastAsia="仿宋" w:cs="仿宋"/>
          <w:color w:val="auto"/>
          <w:sz w:val="24"/>
          <w:highlight w:val="none"/>
        </w:rPr>
      </w:pPr>
    </w:p>
    <w:p w14:paraId="5EFB91DE">
      <w:pPr>
        <w:widowControl/>
        <w:spacing w:line="380" w:lineRule="exact"/>
        <w:jc w:val="center"/>
        <w:rPr>
          <w:rFonts w:ascii="仿宋" w:hAnsi="仿宋" w:eastAsia="仿宋" w:cs="仿宋"/>
          <w:color w:val="auto"/>
          <w:sz w:val="24"/>
          <w:highlight w:val="none"/>
        </w:rPr>
      </w:pPr>
    </w:p>
    <w:p w14:paraId="168A4A00">
      <w:pPr>
        <w:widowControl/>
        <w:spacing w:line="380" w:lineRule="exact"/>
        <w:jc w:val="center"/>
        <w:rPr>
          <w:rFonts w:ascii="仿宋" w:hAnsi="仿宋" w:eastAsia="仿宋" w:cs="仿宋"/>
          <w:color w:val="auto"/>
          <w:sz w:val="24"/>
          <w:highlight w:val="none"/>
        </w:rPr>
      </w:pPr>
    </w:p>
    <w:p w14:paraId="24E8AB57">
      <w:pPr>
        <w:widowControl/>
        <w:spacing w:line="380" w:lineRule="exact"/>
        <w:jc w:val="center"/>
        <w:rPr>
          <w:rFonts w:ascii="仿宋" w:hAnsi="仿宋" w:eastAsia="仿宋" w:cs="仿宋"/>
          <w:color w:val="auto"/>
          <w:sz w:val="24"/>
          <w:highlight w:val="none"/>
        </w:rPr>
      </w:pPr>
    </w:p>
    <w:p w14:paraId="5C2AD734">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6. 中小企业声明函</w:t>
      </w:r>
    </w:p>
    <w:p w14:paraId="3ADD72B9">
      <w:pPr>
        <w:rPr>
          <w:rFonts w:ascii="仿宋" w:hAnsi="仿宋" w:eastAsia="仿宋" w:cs="仿宋"/>
          <w:color w:val="auto"/>
          <w:sz w:val="24"/>
          <w:highlight w:val="none"/>
        </w:rPr>
      </w:pPr>
    </w:p>
    <w:p w14:paraId="3D09A459">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746402E6">
      <w:pPr>
        <w:rPr>
          <w:rFonts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4169C621">
      <w:pPr>
        <w:widowControl/>
        <w:spacing w:line="380" w:lineRule="exact"/>
        <w:jc w:val="center"/>
        <w:rPr>
          <w:rFonts w:ascii="仿宋" w:hAnsi="仿宋" w:eastAsia="仿宋" w:cs="仿宋"/>
          <w:color w:val="auto"/>
          <w:sz w:val="24"/>
          <w:highlight w:val="none"/>
        </w:rPr>
      </w:pPr>
    </w:p>
    <w:p w14:paraId="69E4EFF7">
      <w:pPr>
        <w:spacing w:line="3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本公司郑重声明，根据《政府采购促进中小企业发展管理办法》（财库[2020]46号）的规定，本公司参加（</w:t>
      </w:r>
      <w:r>
        <w:rPr>
          <w:rFonts w:hint="eastAsia" w:ascii="仿宋" w:hAnsi="仿宋" w:eastAsia="仿宋" w:cs="仿宋"/>
          <w:color w:val="auto"/>
          <w:sz w:val="24"/>
          <w:highlight w:val="none"/>
          <w:u w:val="single"/>
          <w:lang w:val="en-US" w:eastAsia="zh-CN"/>
        </w:rPr>
        <w:t>邳州市纪念场馆管理处</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lang w:val="en-US" w:eastAsia="zh-CN"/>
        </w:rPr>
        <w:t>纪念场馆及烈士陵园物业安保服务项目</w:t>
      </w:r>
      <w:r>
        <w:rPr>
          <w:rFonts w:hint="eastAsia" w:ascii="仿宋" w:hAnsi="仿宋" w:eastAsia="仿宋" w:cs="仿宋"/>
          <w:color w:val="auto"/>
          <w:sz w:val="24"/>
          <w:highlight w:val="none"/>
        </w:rPr>
        <w:t>）采购活动，服务全部由符合政策要求的中小企业承接。相关企业的具体情况如下：</w:t>
      </w:r>
    </w:p>
    <w:p w14:paraId="3A977A3C">
      <w:pPr>
        <w:pStyle w:val="33"/>
        <w:ind w:left="0"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 </w:t>
      </w:r>
      <w:r>
        <w:rPr>
          <w:rFonts w:hint="eastAsia" w:ascii="仿宋" w:hAnsi="仿宋" w:eastAsia="仿宋" w:cs="仿宋"/>
          <w:color w:val="auto"/>
          <w:sz w:val="24"/>
          <w:highlight w:val="none"/>
          <w:u w:val="single"/>
          <w:lang w:val="en-US" w:eastAsia="zh-CN"/>
        </w:rPr>
        <w:t>纪念场馆及烈士陵园物业安保服务项目</w:t>
      </w:r>
      <w:r>
        <w:rPr>
          <w:rFonts w:hint="eastAsia" w:ascii="仿宋" w:hAnsi="仿宋" w:eastAsia="仿宋" w:cs="仿宋"/>
          <w:color w:val="auto"/>
          <w:sz w:val="24"/>
          <w:highlight w:val="none"/>
        </w:rPr>
        <w:t xml:space="preserve">），属于（ </w:t>
      </w:r>
      <w:r>
        <w:rPr>
          <w:rFonts w:hint="eastAsia" w:ascii="仿宋" w:hAnsi="仿宋" w:eastAsia="仿宋" w:cs="宋体"/>
          <w:color w:val="auto"/>
          <w:kern w:val="0"/>
          <w:sz w:val="24"/>
          <w:highlight w:val="none"/>
        </w:rPr>
        <w:t>物业管理</w:t>
      </w:r>
      <w:r>
        <w:rPr>
          <w:rFonts w:hint="eastAsia" w:ascii="仿宋" w:hAnsi="仿宋" w:eastAsia="仿宋" w:cs="仿宋"/>
          <w:color w:val="auto"/>
          <w:sz w:val="24"/>
          <w:highlight w:val="none"/>
        </w:rPr>
        <w:t>）；承接企业为（    ），从业人员（  ）人，营业收入为（   万元），资产总额为（  万元）①，属于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（中型企业、小型企业、微型企业）；</w:t>
      </w:r>
    </w:p>
    <w:p w14:paraId="0360EDAA">
      <w:pPr>
        <w:pStyle w:val="33"/>
        <w:rPr>
          <w:rFonts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以上企业，不属于大企业的分支机构，不存在控股股东为大企业的情形，也</w:t>
      </w:r>
    </w:p>
    <w:p w14:paraId="59170D39">
      <w:pPr>
        <w:pStyle w:val="33"/>
        <w:ind w:left="0"/>
        <w:rPr>
          <w:rFonts w:ascii="仿宋" w:hAnsi="仿宋" w:eastAsia="仿宋" w:cs="仿宋"/>
          <w:color w:val="auto"/>
          <w:sz w:val="24"/>
          <w:highlight w:val="none"/>
        </w:rPr>
      </w:pPr>
      <w:r>
        <w:rPr>
          <w:rFonts w:hint="eastAsia" w:ascii="仿宋" w:hAnsi="仿宋" w:eastAsia="仿宋" w:cs="仿宋"/>
          <w:color w:val="auto"/>
          <w:sz w:val="24"/>
          <w:highlight w:val="none"/>
        </w:rPr>
        <w:t>不存在与大企业的负责人为同一人的情形。</w:t>
      </w:r>
    </w:p>
    <w:p w14:paraId="4844F695">
      <w:pPr>
        <w:pStyle w:val="33"/>
        <w:rPr>
          <w:rFonts w:ascii="仿宋" w:hAnsi="仿宋" w:eastAsia="仿宋" w:cs="仿宋"/>
          <w:color w:val="auto"/>
          <w:sz w:val="24"/>
          <w:highlight w:val="none"/>
        </w:rPr>
      </w:pPr>
      <w:r>
        <w:rPr>
          <w:rFonts w:hint="eastAsia" w:ascii="仿宋" w:hAnsi="仿宋" w:eastAsia="仿宋" w:cs="仿宋"/>
          <w:color w:val="auto"/>
          <w:sz w:val="24"/>
          <w:highlight w:val="none"/>
        </w:rPr>
        <w:t>本企业对上述声明内容的真实性负责。如有虚假，将依法承担相应责任。</w:t>
      </w:r>
    </w:p>
    <w:p w14:paraId="14BCB4C6">
      <w:pPr>
        <w:pStyle w:val="33"/>
        <w:ind w:right="480" w:firstLine="360"/>
        <w:rPr>
          <w:rFonts w:ascii="仿宋" w:hAnsi="仿宋" w:eastAsia="仿宋" w:cs="仿宋"/>
          <w:color w:val="auto"/>
          <w:sz w:val="24"/>
          <w:highlight w:val="none"/>
        </w:rPr>
      </w:pPr>
    </w:p>
    <w:p w14:paraId="38A73DCA">
      <w:pPr>
        <w:pStyle w:val="33"/>
        <w:ind w:right="480" w:firstLine="2640"/>
        <w:rPr>
          <w:rFonts w:ascii="仿宋" w:hAnsi="仿宋" w:eastAsia="仿宋" w:cs="仿宋"/>
          <w:color w:val="auto"/>
          <w:sz w:val="24"/>
          <w:highlight w:val="none"/>
        </w:rPr>
      </w:pPr>
    </w:p>
    <w:p w14:paraId="361CF40D">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企业名称（电子签章）：</w:t>
      </w:r>
      <w:r>
        <w:rPr>
          <w:rFonts w:hint="eastAsia" w:ascii="仿宋" w:hAnsi="仿宋" w:eastAsia="仿宋" w:cs="仿宋"/>
          <w:color w:val="auto"/>
          <w:sz w:val="24"/>
          <w:highlight w:val="none"/>
          <w:u w:val="single"/>
        </w:rPr>
        <w:t xml:space="preserve">                  </w:t>
      </w:r>
    </w:p>
    <w:p w14:paraId="2BD1EE3F">
      <w:pPr>
        <w:spacing w:line="360" w:lineRule="auto"/>
        <w:ind w:firstLine="360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3416B883">
      <w:pPr>
        <w:pStyle w:val="33"/>
        <w:ind w:right="480" w:firstLine="3240"/>
        <w:rPr>
          <w:rFonts w:ascii="仿宋" w:hAnsi="仿宋" w:eastAsia="仿宋" w:cs="仿宋"/>
          <w:color w:val="auto"/>
          <w:sz w:val="24"/>
          <w:highlight w:val="none"/>
        </w:rPr>
      </w:pPr>
    </w:p>
    <w:p w14:paraId="13FD59DB">
      <w:pPr>
        <w:pStyle w:val="33"/>
        <w:rPr>
          <w:rFonts w:ascii="仿宋" w:hAnsi="仿宋" w:eastAsia="仿宋" w:cs="仿宋"/>
          <w:color w:val="auto"/>
          <w:sz w:val="24"/>
          <w:highlight w:val="none"/>
        </w:rPr>
      </w:pPr>
    </w:p>
    <w:p w14:paraId="3F55DB07">
      <w:pPr>
        <w:pStyle w:val="33"/>
        <w:rPr>
          <w:rFonts w:ascii="仿宋" w:hAnsi="仿宋" w:eastAsia="仿宋" w:cs="仿宋"/>
          <w:color w:val="auto"/>
          <w:sz w:val="24"/>
          <w:highlight w:val="none"/>
        </w:rPr>
      </w:pPr>
    </w:p>
    <w:p w14:paraId="2B615813">
      <w:pPr>
        <w:pStyle w:val="33"/>
        <w:rPr>
          <w:rFonts w:ascii="仿宋" w:hAnsi="仿宋" w:eastAsia="仿宋" w:cs="仿宋"/>
          <w:color w:val="auto"/>
          <w:sz w:val="24"/>
          <w:highlight w:val="none"/>
        </w:rPr>
      </w:pPr>
    </w:p>
    <w:p w14:paraId="1C94ED85">
      <w:pPr>
        <w:pStyle w:val="33"/>
        <w:rPr>
          <w:rFonts w:ascii="仿宋" w:hAnsi="仿宋" w:eastAsia="仿宋" w:cs="仿宋"/>
          <w:color w:val="auto"/>
          <w:sz w:val="24"/>
          <w:highlight w:val="none"/>
        </w:rPr>
      </w:pPr>
    </w:p>
    <w:p w14:paraId="4CBCB074">
      <w:pPr>
        <w:pStyle w:val="33"/>
        <w:rPr>
          <w:rFonts w:ascii="仿宋" w:hAnsi="仿宋" w:eastAsia="仿宋" w:cs="仿宋"/>
          <w:color w:val="auto"/>
          <w:sz w:val="24"/>
          <w:highlight w:val="none"/>
        </w:rPr>
      </w:pPr>
      <w:r>
        <w:rPr>
          <w:rFonts w:hint="eastAsia" w:ascii="仿宋" w:hAnsi="仿宋" w:eastAsia="仿宋" w:cs="仿宋"/>
          <w:color w:val="auto"/>
          <w:sz w:val="24"/>
          <w:highlight w:val="none"/>
        </w:rPr>
        <w:t>①：从业人员、营业收入、资产总额填报上一年度数据，无上一年度数据的新成立企业可不填报。</w:t>
      </w:r>
    </w:p>
    <w:p w14:paraId="1D4BE071">
      <w:pPr>
        <w:ind w:firstLine="2400"/>
        <w:rPr>
          <w:rFonts w:ascii="仿宋" w:hAnsi="仿宋" w:eastAsia="仿宋" w:cs="仿宋"/>
          <w:color w:val="auto"/>
          <w:sz w:val="24"/>
          <w:highlight w:val="none"/>
        </w:rPr>
      </w:pPr>
    </w:p>
    <w:p w14:paraId="46E30A7C">
      <w:pPr>
        <w:ind w:firstLine="2400"/>
        <w:rPr>
          <w:rFonts w:hint="eastAsia" w:ascii="仿宋" w:hAnsi="仿宋" w:eastAsia="仿宋" w:cs="仿宋"/>
          <w:color w:val="auto"/>
          <w:sz w:val="24"/>
          <w:highlight w:val="none"/>
          <w:lang w:val="en-US" w:eastAsia="zh-CN"/>
        </w:rPr>
      </w:pPr>
    </w:p>
    <w:p w14:paraId="654AA944">
      <w:pPr>
        <w:jc w:val="center"/>
        <w:rPr>
          <w:rFonts w:ascii="仿宋" w:hAnsi="仿宋" w:eastAsia="仿宋" w:cs="仿宋"/>
          <w:color w:val="auto"/>
          <w:sz w:val="24"/>
          <w:highlight w:val="none"/>
        </w:rPr>
      </w:pPr>
    </w:p>
    <w:p w14:paraId="6EBF8F5D">
      <w:pPr>
        <w:pStyle w:val="34"/>
        <w:rPr>
          <w:rFonts w:ascii="仿宋" w:hAnsi="仿宋" w:cs="仿宋"/>
          <w:color w:val="auto"/>
          <w:sz w:val="24"/>
          <w:szCs w:val="24"/>
          <w:highlight w:val="none"/>
        </w:rPr>
      </w:pPr>
    </w:p>
    <w:p w14:paraId="53C7EB7B">
      <w:pPr>
        <w:pStyle w:val="34"/>
        <w:rPr>
          <w:rFonts w:ascii="仿宋" w:hAnsi="仿宋" w:cs="仿宋"/>
          <w:color w:val="auto"/>
          <w:sz w:val="24"/>
          <w:szCs w:val="24"/>
          <w:highlight w:val="none"/>
        </w:rPr>
      </w:pPr>
    </w:p>
    <w:p w14:paraId="2F72BE92">
      <w:pPr>
        <w:rPr>
          <w:rFonts w:ascii="仿宋" w:hAnsi="仿宋" w:eastAsia="仿宋" w:cs="仿宋"/>
          <w:color w:val="auto"/>
          <w:sz w:val="24"/>
          <w:highlight w:val="none"/>
        </w:rPr>
      </w:pPr>
    </w:p>
    <w:p w14:paraId="3DA7A7CE">
      <w:pPr>
        <w:pStyle w:val="45"/>
        <w:rPr>
          <w:rFonts w:ascii="仿宋" w:hAnsi="仿宋" w:eastAsia="仿宋" w:cs="仿宋"/>
          <w:color w:val="auto"/>
          <w:sz w:val="24"/>
          <w:szCs w:val="24"/>
          <w:highlight w:val="none"/>
        </w:rPr>
      </w:pPr>
    </w:p>
    <w:p w14:paraId="60FA7D84">
      <w:pPr>
        <w:jc w:val="center"/>
        <w:rPr>
          <w:rFonts w:ascii="仿宋" w:hAnsi="仿宋" w:eastAsia="仿宋" w:cs="仿宋"/>
          <w:color w:val="auto"/>
          <w:sz w:val="24"/>
          <w:highlight w:val="none"/>
        </w:rPr>
      </w:pPr>
    </w:p>
    <w:p w14:paraId="10BD2149">
      <w:pPr>
        <w:jc w:val="center"/>
        <w:rPr>
          <w:rFonts w:ascii="仿宋" w:hAnsi="仿宋" w:eastAsia="仿宋" w:cs="仿宋"/>
          <w:color w:val="auto"/>
          <w:sz w:val="24"/>
          <w:highlight w:val="none"/>
        </w:rPr>
      </w:pPr>
    </w:p>
    <w:p w14:paraId="48D88592">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7. 投标人参加政府采购活动前3年内在经营活动中没有重大违法记录的书面声明</w:t>
      </w:r>
    </w:p>
    <w:p w14:paraId="09A5C969">
      <w:pPr>
        <w:jc w:val="center"/>
        <w:rPr>
          <w:rFonts w:ascii="仿宋" w:hAnsi="仿宋" w:eastAsia="仿宋" w:cs="仿宋"/>
          <w:color w:val="auto"/>
          <w:sz w:val="24"/>
          <w:highlight w:val="none"/>
        </w:rPr>
      </w:pPr>
    </w:p>
    <w:p w14:paraId="3D6EE575">
      <w:pPr>
        <w:rPr>
          <w:rFonts w:ascii="仿宋" w:hAnsi="仿宋" w:eastAsia="仿宋" w:cs="仿宋"/>
          <w:color w:val="auto"/>
          <w:sz w:val="24"/>
          <w:highlight w:val="none"/>
        </w:rPr>
      </w:pPr>
      <w:r>
        <w:rPr>
          <w:rFonts w:hint="eastAsia" w:ascii="仿宋" w:hAnsi="仿宋" w:eastAsia="仿宋" w:cs="仿宋"/>
          <w:color w:val="auto"/>
          <w:sz w:val="24"/>
          <w:highlight w:val="none"/>
        </w:rPr>
        <w:t>我单位在参加（</w:t>
      </w:r>
      <w:r>
        <w:rPr>
          <w:rFonts w:hint="eastAsia" w:ascii="仿宋" w:hAnsi="仿宋" w:eastAsia="仿宋" w:cs="仿宋"/>
          <w:color w:val="auto"/>
          <w:sz w:val="24"/>
          <w:highlight w:val="none"/>
          <w:u w:val="single"/>
          <w:lang w:val="en-US" w:eastAsia="zh-CN"/>
        </w:rPr>
        <w:t>纪念场馆及烈士陵园物业安保服务项目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）项目（项目编号：</w:t>
      </w:r>
      <w:r>
        <w:rPr>
          <w:rFonts w:hint="eastAsia" w:ascii="仿宋" w:hAnsi="仿宋" w:eastAsia="仿宋" w:cs="仿宋"/>
          <w:color w:val="auto"/>
          <w:sz w:val="24"/>
          <w:highlight w:val="none"/>
          <w:u w:val="single"/>
          <w:lang w:eastAsia="zh-CN"/>
        </w:rPr>
        <w:t>JSZC-320382-PZZC-G2026-0005</w:t>
      </w:r>
      <w:r>
        <w:rPr>
          <w:rFonts w:hint="eastAsia" w:ascii="仿宋" w:hAnsi="仿宋" w:eastAsia="仿宋" w:cs="仿宋"/>
          <w:color w:val="auto"/>
          <w:sz w:val="24"/>
          <w:highlight w:val="none"/>
        </w:rPr>
        <w:t>）政府采购活动前3年内在经营活动中没有重大违法记录。重大违法记录是指因违法经营受到刑事处罚或者责令停产停业、吊销许可证或者执照、较大数额罚款等行政处罚。</w:t>
      </w:r>
    </w:p>
    <w:p w14:paraId="1551F51D">
      <w:pPr>
        <w:pStyle w:val="53"/>
        <w:ind w:firstLine="600"/>
        <w:rPr>
          <w:rFonts w:ascii="仿宋" w:hAnsi="仿宋" w:eastAsia="仿宋" w:cs="仿宋"/>
          <w:color w:val="auto"/>
          <w:highlight w:val="none"/>
        </w:rPr>
      </w:pPr>
      <w:r>
        <w:rPr>
          <w:rFonts w:hint="eastAsia" w:ascii="仿宋" w:hAnsi="仿宋" w:eastAsia="仿宋" w:cs="仿宋"/>
          <w:color w:val="auto"/>
          <w:highlight w:val="none"/>
        </w:rPr>
        <w:t>我单位对上述声明的真实性负责。如有虚假，将依法承担相应责任。</w:t>
      </w:r>
    </w:p>
    <w:p w14:paraId="0614EB09">
      <w:pPr>
        <w:spacing w:line="360" w:lineRule="auto"/>
        <w:ind w:firstLine="600"/>
        <w:rPr>
          <w:rFonts w:ascii="仿宋" w:hAnsi="仿宋" w:eastAsia="仿宋" w:cs="仿宋"/>
          <w:color w:val="auto"/>
          <w:sz w:val="24"/>
          <w:highlight w:val="none"/>
        </w:rPr>
      </w:pPr>
    </w:p>
    <w:p w14:paraId="03BAE9FF">
      <w:pPr>
        <w:spacing w:line="360" w:lineRule="auto"/>
        <w:rPr>
          <w:rFonts w:ascii="仿宋" w:hAnsi="仿宋" w:eastAsia="仿宋" w:cs="仿宋"/>
          <w:color w:val="auto"/>
          <w:sz w:val="24"/>
          <w:highlight w:val="none"/>
        </w:rPr>
      </w:pPr>
    </w:p>
    <w:p w14:paraId="0058E665">
      <w:pPr>
        <w:spacing w:line="360" w:lineRule="auto"/>
        <w:rPr>
          <w:rFonts w:ascii="仿宋" w:hAnsi="仿宋" w:eastAsia="仿宋" w:cs="仿宋"/>
          <w:color w:val="auto"/>
          <w:sz w:val="24"/>
          <w:highlight w:val="none"/>
        </w:rPr>
      </w:pPr>
    </w:p>
    <w:p w14:paraId="3F186641">
      <w:pPr>
        <w:spacing w:line="300" w:lineRule="auto"/>
        <w:ind w:firstLine="384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70A39587">
      <w:pPr>
        <w:spacing w:line="360" w:lineRule="auto"/>
        <w:ind w:firstLine="384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49EDEF2F">
      <w:pPr>
        <w:spacing w:line="360" w:lineRule="auto"/>
        <w:ind w:firstLine="4560"/>
        <w:rPr>
          <w:rFonts w:ascii="仿宋" w:hAnsi="仿宋" w:eastAsia="仿宋" w:cs="仿宋"/>
          <w:color w:val="auto"/>
          <w:sz w:val="24"/>
          <w:highlight w:val="none"/>
        </w:rPr>
      </w:pPr>
    </w:p>
    <w:p w14:paraId="396F2A54">
      <w:pPr>
        <w:spacing w:line="360" w:lineRule="auto"/>
        <w:ind w:firstLine="4560"/>
        <w:rPr>
          <w:rFonts w:ascii="仿宋" w:hAnsi="仿宋" w:eastAsia="仿宋" w:cs="仿宋"/>
          <w:color w:val="auto"/>
          <w:sz w:val="24"/>
          <w:highlight w:val="none"/>
        </w:rPr>
      </w:pPr>
    </w:p>
    <w:p w14:paraId="73643C56">
      <w:pPr>
        <w:spacing w:line="360" w:lineRule="auto"/>
        <w:ind w:firstLine="4560"/>
        <w:rPr>
          <w:rFonts w:ascii="仿宋" w:hAnsi="仿宋" w:eastAsia="仿宋" w:cs="仿宋"/>
          <w:color w:val="auto"/>
          <w:sz w:val="24"/>
          <w:highlight w:val="none"/>
        </w:rPr>
      </w:pPr>
    </w:p>
    <w:p w14:paraId="43D3E4B1">
      <w:pPr>
        <w:spacing w:line="360" w:lineRule="auto"/>
        <w:ind w:firstLine="4560"/>
        <w:rPr>
          <w:rFonts w:ascii="仿宋" w:hAnsi="仿宋" w:eastAsia="仿宋" w:cs="仿宋"/>
          <w:color w:val="auto"/>
          <w:sz w:val="24"/>
          <w:highlight w:val="none"/>
        </w:rPr>
      </w:pPr>
    </w:p>
    <w:p w14:paraId="010F40EC">
      <w:pPr>
        <w:spacing w:line="360" w:lineRule="auto"/>
        <w:ind w:firstLine="4560"/>
        <w:rPr>
          <w:rFonts w:ascii="仿宋" w:hAnsi="仿宋" w:eastAsia="仿宋" w:cs="仿宋"/>
          <w:color w:val="auto"/>
          <w:sz w:val="24"/>
          <w:highlight w:val="none"/>
        </w:rPr>
      </w:pPr>
    </w:p>
    <w:p w14:paraId="6F42B312">
      <w:pPr>
        <w:spacing w:line="360" w:lineRule="auto"/>
        <w:ind w:firstLine="4560"/>
        <w:rPr>
          <w:rFonts w:ascii="仿宋" w:hAnsi="仿宋" w:eastAsia="仿宋" w:cs="仿宋"/>
          <w:color w:val="auto"/>
          <w:sz w:val="24"/>
          <w:highlight w:val="none"/>
        </w:rPr>
      </w:pPr>
    </w:p>
    <w:p w14:paraId="01158C0A">
      <w:pPr>
        <w:spacing w:line="360" w:lineRule="auto"/>
        <w:ind w:firstLine="4560"/>
        <w:rPr>
          <w:rFonts w:ascii="仿宋" w:hAnsi="仿宋" w:eastAsia="仿宋" w:cs="仿宋"/>
          <w:color w:val="auto"/>
          <w:sz w:val="24"/>
          <w:highlight w:val="none"/>
        </w:rPr>
      </w:pPr>
    </w:p>
    <w:p w14:paraId="3228F90A">
      <w:pPr>
        <w:spacing w:line="360" w:lineRule="auto"/>
        <w:ind w:firstLine="4560"/>
        <w:rPr>
          <w:rFonts w:ascii="仿宋" w:hAnsi="仿宋" w:eastAsia="仿宋" w:cs="仿宋"/>
          <w:color w:val="auto"/>
          <w:sz w:val="24"/>
          <w:highlight w:val="none"/>
        </w:rPr>
      </w:pPr>
    </w:p>
    <w:p w14:paraId="325CA257">
      <w:pPr>
        <w:spacing w:line="588" w:lineRule="exact"/>
        <w:jc w:val="center"/>
        <w:rPr>
          <w:rFonts w:ascii="仿宋" w:hAnsi="仿宋" w:eastAsia="仿宋" w:cs="仿宋"/>
          <w:color w:val="auto"/>
          <w:sz w:val="24"/>
          <w:highlight w:val="none"/>
        </w:rPr>
      </w:pPr>
    </w:p>
    <w:p w14:paraId="2A3FB1CB">
      <w:pPr>
        <w:pStyle w:val="45"/>
        <w:rPr>
          <w:rFonts w:ascii="仿宋" w:hAnsi="仿宋" w:eastAsia="仿宋" w:cs="仿宋"/>
          <w:color w:val="auto"/>
          <w:sz w:val="24"/>
          <w:szCs w:val="24"/>
          <w:highlight w:val="none"/>
        </w:rPr>
      </w:pPr>
    </w:p>
    <w:p w14:paraId="2B0FFA2C">
      <w:pPr>
        <w:spacing w:line="588" w:lineRule="exact"/>
        <w:jc w:val="center"/>
        <w:rPr>
          <w:rFonts w:ascii="仿宋" w:hAnsi="仿宋" w:eastAsia="仿宋" w:cs="仿宋"/>
          <w:color w:val="auto"/>
          <w:sz w:val="24"/>
          <w:highlight w:val="none"/>
        </w:rPr>
      </w:pPr>
    </w:p>
    <w:p w14:paraId="14C06034">
      <w:pPr>
        <w:spacing w:line="588" w:lineRule="exact"/>
        <w:jc w:val="center"/>
        <w:rPr>
          <w:rFonts w:ascii="仿宋" w:hAnsi="仿宋" w:eastAsia="仿宋" w:cs="仿宋"/>
          <w:color w:val="auto"/>
          <w:sz w:val="24"/>
          <w:highlight w:val="none"/>
        </w:rPr>
      </w:pPr>
    </w:p>
    <w:p w14:paraId="5F56A07C">
      <w:pPr>
        <w:spacing w:line="588" w:lineRule="exact"/>
        <w:jc w:val="center"/>
        <w:rPr>
          <w:rFonts w:ascii="仿宋" w:hAnsi="仿宋" w:eastAsia="仿宋" w:cs="仿宋"/>
          <w:color w:val="auto"/>
          <w:sz w:val="24"/>
          <w:highlight w:val="none"/>
        </w:rPr>
      </w:pPr>
    </w:p>
    <w:p w14:paraId="27645799">
      <w:pPr>
        <w:spacing w:line="588" w:lineRule="exact"/>
        <w:jc w:val="center"/>
        <w:rPr>
          <w:rFonts w:ascii="仿宋" w:hAnsi="仿宋" w:eastAsia="仿宋" w:cs="仿宋"/>
          <w:color w:val="auto"/>
          <w:sz w:val="24"/>
          <w:highlight w:val="none"/>
        </w:rPr>
      </w:pPr>
    </w:p>
    <w:p w14:paraId="1B9D585A">
      <w:pPr>
        <w:spacing w:line="588" w:lineRule="exact"/>
        <w:jc w:val="center"/>
        <w:rPr>
          <w:rFonts w:ascii="仿宋" w:hAnsi="仿宋" w:eastAsia="仿宋" w:cs="仿宋"/>
          <w:color w:val="auto"/>
          <w:sz w:val="24"/>
          <w:highlight w:val="none"/>
        </w:rPr>
      </w:pPr>
    </w:p>
    <w:p w14:paraId="740B3197">
      <w:pPr>
        <w:spacing w:line="588" w:lineRule="exact"/>
        <w:jc w:val="center"/>
        <w:rPr>
          <w:rFonts w:ascii="仿宋" w:hAnsi="仿宋" w:eastAsia="仿宋" w:cs="仿宋"/>
          <w:color w:val="auto"/>
          <w:sz w:val="24"/>
          <w:highlight w:val="none"/>
        </w:rPr>
      </w:pPr>
    </w:p>
    <w:p w14:paraId="7A8B15FC">
      <w:pPr>
        <w:pStyle w:val="45"/>
        <w:rPr>
          <w:color w:val="auto"/>
          <w:highlight w:val="none"/>
        </w:rPr>
      </w:pPr>
    </w:p>
    <w:p w14:paraId="159CC892">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8.</w:t>
      </w:r>
      <w:bookmarkStart w:id="4" w:name="OLE_LINK14"/>
      <w:bookmarkStart w:id="5" w:name="OLE_LINK13"/>
      <w:r>
        <w:rPr>
          <w:rFonts w:hint="eastAsia" w:ascii="仿宋" w:hAnsi="仿宋" w:eastAsia="仿宋"/>
          <w:color w:val="auto"/>
          <w:sz w:val="24"/>
          <w:highlight w:val="none"/>
          <w:lang w:val="en-US" w:eastAsia="zh-CN"/>
        </w:rPr>
        <w:t xml:space="preserve"> 残疾人福利性单位声明函</w:t>
      </w:r>
      <w:bookmarkEnd w:id="4"/>
      <w:bookmarkEnd w:id="5"/>
    </w:p>
    <w:p w14:paraId="6AA4C288">
      <w:pPr>
        <w:rPr>
          <w:rFonts w:ascii="仿宋" w:hAnsi="仿宋" w:eastAsia="仿宋" w:cs="仿宋"/>
          <w:color w:val="auto"/>
          <w:sz w:val="24"/>
          <w:highlight w:val="none"/>
        </w:rPr>
      </w:pPr>
    </w:p>
    <w:p w14:paraId="433182F7">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7E9D319C">
      <w:pPr>
        <w:rPr>
          <w:rFonts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2F1CB19D">
      <w:pPr>
        <w:spacing w:line="588" w:lineRule="exact"/>
        <w:rPr>
          <w:rFonts w:ascii="仿宋" w:hAnsi="仿宋" w:eastAsia="仿宋" w:cs="仿宋"/>
          <w:color w:val="auto"/>
          <w:spacing w:val="6"/>
          <w:sz w:val="24"/>
          <w:highlight w:val="none"/>
        </w:rPr>
      </w:pPr>
    </w:p>
    <w:p w14:paraId="390A3174">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 141</w:t>
      </w:r>
      <w:r>
        <w:rPr>
          <w:rFonts w:hint="eastAsia" w:ascii="仿宋" w:hAnsi="仿宋" w:eastAsia="仿宋" w:cs="仿宋"/>
          <w:color w:val="auto"/>
          <w:spacing w:val="6"/>
          <w:sz w:val="24"/>
          <w:highlight w:val="none"/>
        </w:rPr>
        <w:t>号）的规定，本单位为符合条件的残疾人福利性单位，且本单位参加</w:t>
      </w:r>
      <w:r>
        <w:rPr>
          <w:rFonts w:hint="eastAsia" w:ascii="仿宋" w:hAnsi="仿宋" w:eastAsia="仿宋" w:cs="仿宋"/>
          <w:color w:val="auto"/>
          <w:spacing w:val="6"/>
          <w:sz w:val="24"/>
          <w:highlight w:val="none"/>
          <w:u w:val="single"/>
          <w:lang w:val="en-US" w:eastAsia="zh-CN"/>
        </w:rPr>
        <w:t>邳州市纪念场馆管理处</w:t>
      </w:r>
      <w:r>
        <w:rPr>
          <w:rFonts w:hint="eastAsia" w:ascii="仿宋" w:hAnsi="仿宋" w:eastAsia="仿宋" w:cs="仿宋"/>
          <w:color w:val="auto"/>
          <w:spacing w:val="6"/>
          <w:sz w:val="24"/>
          <w:highlight w:val="none"/>
        </w:rPr>
        <w:t>单位的</w:t>
      </w:r>
      <w:r>
        <w:rPr>
          <w:rFonts w:hint="eastAsia" w:ascii="仿宋" w:hAnsi="仿宋" w:eastAsia="仿宋" w:cs="仿宋"/>
          <w:color w:val="auto"/>
          <w:spacing w:val="6"/>
          <w:sz w:val="24"/>
          <w:highlight w:val="none"/>
          <w:u w:val="single"/>
          <w:lang w:val="en-US" w:eastAsia="zh-CN"/>
        </w:rPr>
        <w:t>纪念场馆及烈士陵园物业安保服务项目</w:t>
      </w:r>
      <w:r>
        <w:rPr>
          <w:rFonts w:hint="eastAsia" w:ascii="仿宋" w:hAnsi="仿宋" w:eastAsia="仿宋" w:cs="仿宋"/>
          <w:color w:val="auto"/>
          <w:spacing w:val="6"/>
          <w:sz w:val="24"/>
          <w:highlight w:val="none"/>
        </w:rPr>
        <w:t>项目采购活动提供服务，或者提供其他残疾人福利性单位制造的货物（不包括使用非残疾人福利性单位注册商标的货物）。</w:t>
      </w:r>
    </w:p>
    <w:p w14:paraId="2224E44B">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14:paraId="4BF2FD29">
      <w:pPr>
        <w:spacing w:line="588" w:lineRule="exact"/>
        <w:ind w:firstLine="504"/>
        <w:rPr>
          <w:rFonts w:ascii="仿宋" w:hAnsi="仿宋" w:eastAsia="仿宋" w:cs="仿宋"/>
          <w:color w:val="auto"/>
          <w:spacing w:val="6"/>
          <w:sz w:val="24"/>
          <w:highlight w:val="none"/>
        </w:rPr>
      </w:pPr>
    </w:p>
    <w:p w14:paraId="5C3903BC">
      <w:pPr>
        <w:spacing w:line="588" w:lineRule="exact"/>
        <w:ind w:firstLine="504"/>
        <w:rPr>
          <w:rFonts w:ascii="仿宋" w:hAnsi="仿宋" w:eastAsia="仿宋" w:cs="仿宋"/>
          <w:color w:val="auto"/>
          <w:spacing w:val="6"/>
          <w:sz w:val="24"/>
          <w:highlight w:val="none"/>
        </w:rPr>
      </w:pPr>
    </w:p>
    <w:p w14:paraId="53C82278">
      <w:pPr>
        <w:tabs>
          <w:tab w:val="left" w:pos="4860"/>
        </w:tabs>
        <w:spacing w:line="588" w:lineRule="exact"/>
        <w:ind w:right="-58" w:firstLine="504"/>
        <w:jc w:val="center"/>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（电子签章）：</w:t>
      </w:r>
    </w:p>
    <w:p w14:paraId="156495AC">
      <w:pPr>
        <w:tabs>
          <w:tab w:val="left" w:pos="4860"/>
        </w:tabs>
        <w:spacing w:line="588" w:lineRule="exact"/>
        <w:ind w:right="1560" w:firstLine="504"/>
        <w:jc w:val="center"/>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w:t>
      </w:r>
      <w:r>
        <w:rPr>
          <w:rFonts w:hint="eastAsia" w:ascii="仿宋" w:hAnsi="仿宋" w:eastAsia="仿宋" w:cs="仿宋"/>
          <w:color w:val="auto"/>
          <w:spacing w:val="6"/>
          <w:sz w:val="24"/>
          <w:highlight w:val="none"/>
          <w:lang w:val="en-US" w:eastAsia="zh-CN"/>
        </w:rPr>
        <w:t xml:space="preserve">  </w:t>
      </w:r>
      <w:r>
        <w:rPr>
          <w:rFonts w:hint="eastAsia" w:ascii="仿宋" w:hAnsi="仿宋" w:eastAsia="仿宋" w:cs="仿宋"/>
          <w:color w:val="auto"/>
          <w:spacing w:val="6"/>
          <w:sz w:val="24"/>
          <w:highlight w:val="none"/>
        </w:rPr>
        <w:t xml:space="preserve"> 日  期：</w:t>
      </w:r>
    </w:p>
    <w:p w14:paraId="7269B5F3">
      <w:pPr>
        <w:widowControl/>
        <w:jc w:val="left"/>
        <w:rPr>
          <w:rFonts w:ascii="仿宋" w:hAnsi="仿宋" w:eastAsia="仿宋" w:cs="仿宋"/>
          <w:color w:val="auto"/>
          <w:sz w:val="24"/>
          <w:highlight w:val="none"/>
        </w:rPr>
      </w:pPr>
      <w:r>
        <w:rPr>
          <w:rFonts w:hint="eastAsia" w:ascii="仿宋" w:hAnsi="仿宋" w:eastAsia="仿宋" w:cs="仿宋"/>
          <w:color w:val="auto"/>
          <w:sz w:val="24"/>
          <w:highlight w:val="none"/>
        </w:rPr>
        <w:t>说明：</w:t>
      </w:r>
    </w:p>
    <w:p w14:paraId="4F3CCDC6">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中标、成交供应商为残疾人福利性单位的，采购人或者其委托的采购代理机构应当随中标、成交结果同时公告其《残疾人福利性单位声明函》，接受社会监督。</w:t>
      </w:r>
    </w:p>
    <w:p w14:paraId="0273558D">
      <w:pPr>
        <w:widowControl/>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供应商提供的《残疾人福利性单位声明函》与事实不符的，依照《政府采购法》第七十七条第一款的规定追究法律责任。</w:t>
      </w:r>
    </w:p>
    <w:p w14:paraId="3BD5FEFE">
      <w:pPr>
        <w:widowControl/>
        <w:ind w:firstLine="480"/>
        <w:jc w:val="left"/>
        <w:rPr>
          <w:rFonts w:ascii="仿宋" w:hAnsi="仿宋" w:eastAsia="仿宋" w:cs="仿宋"/>
          <w:color w:val="auto"/>
          <w:sz w:val="24"/>
          <w:highlight w:val="none"/>
        </w:rPr>
      </w:pPr>
    </w:p>
    <w:p w14:paraId="2C25413A">
      <w:pPr>
        <w:widowControl/>
        <w:ind w:firstLine="480"/>
        <w:jc w:val="left"/>
        <w:rPr>
          <w:rFonts w:ascii="仿宋" w:hAnsi="仿宋" w:eastAsia="仿宋" w:cs="仿宋"/>
          <w:color w:val="auto"/>
          <w:sz w:val="24"/>
          <w:highlight w:val="none"/>
        </w:rPr>
      </w:pPr>
    </w:p>
    <w:p w14:paraId="13460BAF">
      <w:pPr>
        <w:widowControl/>
        <w:ind w:firstLine="480"/>
        <w:jc w:val="left"/>
        <w:rPr>
          <w:rFonts w:ascii="仿宋" w:hAnsi="仿宋" w:eastAsia="仿宋" w:cs="仿宋"/>
          <w:color w:val="auto"/>
          <w:sz w:val="24"/>
          <w:highlight w:val="none"/>
        </w:rPr>
      </w:pPr>
    </w:p>
    <w:p w14:paraId="424BB6EB">
      <w:pPr>
        <w:pStyle w:val="34"/>
        <w:rPr>
          <w:rFonts w:ascii="仿宋" w:hAnsi="仿宋" w:cs="仿宋"/>
          <w:color w:val="auto"/>
          <w:sz w:val="24"/>
          <w:szCs w:val="24"/>
          <w:highlight w:val="none"/>
        </w:rPr>
      </w:pPr>
    </w:p>
    <w:p w14:paraId="1095E7C1">
      <w:pPr>
        <w:widowControl/>
        <w:ind w:firstLine="480"/>
        <w:jc w:val="left"/>
        <w:rPr>
          <w:rFonts w:ascii="仿宋" w:hAnsi="仿宋" w:eastAsia="仿宋" w:cs="仿宋"/>
          <w:color w:val="auto"/>
          <w:sz w:val="24"/>
          <w:highlight w:val="none"/>
        </w:rPr>
      </w:pPr>
    </w:p>
    <w:p w14:paraId="519BD6E2">
      <w:pPr>
        <w:jc w:val="center"/>
        <w:rPr>
          <w:rFonts w:ascii="仿宋" w:hAnsi="仿宋" w:eastAsia="仿宋" w:cs="仿宋"/>
          <w:color w:val="auto"/>
          <w:sz w:val="24"/>
          <w:highlight w:val="none"/>
        </w:rPr>
      </w:pPr>
    </w:p>
    <w:p w14:paraId="4039B882">
      <w:pPr>
        <w:jc w:val="center"/>
        <w:rPr>
          <w:rFonts w:ascii="仿宋" w:hAnsi="仿宋" w:eastAsia="仿宋" w:cs="仿宋"/>
          <w:color w:val="auto"/>
          <w:sz w:val="24"/>
          <w:highlight w:val="none"/>
        </w:rPr>
      </w:pPr>
    </w:p>
    <w:p w14:paraId="14920E05">
      <w:pPr>
        <w:jc w:val="center"/>
        <w:rPr>
          <w:rFonts w:ascii="仿宋" w:hAnsi="仿宋" w:eastAsia="仿宋" w:cs="仿宋"/>
          <w:color w:val="auto"/>
          <w:sz w:val="24"/>
          <w:highlight w:val="none"/>
        </w:rPr>
      </w:pPr>
    </w:p>
    <w:p w14:paraId="700457BF">
      <w:pPr>
        <w:jc w:val="center"/>
        <w:rPr>
          <w:rFonts w:ascii="仿宋" w:hAnsi="仿宋" w:eastAsia="仿宋" w:cs="仿宋"/>
          <w:color w:val="auto"/>
          <w:sz w:val="24"/>
          <w:highlight w:val="none"/>
        </w:rPr>
      </w:pPr>
    </w:p>
    <w:p w14:paraId="2570CBD3">
      <w:pPr>
        <w:jc w:val="center"/>
        <w:rPr>
          <w:rFonts w:ascii="仿宋" w:hAnsi="仿宋" w:eastAsia="仿宋" w:cs="仿宋"/>
          <w:color w:val="auto"/>
          <w:sz w:val="24"/>
          <w:highlight w:val="none"/>
        </w:rPr>
      </w:pPr>
    </w:p>
    <w:p w14:paraId="654C60A4">
      <w:pPr>
        <w:jc w:val="center"/>
        <w:rPr>
          <w:rFonts w:ascii="仿宋" w:hAnsi="仿宋" w:eastAsia="仿宋" w:cs="仿宋"/>
          <w:color w:val="auto"/>
          <w:sz w:val="24"/>
          <w:highlight w:val="none"/>
        </w:rPr>
      </w:pPr>
    </w:p>
    <w:p w14:paraId="16943092">
      <w:pPr>
        <w:jc w:val="center"/>
        <w:rPr>
          <w:rFonts w:ascii="仿宋" w:hAnsi="仿宋" w:eastAsia="仿宋" w:cs="仿宋"/>
          <w:color w:val="auto"/>
          <w:sz w:val="24"/>
          <w:highlight w:val="none"/>
        </w:rPr>
      </w:pPr>
    </w:p>
    <w:p w14:paraId="5C987F85">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9. 具备履行合同所必需的设备和专业技术能力的书面声明</w:t>
      </w:r>
    </w:p>
    <w:p w14:paraId="640492B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（附证明材料的扫描件）</w:t>
      </w:r>
    </w:p>
    <w:p w14:paraId="4813CD14">
      <w:pPr>
        <w:rPr>
          <w:rFonts w:ascii="仿宋" w:hAnsi="仿宋" w:eastAsia="仿宋" w:cs="仿宋"/>
          <w:color w:val="auto"/>
          <w:sz w:val="24"/>
          <w:highlight w:val="none"/>
        </w:rPr>
      </w:pPr>
    </w:p>
    <w:p w14:paraId="6A06F979">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74B575E5">
      <w:pPr>
        <w:rPr>
          <w:rFonts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4C86F1BD">
      <w:pPr>
        <w:widowControl/>
        <w:ind w:firstLine="480"/>
        <w:jc w:val="left"/>
        <w:rPr>
          <w:rFonts w:ascii="仿宋" w:hAnsi="仿宋" w:eastAsia="仿宋" w:cs="仿宋"/>
          <w:color w:val="auto"/>
          <w:sz w:val="24"/>
          <w:highlight w:val="none"/>
        </w:rPr>
      </w:pPr>
    </w:p>
    <w:p w14:paraId="7D2C2F4C">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投标人郑重声明：投标人具备履行合同（项目名称： </w:t>
      </w:r>
      <w:r>
        <w:rPr>
          <w:rFonts w:hint="eastAsia" w:ascii="仿宋" w:hAnsi="仿宋" w:eastAsia="仿宋" w:cs="仿宋"/>
          <w:color w:val="auto"/>
          <w:sz w:val="24"/>
          <w:highlight w:val="none"/>
          <w:u w:val="single"/>
          <w:lang w:val="en-US" w:eastAsia="zh-CN"/>
        </w:rPr>
        <w:t>纪念场馆及烈士陵园物业安保服务项目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，项目编号：</w:t>
      </w:r>
      <w:r>
        <w:rPr>
          <w:rFonts w:hint="eastAsia" w:ascii="仿宋" w:hAnsi="仿宋" w:eastAsia="仿宋" w:cs="仿宋"/>
          <w:strike w:val="0"/>
          <w:color w:val="auto"/>
          <w:sz w:val="24"/>
          <w:highlight w:val="none"/>
          <w:u w:val="single"/>
          <w:lang w:eastAsia="zh-CN"/>
        </w:rPr>
        <w:t>JSZC-320382-PZZC-G2026-0005</w:t>
      </w:r>
      <w:r>
        <w:rPr>
          <w:rFonts w:hint="eastAsia" w:ascii="仿宋" w:hAnsi="仿宋" w:eastAsia="仿宋" w:cs="仿宋"/>
          <w:color w:val="auto"/>
          <w:sz w:val="24"/>
          <w:highlight w:val="none"/>
        </w:rPr>
        <w:t>）所必需的设备和专业技术能力，具体为：</w:t>
      </w:r>
    </w:p>
    <w:p w14:paraId="18950F0C">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设备：</w:t>
      </w:r>
    </w:p>
    <w:p w14:paraId="4DB6D53D">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p>
    <w:p w14:paraId="2805D1BA">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p>
    <w:p w14:paraId="32AC35B3">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p>
    <w:p w14:paraId="2447833F">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w:t>
      </w:r>
    </w:p>
    <w:p w14:paraId="77566ACE">
      <w:pPr>
        <w:ind w:firstLine="480"/>
        <w:rPr>
          <w:rFonts w:ascii="仿宋" w:hAnsi="仿宋" w:eastAsia="仿宋" w:cs="仿宋"/>
          <w:color w:val="auto"/>
          <w:sz w:val="24"/>
          <w:highlight w:val="none"/>
        </w:rPr>
      </w:pPr>
    </w:p>
    <w:p w14:paraId="30F721A0">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专业技术能力：</w:t>
      </w:r>
    </w:p>
    <w:p w14:paraId="679F7B2E">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p>
    <w:p w14:paraId="67F1A2A2">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p>
    <w:p w14:paraId="52441DBA">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（证明材料的扫描件附后）</w:t>
      </w:r>
    </w:p>
    <w:p w14:paraId="4BC64D59">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w:t>
      </w:r>
    </w:p>
    <w:p w14:paraId="205B6E19">
      <w:pPr>
        <w:ind w:firstLine="480"/>
        <w:rPr>
          <w:rFonts w:ascii="仿宋" w:hAnsi="仿宋" w:eastAsia="仿宋" w:cs="仿宋"/>
          <w:color w:val="auto"/>
          <w:sz w:val="24"/>
          <w:highlight w:val="none"/>
        </w:rPr>
      </w:pPr>
    </w:p>
    <w:p w14:paraId="6769DBD7">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特此声明。</w:t>
      </w:r>
    </w:p>
    <w:p w14:paraId="3E20133E">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投标人对上述声明的真实性负责。如有虚假，将依法承担相应责任。</w:t>
      </w:r>
    </w:p>
    <w:p w14:paraId="26DA2700">
      <w:pPr>
        <w:rPr>
          <w:rFonts w:ascii="仿宋" w:hAnsi="仿宋" w:eastAsia="仿宋" w:cs="仿宋"/>
          <w:color w:val="auto"/>
          <w:sz w:val="24"/>
          <w:highlight w:val="none"/>
        </w:rPr>
      </w:pPr>
    </w:p>
    <w:p w14:paraId="055E5E2B">
      <w:pPr>
        <w:spacing w:line="300" w:lineRule="auto"/>
        <w:ind w:firstLine="3000"/>
        <w:rPr>
          <w:rFonts w:ascii="仿宋" w:hAnsi="仿宋" w:eastAsia="仿宋" w:cs="仿宋"/>
          <w:color w:val="auto"/>
          <w:sz w:val="24"/>
          <w:highlight w:val="none"/>
        </w:rPr>
      </w:pPr>
    </w:p>
    <w:p w14:paraId="07056164">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361BFB20">
      <w:pPr>
        <w:spacing w:line="36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16DF9228">
      <w:pPr>
        <w:jc w:val="center"/>
        <w:rPr>
          <w:rFonts w:ascii="仿宋" w:hAnsi="仿宋" w:eastAsia="仿宋" w:cs="仿宋"/>
          <w:color w:val="auto"/>
          <w:sz w:val="24"/>
          <w:highlight w:val="none"/>
        </w:rPr>
      </w:pPr>
    </w:p>
    <w:p w14:paraId="2EABEA42">
      <w:pPr>
        <w:pStyle w:val="34"/>
        <w:rPr>
          <w:rFonts w:ascii="仿宋" w:hAnsi="仿宋" w:cs="仿宋"/>
          <w:color w:val="auto"/>
          <w:sz w:val="24"/>
          <w:szCs w:val="24"/>
          <w:highlight w:val="none"/>
        </w:rPr>
      </w:pPr>
    </w:p>
    <w:p w14:paraId="6E452EBA">
      <w:pPr>
        <w:pStyle w:val="34"/>
        <w:rPr>
          <w:rFonts w:ascii="仿宋" w:hAnsi="仿宋" w:cs="仿宋"/>
          <w:color w:val="auto"/>
          <w:sz w:val="24"/>
          <w:szCs w:val="24"/>
          <w:highlight w:val="none"/>
        </w:rPr>
      </w:pPr>
    </w:p>
    <w:p w14:paraId="39DBFEEE">
      <w:pPr>
        <w:pStyle w:val="34"/>
        <w:rPr>
          <w:rFonts w:ascii="仿宋" w:hAnsi="仿宋" w:cs="仿宋"/>
          <w:color w:val="auto"/>
          <w:sz w:val="24"/>
          <w:szCs w:val="24"/>
          <w:highlight w:val="none"/>
        </w:rPr>
      </w:pPr>
    </w:p>
    <w:p w14:paraId="7A9E1CD5">
      <w:pPr>
        <w:pStyle w:val="34"/>
        <w:rPr>
          <w:rFonts w:ascii="仿宋" w:hAnsi="仿宋" w:cs="仿宋"/>
          <w:color w:val="auto"/>
          <w:sz w:val="24"/>
          <w:szCs w:val="24"/>
          <w:highlight w:val="none"/>
        </w:rPr>
      </w:pPr>
    </w:p>
    <w:p w14:paraId="78F0F017">
      <w:pPr>
        <w:pStyle w:val="34"/>
        <w:rPr>
          <w:rFonts w:ascii="仿宋" w:hAnsi="仿宋" w:cs="仿宋"/>
          <w:color w:val="auto"/>
          <w:sz w:val="24"/>
          <w:szCs w:val="24"/>
          <w:highlight w:val="none"/>
        </w:rPr>
      </w:pPr>
    </w:p>
    <w:p w14:paraId="4C19222A">
      <w:pPr>
        <w:jc w:val="center"/>
        <w:rPr>
          <w:rFonts w:ascii="仿宋" w:hAnsi="仿宋" w:eastAsia="仿宋" w:cs="仿宋"/>
          <w:color w:val="auto"/>
          <w:sz w:val="24"/>
          <w:highlight w:val="none"/>
        </w:rPr>
      </w:pPr>
    </w:p>
    <w:p w14:paraId="79B15801">
      <w:pPr>
        <w:pStyle w:val="45"/>
        <w:rPr>
          <w:rFonts w:ascii="仿宋" w:hAnsi="仿宋" w:eastAsia="仿宋" w:cs="仿宋"/>
          <w:color w:val="auto"/>
          <w:sz w:val="24"/>
          <w:highlight w:val="none"/>
        </w:rPr>
      </w:pPr>
    </w:p>
    <w:p w14:paraId="004FD8E5">
      <w:pPr>
        <w:rPr>
          <w:rFonts w:ascii="仿宋" w:hAnsi="仿宋" w:eastAsia="仿宋" w:cs="仿宋"/>
          <w:color w:val="auto"/>
          <w:sz w:val="24"/>
          <w:highlight w:val="none"/>
        </w:rPr>
      </w:pPr>
    </w:p>
    <w:p w14:paraId="214DD3B5">
      <w:pPr>
        <w:pStyle w:val="45"/>
        <w:rPr>
          <w:color w:val="auto"/>
          <w:highlight w:val="none"/>
        </w:rPr>
      </w:pPr>
    </w:p>
    <w:p w14:paraId="7F2EA3B2">
      <w:pPr>
        <w:jc w:val="center"/>
        <w:rPr>
          <w:rFonts w:ascii="仿宋" w:hAnsi="仿宋" w:eastAsia="仿宋" w:cs="仿宋"/>
          <w:color w:val="auto"/>
          <w:sz w:val="24"/>
          <w:highlight w:val="none"/>
        </w:rPr>
      </w:pPr>
    </w:p>
    <w:p w14:paraId="1203F15C">
      <w:pPr>
        <w:jc w:val="center"/>
        <w:rPr>
          <w:rFonts w:ascii="仿宋" w:hAnsi="仿宋" w:eastAsia="仿宋" w:cs="仿宋"/>
          <w:color w:val="auto"/>
          <w:sz w:val="24"/>
          <w:highlight w:val="none"/>
        </w:rPr>
      </w:pPr>
    </w:p>
    <w:p w14:paraId="53FB401C">
      <w:pPr>
        <w:jc w:val="center"/>
        <w:rPr>
          <w:rFonts w:ascii="仿宋" w:hAnsi="仿宋" w:eastAsia="仿宋" w:cs="仿宋"/>
          <w:color w:val="auto"/>
          <w:sz w:val="24"/>
          <w:highlight w:val="none"/>
        </w:rPr>
      </w:pPr>
    </w:p>
    <w:p w14:paraId="484E21EC">
      <w:pPr>
        <w:pStyle w:val="45"/>
        <w:rPr>
          <w:rFonts w:ascii="仿宋" w:hAnsi="仿宋" w:eastAsia="仿宋" w:cs="仿宋"/>
          <w:color w:val="auto"/>
          <w:sz w:val="24"/>
          <w:highlight w:val="none"/>
        </w:rPr>
      </w:pPr>
    </w:p>
    <w:p w14:paraId="4D8DF0A7">
      <w:pPr>
        <w:rPr>
          <w:rFonts w:ascii="仿宋" w:hAnsi="仿宋" w:eastAsia="仿宋" w:cs="仿宋"/>
          <w:color w:val="auto"/>
          <w:sz w:val="24"/>
          <w:highlight w:val="none"/>
        </w:rPr>
      </w:pPr>
    </w:p>
    <w:p w14:paraId="5448DD80">
      <w:pPr>
        <w:pStyle w:val="45"/>
        <w:rPr>
          <w:color w:val="auto"/>
          <w:highlight w:val="none"/>
        </w:rPr>
      </w:pPr>
    </w:p>
    <w:p w14:paraId="65D18301">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10.投标人相关承诺</w:t>
      </w:r>
    </w:p>
    <w:p w14:paraId="65A5CE01">
      <w:pPr>
        <w:rPr>
          <w:rFonts w:ascii="仿宋" w:hAnsi="仿宋" w:eastAsia="仿宋" w:cs="仿宋"/>
          <w:color w:val="auto"/>
          <w:sz w:val="24"/>
          <w:highlight w:val="none"/>
        </w:rPr>
      </w:pPr>
    </w:p>
    <w:p w14:paraId="37B27BB1">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0507494C">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634980C4">
      <w:pPr>
        <w:spacing w:line="588" w:lineRule="exact"/>
        <w:ind w:firstLine="504"/>
        <w:rPr>
          <w:rFonts w:ascii="仿宋" w:hAnsi="仿宋" w:eastAsia="仿宋" w:cs="仿宋"/>
          <w:color w:val="auto"/>
          <w:spacing w:val="6"/>
          <w:sz w:val="24"/>
          <w:highlight w:val="none"/>
        </w:rPr>
      </w:pPr>
    </w:p>
    <w:p w14:paraId="6866C339">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我单位承诺：</w:t>
      </w:r>
    </w:p>
    <w:p w14:paraId="03B3945C">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如有参与同一合同项下政府采购活动的投标人与我单位存在负责人为同一人的情况或者存在直接控股、管理关系，我单位不再参加该同一合同项下的政府采购活动。</w:t>
      </w:r>
    </w:p>
    <w:p w14:paraId="20DE81F3">
      <w:pPr>
        <w:spacing w:line="588" w:lineRule="exact"/>
        <w:ind w:firstLine="504"/>
        <w:rPr>
          <w:rFonts w:ascii="仿宋" w:hAnsi="仿宋" w:eastAsia="仿宋" w:cs="仿宋"/>
          <w:color w:val="auto"/>
          <w:spacing w:val="6"/>
          <w:sz w:val="24"/>
          <w:highlight w:val="none"/>
        </w:rPr>
      </w:pPr>
    </w:p>
    <w:p w14:paraId="57051C9C">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我单位对上述承诺负责，并依法承担相应责任。</w:t>
      </w:r>
    </w:p>
    <w:p w14:paraId="48ACC3EA">
      <w:pPr>
        <w:spacing w:line="300" w:lineRule="auto"/>
        <w:ind w:firstLine="3000"/>
        <w:rPr>
          <w:rFonts w:ascii="仿宋" w:hAnsi="仿宋" w:eastAsia="仿宋" w:cs="仿宋"/>
          <w:color w:val="auto"/>
          <w:sz w:val="24"/>
          <w:highlight w:val="none"/>
        </w:rPr>
      </w:pPr>
    </w:p>
    <w:p w14:paraId="1E95B383">
      <w:pPr>
        <w:pStyle w:val="55"/>
        <w:ind w:firstLine="480"/>
        <w:rPr>
          <w:rFonts w:ascii="仿宋" w:hAnsi="仿宋" w:eastAsia="仿宋" w:cs="仿宋"/>
          <w:color w:val="auto"/>
          <w:sz w:val="24"/>
          <w:highlight w:val="none"/>
        </w:rPr>
      </w:pPr>
    </w:p>
    <w:p w14:paraId="585E5B7B">
      <w:pPr>
        <w:pStyle w:val="55"/>
        <w:ind w:firstLine="480"/>
        <w:rPr>
          <w:rFonts w:ascii="仿宋" w:hAnsi="仿宋" w:eastAsia="仿宋" w:cs="仿宋"/>
          <w:color w:val="auto"/>
          <w:sz w:val="24"/>
          <w:highlight w:val="none"/>
        </w:rPr>
      </w:pPr>
    </w:p>
    <w:p w14:paraId="2A4CEA58">
      <w:pPr>
        <w:pStyle w:val="55"/>
        <w:ind w:firstLine="480"/>
        <w:rPr>
          <w:rFonts w:ascii="仿宋" w:hAnsi="仿宋" w:eastAsia="仿宋" w:cs="仿宋"/>
          <w:color w:val="auto"/>
          <w:sz w:val="24"/>
          <w:highlight w:val="none"/>
        </w:rPr>
      </w:pPr>
    </w:p>
    <w:p w14:paraId="24E7FCB6">
      <w:pPr>
        <w:pStyle w:val="55"/>
        <w:ind w:firstLine="480"/>
        <w:rPr>
          <w:rFonts w:ascii="仿宋" w:hAnsi="仿宋" w:eastAsia="仿宋" w:cs="仿宋"/>
          <w:color w:val="auto"/>
          <w:sz w:val="24"/>
          <w:highlight w:val="none"/>
        </w:rPr>
      </w:pPr>
    </w:p>
    <w:p w14:paraId="5FBC72FE">
      <w:pPr>
        <w:pStyle w:val="55"/>
        <w:ind w:firstLine="480"/>
        <w:rPr>
          <w:rFonts w:ascii="仿宋" w:hAnsi="仿宋" w:eastAsia="仿宋" w:cs="仿宋"/>
          <w:color w:val="auto"/>
          <w:sz w:val="24"/>
          <w:highlight w:val="none"/>
        </w:rPr>
      </w:pPr>
    </w:p>
    <w:p w14:paraId="23EC56B4">
      <w:pPr>
        <w:pStyle w:val="55"/>
        <w:ind w:firstLine="480"/>
        <w:rPr>
          <w:rFonts w:ascii="仿宋" w:hAnsi="仿宋" w:eastAsia="仿宋" w:cs="仿宋"/>
          <w:color w:val="auto"/>
          <w:sz w:val="24"/>
          <w:highlight w:val="none"/>
        </w:rPr>
      </w:pPr>
    </w:p>
    <w:p w14:paraId="5BCE1B54">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295A4BE3">
      <w:pPr>
        <w:spacing w:line="36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565B9FC0">
      <w:pPr>
        <w:jc w:val="center"/>
        <w:rPr>
          <w:rFonts w:ascii="仿宋" w:hAnsi="仿宋" w:eastAsia="仿宋" w:cs="仿宋"/>
          <w:color w:val="auto"/>
          <w:sz w:val="24"/>
          <w:highlight w:val="none"/>
        </w:rPr>
      </w:pPr>
    </w:p>
    <w:p w14:paraId="29B01EE5">
      <w:pPr>
        <w:jc w:val="center"/>
        <w:rPr>
          <w:rFonts w:ascii="仿宋" w:hAnsi="仿宋" w:eastAsia="仿宋" w:cs="仿宋"/>
          <w:color w:val="auto"/>
          <w:sz w:val="24"/>
          <w:highlight w:val="none"/>
        </w:rPr>
      </w:pPr>
    </w:p>
    <w:p w14:paraId="4BCA42B3">
      <w:pPr>
        <w:spacing w:line="360" w:lineRule="auto"/>
        <w:ind w:firstLine="600"/>
        <w:rPr>
          <w:rFonts w:ascii="仿宋" w:hAnsi="仿宋" w:eastAsia="仿宋" w:cs="仿宋"/>
          <w:color w:val="auto"/>
          <w:sz w:val="24"/>
          <w:highlight w:val="none"/>
        </w:rPr>
      </w:pPr>
    </w:p>
    <w:p w14:paraId="2E99EF6B">
      <w:pPr>
        <w:spacing w:line="360" w:lineRule="auto"/>
        <w:rPr>
          <w:rFonts w:ascii="仿宋" w:hAnsi="仿宋" w:eastAsia="仿宋" w:cs="仿宋"/>
          <w:color w:val="auto"/>
          <w:sz w:val="24"/>
          <w:highlight w:val="none"/>
        </w:rPr>
      </w:pPr>
    </w:p>
    <w:p w14:paraId="1916EA10">
      <w:pPr>
        <w:pStyle w:val="45"/>
        <w:rPr>
          <w:rFonts w:ascii="仿宋" w:hAnsi="仿宋" w:eastAsia="仿宋" w:cs="仿宋"/>
          <w:color w:val="auto"/>
          <w:sz w:val="24"/>
          <w:highlight w:val="none"/>
        </w:rPr>
      </w:pPr>
    </w:p>
    <w:p w14:paraId="0480CEE6">
      <w:pPr>
        <w:rPr>
          <w:color w:val="auto"/>
          <w:highlight w:val="none"/>
        </w:rPr>
      </w:pPr>
    </w:p>
    <w:p w14:paraId="09A23DE0">
      <w:pPr>
        <w:spacing w:line="360" w:lineRule="auto"/>
        <w:rPr>
          <w:rFonts w:ascii="仿宋" w:hAnsi="仿宋" w:eastAsia="仿宋" w:cs="仿宋"/>
          <w:color w:val="auto"/>
          <w:sz w:val="24"/>
          <w:highlight w:val="none"/>
        </w:rPr>
      </w:pPr>
    </w:p>
    <w:p w14:paraId="3480669F">
      <w:pPr>
        <w:pStyle w:val="55"/>
        <w:ind w:firstLine="480"/>
        <w:rPr>
          <w:rFonts w:ascii="仿宋" w:hAnsi="仿宋" w:eastAsia="仿宋" w:cs="仿宋"/>
          <w:color w:val="auto"/>
          <w:sz w:val="24"/>
          <w:highlight w:val="none"/>
        </w:rPr>
      </w:pPr>
    </w:p>
    <w:p w14:paraId="3871612D">
      <w:pPr>
        <w:pStyle w:val="55"/>
        <w:ind w:firstLine="480"/>
        <w:rPr>
          <w:rFonts w:ascii="仿宋" w:hAnsi="仿宋" w:eastAsia="仿宋" w:cs="仿宋"/>
          <w:color w:val="auto"/>
          <w:sz w:val="24"/>
          <w:highlight w:val="none"/>
        </w:rPr>
      </w:pPr>
    </w:p>
    <w:p w14:paraId="5D72A203">
      <w:pPr>
        <w:pStyle w:val="55"/>
        <w:ind w:firstLine="480"/>
        <w:rPr>
          <w:rFonts w:ascii="仿宋" w:hAnsi="仿宋" w:eastAsia="仿宋" w:cs="仿宋"/>
          <w:color w:val="auto"/>
          <w:sz w:val="24"/>
          <w:highlight w:val="none"/>
        </w:rPr>
      </w:pPr>
    </w:p>
    <w:p w14:paraId="56F3A8AB">
      <w:pPr>
        <w:pStyle w:val="55"/>
        <w:ind w:firstLine="480"/>
        <w:rPr>
          <w:rFonts w:ascii="仿宋" w:hAnsi="仿宋" w:eastAsia="仿宋" w:cs="仿宋"/>
          <w:color w:val="auto"/>
          <w:sz w:val="24"/>
          <w:highlight w:val="none"/>
        </w:rPr>
      </w:pPr>
    </w:p>
    <w:p w14:paraId="06EBA555">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11.投标人书面声明</w:t>
      </w:r>
    </w:p>
    <w:p w14:paraId="64488419">
      <w:pPr>
        <w:rPr>
          <w:rFonts w:ascii="仿宋" w:hAnsi="仿宋" w:eastAsia="仿宋" w:cs="仿宋"/>
          <w:color w:val="auto"/>
          <w:sz w:val="24"/>
          <w:highlight w:val="none"/>
        </w:rPr>
      </w:pPr>
    </w:p>
    <w:p w14:paraId="6351D828">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0D41E6BA">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7FA6736A">
      <w:pPr>
        <w:widowControl/>
        <w:ind w:firstLine="480"/>
        <w:jc w:val="left"/>
        <w:rPr>
          <w:rFonts w:ascii="仿宋" w:hAnsi="仿宋" w:eastAsia="仿宋" w:cs="仿宋"/>
          <w:color w:val="auto"/>
          <w:sz w:val="24"/>
          <w:highlight w:val="none"/>
        </w:rPr>
      </w:pPr>
    </w:p>
    <w:p w14:paraId="5D30C818">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我单位不是为本采购项目提供整体设计、规范编制或者项目管理、监理、检测等服务的供应商。</w:t>
      </w:r>
    </w:p>
    <w:p w14:paraId="35641AE4">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特此声明。</w:t>
      </w:r>
    </w:p>
    <w:p w14:paraId="23D9A0C2">
      <w:pPr>
        <w:spacing w:line="588" w:lineRule="exact"/>
        <w:ind w:firstLine="504"/>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我单位对上述声明的真实性负责。如有虚假，将依法承担相应责任。</w:t>
      </w:r>
    </w:p>
    <w:p w14:paraId="2D466256">
      <w:pPr>
        <w:rPr>
          <w:rFonts w:ascii="仿宋" w:hAnsi="仿宋" w:eastAsia="仿宋" w:cs="仿宋"/>
          <w:color w:val="auto"/>
          <w:sz w:val="24"/>
          <w:highlight w:val="none"/>
        </w:rPr>
      </w:pPr>
    </w:p>
    <w:p w14:paraId="5F32DB8D">
      <w:pPr>
        <w:spacing w:line="300" w:lineRule="auto"/>
        <w:ind w:firstLine="3000"/>
        <w:rPr>
          <w:rFonts w:ascii="仿宋" w:hAnsi="仿宋" w:eastAsia="仿宋" w:cs="仿宋"/>
          <w:color w:val="auto"/>
          <w:sz w:val="24"/>
          <w:highlight w:val="none"/>
        </w:rPr>
      </w:pPr>
    </w:p>
    <w:p w14:paraId="7D7F57BA">
      <w:pPr>
        <w:pStyle w:val="55"/>
        <w:ind w:firstLine="480"/>
        <w:rPr>
          <w:rFonts w:ascii="仿宋" w:hAnsi="仿宋" w:eastAsia="仿宋" w:cs="仿宋"/>
          <w:color w:val="auto"/>
          <w:sz w:val="24"/>
          <w:highlight w:val="none"/>
        </w:rPr>
      </w:pPr>
    </w:p>
    <w:p w14:paraId="6C76E854">
      <w:pPr>
        <w:pStyle w:val="55"/>
        <w:ind w:firstLine="480"/>
        <w:rPr>
          <w:rFonts w:ascii="仿宋" w:hAnsi="仿宋" w:eastAsia="仿宋" w:cs="仿宋"/>
          <w:color w:val="auto"/>
          <w:sz w:val="24"/>
          <w:highlight w:val="none"/>
        </w:rPr>
      </w:pPr>
    </w:p>
    <w:p w14:paraId="11245019">
      <w:pPr>
        <w:pStyle w:val="55"/>
        <w:ind w:firstLine="480"/>
        <w:rPr>
          <w:rFonts w:ascii="仿宋" w:hAnsi="仿宋" w:eastAsia="仿宋" w:cs="仿宋"/>
          <w:color w:val="auto"/>
          <w:sz w:val="24"/>
          <w:highlight w:val="none"/>
        </w:rPr>
      </w:pPr>
    </w:p>
    <w:p w14:paraId="5E5B5F0B">
      <w:pPr>
        <w:pStyle w:val="55"/>
        <w:ind w:firstLine="480"/>
        <w:rPr>
          <w:rFonts w:ascii="仿宋" w:hAnsi="仿宋" w:eastAsia="仿宋" w:cs="仿宋"/>
          <w:color w:val="auto"/>
          <w:sz w:val="24"/>
          <w:highlight w:val="none"/>
        </w:rPr>
      </w:pPr>
    </w:p>
    <w:p w14:paraId="5E20EE30">
      <w:pPr>
        <w:pStyle w:val="55"/>
        <w:ind w:firstLine="480"/>
        <w:rPr>
          <w:rFonts w:ascii="仿宋" w:hAnsi="仿宋" w:eastAsia="仿宋" w:cs="仿宋"/>
          <w:color w:val="auto"/>
          <w:sz w:val="24"/>
          <w:highlight w:val="none"/>
        </w:rPr>
      </w:pPr>
    </w:p>
    <w:p w14:paraId="0719D0F3">
      <w:pPr>
        <w:pStyle w:val="55"/>
        <w:ind w:firstLine="480"/>
        <w:rPr>
          <w:rFonts w:ascii="仿宋" w:hAnsi="仿宋" w:eastAsia="仿宋" w:cs="仿宋"/>
          <w:color w:val="auto"/>
          <w:sz w:val="24"/>
          <w:highlight w:val="none"/>
        </w:rPr>
      </w:pPr>
    </w:p>
    <w:p w14:paraId="416BD837">
      <w:pPr>
        <w:pStyle w:val="55"/>
        <w:ind w:firstLine="480"/>
        <w:rPr>
          <w:rFonts w:ascii="仿宋" w:hAnsi="仿宋" w:eastAsia="仿宋" w:cs="仿宋"/>
          <w:color w:val="auto"/>
          <w:sz w:val="24"/>
          <w:highlight w:val="none"/>
        </w:rPr>
      </w:pPr>
    </w:p>
    <w:p w14:paraId="70979AF3">
      <w:pPr>
        <w:pStyle w:val="55"/>
        <w:ind w:firstLine="480"/>
        <w:rPr>
          <w:rFonts w:ascii="仿宋" w:hAnsi="仿宋" w:eastAsia="仿宋" w:cs="仿宋"/>
          <w:color w:val="auto"/>
          <w:sz w:val="24"/>
          <w:highlight w:val="none"/>
        </w:rPr>
      </w:pPr>
    </w:p>
    <w:p w14:paraId="3B280CB0">
      <w:pPr>
        <w:pStyle w:val="55"/>
        <w:ind w:firstLine="480"/>
        <w:rPr>
          <w:rFonts w:ascii="仿宋" w:hAnsi="仿宋" w:eastAsia="仿宋" w:cs="仿宋"/>
          <w:color w:val="auto"/>
          <w:sz w:val="24"/>
          <w:highlight w:val="none"/>
        </w:rPr>
      </w:pPr>
    </w:p>
    <w:p w14:paraId="460CDEA2">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70A9CA4A">
      <w:pPr>
        <w:pStyle w:val="34"/>
        <w:ind w:firstLine="2880"/>
        <w:rPr>
          <w:rFonts w:ascii="仿宋" w:hAnsi="仿宋" w:cs="仿宋"/>
          <w:color w:val="auto"/>
          <w:sz w:val="24"/>
          <w:szCs w:val="24"/>
          <w:highlight w:val="none"/>
        </w:rPr>
      </w:pPr>
      <w:r>
        <w:rPr>
          <w:rFonts w:hint="eastAsia" w:ascii="仿宋" w:hAnsi="仿宋" w:cs="仿宋"/>
          <w:color w:val="auto"/>
          <w:sz w:val="24"/>
          <w:szCs w:val="24"/>
          <w:highlight w:val="none"/>
        </w:rPr>
        <w:t>日期：   年  月  日</w:t>
      </w:r>
    </w:p>
    <w:p w14:paraId="0D663B60">
      <w:pPr>
        <w:pStyle w:val="34"/>
        <w:rPr>
          <w:rFonts w:ascii="仿宋" w:hAnsi="仿宋" w:cs="仿宋"/>
          <w:color w:val="auto"/>
          <w:sz w:val="24"/>
          <w:szCs w:val="24"/>
          <w:highlight w:val="none"/>
        </w:rPr>
      </w:pPr>
    </w:p>
    <w:p w14:paraId="69867B5B">
      <w:pPr>
        <w:pStyle w:val="34"/>
        <w:rPr>
          <w:rFonts w:ascii="仿宋" w:hAnsi="仿宋" w:cs="仿宋"/>
          <w:color w:val="auto"/>
          <w:sz w:val="24"/>
          <w:szCs w:val="24"/>
          <w:highlight w:val="none"/>
        </w:rPr>
      </w:pPr>
    </w:p>
    <w:p w14:paraId="22805746">
      <w:pPr>
        <w:pStyle w:val="34"/>
        <w:rPr>
          <w:rFonts w:ascii="仿宋" w:hAnsi="仿宋" w:cs="仿宋"/>
          <w:color w:val="auto"/>
          <w:sz w:val="24"/>
          <w:szCs w:val="24"/>
          <w:highlight w:val="none"/>
        </w:rPr>
      </w:pPr>
    </w:p>
    <w:p w14:paraId="24614979">
      <w:pPr>
        <w:pStyle w:val="34"/>
        <w:rPr>
          <w:rFonts w:ascii="仿宋" w:hAnsi="仿宋" w:cs="仿宋"/>
          <w:color w:val="auto"/>
          <w:sz w:val="24"/>
          <w:szCs w:val="24"/>
          <w:highlight w:val="none"/>
        </w:rPr>
      </w:pPr>
    </w:p>
    <w:p w14:paraId="26804767">
      <w:pPr>
        <w:pStyle w:val="34"/>
        <w:rPr>
          <w:rFonts w:ascii="仿宋" w:hAnsi="仿宋" w:cs="仿宋"/>
          <w:color w:val="auto"/>
          <w:sz w:val="24"/>
          <w:szCs w:val="24"/>
          <w:highlight w:val="none"/>
        </w:rPr>
      </w:pPr>
    </w:p>
    <w:p w14:paraId="455670F5">
      <w:pPr>
        <w:ind w:right="29"/>
        <w:rPr>
          <w:rFonts w:ascii="仿宋" w:hAnsi="仿宋" w:eastAsia="仿宋" w:cs="仿宋"/>
          <w:color w:val="auto"/>
          <w:sz w:val="24"/>
          <w:highlight w:val="none"/>
        </w:rPr>
      </w:pPr>
    </w:p>
    <w:p w14:paraId="72F059AE">
      <w:pPr>
        <w:pStyle w:val="45"/>
        <w:rPr>
          <w:rFonts w:ascii="仿宋" w:hAnsi="仿宋" w:eastAsia="仿宋" w:cs="仿宋"/>
          <w:color w:val="auto"/>
          <w:sz w:val="24"/>
          <w:highlight w:val="none"/>
        </w:rPr>
      </w:pPr>
    </w:p>
    <w:p w14:paraId="5EEB7A3C">
      <w:pPr>
        <w:rPr>
          <w:color w:val="auto"/>
          <w:highlight w:val="none"/>
        </w:rPr>
      </w:pPr>
    </w:p>
    <w:p w14:paraId="3592AD42">
      <w:pPr>
        <w:jc w:val="center"/>
        <w:rPr>
          <w:rFonts w:ascii="仿宋" w:hAnsi="仿宋" w:eastAsia="仿宋" w:cs="仿宋"/>
          <w:color w:val="auto"/>
          <w:sz w:val="24"/>
          <w:highlight w:val="none"/>
        </w:rPr>
      </w:pPr>
    </w:p>
    <w:p w14:paraId="03EEBA09">
      <w:pPr>
        <w:jc w:val="center"/>
        <w:rPr>
          <w:rFonts w:ascii="仿宋" w:hAnsi="仿宋" w:eastAsia="仿宋" w:cs="仿宋"/>
          <w:color w:val="auto"/>
          <w:sz w:val="24"/>
          <w:highlight w:val="none"/>
        </w:rPr>
      </w:pPr>
    </w:p>
    <w:p w14:paraId="3B0F4B45">
      <w:pPr>
        <w:jc w:val="center"/>
        <w:rPr>
          <w:rFonts w:ascii="仿宋" w:hAnsi="仿宋" w:eastAsia="仿宋" w:cs="仿宋"/>
          <w:color w:val="auto"/>
          <w:sz w:val="24"/>
          <w:highlight w:val="none"/>
        </w:rPr>
      </w:pPr>
    </w:p>
    <w:p w14:paraId="234E8991">
      <w:pPr>
        <w:jc w:val="both"/>
        <w:rPr>
          <w:rFonts w:ascii="仿宋" w:hAnsi="仿宋" w:eastAsia="仿宋" w:cs="仿宋"/>
          <w:color w:val="auto"/>
          <w:sz w:val="24"/>
          <w:highlight w:val="none"/>
        </w:rPr>
      </w:pPr>
    </w:p>
    <w:p w14:paraId="1A1CCD54">
      <w:pPr>
        <w:jc w:val="center"/>
        <w:rPr>
          <w:rFonts w:ascii="仿宋" w:hAnsi="仿宋" w:eastAsia="仿宋" w:cs="仿宋"/>
          <w:color w:val="auto"/>
          <w:sz w:val="24"/>
          <w:highlight w:val="none"/>
        </w:rPr>
      </w:pPr>
    </w:p>
    <w:p w14:paraId="618B4AC2">
      <w:pPr>
        <w:jc w:val="center"/>
        <w:rPr>
          <w:rFonts w:ascii="仿宋" w:hAnsi="仿宋" w:eastAsia="仿宋" w:cs="仿宋"/>
          <w:color w:val="auto"/>
          <w:sz w:val="24"/>
          <w:highlight w:val="none"/>
        </w:rPr>
      </w:pPr>
    </w:p>
    <w:p w14:paraId="38132080">
      <w:pPr>
        <w:widowControl/>
        <w:jc w:val="center"/>
        <w:outlineLvl w:val="2"/>
        <w:rPr>
          <w:rFonts w:hint="eastAsia" w:ascii="仿宋" w:hAnsi="仿宋" w:eastAsia="仿宋"/>
          <w:color w:val="auto"/>
          <w:sz w:val="24"/>
          <w:highlight w:val="none"/>
          <w:lang w:val="en-US" w:eastAsia="zh-CN"/>
        </w:rPr>
      </w:pPr>
    </w:p>
    <w:p w14:paraId="1E5EC011">
      <w:pPr>
        <w:widowControl/>
        <w:jc w:val="center"/>
        <w:outlineLvl w:val="2"/>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12.采购需求符合性条件响应表</w:t>
      </w:r>
    </w:p>
    <w:p w14:paraId="7A601DC6">
      <w:pPr>
        <w:rPr>
          <w:rFonts w:ascii="仿宋" w:hAnsi="仿宋" w:eastAsia="仿宋" w:cs="仿宋"/>
          <w:color w:val="auto"/>
          <w:sz w:val="24"/>
          <w:highlight w:val="none"/>
        </w:rPr>
      </w:pPr>
    </w:p>
    <w:p w14:paraId="4DF31581">
      <w:pPr>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纪念场馆及烈士陵园物业安保服务项目</w:t>
      </w:r>
    </w:p>
    <w:p w14:paraId="40B7CBC7">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lang w:eastAsia="zh-CN"/>
        </w:rPr>
        <w:t>JSZC-320382-PZZC-G2026-0005</w:t>
      </w:r>
    </w:p>
    <w:p w14:paraId="7DCDFF4F">
      <w:pPr>
        <w:rPr>
          <w:rFonts w:ascii="仿宋" w:hAnsi="仿宋" w:eastAsia="仿宋" w:cs="仿宋"/>
          <w:color w:val="auto"/>
          <w:sz w:val="24"/>
          <w:highlight w:val="none"/>
          <w:u w:val="single"/>
        </w:rPr>
      </w:pPr>
    </w:p>
    <w:tbl>
      <w:tblPr>
        <w:tblStyle w:val="56"/>
        <w:tblpPr w:leftFromText="180" w:rightFromText="180" w:vertAnchor="text" w:horzAnchor="page" w:tblpX="1334" w:tblpY="323"/>
        <w:tblOverlap w:val="never"/>
        <w:tblW w:w="1006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67"/>
        <w:gridCol w:w="2977"/>
        <w:gridCol w:w="2268"/>
        <w:gridCol w:w="2977"/>
        <w:gridCol w:w="1276"/>
      </w:tblGrid>
      <w:tr w14:paraId="1A7B1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0FC2C48A">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序号</w:t>
            </w:r>
          </w:p>
        </w:tc>
        <w:tc>
          <w:tcPr>
            <w:tcW w:w="2977" w:type="dxa"/>
            <w:noWrap w:val="0"/>
            <w:vAlign w:val="center"/>
          </w:tcPr>
          <w:p w14:paraId="37AE4278">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采购需求符合性条件</w:t>
            </w:r>
          </w:p>
        </w:tc>
        <w:tc>
          <w:tcPr>
            <w:tcW w:w="2268" w:type="dxa"/>
            <w:noWrap w:val="0"/>
            <w:vAlign w:val="center"/>
          </w:tcPr>
          <w:p w14:paraId="36C7718B">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招标文件的要求</w:t>
            </w:r>
          </w:p>
        </w:tc>
        <w:tc>
          <w:tcPr>
            <w:tcW w:w="2977" w:type="dxa"/>
            <w:noWrap w:val="0"/>
            <w:vAlign w:val="center"/>
          </w:tcPr>
          <w:p w14:paraId="125A4E6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投标文件中的响应情况</w:t>
            </w:r>
          </w:p>
          <w:p w14:paraId="346638C4">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（完全响应/未完全响应）</w:t>
            </w:r>
          </w:p>
        </w:tc>
        <w:tc>
          <w:tcPr>
            <w:tcW w:w="1276" w:type="dxa"/>
            <w:noWrap w:val="0"/>
            <w:vAlign w:val="center"/>
          </w:tcPr>
          <w:p w14:paraId="2E2D8BC9">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说明</w:t>
            </w:r>
          </w:p>
        </w:tc>
      </w:tr>
      <w:tr w14:paraId="36F69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25331ADC">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2977" w:type="dxa"/>
            <w:noWrap w:val="0"/>
            <w:vAlign w:val="center"/>
          </w:tcPr>
          <w:p w14:paraId="00EA8CB2">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关于“人员数量”</w:t>
            </w:r>
            <w:r>
              <w:rPr>
                <w:rFonts w:hint="eastAsia" w:ascii="仿宋" w:hAnsi="仿宋" w:eastAsia="仿宋" w:cs="仿宋"/>
                <w:color w:val="auto"/>
                <w:sz w:val="24"/>
                <w:highlight w:val="none"/>
              </w:rPr>
              <w:t>的响应情况</w:t>
            </w:r>
          </w:p>
        </w:tc>
        <w:tc>
          <w:tcPr>
            <w:tcW w:w="2268" w:type="dxa"/>
            <w:noWrap w:val="0"/>
            <w:vAlign w:val="center"/>
          </w:tcPr>
          <w:p w14:paraId="019CA1E4">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见招标文件第六章《采购需求》中相关要求</w:t>
            </w:r>
          </w:p>
        </w:tc>
        <w:tc>
          <w:tcPr>
            <w:tcW w:w="2977" w:type="dxa"/>
            <w:noWrap w:val="0"/>
            <w:vAlign w:val="center"/>
          </w:tcPr>
          <w:p w14:paraId="171019BA">
            <w:pPr>
              <w:jc w:val="center"/>
              <w:rPr>
                <w:rFonts w:ascii="仿宋" w:hAnsi="仿宋" w:eastAsia="仿宋" w:cs="仿宋"/>
                <w:color w:val="auto"/>
                <w:sz w:val="24"/>
                <w:highlight w:val="none"/>
              </w:rPr>
            </w:pPr>
          </w:p>
        </w:tc>
        <w:tc>
          <w:tcPr>
            <w:tcW w:w="1276" w:type="dxa"/>
            <w:noWrap w:val="0"/>
            <w:vAlign w:val="center"/>
          </w:tcPr>
          <w:p w14:paraId="7599795E">
            <w:pPr>
              <w:jc w:val="center"/>
              <w:rPr>
                <w:rFonts w:ascii="仿宋" w:hAnsi="仿宋" w:eastAsia="仿宋" w:cs="仿宋"/>
                <w:color w:val="auto"/>
                <w:sz w:val="24"/>
                <w:highlight w:val="none"/>
              </w:rPr>
            </w:pPr>
          </w:p>
        </w:tc>
      </w:tr>
      <w:tr w14:paraId="49B1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35CFADD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2977" w:type="dxa"/>
            <w:noWrap w:val="0"/>
            <w:vAlign w:val="center"/>
          </w:tcPr>
          <w:p w14:paraId="3BD4A6C4">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关于“</w:t>
            </w:r>
            <w:r>
              <w:rPr>
                <w:rFonts w:hint="eastAsia" w:ascii="仿宋" w:hAnsi="仿宋" w:eastAsia="仿宋" w:cs="仿宋"/>
                <w:caps/>
                <w:color w:val="auto"/>
                <w:sz w:val="24"/>
                <w:highlight w:val="none"/>
                <w:lang w:val="en-US"/>
              </w:rPr>
              <w:t>付款方式</w:t>
            </w:r>
            <w:r>
              <w:rPr>
                <w:rFonts w:hint="eastAsia" w:ascii="仿宋" w:hAnsi="仿宋" w:eastAsia="仿宋" w:cs="仿宋"/>
                <w:caps/>
                <w:color w:val="auto"/>
                <w:sz w:val="24"/>
                <w:highlight w:val="none"/>
                <w:lang w:val="en-US" w:eastAsia="zh-CN"/>
              </w:rPr>
              <w:t>”</w:t>
            </w:r>
            <w:r>
              <w:rPr>
                <w:rFonts w:hint="eastAsia" w:ascii="仿宋" w:hAnsi="仿宋" w:eastAsia="仿宋" w:cs="仿宋"/>
                <w:color w:val="auto"/>
                <w:sz w:val="24"/>
                <w:highlight w:val="none"/>
              </w:rPr>
              <w:t>的响应情况</w:t>
            </w:r>
          </w:p>
        </w:tc>
        <w:tc>
          <w:tcPr>
            <w:tcW w:w="2268" w:type="dxa"/>
            <w:noWrap w:val="0"/>
            <w:vAlign w:val="center"/>
          </w:tcPr>
          <w:p w14:paraId="7C126BA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见招标文件第六章《采购需求》中相关要求</w:t>
            </w:r>
          </w:p>
        </w:tc>
        <w:tc>
          <w:tcPr>
            <w:tcW w:w="2977" w:type="dxa"/>
            <w:noWrap w:val="0"/>
            <w:vAlign w:val="center"/>
          </w:tcPr>
          <w:p w14:paraId="56B5390D">
            <w:pPr>
              <w:jc w:val="center"/>
              <w:rPr>
                <w:rFonts w:ascii="仿宋" w:hAnsi="仿宋" w:eastAsia="仿宋" w:cs="仿宋"/>
                <w:color w:val="auto"/>
                <w:sz w:val="24"/>
                <w:highlight w:val="none"/>
              </w:rPr>
            </w:pPr>
          </w:p>
        </w:tc>
        <w:tc>
          <w:tcPr>
            <w:tcW w:w="1276" w:type="dxa"/>
            <w:noWrap w:val="0"/>
            <w:vAlign w:val="center"/>
          </w:tcPr>
          <w:p w14:paraId="392491EE">
            <w:pPr>
              <w:jc w:val="center"/>
              <w:rPr>
                <w:rFonts w:ascii="仿宋" w:hAnsi="仿宋" w:eastAsia="仿宋" w:cs="仿宋"/>
                <w:color w:val="auto"/>
                <w:sz w:val="24"/>
                <w:highlight w:val="none"/>
              </w:rPr>
            </w:pPr>
          </w:p>
        </w:tc>
      </w:tr>
      <w:tr w14:paraId="1BEE7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05C6F07F">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2977" w:type="dxa"/>
            <w:noWrap w:val="0"/>
            <w:vAlign w:val="center"/>
          </w:tcPr>
          <w:p w14:paraId="52C44204">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lang w:val="en-US" w:eastAsia="zh-CN"/>
              </w:rPr>
              <w:t>关于“</w:t>
            </w:r>
            <w:r>
              <w:rPr>
                <w:rFonts w:hint="eastAsia" w:ascii="仿宋" w:hAnsi="仿宋" w:eastAsia="仿宋" w:cs="仿宋"/>
                <w:caps/>
                <w:color w:val="auto"/>
                <w:sz w:val="24"/>
                <w:highlight w:val="none"/>
              </w:rPr>
              <w:t>投标报价</w:t>
            </w:r>
            <w:r>
              <w:rPr>
                <w:rFonts w:hint="eastAsia" w:ascii="仿宋" w:hAnsi="仿宋" w:eastAsia="仿宋" w:cs="仿宋"/>
                <w:caps/>
                <w:color w:val="auto"/>
                <w:sz w:val="24"/>
                <w:highlight w:val="none"/>
                <w:lang w:eastAsia="zh-CN"/>
              </w:rPr>
              <w:t>”</w:t>
            </w:r>
            <w:r>
              <w:rPr>
                <w:rFonts w:hint="eastAsia" w:ascii="仿宋" w:hAnsi="仿宋" w:eastAsia="仿宋" w:cs="仿宋"/>
                <w:caps/>
                <w:color w:val="auto"/>
                <w:sz w:val="24"/>
                <w:highlight w:val="none"/>
              </w:rPr>
              <w:t>的相关说明</w:t>
            </w:r>
            <w:r>
              <w:rPr>
                <w:rFonts w:hint="eastAsia" w:ascii="仿宋" w:hAnsi="仿宋" w:eastAsia="仿宋" w:cs="仿宋"/>
                <w:color w:val="auto"/>
                <w:sz w:val="24"/>
                <w:highlight w:val="none"/>
              </w:rPr>
              <w:t>的响应情况</w:t>
            </w:r>
          </w:p>
        </w:tc>
        <w:tc>
          <w:tcPr>
            <w:tcW w:w="2268" w:type="dxa"/>
            <w:noWrap w:val="0"/>
            <w:vAlign w:val="center"/>
          </w:tcPr>
          <w:p w14:paraId="60FD9AF7">
            <w:pPr>
              <w:jc w:val="center"/>
              <w:rPr>
                <w:rFonts w:ascii="仿宋" w:hAnsi="仿宋" w:eastAsia="仿宋" w:cs="仿宋"/>
                <w:color w:val="auto"/>
                <w:sz w:val="24"/>
                <w:highlight w:val="none"/>
              </w:rPr>
            </w:pPr>
            <w:r>
              <w:rPr>
                <w:rFonts w:hint="eastAsia" w:ascii="仿宋" w:hAnsi="仿宋" w:eastAsia="仿宋" w:cs="仿宋"/>
                <w:color w:val="auto"/>
                <w:sz w:val="24"/>
                <w:highlight w:val="none"/>
              </w:rPr>
              <w:t>见招标文件第六章《采购需求》中相关要求</w:t>
            </w:r>
          </w:p>
        </w:tc>
        <w:tc>
          <w:tcPr>
            <w:tcW w:w="2977" w:type="dxa"/>
            <w:noWrap w:val="0"/>
            <w:vAlign w:val="center"/>
          </w:tcPr>
          <w:p w14:paraId="28FE9031">
            <w:pPr>
              <w:jc w:val="center"/>
              <w:rPr>
                <w:rFonts w:ascii="仿宋" w:hAnsi="仿宋" w:eastAsia="仿宋" w:cs="仿宋"/>
                <w:color w:val="auto"/>
                <w:sz w:val="24"/>
                <w:highlight w:val="none"/>
              </w:rPr>
            </w:pPr>
          </w:p>
        </w:tc>
        <w:tc>
          <w:tcPr>
            <w:tcW w:w="1276" w:type="dxa"/>
            <w:noWrap w:val="0"/>
            <w:vAlign w:val="center"/>
          </w:tcPr>
          <w:p w14:paraId="158EB1DF">
            <w:pPr>
              <w:jc w:val="center"/>
              <w:rPr>
                <w:rFonts w:ascii="仿宋" w:hAnsi="仿宋" w:eastAsia="仿宋" w:cs="仿宋"/>
                <w:color w:val="auto"/>
                <w:sz w:val="24"/>
                <w:highlight w:val="none"/>
              </w:rPr>
            </w:pPr>
          </w:p>
        </w:tc>
      </w:tr>
    </w:tbl>
    <w:p w14:paraId="2E8BCC31">
      <w:pPr>
        <w:rPr>
          <w:rFonts w:ascii="仿宋" w:hAnsi="仿宋" w:eastAsia="仿宋" w:cs="仿宋"/>
          <w:color w:val="auto"/>
          <w:sz w:val="24"/>
          <w:highlight w:val="none"/>
        </w:rPr>
      </w:pPr>
    </w:p>
    <w:p w14:paraId="1CAF836A">
      <w:pPr>
        <w:rPr>
          <w:rFonts w:ascii="仿宋" w:hAnsi="仿宋" w:eastAsia="仿宋" w:cs="仿宋"/>
          <w:color w:val="auto"/>
          <w:sz w:val="24"/>
          <w:highlight w:val="none"/>
        </w:rPr>
      </w:pPr>
      <w:r>
        <w:rPr>
          <w:rFonts w:hint="eastAsia" w:ascii="仿宋" w:hAnsi="仿宋" w:eastAsia="仿宋" w:cs="仿宋"/>
          <w:color w:val="auto"/>
          <w:sz w:val="24"/>
          <w:highlight w:val="none"/>
        </w:rPr>
        <w:t>注：</w:t>
      </w:r>
    </w:p>
    <w:p w14:paraId="0DA11DA3">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1.上表</w:t>
      </w:r>
      <w:r>
        <w:rPr>
          <w:rFonts w:hint="eastAsia" w:ascii="仿宋" w:hAnsi="仿宋" w:eastAsia="仿宋" w:cs="仿宋"/>
          <w:b/>
          <w:color w:val="auto"/>
          <w:sz w:val="24"/>
          <w:highlight w:val="none"/>
          <w:u w:val="single"/>
        </w:rPr>
        <w:t>响应情况栏为必填内容</w:t>
      </w:r>
      <w:r>
        <w:rPr>
          <w:rFonts w:hint="eastAsia" w:ascii="仿宋" w:hAnsi="仿宋" w:eastAsia="仿宋" w:cs="仿宋"/>
          <w:color w:val="auto"/>
          <w:sz w:val="24"/>
          <w:highlight w:val="none"/>
          <w:u w:val="single"/>
        </w:rPr>
        <w:t>，说明栏为选填内容。</w:t>
      </w:r>
    </w:p>
    <w:p w14:paraId="1E9AE3B0">
      <w:pPr>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2.</w:t>
      </w:r>
      <w:r>
        <w:rPr>
          <w:rFonts w:hint="eastAsia" w:ascii="仿宋" w:hAnsi="仿宋" w:eastAsia="仿宋" w:cs="仿宋"/>
          <w:b/>
          <w:color w:val="auto"/>
          <w:sz w:val="24"/>
          <w:highlight w:val="none"/>
          <w:u w:val="single"/>
        </w:rPr>
        <w:t>如响应情况栏未填写或填写“未完全响应”，在符合性审查时均按照投标无效处理。</w:t>
      </w:r>
    </w:p>
    <w:p w14:paraId="482B42B6">
      <w:pPr>
        <w:rPr>
          <w:rFonts w:ascii="仿宋" w:hAnsi="仿宋" w:eastAsia="仿宋" w:cs="仿宋"/>
          <w:color w:val="auto"/>
          <w:sz w:val="24"/>
          <w:highlight w:val="none"/>
        </w:rPr>
      </w:pPr>
    </w:p>
    <w:p w14:paraId="7BBA5521">
      <w:pPr>
        <w:spacing w:line="30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2A4C0A8B">
      <w:pPr>
        <w:spacing w:line="360" w:lineRule="auto"/>
        <w:ind w:firstLine="3120"/>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西文正文)">
    <w:altName w:val="Calibri"/>
    <w:panose1 w:val="020F050202020403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 w:name="隶书">
    <w:altName w:val="微软雅黑"/>
    <w:panose1 w:val="02010509060101010101"/>
    <w:charset w:val="00"/>
    <w:family w:val="auto"/>
    <w:pitch w:val="default"/>
    <w:sig w:usb0="00000000" w:usb1="00000000" w:usb2="00000000" w:usb3="00000000" w:csb0="00000000" w:csb1="00000000"/>
  </w:font>
  <w:font w:name="方正楷体_GBK">
    <w:altName w:val="微软雅黑"/>
    <w:panose1 w:val="03000509000000000000"/>
    <w:charset w:val="86"/>
    <w:family w:val="auto"/>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方正黑体_GBK">
    <w:altName w:val="微软雅黑"/>
    <w:panose1 w:val="03000509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5805C">
    <w:pPr>
      <w:pStyle w:val="43"/>
      <w:jc w:val="right"/>
      <w:rPr>
        <w:rFonts w:hint="default" w:eastAsia="宋体"/>
        <w:lang w:val="en-US" w:eastAsia="zh-CN"/>
      </w:rPr>
    </w:pPr>
    <w:r>
      <w:rPr>
        <w:rFonts w:hint="eastAsia" w:ascii="隶书" w:eastAsia="隶书"/>
        <w:b/>
        <w:i/>
        <w:lang w:eastAsia="zh-CN"/>
      </w:rPr>
      <w:t>邳州市公共资源交易中心</w:t>
    </w:r>
    <w:r>
      <w:rPr>
        <w:rFonts w:hint="eastAsia" w:ascii="隶书" w:eastAsia="隶书"/>
        <w:b/>
        <w:i/>
      </w:rPr>
      <w:t>编制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4FBB1">
    <w:pPr>
      <w:pStyle w:val="43"/>
      <w:jc w:val="right"/>
      <w:rPr>
        <w:rFonts w:hint="default" w:eastAsia="宋体"/>
        <w:lang w:val="en-US" w:eastAsia="zh-CN"/>
      </w:rPr>
    </w:pPr>
    <w:r>
      <w:rPr>
        <w:rFonts w:hint="eastAsia" w:ascii="隶书" w:eastAsia="隶书"/>
        <w:b/>
        <w:i/>
        <w:lang w:eastAsia="zh-CN"/>
      </w:rPr>
      <w:t>邳州市公共资源交易中心</w:t>
    </w:r>
    <w:r>
      <w:rPr>
        <w:rFonts w:hint="eastAsia" w:ascii="隶书" w:eastAsia="隶书"/>
        <w:b/>
        <w:i/>
      </w:rPr>
      <w:t>编制</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C81E1">
    <w:pPr>
      <w:pStyle w:val="43"/>
      <w:jc w:val="right"/>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821243">
                          <w:pPr>
                            <w:pStyle w:val="4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Ovy/g8AgAAbw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meTofS2TdeOSl/hX1OXXyx+zcdm+pxj2xTzRo0DfBZi3AjiEbUt8dpFZ9YjJDLE+WywVC&#10;ErH5A6iFKOfrPsT0WpFl2ah4wCwHeHF7FdOYOqfkao422hj4RWkc6yp++vzF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Ovy/g8AgAAbwQAAA4AAAAAAAAAAQAgAAAAHwEAAGRycy9lMm9E&#10;b2MueG1sUEsFBgAAAAAGAAYAWQEAAM0FAAAAAA==&#10;">
              <v:fill on="f" focussize="0,0"/>
              <v:stroke on="f" weight="0.5pt"/>
              <v:imagedata o:title=""/>
              <o:lock v:ext="edit" aspectratio="f"/>
              <v:textbox inset="0mm,0mm,0mm,0mm" style="mso-fit-shape-to-text:t;">
                <w:txbxContent>
                  <w:p w14:paraId="30821243">
                    <w:pPr>
                      <w:pStyle w:val="4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隶书" w:eastAsia="隶书"/>
        <w:b/>
        <w:i/>
        <w:lang w:eastAsia="zh-CN"/>
      </w:rPr>
      <w:t>邳州市公共资源交易中心</w:t>
    </w:r>
    <w:r>
      <w:rPr>
        <w:rFonts w:hint="eastAsia" w:ascii="隶书" w:eastAsia="隶书"/>
        <w:b/>
        <w:i/>
      </w:rPr>
      <w:t>编制</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BFEBD">
    <w:pPr>
      <w:pStyle w:val="4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160DE">
    <w:pPr>
      <w:pStyle w:val="4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E329D">
    <w:pPr>
      <w:pStyle w:val="43"/>
      <w:rPr>
        <w:rFonts w:ascii="隶书" w:eastAsia="隶书"/>
        <w:sz w:val="21"/>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5"/>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0053208E"/>
    <w:multiLevelType w:val="multilevel"/>
    <w:tmpl w:val="0053208E"/>
    <w:lvl w:ilvl="0" w:tentative="0">
      <w:start w:val="1"/>
      <w:numFmt w:val="chineseCountingThousand"/>
      <w:suff w:val="space"/>
      <w:lvlText w:val="%1、"/>
      <w:lvlJc w:val="left"/>
      <w:pPr>
        <w:ind w:left="425" w:hanging="425"/>
      </w:pPr>
      <w:rPr>
        <w:rFonts w:hint="eastAsia"/>
        <w:b/>
        <w:bCs/>
      </w:rPr>
    </w:lvl>
    <w:lvl w:ilvl="1" w:tentative="0">
      <w:start w:val="1"/>
      <w:numFmt w:val="decimal"/>
      <w:pStyle w:val="3"/>
      <w:isLgl/>
      <w:suff w:val="space"/>
      <w:lvlText w:val="%1.%2"/>
      <w:lvlJc w:val="left"/>
      <w:pPr>
        <w:ind w:left="425" w:hanging="425"/>
      </w:pPr>
      <w:rPr>
        <w:rFonts w:hint="default" w:ascii="Calibri" w:hAnsi="Calibri" w:cs="Calibri"/>
        <w:sz w:val="32"/>
        <w:szCs w:val="32"/>
      </w:rPr>
    </w:lvl>
    <w:lvl w:ilvl="2" w:tentative="0">
      <w:start w:val="1"/>
      <w:numFmt w:val="decimal"/>
      <w:isLgl/>
      <w:suff w:val="space"/>
      <w:lvlText w:val="%1.%2.%3"/>
      <w:lvlJc w:val="left"/>
      <w:pPr>
        <w:ind w:left="2836" w:hanging="425"/>
      </w:pPr>
      <w:rPr>
        <w:rFonts w:hint="eastAsia"/>
      </w:rPr>
    </w:lvl>
    <w:lvl w:ilvl="3" w:tentative="0">
      <w:start w:val="1"/>
      <w:numFmt w:val="decimal"/>
      <w:isLgl/>
      <w:suff w:val="space"/>
      <w:lvlText w:val="%1.%2.%3.%4"/>
      <w:lvlJc w:val="left"/>
      <w:pPr>
        <w:ind w:left="425" w:hanging="425"/>
      </w:pPr>
      <w:rPr>
        <w:rFonts w:hint="default" w:ascii="Calibri" w:hAnsi="Calibri" w:cs="Calibri"/>
        <w:color w:val="auto"/>
      </w:rPr>
    </w:lvl>
    <w:lvl w:ilvl="4" w:tentative="0">
      <w:start w:val="1"/>
      <w:numFmt w:val="decimal"/>
      <w:pStyle w:val="6"/>
      <w:isLgl/>
      <w:suff w:val="space"/>
      <w:lvlText w:val="%1.%2.%3.%4.%5"/>
      <w:lvlJc w:val="left"/>
      <w:pPr>
        <w:ind w:left="425" w:hanging="425"/>
      </w:pPr>
      <w:rPr>
        <w:rFonts w:hint="eastAsia"/>
      </w:rPr>
    </w:lvl>
    <w:lvl w:ilvl="5" w:tentative="0">
      <w:start w:val="1"/>
      <w:numFmt w:val="decimal"/>
      <w:pStyle w:val="7"/>
      <w:isLgl/>
      <w:suff w:val="space"/>
      <w:lvlText w:val="%1.%2.%3.%4.%5.%6"/>
      <w:lvlJc w:val="left"/>
      <w:pPr>
        <w:ind w:left="425" w:hanging="425"/>
      </w:pPr>
      <w:rPr>
        <w:rFonts w:hint="eastAsia" w:ascii="Calibri (西文正文)" w:eastAsia="黑体" w:cs="Cambria"/>
        <w:b/>
        <w:i w:val="0"/>
        <w:sz w:val="24"/>
      </w:rPr>
    </w:lvl>
    <w:lvl w:ilvl="6" w:tentative="0">
      <w:start w:val="1"/>
      <w:numFmt w:val="decimal"/>
      <w:isLgl/>
      <w:suff w:val="space"/>
      <w:lvlText w:val="%1.%2.%3.%4.%5.%6.%7"/>
      <w:lvlJc w:val="left"/>
      <w:pPr>
        <w:ind w:left="0" w:firstLine="0"/>
      </w:pPr>
      <w:rPr>
        <w:rFonts w:hint="eastAsia" w:ascii="宋体" w:hAnsi="宋体" w:eastAsia="宋体"/>
        <w:b/>
        <w:i w:val="0"/>
      </w:rPr>
    </w:lvl>
    <w:lvl w:ilvl="7" w:tentative="0">
      <w:start w:val="1"/>
      <w:numFmt w:val="decimal"/>
      <w:isLgl/>
      <w:suff w:val="space"/>
      <w:lvlText w:val="%1.%2.%3.%4.%5.%6.%7.%8"/>
      <w:lvlJc w:val="left"/>
      <w:pPr>
        <w:ind w:left="0" w:firstLine="0"/>
      </w:pPr>
      <w:rPr>
        <w:rFonts w:hint="eastAsia"/>
      </w:rPr>
    </w:lvl>
    <w:lvl w:ilvl="8" w:tentative="0">
      <w:start w:val="1"/>
      <w:numFmt w:val="decimal"/>
      <w:lvlText w:val="%1.%2.%3.%4.%5.%6.%7.%8.%9"/>
      <w:lvlJc w:val="left"/>
      <w:pPr>
        <w:ind w:left="5102" w:hanging="1700"/>
      </w:pPr>
      <w:rPr>
        <w:rFonts w:hint="eastAsia"/>
      </w:rPr>
    </w:lvl>
  </w:abstractNum>
  <w:abstractNum w:abstractNumId="2">
    <w:nsid w:val="29D6AF13"/>
    <w:multiLevelType w:val="singleLevel"/>
    <w:tmpl w:val="29D6AF13"/>
    <w:lvl w:ilvl="0" w:tentative="0">
      <w:start w:val="6"/>
      <w:numFmt w:val="chineseCounting"/>
      <w:suff w:val="space"/>
      <w:lvlText w:val="第%1章"/>
      <w:lvlJc w:val="left"/>
      <w:rPr>
        <w:rFonts w:hint="eastAsia"/>
      </w:rPr>
    </w:lvl>
  </w:abstractNum>
  <w:abstractNum w:abstractNumId="3">
    <w:nsid w:val="41D5D9DD"/>
    <w:multiLevelType w:val="singleLevel"/>
    <w:tmpl w:val="41D5D9DD"/>
    <w:lvl w:ilvl="0" w:tentative="0">
      <w:start w:val="1"/>
      <w:numFmt w:val="decimal"/>
      <w:suff w:val="space"/>
      <w:lvlText w:val="%1."/>
      <w:lvlJc w:val="left"/>
    </w:lvl>
  </w:abstractNum>
  <w:abstractNum w:abstractNumId="4">
    <w:nsid w:val="486A5921"/>
    <w:multiLevelType w:val="multilevel"/>
    <w:tmpl w:val="486A5921"/>
    <w:lvl w:ilvl="0" w:tentative="0">
      <w:start w:val="1"/>
      <w:numFmt w:val="japaneseCounting"/>
      <w:lvlText w:val="第%1条"/>
      <w:lvlJc w:val="left"/>
      <w:pPr>
        <w:ind w:left="1305" w:hanging="825"/>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4B511C13"/>
    <w:multiLevelType w:val="multilevel"/>
    <w:tmpl w:val="4B511C13"/>
    <w:lvl w:ilvl="0" w:tentative="0">
      <w:start w:val="1"/>
      <w:numFmt w:val="japaneseCounting"/>
      <w:lvlText w:val="第%1章"/>
      <w:lvlJc w:val="left"/>
      <w:pPr>
        <w:ind w:left="3170" w:hanging="825"/>
      </w:pPr>
      <w:rPr>
        <w:rFonts w:hint="default"/>
      </w:rPr>
    </w:lvl>
    <w:lvl w:ilvl="1" w:tentative="0">
      <w:start w:val="1"/>
      <w:numFmt w:val="lowerLetter"/>
      <w:lvlText w:val="%2)"/>
      <w:lvlJc w:val="left"/>
      <w:pPr>
        <w:ind w:left="3185" w:hanging="420"/>
      </w:pPr>
    </w:lvl>
    <w:lvl w:ilvl="2" w:tentative="0">
      <w:start w:val="1"/>
      <w:numFmt w:val="lowerRoman"/>
      <w:lvlText w:val="%3."/>
      <w:lvlJc w:val="right"/>
      <w:pPr>
        <w:ind w:left="3605" w:hanging="420"/>
      </w:pPr>
    </w:lvl>
    <w:lvl w:ilvl="3" w:tentative="0">
      <w:start w:val="1"/>
      <w:numFmt w:val="decimal"/>
      <w:lvlText w:val="%4."/>
      <w:lvlJc w:val="left"/>
      <w:pPr>
        <w:ind w:left="4025" w:hanging="420"/>
      </w:pPr>
    </w:lvl>
    <w:lvl w:ilvl="4" w:tentative="0">
      <w:start w:val="1"/>
      <w:numFmt w:val="lowerLetter"/>
      <w:lvlText w:val="%5)"/>
      <w:lvlJc w:val="left"/>
      <w:pPr>
        <w:ind w:left="4445" w:hanging="420"/>
      </w:pPr>
    </w:lvl>
    <w:lvl w:ilvl="5" w:tentative="0">
      <w:start w:val="1"/>
      <w:numFmt w:val="lowerRoman"/>
      <w:lvlText w:val="%6."/>
      <w:lvlJc w:val="right"/>
      <w:pPr>
        <w:ind w:left="4865" w:hanging="420"/>
      </w:pPr>
    </w:lvl>
    <w:lvl w:ilvl="6" w:tentative="0">
      <w:start w:val="1"/>
      <w:numFmt w:val="decimal"/>
      <w:lvlText w:val="%7."/>
      <w:lvlJc w:val="left"/>
      <w:pPr>
        <w:ind w:left="5285" w:hanging="420"/>
      </w:pPr>
    </w:lvl>
    <w:lvl w:ilvl="7" w:tentative="0">
      <w:start w:val="1"/>
      <w:numFmt w:val="lowerLetter"/>
      <w:lvlText w:val="%8)"/>
      <w:lvlJc w:val="left"/>
      <w:pPr>
        <w:ind w:left="5705" w:hanging="420"/>
      </w:pPr>
    </w:lvl>
    <w:lvl w:ilvl="8" w:tentative="0">
      <w:start w:val="1"/>
      <w:numFmt w:val="lowerRoman"/>
      <w:lvlText w:val="%9."/>
      <w:lvlJc w:val="right"/>
      <w:pPr>
        <w:ind w:left="6125" w:hanging="42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43837"/>
    <w:rsid w:val="02672DC5"/>
    <w:rsid w:val="02D25151"/>
    <w:rsid w:val="02E84657"/>
    <w:rsid w:val="03B70B69"/>
    <w:rsid w:val="04FF5EB7"/>
    <w:rsid w:val="082B476A"/>
    <w:rsid w:val="087D3BA5"/>
    <w:rsid w:val="09304FAA"/>
    <w:rsid w:val="09702969"/>
    <w:rsid w:val="0A1A6969"/>
    <w:rsid w:val="0B192F44"/>
    <w:rsid w:val="0B196B42"/>
    <w:rsid w:val="0B424ED9"/>
    <w:rsid w:val="0C5734B3"/>
    <w:rsid w:val="0CB87790"/>
    <w:rsid w:val="0CFA3905"/>
    <w:rsid w:val="0D004C93"/>
    <w:rsid w:val="0D2B0107"/>
    <w:rsid w:val="0D3E3C8A"/>
    <w:rsid w:val="0DD95C10"/>
    <w:rsid w:val="12E04BD2"/>
    <w:rsid w:val="12E3308D"/>
    <w:rsid w:val="12FB3F33"/>
    <w:rsid w:val="144109BF"/>
    <w:rsid w:val="14785667"/>
    <w:rsid w:val="15C80049"/>
    <w:rsid w:val="163376F8"/>
    <w:rsid w:val="1B1E2EB4"/>
    <w:rsid w:val="1B530478"/>
    <w:rsid w:val="1BC711D4"/>
    <w:rsid w:val="226D14E0"/>
    <w:rsid w:val="246103A1"/>
    <w:rsid w:val="275C3E9A"/>
    <w:rsid w:val="284D6B87"/>
    <w:rsid w:val="29B87DCB"/>
    <w:rsid w:val="2A181862"/>
    <w:rsid w:val="2AFC4894"/>
    <w:rsid w:val="2E360381"/>
    <w:rsid w:val="2F47590C"/>
    <w:rsid w:val="30137039"/>
    <w:rsid w:val="312518E3"/>
    <w:rsid w:val="33900364"/>
    <w:rsid w:val="357C7EED"/>
    <w:rsid w:val="37371434"/>
    <w:rsid w:val="37D746BF"/>
    <w:rsid w:val="39CF6DF4"/>
    <w:rsid w:val="39DF0842"/>
    <w:rsid w:val="3B430836"/>
    <w:rsid w:val="3B9A7EDD"/>
    <w:rsid w:val="3D8416FC"/>
    <w:rsid w:val="3FA516F6"/>
    <w:rsid w:val="40E6578E"/>
    <w:rsid w:val="43851473"/>
    <w:rsid w:val="44606627"/>
    <w:rsid w:val="468633F9"/>
    <w:rsid w:val="473A2575"/>
    <w:rsid w:val="47EA5D49"/>
    <w:rsid w:val="48F055E1"/>
    <w:rsid w:val="4CEC1053"/>
    <w:rsid w:val="4CF05CE3"/>
    <w:rsid w:val="4D243AAB"/>
    <w:rsid w:val="4D5123C6"/>
    <w:rsid w:val="4D855132"/>
    <w:rsid w:val="4E606D65"/>
    <w:rsid w:val="4E792618"/>
    <w:rsid w:val="4F0B3174"/>
    <w:rsid w:val="52E56D45"/>
    <w:rsid w:val="53182FAD"/>
    <w:rsid w:val="538E05FD"/>
    <w:rsid w:val="54A930AA"/>
    <w:rsid w:val="575516E1"/>
    <w:rsid w:val="593212FE"/>
    <w:rsid w:val="5C1F025F"/>
    <w:rsid w:val="5C2515ED"/>
    <w:rsid w:val="5C6C4B26"/>
    <w:rsid w:val="5CFC1394"/>
    <w:rsid w:val="5F41229A"/>
    <w:rsid w:val="60E71CA1"/>
    <w:rsid w:val="61BC79B7"/>
    <w:rsid w:val="62541D77"/>
    <w:rsid w:val="655266E4"/>
    <w:rsid w:val="677D5E3A"/>
    <w:rsid w:val="68A74C64"/>
    <w:rsid w:val="6AFA41F9"/>
    <w:rsid w:val="6B105217"/>
    <w:rsid w:val="6C744EF1"/>
    <w:rsid w:val="6C9219A1"/>
    <w:rsid w:val="70131A31"/>
    <w:rsid w:val="70CE5958"/>
    <w:rsid w:val="70D021EC"/>
    <w:rsid w:val="72003A61"/>
    <w:rsid w:val="72807126"/>
    <w:rsid w:val="75A819B8"/>
    <w:rsid w:val="76124028"/>
    <w:rsid w:val="768B4EA0"/>
    <w:rsid w:val="77882D05"/>
    <w:rsid w:val="78DE6954"/>
    <w:rsid w:val="78E81581"/>
    <w:rsid w:val="78EE303B"/>
    <w:rsid w:val="7A895ACB"/>
    <w:rsid w:val="7B334591"/>
    <w:rsid w:val="7B4A207F"/>
    <w:rsid w:val="7F7C2D75"/>
    <w:rsid w:val="7FD13457"/>
    <w:rsid w:val="7FD8234F"/>
    <w:rsid w:val="7FE76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6"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62"/>
    <w:qFormat/>
    <w:uiPriority w:val="0"/>
    <w:pPr>
      <w:keepNext/>
      <w:keepLines/>
      <w:spacing w:before="340" w:after="330" w:line="578" w:lineRule="auto"/>
      <w:outlineLvl w:val="0"/>
    </w:pPr>
    <w:rPr>
      <w:b/>
      <w:bCs/>
      <w:sz w:val="44"/>
      <w:szCs w:val="44"/>
    </w:rPr>
  </w:style>
  <w:style w:type="paragraph" w:styleId="3">
    <w:name w:val="heading 2"/>
    <w:basedOn w:val="1"/>
    <w:next w:val="1"/>
    <w:unhideWhenUsed/>
    <w:qFormat/>
    <w:uiPriority w:val="0"/>
    <w:pPr>
      <w:keepNext/>
      <w:keepLines/>
      <w:numPr>
        <w:ilvl w:val="1"/>
        <w:numId w:val="1"/>
      </w:numPr>
      <w:spacing w:before="50" w:after="50" w:line="360" w:lineRule="auto"/>
      <w:outlineLvl w:val="1"/>
    </w:pPr>
    <w:rPr>
      <w:rFonts w:ascii="Cambria" w:hAnsi="Cambria" w:eastAsia="黑体"/>
      <w:b/>
      <w:bCs/>
      <w:sz w:val="32"/>
      <w:szCs w:val="32"/>
    </w:rPr>
  </w:style>
  <w:style w:type="paragraph" w:styleId="4">
    <w:name w:val="heading 3"/>
    <w:basedOn w:val="1"/>
    <w:next w:val="1"/>
    <w:link w:val="224"/>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263"/>
    <w:qFormat/>
    <w:uiPriority w:val="0"/>
    <w:pPr>
      <w:keepNext/>
      <w:keepLines/>
      <w:numPr>
        <w:ilvl w:val="3"/>
        <w:numId w:val="2"/>
      </w:numPr>
      <w:spacing w:before="60" w:after="20" w:line="376" w:lineRule="auto"/>
      <w:outlineLvl w:val="3"/>
    </w:pPr>
    <w:rPr>
      <w:rFonts w:ascii="黑体" w:hAnsi="Arial" w:eastAsia="黑体"/>
      <w:sz w:val="24"/>
      <w:szCs w:val="20"/>
    </w:rPr>
  </w:style>
  <w:style w:type="paragraph" w:styleId="6">
    <w:name w:val="heading 5"/>
    <w:basedOn w:val="1"/>
    <w:next w:val="1"/>
    <w:unhideWhenUsed/>
    <w:qFormat/>
    <w:uiPriority w:val="9"/>
    <w:pPr>
      <w:keepNext/>
      <w:keepLines/>
      <w:numPr>
        <w:ilvl w:val="4"/>
        <w:numId w:val="1"/>
      </w:numPr>
      <w:spacing w:line="360" w:lineRule="auto"/>
      <w:outlineLvl w:val="4"/>
    </w:pPr>
    <w:rPr>
      <w:rFonts w:eastAsia="黑体"/>
      <w:b/>
      <w:bCs/>
      <w:sz w:val="24"/>
      <w:szCs w:val="28"/>
    </w:rPr>
  </w:style>
  <w:style w:type="paragraph" w:styleId="7">
    <w:name w:val="heading 6"/>
    <w:basedOn w:val="1"/>
    <w:next w:val="1"/>
    <w:unhideWhenUsed/>
    <w:qFormat/>
    <w:uiPriority w:val="9"/>
    <w:pPr>
      <w:keepNext/>
      <w:keepLines/>
      <w:numPr>
        <w:ilvl w:val="5"/>
        <w:numId w:val="1"/>
      </w:numPr>
      <w:spacing w:line="360" w:lineRule="auto"/>
      <w:outlineLvl w:val="5"/>
    </w:pPr>
    <w:rPr>
      <w:rFonts w:ascii="Cambria" w:hAnsi="Cambria"/>
      <w:b/>
      <w:bCs/>
      <w:sz w:val="24"/>
    </w:rPr>
  </w:style>
  <w:style w:type="paragraph" w:styleId="8">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widowControl/>
      <w:jc w:val="left"/>
    </w:pPr>
    <w:rPr>
      <w:rFonts w:ascii="Calibri Light" w:hAnsi="Calibri Light" w:eastAsia="仿宋" w:cs="Calibri Light"/>
      <w:sz w:val="28"/>
      <w:szCs w:val="28"/>
    </w:rPr>
  </w:style>
  <w:style w:type="paragraph" w:styleId="15">
    <w:name w:val="Body Text"/>
    <w:basedOn w:val="1"/>
    <w:next w:val="16"/>
    <w:qFormat/>
    <w:uiPriority w:val="0"/>
    <w:pPr>
      <w:spacing w:after="120"/>
    </w:pPr>
  </w:style>
  <w:style w:type="paragraph" w:customStyle="1" w:styleId="16">
    <w:name w:val="一级条标题"/>
    <w:basedOn w:val="17"/>
    <w:next w:val="1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7">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8">
    <w:name w:val="段"/>
    <w:basedOn w:val="19"/>
    <w:next w:val="1"/>
    <w:qFormat/>
    <w:uiPriority w:val="0"/>
    <w:pPr>
      <w:widowControl/>
      <w:ind w:firstLine="200"/>
    </w:pPr>
    <w:rPr>
      <w:rFonts w:hint="eastAsia" w:ascii="宋体"/>
      <w:sz w:val="20"/>
      <w:szCs w:val="20"/>
    </w:rPr>
  </w:style>
  <w:style w:type="paragraph" w:customStyle="1" w:styleId="19">
    <w:name w:val="正文1"/>
    <w:basedOn w:val="20"/>
    <w:next w:val="32"/>
    <w:qFormat/>
    <w:uiPriority w:val="0"/>
    <w:pPr>
      <w:widowControl w:val="0"/>
      <w:jc w:val="both"/>
    </w:pPr>
    <w:rPr>
      <w:rFonts w:ascii="Calibri" w:hAnsi="Calibri" w:eastAsia="宋体" w:cs="Times New Roman"/>
      <w:sz w:val="21"/>
      <w:szCs w:val="24"/>
      <w:lang w:val="en-US" w:eastAsia="zh-CN" w:bidi="ar-SA"/>
    </w:rPr>
  </w:style>
  <w:style w:type="paragraph" w:customStyle="1" w:styleId="20">
    <w:name w:val="正文111"/>
    <w:next w:val="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
    <w:name w:val="正文首行缩进11"/>
    <w:basedOn w:val="22"/>
    <w:next w:val="25"/>
    <w:qFormat/>
    <w:uiPriority w:val="0"/>
    <w:pPr>
      <w:ind w:firstLine="420"/>
    </w:pPr>
  </w:style>
  <w:style w:type="paragraph" w:customStyle="1" w:styleId="22">
    <w:name w:val="正文文本11"/>
    <w:basedOn w:val="23"/>
    <w:next w:val="20"/>
    <w:qFormat/>
    <w:uiPriority w:val="0"/>
    <w:pPr>
      <w:spacing w:after="120"/>
    </w:pPr>
  </w:style>
  <w:style w:type="paragraph" w:customStyle="1" w:styleId="23">
    <w:name w:val="正文11"/>
    <w:next w:val="2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
    <w:name w:val="文本块1"/>
    <w:basedOn w:val="19"/>
    <w:qFormat/>
    <w:uiPriority w:val="0"/>
    <w:pPr>
      <w:ind w:left="256" w:right="6" w:firstLine="624"/>
    </w:pPr>
    <w:rPr>
      <w:rFonts w:ascii="Times New Roman" w:hAnsi="Times New Roman" w:eastAsia="仿宋" w:cs="Times New Roman"/>
      <w:sz w:val="28"/>
      <w:szCs w:val="20"/>
    </w:rPr>
  </w:style>
  <w:style w:type="paragraph" w:customStyle="1" w:styleId="25">
    <w:name w:val="正文首行缩进 211"/>
    <w:basedOn w:val="26"/>
    <w:next w:val="27"/>
    <w:qFormat/>
    <w:uiPriority w:val="0"/>
    <w:pPr>
      <w:tabs>
        <w:tab w:val="left" w:pos="0"/>
        <w:tab w:val="left" w:pos="993"/>
        <w:tab w:val="left" w:pos="1134"/>
      </w:tabs>
      <w:ind w:firstLine="420"/>
    </w:pPr>
  </w:style>
  <w:style w:type="paragraph" w:customStyle="1" w:styleId="26">
    <w:name w:val="正文文本缩进11"/>
    <w:basedOn w:val="27"/>
    <w:next w:val="28"/>
    <w:qFormat/>
    <w:uiPriority w:val="0"/>
    <w:pPr>
      <w:spacing w:after="120"/>
      <w:ind w:left="420"/>
    </w:pPr>
  </w:style>
  <w:style w:type="paragraph" w:customStyle="1" w:styleId="27">
    <w:name w:val="正文112"/>
    <w:next w:val="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
    <w:name w:val="寄信人地址11"/>
    <w:basedOn w:val="29"/>
    <w:qFormat/>
    <w:uiPriority w:val="0"/>
    <w:rPr>
      <w:rFonts w:ascii="Arial" w:hAnsi="Arial"/>
    </w:rPr>
  </w:style>
  <w:style w:type="paragraph" w:customStyle="1" w:styleId="29">
    <w:name w:val="正文1121"/>
    <w:next w:val="3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
    <w:name w:val="文本块11"/>
    <w:basedOn w:val="31"/>
    <w:qFormat/>
    <w:uiPriority w:val="0"/>
    <w:pPr>
      <w:ind w:left="420" w:right="33"/>
      <w:jc w:val="left"/>
    </w:pPr>
    <w:rPr>
      <w:szCs w:val="20"/>
    </w:rPr>
  </w:style>
  <w:style w:type="paragraph" w:customStyle="1" w:styleId="31">
    <w:name w:val="正文12"/>
    <w:next w:val="32"/>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32">
    <w:name w:val="正文文本1"/>
    <w:basedOn w:val="19"/>
    <w:next w:val="31"/>
    <w:qFormat/>
    <w:uiPriority w:val="0"/>
    <w:pPr>
      <w:spacing w:after="120"/>
    </w:pPr>
    <w:rPr>
      <w:rFonts w:ascii="Calibri" w:hAnsi="Calibri"/>
    </w:rPr>
  </w:style>
  <w:style w:type="paragraph" w:styleId="33">
    <w:name w:val="Body Text Indent"/>
    <w:basedOn w:val="1"/>
    <w:link w:val="213"/>
    <w:qFormat/>
    <w:uiPriority w:val="0"/>
    <w:pPr>
      <w:spacing w:after="120"/>
      <w:ind w:left="420"/>
    </w:pPr>
  </w:style>
  <w:style w:type="paragraph" w:styleId="34">
    <w:name w:val="Block Text"/>
    <w:basedOn w:val="1"/>
    <w:qFormat/>
    <w:uiPriority w:val="6"/>
    <w:pPr>
      <w:ind w:left="256" w:right="6" w:firstLine="624"/>
    </w:pPr>
    <w:rPr>
      <w:rFonts w:eastAsia="仿宋"/>
      <w:sz w:val="28"/>
      <w:szCs w:val="20"/>
    </w:rPr>
  </w:style>
  <w:style w:type="paragraph" w:styleId="35">
    <w:name w:val="index 4"/>
    <w:basedOn w:val="1"/>
    <w:next w:val="1"/>
    <w:unhideWhenUsed/>
    <w:qFormat/>
    <w:uiPriority w:val="99"/>
    <w:pPr>
      <w:ind w:left="600"/>
    </w:pPr>
    <w:rPr>
      <w:rFonts w:ascii="Verdana" w:hAnsi="Verdana" w:eastAsia="微软雅黑"/>
      <w:szCs w:val="20"/>
    </w:rPr>
  </w:style>
  <w:style w:type="paragraph" w:styleId="36">
    <w:name w:val="toc 5"/>
    <w:basedOn w:val="1"/>
    <w:next w:val="1"/>
    <w:unhideWhenUsed/>
    <w:qFormat/>
    <w:uiPriority w:val="39"/>
    <w:pPr>
      <w:spacing w:after="57"/>
      <w:ind w:left="1134" w:right="0" w:firstLine="0"/>
    </w:pPr>
  </w:style>
  <w:style w:type="paragraph" w:styleId="37">
    <w:name w:val="toc 3"/>
    <w:basedOn w:val="1"/>
    <w:next w:val="1"/>
    <w:unhideWhenUsed/>
    <w:qFormat/>
    <w:uiPriority w:val="39"/>
    <w:pPr>
      <w:spacing w:after="57"/>
      <w:ind w:left="567" w:right="0" w:firstLine="0"/>
    </w:pPr>
  </w:style>
  <w:style w:type="paragraph" w:styleId="38">
    <w:name w:val="Plain Text"/>
    <w:basedOn w:val="1"/>
    <w:qFormat/>
    <w:uiPriority w:val="0"/>
    <w:rPr>
      <w:rFonts w:ascii="宋体" w:hAnsi="Courier New"/>
      <w:szCs w:val="21"/>
    </w:rPr>
  </w:style>
  <w:style w:type="paragraph" w:styleId="39">
    <w:name w:val="toc 8"/>
    <w:basedOn w:val="1"/>
    <w:next w:val="1"/>
    <w:unhideWhenUsed/>
    <w:qFormat/>
    <w:uiPriority w:val="39"/>
    <w:pPr>
      <w:spacing w:after="57"/>
      <w:ind w:left="1984" w:right="0" w:firstLine="0"/>
    </w:pPr>
  </w:style>
  <w:style w:type="paragraph" w:styleId="40">
    <w:name w:val="Date"/>
    <w:basedOn w:val="1"/>
    <w:next w:val="1"/>
    <w:qFormat/>
    <w:uiPriority w:val="0"/>
    <w:rPr>
      <w:rFonts w:eastAsia="仿宋_GB2312"/>
      <w:sz w:val="28"/>
      <w:szCs w:val="20"/>
    </w:rPr>
  </w:style>
  <w:style w:type="paragraph" w:styleId="41">
    <w:name w:val="Body Text Indent 2"/>
    <w:basedOn w:val="1"/>
    <w:qFormat/>
    <w:uiPriority w:val="0"/>
    <w:pPr>
      <w:spacing w:line="10" w:lineRule="atLeast"/>
      <w:ind w:firstLine="475"/>
    </w:pPr>
    <w:rPr>
      <w:rFonts w:ascii="仿宋_GB2312" w:eastAsia="仿宋_GB2312"/>
      <w:sz w:val="24"/>
    </w:rPr>
  </w:style>
  <w:style w:type="paragraph" w:styleId="42">
    <w:name w:val="endnote text"/>
    <w:basedOn w:val="1"/>
    <w:link w:val="209"/>
    <w:semiHidden/>
    <w:unhideWhenUsed/>
    <w:qFormat/>
    <w:uiPriority w:val="99"/>
    <w:pPr>
      <w:spacing w:after="0" w:line="240" w:lineRule="auto"/>
    </w:pPr>
    <w:rPr>
      <w:sz w:val="20"/>
    </w:rPr>
  </w:style>
  <w:style w:type="paragraph" w:styleId="43">
    <w:name w:val="footer"/>
    <w:basedOn w:val="1"/>
    <w:qFormat/>
    <w:uiPriority w:val="0"/>
    <w:pPr>
      <w:tabs>
        <w:tab w:val="center" w:pos="4153"/>
        <w:tab w:val="right" w:pos="8306"/>
      </w:tabs>
      <w:jc w:val="left"/>
    </w:pPr>
    <w:rPr>
      <w:sz w:val="18"/>
      <w:szCs w:val="18"/>
    </w:rPr>
  </w:style>
  <w:style w:type="paragraph" w:styleId="44">
    <w:name w:val="header"/>
    <w:basedOn w:val="1"/>
    <w:qFormat/>
    <w:uiPriority w:val="0"/>
    <w:pPr>
      <w:pBdr>
        <w:bottom w:val="single" w:color="auto" w:sz="6" w:space="1"/>
      </w:pBdr>
      <w:tabs>
        <w:tab w:val="center" w:pos="4153"/>
        <w:tab w:val="right" w:pos="8306"/>
      </w:tabs>
      <w:jc w:val="center"/>
    </w:pPr>
    <w:rPr>
      <w:sz w:val="18"/>
      <w:szCs w:val="18"/>
    </w:rPr>
  </w:style>
  <w:style w:type="paragraph" w:styleId="45">
    <w:name w:val="toc 1"/>
    <w:basedOn w:val="1"/>
    <w:next w:val="1"/>
    <w:unhideWhenUsed/>
    <w:qFormat/>
    <w:uiPriority w:val="39"/>
    <w:pPr>
      <w:widowControl/>
      <w:spacing w:after="100" w:line="259" w:lineRule="auto"/>
      <w:jc w:val="left"/>
    </w:pPr>
    <w:rPr>
      <w:rFonts w:ascii="Calibri" w:hAnsi="Calibri"/>
      <w:sz w:val="22"/>
      <w:szCs w:val="22"/>
    </w:rPr>
  </w:style>
  <w:style w:type="paragraph" w:styleId="46">
    <w:name w:val="toc 4"/>
    <w:basedOn w:val="1"/>
    <w:next w:val="1"/>
    <w:unhideWhenUsed/>
    <w:qFormat/>
    <w:uiPriority w:val="39"/>
    <w:pPr>
      <w:spacing w:after="57"/>
      <w:ind w:left="850" w:right="0" w:firstLine="0"/>
    </w:pPr>
  </w:style>
  <w:style w:type="paragraph" w:styleId="47">
    <w:name w:val="Subtitle"/>
    <w:basedOn w:val="1"/>
    <w:next w:val="1"/>
    <w:link w:val="75"/>
    <w:qFormat/>
    <w:uiPriority w:val="11"/>
    <w:pPr>
      <w:spacing w:before="200" w:after="200"/>
    </w:pPr>
    <w:rPr>
      <w:sz w:val="24"/>
      <w:szCs w:val="24"/>
    </w:rPr>
  </w:style>
  <w:style w:type="paragraph" w:styleId="48">
    <w:name w:val="footnote text"/>
    <w:basedOn w:val="1"/>
    <w:link w:val="208"/>
    <w:semiHidden/>
    <w:unhideWhenUsed/>
    <w:qFormat/>
    <w:uiPriority w:val="99"/>
    <w:pPr>
      <w:spacing w:after="40" w:line="240" w:lineRule="auto"/>
    </w:pPr>
    <w:rPr>
      <w:sz w:val="18"/>
    </w:rPr>
  </w:style>
  <w:style w:type="paragraph" w:styleId="49">
    <w:name w:val="toc 6"/>
    <w:basedOn w:val="1"/>
    <w:next w:val="1"/>
    <w:unhideWhenUsed/>
    <w:qFormat/>
    <w:uiPriority w:val="39"/>
    <w:pPr>
      <w:spacing w:after="57"/>
      <w:ind w:left="1417" w:right="0" w:firstLine="0"/>
    </w:pPr>
  </w:style>
  <w:style w:type="paragraph" w:styleId="50">
    <w:name w:val="table of figures"/>
    <w:basedOn w:val="1"/>
    <w:next w:val="1"/>
    <w:unhideWhenUsed/>
    <w:qFormat/>
    <w:uiPriority w:val="99"/>
    <w:pPr>
      <w:spacing w:after="0" w:afterAutospacing="0"/>
    </w:pPr>
  </w:style>
  <w:style w:type="paragraph" w:styleId="51">
    <w:name w:val="toc 2"/>
    <w:basedOn w:val="1"/>
    <w:next w:val="1"/>
    <w:unhideWhenUsed/>
    <w:qFormat/>
    <w:uiPriority w:val="39"/>
    <w:pPr>
      <w:spacing w:after="57"/>
      <w:ind w:left="283" w:right="0" w:firstLine="0"/>
    </w:pPr>
  </w:style>
  <w:style w:type="paragraph" w:styleId="52">
    <w:name w:val="toc 9"/>
    <w:basedOn w:val="1"/>
    <w:next w:val="1"/>
    <w:unhideWhenUsed/>
    <w:qFormat/>
    <w:uiPriority w:val="39"/>
    <w:pPr>
      <w:spacing w:after="57"/>
      <w:ind w:left="2268" w:right="0" w:firstLine="0"/>
    </w:pPr>
  </w:style>
  <w:style w:type="paragraph" w:styleId="53">
    <w:name w:val="Normal (Web)"/>
    <w:basedOn w:val="1"/>
    <w:qFormat/>
    <w:uiPriority w:val="0"/>
    <w:pPr>
      <w:widowControl/>
      <w:spacing w:before="100" w:beforeAutospacing="1" w:after="100" w:afterAutospacing="1"/>
      <w:jc w:val="left"/>
    </w:pPr>
    <w:rPr>
      <w:rFonts w:ascii="宋体" w:hAnsi="宋体" w:cs="宋体"/>
      <w:sz w:val="24"/>
    </w:rPr>
  </w:style>
  <w:style w:type="paragraph" w:styleId="54">
    <w:name w:val="Title"/>
    <w:basedOn w:val="1"/>
    <w:next w:val="1"/>
    <w:link w:val="74"/>
    <w:qFormat/>
    <w:uiPriority w:val="10"/>
    <w:pPr>
      <w:spacing w:before="300" w:after="200"/>
      <w:contextualSpacing/>
    </w:pPr>
    <w:rPr>
      <w:sz w:val="48"/>
      <w:szCs w:val="48"/>
    </w:rPr>
  </w:style>
  <w:style w:type="paragraph" w:styleId="55">
    <w:name w:val="Body Text First Indent 2"/>
    <w:basedOn w:val="33"/>
    <w:link w:val="225"/>
    <w:qFormat/>
    <w:uiPriority w:val="0"/>
    <w:pPr>
      <w:ind w:firstLine="420"/>
    </w:pPr>
  </w:style>
  <w:style w:type="table" w:styleId="57">
    <w:name w:val="Table Grid"/>
    <w:basedOn w:val="5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9">
    <w:name w:val="endnote reference"/>
    <w:basedOn w:val="58"/>
    <w:semiHidden/>
    <w:unhideWhenUsed/>
    <w:qFormat/>
    <w:uiPriority w:val="99"/>
    <w:rPr>
      <w:vertAlign w:val="superscript"/>
    </w:rPr>
  </w:style>
  <w:style w:type="character" w:styleId="60">
    <w:name w:val="page number"/>
    <w:basedOn w:val="58"/>
    <w:qFormat/>
    <w:uiPriority w:val="0"/>
  </w:style>
  <w:style w:type="character" w:styleId="61">
    <w:name w:val="FollowedHyperlink"/>
    <w:qFormat/>
    <w:uiPriority w:val="99"/>
    <w:rPr>
      <w:color w:val="800080"/>
      <w:u w:val="single"/>
    </w:rPr>
  </w:style>
  <w:style w:type="character" w:styleId="62">
    <w:name w:val="Hyperlink"/>
    <w:qFormat/>
    <w:uiPriority w:val="99"/>
    <w:rPr>
      <w:color w:val="0000FF"/>
      <w:u w:val="single"/>
    </w:rPr>
  </w:style>
  <w:style w:type="character" w:styleId="63">
    <w:name w:val="annotation reference"/>
    <w:unhideWhenUsed/>
    <w:qFormat/>
    <w:uiPriority w:val="99"/>
    <w:rPr>
      <w:sz w:val="21"/>
      <w:szCs w:val="21"/>
    </w:rPr>
  </w:style>
  <w:style w:type="character" w:styleId="64">
    <w:name w:val="footnote reference"/>
    <w:basedOn w:val="58"/>
    <w:unhideWhenUsed/>
    <w:qFormat/>
    <w:uiPriority w:val="99"/>
    <w:rPr>
      <w:vertAlign w:val="superscript"/>
    </w:rPr>
  </w:style>
  <w:style w:type="character" w:customStyle="1" w:styleId="65">
    <w:name w:val="Heading 1 Char"/>
    <w:basedOn w:val="58"/>
    <w:qFormat/>
    <w:uiPriority w:val="9"/>
    <w:rPr>
      <w:rFonts w:ascii="Arial" w:hAnsi="Arial" w:eastAsia="Arial" w:cs="Arial"/>
      <w:sz w:val="40"/>
      <w:szCs w:val="40"/>
    </w:rPr>
  </w:style>
  <w:style w:type="character" w:customStyle="1" w:styleId="66">
    <w:name w:val="Heading 2 Char"/>
    <w:basedOn w:val="58"/>
    <w:qFormat/>
    <w:uiPriority w:val="9"/>
    <w:rPr>
      <w:rFonts w:ascii="Arial" w:hAnsi="Arial" w:eastAsia="Arial" w:cs="Arial"/>
      <w:sz w:val="34"/>
    </w:rPr>
  </w:style>
  <w:style w:type="character" w:customStyle="1" w:styleId="67">
    <w:name w:val="Heading 3 Char"/>
    <w:basedOn w:val="58"/>
    <w:qFormat/>
    <w:uiPriority w:val="9"/>
    <w:rPr>
      <w:rFonts w:ascii="Arial" w:hAnsi="Arial" w:eastAsia="Arial" w:cs="Arial"/>
      <w:sz w:val="30"/>
      <w:szCs w:val="30"/>
    </w:rPr>
  </w:style>
  <w:style w:type="character" w:customStyle="1" w:styleId="68">
    <w:name w:val="Heading 4 Char"/>
    <w:basedOn w:val="58"/>
    <w:qFormat/>
    <w:uiPriority w:val="9"/>
    <w:rPr>
      <w:rFonts w:ascii="Arial" w:hAnsi="Arial" w:eastAsia="Arial" w:cs="Arial"/>
      <w:b/>
      <w:bCs/>
      <w:sz w:val="26"/>
      <w:szCs w:val="26"/>
    </w:rPr>
  </w:style>
  <w:style w:type="character" w:customStyle="1" w:styleId="69">
    <w:name w:val="Heading 5 Char"/>
    <w:basedOn w:val="58"/>
    <w:qFormat/>
    <w:uiPriority w:val="9"/>
    <w:rPr>
      <w:rFonts w:ascii="Arial" w:hAnsi="Arial" w:eastAsia="Arial" w:cs="Arial"/>
      <w:b/>
      <w:bCs/>
      <w:sz w:val="24"/>
      <w:szCs w:val="24"/>
    </w:rPr>
  </w:style>
  <w:style w:type="character" w:customStyle="1" w:styleId="70">
    <w:name w:val="Heading 6 Char"/>
    <w:basedOn w:val="58"/>
    <w:qFormat/>
    <w:uiPriority w:val="9"/>
    <w:rPr>
      <w:rFonts w:ascii="Arial" w:hAnsi="Arial" w:eastAsia="Arial" w:cs="Arial"/>
      <w:b/>
      <w:bCs/>
      <w:sz w:val="22"/>
      <w:szCs w:val="22"/>
    </w:rPr>
  </w:style>
  <w:style w:type="character" w:customStyle="1" w:styleId="71">
    <w:name w:val="Heading 7 Char"/>
    <w:basedOn w:val="58"/>
    <w:link w:val="8"/>
    <w:qFormat/>
    <w:uiPriority w:val="9"/>
    <w:rPr>
      <w:rFonts w:ascii="Arial" w:hAnsi="Arial" w:eastAsia="Arial" w:cs="Arial"/>
      <w:b/>
      <w:bCs/>
      <w:i/>
      <w:iCs/>
      <w:sz w:val="22"/>
      <w:szCs w:val="22"/>
    </w:rPr>
  </w:style>
  <w:style w:type="character" w:customStyle="1" w:styleId="72">
    <w:name w:val="Heading 8 Char"/>
    <w:basedOn w:val="58"/>
    <w:link w:val="9"/>
    <w:qFormat/>
    <w:uiPriority w:val="9"/>
    <w:rPr>
      <w:rFonts w:ascii="Arial" w:hAnsi="Arial" w:eastAsia="Arial" w:cs="Arial"/>
      <w:i/>
      <w:iCs/>
      <w:sz w:val="22"/>
      <w:szCs w:val="22"/>
    </w:rPr>
  </w:style>
  <w:style w:type="character" w:customStyle="1" w:styleId="73">
    <w:name w:val="Heading 9 Char"/>
    <w:basedOn w:val="58"/>
    <w:link w:val="10"/>
    <w:qFormat/>
    <w:uiPriority w:val="9"/>
    <w:rPr>
      <w:rFonts w:ascii="Arial" w:hAnsi="Arial" w:eastAsia="Arial" w:cs="Arial"/>
      <w:i/>
      <w:iCs/>
      <w:sz w:val="21"/>
      <w:szCs w:val="21"/>
    </w:rPr>
  </w:style>
  <w:style w:type="character" w:customStyle="1" w:styleId="74">
    <w:name w:val="Title Char"/>
    <w:basedOn w:val="58"/>
    <w:link w:val="54"/>
    <w:qFormat/>
    <w:uiPriority w:val="10"/>
    <w:rPr>
      <w:sz w:val="48"/>
      <w:szCs w:val="48"/>
    </w:rPr>
  </w:style>
  <w:style w:type="character" w:customStyle="1" w:styleId="75">
    <w:name w:val="Subtitle Char"/>
    <w:basedOn w:val="58"/>
    <w:link w:val="47"/>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Quote Char"/>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9">
    <w:name w:val="Intense Quote Char"/>
    <w:link w:val="78"/>
    <w:qFormat/>
    <w:uiPriority w:val="30"/>
    <w:rPr>
      <w:i/>
    </w:rPr>
  </w:style>
  <w:style w:type="character" w:customStyle="1" w:styleId="80">
    <w:name w:val="Header Char"/>
    <w:basedOn w:val="58"/>
    <w:qFormat/>
    <w:uiPriority w:val="99"/>
  </w:style>
  <w:style w:type="character" w:customStyle="1" w:styleId="81">
    <w:name w:val="Footer Char"/>
    <w:basedOn w:val="58"/>
    <w:qFormat/>
    <w:uiPriority w:val="99"/>
  </w:style>
  <w:style w:type="character" w:customStyle="1" w:styleId="82">
    <w:name w:val="Caption Char"/>
    <w:qFormat/>
    <w:uiPriority w:val="99"/>
  </w:style>
  <w:style w:type="table" w:customStyle="1" w:styleId="83">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4">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1">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2">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3">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4">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5">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6">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2">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8">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9">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0">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1">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2">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3">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4">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1">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9">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0">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1">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2">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3">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4">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5">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3">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7">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4">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1">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Footnote Text Char"/>
    <w:link w:val="48"/>
    <w:qFormat/>
    <w:uiPriority w:val="99"/>
    <w:rPr>
      <w:sz w:val="18"/>
    </w:rPr>
  </w:style>
  <w:style w:type="character" w:customStyle="1" w:styleId="209">
    <w:name w:val="Endnote Text Char"/>
    <w:link w:val="42"/>
    <w:qFormat/>
    <w:uiPriority w:val="99"/>
    <w:rPr>
      <w:sz w:val="20"/>
    </w:rPr>
  </w:style>
  <w:style w:type="paragraph" w:customStyle="1" w:styleId="210">
    <w:name w:val="TOC Heading"/>
    <w:unhideWhenUsed/>
    <w:qFormat/>
    <w:uiPriority w:val="39"/>
    <w:rPr>
      <w:rFonts w:hint="default" w:ascii="Times New Roman" w:hAnsi="Times New Roman" w:eastAsia="宋体" w:cs="Times New Roman"/>
    </w:rPr>
  </w:style>
  <w:style w:type="paragraph" w:styleId="211">
    <w:name w:val="List Paragraph"/>
    <w:basedOn w:val="1"/>
    <w:qFormat/>
    <w:uiPriority w:val="1"/>
    <w:pPr>
      <w:ind w:right="-107"/>
    </w:pPr>
  </w:style>
  <w:style w:type="paragraph" w:customStyle="1" w:styleId="212">
    <w:name w:val="正文文本111"/>
    <w:basedOn w:val="31"/>
    <w:next w:val="31"/>
    <w:qFormat/>
    <w:uiPriority w:val="0"/>
  </w:style>
  <w:style w:type="character" w:customStyle="1" w:styleId="213">
    <w:name w:val="正文文本缩进 字符"/>
    <w:link w:val="33"/>
    <w:qFormat/>
    <w:uiPriority w:val="0"/>
    <w:rPr>
      <w:sz w:val="21"/>
      <w:szCs w:val="24"/>
    </w:rPr>
  </w:style>
  <w:style w:type="paragraph" w:customStyle="1" w:styleId="214">
    <w:name w:val="默认段落字体 Para Char Char Char Char Char Char Char"/>
    <w:basedOn w:val="1"/>
    <w:qFormat/>
    <w:uiPriority w:val="0"/>
    <w:rPr>
      <w:rFonts w:ascii="Tahoma" w:hAnsi="Tahoma"/>
      <w:sz w:val="24"/>
      <w:szCs w:val="20"/>
    </w:rPr>
  </w:style>
  <w:style w:type="paragraph" w:customStyle="1" w:styleId="215">
    <w:name w:val="Char"/>
    <w:basedOn w:val="1"/>
    <w:qFormat/>
    <w:uiPriority w:val="0"/>
    <w:pPr>
      <w:tabs>
        <w:tab w:val="left" w:pos="360"/>
      </w:tabs>
    </w:pPr>
    <w:rPr>
      <w:sz w:val="24"/>
    </w:rPr>
  </w:style>
  <w:style w:type="paragraph" w:customStyle="1" w:styleId="216">
    <w:name w:val="普通正文"/>
    <w:basedOn w:val="1"/>
    <w:qFormat/>
    <w:uiPriority w:val="0"/>
    <w:pPr>
      <w:spacing w:before="120" w:after="120" w:line="360" w:lineRule="auto"/>
      <w:ind w:firstLine="480"/>
      <w:jc w:val="left"/>
    </w:pPr>
    <w:rPr>
      <w:rFonts w:ascii="Arial" w:hAnsi="Arial"/>
      <w:sz w:val="24"/>
    </w:rPr>
  </w:style>
  <w:style w:type="paragraph" w:customStyle="1" w:styleId="217">
    <w:name w:val="p0"/>
    <w:basedOn w:val="1"/>
    <w:qFormat/>
    <w:uiPriority w:val="0"/>
    <w:pPr>
      <w:widowControl/>
    </w:pPr>
    <w:rPr>
      <w:szCs w:val="21"/>
    </w:rPr>
  </w:style>
  <w:style w:type="paragraph" w:customStyle="1" w:styleId="218">
    <w:name w:val="Default"/>
    <w:basedOn w:val="1"/>
    <w:qFormat/>
    <w:uiPriority w:val="0"/>
    <w:rPr>
      <w:rFonts w:ascii="宋体" w:hAnsi="宋体" w:cs="宋体"/>
      <w:color w:val="000000"/>
      <w:sz w:val="24"/>
    </w:rPr>
  </w:style>
  <w:style w:type="paragraph" w:customStyle="1" w:styleId="219">
    <w:name w:val="目录 111"/>
    <w:basedOn w:val="1"/>
    <w:next w:val="20"/>
    <w:unhideWhenUsed/>
    <w:qFormat/>
    <w:uiPriority w:val="39"/>
    <w:pPr>
      <w:spacing w:after="100" w:line="259" w:lineRule="auto"/>
    </w:pPr>
    <w:rPr>
      <w:rFonts w:ascii="Calibri" w:hAnsi="Calibri"/>
      <w:sz w:val="22"/>
      <w:szCs w:val="22"/>
    </w:rPr>
  </w:style>
  <w:style w:type="paragraph" w:customStyle="1" w:styleId="220">
    <w:name w:val="目录 11"/>
    <w:basedOn w:val="31"/>
    <w:next w:val="19"/>
    <w:qFormat/>
    <w:uiPriority w:val="0"/>
  </w:style>
  <w:style w:type="character" w:customStyle="1" w:styleId="221">
    <w:name w:val="16"/>
    <w:qFormat/>
    <w:uiPriority w:val="0"/>
    <w:rPr>
      <w:rFonts w:hint="eastAsia" w:ascii="黑体" w:hAnsi="宋体" w:eastAsia="黑体" w:cs="黑体"/>
      <w:color w:val="000000"/>
      <w:sz w:val="44"/>
      <w:szCs w:val="44"/>
    </w:rPr>
  </w:style>
  <w:style w:type="character" w:customStyle="1" w:styleId="222">
    <w:name w:val="15"/>
    <w:qFormat/>
    <w:uiPriority w:val="0"/>
    <w:rPr>
      <w:rFonts w:hint="eastAsia" w:ascii="仿宋" w:hAnsi="仿宋" w:eastAsia="仿宋" w:cs="仿宋"/>
      <w:color w:val="000000"/>
      <w:sz w:val="18"/>
      <w:szCs w:val="18"/>
    </w:rPr>
  </w:style>
  <w:style w:type="paragraph" w:customStyle="1" w:styleId="223">
    <w:name w:val="Table Paragraph"/>
    <w:basedOn w:val="1"/>
    <w:qFormat/>
    <w:uiPriority w:val="1"/>
    <w:rPr>
      <w:rFonts w:ascii="宋体" w:hAnsi="宋体" w:cs="宋体"/>
      <w:lang w:val="zh-CN" w:bidi="zh-CN"/>
    </w:rPr>
  </w:style>
  <w:style w:type="character" w:customStyle="1" w:styleId="224">
    <w:name w:val="标题 3 字符"/>
    <w:link w:val="4"/>
    <w:qFormat/>
    <w:uiPriority w:val="0"/>
    <w:rPr>
      <w:b/>
      <w:bCs/>
      <w:sz w:val="32"/>
      <w:szCs w:val="32"/>
    </w:rPr>
  </w:style>
  <w:style w:type="character" w:customStyle="1" w:styleId="225">
    <w:name w:val="正文文本首行缩进 2 字符"/>
    <w:link w:val="55"/>
    <w:qFormat/>
    <w:uiPriority w:val="0"/>
    <w:rPr>
      <w:sz w:val="21"/>
      <w:szCs w:val="24"/>
    </w:rPr>
  </w:style>
  <w:style w:type="paragraph" w:customStyle="1" w:styleId="22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7">
    <w:name w:val="正文_模板"/>
    <w:basedOn w:val="1"/>
    <w:qFormat/>
    <w:uiPriority w:val="0"/>
    <w:pPr>
      <w:spacing w:line="360" w:lineRule="auto"/>
      <w:ind w:firstLine="200"/>
    </w:pPr>
    <w:rPr>
      <w:sz w:val="24"/>
    </w:rPr>
  </w:style>
  <w:style w:type="paragraph" w:customStyle="1" w:styleId="228">
    <w:name w:val="※正文"/>
    <w:basedOn w:val="1"/>
    <w:next w:val="1"/>
    <w:qFormat/>
    <w:uiPriority w:val="0"/>
    <w:pPr>
      <w:widowControl/>
      <w:spacing w:line="400" w:lineRule="exact"/>
      <w:ind w:left="1131"/>
    </w:pPr>
    <w:rPr>
      <w:rFonts w:ascii="Calibri Light" w:hAnsi="Calibri Light" w:eastAsia="华文仿宋"/>
      <w:sz w:val="28"/>
      <w:szCs w:val="28"/>
    </w:rPr>
  </w:style>
  <w:style w:type="table" w:customStyle="1" w:styleId="229">
    <w:name w:val="网格型4"/>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30">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23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232">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233">
    <w:name w:val="xl65"/>
    <w:basedOn w:val="1"/>
    <w:qFormat/>
    <w:uiPriority w:val="0"/>
    <w:pPr>
      <w:widowControl/>
      <w:spacing w:before="100" w:beforeAutospacing="1" w:after="100" w:afterAutospacing="1"/>
      <w:jc w:val="left"/>
    </w:pPr>
    <w:rPr>
      <w:rFonts w:ascii="宋体" w:hAnsi="宋体" w:cs="宋体"/>
      <w:sz w:val="24"/>
    </w:rPr>
  </w:style>
  <w:style w:type="paragraph" w:customStyle="1" w:styleId="23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235">
    <w:name w:val="xl67"/>
    <w:basedOn w:val="1"/>
    <w:qFormat/>
    <w:uiPriority w:val="0"/>
    <w:pPr>
      <w:widowControl/>
      <w:spacing w:before="100" w:beforeAutospacing="1" w:after="100" w:afterAutospacing="1"/>
      <w:jc w:val="center"/>
    </w:pPr>
    <w:rPr>
      <w:rFonts w:ascii="宋体" w:hAnsi="宋体" w:cs="宋体"/>
      <w:sz w:val="24"/>
    </w:rPr>
  </w:style>
  <w:style w:type="paragraph" w:customStyle="1" w:styleId="236">
    <w:name w:val="xl68"/>
    <w:basedOn w:val="1"/>
    <w:qFormat/>
    <w:uiPriority w:val="0"/>
    <w:pPr>
      <w:widowControl/>
      <w:spacing w:before="100" w:beforeAutospacing="1" w:after="100" w:afterAutospacing="1"/>
      <w:jc w:val="left"/>
    </w:pPr>
    <w:rPr>
      <w:rFonts w:ascii="宋体" w:hAnsi="宋体" w:cs="宋体"/>
      <w:sz w:val="24"/>
    </w:rPr>
  </w:style>
  <w:style w:type="paragraph" w:customStyle="1" w:styleId="23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4"/>
    </w:rPr>
  </w:style>
  <w:style w:type="paragraph" w:customStyle="1" w:styleId="2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rPr>
  </w:style>
  <w:style w:type="paragraph" w:customStyle="1" w:styleId="2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rPr>
  </w:style>
  <w:style w:type="paragraph" w:customStyle="1" w:styleId="2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2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2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243">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sz w:val="24"/>
    </w:rPr>
  </w:style>
  <w:style w:type="paragraph" w:customStyle="1" w:styleId="244">
    <w:name w:val="xl7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FF0000"/>
      <w:sz w:val="24"/>
    </w:rPr>
  </w:style>
  <w:style w:type="paragraph" w:customStyle="1" w:styleId="245">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rPr>
  </w:style>
  <w:style w:type="paragraph" w:customStyle="1" w:styleId="2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rPr>
  </w:style>
  <w:style w:type="paragraph" w:customStyle="1" w:styleId="247">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248">
    <w:name w:val="xl8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2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50">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251">
    <w:name w:val="xl83"/>
    <w:basedOn w:val="1"/>
    <w:qFormat/>
    <w:uiPriority w:val="0"/>
    <w:pPr>
      <w:widowControl/>
      <w:spacing w:before="100" w:beforeAutospacing="1" w:after="100" w:afterAutospacing="1"/>
      <w:jc w:val="left"/>
    </w:pPr>
    <w:rPr>
      <w:rFonts w:ascii="宋体" w:hAnsi="宋体" w:cs="宋体"/>
      <w:b/>
      <w:bCs/>
      <w:sz w:val="24"/>
    </w:rPr>
  </w:style>
  <w:style w:type="paragraph" w:customStyle="1" w:styleId="252">
    <w:name w:val="xl84"/>
    <w:basedOn w:val="1"/>
    <w:qFormat/>
    <w:uiPriority w:val="0"/>
    <w:pPr>
      <w:widowControl/>
      <w:spacing w:before="100" w:beforeAutospacing="1" w:after="100" w:afterAutospacing="1"/>
      <w:jc w:val="left"/>
    </w:pPr>
    <w:rPr>
      <w:rFonts w:ascii="宋体" w:hAnsi="宋体" w:cs="宋体"/>
      <w:color w:val="FF0000"/>
      <w:sz w:val="24"/>
    </w:rPr>
  </w:style>
  <w:style w:type="paragraph" w:customStyle="1" w:styleId="253">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54">
    <w:name w:val="xl8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5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2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rPr>
  </w:style>
  <w:style w:type="paragraph" w:customStyle="1" w:styleId="258">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259">
    <w:name w:val="标书正文"/>
    <w:basedOn w:val="1"/>
    <w:qFormat/>
    <w:uiPriority w:val="0"/>
    <w:rPr>
      <w:lang w:val="zh-CN"/>
    </w:rPr>
  </w:style>
  <w:style w:type="paragraph" w:customStyle="1" w:styleId="260">
    <w:name w:val="*正文"/>
    <w:basedOn w:val="1"/>
    <w:qFormat/>
    <w:uiPriority w:val="0"/>
    <w:pPr>
      <w:spacing w:line="360" w:lineRule="auto"/>
      <w:ind w:firstLine="560"/>
    </w:pPr>
    <w:rPr>
      <w:rFonts w:ascii="仿宋_GB2312" w:eastAsia="仿宋_GB2312"/>
      <w:sz w:val="28"/>
      <w:szCs w:val="28"/>
      <w:lang w:val="zh-CN"/>
    </w:rPr>
  </w:style>
  <w:style w:type="paragraph" w:styleId="261">
    <w:name w:val="No Spacing"/>
    <w:qFormat/>
    <w:uiPriority w:val="1"/>
    <w:rPr>
      <w:rFonts w:hint="default" w:ascii="Times New Roman" w:hAnsi="Times New Roman" w:eastAsia="宋体" w:cs="Times New Roman"/>
      <w:lang w:val="en-US" w:eastAsia="zh-CN" w:bidi="ar-SA"/>
    </w:rPr>
  </w:style>
  <w:style w:type="character" w:customStyle="1" w:styleId="262">
    <w:name w:val="标题 1 Char"/>
    <w:link w:val="2"/>
    <w:qFormat/>
    <w:uiPriority w:val="0"/>
    <w:rPr>
      <w:b/>
      <w:bCs/>
      <w:sz w:val="44"/>
      <w:szCs w:val="44"/>
    </w:rPr>
  </w:style>
  <w:style w:type="character" w:customStyle="1" w:styleId="263">
    <w:name w:val="标题 4 Char"/>
    <w:link w:val="5"/>
    <w:qFormat/>
    <w:uiPriority w:val="0"/>
    <w:rPr>
      <w:rFonts w:ascii="黑体" w:hAnsi="Arial" w:eastAsia="黑体"/>
      <w:sz w:val="24"/>
      <w:szCs w:val="20"/>
    </w:rPr>
  </w:style>
  <w:style w:type="character" w:customStyle="1" w:styleId="264">
    <w:name w:val="font61"/>
    <w:basedOn w:val="58"/>
    <w:qFormat/>
    <w:uiPriority w:val="0"/>
    <w:rPr>
      <w:rFonts w:hint="eastAsia" w:ascii="方正仿宋_GBK" w:hAnsi="方正仿宋_GBK" w:eastAsia="方正仿宋_GBK" w:cs="方正仿宋_GBK"/>
      <w:color w:val="000000"/>
      <w:sz w:val="24"/>
      <w:szCs w:val="24"/>
      <w:u w:val="none"/>
    </w:rPr>
  </w:style>
  <w:style w:type="character" w:customStyle="1" w:styleId="265">
    <w:name w:val="font21"/>
    <w:basedOn w:val="58"/>
    <w:qFormat/>
    <w:uiPriority w:val="0"/>
    <w:rPr>
      <w:rFonts w:hint="default" w:ascii="Times New Roman" w:hAnsi="Times New Roman" w:cs="Times New Roman"/>
      <w:color w:val="000000"/>
      <w:sz w:val="24"/>
      <w:szCs w:val="24"/>
      <w:u w:val="none"/>
    </w:rPr>
  </w:style>
  <w:style w:type="table" w:customStyle="1" w:styleId="26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505</Words>
  <Characters>648</Characters>
  <TotalTime>131</TotalTime>
  <ScaleCrop>false</ScaleCrop>
  <LinksUpToDate>false</LinksUpToDate>
  <CharactersWithSpaces>665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2024-01-26T07:00:00Z</dcterms:created>
  <dc:creator>xz</dc:creator>
  <cp:lastModifiedBy>不冒泡的鱼</cp:lastModifiedBy>
  <cp:lastPrinted>2025-12-17T02:02:00Z</cp:lastPrinted>
  <dcterms:modified xsi:type="dcterms:W3CDTF">2026-07-02T03:50:19Z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9CA3D51ED28445B0A1D1C73CAEF0307D_13</vt:lpwstr>
  </property>
  <property fmtid="{D5CDD505-2E9C-101B-9397-08002B2CF9AE}" pid="4" name="KSOTemplateDocerSaveRecord">
    <vt:lpwstr>eyJoZGlkIjoiODY0NzJiZTNkZGZhYmM0M2I2ZmFhZjE4MWEzMDJhNGMiLCJ1c2VySWQiOiI1NDgwNDQwNDcifQ==</vt:lpwstr>
  </property>
</Properties>
</file>