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firstLine="600"/>
        <w:rPr>
          <w:rFonts w:ascii="楷体_GB2312" w:eastAsia="楷体_GB2312"/>
          <w:bCs/>
          <w:color w:val="auto"/>
          <w:sz w:val="30"/>
          <w:highlight w:val="none"/>
        </w:rPr>
      </w:pPr>
      <w:r>
        <w:rPr>
          <w:rFonts w:ascii="楷体_GB2312" w:eastAsia="楷体_GB2312"/>
          <w:bCs/>
          <w:color w:val="auto"/>
          <w:sz w:val="30"/>
          <w:highlight w:val="none"/>
        </w:rPr>
      </w:r>
      <w:r/>
    </w:p>
    <w:p>
      <w:pPr>
        <w:ind w:firstLine="1520"/>
        <w:jc w:val="both"/>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both"/>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1040"/>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ind w:firstLine="420"/>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ind w:firstLine="600"/>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（全流程电子化）</w:t>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jc w:val="left"/>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ind w:firstLine="6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JSZC-320206-JZCG-G2026-0036</w:t>
      </w:r>
      <w:r/>
    </w:p>
    <w:p>
      <w:pPr>
        <w:ind w:left="3293" w:hanging="2100"/>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ab/>
        <w:t xml:space="preserve">阳山镇桃香苑B、C区及睦邻中心物业管理服务采购项目</w:t>
      </w:r>
      <w:r/>
    </w:p>
    <w:p>
      <w:pPr>
        <w:ind w:firstLine="1200"/>
        <w:spacing w:line="36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集</w:t>
      </w:r>
      <w:r>
        <w:rPr>
          <w:rFonts w:hint="eastAsia" w:ascii="黑体" w:hAnsi="华文中宋" w:eastAsia="黑体"/>
          <w:bCs/>
          <w:color w:val="auto"/>
          <w:sz w:val="30"/>
          <w:szCs w:val="30"/>
          <w:highlight w:val="none"/>
        </w:rPr>
        <w:t xml:space="preserve">中采购机构</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 xml:space="preserve">无锡市惠山区政府采购中心</w:t>
      </w:r>
      <w:r/>
    </w:p>
    <w:p>
      <w:pPr>
        <w:ind w:firstLine="640"/>
        <w:spacing w:line="360" w:lineRule="auto"/>
        <w:rPr>
          <w:rFonts w:hint="eastAsia" w:ascii="华文中宋" w:hAnsi="华文中宋" w:eastAsia="华文中宋"/>
          <w:bCs/>
          <w:color w:val="auto"/>
          <w:sz w:val="32"/>
          <w:highlight w:val="none"/>
        </w:rPr>
      </w:pPr>
      <w:r>
        <w:rPr>
          <w:rFonts w:hint="eastAsia" w:ascii="华文中宋" w:hAnsi="华文中宋" w:eastAsia="华文中宋"/>
          <w:bCs/>
          <w:color w:val="auto"/>
          <w:sz w:val="32"/>
          <w:highlight w:val="none"/>
        </w:rPr>
      </w:r>
      <w:r/>
    </w:p>
    <w:p>
      <w:pPr>
        <w:ind w:firstLine="600"/>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六</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eastAsia="zh-CN"/>
        </w:rPr>
        <w:t xml:space="preserve">七月</w:t>
      </w:r>
      <w:r/>
    </w:p>
    <w:p>
      <w:pPr>
        <w:ind w:firstLine="960"/>
        <w:rPr>
          <w:rStyle w:val="1047"/>
          <w:rFonts w:eastAsia="黑体"/>
          <w:bCs/>
          <w:color w:val="auto"/>
          <w:sz w:val="48"/>
          <w:highlight w:val="none"/>
        </w:rPr>
      </w:pPr>
      <w:r>
        <w:rPr>
          <w:rFonts w:eastAsia="黑体"/>
          <w:bCs/>
          <w:color w:val="auto"/>
          <w:sz w:val="48"/>
          <w:highlight w:val="none"/>
        </w:rPr>
      </w:r>
      <w:r/>
    </w:p>
    <w:p>
      <w:pPr>
        <w:ind w:firstLine="960"/>
        <w:rPr>
          <w:rStyle w:val="1047"/>
          <w:rFonts w:eastAsia="黑体"/>
          <w:bCs/>
          <w:color w:val="auto"/>
          <w:sz w:val="48"/>
          <w:highlight w:val="none"/>
        </w:rPr>
      </w:pPr>
      <w:r>
        <w:rPr>
          <w:rFonts w:eastAsia="黑体"/>
          <w:bCs/>
          <w:color w:val="auto"/>
          <w:sz w:val="48"/>
          <w:highlight w:val="none"/>
        </w:rPr>
      </w:r>
      <w:r/>
    </w:p>
    <w:p>
      <w:pPr>
        <w:ind w:firstLine="960"/>
        <w:rPr>
          <w:rStyle w:val="1047"/>
          <w:rFonts w:eastAsia="黑体"/>
          <w:bCs/>
          <w:color w:val="auto"/>
          <w:sz w:val="48"/>
          <w:highlight w:val="none"/>
        </w:rPr>
        <w:sectPr>
          <w:headerReference w:type="default" r:id="rId9"/>
          <w:footerReference w:type="even" r:id="rId12"/>
          <w:footnotePr/>
          <w:endnotePr/>
          <w:type w:val="nextPage"/>
          <w:pgSz w:w="11906" w:h="16838" w:orient="portrait"/>
          <w:pgMar w:top="567" w:right="851" w:bottom="567" w:left="1134" w:header="624" w:footer="907" w:gutter="0"/>
          <w:cols w:num="1" w:sep="0" w:space="720" w:equalWidth="1"/>
          <w:docGrid w:linePitch="360"/>
          <w:titlePg/>
        </w:sectPr>
      </w:pPr>
      <w:r>
        <w:rPr>
          <w:rFonts w:eastAsia="黑体"/>
          <w:bCs/>
          <w:color w:val="auto"/>
          <w:sz w:val="48"/>
          <w:highlight w:val="none"/>
        </w:rPr>
      </w:r>
      <w:r/>
    </w:p>
    <w:p>
      <w:pPr>
        <w:ind w:firstLine="960"/>
        <w:jc w:val="center"/>
        <w:pageBreakBefore/>
        <w:rPr>
          <w:rStyle w:val="1047"/>
          <w:rFonts w:eastAsia="黑体"/>
          <w:bCs/>
          <w:color w:val="auto"/>
          <w:sz w:val="48"/>
          <w:highlight w:val="none"/>
        </w:rPr>
      </w:pPr>
      <w:r>
        <w:rPr>
          <w:rStyle w:val="1047"/>
          <w:rFonts w:hint="eastAsia" w:eastAsia="黑体"/>
          <w:bCs/>
          <w:color w:val="auto"/>
          <w:sz w:val="48"/>
          <w:highlight w:val="none"/>
        </w:rPr>
        <w:t xml:space="preserve">目</w:t>
      </w:r>
      <w:r>
        <w:rPr>
          <w:rStyle w:val="1047"/>
          <w:rFonts w:eastAsia="黑体"/>
          <w:bCs/>
          <w:color w:val="auto"/>
          <w:sz w:val="48"/>
          <w:highlight w:val="none"/>
        </w:rPr>
        <w:t xml:space="preserve">     </w:t>
      </w:r>
      <w:r>
        <w:rPr>
          <w:rStyle w:val="1047"/>
          <w:rFonts w:hint="eastAsia" w:eastAsia="黑体"/>
          <w:bCs/>
          <w:color w:val="auto"/>
          <w:sz w:val="48"/>
          <w:highlight w:val="none"/>
        </w:rPr>
        <w:t xml:space="preserve">录</w:t>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ind w:firstLine="600"/>
        <w:jc w:val="center"/>
        <w:rPr>
          <w:rFonts w:ascii="黑体" w:eastAsia="黑体"/>
          <w:bCs/>
          <w:color w:val="auto"/>
          <w:sz w:val="30"/>
          <w:highlight w:val="none"/>
        </w:rPr>
      </w:pPr>
      <w:r>
        <w:rPr>
          <w:rFonts w:ascii="黑体" w:eastAsia="黑体"/>
          <w:bCs/>
          <w:color w:val="auto"/>
          <w:sz w:val="30"/>
          <w:highlight w:val="none"/>
        </w:rPr>
      </w:r>
      <w:r/>
    </w:p>
    <w:p>
      <w:pPr>
        <w:pStyle w:val="1028"/>
        <w:ind w:firstLine="600"/>
        <w:spacing w:line="720" w:lineRule="auto"/>
        <w:tabs>
          <w:tab w:val="right" w:pos="9911" w:leader="dot"/>
        </w:tabs>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1049"/>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2</w:t>
      </w:r>
      <w:r>
        <w:rPr>
          <w:rFonts w:hint="eastAsia" w:ascii="宋体" w:hAnsi="宋体"/>
          <w:color w:val="auto"/>
          <w:sz w:val="32"/>
          <w:szCs w:val="32"/>
          <w:highlight w:val="none"/>
        </w:rPr>
        <w:fldChar w:fldCharType="end"/>
      </w:r>
      <w:r/>
    </w:p>
    <w:p>
      <w:pPr>
        <w:pStyle w:val="1028"/>
        <w:ind w:firstLine="480"/>
        <w:spacing w:line="720" w:lineRule="auto"/>
        <w:tabs>
          <w:tab w:val="right" w:pos="9911" w:leader="dot"/>
        </w:tabs>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1049"/>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5</w:t>
      </w:r>
      <w:r>
        <w:rPr>
          <w:rFonts w:hint="eastAsia" w:ascii="宋体" w:hAnsi="宋体"/>
          <w:color w:val="auto"/>
          <w:sz w:val="32"/>
          <w:szCs w:val="32"/>
          <w:highlight w:val="none"/>
        </w:rPr>
        <w:fldChar w:fldCharType="end"/>
      </w:r>
      <w:r/>
    </w:p>
    <w:p>
      <w:pPr>
        <w:pStyle w:val="1028"/>
        <w:ind w:firstLine="480"/>
        <w:spacing w:line="720" w:lineRule="auto"/>
        <w:tabs>
          <w:tab w:val="right" w:pos="9911" w:leader="dot"/>
        </w:tabs>
        <w:rPr>
          <w:rFonts w:hint="eastAsia"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1049"/>
          <w:rFonts w:hint="eastAsia" w:ascii="宋体" w:hAnsi="宋体"/>
          <w:color w:val="auto"/>
          <w:sz w:val="32"/>
          <w:szCs w:val="32"/>
          <w:highlight w:val="none"/>
        </w:rPr>
        <w:t xml:space="preserve">三．采购需求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1049"/>
          <w:rFonts w:hint="eastAsia" w:ascii="宋体" w:hAnsi="宋体"/>
          <w:color w:val="auto"/>
          <w:sz w:val="32"/>
          <w:szCs w:val="32"/>
          <w:highlight w:val="none"/>
        </w:rPr>
        <w:t xml:space="preserve">1</w:t>
      </w:r>
      <w:r>
        <w:rPr>
          <w:rStyle w:val="1049"/>
          <w:rFonts w:hint="eastAsia" w:ascii="宋体" w:hAnsi="宋体"/>
          <w:color w:val="auto"/>
          <w:sz w:val="32"/>
          <w:szCs w:val="32"/>
          <w:highlight w:val="none"/>
          <w:lang w:val="en-US" w:eastAsia="zh-CN"/>
        </w:rPr>
        <w:t xml:space="preserve">8</w:t>
      </w:r>
      <w:r/>
    </w:p>
    <w:p>
      <w:pPr>
        <w:pStyle w:val="102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1049"/>
          <w:rFonts w:hint="eastAsia" w:ascii="宋体" w:hAnsi="宋体"/>
          <w:color w:val="auto"/>
          <w:sz w:val="32"/>
          <w:szCs w:val="32"/>
          <w:highlight w:val="none"/>
        </w:rPr>
        <w:t xml:space="preserve">四．合同文本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1049"/>
          <w:rFonts w:hint="eastAsia" w:ascii="宋体" w:hAnsi="宋体"/>
          <w:color w:val="auto"/>
          <w:sz w:val="32"/>
          <w:szCs w:val="32"/>
          <w:highlight w:val="none"/>
          <w:lang w:val="en-US" w:eastAsia="zh-CN"/>
        </w:rPr>
        <w:t xml:space="preserve">39</w:t>
      </w:r>
      <w:r/>
    </w:p>
    <w:p>
      <w:pPr>
        <w:pStyle w:val="1028"/>
        <w:ind w:firstLine="480"/>
        <w:spacing w:line="720" w:lineRule="auto"/>
        <w:tabs>
          <w:tab w:val="right" w:pos="9911" w:leader="dot"/>
        </w:tabs>
        <w:rPr>
          <w:rFonts w:hint="eastAsia" w:ascii="宋体" w:hAnsi="宋体" w:eastAsia="宋体"/>
          <w:color w:val="auto"/>
          <w:sz w:val="32"/>
          <w:szCs w:val="32"/>
          <w:highlight w:val="none"/>
          <w:lang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1049"/>
          <w:rFonts w:hint="eastAsia" w:ascii="宋体" w:hAnsi="宋体"/>
          <w:color w:val="auto"/>
          <w:sz w:val="32"/>
          <w:szCs w:val="32"/>
          <w:highlight w:val="none"/>
        </w:rPr>
        <w:t xml:space="preserve">五．评分方法与评分标准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1049"/>
          <w:rFonts w:hint="eastAsia" w:ascii="宋体" w:hAnsi="宋体"/>
          <w:color w:val="auto"/>
          <w:sz w:val="32"/>
          <w:szCs w:val="32"/>
          <w:highlight w:val="none"/>
          <w:lang w:val="en-US" w:eastAsia="zh-CN"/>
        </w:rPr>
        <w:t xml:space="preserve">44</w:t>
      </w:r>
      <w:r/>
    </w:p>
    <w:p>
      <w:pPr>
        <w:pStyle w:val="1028"/>
        <w:ind w:firstLine="480"/>
        <w:spacing w:line="720" w:lineRule="auto"/>
        <w:tabs>
          <w:tab w:val="right" w:pos="9911" w:leader="dot"/>
        </w:tabs>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1049"/>
          <w:rFonts w:hint="eastAsia" w:ascii="宋体" w:hAnsi="宋体"/>
          <w:color w:val="auto"/>
          <w:sz w:val="32"/>
          <w:szCs w:val="32"/>
          <w:highlight w:val="none"/>
        </w:rPr>
        <w:t xml:space="preserve">六</w:t>
      </w:r>
      <w:r>
        <w:rPr>
          <w:rStyle w:val="1049"/>
          <w:rFonts w:ascii="宋体" w:hAnsi="宋体"/>
          <w:color w:val="auto"/>
          <w:sz w:val="32"/>
          <w:szCs w:val="32"/>
          <w:highlight w:val="none"/>
        </w:rPr>
        <w:t xml:space="preserve">.</w:t>
      </w:r>
      <w:r>
        <w:rPr>
          <w:rStyle w:val="1049"/>
          <w:rFonts w:hint="eastAsia" w:ascii="宋体" w:hAnsi="宋体"/>
          <w:color w:val="auto"/>
          <w:sz w:val="32"/>
          <w:szCs w:val="32"/>
          <w:highlight w:val="none"/>
        </w:rPr>
        <w:t xml:space="preserve">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1049"/>
          <w:rFonts w:hint="eastAsia" w:ascii="宋体" w:hAnsi="宋体" w:eastAsia="黑体"/>
          <w:color w:val="auto"/>
          <w:sz w:val="32"/>
          <w:szCs w:val="32"/>
          <w:highlight w:val="none"/>
          <w:lang w:val="en-US" w:eastAsia="zh-CN"/>
        </w:rPr>
        <w:t xml:space="preserve">52</w:t>
      </w:r>
      <w:r/>
    </w:p>
    <w:p>
      <w:pPr>
        <w:ind w:firstLine="640"/>
        <w:rPr>
          <w:rFonts w:ascii="宋体"/>
          <w:bCs/>
          <w:color w:val="auto"/>
          <w:sz w:val="32"/>
          <w:highlight w:val="none"/>
        </w:rPr>
      </w:pPr>
      <w:r>
        <w:rPr>
          <w:rFonts w:ascii="宋体"/>
          <w:bCs/>
          <w:color w:val="auto"/>
          <w:sz w:val="32"/>
          <w:highlight w:val="none"/>
        </w:rPr>
      </w:r>
      <w:r/>
    </w:p>
    <w:p>
      <w:pPr>
        <w:ind w:firstLine="640"/>
        <w:tabs>
          <w:tab w:val="left" w:pos="8042" w:leader="none"/>
        </w:tabs>
        <w:rPr>
          <w:rFonts w:hint="eastAsia" w:ascii="宋体" w:eastAsia="宋体"/>
          <w:bCs/>
          <w:color w:val="auto"/>
          <w:sz w:val="32"/>
          <w:highlight w:val="none"/>
          <w:lang w:eastAsia="zh-CN"/>
        </w:rPr>
      </w:pPr>
      <w:r>
        <w:rPr>
          <w:rFonts w:hint="eastAsia" w:ascii="宋体"/>
          <w:bCs/>
          <w:color w:val="auto"/>
          <w:sz w:val="32"/>
          <w:highlight w:val="none"/>
          <w:lang w:eastAsia="zh-CN"/>
        </w:rPr>
        <w:tab/>
      </w:r>
      <w:r/>
    </w:p>
    <w:p>
      <w:pPr>
        <w:ind w:firstLine="640"/>
        <w:rPr>
          <w:rFonts w:ascii="宋体"/>
          <w:bCs/>
          <w:color w:val="auto"/>
          <w:sz w:val="32"/>
          <w:highlight w:val="none"/>
        </w:rPr>
      </w:pPr>
      <w:r>
        <w:rPr>
          <w:rFonts w:ascii="宋体"/>
          <w:bCs/>
          <w:color w:val="auto"/>
          <w:sz w:val="32"/>
          <w:highlight w:val="none"/>
        </w:rPr>
      </w:r>
      <w:r/>
    </w:p>
    <w:p>
      <w:pPr>
        <w:pStyle w:val="996"/>
        <w:ind w:firstLine="640"/>
        <w:pageBreakBefore/>
        <w:rPr>
          <w:rFonts w:hint="eastAsia" w:ascii="黑体" w:hAnsi="黑体" w:eastAsia="黑体"/>
          <w:b w:val="0"/>
          <w:color w:val="auto"/>
          <w:sz w:val="32"/>
          <w:szCs w:val="32"/>
          <w:highlight w:val="none"/>
          <w:lang w:eastAsia="zh-CN"/>
        </w:rPr>
      </w:pPr>
      <w:r/>
      <w:bookmarkStart w:id="0" w:name="报价方须知前附表"/>
      <w:r/>
      <w:bookmarkEnd w:id="0"/>
      <w:r/>
      <w:bookmarkStart w:id="1" w:name="_Toc61444835"/>
      <w:r>
        <w:rPr>
          <w:rFonts w:hint="eastAsia" w:ascii="黑体" w:hAnsi="黑体" w:eastAsia="黑体"/>
          <w:b w:val="0"/>
          <w:color w:val="auto"/>
          <w:sz w:val="32"/>
          <w:szCs w:val="32"/>
          <w:highlight w:val="none"/>
          <w:lang w:eastAsia="zh-CN"/>
        </w:rPr>
        <w:t xml:space="preserve">第一章  投标邀请函</w:t>
      </w:r>
      <w:bookmarkEnd w:id="1"/>
      <w:r/>
      <w:r/>
    </w:p>
    <w:p>
      <w:pPr>
        <w:numPr>
          <w:ilvl w:val="0"/>
          <w:numId w:val="0"/>
        </w:num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cs="宋体"/>
          <w:color w:val="auto"/>
          <w:sz w:val="24"/>
          <w:highlight w:val="none"/>
          <w:lang w:eastAsia="zh-CN"/>
        </w:rPr>
        <w:t xml:space="preserve">无锡市惠山区阳山镇人民政府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阳山镇桃香苑B、C区及睦邻中心物业管理服务采购项目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3"/>
        </w:numPr>
        <w:ind w:left="0" w:firstLine="480"/>
        <w:spacing w:line="500" w:lineRule="exact"/>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rPr>
        <w:t xml:space="preserve">招标项目信息</w:t>
      </w:r>
      <w:r/>
    </w:p>
    <w:p>
      <w:pPr>
        <w:numPr>
          <w:ilvl w:val="0"/>
          <w:numId w:val="0"/>
        </w:numPr>
        <w:ind w:firstLine="480"/>
        <w:spacing w:line="500" w:lineRule="exact"/>
        <w:tabs>
          <w:tab w:val="left" w:pos="900" w:leader="none"/>
        </w:tabs>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项目名称：</w:t>
      </w:r>
      <w:bookmarkStart w:id="139" w:name="_GoBack"/>
      <w:r/>
      <w:bookmarkEnd w:id="139"/>
      <w:r>
        <w:rPr>
          <w:rFonts w:hint="eastAsia" w:ascii="宋体" w:hAnsi="宋体"/>
          <w:bCs/>
          <w:color w:val="auto"/>
          <w:sz w:val="24"/>
          <w:szCs w:val="24"/>
          <w:highlight w:val="none"/>
          <w:lang w:eastAsia="zh-CN"/>
        </w:rPr>
        <w:t xml:space="preserve">阳山镇桃香苑B、C区及睦邻中心物业管理服务采购项目</w:t>
      </w:r>
      <w:r/>
    </w:p>
    <w:p>
      <w:pPr>
        <w:numPr>
          <w:ilvl w:val="0"/>
          <w:numId w:val="0"/>
        </w:numPr>
        <w:ind w:firstLine="480"/>
        <w:spacing w:line="500" w:lineRule="exact"/>
        <w:tabs>
          <w:tab w:val="left" w:pos="900"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2.项目编号：</w:t>
      </w:r>
      <w:r>
        <w:rPr>
          <w:rFonts w:hint="eastAsia" w:ascii="宋体" w:hAnsi="宋体"/>
          <w:bCs/>
          <w:color w:val="auto"/>
          <w:sz w:val="24"/>
          <w:szCs w:val="24"/>
          <w:highlight w:val="none"/>
          <w:lang w:eastAsia="zh-CN"/>
        </w:rPr>
        <w:t xml:space="preserve">JSZC-320206-JZCG-G2026-0036</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3.项目预算：</w:t>
      </w:r>
      <w:r>
        <w:rPr>
          <w:rFonts w:hint="eastAsia" w:ascii="宋体" w:hAnsi="宋体"/>
          <w:color w:val="auto"/>
          <w:sz w:val="24"/>
          <w:highlight w:val="none"/>
          <w:lang w:val="en-US" w:eastAsia="zh-CN"/>
        </w:rPr>
        <w:t xml:space="preserve">934.092</w:t>
      </w:r>
      <w:r>
        <w:rPr>
          <w:rFonts w:hint="default" w:ascii="宋体" w:hAnsi="宋体"/>
          <w:color w:val="auto"/>
          <w:sz w:val="24"/>
          <w:highlight w:val="none"/>
          <w:lang w:val="en-US" w:eastAsia="zh-CN"/>
        </w:rPr>
        <w:t xml:space="preserve">万元</w:t>
      </w:r>
      <w:r/>
    </w:p>
    <w:p>
      <w:pPr>
        <w:ind w:firstLine="480"/>
        <w:spacing w:line="500" w:lineRule="exact"/>
        <w:tabs>
          <w:tab w:val="left" w:pos="900" w:leader="none"/>
        </w:tabs>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4.</w:t>
      </w:r>
      <w:r>
        <w:rPr>
          <w:rFonts w:hint="default" w:ascii="宋体" w:hAnsi="宋体" w:eastAsia="宋体"/>
          <w:bCs/>
          <w:color w:val="auto"/>
          <w:sz w:val="24"/>
          <w:szCs w:val="24"/>
          <w:highlight w:val="none"/>
          <w:lang w:val="en-US" w:eastAsia="zh-CN"/>
        </w:rPr>
        <w:t xml:space="preserve">最高限价：</w:t>
      </w:r>
      <w:r>
        <w:rPr>
          <w:rFonts w:hint="eastAsia" w:ascii="宋体" w:hAnsi="宋体"/>
          <w:color w:val="auto"/>
          <w:sz w:val="24"/>
          <w:highlight w:val="none"/>
          <w:lang w:val="en-US" w:eastAsia="zh-CN"/>
        </w:rPr>
        <w:t xml:space="preserve">934.092</w:t>
      </w:r>
      <w:r>
        <w:rPr>
          <w:rFonts w:hint="default" w:ascii="宋体" w:hAnsi="宋体"/>
          <w:color w:val="auto"/>
          <w:sz w:val="24"/>
          <w:highlight w:val="none"/>
          <w:lang w:val="en-US" w:eastAsia="zh-CN"/>
        </w:rPr>
        <w:t xml:space="preserve">万元</w:t>
      </w:r>
      <w:r/>
    </w:p>
    <w:p>
      <w:pPr>
        <w:ind w:firstLine="480"/>
        <w:spacing w:line="500" w:lineRule="exact"/>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.服务年限：</w:t>
      </w:r>
      <w:r>
        <w:rPr>
          <w:rFonts w:hint="eastAsia" w:ascii="宋体" w:hAnsi="宋体"/>
          <w:bCs/>
          <w:color w:val="auto"/>
          <w:sz w:val="24"/>
          <w:szCs w:val="24"/>
          <w:highlight w:val="none"/>
          <w:lang w:val="en-US" w:eastAsia="zh-CN"/>
        </w:rPr>
        <w:t xml:space="preserve">三年</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.采购方式：公开招标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.采购人：</w:t>
      </w:r>
      <w:r>
        <w:rPr>
          <w:rFonts w:hint="eastAsia" w:ascii="宋体" w:hAnsi="宋体" w:cs="宋体"/>
          <w:color w:val="auto"/>
          <w:sz w:val="24"/>
          <w:highlight w:val="none"/>
          <w:lang w:eastAsia="zh-CN"/>
        </w:rPr>
        <w:t xml:space="preserve">无锡市惠山区阳山镇人民政府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本项目标的所属行业：</w:t>
      </w:r>
      <w:r>
        <w:rPr>
          <w:rFonts w:hint="eastAsia" w:ascii="宋体" w:hAnsi="宋体"/>
          <w:bCs/>
          <w:color w:val="auto"/>
          <w:sz w:val="24"/>
          <w:szCs w:val="24"/>
          <w:highlight w:val="none"/>
        </w:rPr>
        <w:t xml:space="preserve">物业管理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本项目是否专门面向中小企业：是</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投标人资格要求</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1.具备《中华人民共和国政府采购法》第二十二条第一款规定的条件；</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3.具备采购人根据招标项目的特殊要求规定的以下特定资质：</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）本项目不接受联合体投标；</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专门面向中小企业</w:t>
      </w:r>
      <w:r>
        <w:rPr>
          <w:rFonts w:hint="eastAsia" w:ascii="宋体" w:hAnsi="宋体"/>
          <w:bCs/>
          <w:color w:val="auto"/>
          <w:sz w:val="24"/>
          <w:szCs w:val="24"/>
          <w:highlight w:val="none"/>
        </w:rPr>
        <w:t xml:space="preserve">。</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获取招标文件</w:t>
      </w:r>
      <w:r/>
    </w:p>
    <w:p>
      <w:pPr>
        <w:ind w:firstLine="480"/>
        <w:jc w:val="left"/>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480"/>
        <w:spacing w:line="500" w:lineRule="exact"/>
        <w:rPr>
          <w:rStyle w:val="1173"/>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提交投标文件截</w:t>
      </w:r>
      <w:r>
        <w:rPr>
          <w:rFonts w:hint="eastAsia" w:ascii="黑体" w:hAnsi="黑体" w:eastAsia="黑体" w:cs="宋体"/>
          <w:color w:val="auto"/>
          <w:sz w:val="24"/>
          <w:szCs w:val="24"/>
          <w:highlight w:val="none"/>
          <w:lang w:eastAsia="zh-CN"/>
        </w:rPr>
        <w:t xml:space="preserve">止</w:t>
      </w:r>
      <w:r>
        <w:rPr>
          <w:rFonts w:hint="eastAsia" w:ascii="黑体" w:hAnsi="黑体" w:eastAsia="黑体" w:cs="宋体"/>
          <w:color w:val="auto"/>
          <w:sz w:val="24"/>
          <w:szCs w:val="24"/>
          <w:highlight w:val="none"/>
        </w:rPr>
        <w:t xml:space="preserve">时间、开标时间和地点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15</w:t>
      </w:r>
      <w:r>
        <w:rPr>
          <w:rFonts w:hint="eastAsia" w:ascii="宋体" w:hAnsi="宋体"/>
          <w:bCs/>
          <w:color w:val="auto"/>
          <w:sz w:val="24"/>
          <w:szCs w:val="24"/>
          <w:highlight w:val="none"/>
        </w:rPr>
        <w:t xml:space="preserve">分（北京时间）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公告期限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（招标公告及招标文件公告期限）自本公告发布之日起5个工作日。</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本项目联系方式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无锡市惠山区阳山镇人民政府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址：无锡市惠山区人民西路10号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人：蔡婉琳</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2" w:name="_Toc28359086"/>
      <w:r/>
      <w:bookmarkStart w:id="3" w:name="_Toc28359009"/>
      <w:r>
        <w:rPr>
          <w:rFonts w:hint="eastAsia" w:ascii="宋体" w:hAnsi="宋体" w:cs="宋体"/>
          <w:color w:val="auto"/>
          <w:sz w:val="24"/>
          <w:szCs w:val="24"/>
          <w:highlight w:val="none"/>
        </w:rPr>
        <w:t xml:space="preserve">13812532200</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2"/>
      <w:r/>
      <w:bookmarkEnd w:id="3"/>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称：无锡市惠山区政府采购中心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址：无锡市惠山区政和大道209号</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 系 人：马胜</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联系方式：0510-83596131</w:t>
      </w:r>
      <w:r/>
    </w:p>
    <w:p>
      <w:pPr>
        <w:numPr>
          <w:ilvl w:val="0"/>
          <w:numId w:val="3"/>
        </w:numPr>
        <w:ind w:left="0" w:firstLine="480"/>
        <w:spacing w:line="500" w:lineRule="exac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其他</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（一）供应商“账号注册”及CA办理</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（1）访问“江苏政府采购网”点击“苏采云”或者直接通过http://jszfcg.jsczt.cn/进入界面。</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）办理</w:t>
      </w:r>
      <w:r>
        <w:rPr>
          <w:rFonts w:hint="eastAsia" w:ascii="宋体" w:hAnsi="宋体"/>
          <w:bCs/>
          <w:color w:val="auto"/>
          <w:sz w:val="24"/>
          <w:szCs w:val="24"/>
          <w:highlight w:val="none"/>
        </w:rPr>
        <w:t xml:space="preserve">“意源”CA数字证书和“方正”电子签章</w:t>
      </w:r>
      <w:r>
        <w:rPr>
          <w:rFonts w:ascii="宋体" w:hAnsi="宋体"/>
          <w:bCs/>
          <w:color w:val="auto"/>
          <w:sz w:val="24"/>
          <w:szCs w:val="24"/>
          <w:highlight w:val="none"/>
        </w:rPr>
        <w:t xml:space="preserve">（办理地址：</w:t>
      </w:r>
      <w:r>
        <w:rPr>
          <w:rFonts w:hint="eastAsia" w:ascii="宋体" w:hAnsi="宋体"/>
          <w:bCs/>
          <w:color w:val="auto"/>
          <w:sz w:val="24"/>
          <w:szCs w:val="24"/>
          <w:highlight w:val="none"/>
        </w:rPr>
        <w:t xml:space="preserve">无锡市滨湖区观山路</w:t>
      </w:r>
      <w:r>
        <w:rPr>
          <w:rFonts w:ascii="宋体" w:hAnsi="宋体"/>
          <w:bCs/>
          <w:color w:val="auto"/>
          <w:sz w:val="24"/>
          <w:szCs w:val="24"/>
          <w:highlight w:val="none"/>
        </w:rPr>
        <w:t xml:space="preserve">199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12</w:t>
      </w:r>
      <w:r>
        <w:rPr>
          <w:rFonts w:hint="eastAsia" w:ascii="宋体" w:hAnsi="宋体"/>
          <w:bCs/>
          <w:color w:val="auto"/>
          <w:sz w:val="24"/>
          <w:szCs w:val="24"/>
          <w:highlight w:val="none"/>
        </w:rPr>
        <w:t xml:space="preserve">号楼二楼</w:t>
      </w: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号、</w:t>
      </w: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号窗口</w:t>
      </w:r>
      <w:r>
        <w:rPr>
          <w:rFonts w:ascii="宋体" w:hAnsi="宋体"/>
          <w:bCs/>
          <w:color w:val="auto"/>
          <w:sz w:val="24"/>
          <w:szCs w:val="24"/>
          <w:highlight w:val="none"/>
        </w:rPr>
        <w:t xml:space="preserve">），办理指南链接：http://jsxcmm.com/help/help.html。</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）CA驱动下载：</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账号登</w:t>
      </w:r>
      <w:r>
        <w:rPr>
          <w:rFonts w:hint="eastAsia" w:ascii="宋体" w:hAnsi="宋体"/>
          <w:bCs/>
          <w:color w:val="auto"/>
          <w:sz w:val="24"/>
          <w:szCs w:val="24"/>
          <w:highlight w:val="none"/>
          <w:lang w:eastAsia="zh-CN"/>
        </w:rPr>
        <w:t xml:space="preserve">录</w:t>
      </w:r>
      <w:r>
        <w:rPr>
          <w:rFonts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技术服务电话：</w:t>
      </w:r>
      <w:r>
        <w:rPr>
          <w:rFonts w:hint="eastAsia" w:ascii="宋体" w:hAnsi="宋体"/>
          <w:bCs/>
          <w:color w:val="auto"/>
          <w:sz w:val="24"/>
          <w:szCs w:val="24"/>
          <w:highlight w:val="none"/>
        </w:rPr>
        <w:t xml:space="preserve">0510-81827781</w:t>
      </w:r>
      <w:r>
        <w:rPr>
          <w:rFonts w:ascii="宋体" w:hAnsi="宋体"/>
          <w:bCs/>
          <w:color w:val="auto"/>
          <w:sz w:val="24"/>
          <w:szCs w:val="24"/>
          <w:highlight w:val="none"/>
        </w:rPr>
        <w:t xml:space="preserve">（服务时间：工作日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完成</w:t>
      </w:r>
      <w:r>
        <w:rPr>
          <w:rFonts w:hint="eastAsia" w:ascii="宋体" w:hAnsi="宋体"/>
          <w:bCs/>
          <w:color w:val="auto"/>
          <w:sz w:val="24"/>
          <w:szCs w:val="24"/>
          <w:highlight w:val="none"/>
        </w:rPr>
        <w:t xml:space="preserve">“苏采云”系统账号注册</w:t>
      </w:r>
      <w:r>
        <w:rPr>
          <w:rFonts w:ascii="宋体" w:hAnsi="宋体"/>
          <w:bCs/>
          <w:color w:val="auto"/>
          <w:sz w:val="24"/>
          <w:szCs w:val="24"/>
          <w:highlight w:val="none"/>
        </w:rPr>
        <w:t xml:space="preserve">的供应商方可</w:t>
      </w:r>
      <w:r>
        <w:rPr>
          <w:rFonts w:hint="eastAsia" w:ascii="宋体" w:hAnsi="宋体"/>
          <w:bCs/>
          <w:color w:val="auto"/>
          <w:sz w:val="24"/>
          <w:szCs w:val="24"/>
          <w:highlight w:val="none"/>
        </w:rPr>
        <w:t xml:space="preserve">在“苏采云”系统</w:t>
      </w:r>
      <w:r>
        <w:rPr>
          <w:rFonts w:ascii="宋体" w:hAnsi="宋体"/>
          <w:bCs/>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，插入CA后，点击【账号设置】——【绑定CA】。</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如供应商未按上述要求操作，由此所产生的损失及风险由供应商自行承担。具体操作步骤详见</w:t>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《操作手册》</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下载地址：无锡市政府采购网——资料下载——</w:t>
      </w:r>
      <w:r>
        <w:rPr>
          <w:rFonts w:hint="eastAsia" w:ascii="宋体" w:hAnsi="宋体"/>
          <w:bCs/>
          <w:color w:val="auto"/>
          <w:sz w:val="24"/>
          <w:szCs w:val="24"/>
          <w:highlight w:val="none"/>
        </w:rPr>
        <w:t xml:space="preserve">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 xml:space="preserve">“苏采云”系统供应商操作手册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（二）完成项目参与，获取招标文件</w:t>
      </w:r>
      <w:r/>
    </w:p>
    <w:p>
      <w:pPr>
        <w:ind w:firstLine="480"/>
        <w:spacing w:line="500" w:lineRule="exact"/>
        <w:tabs>
          <w:tab w:val="left" w:pos="900" w:leader="none"/>
        </w:tabs>
        <w:rPr>
          <w:rFonts w:hint="eastAsia" w:ascii="宋体" w:hAnsi="宋体"/>
          <w:bCs/>
          <w:color w:val="auto"/>
          <w:sz w:val="24"/>
          <w:szCs w:val="24"/>
          <w:highlight w:val="none"/>
        </w:rPr>
      </w:pPr>
      <w:r>
        <w:rPr>
          <w:rFonts w:ascii="宋体" w:hAnsi="宋体"/>
          <w:bCs/>
          <w:color w:val="auto"/>
          <w:sz w:val="24"/>
          <w:szCs w:val="24"/>
          <w:highlight w:val="none"/>
        </w:rPr>
        <w:t xml:space="preserve">供应商可在项目</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公告附件中查看</w:t>
      </w:r>
      <w:r>
        <w:rPr>
          <w:rFonts w:hint="eastAsia" w:ascii="宋体" w:hAnsi="宋体"/>
          <w:bCs/>
          <w:color w:val="auto"/>
          <w:sz w:val="24"/>
          <w:szCs w:val="24"/>
          <w:highlight w:val="none"/>
        </w:rPr>
        <w:t xml:space="preserve">公开招标</w:t>
      </w:r>
      <w:r>
        <w:rPr>
          <w:rFonts w:ascii="宋体" w:hAnsi="宋体"/>
          <w:bCs/>
          <w:color w:val="auto"/>
          <w:sz w:val="24"/>
          <w:szCs w:val="24"/>
          <w:highlight w:val="none"/>
        </w:rPr>
        <w:t xml:space="preserve">文件，如确定参加本次</w:t>
      </w:r>
      <w:r>
        <w:rPr>
          <w:rFonts w:hint="eastAsia" w:ascii="宋体" w:hAnsi="宋体"/>
          <w:bCs/>
          <w:color w:val="auto"/>
          <w:sz w:val="24"/>
          <w:szCs w:val="24"/>
          <w:highlight w:val="none"/>
        </w:rPr>
        <w:t xml:space="preserve">采购</w:t>
      </w:r>
      <w:r>
        <w:rPr>
          <w:rFonts w:ascii="宋体" w:hAnsi="宋体"/>
          <w:bCs/>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bCs/>
          <w:color w:val="auto"/>
          <w:sz w:val="24"/>
          <w:szCs w:val="24"/>
          <w:highlight w:val="none"/>
        </w:rPr>
        <w:t xml:space="preserve">内</w:t>
      </w:r>
      <w:r>
        <w:rPr>
          <w:rFonts w:hint="eastAsia" w:ascii="宋体" w:hAnsi="宋体"/>
          <w:bCs/>
          <w:color w:val="auto"/>
          <w:sz w:val="24"/>
          <w:szCs w:val="24"/>
          <w:highlight w:val="none"/>
        </w:rPr>
        <w:t xml:space="preserve">从“苏采云”系统</w:t>
      </w:r>
      <w:r>
        <w:rPr>
          <w:rFonts w:ascii="宋体" w:hAnsi="宋体"/>
          <w:bCs/>
          <w:color w:val="auto"/>
          <w:sz w:val="24"/>
          <w:szCs w:val="24"/>
          <w:highlight w:val="none"/>
        </w:rPr>
        <w:t xml:space="preserve">中下载文件（“项目参与”——“</w:t>
      </w:r>
      <w:r>
        <w:rPr>
          <w:rFonts w:hint="eastAsia" w:ascii="宋体" w:hAnsi="宋体"/>
          <w:bCs/>
          <w:color w:val="auto"/>
          <w:sz w:val="24"/>
          <w:szCs w:val="24"/>
          <w:highlight w:val="none"/>
        </w:rPr>
        <w:t xml:space="preserve">采购项目参与</w:t>
      </w:r>
      <w:r>
        <w:rPr>
          <w:rFonts w:ascii="宋体" w:hAnsi="宋体"/>
          <w:bCs/>
          <w:color w:val="auto"/>
          <w:sz w:val="24"/>
          <w:szCs w:val="24"/>
          <w:highlight w:val="none"/>
        </w:rPr>
        <w:t xml:space="preserve">”找到需要获取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文件的项目，点击“我要参与”——“参与投标”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下载文件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），完成项目</w:t>
      </w:r>
      <w:r>
        <w:rPr>
          <w:rFonts w:hint="eastAsia" w:ascii="宋体" w:hAnsi="宋体"/>
          <w:bCs/>
          <w:color w:val="auto"/>
          <w:sz w:val="24"/>
          <w:szCs w:val="24"/>
          <w:highlight w:val="none"/>
        </w:rPr>
        <w:t xml:space="preserve">参与</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将“苏采云”系统中</w:t>
      </w:r>
      <w:r>
        <w:rPr>
          <w:rFonts w:ascii="宋体" w:hAnsi="宋体"/>
          <w:bCs/>
          <w:color w:val="auto"/>
          <w:sz w:val="24"/>
          <w:szCs w:val="24"/>
          <w:highlight w:val="none"/>
        </w:rPr>
        <w:t xml:space="preserve">下载的</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（后缀名为“.kedt”）</w:t>
      </w:r>
      <w:r>
        <w:rPr>
          <w:rFonts w:ascii="宋体" w:hAnsi="宋体"/>
          <w:bCs/>
          <w:color w:val="auto"/>
          <w:sz w:val="24"/>
          <w:szCs w:val="24"/>
          <w:highlight w:val="none"/>
        </w:rPr>
        <w:t xml:space="preserve">导入到“政府采购客户端”，离线按要求</w:t>
      </w:r>
      <w:r>
        <w:rPr>
          <w:rFonts w:hint="eastAsia" w:ascii="宋体" w:hAnsi="宋体"/>
          <w:bCs/>
          <w:color w:val="auto"/>
          <w:sz w:val="24"/>
          <w:szCs w:val="24"/>
          <w:highlight w:val="none"/>
        </w:rPr>
        <w:t xml:space="preserve">编制</w:t>
      </w:r>
      <w:r>
        <w:rPr>
          <w:rFonts w:ascii="宋体" w:hAnsi="宋体"/>
          <w:bCs/>
          <w:color w:val="auto"/>
          <w:sz w:val="24"/>
          <w:szCs w:val="24"/>
          <w:highlight w:val="none"/>
        </w:rPr>
        <w:t xml:space="preserve">并加密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（使用“CA数字证书”），</w:t>
      </w:r>
      <w:r>
        <w:rPr>
          <w:rFonts w:ascii="宋体" w:hAnsi="宋体"/>
          <w:bCs/>
          <w:color w:val="auto"/>
          <w:sz w:val="24"/>
          <w:szCs w:val="24"/>
          <w:highlight w:val="none"/>
        </w:rPr>
        <w:t xml:space="preserve">导出加密的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（后缀名为zip，不得超过150M）并在“苏采云”系统</w:t>
      </w:r>
      <w:r>
        <w:rPr>
          <w:rFonts w:ascii="宋体" w:hAnsi="宋体"/>
          <w:bCs/>
          <w:color w:val="auto"/>
          <w:sz w:val="24"/>
          <w:szCs w:val="24"/>
          <w:highlight w:val="none"/>
        </w:rPr>
        <w:t xml:space="preserve">上传该加密的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文件，对</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文件各项内容做出实质性响应，否则其</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（三）有关本次采购的事项若存在变动或修改，敬请及时关注无锡市惠山区政府采购中心在“江苏政府采购网”发布的更正公告。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   </w:t>
      </w:r>
      <w:r/>
    </w:p>
    <w:p>
      <w:pPr>
        <w:rPr>
          <w:color w:val="auto"/>
          <w:highlight w:val="none"/>
        </w:rPr>
      </w:pPr>
      <w:r>
        <w:rPr>
          <w:color w:val="auto"/>
          <w:highlight w:val="none"/>
        </w:rPr>
      </w:r>
      <w:r/>
    </w:p>
    <w:p>
      <w:pPr>
        <w:pStyle w:val="996"/>
        <w:ind w:firstLine="640"/>
        <w:pageBreakBefore/>
        <w:spacing w:line="360" w:lineRule="auto"/>
        <w:rPr>
          <w:rFonts w:ascii="黑体" w:eastAsia="黑体"/>
          <w:bCs w:val="0"/>
          <w:color w:val="auto"/>
          <w:sz w:val="28"/>
          <w:szCs w:val="28"/>
          <w:highlight w:val="none"/>
          <w:lang w:eastAsia="zh-CN"/>
        </w:rPr>
      </w:pPr>
      <w:r/>
      <w:bookmarkStart w:id="4" w:name="_Toc61444836"/>
      <w:r>
        <w:rPr>
          <w:rFonts w:hint="eastAsia" w:ascii="黑体" w:hAnsi="黑体" w:eastAsia="黑体"/>
          <w:b w:val="0"/>
          <w:color w:val="auto"/>
          <w:sz w:val="32"/>
          <w:szCs w:val="32"/>
          <w:highlight w:val="none"/>
          <w:lang w:eastAsia="zh-CN"/>
        </w:rPr>
        <w:t xml:space="preserve">第二章  投标人须知</w:t>
      </w:r>
      <w:bookmarkEnd w:id="4"/>
      <w:r/>
      <w:r/>
    </w:p>
    <w:p>
      <w:pPr>
        <w:pStyle w:val="1052"/>
        <w:ind w:left="0" w:firstLine="643"/>
        <w:keepLines w:val="0"/>
        <w:keepNext w:val="0"/>
        <w:spacing w:before="0" w:after="0"/>
        <w:rPr>
          <w:color w:val="auto"/>
          <w:szCs w:val="32"/>
          <w:highlight w:val="none"/>
        </w:rPr>
      </w:pPr>
      <w:r/>
      <w:bookmarkStart w:id="5" w:name="_Toc20823275"/>
      <w:r/>
      <w:bookmarkStart w:id="6" w:name="_Toc16938519"/>
      <w:r/>
      <w:bookmarkStart w:id="7" w:name="_Toc513029203"/>
      <w:r/>
      <w:bookmarkStart w:id="8" w:name="_Toc120614214"/>
      <w:r>
        <w:rPr>
          <w:rFonts w:hint="eastAsia"/>
          <w:color w:val="auto"/>
          <w:szCs w:val="32"/>
          <w:highlight w:val="none"/>
        </w:rPr>
        <w:t xml:space="preserve">一、总则</w:t>
      </w:r>
      <w:bookmarkEnd w:id="5"/>
      <w:r/>
      <w:bookmarkEnd w:id="6"/>
      <w:r/>
      <w:bookmarkEnd w:id="7"/>
      <w:r/>
      <w:bookmarkEnd w:id="8"/>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 w:name="_Hlt16619475"/>
      <w:r/>
      <w:bookmarkEnd w:id="9"/>
      <w:r/>
      <w:bookmarkStart w:id="10" w:name="_Toc513029204"/>
      <w:r/>
      <w:bookmarkStart w:id="11" w:name="_Toc16938520"/>
      <w:r/>
      <w:bookmarkStart w:id="12" w:name="_Toc20823276"/>
      <w:r>
        <w:rPr>
          <w:rFonts w:hint="eastAsia" w:ascii="宋体" w:hAnsi="宋体" w:eastAsia="宋体"/>
          <w:bCs w:val="0"/>
          <w:i w:val="0"/>
          <w:iCs w:val="0"/>
          <w:color w:val="auto"/>
          <w:sz w:val="24"/>
          <w:szCs w:val="24"/>
          <w:highlight w:val="none"/>
        </w:rPr>
        <w:t xml:space="preserve">1.招标方式</w:t>
      </w:r>
      <w:bookmarkEnd w:id="10"/>
      <w:r/>
      <w:bookmarkEnd w:id="11"/>
      <w:r/>
      <w:bookmarkEnd w:id="12"/>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1.1本次招标采取公开招标方式，本招标文件仅适用于招标公告中所述项目。</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3" w:name="_Toc16938521"/>
      <w:r/>
      <w:bookmarkStart w:id="14" w:name="_Toc513029205"/>
      <w:r/>
      <w:bookmarkStart w:id="15" w:name="_Toc20823277"/>
      <w:r>
        <w:rPr>
          <w:rFonts w:hint="eastAsia" w:ascii="宋体" w:hAnsi="宋体" w:eastAsia="宋体"/>
          <w:bCs w:val="0"/>
          <w:i w:val="0"/>
          <w:iCs w:val="0"/>
          <w:color w:val="auto"/>
          <w:sz w:val="24"/>
          <w:szCs w:val="24"/>
          <w:highlight w:val="none"/>
        </w:rPr>
        <w:t xml:space="preserve">2.</w:t>
      </w:r>
      <w:bookmarkEnd w:id="13"/>
      <w:r/>
      <w:bookmarkEnd w:id="14"/>
      <w:r/>
      <w:bookmarkEnd w:id="15"/>
      <w:r>
        <w:rPr>
          <w:rFonts w:hint="eastAsia" w:ascii="宋体" w:hAnsi="宋体" w:eastAsia="宋体"/>
          <w:bCs w:val="0"/>
          <w:i w:val="0"/>
          <w:iCs w:val="0"/>
          <w:color w:val="auto"/>
          <w:sz w:val="24"/>
          <w:szCs w:val="24"/>
          <w:highlight w:val="none"/>
        </w:rPr>
        <w:t xml:space="preserve">采购人、采购代理机构、投标人、联合体</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6" w:name="_Toc513029206"/>
      <w:r/>
      <w:bookmarkStart w:id="17" w:name="_Toc16938522"/>
      <w:r/>
      <w:bookmarkStart w:id="18" w:name="_Toc20823278"/>
      <w:r>
        <w:rPr>
          <w:rFonts w:hint="eastAsia" w:ascii="宋体" w:hAnsi="宋体" w:eastAsia="宋体"/>
          <w:bCs w:val="0"/>
          <w:i w:val="0"/>
          <w:iCs w:val="0"/>
          <w:color w:val="auto"/>
          <w:sz w:val="24"/>
          <w:szCs w:val="24"/>
          <w:highlight w:val="none"/>
        </w:rPr>
        <w:t xml:space="preserve">3.适用法律</w:t>
      </w:r>
      <w:bookmarkEnd w:id="16"/>
      <w:r/>
      <w:bookmarkEnd w:id="17"/>
      <w:r/>
      <w:bookmarkEnd w:id="18"/>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3.1 本次招标及由此产生的合同受中华人民共和国有关的法律法规制约和保护</w:t>
      </w:r>
      <w:r>
        <w:rPr>
          <w:rFonts w:ascii="宋体" w:hAnsi="宋体"/>
          <w:i w:val="0"/>
          <w:iCs w:val="0"/>
          <w:color w:val="auto"/>
          <w:sz w:val="24"/>
          <w:szCs w:val="24"/>
          <w:highlight w:val="none"/>
        </w:rPr>
        <w:t xml:space="preserve">。</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9" w:name="_Toc513029207"/>
      <w:r/>
      <w:bookmarkStart w:id="20" w:name="_Toc462564067"/>
      <w:r/>
      <w:bookmarkStart w:id="21" w:name="_Toc16938523"/>
      <w:r/>
      <w:bookmarkStart w:id="22" w:name="_Toc20823279"/>
      <w:r>
        <w:rPr>
          <w:rFonts w:hint="eastAsia" w:ascii="宋体" w:hAnsi="宋体" w:eastAsia="宋体"/>
          <w:bCs w:val="0"/>
          <w:i w:val="0"/>
          <w:iCs w:val="0"/>
          <w:color w:val="auto"/>
          <w:sz w:val="24"/>
          <w:szCs w:val="24"/>
          <w:highlight w:val="none"/>
        </w:rPr>
        <w:t xml:space="preserve">4.投标费用</w:t>
      </w:r>
      <w:bookmarkEnd w:id="19"/>
      <w:r/>
      <w:bookmarkEnd w:id="20"/>
      <w:r/>
      <w:bookmarkEnd w:id="21"/>
      <w:r/>
      <w:bookmarkEnd w:id="22"/>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4.1</w:t>
      </w:r>
      <w:r>
        <w:rPr>
          <w:rFonts w:hint="eastAsia" w:ascii="宋体" w:hAnsi="宋体"/>
          <w:i w:val="0"/>
          <w:iCs w:val="0"/>
          <w:color w:val="auto"/>
          <w:sz w:val="24"/>
          <w:szCs w:val="24"/>
          <w:highlight w:val="none"/>
        </w:rPr>
        <w:t xml:space="preserve">投标人应自行承担所有与参加投标有关的费用，无论投标过程中的做法和结果如何，</w:t>
      </w:r>
      <w:r>
        <w:rPr>
          <w:rFonts w:hint="eastAsia" w:ascii="宋体" w:hAnsi="宋体"/>
          <w:i w:val="0"/>
          <w:iCs w:val="0"/>
          <w:color w:val="auto"/>
          <w:sz w:val="24"/>
          <w:szCs w:val="24"/>
          <w:highlight w:val="none"/>
          <w:lang w:eastAsia="zh-CN"/>
        </w:rPr>
        <w:t xml:space="preserve">无锡市惠山区政府采购中心</w:t>
      </w:r>
      <w:r>
        <w:rPr>
          <w:rFonts w:hint="eastAsia" w:ascii="宋体" w:hAnsi="宋体"/>
          <w:i w:val="0"/>
          <w:iCs w:val="0"/>
          <w:color w:val="auto"/>
          <w:sz w:val="24"/>
          <w:szCs w:val="24"/>
          <w:highlight w:val="none"/>
        </w:rPr>
        <w:t xml:space="preserve">（以下简称</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）在任何情况下均无义务和责任承担这些费用。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4.2本次招标标书工本费、中标服务费、招标文件均免费。</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5.招标文件的约束力</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5.1</w:t>
      </w:r>
      <w:r>
        <w:rPr>
          <w:rFonts w:hint="eastAsia" w:ascii="宋体" w:hAnsi="宋体"/>
          <w:i w:val="0"/>
          <w:iCs w:val="0"/>
          <w:color w:val="auto"/>
          <w:sz w:val="24"/>
          <w:szCs w:val="24"/>
          <w:highlight w:val="none"/>
        </w:rPr>
        <w:t xml:space="preserve">投标人一旦参加本项目采购活动，即被认为接受了本招标文件的规定和约束。</w:t>
      </w:r>
      <w:r/>
    </w:p>
    <w:p>
      <w:pPr>
        <w:pStyle w:val="1052"/>
        <w:jc w:val="center"/>
        <w:keepLines w:val="0"/>
        <w:keepNext w:val="0"/>
        <w:spacing w:before="0" w:after="0" w:line="500" w:lineRule="exact"/>
        <w:rPr>
          <w:rFonts w:hint="eastAsia"/>
          <w:i w:val="0"/>
          <w:iCs w:val="0"/>
          <w:color w:val="auto"/>
          <w:sz w:val="32"/>
          <w:szCs w:val="32"/>
          <w:highlight w:val="none"/>
        </w:rPr>
      </w:pPr>
      <w:r/>
      <w:bookmarkStart w:id="23" w:name="_Toc120614215"/>
      <w:r/>
      <w:bookmarkStart w:id="24" w:name="_Toc513029209"/>
      <w:r/>
      <w:bookmarkStart w:id="25" w:name="_Toc20823281"/>
      <w:r/>
      <w:bookmarkStart w:id="26" w:name="_Toc16938525"/>
      <w:r>
        <w:rPr>
          <w:rFonts w:hint="eastAsia"/>
          <w:i w:val="0"/>
          <w:iCs w:val="0"/>
          <w:color w:val="auto"/>
          <w:sz w:val="32"/>
          <w:szCs w:val="32"/>
          <w:highlight w:val="none"/>
        </w:rPr>
        <w:t xml:space="preserve">二、招标文件</w:t>
      </w:r>
      <w:bookmarkEnd w:id="23"/>
      <w:r/>
      <w:bookmarkEnd w:id="24"/>
      <w:r/>
      <w:bookmarkEnd w:id="25"/>
      <w:r/>
      <w:bookmarkEnd w:id="26"/>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27" w:name="_Toc513029210"/>
      <w:r/>
      <w:bookmarkStart w:id="28" w:name="_Toc16938526"/>
      <w:r/>
      <w:bookmarkStart w:id="29" w:name="_Toc20823282"/>
      <w:r>
        <w:rPr>
          <w:rFonts w:hint="eastAsia" w:ascii="宋体" w:hAnsi="宋体" w:eastAsia="宋体"/>
          <w:bCs w:val="0"/>
          <w:i w:val="0"/>
          <w:iCs w:val="0"/>
          <w:color w:val="auto"/>
          <w:sz w:val="24"/>
          <w:szCs w:val="24"/>
          <w:highlight w:val="none"/>
        </w:rPr>
        <w:t xml:space="preserve">6.招标文件构成</w:t>
      </w:r>
      <w:bookmarkEnd w:id="27"/>
      <w:r/>
      <w:bookmarkEnd w:id="28"/>
      <w:r/>
      <w:bookmarkEnd w:id="29"/>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6.1</w:t>
      </w:r>
      <w:r>
        <w:rPr>
          <w:rFonts w:hint="eastAsia" w:ascii="宋体" w:hAnsi="宋体"/>
          <w:i w:val="0"/>
          <w:iCs w:val="0"/>
          <w:color w:val="auto"/>
          <w:sz w:val="24"/>
          <w:szCs w:val="24"/>
          <w:highlight w:val="none"/>
        </w:rPr>
        <w:t xml:space="preserve">招标文件由以下部分组成：</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（1）投标</w:t>
      </w:r>
      <w:r>
        <w:rPr>
          <w:rFonts w:ascii="宋体" w:hAnsi="宋体"/>
          <w:i w:val="0"/>
          <w:iCs w:val="0"/>
          <w:color w:val="auto"/>
          <w:sz w:val="24"/>
          <w:szCs w:val="24"/>
          <w:highlight w:val="none"/>
        </w:rPr>
        <w:t xml:space="preserve">邀请</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（2）投标人须知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（3）采购需求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（4）合同文本</w:t>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（5）</w:t>
      </w:r>
      <w:r>
        <w:rPr>
          <w:rFonts w:hint="eastAsia" w:hAnsi="宋体"/>
          <w:i w:val="0"/>
          <w:iCs w:val="0"/>
          <w:color w:val="auto"/>
          <w:sz w:val="24"/>
          <w:szCs w:val="24"/>
          <w:highlight w:val="none"/>
        </w:rPr>
        <w:t xml:space="preserve">评标方法与评标标准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（6）投标文件内容与格式</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请仔细检查招标文件是否齐全，如有缺漏请立即与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联系解决。</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0" w:name="_Toc513029211"/>
      <w:r/>
      <w:bookmarkStart w:id="31" w:name="_Toc16938527"/>
      <w:r/>
      <w:bookmarkStart w:id="32" w:name="_Toc462564070"/>
      <w:r/>
      <w:bookmarkStart w:id="33" w:name="_Toc20823283"/>
      <w:r>
        <w:rPr>
          <w:rFonts w:hint="eastAsia" w:ascii="宋体" w:hAnsi="宋体" w:eastAsia="宋体"/>
          <w:bCs w:val="0"/>
          <w:i w:val="0"/>
          <w:iCs w:val="0"/>
          <w:color w:val="auto"/>
          <w:sz w:val="24"/>
          <w:szCs w:val="24"/>
          <w:highlight w:val="none"/>
        </w:rPr>
        <w:t xml:space="preserve">7.招标文件的澄清</w:t>
      </w:r>
      <w:bookmarkEnd w:id="30"/>
      <w:r/>
      <w:bookmarkEnd w:id="31"/>
      <w:r/>
      <w:bookmarkEnd w:id="32"/>
      <w:r/>
      <w:bookmarkEnd w:id="33"/>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7.1本项目</w:t>
      </w:r>
      <w:r>
        <w:rPr>
          <w:rFonts w:hint="eastAsia" w:ascii="宋体" w:hAnsi="宋体"/>
          <w:bCs/>
          <w:i w:val="0"/>
          <w:iCs w:val="0"/>
          <w:color w:val="auto"/>
          <w:sz w:val="24"/>
          <w:szCs w:val="24"/>
          <w:highlight w:val="none"/>
          <w:lang w:eastAsia="zh-CN"/>
        </w:rPr>
        <w:t xml:space="preserve">将不</w:t>
      </w:r>
      <w:r>
        <w:rPr>
          <w:rFonts w:hint="eastAsia" w:ascii="宋体" w:hAnsi="宋体"/>
          <w:bCs/>
          <w:i w:val="0"/>
          <w:iCs w:val="0"/>
          <w:color w:val="auto"/>
          <w:sz w:val="24"/>
          <w:szCs w:val="24"/>
          <w:highlight w:val="none"/>
        </w:rPr>
        <w:t xml:space="preserve">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34" w:name="_Toc513029212"/>
      <w:r/>
      <w:bookmarkStart w:id="35" w:name="_Toc20823284"/>
      <w:r/>
      <w:bookmarkStart w:id="36" w:name="_Toc16938528"/>
      <w:r/>
      <w:bookmarkStart w:id="37" w:name="_Toc462564071"/>
      <w:r>
        <w:rPr>
          <w:rFonts w:hint="eastAsia" w:ascii="宋体" w:hAnsi="宋体" w:eastAsia="宋体"/>
          <w:bCs w:val="0"/>
          <w:i w:val="0"/>
          <w:iCs w:val="0"/>
          <w:color w:val="auto"/>
          <w:sz w:val="24"/>
          <w:szCs w:val="24"/>
          <w:highlight w:val="none"/>
        </w:rPr>
        <w:t xml:space="preserve">8.招标文件的修改</w:t>
      </w:r>
      <w:bookmarkEnd w:id="34"/>
      <w:r/>
      <w:bookmarkEnd w:id="35"/>
      <w:r/>
      <w:bookmarkEnd w:id="36"/>
      <w:r/>
      <w:bookmarkEnd w:id="37"/>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8.1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8.2</w:t>
      </w:r>
      <w:r>
        <w:rPr>
          <w:rFonts w:hint="eastAsia" w:ascii="宋体" w:hAnsi="宋体"/>
          <w:bCs/>
          <w:i w:val="0"/>
          <w:iCs w:val="0"/>
          <w:color w:val="auto"/>
          <w:sz w:val="24"/>
          <w:szCs w:val="24"/>
          <w:highlight w:val="none"/>
        </w:rPr>
        <w:t xml:space="preserve">如需对招标文件进行澄清或修改，</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 xml:space="preserve">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或</w:t>
      </w:r>
      <w:r>
        <w:rPr>
          <w:rFonts w:hint="eastAsia" w:ascii="宋体" w:hAnsi="宋体"/>
          <w:bCs/>
          <w:i w:val="0"/>
          <w:iCs w:val="0"/>
          <w:color w:val="auto"/>
          <w:sz w:val="24"/>
          <w:szCs w:val="24"/>
          <w:highlight w:val="none"/>
        </w:rPr>
        <w:t xml:space="preserve">关注原招标公告媒体上发布的更正公告</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因投标人未尽注意义务，未及时更新上传投标文件</w:t>
      </w:r>
      <w:r>
        <w:rPr>
          <w:rFonts w:hint="eastAsia" w:ascii="宋体" w:hAnsi="宋体"/>
          <w:i w:val="0"/>
          <w:iCs w:val="0"/>
          <w:color w:val="auto"/>
          <w:sz w:val="24"/>
          <w:szCs w:val="24"/>
          <w:highlight w:val="none"/>
        </w:rPr>
        <w:t xml:space="preserve">或未</w:t>
      </w:r>
      <w:r>
        <w:rPr>
          <w:rFonts w:hint="eastAsia" w:ascii="宋体" w:hAnsi="宋体"/>
          <w:bCs/>
          <w:i w:val="0"/>
          <w:iCs w:val="0"/>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52"/>
        <w:jc w:val="center"/>
        <w:keepLines w:val="0"/>
        <w:keepNext w:val="0"/>
        <w:spacing w:before="0" w:after="0" w:line="500" w:lineRule="exact"/>
        <w:rPr>
          <w:rFonts w:hint="eastAsia"/>
          <w:i w:val="0"/>
          <w:iCs w:val="0"/>
          <w:color w:val="auto"/>
          <w:sz w:val="32"/>
          <w:szCs w:val="32"/>
          <w:highlight w:val="none"/>
        </w:rPr>
      </w:pPr>
      <w:r/>
      <w:bookmarkStart w:id="38" w:name="_Toc462564072"/>
      <w:r/>
      <w:bookmarkStart w:id="39" w:name="_Toc120614216"/>
      <w:r/>
      <w:bookmarkStart w:id="40" w:name="_Toc16938529"/>
      <w:r/>
      <w:bookmarkStart w:id="41" w:name="_Toc513029213"/>
      <w:r/>
      <w:bookmarkStart w:id="42" w:name="_Toc20823285"/>
      <w:r>
        <w:rPr>
          <w:rFonts w:hint="eastAsia"/>
          <w:i w:val="0"/>
          <w:iCs w:val="0"/>
          <w:color w:val="auto"/>
          <w:sz w:val="32"/>
          <w:szCs w:val="32"/>
          <w:highlight w:val="none"/>
        </w:rPr>
        <w:t xml:space="preserve">三、投标文件的编制</w:t>
      </w:r>
      <w:bookmarkEnd w:id="38"/>
      <w:r/>
      <w:bookmarkEnd w:id="39"/>
      <w:r/>
      <w:bookmarkEnd w:id="40"/>
      <w:r/>
      <w:bookmarkEnd w:id="41"/>
      <w:r/>
      <w:bookmarkEnd w:id="42"/>
      <w:r/>
      <w:r/>
    </w:p>
    <w:p>
      <w:pPr>
        <w:ind w:firstLine="480"/>
        <w:spacing w:line="500" w:lineRule="exact"/>
        <w:rPr>
          <w:rFonts w:hint="eastAsia" w:ascii="宋体" w:hAnsi="宋体" w:eastAsia="宋体" w:cs="Times New Roman"/>
          <w:b/>
          <w:bCs w:val="0"/>
          <w:i w:val="0"/>
          <w:iCs w:val="0"/>
          <w:color w:val="auto"/>
          <w:sz w:val="24"/>
          <w:szCs w:val="24"/>
          <w:highlight w:val="none"/>
          <w:lang w:val="en-US" w:eastAsia="zh-CN" w:bidi="ar-SA"/>
        </w:rPr>
      </w:pPr>
      <w:r/>
      <w:bookmarkStart w:id="43" w:name="_Toc20823286"/>
      <w:r/>
      <w:bookmarkStart w:id="44" w:name="_Toc16938530"/>
      <w:r/>
      <w:bookmarkStart w:id="45" w:name="_Toc513029214"/>
      <w:r/>
      <w:bookmarkStart w:id="46" w:name="_Toc462564073"/>
      <w:r>
        <w:rPr>
          <w:rFonts w:hint="eastAsia" w:ascii="宋体" w:hAnsi="宋体" w:eastAsia="宋体" w:cs="Times New Roman"/>
          <w:b/>
          <w:bCs w:val="0"/>
          <w:i w:val="0"/>
          <w:iCs w:val="0"/>
          <w:color w:val="auto"/>
          <w:sz w:val="24"/>
          <w:szCs w:val="24"/>
          <w:highlight w:val="none"/>
          <w:lang w:val="en-US" w:eastAsia="zh-CN" w:bidi="ar-SA"/>
        </w:rPr>
        <w:t xml:space="preserve">9.投标文件的语言及度量衡单位</w:t>
      </w:r>
      <w:bookmarkEnd w:id="43"/>
      <w:r/>
      <w:bookmarkEnd w:id="44"/>
      <w:r/>
      <w:bookmarkEnd w:id="45"/>
      <w:r/>
      <w:bookmarkEnd w:id="46"/>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9.1投标人提交的投标文件以及投标人与</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就有关投标的所有来往通知、函件和文件均应使用简体中文（规格、型号辅助符号例外）。</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9.2除技术性能另有规定外，投标文件所使用的度量衡单位，均须采用国家法定计量单位。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 xml:space="preserve">9.4如无特别说明，</w:t>
      </w:r>
      <w:r>
        <w:rPr>
          <w:rFonts w:hint="eastAsia" w:ascii="宋体" w:hAnsi="宋体"/>
          <w:bCs/>
          <w:i w:val="0"/>
          <w:iCs w:val="0"/>
          <w:color w:val="auto"/>
          <w:sz w:val="24"/>
          <w:szCs w:val="24"/>
          <w:highlight w:val="none"/>
        </w:rPr>
        <w:t xml:space="preserve">投标人报价一律以人民币为投标结算货币，结算单位为“元”。</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9.5投标文件格式部分，应由投标人按给定格式提供，不得更改。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9.7投标费用自理。</w:t>
      </w:r>
      <w:r/>
    </w:p>
    <w:p>
      <w:pPr>
        <w:ind w:firstLine="480"/>
        <w:spacing w:line="500" w:lineRule="exact"/>
        <w:rPr>
          <w:rFonts w:hint="eastAsia" w:ascii="宋体" w:hAnsi="宋体"/>
          <w:b/>
          <w:bCs/>
          <w:color w:val="000000" w:themeColor="text1"/>
          <w:sz w:val="24"/>
          <w:szCs w:val="24"/>
          <w14:textFill>
            <w14:solidFill>
              <w14:schemeClr w14:val="tx1"/>
            </w14:solidFill>
          </w14:textFill>
        </w:rPr>
      </w:pPr>
      <w:r/>
      <w:bookmarkStart w:id="47" w:name="_Toc20823287"/>
      <w:r/>
      <w:bookmarkStart w:id="48" w:name="_Toc462564074"/>
      <w:r/>
      <w:bookmarkStart w:id="49" w:name="_Toc513029215"/>
      <w:r/>
      <w:bookmarkStart w:id="50" w:name="_Toc16938531"/>
      <w:r>
        <w:rPr>
          <w:rFonts w:hint="eastAsia" w:ascii="宋体" w:hAnsi="宋体"/>
          <w:b/>
          <w:bCs/>
          <w:color w:val="000000" w:themeColor="text1"/>
          <w:sz w:val="24"/>
          <w:szCs w:val="24"/>
          <w14:textFill>
            <w14:solidFill>
              <w14:schemeClr w14:val="tx1"/>
            </w14:solidFill>
          </w14:textFill>
        </w:rPr>
        <w:t xml:space="preserve">9.8本项目技术文件为暗标，须按下列格式编制，否则视为无效投标文件：</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（1）技术文件正文所用文字采用“宋体”四号“常规”字（黑色），表格中所用文字采用“宋体”“常规”字（黑色），字号不限。需设置目录，不得设置页码、页眉、页脚，纸张必须为A4纸。</w:t>
      </w:r>
      <w:r/>
    </w:p>
    <w:p>
      <w:pPr>
        <w:ind w:firstLine="480"/>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（2）技术文件内不得出现可识别投标供应商身份的任何字符和徽标（包括文字、符号、图案、标识、标志、人员姓名、企业名称等），相关人员姓名应以职务或职称代替。</w:t>
      </w:r>
      <w:r/>
    </w:p>
    <w:p>
      <w:pPr>
        <w:ind w:firstLine="480"/>
        <w:spacing w:line="500" w:lineRule="exact"/>
        <w:rPr>
          <w:rFonts w:hint="eastAsia" w:ascii="宋体" w:hAnsi="宋体"/>
          <w:i w:val="0"/>
          <w:iCs w:val="0"/>
          <w:color w:val="auto"/>
          <w:sz w:val="24"/>
          <w:szCs w:val="24"/>
          <w:highlight w:val="none"/>
        </w:rPr>
      </w:pPr>
      <w:r>
        <w:rPr>
          <w:rFonts w:hint="eastAsia" w:ascii="宋体" w:hAnsi="宋体"/>
          <w:b/>
          <w:bCs/>
          <w:color w:val="000000" w:themeColor="text1"/>
          <w:sz w:val="24"/>
          <w:szCs w:val="24"/>
          <w14:textFill>
            <w14:solidFill>
              <w14:schemeClr w14:val="tx1"/>
            </w14:solidFill>
          </w14:textFill>
        </w:rPr>
        <w:t xml:space="preserve">（3）对技术方案中的效果图、照片、图片的颜色以及图中的字体、字号、颜色均不做限制要求，但不得出现能体现投标供应商身份的信息。</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000000"/>
          <w:sz w:val="24"/>
          <w:szCs w:val="24"/>
          <w:highlight w:val="none"/>
        </w:rPr>
        <w:t xml:space="preserve">10.投标文件构成</w:t>
      </w:r>
      <w:bookmarkEnd w:id="47"/>
      <w:r/>
      <w:bookmarkEnd w:id="48"/>
      <w:r/>
      <w:bookmarkEnd w:id="49"/>
      <w:r/>
      <w:bookmarkEnd w:id="50"/>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10.2投标人所</w:t>
      </w:r>
      <w:r>
        <w:rPr>
          <w:rFonts w:hint="eastAsia" w:ascii="宋体" w:hAnsi="宋体"/>
          <w:bCs/>
          <w:i w:val="0"/>
          <w:iCs w:val="0"/>
          <w:color w:val="auto"/>
          <w:sz w:val="24"/>
          <w:szCs w:val="24"/>
          <w:highlight w:val="none"/>
          <w:lang w:val="zh-CN" w:eastAsia="zh-CN"/>
        </w:rPr>
        <w:t xml:space="preserve">需</w:t>
      </w:r>
      <w:r>
        <w:rPr>
          <w:rFonts w:hint="eastAsia" w:ascii="宋体" w:hAnsi="宋体"/>
          <w:bCs/>
          <w:i w:val="0"/>
          <w:iCs w:val="0"/>
          <w:color w:val="auto"/>
          <w:sz w:val="24"/>
          <w:szCs w:val="24"/>
          <w:highlight w:val="none"/>
          <w:lang w:val="zh-CN"/>
        </w:rPr>
        <w:t xml:space="preserve">提供的相关证明文件和要求以及投标文件的部分格式要求，详见第六章《投标文件内容与格式》。</w:t>
      </w:r>
      <w:r/>
    </w:p>
    <w:p>
      <w:pPr>
        <w:ind w:firstLine="480"/>
        <w:spacing w:line="500" w:lineRule="exact"/>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 xml:space="preserve">10.3如标书制作工具中格式和内容与招标文件不一致的，请以招标文件为准。</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51" w:name="_Hlt26670360"/>
      <w:r/>
      <w:bookmarkEnd w:id="51"/>
      <w:r/>
      <w:bookmarkStart w:id="52" w:name="_Hlt26668975"/>
      <w:r/>
      <w:bookmarkEnd w:id="52"/>
      <w:r/>
      <w:bookmarkStart w:id="53" w:name="_Hlt26954838"/>
      <w:r/>
      <w:bookmarkEnd w:id="53"/>
      <w:r/>
      <w:bookmarkStart w:id="54" w:name="_Toc14577357"/>
      <w:r/>
      <w:bookmarkStart w:id="55" w:name="_Toc49090509"/>
      <w:r/>
      <w:bookmarkStart w:id="56" w:name="_Toc513029219"/>
      <w:r/>
      <w:bookmarkStart w:id="57" w:name="_Toc49090507"/>
      <w:r/>
      <w:bookmarkStart w:id="58" w:name="_Toc14577354"/>
      <w:r/>
      <w:bookmarkStart w:id="59" w:name="_Toc513029216"/>
      <w:r>
        <w:rPr>
          <w:rFonts w:hint="eastAsia" w:ascii="宋体" w:hAnsi="宋体" w:eastAsia="宋体"/>
          <w:bCs w:val="0"/>
          <w:i w:val="0"/>
          <w:iCs w:val="0"/>
          <w:color w:val="auto"/>
          <w:sz w:val="24"/>
          <w:szCs w:val="24"/>
          <w:highlight w:val="none"/>
        </w:rPr>
        <w:t xml:space="preserve">11.证明投标人及投标标的符合招标文件规定的文件</w:t>
      </w:r>
      <w:bookmarkEnd w:id="54"/>
      <w:r/>
      <w:bookmarkEnd w:id="55"/>
      <w:r/>
      <w:bookmarkEnd w:id="56"/>
      <w:r/>
      <w:bookmarkEnd w:id="57"/>
      <w:bookmarkEnd w:id="58"/>
      <w:bookmarkEnd w:id="59"/>
      <w:r/>
    </w:p>
    <w:p>
      <w:pPr>
        <w:ind w:firstLine="480"/>
        <w:spacing w:line="500" w:lineRule="exact"/>
        <w:rPr>
          <w:rFonts w:hint="eastAsia" w:ascii="宋体" w:hAnsi="宋体"/>
          <w:bCs/>
          <w:i w:val="0"/>
          <w:iCs w:val="0"/>
          <w:color w:val="auto"/>
          <w:sz w:val="24"/>
          <w:szCs w:val="24"/>
          <w:highlight w:val="none"/>
        </w:rPr>
      </w:pPr>
      <w:r/>
      <w:bookmarkStart w:id="60" w:name="_Toc49090508"/>
      <w:r/>
      <w:bookmarkStart w:id="61" w:name="_Toc14577355"/>
      <w:r>
        <w:rPr>
          <w:rFonts w:hint="eastAsia" w:ascii="宋体" w:hAnsi="宋体"/>
          <w:bCs/>
          <w:i w:val="0"/>
          <w:iCs w:val="0"/>
          <w:color w:val="auto"/>
          <w:sz w:val="24"/>
          <w:szCs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11.2招标文件对证明文件无明确形式要求的，证明文件可以以文字资料、图纸和数据等形式提交。</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2" w:name="_Toc49090510"/>
      <w:r/>
      <w:bookmarkStart w:id="63" w:name="_Toc14577359"/>
      <w:r>
        <w:rPr>
          <w:rFonts w:hint="eastAsia" w:ascii="宋体" w:hAnsi="宋体" w:eastAsia="宋体"/>
          <w:bCs w:val="0"/>
          <w:i w:val="0"/>
          <w:iCs w:val="0"/>
          <w:color w:val="auto"/>
          <w:sz w:val="24"/>
          <w:szCs w:val="24"/>
          <w:highlight w:val="none"/>
        </w:rPr>
        <w:t xml:space="preserve">12.投标函、承诺书和开标一览表</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12.1</w:t>
      </w:r>
      <w:r>
        <w:rPr>
          <w:rFonts w:hint="eastAsia" w:ascii="宋体" w:hAnsi="宋体"/>
          <w:i w:val="0"/>
          <w:iCs w:val="0"/>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2"/>
      <w:bookmarkEnd w:id="63"/>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13.</w:t>
      </w:r>
      <w:bookmarkEnd w:id="60"/>
      <w:r/>
      <w:bookmarkEnd w:id="61"/>
      <w:r>
        <w:rPr>
          <w:rFonts w:hint="eastAsia" w:ascii="宋体" w:hAnsi="宋体" w:eastAsia="宋体"/>
          <w:bCs w:val="0"/>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13.1</w:t>
      </w:r>
      <w:r>
        <w:rPr>
          <w:rFonts w:hint="eastAsia" w:ascii="宋体" w:hAnsi="宋体"/>
          <w:i w:val="0"/>
          <w:iCs w:val="0"/>
          <w:color w:val="auto"/>
          <w:sz w:val="24"/>
          <w:szCs w:val="24"/>
          <w:highlight w:val="none"/>
        </w:rPr>
        <w:t xml:space="preserve">投</w:t>
      </w:r>
      <w:bookmarkStart w:id="64" w:name="_Hlt26954840"/>
      <w:r/>
      <w:bookmarkEnd w:id="64"/>
      <w:r>
        <w:rPr>
          <w:rFonts w:hint="eastAsia" w:ascii="宋体" w:hAnsi="宋体"/>
          <w:i w:val="0"/>
          <w:iCs w:val="0"/>
          <w:color w:val="auto"/>
          <w:sz w:val="24"/>
          <w:szCs w:val="24"/>
          <w:highlight w:val="none"/>
        </w:rPr>
        <w:t xml:space="preserve">标人应按照招标文件规定格式填报</w:t>
      </w:r>
      <w:bookmarkStart w:id="65" w:name="_Hlt26670399"/>
      <w:r/>
      <w:bookmarkEnd w:id="65"/>
      <w:r>
        <w:rPr>
          <w:rFonts w:hint="eastAsia" w:ascii="宋体" w:hAnsi="宋体"/>
          <w:i w:val="0"/>
          <w:iCs w:val="0"/>
          <w:color w:val="auto"/>
          <w:sz w:val="24"/>
          <w:szCs w:val="24"/>
          <w:highlight w:val="none"/>
        </w:rPr>
        <w:t xml:space="preserve">分项报价表。</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13.2</w:t>
      </w:r>
      <w:r>
        <w:rPr>
          <w:rFonts w:hint="eastAsia" w:ascii="宋体" w:hAnsi="宋体"/>
          <w:bCs/>
          <w:i w:val="0"/>
          <w:iCs w:val="0"/>
          <w:color w:val="auto"/>
          <w:sz w:val="24"/>
          <w:szCs w:val="24"/>
          <w:highlight w:val="none"/>
        </w:rPr>
        <w:t xml:space="preserve">投标货币。投标文件中的单价和总价无特殊规定的采用人民币报价，以“元”为单位标注。</w:t>
      </w:r>
      <w:r>
        <w:rPr>
          <w:rFonts w:hint="eastAsia" w:ascii="宋体" w:hAnsi="宋体"/>
          <w:i w:val="0"/>
          <w:iCs w:val="0"/>
          <w:color w:val="auto"/>
          <w:sz w:val="24"/>
          <w:szCs w:val="24"/>
          <w:highlight w:val="none"/>
        </w:rPr>
        <w:t xml:space="preserve">招标文件中另有规定的按规定执行。</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66" w:name="_Hlt26954848"/>
      <w:r/>
      <w:bookmarkEnd w:id="66"/>
      <w:r/>
      <w:bookmarkStart w:id="67" w:name="_Hlt26954731"/>
      <w:r/>
      <w:bookmarkEnd w:id="67"/>
      <w:r/>
      <w:bookmarkStart w:id="68" w:name="_Hlt26670425"/>
      <w:r/>
      <w:bookmarkEnd w:id="68"/>
      <w:r/>
      <w:bookmarkStart w:id="69" w:name="_Hlt26954844"/>
      <w:r/>
      <w:bookmarkEnd w:id="69"/>
      <w:r/>
      <w:bookmarkStart w:id="70" w:name="_Hlt26954846"/>
      <w:r/>
      <w:bookmarkEnd w:id="70"/>
      <w:r/>
      <w:bookmarkStart w:id="71" w:name="_Hlt26670482"/>
      <w:r/>
      <w:bookmarkEnd w:id="71"/>
      <w:r/>
      <w:bookmarkStart w:id="72" w:name="_Hlt26670486"/>
      <w:r/>
      <w:bookmarkEnd w:id="72"/>
      <w:r/>
      <w:bookmarkStart w:id="73" w:name="_Hlt26954842"/>
      <w:r/>
      <w:bookmarkEnd w:id="73"/>
      <w:r/>
      <w:bookmarkStart w:id="74" w:name="_Hlt26668983"/>
      <w:r/>
      <w:bookmarkEnd w:id="74"/>
      <w:r/>
      <w:bookmarkStart w:id="75" w:name="_Hlt26670403"/>
      <w:r/>
      <w:bookmarkEnd w:id="75"/>
      <w:r>
        <w:rPr>
          <w:rFonts w:hint="eastAsia" w:ascii="宋体" w:hAnsi="宋体" w:eastAsia="宋体"/>
          <w:bCs w:val="0"/>
          <w:i w:val="0"/>
          <w:iCs w:val="0"/>
          <w:color w:val="auto"/>
          <w:sz w:val="24"/>
          <w:szCs w:val="24"/>
          <w:highlight w:val="none"/>
        </w:rPr>
        <w:t xml:space="preserve">14.投标偏离表</w:t>
      </w:r>
      <w:r/>
    </w:p>
    <w:p>
      <w:pPr>
        <w:ind w:firstLine="480"/>
        <w:spacing w:line="500" w:lineRule="exact"/>
        <w:tabs>
          <w:tab w:val="left" w:pos="1035" w:leader="none"/>
        </w:tabs>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 xml:space="preserve">14</w:t>
      </w:r>
      <w:r>
        <w:rPr>
          <w:rFonts w:hint="eastAsia" w:ascii="宋体" w:hAnsi="Arial" w:cs="宋体"/>
          <w:i w:val="0"/>
          <w:iCs w:val="0"/>
          <w:color w:val="auto"/>
          <w:sz w:val="24"/>
          <w:szCs w:val="24"/>
          <w:highlight w:val="none"/>
          <w:lang w:val="zh-CN"/>
        </w:rPr>
        <w:t xml:space="preserve">.</w:t>
      </w:r>
      <w:r>
        <w:rPr>
          <w:rFonts w:hint="eastAsia" w:ascii="宋体" w:hAnsi="Arial" w:cs="宋体"/>
          <w:i w:val="0"/>
          <w:iCs w:val="0"/>
          <w:color w:val="auto"/>
          <w:sz w:val="24"/>
          <w:szCs w:val="24"/>
          <w:highlight w:val="none"/>
        </w:rPr>
        <w:t xml:space="preserve">1</w:t>
      </w:r>
      <w:r>
        <w:rPr>
          <w:rFonts w:hint="eastAsia" w:ascii="宋体" w:hAnsi="Arial" w:cs="宋体"/>
          <w:i w:val="0"/>
          <w:iCs w:val="0"/>
          <w:color w:val="auto"/>
          <w:sz w:val="24"/>
          <w:szCs w:val="24"/>
          <w:highlight w:val="none"/>
          <w:lang w:val="zh-CN"/>
        </w:rPr>
        <w:t xml:space="preserve">投标人可在投标文件中提供认为需要的其他技术文件或说明。</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76" w:name="_Hlt26954850"/>
      <w:r/>
      <w:bookmarkEnd w:id="76"/>
      <w:r/>
      <w:bookmarkStart w:id="77" w:name="_Hlt26670489"/>
      <w:r/>
      <w:bookmarkEnd w:id="77"/>
      <w:r/>
      <w:bookmarkStart w:id="78" w:name="_Hlt26954734"/>
      <w:r/>
      <w:bookmarkEnd w:id="78"/>
      <w:r/>
      <w:bookmarkStart w:id="79" w:name="_Toc14577360"/>
      <w:r/>
      <w:bookmarkStart w:id="80" w:name="_Toc49090511"/>
      <w:r>
        <w:rPr>
          <w:rFonts w:hint="eastAsia" w:ascii="宋体" w:hAnsi="宋体" w:eastAsia="宋体"/>
          <w:bCs w:val="0"/>
          <w:i w:val="0"/>
          <w:iCs w:val="0"/>
          <w:color w:val="auto"/>
          <w:sz w:val="24"/>
          <w:szCs w:val="24"/>
          <w:highlight w:val="none"/>
        </w:rPr>
        <w:t xml:space="preserve">15.投标有效期</w:t>
      </w:r>
      <w:bookmarkEnd w:id="79"/>
      <w:r/>
      <w:bookmarkEnd w:id="80"/>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15.1</w:t>
      </w:r>
      <w:r>
        <w:rPr>
          <w:rFonts w:hint="eastAsia" w:ascii="宋体" w:hAnsi="宋体"/>
          <w:bCs/>
          <w:i w:val="0"/>
          <w:iCs w:val="0"/>
          <w:color w:val="auto"/>
          <w:sz w:val="24"/>
          <w:szCs w:val="24"/>
          <w:highlight w:val="none"/>
        </w:rPr>
        <w:t xml:space="preserve">投标有效期为招标文件规定的开标之日后</w:t>
      </w:r>
      <w:r>
        <w:rPr>
          <w:rFonts w:hint="eastAsia" w:ascii="宋体" w:hAnsi="宋体"/>
          <w:i w:val="0"/>
          <w:iCs w:val="0"/>
          <w:color w:val="auto"/>
          <w:sz w:val="24"/>
          <w:szCs w:val="24"/>
          <w:highlight w:val="none"/>
        </w:rPr>
        <w:t xml:space="preserve">九十（90）天</w:t>
      </w:r>
      <w:r>
        <w:rPr>
          <w:rFonts w:hint="eastAsia" w:ascii="宋体" w:hAnsi="宋体"/>
          <w:bCs/>
          <w:i w:val="0"/>
          <w:iCs w:val="0"/>
          <w:color w:val="auto"/>
          <w:sz w:val="24"/>
          <w:szCs w:val="24"/>
          <w:highlight w:val="none"/>
        </w:rPr>
        <w:t xml:space="preserve">。投标有效期比规定短的将被视为未实质性响应招标</w:t>
      </w:r>
      <w:r>
        <w:rPr>
          <w:rFonts w:ascii="宋体" w:hAnsi="宋体"/>
          <w:bCs/>
          <w:i w:val="0"/>
          <w:iCs w:val="0"/>
          <w:color w:val="auto"/>
          <w:sz w:val="24"/>
          <w:szCs w:val="24"/>
          <w:highlight w:val="none"/>
        </w:rPr>
        <w:t xml:space="preserve">文件</w:t>
      </w:r>
      <w:r>
        <w:rPr>
          <w:rFonts w:hint="eastAsia" w:ascii="宋体" w:hAnsi="宋体"/>
          <w:bCs/>
          <w:i w:val="0"/>
          <w:iCs w:val="0"/>
          <w:color w:val="auto"/>
          <w:sz w:val="24"/>
          <w:szCs w:val="24"/>
          <w:highlight w:val="none"/>
        </w:rPr>
        <w:t xml:space="preserve">而予以拒绝。</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16.投标有效期的延长</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16.1</w:t>
      </w:r>
      <w:r>
        <w:rPr>
          <w:rFonts w:hint="eastAsia" w:ascii="宋体" w:hAnsi="宋体"/>
          <w:bCs/>
          <w:i w:val="0"/>
          <w:iCs w:val="0"/>
          <w:color w:val="auto"/>
          <w:sz w:val="24"/>
          <w:szCs w:val="24"/>
          <w:highlight w:val="none"/>
        </w:rPr>
        <w:t xml:space="preserve">在特殊情况下，</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的这一要求而放弃投标</w:t>
      </w:r>
      <w:r>
        <w:rPr>
          <w:rFonts w:hint="eastAsia" w:ascii="宋体" w:hAnsi="宋体"/>
          <w:i w:val="0"/>
          <w:iCs w:val="0"/>
          <w:color w:val="auto"/>
          <w:sz w:val="24"/>
          <w:szCs w:val="24"/>
          <w:highlight w:val="none"/>
        </w:rPr>
        <w:t xml:space="preserve">。</w:t>
      </w:r>
      <w:r>
        <w:rPr>
          <w:rFonts w:hint="eastAsia" w:ascii="宋体" w:hAnsi="宋体"/>
          <w:bCs/>
          <w:i w:val="0"/>
          <w:iCs w:val="0"/>
          <w:color w:val="auto"/>
          <w:sz w:val="24"/>
          <w:szCs w:val="24"/>
          <w:highlight w:val="none"/>
        </w:rPr>
        <w:t xml:space="preserve">同意延长投标有效期的投标人既不能要求也不允许修改其投标文件</w:t>
      </w:r>
      <w:r>
        <w:rPr>
          <w:rFonts w:hint="eastAsia" w:ascii="宋体" w:hAnsi="宋体"/>
          <w:i w:val="0"/>
          <w:iCs w:val="0"/>
          <w:color w:val="auto"/>
          <w:sz w:val="24"/>
          <w:szCs w:val="24"/>
          <w:highlight w:val="none"/>
        </w:rPr>
        <w:t xml:space="preserve">，同时受投标有效期约束的所有权利与义务均延长至新的有效期</w:t>
      </w:r>
      <w:r>
        <w:rPr>
          <w:rFonts w:hint="eastAsia" w:ascii="宋体" w:hAnsi="宋体"/>
          <w:bCs/>
          <w:i w:val="0"/>
          <w:iCs w:val="0"/>
          <w:color w:val="auto"/>
          <w:sz w:val="24"/>
          <w:szCs w:val="24"/>
          <w:highlight w:val="none"/>
        </w:rPr>
        <w:t xml:space="preserve">。</w:t>
      </w:r>
      <w:r/>
    </w:p>
    <w:p>
      <w:pPr>
        <w:pStyle w:val="1052"/>
        <w:jc w:val="center"/>
        <w:keepLines w:val="0"/>
        <w:keepNext w:val="0"/>
        <w:spacing w:before="0" w:after="0" w:line="500" w:lineRule="exact"/>
        <w:rPr>
          <w:rFonts w:hint="eastAsia"/>
          <w:i w:val="0"/>
          <w:iCs w:val="0"/>
          <w:color w:val="auto"/>
          <w:sz w:val="32"/>
          <w:szCs w:val="32"/>
          <w:highlight w:val="none"/>
        </w:rPr>
      </w:pPr>
      <w:r/>
      <w:bookmarkStart w:id="81" w:name="_Hlt26954739"/>
      <w:r/>
      <w:bookmarkEnd w:id="81"/>
      <w:r/>
      <w:bookmarkStart w:id="82" w:name="_Hlt26954852"/>
      <w:r/>
      <w:bookmarkEnd w:id="82"/>
      <w:r/>
      <w:bookmarkStart w:id="83" w:name="_Toc513029224"/>
      <w:r/>
      <w:bookmarkStart w:id="84" w:name="_Toc16938540"/>
      <w:r/>
      <w:bookmarkStart w:id="85" w:name="_Toc20823296"/>
      <w:r/>
      <w:bookmarkStart w:id="86" w:name="_Toc120614217"/>
      <w:r>
        <w:rPr>
          <w:rFonts w:hint="eastAsia"/>
          <w:i w:val="0"/>
          <w:iCs w:val="0"/>
          <w:color w:val="auto"/>
          <w:sz w:val="32"/>
          <w:szCs w:val="32"/>
          <w:highlight w:val="none"/>
        </w:rPr>
        <w:t xml:space="preserve">四、投标文件的递交</w:t>
      </w:r>
      <w:bookmarkEnd w:id="83"/>
      <w:r/>
      <w:bookmarkEnd w:id="84"/>
      <w:r/>
      <w:bookmarkEnd w:id="85"/>
      <w:r/>
      <w:bookmarkEnd w:id="86"/>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87" w:name="_Toc462564084"/>
      <w:r/>
      <w:bookmarkStart w:id="88" w:name="_Toc16938541"/>
      <w:r/>
      <w:bookmarkStart w:id="89" w:name="_Toc513029225"/>
      <w:r/>
      <w:bookmarkStart w:id="90" w:name="_Toc20823297"/>
      <w:r>
        <w:rPr>
          <w:rFonts w:hint="eastAsia" w:ascii="宋体" w:hAnsi="宋体" w:eastAsia="宋体"/>
          <w:bCs w:val="0"/>
          <w:i w:val="0"/>
          <w:iCs w:val="0"/>
          <w:color w:val="auto"/>
          <w:sz w:val="24"/>
          <w:szCs w:val="24"/>
          <w:highlight w:val="none"/>
        </w:rPr>
        <w:t xml:space="preserve">17.投标文件</w:t>
      </w:r>
      <w:bookmarkEnd w:id="87"/>
      <w:r/>
      <w:bookmarkEnd w:id="88"/>
      <w:r/>
      <w:bookmarkEnd w:id="89"/>
      <w:r/>
      <w:bookmarkEnd w:id="90"/>
      <w:r>
        <w:rPr>
          <w:rFonts w:hint="eastAsia" w:ascii="宋体" w:hAnsi="宋体" w:eastAsia="宋体"/>
          <w:bCs w:val="0"/>
          <w:i w:val="0"/>
          <w:iCs w:val="0"/>
          <w:color w:val="auto"/>
          <w:sz w:val="24"/>
          <w:szCs w:val="24"/>
          <w:highlight w:val="none"/>
        </w:rPr>
        <w:t xml:space="preserve">的递交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17.1</w:t>
      </w:r>
      <w:r>
        <w:rPr>
          <w:rFonts w:hint="eastAsia" w:ascii="宋体" w:hAnsi="宋体"/>
          <w:bCs/>
          <w:i w:val="0"/>
          <w:iCs w:val="0"/>
          <w:color w:val="auto"/>
          <w:sz w:val="24"/>
          <w:szCs w:val="24"/>
          <w:highlight w:val="none"/>
        </w:rPr>
        <w:t xml:space="preserve">电子投标文件的递交</w:t>
      </w:r>
      <w:r/>
    </w:p>
    <w:p>
      <w:pPr>
        <w:pStyle w:val="1185"/>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投标人应当按照《操作手册》规定，在投标截止时间前</w:t>
      </w:r>
      <w:r>
        <w:rPr>
          <w:rFonts w:ascii="宋体" w:hAnsi="宋体"/>
          <w:bCs/>
          <w:i w:val="0"/>
          <w:iCs w:val="0"/>
          <w:color w:val="auto"/>
          <w:sz w:val="24"/>
          <w:szCs w:val="24"/>
          <w:highlight w:val="none"/>
        </w:rPr>
        <w:t xml:space="preserve">制作</w:t>
      </w:r>
      <w:r>
        <w:rPr>
          <w:rFonts w:hint="eastAsia" w:ascii="宋体" w:hAnsi="宋体"/>
          <w:bCs/>
          <w:i w:val="0"/>
          <w:iCs w:val="0"/>
          <w:color w:val="auto"/>
          <w:sz w:val="24"/>
          <w:szCs w:val="24"/>
          <w:highlight w:val="none"/>
        </w:rPr>
        <w:t xml:space="preserve">并上传电子投标文件。</w:t>
      </w:r>
      <w:bookmarkStart w:id="91" w:name="_Toc20823298"/>
      <w:r/>
      <w:bookmarkStart w:id="92" w:name="_Toc16938542"/>
      <w:r/>
      <w:bookmarkStart w:id="93" w:name="_Toc513029226"/>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18.投标截止</w:t>
      </w:r>
      <w:bookmarkEnd w:id="91"/>
      <w:r/>
      <w:bookmarkEnd w:id="92"/>
      <w:r/>
      <w:bookmarkEnd w:id="93"/>
      <w:r>
        <w:rPr>
          <w:rFonts w:hint="eastAsia" w:ascii="宋体" w:hAnsi="宋体" w:eastAsia="宋体"/>
          <w:bCs w:val="0"/>
          <w:i w:val="0"/>
          <w:iCs w:val="0"/>
          <w:color w:val="auto"/>
          <w:sz w:val="24"/>
          <w:szCs w:val="24"/>
          <w:highlight w:val="none"/>
        </w:rPr>
        <w:t xml:space="preserve">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18.1</w:t>
      </w:r>
      <w:r>
        <w:rPr>
          <w:rFonts w:hint="eastAsia" w:ascii="宋体" w:hAnsi="宋体"/>
          <w:bCs/>
          <w:i w:val="0"/>
          <w:iCs w:val="0"/>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18.2</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4" w:name="_Toc16938543"/>
      <w:r/>
      <w:bookmarkStart w:id="95" w:name="_Toc513029227"/>
      <w:r/>
      <w:bookmarkStart w:id="96" w:name="_Toc20823299"/>
      <w:r>
        <w:rPr>
          <w:rFonts w:hint="eastAsia" w:ascii="宋体" w:hAnsi="宋体" w:eastAsia="宋体"/>
          <w:bCs w:val="0"/>
          <w:i w:val="0"/>
          <w:iCs w:val="0"/>
          <w:color w:val="auto"/>
          <w:sz w:val="24"/>
          <w:szCs w:val="24"/>
          <w:highlight w:val="none"/>
        </w:rPr>
        <w:t xml:space="preserve">19.投标文件</w:t>
      </w:r>
      <w:bookmarkEnd w:id="94"/>
      <w:r/>
      <w:bookmarkEnd w:id="95"/>
      <w:r/>
      <w:bookmarkEnd w:id="96"/>
      <w:r>
        <w:rPr>
          <w:rFonts w:hint="eastAsia" w:ascii="宋体" w:hAnsi="宋体" w:eastAsia="宋体"/>
          <w:bCs w:val="0"/>
          <w:i w:val="0"/>
          <w:iCs w:val="0"/>
          <w:color w:val="auto"/>
          <w:sz w:val="24"/>
          <w:szCs w:val="24"/>
          <w:highlight w:val="none"/>
        </w:rPr>
        <w:t xml:space="preserve">的拒收</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19.1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拒绝接收在其规定的投标截止时间后上传的任何投标文件。</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97" w:name="_Toc20823300"/>
      <w:r/>
      <w:bookmarkStart w:id="98" w:name="_Toc513029228"/>
      <w:r/>
      <w:bookmarkStart w:id="99" w:name="_Toc16938544"/>
      <w:r>
        <w:rPr>
          <w:rFonts w:hint="eastAsia" w:ascii="宋体" w:hAnsi="宋体" w:eastAsia="宋体"/>
          <w:bCs w:val="0"/>
          <w:i w:val="0"/>
          <w:iCs w:val="0"/>
          <w:color w:val="auto"/>
          <w:sz w:val="24"/>
          <w:szCs w:val="24"/>
          <w:highlight w:val="none"/>
        </w:rPr>
        <w:t xml:space="preserve">20.投标文件的撤回和修改</w:t>
      </w:r>
      <w:bookmarkEnd w:id="97"/>
      <w:r/>
      <w:bookmarkEnd w:id="98"/>
      <w:r/>
      <w:bookmarkEnd w:id="99"/>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20.1投标文件的撤回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21.1.1电子投标文件的撤回</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21.1.</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20.2投标文件的修改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20.2.2</w:t>
      </w:r>
      <w:r>
        <w:rPr>
          <w:rFonts w:hint="eastAsia" w:ascii="宋体" w:hAnsi="宋体"/>
          <w:bCs/>
          <w:i w:val="0"/>
          <w:iCs w:val="0"/>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20.3</w:t>
      </w:r>
      <w:r>
        <w:rPr>
          <w:rFonts w:hint="eastAsia" w:ascii="宋体" w:hAnsi="宋体"/>
          <w:bCs/>
          <w:i w:val="0"/>
          <w:iCs w:val="0"/>
          <w:color w:val="auto"/>
          <w:sz w:val="24"/>
          <w:szCs w:val="24"/>
          <w:highlight w:val="none"/>
        </w:rPr>
        <w:t xml:space="preserve">在投标截止时间至招标文件中规定的投标有效期满之间的这段时间内，投标人不得撤回其投标。</w:t>
      </w:r>
      <w:r/>
    </w:p>
    <w:p>
      <w:pPr>
        <w:pStyle w:val="1052"/>
        <w:jc w:val="center"/>
        <w:keepLines w:val="0"/>
        <w:keepNext w:val="0"/>
        <w:spacing w:before="0" w:after="0" w:line="500" w:lineRule="exact"/>
        <w:rPr>
          <w:rFonts w:hint="eastAsia"/>
          <w:i w:val="0"/>
          <w:iCs w:val="0"/>
          <w:color w:val="auto"/>
          <w:sz w:val="32"/>
          <w:szCs w:val="32"/>
          <w:highlight w:val="none"/>
        </w:rPr>
      </w:pPr>
      <w:r/>
      <w:bookmarkStart w:id="100" w:name="_Toc120614218"/>
      <w:r/>
      <w:bookmarkStart w:id="101" w:name="_Toc16938545"/>
      <w:r/>
      <w:bookmarkStart w:id="102" w:name="_Toc20823301"/>
      <w:r/>
      <w:bookmarkStart w:id="103" w:name="_Toc513029229"/>
      <w:r>
        <w:rPr>
          <w:rFonts w:hint="eastAsia"/>
          <w:i w:val="0"/>
          <w:iCs w:val="0"/>
          <w:color w:val="auto"/>
          <w:sz w:val="32"/>
          <w:szCs w:val="32"/>
          <w:highlight w:val="none"/>
        </w:rPr>
        <w:t xml:space="preserve">五、开标与评标</w:t>
      </w:r>
      <w:bookmarkEnd w:id="100"/>
      <w:r/>
      <w:bookmarkEnd w:id="101"/>
      <w:r/>
      <w:bookmarkEnd w:id="102"/>
      <w:r/>
      <w:bookmarkEnd w:id="103"/>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4" w:name="_Toc20823302"/>
      <w:r/>
      <w:bookmarkStart w:id="105" w:name="_Toc513029230"/>
      <w:r/>
      <w:bookmarkStart w:id="106" w:name="_Toc16938546"/>
      <w:r>
        <w:rPr>
          <w:rFonts w:hint="eastAsia" w:ascii="宋体" w:hAnsi="宋体" w:eastAsia="宋体"/>
          <w:bCs w:val="0"/>
          <w:i w:val="0"/>
          <w:iCs w:val="0"/>
          <w:color w:val="auto"/>
          <w:sz w:val="24"/>
          <w:szCs w:val="24"/>
          <w:highlight w:val="none"/>
        </w:rPr>
        <w:t xml:space="preserve">21.开标</w:t>
      </w:r>
      <w:bookmarkEnd w:id="104"/>
      <w:r/>
      <w:bookmarkEnd w:id="105"/>
      <w:r/>
      <w:bookmarkEnd w:id="106"/>
      <w:r/>
      <w:r/>
    </w:p>
    <w:p>
      <w:pPr>
        <w:ind w:firstLine="480"/>
        <w:spacing w:line="500" w:lineRule="exact"/>
        <w:rPr>
          <w:rFonts w:hint="eastAsia"/>
          <w:i w:val="0"/>
          <w:iCs w:val="0"/>
          <w:color w:val="auto"/>
          <w:sz w:val="24"/>
          <w:szCs w:val="24"/>
          <w:highlight w:val="none"/>
        </w:rPr>
      </w:pPr>
      <w:r>
        <w:rPr>
          <w:rFonts w:hint="eastAsia" w:ascii="宋体" w:hAnsi="宋体"/>
          <w:i w:val="0"/>
          <w:iCs w:val="0"/>
          <w:color w:val="auto"/>
          <w:sz w:val="24"/>
          <w:szCs w:val="24"/>
          <w:highlight w:val="none"/>
        </w:rPr>
        <w:t xml:space="preserve">21.1</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将在招标公告中规定的时间和地点组织公开开标</w:t>
      </w:r>
      <w:r>
        <w:rPr>
          <w:rFonts w:hint="eastAsia" w:ascii="宋体" w:hAnsi="宋体"/>
          <w:i w:val="0"/>
          <w:iCs w:val="0"/>
          <w:color w:val="auto"/>
          <w:sz w:val="24"/>
          <w:szCs w:val="24"/>
          <w:highlight w:val="none"/>
        </w:rPr>
        <w:t xml:space="preserve">。投标人应当按照《操作手册》规定，</w:t>
      </w:r>
      <w:r>
        <w:rPr>
          <w:rFonts w:ascii="宋体" w:hAnsi="宋体"/>
          <w:i w:val="0"/>
          <w:iCs w:val="0"/>
          <w:color w:val="auto"/>
          <w:sz w:val="24"/>
          <w:szCs w:val="24"/>
          <w:highlight w:val="none"/>
        </w:rPr>
        <w:t xml:space="preserve">参加开标活动</w:t>
      </w:r>
      <w:r>
        <w:rPr>
          <w:rFonts w:hint="eastAsia" w:ascii="宋体" w:hAnsi="宋体"/>
          <w:i w:val="0"/>
          <w:iCs w:val="0"/>
          <w:color w:val="auto"/>
          <w:sz w:val="24"/>
          <w:szCs w:val="24"/>
          <w:highlight w:val="none"/>
        </w:rPr>
        <w:t xml:space="preserve">和在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规定的时间内对投标文件进行解密。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21.2开标仪式由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组织。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将自动对</w:t>
      </w:r>
      <w:r>
        <w:rPr>
          <w:rFonts w:ascii="宋体" w:hAnsi="宋体"/>
          <w:i w:val="0"/>
          <w:iCs w:val="0"/>
          <w:color w:val="auto"/>
          <w:sz w:val="24"/>
          <w:szCs w:val="24"/>
          <w:highlight w:val="none"/>
        </w:rPr>
        <w:t xml:space="preserve">项目进行开标，并</w:t>
      </w:r>
      <w:r>
        <w:rPr>
          <w:rFonts w:hint="eastAsia" w:ascii="宋体" w:hAnsi="宋体"/>
          <w:i w:val="0"/>
          <w:iCs w:val="0"/>
          <w:color w:val="auto"/>
          <w:sz w:val="24"/>
          <w:szCs w:val="24"/>
          <w:highlight w:val="none"/>
        </w:rPr>
        <w:t xml:space="preserve">宣布各</w:t>
      </w:r>
      <w:r>
        <w:rPr>
          <w:rFonts w:ascii="宋体" w:hAnsi="宋体"/>
          <w:i w:val="0"/>
          <w:iCs w:val="0"/>
          <w:color w:val="auto"/>
          <w:sz w:val="24"/>
          <w:szCs w:val="24"/>
          <w:highlight w:val="none"/>
        </w:rPr>
        <w:t xml:space="preserve">投标人</w:t>
      </w:r>
      <w:r>
        <w:rPr>
          <w:rFonts w:hint="eastAsia" w:ascii="宋体" w:hAnsi="宋体"/>
          <w:i w:val="0"/>
          <w:iCs w:val="0"/>
          <w:color w:val="auto"/>
          <w:sz w:val="24"/>
          <w:szCs w:val="24"/>
          <w:highlight w:val="none"/>
        </w:rPr>
        <w:t xml:space="preserve">名称和投标价格。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21.4投标人如果对开标过程和开标记录有疑义，应当根据《操作手册》规定提出，如</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中《开标记录表》宣布后5分钟内未提出的，视同认可开标结果。</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07" w:name="_Toc513029231"/>
      <w:r/>
      <w:bookmarkStart w:id="108" w:name="_Toc20823303"/>
      <w:r/>
      <w:bookmarkStart w:id="109" w:name="_Toc16938547"/>
      <w:r>
        <w:rPr>
          <w:rFonts w:hint="eastAsia" w:ascii="宋体" w:hAnsi="宋体" w:eastAsia="宋体"/>
          <w:bCs w:val="0"/>
          <w:i w:val="0"/>
          <w:iCs w:val="0"/>
          <w:color w:val="auto"/>
          <w:sz w:val="24"/>
          <w:szCs w:val="24"/>
          <w:highlight w:val="none"/>
        </w:rPr>
        <w:t xml:space="preserve">22.评标委员会</w:t>
      </w:r>
      <w:r/>
    </w:p>
    <w:p>
      <w:pPr>
        <w:ind w:firstLine="480"/>
        <w:spacing w:line="500" w:lineRule="exact"/>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 xml:space="preserve">22.1开标后，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将立即组织评标委员会（以下简称评委会）进行评标。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22.3评委会独立工作，负责评审所有投标文件并确定中标</w:t>
      </w:r>
      <w:r>
        <w:rPr>
          <w:rFonts w:hint="eastAsia" w:ascii="宋体" w:hAnsi="宋体"/>
          <w:i w:val="0"/>
          <w:iCs w:val="0"/>
          <w:color w:val="auto"/>
          <w:sz w:val="24"/>
          <w:szCs w:val="24"/>
          <w:highlight w:val="none"/>
          <w:lang w:eastAsia="zh-CN"/>
        </w:rPr>
        <w:t xml:space="preserve">候</w:t>
      </w:r>
      <w:r>
        <w:rPr>
          <w:rFonts w:hint="eastAsia" w:ascii="宋体" w:hAnsi="宋体"/>
          <w:i w:val="0"/>
          <w:iCs w:val="0"/>
          <w:color w:val="auto"/>
          <w:sz w:val="24"/>
          <w:szCs w:val="24"/>
          <w:highlight w:val="none"/>
        </w:rPr>
        <w:t xml:space="preserve">选人。</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23.评标过程的保密与公正</w:t>
      </w:r>
      <w:bookmarkEnd w:id="107"/>
      <w:bookmarkEnd w:id="108"/>
      <w:bookmarkEnd w:id="109"/>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23.1</w:t>
      </w:r>
      <w:r>
        <w:rPr>
          <w:rFonts w:hint="eastAsia" w:ascii="宋体" w:hAnsi="宋体"/>
          <w:bCs/>
          <w:i w:val="0"/>
          <w:iCs w:val="0"/>
          <w:color w:val="auto"/>
          <w:sz w:val="24"/>
          <w:szCs w:val="24"/>
          <w:highlight w:val="none"/>
        </w:rPr>
        <w:t xml:space="preserve">凡是与审查、澄清、评价和比较投标的有关资料以及授标建议等，采购人、评委、</w:t>
      </w:r>
      <w:r>
        <w:rPr>
          <w:rFonts w:hint="eastAsia" w:ascii="宋体" w:hAnsi="宋体"/>
          <w:bCs/>
          <w:i w:val="0"/>
          <w:iCs w:val="0"/>
          <w:color w:val="auto"/>
          <w:sz w:val="24"/>
          <w:szCs w:val="24"/>
          <w:highlight w:val="none"/>
          <w:lang w:eastAsia="zh-CN"/>
        </w:rPr>
        <w:t xml:space="preserve">采购中心</w:t>
      </w:r>
      <w:r>
        <w:rPr>
          <w:rFonts w:hint="eastAsia" w:ascii="宋体" w:hAnsi="宋体"/>
          <w:bCs/>
          <w:i w:val="0"/>
          <w:iCs w:val="0"/>
          <w:color w:val="auto"/>
          <w:sz w:val="24"/>
          <w:szCs w:val="24"/>
          <w:highlight w:val="none"/>
        </w:rPr>
        <w:t xml:space="preserve">均不得向投标人或与评标无关的其他人员透露。</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w:t>
      </w:r>
      <w:r>
        <w:rPr>
          <w:rFonts w:ascii="宋体" w:hAnsi="宋体"/>
          <w:i w:val="0"/>
          <w:iCs w:val="0"/>
          <w:color w:val="auto"/>
          <w:sz w:val="24"/>
          <w:szCs w:val="24"/>
          <w:highlight w:val="none"/>
        </w:rPr>
        <w:t xml:space="preserve">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23.4采用综合评分法的项目，未中标的投标人可于中标结果公告发布后通过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查看自己的评审得分及排序情况。</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0" w:name="_Toc513029232"/>
      <w:r/>
      <w:bookmarkStart w:id="111" w:name="_Toc16938548"/>
      <w:r/>
      <w:bookmarkStart w:id="112" w:name="_Toc20823304"/>
      <w:r>
        <w:rPr>
          <w:rFonts w:hint="eastAsia" w:ascii="宋体" w:hAnsi="宋体" w:eastAsia="宋体"/>
          <w:bCs w:val="0"/>
          <w:i w:val="0"/>
          <w:iCs w:val="0"/>
          <w:color w:val="auto"/>
          <w:sz w:val="24"/>
          <w:szCs w:val="24"/>
          <w:highlight w:val="none"/>
        </w:rPr>
        <w:t xml:space="preserve">24.投标文件的澄清</w:t>
      </w:r>
      <w:bookmarkEnd w:id="110"/>
      <w:r/>
      <w:bookmarkEnd w:id="111"/>
      <w:r/>
      <w:bookmarkEnd w:id="112"/>
      <w:r/>
      <w:r/>
    </w:p>
    <w:p>
      <w:pPr>
        <w:ind w:firstLine="480"/>
        <w:spacing w:line="500" w:lineRule="exact"/>
        <w:rPr>
          <w:rFonts w:ascii="宋体" w:hAnsi="宋体"/>
          <w:i w:val="0"/>
          <w:iCs w:val="0"/>
          <w:color w:val="auto"/>
          <w:sz w:val="24"/>
          <w:szCs w:val="24"/>
          <w:highlight w:val="none"/>
        </w:rPr>
      </w:pP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4.</w:t>
      </w:r>
      <w:r>
        <w:rPr>
          <w:rFonts w:ascii="宋体" w:hAnsi="宋体"/>
          <w:i w:val="0"/>
          <w:iCs w:val="0"/>
          <w:color w:val="auto"/>
          <w:sz w:val="24"/>
          <w:szCs w:val="24"/>
          <w:highlight w:val="none"/>
        </w:rPr>
        <w:t xml:space="preserve">1</w:t>
      </w:r>
      <w:r>
        <w:rPr>
          <w:rFonts w:hint="eastAsia" w:ascii="宋体" w:hAnsi="宋体"/>
          <w:i w:val="0"/>
          <w:iCs w:val="0"/>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评标</w:t>
      </w:r>
      <w:r>
        <w:rPr>
          <w:rFonts w:ascii="宋体" w:hAnsi="宋体"/>
          <w:i w:val="0"/>
          <w:iCs w:val="0"/>
          <w:color w:val="auto"/>
          <w:sz w:val="24"/>
          <w:szCs w:val="24"/>
          <w:highlight w:val="none"/>
        </w:rPr>
        <w:t xml:space="preserve">委员会并非对每个投标人都做澄清要求</w:t>
      </w:r>
      <w:r>
        <w:rPr>
          <w:rFonts w:hint="eastAsia" w:ascii="宋体" w:hAnsi="宋体"/>
          <w:i w:val="0"/>
          <w:iCs w:val="0"/>
          <w:color w:val="auto"/>
          <w:sz w:val="24"/>
          <w:szCs w:val="24"/>
          <w:highlight w:val="none"/>
        </w:rPr>
        <w:t xml:space="preserve">。</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24.2需要供应商进行澄清、说明和补正的，评委会将通过</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向供应商发出“澄清要求函”，接到“澄清要求函”的投标人应当按照要求在</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24.3接到评委会澄清、说明和补正要求的投标人如未按规定做出澄清、说明和补正，其风险由投标人自行承担。</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13" w:name="_Toc16938549"/>
      <w:r/>
      <w:bookmarkStart w:id="114" w:name="_Toc20823305"/>
      <w:r/>
      <w:bookmarkStart w:id="115" w:name="_Toc513029233"/>
      <w:r>
        <w:rPr>
          <w:rFonts w:hint="eastAsia" w:ascii="宋体" w:hAnsi="宋体" w:eastAsia="宋体"/>
          <w:bCs w:val="0"/>
          <w:i w:val="0"/>
          <w:iCs w:val="0"/>
          <w:color w:val="auto"/>
          <w:sz w:val="24"/>
          <w:szCs w:val="24"/>
          <w:highlight w:val="none"/>
        </w:rPr>
        <w:t xml:space="preserve">25.对投标文件的初审</w:t>
      </w:r>
      <w:bookmarkEnd w:id="113"/>
      <w:r/>
      <w:bookmarkEnd w:id="114"/>
      <w:r/>
      <w:bookmarkEnd w:id="115"/>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25.1</w:t>
      </w:r>
      <w:r>
        <w:rPr>
          <w:rFonts w:hint="eastAsia" w:ascii="宋体" w:hAnsi="宋体"/>
          <w:bCs/>
          <w:i w:val="0"/>
          <w:iCs w:val="0"/>
          <w:color w:val="auto"/>
          <w:sz w:val="24"/>
          <w:szCs w:val="24"/>
          <w:highlight w:val="none"/>
        </w:rPr>
        <w:t xml:space="preserve">投标文件初审分为资格审查和符合性审查。</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 xml:space="preserve">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 xml:space="preserve">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中国政府采购网(www.ccgp.gov.cn)</w:t>
      </w:r>
      <w:r>
        <w:rPr>
          <w:rFonts w:hint="eastAsia" w:ascii="宋体" w:hAnsi="宋体" w:cs="宋体"/>
          <w:bCs/>
          <w:i w:val="0"/>
          <w:iCs w:val="0"/>
          <w:color w:val="auto"/>
          <w:sz w:val="24"/>
          <w:szCs w:val="24"/>
          <w:highlight w:val="none"/>
        </w:rPr>
        <w:t xml:space="preserve">查询投标供应商在投标截止时间之前，是否被列入</w:t>
      </w:r>
      <w:r>
        <w:rPr>
          <w:rFonts w:hint="eastAsia" w:ascii="宋体" w:hAnsi="宋体" w:cs="宋体"/>
          <w:i w:val="0"/>
          <w:iCs w:val="0"/>
          <w:color w:val="auto"/>
          <w:sz w:val="24"/>
          <w:szCs w:val="24"/>
          <w:highlight w:val="none"/>
        </w:rPr>
        <w:t xml:space="preserve">失信被执行人、重大税收违法案件当事人名单、政府采购严重违法失信行为记录名单，</w:t>
      </w:r>
      <w:r>
        <w:rPr>
          <w:rFonts w:hint="eastAsia" w:ascii="宋体" w:hAnsi="宋体" w:cs="宋体"/>
          <w:bCs/>
          <w:i w:val="0"/>
          <w:iCs w:val="0"/>
          <w:color w:val="auto"/>
          <w:sz w:val="24"/>
          <w:szCs w:val="24"/>
          <w:highlight w:val="none"/>
        </w:rPr>
        <w:t xml:space="preserve">以确定投标供应商是否具备投标资格。</w:t>
      </w:r>
      <w:r>
        <w:rPr>
          <w:rFonts w:hint="eastAsia" w:ascii="宋体" w:hAnsi="宋体" w:cs="宋体"/>
          <w:i w:val="0"/>
          <w:iCs w:val="0"/>
          <w:color w:val="auto"/>
          <w:sz w:val="24"/>
          <w:szCs w:val="24"/>
          <w:highlight w:val="none"/>
        </w:rPr>
        <w:t xml:space="preserve">查询结果留存并归档。</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25.</w:t>
      </w:r>
      <w:r>
        <w:rPr>
          <w:rFonts w:ascii="宋体" w:hAnsi="宋体"/>
          <w:bCs/>
          <w:i w:val="0"/>
          <w:iCs w:val="0"/>
          <w:color w:val="auto"/>
          <w:sz w:val="24"/>
          <w:szCs w:val="24"/>
          <w:highlight w:val="none"/>
        </w:rPr>
        <w:t xml:space="preserve">1.</w:t>
      </w:r>
      <w:r>
        <w:rPr>
          <w:rFonts w:hint="eastAsia" w:ascii="宋体" w:hAnsi="宋体"/>
          <w:bCs/>
          <w:i w:val="0"/>
          <w:iCs w:val="0"/>
          <w:color w:val="auto"/>
          <w:sz w:val="24"/>
          <w:szCs w:val="24"/>
          <w:highlight w:val="none"/>
        </w:rPr>
        <w:t xml:space="preserve">3未通过资格审查或符合性审查的投标人，将在“苏采云”系统中告知未通过资格审查或符合性审查的原因，</w:t>
      </w:r>
      <w:r>
        <w:rPr>
          <w:rFonts w:ascii="宋体" w:hAnsi="宋体"/>
          <w:bCs/>
          <w:i w:val="0"/>
          <w:iCs w:val="0"/>
          <w:color w:val="auto"/>
          <w:sz w:val="24"/>
          <w:szCs w:val="24"/>
          <w:highlight w:val="none"/>
        </w:rPr>
        <w:t xml:space="preserve">评标结束后，将不再告知未通过资格审查和</w:t>
      </w:r>
      <w:r>
        <w:rPr>
          <w:rFonts w:hint="eastAsia" w:ascii="宋体" w:hAnsi="宋体"/>
          <w:bCs/>
          <w:i w:val="0"/>
          <w:iCs w:val="0"/>
          <w:color w:val="auto"/>
          <w:sz w:val="24"/>
          <w:szCs w:val="24"/>
          <w:highlight w:val="none"/>
        </w:rPr>
        <w:t xml:space="preserve">符合性</w:t>
      </w:r>
      <w:r>
        <w:rPr>
          <w:rFonts w:ascii="宋体" w:hAnsi="宋体"/>
          <w:bCs/>
          <w:i w:val="0"/>
          <w:iCs w:val="0"/>
          <w:color w:val="auto"/>
          <w:sz w:val="24"/>
          <w:szCs w:val="24"/>
          <w:highlight w:val="none"/>
        </w:rPr>
        <w:t xml:space="preserve">审查的原因。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w:t>
      </w:r>
      <w:r>
        <w:rPr>
          <w:rFonts w:ascii="宋体" w:hAnsi="宋体"/>
          <w:i w:val="0"/>
          <w:iCs w:val="0"/>
          <w:color w:val="auto"/>
          <w:sz w:val="24"/>
          <w:szCs w:val="24"/>
          <w:highlight w:val="none"/>
        </w:rPr>
        <w:t xml:space="preserve">5</w:t>
      </w:r>
      <w:r>
        <w:rPr>
          <w:rFonts w:hint="eastAsia" w:ascii="宋体" w:hAnsi="宋体"/>
          <w:i w:val="0"/>
          <w:iCs w:val="0"/>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4</w:t>
      </w:r>
      <w:r>
        <w:rPr>
          <w:rFonts w:hint="eastAsia" w:ascii="宋体" w:hAnsi="宋体"/>
          <w:bCs/>
          <w:i w:val="0"/>
          <w:iCs w:val="0"/>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（2）大写金额和小写金额不一致的，以大写金额为准。</w:t>
      </w:r>
      <w:r/>
    </w:p>
    <w:p>
      <w:pPr>
        <w:ind w:firstLine="480"/>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同时出现两种以上错误的，按照前款规定的顺序修正。</w:t>
      </w:r>
      <w:r/>
    </w:p>
    <w:p>
      <w:pPr>
        <w:ind w:firstLine="480"/>
        <w:spacing w:line="500" w:lineRule="exact"/>
        <w:rPr>
          <w:rFonts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25.</w:t>
      </w:r>
      <w:r>
        <w:rPr>
          <w:rFonts w:ascii="宋体" w:hAnsi="宋体"/>
          <w:i w:val="0"/>
          <w:iCs w:val="0"/>
          <w:color w:val="auto"/>
          <w:sz w:val="24"/>
          <w:szCs w:val="24"/>
          <w:highlight w:val="none"/>
        </w:rPr>
        <w:t xml:space="preserve">5</w:t>
      </w:r>
      <w:r>
        <w:rPr>
          <w:rFonts w:hint="eastAsia" w:ascii="宋体" w:hAnsi="宋体"/>
          <w:bCs/>
          <w:i w:val="0"/>
          <w:iCs w:val="0"/>
          <w:color w:val="auto"/>
          <w:sz w:val="24"/>
          <w:szCs w:val="24"/>
          <w:highlight w:val="none"/>
        </w:rPr>
        <w:t xml:space="preserve">评委会将按上述修正错误的方法调整投标文件中的投标报价，并</w:t>
      </w:r>
      <w:r>
        <w:rPr>
          <w:rFonts w:ascii="宋体" w:hAnsi="宋体"/>
          <w:bCs/>
          <w:i w:val="0"/>
          <w:iCs w:val="0"/>
          <w:color w:val="auto"/>
          <w:sz w:val="24"/>
          <w:szCs w:val="24"/>
          <w:highlight w:val="none"/>
        </w:rPr>
        <w:t xml:space="preserve">通过</w:t>
      </w:r>
      <w:r>
        <w:rPr>
          <w:rFonts w:hint="eastAsia" w:ascii="宋体" w:hAnsi="宋体"/>
          <w:bCs/>
          <w:i w:val="0"/>
          <w:iCs w:val="0"/>
          <w:color w:val="auto"/>
          <w:sz w:val="24"/>
          <w:szCs w:val="24"/>
          <w:highlight w:val="none"/>
        </w:rPr>
        <w:t xml:space="preserve">“苏采云”系统告知</w:t>
      </w:r>
      <w:r>
        <w:rPr>
          <w:rFonts w:ascii="宋体" w:hAnsi="宋体"/>
          <w:bCs/>
          <w:i w:val="0"/>
          <w:iCs w:val="0"/>
          <w:color w:val="auto"/>
          <w:sz w:val="24"/>
          <w:szCs w:val="24"/>
          <w:highlight w:val="none"/>
        </w:rPr>
        <w:t xml:space="preserve">投标人，</w:t>
      </w:r>
      <w:r>
        <w:rPr>
          <w:rFonts w:hint="eastAsia" w:ascii="宋体" w:hAnsi="宋体"/>
          <w:bCs/>
          <w:i w:val="0"/>
          <w:iCs w:val="0"/>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auto"/>
          <w:sz w:val="24"/>
          <w:szCs w:val="24"/>
          <w:highlight w:val="none"/>
        </w:rPr>
      </w:pPr>
      <w:r/>
      <w:bookmarkStart w:id="116" w:name="_Toc16938550"/>
      <w:r/>
      <w:bookmarkStart w:id="117" w:name="_Toc513029234"/>
      <w:r/>
      <w:bookmarkStart w:id="118" w:name="_Toc20823306"/>
      <w:r>
        <w:rPr>
          <w:rFonts w:hint="eastAsia" w:ascii="宋体" w:hAnsi="宋体"/>
          <w:i w:val="0"/>
          <w:iCs w:val="0"/>
          <w:color w:val="auto"/>
          <w:sz w:val="24"/>
          <w:szCs w:val="24"/>
          <w:highlight w:val="none"/>
        </w:rPr>
        <w:t xml:space="preserve">25.6投标人在开、评标全过程中应保持通讯畅通，及时登录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查阅</w:t>
      </w:r>
      <w:r>
        <w:rPr>
          <w:rFonts w:ascii="宋体" w:hAnsi="宋体"/>
          <w:i w:val="0"/>
          <w:iCs w:val="0"/>
          <w:color w:val="auto"/>
          <w:sz w:val="24"/>
          <w:szCs w:val="24"/>
          <w:highlight w:val="none"/>
        </w:rPr>
        <w:t xml:space="preserve">、答复相关</w:t>
      </w:r>
      <w:r>
        <w:rPr>
          <w:rFonts w:hint="eastAsia" w:ascii="宋体" w:hAnsi="宋体"/>
          <w:i w:val="0"/>
          <w:iCs w:val="0"/>
          <w:color w:val="auto"/>
          <w:sz w:val="24"/>
          <w:szCs w:val="24"/>
          <w:highlight w:val="none"/>
        </w:rPr>
        <w:t xml:space="preserve">信息</w:t>
      </w:r>
      <w:r>
        <w:rPr>
          <w:rFonts w:ascii="宋体" w:hAnsi="宋体"/>
          <w:i w:val="0"/>
          <w:iCs w:val="0"/>
          <w:color w:val="auto"/>
          <w:sz w:val="24"/>
          <w:szCs w:val="24"/>
          <w:highlight w:val="none"/>
        </w:rPr>
        <w:t xml:space="preserve">，</w:t>
      </w:r>
      <w:r>
        <w:rPr>
          <w:rFonts w:hint="eastAsia" w:ascii="宋体" w:hAnsi="宋体"/>
          <w:i w:val="0"/>
          <w:iCs w:val="0"/>
          <w:color w:val="auto"/>
          <w:sz w:val="24"/>
          <w:szCs w:val="24"/>
          <w:highlight w:val="none"/>
        </w:rPr>
        <w:t xml:space="preserve">并安排专人随时接受与代理机构及评标委员会的相关询问。</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26</w:t>
      </w:r>
      <w:bookmarkEnd w:id="116"/>
      <w:r/>
      <w:bookmarkEnd w:id="117"/>
      <w:r/>
      <w:bookmarkEnd w:id="118"/>
      <w:r>
        <w:rPr>
          <w:rFonts w:hint="eastAsia" w:ascii="宋体" w:hAnsi="宋体" w:eastAsia="宋体"/>
          <w:bCs w:val="0"/>
          <w:i w:val="0"/>
          <w:iCs w:val="0"/>
          <w:color w:val="auto"/>
          <w:sz w:val="24"/>
          <w:szCs w:val="24"/>
          <w:highlight w:val="none"/>
        </w:rPr>
        <w:t xml:space="preserve">.无效投标条款和废标条款</w:t>
      </w:r>
      <w:r/>
    </w:p>
    <w:p>
      <w:pPr>
        <w:ind w:left="479"/>
        <w:spacing w:line="500" w:lineRule="exact"/>
        <w:rPr>
          <w:rFonts w:hint="eastAsia" w:ascii="宋体" w:hAnsi="宋体"/>
          <w:bCs/>
          <w:i w:val="0"/>
          <w:iCs w:val="0"/>
          <w:color w:val="auto"/>
          <w:sz w:val="24"/>
          <w:szCs w:val="24"/>
          <w:highlight w:val="none"/>
        </w:rPr>
      </w:pPr>
      <w:r/>
      <w:bookmarkStart w:id="119" w:name="_Toc20823307"/>
      <w:r/>
      <w:bookmarkStart w:id="120" w:name="_Toc513029235"/>
      <w:r/>
      <w:bookmarkStart w:id="121" w:name="_Toc16938551"/>
      <w:r>
        <w:rPr>
          <w:rFonts w:hint="eastAsia" w:ascii="宋体" w:hAnsi="宋体"/>
          <w:bCs/>
          <w:i w:val="0"/>
          <w:iCs w:val="0"/>
          <w:color w:val="auto"/>
          <w:sz w:val="24"/>
          <w:szCs w:val="24"/>
          <w:highlight w:val="none"/>
        </w:rPr>
        <w:t xml:space="preserve">26.1无效投标条款</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w:t>
      </w:r>
      <w:r>
        <w:rPr>
          <w:rFonts w:hint="eastAsia" w:ascii="宋体" w:hAnsi="宋体"/>
          <w:i w:val="0"/>
          <w:iCs w:val="0"/>
          <w:color w:val="auto"/>
          <w:sz w:val="24"/>
          <w:szCs w:val="24"/>
          <w:highlight w:val="none"/>
        </w:rPr>
        <w:t xml:space="preserve">未按《“苏采云”系统供应商操作手册》进行正确操作的。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 xml:space="preserve">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 xml:space="preserve">或查询“信用中国”网站、</w:t>
      </w:r>
      <w:r>
        <w:rPr>
          <w:rFonts w:hint="eastAsia" w:ascii="宋体" w:hAnsi="宋体"/>
          <w:i w:val="0"/>
          <w:iCs w:val="0"/>
          <w:color w:val="auto"/>
          <w:sz w:val="24"/>
          <w:szCs w:val="24"/>
          <w:highlight w:val="none"/>
        </w:rPr>
        <w:t xml:space="preserve">中国政府采购网</w:t>
      </w:r>
      <w:r>
        <w:rPr>
          <w:rFonts w:hint="eastAsia" w:ascii="宋体" w:hAnsi="宋体"/>
          <w:bCs/>
          <w:i w:val="0"/>
          <w:iCs w:val="0"/>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26.1.11未通过符合性审查的。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26.1.12投标文件含有采购人不能接受的附加条件的。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26.1.22根据《财政部关于推动解决政府采购异常低价问题的通知》（财库〔2026〕2号）要求，政府采购评审中出现下列情形之一的，评审委员会应当启动异常低价投标（响应）审查程序：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（3）投标（响应）报价低于采购项目最高限价45%的，即投标（响应）报价＜采购项目最高限价×45%；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相关法律法规对供应商报价有规定的，从其规定。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rFonts w:hint="eastAsia" w:ascii="宋体" w:hAnsi="宋体"/>
          <w:bCs/>
          <w:i w:val="0"/>
          <w:iCs w:val="0"/>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26.1.23投标文件内容不全或不符合招标文件中规定的其它实质性要求和条件的</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26.1.2</w:t>
      </w:r>
      <w:r>
        <w:rPr>
          <w:rFonts w:hint="eastAsia" w:ascii="宋体" w:hAnsi="宋体"/>
          <w:bCs/>
          <w:i w:val="0"/>
          <w:iCs w:val="0"/>
          <w:color w:val="auto"/>
          <w:sz w:val="24"/>
          <w:szCs w:val="24"/>
          <w:highlight w:val="none"/>
          <w:lang w:val="en-US" w:eastAsia="zh-CN"/>
        </w:rPr>
        <w:t xml:space="preserve">5</w:t>
      </w:r>
      <w:r>
        <w:rPr>
          <w:rFonts w:hint="eastAsia" w:ascii="宋体" w:hAnsi="宋体"/>
          <w:bCs/>
          <w:i w:val="0"/>
          <w:iCs w:val="0"/>
          <w:color w:val="auto"/>
          <w:sz w:val="24"/>
          <w:szCs w:val="24"/>
          <w:highlight w:val="none"/>
        </w:rPr>
        <w:t xml:space="preserve">其他法律、法规及本招标文件规定的属无效投标的情形。</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26.2废标条款</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26.2.1符合专业条件的供应商或者对招标文件作实质响应的供应商不足三家的。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26.2.2出现影响采购公正的违法、违规行为的。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26.2.3因重大变故，采购任务取消的。</w:t>
      </w:r>
      <w:r/>
    </w:p>
    <w:p>
      <w:pPr>
        <w:ind w:left="479"/>
        <w:spacing w:line="500" w:lineRule="exact"/>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26.2.5 因“苏采云”系统</w:t>
      </w:r>
      <w:r>
        <w:rPr>
          <w:rFonts w:ascii="宋体" w:hAnsi="宋体"/>
          <w:bCs/>
          <w:i w:val="0"/>
          <w:iCs w:val="0"/>
          <w:color w:val="auto"/>
          <w:sz w:val="24"/>
          <w:szCs w:val="24"/>
          <w:highlight w:val="none"/>
        </w:rPr>
        <w:t xml:space="preserve">故障原因造成开标不成功</w:t>
      </w:r>
      <w:r>
        <w:rPr>
          <w:rFonts w:hint="eastAsia" w:ascii="宋体" w:hAnsi="宋体"/>
          <w:bCs/>
          <w:i w:val="0"/>
          <w:iCs w:val="0"/>
          <w:color w:val="auto"/>
          <w:sz w:val="24"/>
          <w:szCs w:val="24"/>
          <w:highlight w:val="none"/>
        </w:rPr>
        <w:t xml:space="preserve">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26.2.6投标人的报价均超过采购预算，采购人不能支付的。</w:t>
      </w:r>
      <w:r/>
    </w:p>
    <w:p>
      <w:pPr>
        <w:ind w:left="479"/>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52"/>
        <w:jc w:val="center"/>
        <w:keepLines w:val="0"/>
        <w:keepNext w:val="0"/>
        <w:spacing w:before="0" w:after="0" w:line="500" w:lineRule="exact"/>
        <w:rPr>
          <w:rFonts w:hint="eastAsia"/>
          <w:i w:val="0"/>
          <w:iCs w:val="0"/>
          <w:color w:val="auto"/>
          <w:sz w:val="32"/>
          <w:szCs w:val="32"/>
          <w:highlight w:val="none"/>
        </w:rPr>
      </w:pPr>
      <w:r/>
      <w:bookmarkStart w:id="122" w:name="_Toc120614219"/>
      <w:r>
        <w:rPr>
          <w:rFonts w:hint="eastAsia"/>
          <w:i w:val="0"/>
          <w:iCs w:val="0"/>
          <w:color w:val="auto"/>
          <w:sz w:val="32"/>
          <w:szCs w:val="32"/>
          <w:highlight w:val="none"/>
        </w:rPr>
        <w:t xml:space="preserve">六、</w:t>
      </w:r>
      <w:bookmarkEnd w:id="119"/>
      <w:r/>
      <w:bookmarkEnd w:id="120"/>
      <w:r/>
      <w:bookmarkEnd w:id="121"/>
      <w:r>
        <w:rPr>
          <w:rFonts w:hint="eastAsia"/>
          <w:i w:val="0"/>
          <w:iCs w:val="0"/>
          <w:color w:val="auto"/>
          <w:sz w:val="32"/>
          <w:szCs w:val="32"/>
          <w:highlight w:val="none"/>
        </w:rPr>
        <w:t xml:space="preserve">定标</w:t>
      </w:r>
      <w:bookmarkEnd w:id="122"/>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bookmarkStart w:id="123" w:name="_Toc513029238"/>
      <w:r/>
      <w:bookmarkStart w:id="124" w:name="_Toc20823310"/>
      <w:r/>
      <w:bookmarkStart w:id="125" w:name="_Toc16938554"/>
      <w:r>
        <w:rPr>
          <w:rFonts w:hint="eastAsia" w:ascii="宋体" w:hAnsi="宋体" w:eastAsia="宋体"/>
          <w:bCs w:val="0"/>
          <w:i w:val="0"/>
          <w:iCs w:val="0"/>
          <w:color w:val="auto"/>
          <w:sz w:val="24"/>
          <w:szCs w:val="24"/>
          <w:highlight w:val="none"/>
        </w:rPr>
        <w:t xml:space="preserve">27、</w:t>
      </w:r>
      <w:bookmarkEnd w:id="123"/>
      <w:r>
        <w:rPr>
          <w:rFonts w:hint="eastAsia" w:ascii="宋体" w:hAnsi="宋体" w:eastAsia="宋体"/>
          <w:bCs w:val="0"/>
          <w:i w:val="0"/>
          <w:iCs w:val="0"/>
          <w:color w:val="auto"/>
          <w:sz w:val="24"/>
          <w:szCs w:val="24"/>
          <w:highlight w:val="none"/>
        </w:rPr>
        <w:t xml:space="preserve">确定</w:t>
      </w:r>
      <w:bookmarkEnd w:id="124"/>
      <w:r/>
      <w:bookmarkEnd w:id="125"/>
      <w:r>
        <w:rPr>
          <w:rFonts w:hint="eastAsia" w:ascii="宋体" w:hAnsi="宋体" w:eastAsia="宋体"/>
          <w:bCs w:val="0"/>
          <w:i w:val="0"/>
          <w:iCs w:val="0"/>
          <w:color w:val="auto"/>
          <w:sz w:val="24"/>
          <w:szCs w:val="24"/>
          <w:highlight w:val="none"/>
        </w:rPr>
        <w:t xml:space="preserve">中标单位</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27.3</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27.4中标无效的确认</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27.4.1提供虚假材料谋取中标的。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27.4.2向采购人、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行贿或者提供其他不正当利益的。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27.4.4与采购人或者其他供应商恶意串通的。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27.4.5采取不正当手段诋毁、排挤其他供应商的。</w:t>
      </w:r>
      <w:r/>
    </w:p>
    <w:p>
      <w:pPr>
        <w:ind w:firstLine="480"/>
        <w:spacing w:line="500" w:lineRule="exact"/>
        <w:rPr>
          <w:rFonts w:hint="eastAsia" w:ascii="宋体" w:hAnsi="宋体"/>
          <w:i w:val="0"/>
          <w:iCs w:val="0"/>
          <w:color w:val="auto"/>
          <w:sz w:val="24"/>
          <w:szCs w:val="24"/>
          <w:highlight w:val="none"/>
        </w:rPr>
      </w:pPr>
      <w:r/>
      <w:bookmarkStart w:id="126" w:name="_Toc200451960"/>
      <w:r>
        <w:rPr>
          <w:rFonts w:hint="eastAsia" w:ascii="宋体" w:hAnsi="宋体"/>
          <w:i w:val="0"/>
          <w:iCs w:val="0"/>
          <w:color w:val="auto"/>
          <w:sz w:val="24"/>
          <w:szCs w:val="24"/>
          <w:highlight w:val="none"/>
        </w:rPr>
        <w:t xml:space="preserve">27.4.6</w:t>
      </w:r>
      <w:r>
        <w:rPr>
          <w:rFonts w:hint="eastAsia" w:ascii="宋体" w:hAnsi="宋体"/>
          <w:bCs/>
          <w:i w:val="0"/>
          <w:iCs w:val="0"/>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27.4.7</w:t>
      </w:r>
      <w:r>
        <w:rPr>
          <w:rFonts w:hint="eastAsia" w:ascii="宋体" w:hAnsi="宋体"/>
          <w:bCs/>
          <w:i w:val="0"/>
          <w:iCs w:val="0"/>
          <w:color w:val="auto"/>
          <w:sz w:val="24"/>
          <w:szCs w:val="24"/>
          <w:highlight w:val="none"/>
        </w:rPr>
        <w:t xml:space="preserve">拒绝有关部门监督检查或者提供虚假情况的。</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 xml:space="preserve">有下列情形之一的，</w:t>
      </w:r>
      <w:r>
        <w:rPr>
          <w:rFonts w:hint="eastAsia" w:hAnsi="宋体" w:cs="宋体"/>
          <w:i w:val="0"/>
          <w:iCs w:val="0"/>
          <w:color w:val="auto"/>
          <w:sz w:val="24"/>
          <w:szCs w:val="24"/>
          <w:highlight w:val="none"/>
        </w:rPr>
        <w:t xml:space="preserve">视为投标人</w:t>
      </w:r>
      <w:r>
        <w:rPr>
          <w:rFonts w:hAnsi="宋体" w:cs="宋体"/>
          <w:i w:val="0"/>
          <w:iCs w:val="0"/>
          <w:color w:val="auto"/>
          <w:sz w:val="24"/>
          <w:szCs w:val="24"/>
          <w:highlight w:val="none"/>
        </w:rPr>
        <w:t xml:space="preserve">串通</w:t>
      </w:r>
      <w:r>
        <w:rPr>
          <w:rFonts w:hint="eastAsia" w:hAnsi="宋体" w:cs="宋体"/>
          <w:i w:val="0"/>
          <w:iCs w:val="0"/>
          <w:color w:val="auto"/>
          <w:sz w:val="24"/>
          <w:szCs w:val="24"/>
          <w:highlight w:val="none"/>
        </w:rPr>
        <w:t xml:space="preserve">投标，投标无效：</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27.5.1不同投标人的投标文件由同一单位或者个人编制。</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27.5.2不同投标人委托同一单位或者个人办理投标事宜。</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27.5.4不同投标人的投标文件异常一致或者投标报价呈规律性差异。</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28.质疑处理</w:t>
      </w:r>
      <w:bookmarkEnd w:id="126"/>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 xml:space="preserve">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28.2.1</w:t>
      </w:r>
      <w:r>
        <w:rPr>
          <w:rFonts w:ascii="宋体" w:hAnsi="宋体"/>
          <w:i w:val="0"/>
          <w:iCs w:val="0"/>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28.2.2</w:t>
      </w:r>
      <w:r>
        <w:rPr>
          <w:rFonts w:ascii="宋体" w:hAnsi="宋体"/>
          <w:i w:val="0"/>
          <w:iCs w:val="0"/>
          <w:color w:val="auto"/>
          <w:sz w:val="24"/>
          <w:szCs w:val="24"/>
          <w:highlight w:val="none"/>
        </w:rPr>
        <w:t xml:space="preserve">对采购过程提出质疑的，为各采购程序环节结束之日；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28.2.3</w:t>
      </w:r>
      <w:r>
        <w:rPr>
          <w:rFonts w:ascii="宋体" w:hAnsi="宋体"/>
          <w:i w:val="0"/>
          <w:iCs w:val="0"/>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w:t>
      </w:r>
      <w:r>
        <w:rPr>
          <w:rFonts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rPr>
        <w:t xml:space="preserve">将只对供应商第一次质疑作出答复。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28.3</w:t>
      </w:r>
      <w:r>
        <w:rPr>
          <w:rFonts w:hint="eastAsia" w:ascii="宋体"/>
          <w:bCs/>
          <w:i w:val="0"/>
          <w:iCs w:val="0"/>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提出，由</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负责答复。</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只接收以纸质原件形式送达的质疑,质疑供应商可通过面交或邮寄方式送达（采购人和</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不接受未填写快递运单的快件）。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采购人、</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联系人、联系方式、通信地址见招标文件第一章。</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 以下情形的质疑不予受理</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28.5.2 超出政府采购法定期限的质疑。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28.5.3 以传真、电子邮件等方式递交的非原件形式的质疑。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28.6供应商提出书面质疑必须有理、有据，</w:t>
      </w:r>
      <w:r>
        <w:rPr>
          <w:rFonts w:hint="eastAsia" w:ascii="宋体" w:hAnsi="宋体"/>
          <w:bCs/>
          <w:i w:val="0"/>
          <w:iCs w:val="0"/>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 xml:space="preserve">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有权依据政府采购的有关规定，报请政府采购监管部门对该供应商进行相应的行政处罚和记录该供应商的失信信息。</w:t>
      </w:r>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29.中标通知书</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29.l中标结果确定后，</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将向中标人发出中标通知书。请中标人在中标结果公告届满之日起30日内,使用CA数字证书登录</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及时下载中标通知书。因系统存储空间有限，自中标结果公告届满之日起30日后，</w:t>
      </w:r>
      <w:r>
        <w:rPr>
          <w:rFonts w:hint="eastAsia" w:ascii="宋体" w:hAnsi="宋体"/>
          <w:bCs/>
          <w:i w:val="0"/>
          <w:iCs w:val="0"/>
          <w:color w:val="auto"/>
          <w:sz w:val="24"/>
          <w:szCs w:val="24"/>
          <w:highlight w:val="none"/>
        </w:rPr>
        <w:t xml:space="preserve">“苏采云”系统</w:t>
      </w:r>
      <w:r>
        <w:rPr>
          <w:rFonts w:hint="eastAsia" w:ascii="宋体" w:hAnsi="宋体"/>
          <w:i w:val="0"/>
          <w:iCs w:val="0"/>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29.</w:t>
      </w:r>
      <w:r>
        <w:rPr>
          <w:rFonts w:ascii="宋体" w:hAnsi="宋体"/>
          <w:i w:val="0"/>
          <w:iCs w:val="0"/>
          <w:color w:val="auto"/>
          <w:sz w:val="24"/>
          <w:szCs w:val="24"/>
          <w:highlight w:val="none"/>
        </w:rPr>
        <w:t xml:space="preserve">2</w:t>
      </w:r>
      <w:r>
        <w:rPr>
          <w:rFonts w:hint="eastAsia" w:ascii="宋体" w:hAnsi="宋体"/>
          <w:i w:val="0"/>
          <w:iCs w:val="0"/>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52"/>
        <w:jc w:val="center"/>
        <w:keepLines w:val="0"/>
        <w:keepNext w:val="0"/>
        <w:spacing w:before="0" w:after="0" w:line="500" w:lineRule="exact"/>
        <w:rPr>
          <w:rFonts w:hint="eastAsia"/>
          <w:i w:val="0"/>
          <w:iCs w:val="0"/>
          <w:color w:val="auto"/>
          <w:sz w:val="32"/>
          <w:szCs w:val="32"/>
          <w:highlight w:val="none"/>
        </w:rPr>
      </w:pPr>
      <w:r/>
      <w:bookmarkStart w:id="127" w:name="_Toc120614220"/>
      <w:r/>
      <w:bookmarkStart w:id="128" w:name="_Toc20823308"/>
      <w:r/>
      <w:bookmarkStart w:id="129" w:name="_Toc513029236"/>
      <w:r/>
      <w:bookmarkStart w:id="130" w:name="_Toc16938552"/>
      <w:r>
        <w:rPr>
          <w:rFonts w:hint="eastAsia"/>
          <w:i w:val="0"/>
          <w:iCs w:val="0"/>
          <w:color w:val="auto"/>
          <w:sz w:val="32"/>
          <w:szCs w:val="32"/>
          <w:highlight w:val="none"/>
        </w:rPr>
        <w:t xml:space="preserve">七、授予合同</w:t>
      </w:r>
      <w:bookmarkEnd w:id="127"/>
      <w:r/>
      <w:bookmarkEnd w:id="128"/>
      <w:bookmarkEnd w:id="129"/>
      <w:bookmarkEnd w:id="130"/>
      <w:r/>
    </w:p>
    <w:p>
      <w:pPr>
        <w:pStyle w:val="1175"/>
        <w:ind w:firstLine="422"/>
        <w:keepLines w:val="0"/>
        <w:keepNext w:val="0"/>
        <w:spacing w:before="0" w:after="0" w:line="500" w:lineRule="exact"/>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 xml:space="preserve">30.签订合同</w:t>
      </w:r>
      <w:r/>
    </w:p>
    <w:p>
      <w:pPr>
        <w:ind w:firstLine="480"/>
        <w:spacing w:line="500" w:lineRule="exact"/>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30.2中标人非因不可抗力未履行招、投标文件和合同规定的义务，一经查实，</w:t>
      </w:r>
      <w:r>
        <w:rPr>
          <w:rFonts w:hint="eastAsia" w:ascii="宋体" w:hAnsi="宋体"/>
          <w:i w:val="0"/>
          <w:iCs w:val="0"/>
          <w:color w:val="auto"/>
          <w:sz w:val="24"/>
          <w:szCs w:val="24"/>
          <w:highlight w:val="none"/>
          <w:lang w:eastAsia="zh-CN"/>
        </w:rPr>
        <w:t xml:space="preserve">采购中心</w:t>
      </w:r>
      <w:r>
        <w:rPr>
          <w:rFonts w:hint="eastAsia" w:ascii="宋体" w:hAnsi="宋体"/>
          <w:i w:val="0"/>
          <w:iCs w:val="0"/>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 xml:space="preserve">31.服务（包含与服务相关的货物）的追加</w:t>
      </w:r>
      <w:r/>
    </w:p>
    <w:p>
      <w:pPr>
        <w:ind w:firstLine="480"/>
        <w:spacing w:line="500" w:lineRule="exact"/>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500" w:lineRule="exact"/>
        <w:rPr>
          <w:rFonts w:ascii="黑体" w:eastAsia="黑体"/>
          <w:bCs/>
          <w:color w:val="auto"/>
          <w:sz w:val="24"/>
          <w:szCs w:val="24"/>
          <w:highlight w:val="none"/>
        </w:rPr>
      </w:pPr>
      <w:r>
        <w:rPr>
          <w:rFonts w:ascii="黑体" w:eastAsia="黑体"/>
          <w:bCs/>
          <w:color w:val="auto"/>
          <w:sz w:val="24"/>
          <w:szCs w:val="24"/>
          <w:highlight w:val="none"/>
        </w:rPr>
      </w:r>
      <w:r/>
    </w:p>
    <w:p>
      <w:pPr>
        <w:pStyle w:val="996"/>
        <w:ind w:firstLine="640"/>
        <w:pageBreakBefore/>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 xml:space="preserve">第三章  采购需求</w:t>
      </w:r>
      <w:r/>
    </w:p>
    <w:p>
      <w:pPr>
        <w:ind w:firstLine="480"/>
        <w:jc w:val="both"/>
        <w:spacing w:line="440" w:lineRule="exact"/>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 xml:space="preserve">投标供应商所投内容必须满足以下要求，不得有负偏离。</w:t>
      </w:r>
      <w:r/>
    </w:p>
    <w:p>
      <w:pPr>
        <w:jc w:val="center"/>
        <w:spacing w:line="440" w:lineRule="exact"/>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 xml:space="preserve">项目技术要求</w:t>
      </w:r>
      <w:r/>
    </w:p>
    <w:p>
      <w:pPr>
        <w:numPr>
          <w:ilvl w:val="0"/>
          <w:numId w:val="0"/>
        </w:numPr>
        <w:ind w:left="0" w:firstLine="482"/>
        <w:spacing w:line="440" w:lineRule="exac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一、项目概况、服务期、质量标准及其他要求</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rPr>
        <w:t xml:space="preserve">项目名称：</w:t>
      </w:r>
      <w:r>
        <w:rPr>
          <w:rFonts w:hint="eastAsia" w:ascii="宋体" w:hAnsi="宋体" w:cs="宋体"/>
          <w:color w:val="auto"/>
          <w:sz w:val="24"/>
          <w:szCs w:val="24"/>
          <w:highlight w:val="none"/>
          <w:lang w:val="zh-CN" w:eastAsia="zh-CN"/>
        </w:rPr>
        <w:t xml:space="preserve">阳山镇桃香苑B、C区及睦邻中心物业管理服务采购项目</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zh-CN"/>
        </w:rPr>
        <w:t xml:space="preserve">项目概况：本项目为阳山镇</w:t>
      </w:r>
      <w:r>
        <w:rPr>
          <w:rFonts w:hint="eastAsia" w:ascii="宋体" w:hAnsi="宋体" w:cs="宋体"/>
          <w:color w:val="auto"/>
          <w:sz w:val="24"/>
          <w:szCs w:val="24"/>
          <w:highlight w:val="none"/>
          <w:lang w:val="zh-CN"/>
        </w:rPr>
        <w:t xml:space="preserve">桃香苑B、C区及睦邻中心物业管理服务采购项目，总建筑面积为27.9万平方米，为提高小区物业管理服务水平，从而提升小区居民的居住环境，增强居民的幸福感，且根据区住建局要求各乡镇（街道）安置房必须实行市场化管理的需求，提升服务质量，拟推进阳山镇</w:t>
      </w:r>
      <w:r>
        <w:rPr>
          <w:rFonts w:hint="eastAsia" w:ascii="宋体" w:hAnsi="宋体" w:cs="宋体"/>
          <w:color w:val="auto"/>
          <w:sz w:val="24"/>
          <w:szCs w:val="24"/>
          <w:highlight w:val="none"/>
          <w:lang w:val="zh-CN"/>
        </w:rPr>
        <w:t xml:space="preserve">桃香苑B、C区及睦邻中心物业管理服务采购。</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 xml:space="preserve">3.</w:t>
      </w:r>
      <w:r>
        <w:rPr>
          <w:rFonts w:hint="eastAsia" w:ascii="宋体" w:hAnsi="宋体" w:cs="宋体"/>
          <w:color w:val="auto"/>
          <w:sz w:val="24"/>
          <w:szCs w:val="24"/>
          <w:highlight w:val="none"/>
          <w:lang w:val="zh-CN"/>
        </w:rPr>
        <w:t xml:space="preserve">服务期限：</w:t>
      </w:r>
      <w:r>
        <w:rPr>
          <w:rFonts w:hint="eastAsia" w:ascii="宋体" w:hAnsi="宋体" w:cs="宋体"/>
          <w:color w:val="auto"/>
          <w:sz w:val="24"/>
          <w:szCs w:val="24"/>
          <w:highlight w:val="none"/>
          <w:lang w:val="zh-CN"/>
        </w:rPr>
        <w:t xml:space="preserve">3年（具体起始日期以合同签订日期为准）</w:t>
      </w:r>
      <w:r>
        <w:rPr>
          <w:rFonts w:hint="eastAsia" w:ascii="宋体" w:hAnsi="宋体" w:cs="宋体"/>
          <w:color w:val="auto"/>
          <w:sz w:val="24"/>
          <w:szCs w:val="24"/>
          <w:highlight w:val="none"/>
          <w:lang w:val="zh-CN"/>
        </w:rPr>
        <w:t xml:space="preserve">，采取“1+1+1</w:t>
      </w:r>
      <w:r>
        <w:rPr>
          <w:rFonts w:hint="eastAsia" w:ascii="宋体" w:hAnsi="宋体" w:cs="宋体"/>
          <w:color w:val="auto"/>
          <w:sz w:val="24"/>
          <w:szCs w:val="24"/>
          <w:highlight w:val="none"/>
          <w:lang w:val="zh-CN"/>
        </w:rPr>
        <w:t xml:space="preserve">”模式，合同一年一签，若上一年度物业管理未达到采购人要求，采购人有权拒签下一年度物业管理合同。</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zh-CN"/>
        </w:rPr>
        <w:t xml:space="preserve">付款方式</w:t>
      </w:r>
      <w:r>
        <w:rPr>
          <w:rFonts w:hint="eastAsia" w:ascii="宋体" w:hAnsi="宋体" w:cs="宋体"/>
          <w:color w:val="auto"/>
          <w:sz w:val="24"/>
          <w:szCs w:val="24"/>
          <w:highlight w:val="none"/>
          <w:lang w:val="zh-CN"/>
        </w:rPr>
        <w:t xml:space="preserve">：中标供应商中标签订合同后，采购人向中标供应商支付中标总价10%的预付款。采购人每季度初结合考核情况及履约情况向中标供应商支付上一季度的物业服务费用。以上均不计利息，每次付款时中标供应商须提供符合采购人财务要求的税金发票。</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预算金额：人民币</w:t>
      </w:r>
      <w:r>
        <w:rPr>
          <w:rFonts w:hint="eastAsia" w:ascii="宋体" w:hAnsi="宋体" w:cs="宋体"/>
          <w:color w:val="auto"/>
          <w:sz w:val="24"/>
          <w:szCs w:val="24"/>
          <w:highlight w:val="none"/>
          <w:lang w:val="en-US" w:eastAsia="zh-CN"/>
        </w:rPr>
        <w:t xml:space="preserve">934.092</w:t>
      </w:r>
      <w:r/>
      <w:r>
        <w:rPr>
          <w:rFonts w:hint="eastAsia" w:ascii="宋体" w:hAnsi="宋体" w:cs="宋体"/>
          <w:color w:val="auto"/>
          <w:sz w:val="24"/>
          <w:szCs w:val="24"/>
          <w:highlight w:val="none"/>
          <w:lang w:val="zh-CN"/>
        </w:rPr>
        <w:t xml:space="preserve">万元</w:t>
      </w:r>
      <w:r/>
    </w:p>
    <w:p>
      <w:pPr>
        <w:numPr>
          <w:ilvl w:val="0"/>
          <w:numId w:val="0"/>
        </w:numPr>
        <w:ind w:left="0" w:firstLine="480"/>
        <w:spacing w:line="440" w:lineRule="exact"/>
        <w:rPr>
          <w:rFonts w:hint="eastAsia" w:ascii="宋体" w:hAnsi="宋体" w:cs="宋体"/>
          <w:color w:val="auto"/>
          <w:sz w:val="24"/>
          <w:szCs w:val="24"/>
          <w:highlight w:val="none"/>
          <w:lang w:val="zh-CN"/>
        </w:rPr>
      </w:pPr>
      <w:r>
        <w:rPr>
          <w:rFonts w:hint="default" w:ascii="宋体" w:hAnsi="宋体" w:cs="宋体"/>
          <w:color w:val="auto"/>
          <w:sz w:val="24"/>
          <w:szCs w:val="24"/>
          <w:highlight w:val="none"/>
          <w:lang w:val="zh-CN" w:eastAsia="zh-CN"/>
        </w:rPr>
        <w:t xml:space="preserve">6.</w:t>
      </w:r>
      <w:r>
        <w:rPr>
          <w:rFonts w:hint="eastAsia" w:ascii="宋体" w:hAnsi="宋体" w:cs="宋体"/>
          <w:color w:val="auto"/>
          <w:sz w:val="24"/>
          <w:szCs w:val="24"/>
          <w:highlight w:val="none"/>
          <w:lang w:val="zh-CN"/>
        </w:rPr>
        <w:t xml:space="preserve">最高限价：人民币</w:t>
      </w:r>
      <w:r>
        <w:rPr>
          <w:rFonts w:hint="eastAsia" w:ascii="宋体" w:hAnsi="宋体" w:cs="宋体"/>
          <w:color w:val="auto"/>
          <w:sz w:val="24"/>
          <w:szCs w:val="24"/>
          <w:highlight w:val="none"/>
          <w:lang w:val="en-US" w:eastAsia="zh-CN"/>
        </w:rPr>
        <w:t xml:space="preserve">934.092</w:t>
      </w:r>
      <w:r>
        <w:rPr>
          <w:rFonts w:hint="eastAsia" w:ascii="宋体" w:hAnsi="宋体" w:cs="宋体"/>
          <w:color w:val="auto"/>
          <w:sz w:val="24"/>
          <w:szCs w:val="24"/>
          <w:highlight w:val="none"/>
          <w:lang w:val="zh-CN"/>
        </w:rPr>
        <w:t xml:space="preserve">万元</w:t>
      </w:r>
      <w:r/>
    </w:p>
    <w:p>
      <w:pPr>
        <w:numPr>
          <w:ilvl w:val="0"/>
          <w:numId w:val="0"/>
        </w:numPr>
        <w:ind w:left="0" w:firstLine="482"/>
        <w:spacing w:line="440" w:lineRule="exac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二、服务具体内容与要求</w:t>
      </w:r>
      <w:r/>
    </w:p>
    <w:p>
      <w:pPr>
        <w:numPr>
          <w:ilvl w:val="0"/>
          <w:numId w:val="0"/>
        </w:numPr>
        <w:ind w:left="0" w:firstLine="482"/>
        <w:spacing w:line="440" w:lineRule="exact"/>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1、项目情况简述：</w:t>
      </w:r>
      <w:r/>
    </w:p>
    <w:p>
      <w:pPr>
        <w:ind w:firstLine="361"/>
        <w:spacing w:line="440" w:lineRule="exact"/>
        <w:rPr>
          <w:rFonts w:ascii="宋体" w:cs="宋体"/>
          <w:b/>
          <w:bCs/>
          <w:color w:val="auto"/>
          <w:sz w:val="24"/>
          <w:szCs w:val="24"/>
          <w:highlight w:val="none"/>
          <w:lang w:val="zh-CN"/>
        </w:rPr>
      </w:pPr>
      <w:r>
        <w:rPr>
          <w:rFonts w:ascii="宋体" w:cs="宋体"/>
          <w:b/>
          <w:bCs/>
          <w:color w:val="auto"/>
          <w:sz w:val="24"/>
          <w:szCs w:val="24"/>
          <w:highlight w:val="none"/>
          <w:lang w:val="zh-CN"/>
        </w:rPr>
      </w:r>
      <w:r/>
    </w:p>
    <w:tbl>
      <w:tblPr>
        <w:tblStyle w:val="817"/>
        <w:tblW w:w="9842" w:type="dxa"/>
        <w:jc w:val="center"/>
        <w:tblLayout w:type="fixed"/>
        <w:tblCellMar>
          <w:left w:w="15" w:type="dxa"/>
          <w:top w:w="15" w:type="dxa"/>
          <w:right w:w="15" w:type="dxa"/>
          <w:bottom w:w="15" w:type="dxa"/>
        </w:tblCellMar>
        <w:tblLook w:val="04A0" w:firstRow="1" w:lastRow="0" w:firstColumn="1" w:lastColumn="0" w:noHBand="0" w:noVBand="1"/>
      </w:tblPr>
      <w:tblGrid>
        <w:gridCol w:w="1479"/>
        <w:gridCol w:w="1418"/>
        <w:gridCol w:w="4300"/>
        <w:gridCol w:w="2645"/>
      </w:tblGrid>
      <w:tr>
        <w:trPr>
          <w:jc w:val="center"/>
          <w:trHeight w:val="303"/>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rPr>
                <w:rFonts w:ascii="宋体"/>
                <w:color w:val="auto"/>
                <w:szCs w:val="21"/>
                <w:highlight w:val="none"/>
              </w:rPr>
            </w:pPr>
            <w:r>
              <w:rPr>
                <w:rFonts w:hint="eastAsia" w:ascii="宋体"/>
                <w:color w:val="auto"/>
                <w:szCs w:val="21"/>
                <w:highlight w:val="none"/>
              </w:rPr>
              <w:t xml:space="preserve">安居小区名称</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宋体"/>
                <w:color w:val="auto"/>
                <w:szCs w:val="21"/>
                <w:highlight w:val="none"/>
              </w:rPr>
            </w:pPr>
            <w:r>
              <w:rPr>
                <w:rFonts w:hint="eastAsia" w:ascii="宋体"/>
                <w:color w:val="auto"/>
                <w:szCs w:val="21"/>
                <w:highlight w:val="none"/>
                <w:lang w:val="zh-CN"/>
              </w:rPr>
              <w:t xml:space="preserve">桃香苑</w:t>
            </w:r>
            <w:r>
              <w:rPr>
                <w:rFonts w:hint="eastAsia" w:ascii="宋体"/>
                <w:color w:val="auto"/>
                <w:szCs w:val="21"/>
                <w:highlight w:val="none"/>
              </w:rPr>
              <w:t xml:space="preserve">B、C区</w:t>
            </w:r>
            <w:r/>
          </w:p>
        </w:tc>
      </w:tr>
      <w:tr>
        <w:trPr>
          <w:jc w:val="center"/>
          <w:trHeight w:val="394"/>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用地面积（㎡）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114121</w:t>
            </w:r>
            <w:r/>
          </w:p>
        </w:tc>
      </w:tr>
      <w:tr>
        <w:trPr>
          <w:jc w:val="center"/>
          <w:trHeight w:val="386"/>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总建筑面积（㎡）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257000</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其中</w:t>
            </w:r>
            <w:r/>
          </w:p>
        </w:tc>
        <w:tc>
          <w:tcPr>
            <w:gridSpan w:val="2"/>
            <w:tcBorders>
              <w:top w:val="single" w:color="000000" w:sz="4" w:space="0"/>
              <w:left w:val="single" w:color="000000" w:sz="4" w:space="0"/>
              <w:bottom w:val="single" w:color="000000" w:sz="4" w:space="0"/>
              <w:right w:val="single" w:color="000000" w:sz="4" w:space="0"/>
            </w:tcBorders>
            <w:tcW w:w="5718"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计入容积率部分面积（㎡）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199213</w:t>
            </w:r>
            <w:r/>
          </w:p>
        </w:tc>
      </w:tr>
      <w:tr>
        <w:trPr>
          <w:jc w:val="center"/>
          <w:trHeight w:val="384"/>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其中</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住宅建筑面积（㎡）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178694</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物业用房面积（㎡）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400</w:t>
            </w:r>
            <w:r/>
          </w:p>
        </w:tc>
      </w:tr>
      <w:tr>
        <w:trPr>
          <w:jc w:val="center"/>
          <w:trHeight w:val="396"/>
        </w:trPr>
        <w:tc>
          <w:tcPr>
            <w:tcBorders>
              <w:top w:val="single" w:color="000000" w:sz="4" w:space="0"/>
              <w:left w:val="single" w:color="000000" w:sz="4" w:space="0"/>
              <w:bottom w:val="single" w:color="000000" w:sz="4" w:space="0"/>
              <w:right w:val="single" w:color="000000" w:sz="4" w:space="0"/>
            </w:tcBorders>
            <w:tcW w:w="1479"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其中</w:t>
            </w:r>
            <w:r/>
          </w:p>
        </w:tc>
        <w:tc>
          <w:tcPr>
            <w:gridSpan w:val="2"/>
            <w:tcBorders>
              <w:top w:val="single" w:color="000000" w:sz="4" w:space="0"/>
              <w:left w:val="single" w:color="000000" w:sz="4" w:space="0"/>
              <w:bottom w:val="single" w:color="000000" w:sz="4" w:space="0"/>
              <w:right w:val="single" w:color="000000" w:sz="4" w:space="0"/>
            </w:tcBorders>
            <w:tcW w:w="5718"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不计入容积率部分面积（㎡）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58793</w:t>
            </w:r>
            <w:r/>
          </w:p>
        </w:tc>
      </w:tr>
      <w:tr>
        <w:trPr>
          <w:jc w:val="center"/>
          <w:trHeight w:val="373"/>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地下汽车库（㎡）</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138340</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住宅底层架空（㎡）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20595</w:t>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门卫及垃圾房面积（㎡）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230</w:t>
            </w:r>
            <w:r/>
          </w:p>
        </w:tc>
      </w:tr>
      <w:tr>
        <w:trPr>
          <w:jc w:val="center"/>
          <w:trHeight w:val="392"/>
        </w:trPr>
        <w:tc>
          <w:tcPr>
            <w:tcBorders>
              <w:top w:val="single" w:color="000000" w:sz="4" w:space="0"/>
              <w:left w:val="single" w:color="000000" w:sz="4" w:space="0"/>
              <w:bottom w:val="single" w:color="000000" w:sz="4" w:space="0"/>
              <w:right w:val="single" w:color="000000" w:sz="4" w:space="0"/>
            </w:tcBorders>
            <w:tcW w:w="1479"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配电房面积（㎡）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851.66</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绿地率</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36%</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绿化面积（㎡）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38000</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总套数（套）</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1617</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电梯数量（部）</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69</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门卫室数量（个）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4</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消控室（个）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监控室（个）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97"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机动车停车位</w:t>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停车位总数（个）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1056</w:t>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97"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地面停车位数（个）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312</w:t>
            </w:r>
            <w:r/>
          </w:p>
        </w:tc>
      </w:tr>
      <w:tr>
        <w:trPr>
          <w:jc w:val="center"/>
          <w:trHeight w:val="435"/>
        </w:trPr>
        <w:tc>
          <w:tcPr>
            <w:gridSpan w:val="2"/>
            <w:tcBorders>
              <w:top w:val="single" w:color="000000" w:sz="4" w:space="0"/>
              <w:left w:val="single" w:color="000000" w:sz="4" w:space="0"/>
              <w:bottom w:val="single" w:color="000000" w:sz="4" w:space="0"/>
              <w:right w:val="single" w:color="000000" w:sz="4" w:space="0"/>
            </w:tcBorders>
            <w:tcW w:w="2897"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地下停车位数（个）</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744</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睦邻中心（建筑面积）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22000</w:t>
            </w:r>
            <w:r/>
          </w:p>
        </w:tc>
      </w:tr>
      <w:tr>
        <w:trPr>
          <w:jc w:val="center"/>
          <w:trHeight w:val="435"/>
        </w:trPr>
        <w:tc>
          <w:tcPr>
            <w:gridSpan w:val="3"/>
            <w:tcBorders>
              <w:top w:val="single" w:color="000000" w:sz="4" w:space="0"/>
              <w:left w:val="single" w:color="000000" w:sz="4" w:space="0"/>
              <w:bottom w:val="single" w:color="000000" w:sz="4" w:space="0"/>
              <w:right w:val="single" w:color="000000" w:sz="4" w:space="0"/>
            </w:tcBorders>
            <w:tcW w:w="71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总建筑面积</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279000</w:t>
            </w:r>
            <w:r/>
          </w:p>
        </w:tc>
      </w:tr>
    </w:tbl>
    <w:p>
      <w:pPr>
        <w:numPr>
          <w:ilvl w:val="0"/>
          <w:numId w:val="0"/>
        </w:numPr>
        <w:ind w:firstLine="482"/>
        <w:spacing w:line="440" w:lineRule="exact"/>
        <w:rPr>
          <w:rFonts w:hint="eastAsia" w:ascii="宋体" w:cs="宋体"/>
          <w:b/>
          <w:bCs/>
          <w:color w:val="auto"/>
          <w:sz w:val="24"/>
          <w:szCs w:val="24"/>
          <w:highlight w:val="none"/>
          <w:lang w:val="zh-CN"/>
        </w:rPr>
      </w:pPr>
      <w:r>
        <w:rPr>
          <w:rFonts w:hint="eastAsia" w:ascii="宋体" w:hAnsi="Times New Roman" w:eastAsia="宋体" w:cs="宋体"/>
          <w:b/>
          <w:bCs/>
          <w:color w:val="auto"/>
          <w:sz w:val="24"/>
          <w:szCs w:val="24"/>
          <w:lang w:val="zh-CN" w:eastAsia="zh-CN" w:bidi="ar-SA"/>
        </w:rPr>
        <w:t xml:space="preserve">2、</w:t>
      </w:r>
      <w:r>
        <w:rPr>
          <w:rFonts w:hint="eastAsia" w:ascii="宋体" w:cs="宋体"/>
          <w:b/>
          <w:bCs/>
          <w:color w:val="auto"/>
          <w:sz w:val="24"/>
          <w:szCs w:val="24"/>
          <w:highlight w:val="none"/>
          <w:lang w:val="zh-CN"/>
        </w:rPr>
        <w:t xml:space="preserve">人员最低配置表</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本项目人员配置总数不少于</w:t>
      </w:r>
      <w:r>
        <w:rPr>
          <w:rFonts w:hint="eastAsia" w:ascii="宋体" w:hAnsi="宋体"/>
          <w:color w:val="auto"/>
          <w:sz w:val="24"/>
          <w:szCs w:val="24"/>
          <w:highlight w:val="none"/>
          <w:lang w:val="en-US" w:eastAsia="zh-CN"/>
        </w:rPr>
        <w:t xml:space="preserve">46</w:t>
      </w:r>
      <w:r>
        <w:rPr>
          <w:rFonts w:hint="eastAsia" w:ascii="宋体" w:hAnsi="宋体"/>
          <w:color w:val="auto"/>
          <w:sz w:val="24"/>
          <w:szCs w:val="24"/>
          <w:highlight w:val="none"/>
        </w:rPr>
        <w:t xml:space="preserve">人。本项目允许配置按国家规定可不缴纳社保的人员，该类人员最高不超过项目总配置人数的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0% </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同时</w:t>
      </w:r>
      <w:r>
        <w:rPr>
          <w:rFonts w:hint="eastAsia" w:ascii="宋体" w:hAnsi="宋体" w:eastAsia="宋体"/>
          <w:color w:val="auto"/>
          <w:sz w:val="24"/>
          <w:szCs w:val="24"/>
          <w:highlight w:val="none"/>
          <w:lang w:val="en-US" w:eastAsia="zh-CN"/>
        </w:rPr>
        <w:t xml:space="preserve">根据</w:t>
      </w:r>
      <w:r>
        <w:rPr>
          <w:rFonts w:hint="eastAsia" w:ascii="宋体" w:hAnsi="宋体" w:eastAsia="宋体"/>
          <w:color w:val="auto"/>
          <w:sz w:val="24"/>
          <w:szCs w:val="24"/>
          <w:highlight w:val="none"/>
        </w:rPr>
        <w:t xml:space="preserve">人社部56号令</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针对退休返聘保洁、门卫、绿化工人，全国统一执行工伤保险强制</w:t>
      </w:r>
      <w:r>
        <w:rPr>
          <w:rFonts w:hint="eastAsia" w:ascii="宋体" w:hAnsi="宋体" w:eastAsia="宋体"/>
          <w:color w:val="auto"/>
          <w:sz w:val="24"/>
          <w:szCs w:val="24"/>
          <w:highlight w:val="none"/>
          <w:lang w:val="en-US" w:eastAsia="zh-CN"/>
        </w:rPr>
        <w:t xml:space="preserve">单独</w:t>
      </w:r>
      <w:r>
        <w:rPr>
          <w:rFonts w:hint="eastAsia" w:ascii="宋体" w:hAnsi="宋体" w:eastAsia="宋体"/>
          <w:color w:val="auto"/>
          <w:sz w:val="24"/>
          <w:szCs w:val="24"/>
          <w:highlight w:val="none"/>
        </w:rPr>
        <w:t xml:space="preserve">参保</w:t>
      </w:r>
      <w:r>
        <w:rPr>
          <w:rFonts w:hint="eastAsia" w:ascii="宋体" w:hAnsi="宋体" w:eastAsia="宋体"/>
          <w:color w:val="auto"/>
          <w:sz w:val="24"/>
          <w:szCs w:val="24"/>
          <w:highlight w:val="none"/>
          <w:lang w:eastAsia="zh-CN"/>
        </w:rPr>
        <w:t xml:space="preserve">。</w:t>
      </w:r>
      <w:r/>
    </w:p>
    <w:p>
      <w:pPr>
        <w:numPr>
          <w:ilvl w:val="0"/>
          <w:numId w:val="0"/>
        </w:numPr>
        <w:spacing w:line="440" w:lineRule="exact"/>
        <w:rPr>
          <w:rFonts w:hint="eastAsia" w:ascii="宋体" w:cs="宋体"/>
          <w:b/>
          <w:bCs/>
          <w:color w:val="auto"/>
          <w:sz w:val="24"/>
          <w:szCs w:val="24"/>
          <w:highlight w:val="none"/>
          <w:lang w:val="zh-CN"/>
        </w:rPr>
      </w:pPr>
      <w:r>
        <w:rPr>
          <w:rFonts w:hint="eastAsia" w:ascii="宋体" w:cs="宋体"/>
          <w:b/>
          <w:bCs/>
          <w:color w:val="auto"/>
          <w:sz w:val="24"/>
          <w:szCs w:val="24"/>
          <w:highlight w:val="none"/>
          <w:lang w:val="zh-CN"/>
        </w:rPr>
      </w:r>
      <w:r/>
    </w:p>
    <w:tbl>
      <w:tblPr>
        <w:tblStyle w:val="817"/>
        <w:tblW w:w="10162" w:type="dxa"/>
        <w:jc w:val="center"/>
        <w:tblLayout w:type="fixed"/>
        <w:tblCellMar>
          <w:left w:w="108" w:type="dxa"/>
          <w:top w:w="0" w:type="dxa"/>
          <w:right w:w="108" w:type="dxa"/>
          <w:bottom w:w="0" w:type="dxa"/>
        </w:tblCellMar>
        <w:tblLook w:val="04A0" w:firstRow="1" w:lastRow="0" w:firstColumn="1" w:lastColumn="0" w:noHBand="0" w:noVBand="1"/>
      </w:tblPr>
      <w:tblGrid>
        <w:gridCol w:w="618"/>
        <w:gridCol w:w="843"/>
        <w:gridCol w:w="1701"/>
        <w:gridCol w:w="850"/>
        <w:gridCol w:w="1823"/>
        <w:gridCol w:w="1516"/>
        <w:gridCol w:w="1417"/>
        <w:gridCol w:w="1394"/>
      </w:tblGrid>
      <w:tr>
        <w:trPr>
          <w:jc w:val="center"/>
          <w:trHeight w:val="283"/>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162"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年龄要求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人数</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上班时制</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说明</w:t>
            </w:r>
            <w:r/>
          </w:p>
        </w:tc>
      </w:tr>
      <w:tr>
        <w:trPr>
          <w:jc w:val="center"/>
          <w:trHeight w:val="2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8"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3"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物业经理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常驻</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出纳兼客服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45周岁（含）以下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W w:w="1394"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保安队长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W w:w="1394"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r>
      <w:tr>
        <w:trPr>
          <w:jc w:val="center"/>
          <w:trHeight w:val="2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8"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843"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保安部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保安兼巡逻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widowControl/>
              <w:rPr>
                <w:rFonts w:ascii="宋体"/>
                <w:color w:val="auto"/>
                <w:szCs w:val="21"/>
                <w:highlight w:val="none"/>
              </w:rPr>
            </w:pPr>
            <w:r>
              <w:rPr>
                <w:rFonts w:hint="eastAsia" w:ascii="宋体" w:hAnsi="宋体" w:cs="宋体"/>
                <w:color w:val="auto"/>
                <w:szCs w:val="21"/>
                <w:highlight w:val="none"/>
              </w:rPr>
              <w:t xml:space="preserve">60周岁（含）以下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t xml:space="preserve">2</w:t>
            </w:r>
            <w:r>
              <w:rPr>
                <w:rFonts w:hint="eastAsia" w:ascii="宋体"/>
                <w:color w:val="auto"/>
                <w:szCs w:val="21"/>
                <w:highlight w:val="none"/>
              </w:rPr>
              <w:t xml:space="preserve">个门卫室</w:t>
            </w:r>
            <w:r/>
          </w:p>
        </w:tc>
      </w:tr>
      <w:tr>
        <w:trPr>
          <w:jc w:val="center"/>
          <w:trHeight w:val="376"/>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60周岁（含）以下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hint="eastAsia" w:ascii="宋体" w:eastAsia="宋体"/>
                <w:color w:val="auto"/>
                <w:szCs w:val="21"/>
                <w:highlight w:val="none"/>
                <w:lang w:eastAsia="zh-CN"/>
              </w:rPr>
            </w:pPr>
            <w:r>
              <w:rPr>
                <w:rFonts w:hint="eastAsia" w:ascii="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四班三运转8小时制</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559"/>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non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hint="eastAsia" w:ascii="宋体" w:eastAsia="宋体"/>
                <w:color w:val="auto"/>
                <w:szCs w:val="21"/>
                <w:highlight w:val="none"/>
                <w:lang w:eastAsia="zh-CN"/>
              </w:rPr>
            </w:pPr>
            <w:r>
              <w:rPr>
                <w:rFonts w:hint="eastAsia" w:ascii="宋体" w:hAnsi="宋体" w:eastAsia="宋体" w:cs="宋体"/>
                <w:color w:val="auto"/>
                <w:szCs w:val="21"/>
                <w:highlight w:val="none"/>
                <w:lang w:val="en-US" w:eastAsia="zh-CN"/>
              </w:rPr>
              <w:t xml:space="preserve">消控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60周岁（含）以下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四班三运转8小时制</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jc w:val="center"/>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18"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43" w:type="dxa"/>
            <w:vAlign w:val="center"/>
            <w:vMerge w:val="restart"/>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保洁部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保洁主管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r>
      <w:tr>
        <w:trPr>
          <w:jc w:val="center"/>
          <w:trHeight w:val="568"/>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448"/>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不限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rPr>
                <w:rFonts w:ascii="宋体"/>
                <w:color w:val="auto"/>
                <w:szCs w:val="21"/>
                <w:highlight w:val="none"/>
              </w:rPr>
            </w:pPr>
            <w:r>
              <w:rPr>
                <w:rFonts w:hint="eastAsia" w:ascii="宋体"/>
                <w:color w:val="auto"/>
                <w:szCs w:val="21"/>
                <w:highlight w:val="none"/>
              </w:rPr>
              <w:t xml:space="preserve">垃圾桶的拖倒复位以及垃圾桶的保洁工作</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left"/>
              <w:widowControl/>
              <w:rPr>
                <w:rFonts w:ascii="宋体"/>
                <w:color w:val="auto"/>
                <w:szCs w:val="21"/>
                <w:highlight w:val="none"/>
              </w:rPr>
            </w:pPr>
            <w:r>
              <w:rPr>
                <w:rFonts w:asci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工程（水电）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55周岁（含）以下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ascii="宋体"/>
                <w:color w:val="auto"/>
                <w:szCs w:val="21"/>
                <w:highlight w:val="none"/>
              </w:rPr>
            </w:pPr>
            <w:r>
              <w:rPr>
                <w:rFonts w:hint="eastAsia" w:asci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widowControl/>
              <w:rPr>
                <w:rFonts w:ascii="宋体"/>
                <w:color w:val="auto"/>
                <w:szCs w:val="21"/>
                <w:highlight w:val="none"/>
              </w:rPr>
            </w:pPr>
            <w:r>
              <w:rPr>
                <w:rFonts w:hint="eastAsia" w:ascii="宋体" w:hAnsi="宋体" w:cs="宋体"/>
                <w:color w:val="auto"/>
                <w:szCs w:val="21"/>
                <w:highlight w:val="none"/>
              </w:rPr>
              <w:t xml:space="preserve">5天8小时制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r>
        <w:trPr>
          <w:jc w:val="center"/>
          <w:trHeight w:val="283"/>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bottom w:w="15" w:type="dxa"/>
            </w:tcMar>
            <w:tcW w:w="3162" w:type="dxa"/>
            <w:vAlign w:val="center"/>
            <w:textDirection w:val="lrTb"/>
            <w:noWrap w:val="false"/>
          </w:tcPr>
          <w:p>
            <w:pPr>
              <w:jc w:val="center"/>
              <w:widowControl/>
              <w:rPr>
                <w:rFonts w:ascii="宋体"/>
                <w:b/>
                <w:bCs/>
                <w:color w:val="auto"/>
                <w:szCs w:val="21"/>
                <w:highlight w:val="none"/>
              </w:rPr>
            </w:pPr>
            <w:r>
              <w:rPr>
                <w:rFonts w:hint="eastAsia" w:ascii="宋体"/>
                <w:b/>
                <w:bCs/>
                <w:color w:val="auto"/>
                <w:szCs w:val="21"/>
                <w:highlight w:val="none"/>
              </w:rPr>
              <w:t xml:space="preserve">小  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850" w:type="dxa"/>
            <w:vAlign w:val="center"/>
            <w:textDirection w:val="lrTb"/>
            <w:noWrap w:val="false"/>
          </w:tcPr>
          <w:p>
            <w:pPr>
              <w:jc w:val="center"/>
              <w:rPr>
                <w:rFonts w:ascii="宋体"/>
                <w:b/>
                <w:bCs/>
                <w:color w:val="auto"/>
                <w:szCs w:val="21"/>
                <w:highlight w:val="none"/>
              </w:rPr>
            </w:pPr>
            <w:r>
              <w:rPr>
                <w:rFonts w:ascii="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23" w:type="dxa"/>
            <w:vAlign w:val="center"/>
            <w:textDirection w:val="lrTb"/>
            <w:noWrap w:val="false"/>
          </w:tcPr>
          <w:p>
            <w:pPr>
              <w:jc w:val="center"/>
              <w:rPr>
                <w:rFonts w:ascii="宋体"/>
                <w:b/>
                <w:bCs/>
                <w:color w:val="auto"/>
                <w:szCs w:val="21"/>
                <w:highlight w:val="none"/>
              </w:rPr>
            </w:pPr>
            <w:r>
              <w:rPr>
                <w:rFonts w:ascii="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16" w:type="dxa"/>
            <w:vAlign w:val="center"/>
            <w:textDirection w:val="lrTb"/>
            <w:noWrap w:val="false"/>
          </w:tcPr>
          <w:p>
            <w:pPr>
              <w:jc w:val="center"/>
              <w:widowControl/>
              <w:rPr>
                <w:rFonts w:hint="default" w:ascii="宋体" w:eastAsia="宋体"/>
                <w:b/>
                <w:bCs/>
                <w:color w:val="auto"/>
                <w:szCs w:val="21"/>
                <w:highlight w:val="none"/>
                <w:lang w:val="en-US" w:eastAsia="zh-CN"/>
              </w:rPr>
            </w:pPr>
            <w:r>
              <w:rPr>
                <w:rFonts w:hint="eastAsia" w:ascii="宋体"/>
                <w:b/>
                <w:bCs/>
                <w:color w:val="auto"/>
                <w:szCs w:val="21"/>
                <w:highlight w:val="none"/>
                <w:lang w:val="en-US" w:eastAsia="zh-CN"/>
              </w:rPr>
              <w:t xml:space="preserve">46</w:t>
            </w:r>
            <w:r/>
          </w:p>
        </w:tc>
        <w:tc>
          <w:tcPr>
            <w:tcBorders>
              <w:top w:val="none" w:color="000000" w:sz="4" w:space="0"/>
              <w:left w:val="single" w:color="auto" w:sz="4" w:space="0"/>
              <w:bottom w:val="single" w:color="000000" w:sz="4" w:space="0"/>
              <w:right w:val="single" w:color="000000" w:sz="4" w:space="0"/>
            </w:tcBorders>
            <w:tcMar>
              <w:left w:w="15" w:type="dxa"/>
              <w:top w:w="15" w:type="dxa"/>
              <w:right w:w="15" w:type="dxa"/>
              <w:bottom w:w="15" w:type="dxa"/>
            </w:tcMar>
            <w:tcW w:w="1417" w:type="dxa"/>
            <w:vAlign w:val="center"/>
            <w:textDirection w:val="lrTb"/>
            <w:noWrap w:val="false"/>
          </w:tcPr>
          <w:p>
            <w:pPr>
              <w:jc w:val="center"/>
              <w:rPr>
                <w:rFonts w:ascii="宋体"/>
                <w:b/>
                <w:bCs/>
                <w:color w:val="auto"/>
                <w:szCs w:val="21"/>
                <w:highlight w:val="none"/>
              </w:rPr>
            </w:pPr>
            <w:r>
              <w:rPr>
                <w:rFonts w:ascii="宋体"/>
                <w:b/>
                <w:bCs/>
                <w:color w:val="auto"/>
                <w:szCs w:val="21"/>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15" w:type="dxa"/>
            </w:tcMar>
            <w:tcW w:w="1394" w:type="dxa"/>
            <w:vAlign w:val="center"/>
            <w:textDirection w:val="lrTb"/>
            <w:noWrap w:val="false"/>
          </w:tcPr>
          <w:p>
            <w:pPr>
              <w:jc w:val="center"/>
              <w:rPr>
                <w:rFonts w:ascii="宋体"/>
                <w:color w:val="auto"/>
                <w:szCs w:val="21"/>
                <w:highlight w:val="none"/>
              </w:rPr>
            </w:pPr>
            <w:r>
              <w:rPr>
                <w:rFonts w:ascii="宋体"/>
                <w:color w:val="auto"/>
                <w:szCs w:val="21"/>
                <w:highlight w:val="none"/>
              </w:rPr>
            </w:r>
            <w:r/>
          </w:p>
        </w:tc>
      </w:tr>
    </w:tbl>
    <w:p>
      <w:pPr>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）根据《中华人民共和国劳动合同法》</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《中华人民共和国社会保险法》，中标供应商必须依法规范用工，符合规定条件的人员须签订劳动合同，依法参加社会保险</w:t>
      </w:r>
      <w:r>
        <w:rPr>
          <w:rFonts w:hint="eastAsia" w:ascii="宋体" w:hAnsi="宋体" w:eastAsia="宋体" w:cs="宋体"/>
          <w:b/>
          <w:bCs/>
          <w:color w:val="auto"/>
          <w:szCs w:val="21"/>
          <w:highlight w:val="none"/>
          <w:lang w:val="en-US" w:eastAsia="zh-CN"/>
        </w:rPr>
        <w:t xml:space="preserve">及缴纳住房公积金</w:t>
      </w:r>
      <w:r>
        <w:rPr>
          <w:rFonts w:hint="eastAsia" w:ascii="宋体" w:hAnsi="宋体" w:eastAsia="宋体" w:cs="宋体"/>
          <w:b/>
          <w:bCs/>
          <w:color w:val="auto"/>
          <w:szCs w:val="21"/>
          <w:highlight w:val="none"/>
        </w:rPr>
        <w:t xml:space="preserve">，工资应不低于最新公布的投标供应商所在地最低工资标准。</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中标供应商须在合同签订前三天内提供符合本项目人员配置要求的物业人员保安员证、建（构）筑物消防员证等相关职业资格证书。若无法提供或提供虚假材料的，将提请相关部门严肃处理，并承担一切社会经济责任。</w:t>
      </w:r>
      <w:r/>
    </w:p>
    <w:p>
      <w:pPr>
        <w:ind w:firstLine="482"/>
        <w:jc w:val="left"/>
        <w:spacing w:line="440" w:lineRule="exact"/>
        <w:rPr>
          <w:rFonts w:hAnsi="宋体"/>
          <w:b/>
          <w:color w:val="auto"/>
          <w:sz w:val="24"/>
          <w:szCs w:val="24"/>
          <w:highlight w:val="none"/>
        </w:rPr>
      </w:pPr>
      <w:r>
        <w:rPr>
          <w:rFonts w:hint="eastAsia" w:hAnsi="宋体"/>
          <w:b/>
          <w:bCs/>
          <w:color w:val="auto"/>
          <w:sz w:val="24"/>
          <w:szCs w:val="24"/>
          <w:highlight w:val="none"/>
        </w:rPr>
        <w:t xml:space="preserve">三、具体物业管理服务（江苏省省标三级）和范围</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.清洁管理</w:t>
      </w:r>
      <w:r>
        <w:rPr>
          <w:rFonts w:hint="eastAsia" w:hAnsi="宋体" w:cs="宋体"/>
          <w:b/>
          <w:color w:val="auto"/>
          <w:sz w:val="24"/>
          <w:szCs w:val="24"/>
          <w:highlight w:val="none"/>
        </w:rPr>
        <w:t xml:space="preserve">标准</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.1共用楼道保洁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每日打扫1次各楼层通道和楼梯台阶，每周拖洗2次；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水磨石地面和水泥地面每月刷洗1次，大理石地面每季度抛光打蜡1次；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每日收集2次业主（使用人）垃圾；</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每日清理1次通道摆放的烟灰缸内垃圾和烟头；</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每日用干净的抹布擦抹1次楼梯扶手；</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各层和通道的防火门、消防栓、玻璃箱内侧、灯具、墙面、地脚线、指示牌等公共设施每月循环清洁1次；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各梯间墙面、天花板每月除尘1次；每月擦1次楼梯道共用门窗玻璃。地面、梯间基本干净，无垃圾、灰尘、杂物</w:t>
      </w: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污渍、水渍，无乱贴乱</w:t>
      </w:r>
      <w:r>
        <w:rPr>
          <w:rFonts w:hint="eastAsia" w:hAnsi="宋体" w:cs="宋体"/>
          <w:color w:val="auto"/>
          <w:sz w:val="24"/>
          <w:szCs w:val="24"/>
          <w:highlight w:val="none"/>
          <w:lang w:val="en-US" w:eastAsia="zh-CN"/>
        </w:rPr>
        <w:t xml:space="preserve">画</w:t>
      </w:r>
      <w:r>
        <w:rPr>
          <w:rFonts w:hAnsi="宋体" w:cs="宋体"/>
          <w:color w:val="auto"/>
          <w:sz w:val="24"/>
          <w:szCs w:val="24"/>
          <w:highlight w:val="none"/>
        </w:rPr>
        <w:t xml:space="preserve">，无擅自占用现象，无乱堆乱放；</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扶手</w:t>
      </w:r>
      <w:r>
        <w:rPr>
          <w:rFonts w:hint="eastAsia" w:hAnsi="宋体" w:cs="宋体"/>
          <w:color w:val="auto"/>
          <w:sz w:val="24"/>
          <w:szCs w:val="24"/>
          <w:highlight w:val="none"/>
          <w:lang w:eastAsia="zh-CN"/>
        </w:rPr>
        <w:t xml:space="preserve">护栏</w:t>
      </w:r>
      <w:r>
        <w:rPr>
          <w:rFonts w:hAnsi="宋体" w:cs="宋体"/>
          <w:color w:val="auto"/>
          <w:sz w:val="24"/>
          <w:szCs w:val="24"/>
          <w:highlight w:val="none"/>
        </w:rPr>
        <w:t xml:space="preserve">基本干净、光亮，清洁结束用干净纸巾擦拭检查20cm无显著脏污；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梯间顶面无明显蜘蛛网、灰尘，地脚线无明显污渍，地面目视无明显杂物、污迹。</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楼梯道玻璃无灰尘。</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2</w:t>
      </w:r>
      <w:r>
        <w:rPr>
          <w:rFonts w:hAnsi="宋体" w:cs="宋体"/>
          <w:b/>
          <w:color w:val="auto"/>
          <w:sz w:val="24"/>
          <w:szCs w:val="24"/>
          <w:highlight w:val="none"/>
        </w:rPr>
        <w:t xml:space="preserve"> 共用卫生间保洁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每日早、晚对共用卫生间清洁2次，保洁时悬挂醒目标识；</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清洁内容包括：通风换气；冲洗烟灰缸、洁具；清扫地面垃圾、清倒垃圾篓垃圾、换新的垃圾袋；</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用洗洁剂清洗大、小便器；用快捷布擦洗洗手盆并冲洗干净；用毛巾抹墙面、台面、开关、门牌；</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用毛巾擦干净玻璃、镜面；用拖把拖干净地面等；每月1次用毛巾擦灯具；每月2次对共用卫生间进行消杀，发现墙壁有字及时清洁。室内无异味、臭味；地面无烟头、纸屑、污渍、积水，天花板、墙面无灰尘、蜘蛛网，目视墙壁干净，便器洁净无黄渍。</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3</w:t>
      </w:r>
      <w:r>
        <w:rPr>
          <w:rFonts w:hAnsi="宋体" w:cs="宋体"/>
          <w:b/>
          <w:color w:val="auto"/>
          <w:sz w:val="24"/>
          <w:szCs w:val="24"/>
          <w:highlight w:val="none"/>
        </w:rPr>
        <w:t xml:space="preserve"> 停车场、共用车库或车棚保洁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每日清扫1次车库的纸屑和垃圾；及时清除地下室进出口的垃圾；发现油迹、污迹、锈迹，应及时擦洗干净；</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每月打开1次地下室、车库的集水坑和排水沟盖板，彻底疏通冲刷1次；每月擦洗1次门窗、消防栓、指示牌、指示灯、车位档、防火门等公共设施；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每月清扫1次地下室管线；</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每月进行</w:t>
      </w:r>
      <w:r>
        <w:rPr>
          <w:rFonts w:hint="eastAsia" w:hAnsi="宋体" w:cs="宋体"/>
          <w:color w:val="auto"/>
          <w:sz w:val="24"/>
          <w:szCs w:val="24"/>
          <w:highlight w:val="none"/>
        </w:rPr>
        <w:t xml:space="preserve">1</w:t>
      </w:r>
      <w:r>
        <w:rPr>
          <w:rFonts w:hAnsi="宋体" w:cs="宋体"/>
          <w:color w:val="auto"/>
          <w:sz w:val="24"/>
          <w:szCs w:val="24"/>
          <w:highlight w:val="none"/>
        </w:rPr>
        <w:t xml:space="preserve">次地下室消杀工作。地面无垃圾、果皮、纸屑、无积水、无油迹、无污迹和杂物；无异味、空气流通；</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管道油漆无脱落、无锈迹；标识、指示牌等公共设施目视无明显灰尘；墙面、管线基本无污迹、无积灰。</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4</w:t>
      </w:r>
      <w:r>
        <w:rPr>
          <w:rFonts w:hAnsi="宋体" w:cs="宋体"/>
          <w:b/>
          <w:color w:val="auto"/>
          <w:sz w:val="24"/>
          <w:szCs w:val="24"/>
          <w:highlight w:val="none"/>
        </w:rPr>
        <w:t xml:space="preserve">道路保洁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清扫2次，保洁时间不少于4小时，保洁人员往返一周时间不超过1小时，目视道路基本干净、整洁，无垃圾、杂物、浮砂，无污迹，无积水、积雪，每100m2痰迹、烟头、纸屑平均不超过5个，无直径1cm以上的石子；地面垃圾滞留时间不能超过1小时；</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每月清洁2次，目视灯具无灰尘，灯具内无蚊虫，灯盖、灯罩、灯座明亮清洁。</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5</w:t>
      </w:r>
      <w:r>
        <w:rPr>
          <w:rFonts w:hAnsi="宋体" w:cs="宋体"/>
          <w:b/>
          <w:color w:val="auto"/>
          <w:sz w:val="24"/>
          <w:szCs w:val="24"/>
          <w:highlight w:val="none"/>
        </w:rPr>
        <w:t xml:space="preserve">标识、宣传牌、雕塑、信报箱保洁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标识、宣传牌每3日擦拭1次，雕塑每月擦拭1次。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清洁后检查无污渍、无积灰，不损伤被清洁物；</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每周擦拭1次业主（使用人）信报箱，擦拭后信报箱干净无灰尘、无污迹。</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6</w:t>
      </w:r>
      <w:r>
        <w:rPr>
          <w:rFonts w:hAnsi="宋体" w:cs="宋体"/>
          <w:b/>
          <w:color w:val="auto"/>
          <w:sz w:val="24"/>
          <w:szCs w:val="24"/>
          <w:highlight w:val="none"/>
        </w:rPr>
        <w:t xml:space="preserve">绿化保洁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清扫2次绿化带、草地上垃圾，捡1次草地、绿化带上的烟头、棉签等小杂物，秋冬季节或落叶较多季节增加清洁次数，地面基本干净、无积尘、无污渍、无垃圾，每100m2痰迹、烟头、纸屑平均不超过5个，花坛表面洁净无污渍，地面垃圾滞留时间不超过1小时。</w:t>
      </w:r>
      <w:r/>
    </w:p>
    <w:p>
      <w:pPr>
        <w:ind w:firstLine="480"/>
        <w:jc w:val="left"/>
        <w:spacing w:line="440" w:lineRule="exact"/>
        <w:rPr>
          <w:rFonts w:hAnsi="宋体"/>
          <w:color w:val="auto"/>
          <w:sz w:val="24"/>
          <w:szCs w:val="24"/>
          <w:highlight w:val="none"/>
        </w:rPr>
      </w:pPr>
      <w:r>
        <w:rPr>
          <w:rFonts w:hint="eastAsia" w:hAnsi="宋体"/>
          <w:color w:val="auto"/>
          <w:sz w:val="24"/>
          <w:szCs w:val="24"/>
          <w:highlight w:val="none"/>
        </w:rPr>
        <w:t xml:space="preserve">及时进行浇水、养护，浇水的同时应冲洗叶面，保证室内绿化整洁鲜艳，提高观赏效果。大楼周围的树木、草坪要</w:t>
      </w:r>
      <w:r>
        <w:rPr>
          <w:rFonts w:hint="eastAsia" w:hAnsi="宋体"/>
          <w:color w:val="auto"/>
          <w:sz w:val="24"/>
          <w:szCs w:val="24"/>
          <w:highlight w:val="none"/>
          <w:lang w:eastAsia="zh-CN"/>
        </w:rPr>
        <w:t xml:space="preserve">及时</w:t>
      </w:r>
      <w:r>
        <w:rPr>
          <w:rFonts w:hint="eastAsia" w:hAnsi="宋体"/>
          <w:color w:val="auto"/>
          <w:sz w:val="24"/>
          <w:szCs w:val="24"/>
          <w:highlight w:val="none"/>
        </w:rPr>
        <w:t xml:space="preserve">拔除杂草，及时修剪平整，以免有碍景观。</w:t>
      </w:r>
      <w:r/>
    </w:p>
    <w:p>
      <w:pPr>
        <w:ind w:firstLine="480"/>
        <w:jc w:val="left"/>
        <w:spacing w:line="440" w:lineRule="exact"/>
        <w:rPr>
          <w:rFonts w:hAnsi="宋体"/>
          <w:color w:val="auto"/>
          <w:sz w:val="24"/>
          <w:szCs w:val="24"/>
          <w:highlight w:val="none"/>
        </w:rPr>
      </w:pPr>
      <w:r>
        <w:rPr>
          <w:rFonts w:hint="eastAsia" w:hAnsi="宋体"/>
          <w:color w:val="auto"/>
          <w:sz w:val="24"/>
          <w:szCs w:val="24"/>
          <w:highlight w:val="none"/>
        </w:rPr>
        <w:t xml:space="preserve">及时对树木、草坪进行浇水灌溉。水压要适中防止损坏花木及草坪。做好树木及草坪病虫害的预防工作，预防为主、防治结合。使用药品时，要加强对药品的管理，注意安全，科学用药。避免产生对其他环境的影响。</w:t>
      </w:r>
      <w:r/>
    </w:p>
    <w:p>
      <w:pPr>
        <w:ind w:firstLine="480"/>
        <w:jc w:val="left"/>
        <w:spacing w:line="440" w:lineRule="exact"/>
        <w:rPr>
          <w:rFonts w:hAnsi="宋体"/>
          <w:color w:val="auto"/>
          <w:sz w:val="24"/>
          <w:szCs w:val="24"/>
          <w:highlight w:val="none"/>
        </w:rPr>
      </w:pPr>
      <w:r>
        <w:rPr>
          <w:rFonts w:hint="eastAsia" w:hAnsi="宋体"/>
          <w:color w:val="auto"/>
          <w:sz w:val="24"/>
          <w:szCs w:val="24"/>
          <w:highlight w:val="none"/>
        </w:rPr>
        <w:t xml:space="preserve">保证树木成活率100%。</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7</w:t>
      </w:r>
      <w:r>
        <w:rPr>
          <w:rFonts w:hAnsi="宋体" w:cs="宋体"/>
          <w:b/>
          <w:color w:val="auto"/>
          <w:sz w:val="24"/>
          <w:szCs w:val="24"/>
          <w:highlight w:val="none"/>
        </w:rPr>
        <w:t xml:space="preserve">休闲、娱乐、健身设施保洁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每日清洁1次（擦拭表面灰尘、用清洁剂擦拭污渍用清水冲洗干净用抹布抹干、清扫垃圾、擦拭座椅）；</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每月彻底刷洗消毒1次；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设施表面干净，无灰尘污渍、锈迹，目视游乐场内及其周围无果皮、纸屑等垃圾，及时发现设施、设备脱焊、脱漆、断裂及其他安全隐患并报告处理。</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8</w:t>
      </w:r>
      <w:r>
        <w:rPr>
          <w:rFonts w:hAnsi="宋体" w:cs="宋体"/>
          <w:b/>
          <w:color w:val="auto"/>
          <w:sz w:val="24"/>
          <w:szCs w:val="24"/>
          <w:highlight w:val="none"/>
        </w:rPr>
        <w:t xml:space="preserve">门卫、岗亭、监控探头保洁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门卫、岗亭每日清洁2次，内外地面拖洗干净，擦洗干净内外门窗玻璃、窗台</w:t>
      </w:r>
      <w:r>
        <w:rPr>
          <w:rFonts w:hint="eastAsia" w:hAnsi="宋体" w:cs="宋体"/>
          <w:color w:val="auto"/>
          <w:sz w:val="24"/>
          <w:szCs w:val="24"/>
          <w:highlight w:val="none"/>
          <w:lang w:val="en-US" w:eastAsia="zh-CN"/>
        </w:rPr>
        <w:t xml:space="preserve">以</w:t>
      </w:r>
      <w:r>
        <w:rPr>
          <w:rFonts w:hAnsi="宋体" w:cs="宋体"/>
          <w:color w:val="auto"/>
          <w:sz w:val="24"/>
          <w:szCs w:val="24"/>
          <w:highlight w:val="none"/>
        </w:rPr>
        <w:t xml:space="preserve">及其他台面，室内外墙面每月清洁2次，发现不卫生随时处理，保持墙、地面干净、光亮、整洁，保安岗亭随时保洁，墙面、顶面无积灰；</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工、器具排放整齐、有序；监控探头每周擦拭1次，镜头用专用纸，探头外表用微湿的毛巾；擦拭不得刮伤镜片，清洁后镜头光亮洁净，探头外表干净无灰尘。</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9</w:t>
      </w:r>
      <w:r>
        <w:rPr>
          <w:rFonts w:hAnsi="宋体" w:cs="宋体"/>
          <w:b/>
          <w:color w:val="auto"/>
          <w:sz w:val="24"/>
          <w:szCs w:val="24"/>
          <w:highlight w:val="none"/>
        </w:rPr>
        <w:t xml:space="preserve">垃圾桶、果皮箱</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垃圾桶、果皮箱：每日清运2次；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每日抹布抹1次；</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垃圾桶、果皮箱周围地面无散落垃圾、无污水、无明显污迹；垃圾桶、果皮箱无明显污迹、油污，无明显异味。</w:t>
      </w:r>
      <w:r/>
    </w:p>
    <w:p>
      <w:pPr>
        <w:ind w:firstLine="482"/>
        <w:jc w:val="left"/>
        <w:spacing w:line="440" w:lineRule="exact"/>
        <w:rPr>
          <w:rFonts w:hAnsi="宋体" w:cs="宋体"/>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.1</w:t>
      </w:r>
      <w:r>
        <w:rPr>
          <w:rFonts w:hint="eastAsia" w:hAnsi="宋体" w:cs="宋体"/>
          <w:b/>
          <w:color w:val="auto"/>
          <w:sz w:val="24"/>
          <w:szCs w:val="24"/>
          <w:highlight w:val="none"/>
        </w:rPr>
        <w:t xml:space="preserve">0</w:t>
      </w:r>
      <w:r>
        <w:rPr>
          <w:rFonts w:hAnsi="宋体" w:cs="宋体"/>
          <w:b/>
          <w:color w:val="auto"/>
          <w:sz w:val="24"/>
          <w:szCs w:val="24"/>
          <w:highlight w:val="none"/>
        </w:rPr>
        <w:t xml:space="preserve">垃圾收集与处理</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保持垃圾桶清洁，回收垃圾桶垃圾后重新铺好新的垃圾袋；再盖好垃圾桶盖；垃圾分类收集；对有毒物质分离特殊处理；建筑垃圾定点堆放</w:t>
      </w:r>
      <w:r>
        <w:rPr>
          <w:rFonts w:hint="eastAsia" w:hAnsi="宋体" w:cs="宋体"/>
          <w:color w:val="auto"/>
          <w:sz w:val="24"/>
          <w:szCs w:val="24"/>
          <w:highlight w:val="none"/>
        </w:rPr>
        <w:t xml:space="preserve">。</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.1</w:t>
      </w:r>
      <w:r>
        <w:rPr>
          <w:rFonts w:hint="eastAsia" w:hAnsi="宋体" w:cs="宋体"/>
          <w:b/>
          <w:color w:val="auto"/>
          <w:sz w:val="24"/>
          <w:szCs w:val="24"/>
          <w:highlight w:val="none"/>
        </w:rPr>
        <w:t xml:space="preserve">1</w:t>
      </w:r>
      <w:r>
        <w:rPr>
          <w:rFonts w:hAnsi="宋体" w:cs="宋体"/>
          <w:b/>
          <w:color w:val="auto"/>
          <w:sz w:val="24"/>
          <w:szCs w:val="24"/>
          <w:highlight w:val="none"/>
        </w:rPr>
        <w:t xml:space="preserve">卫生消杀</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夏季等蚊、蝇</w:t>
      </w:r>
      <w:r>
        <w:rPr>
          <w:rFonts w:hint="eastAsia" w:hAnsi="宋体" w:cs="宋体"/>
          <w:color w:val="auto"/>
          <w:sz w:val="24"/>
          <w:szCs w:val="24"/>
          <w:highlight w:val="none"/>
          <w:lang w:val="en-US" w:eastAsia="zh-CN"/>
        </w:rPr>
        <w:t xml:space="preserve">滋生</w:t>
      </w:r>
      <w:r>
        <w:rPr>
          <w:rFonts w:hAnsi="宋体" w:cs="宋体"/>
          <w:color w:val="auto"/>
          <w:sz w:val="24"/>
          <w:szCs w:val="24"/>
          <w:highlight w:val="none"/>
        </w:rPr>
        <w:t xml:space="preserve">季节每月消杀1次，其他根据季节和当地情况制定具体计划；灭鼠：每季进行1次；确保操作人员和业主（使用人）安全，有切实可行措施，不干扰业主（使用人）正常生活，检查仓库、地下室，目视无明显蚊虫在飞；检查办公室、食堂，目视无苍蝇在飞；抽查楼道无明显鼠迹。</w:t>
      </w:r>
      <w:r/>
    </w:p>
    <w:p>
      <w:pPr>
        <w:ind w:firstLine="480"/>
        <w:jc w:val="left"/>
        <w:spacing w:line="440" w:lineRule="exact"/>
        <w:rPr>
          <w:rFonts w:hAnsi="宋体"/>
          <w:color w:val="auto"/>
          <w:sz w:val="24"/>
          <w:szCs w:val="24"/>
          <w:highlight w:val="none"/>
        </w:rPr>
      </w:pPr>
      <w:r>
        <w:rPr>
          <w:rFonts w:hint="eastAsia" w:hAnsi="宋体"/>
          <w:color w:val="auto"/>
          <w:sz w:val="24"/>
          <w:szCs w:val="24"/>
          <w:highlight w:val="none"/>
        </w:rPr>
        <w:t xml:space="preserve">公用设施设备的清洁卫生、沟渠、下水管道消毒杀菌无异味。</w:t>
      </w:r>
      <w:r/>
    </w:p>
    <w:p>
      <w:pPr>
        <w:ind w:firstLine="480"/>
        <w:jc w:val="left"/>
        <w:spacing w:line="440" w:lineRule="exact"/>
        <w:rPr>
          <w:rFonts w:hAnsi="宋体"/>
          <w:color w:val="auto"/>
          <w:sz w:val="24"/>
          <w:szCs w:val="24"/>
          <w:highlight w:val="none"/>
        </w:rPr>
      </w:pPr>
      <w:r>
        <w:rPr>
          <w:rFonts w:hint="eastAsia" w:hAnsi="宋体"/>
          <w:color w:val="auto"/>
          <w:sz w:val="24"/>
          <w:szCs w:val="24"/>
          <w:highlight w:val="none"/>
        </w:rPr>
        <w:t xml:space="preserve">“四害”防治及处理。</w:t>
      </w:r>
      <w:r>
        <w:rPr>
          <w:rFonts w:hint="eastAsia" w:hAnsi="宋体" w:cs="宋体"/>
          <w:color w:val="auto"/>
          <w:sz w:val="24"/>
          <w:szCs w:val="24"/>
          <w:highlight w:val="none"/>
        </w:rPr>
        <w:t xml:space="preserve">按国家卫生城市标准和要求对公共场所和周围环境定期进行预防性卫生消杀，制定详尽的消杀预防方案，消除老鼠蟑螂苍蝇及其他有害昆虫及其滋生条件，做到科学、有效、有记录。</w:t>
      </w:r>
      <w:r>
        <w:rPr>
          <w:rFonts w:hint="eastAsia" w:hAnsi="宋体"/>
          <w:color w:val="auto"/>
          <w:sz w:val="24"/>
          <w:szCs w:val="24"/>
          <w:highlight w:val="none"/>
        </w:rPr>
        <w:t xml:space="preserve">完成突发性事件造成的保洁工作，配合做好防汛、防冻、防台风、防火的应急处理。</w:t>
      </w:r>
      <w:r/>
    </w:p>
    <w:p>
      <w:pPr>
        <w:ind w:firstLine="482"/>
        <w:jc w:val="left"/>
        <w:spacing w:line="440" w:lineRule="exact"/>
        <w:rPr>
          <w:rFonts w:hAnsi="宋体" w:cs="宋体"/>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12</w:t>
      </w:r>
      <w:r>
        <w:rPr>
          <w:rFonts w:hAnsi="宋体" w:cs="宋体"/>
          <w:b/>
          <w:color w:val="auto"/>
          <w:sz w:val="24"/>
          <w:szCs w:val="24"/>
          <w:highlight w:val="none"/>
        </w:rPr>
        <w:t xml:space="preserve">喷水池</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每日用捞筛对喷水池水面漂浮物打捞清洁1次；每</w:t>
      </w:r>
      <w:r>
        <w:rPr>
          <w:rFonts w:hint="eastAsia" w:hAnsi="宋体" w:cs="宋体"/>
          <w:color w:val="auto"/>
          <w:sz w:val="24"/>
          <w:szCs w:val="24"/>
          <w:highlight w:val="none"/>
        </w:rPr>
        <w:t xml:space="preserve">季</w:t>
      </w:r>
      <w:r>
        <w:rPr>
          <w:rFonts w:hAnsi="宋体" w:cs="宋体"/>
          <w:color w:val="auto"/>
          <w:sz w:val="24"/>
          <w:szCs w:val="24"/>
          <w:highlight w:val="none"/>
        </w:rPr>
        <w:t xml:space="preserve">对喷水池清洁1次（刷洗水池瓷砖；抹洗灯饰、水泵、喷头、电线、大石表层的青苔、污垢；清理池底脏物、垃圾；清洗喷水池地面、清洗池底鹅卵石、周围地面等）；目视池底清澈见底，水面无杂物、池底无沉淀物、池边无污迹。</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1</w:t>
      </w:r>
      <w:r>
        <w:rPr>
          <w:rFonts w:hAnsi="宋体" w:cs="宋体"/>
          <w:b/>
          <w:color w:val="auto"/>
          <w:sz w:val="24"/>
          <w:szCs w:val="24"/>
          <w:highlight w:val="none"/>
        </w:rPr>
        <w:t xml:space="preserve">.</w:t>
      </w:r>
      <w:r>
        <w:rPr>
          <w:rFonts w:hint="eastAsia" w:hAnsi="宋体" w:cs="宋体"/>
          <w:b/>
          <w:color w:val="auto"/>
          <w:sz w:val="24"/>
          <w:szCs w:val="24"/>
          <w:highlight w:val="none"/>
        </w:rPr>
        <w:t xml:space="preserve">13</w:t>
      </w:r>
      <w:r>
        <w:rPr>
          <w:rFonts w:hAnsi="宋体" w:cs="宋体"/>
          <w:b/>
          <w:color w:val="auto"/>
          <w:sz w:val="24"/>
          <w:szCs w:val="24"/>
          <w:highlight w:val="none"/>
        </w:rPr>
        <w:t xml:space="preserve">假山、亭、廊、雕塑等建筑小品</w:t>
      </w:r>
      <w:r/>
    </w:p>
    <w:p>
      <w:pPr>
        <w:ind w:firstLine="480"/>
        <w:jc w:val="left"/>
        <w:spacing w:line="440" w:lineRule="exact"/>
        <w:rPr>
          <w:rFonts w:hAnsi="宋体" w:cs="宋体"/>
          <w:b/>
          <w:color w:val="auto"/>
          <w:sz w:val="24"/>
          <w:szCs w:val="24"/>
          <w:highlight w:val="none"/>
        </w:rPr>
      </w:pPr>
      <w:r>
        <w:rPr>
          <w:rFonts w:hAnsi="宋体" w:cs="宋体"/>
          <w:color w:val="auto"/>
          <w:sz w:val="24"/>
          <w:szCs w:val="24"/>
          <w:highlight w:val="none"/>
        </w:rPr>
        <w:t xml:space="preserve">每</w:t>
      </w:r>
      <w:r>
        <w:rPr>
          <w:rFonts w:hint="eastAsia" w:hAnsi="宋体" w:cs="宋体"/>
          <w:color w:val="auto"/>
          <w:sz w:val="24"/>
          <w:szCs w:val="24"/>
          <w:highlight w:val="none"/>
        </w:rPr>
        <w:t xml:space="preserve">季</w:t>
      </w:r>
      <w:r>
        <w:rPr>
          <w:rFonts w:hAnsi="宋体" w:cs="宋体"/>
          <w:color w:val="auto"/>
          <w:sz w:val="24"/>
          <w:szCs w:val="24"/>
          <w:highlight w:val="none"/>
        </w:rPr>
        <w:t xml:space="preserve">清洁1次，细致、认真、全面的检查1次，主要检查山石之间是否牢固；大理石雕塑每半年擦洗1次。</w:t>
      </w:r>
      <w:r/>
    </w:p>
    <w:p>
      <w:pPr>
        <w:ind w:firstLine="482"/>
        <w:jc w:val="left"/>
        <w:spacing w:line="440" w:lineRule="exact"/>
        <w:rPr>
          <w:rFonts w:hAnsi="宋体"/>
          <w:b/>
          <w:color w:val="auto"/>
          <w:sz w:val="24"/>
          <w:szCs w:val="24"/>
          <w:highlight w:val="none"/>
        </w:rPr>
      </w:pPr>
      <w:r>
        <w:rPr>
          <w:rFonts w:hint="eastAsia" w:hAnsi="宋体"/>
          <w:b/>
          <w:color w:val="auto"/>
          <w:sz w:val="24"/>
          <w:szCs w:val="24"/>
          <w:highlight w:val="none"/>
        </w:rPr>
        <w:t xml:space="preserve">2</w:t>
      </w:r>
      <w:r>
        <w:rPr>
          <w:rFonts w:hAnsi="宋体"/>
          <w:b/>
          <w:color w:val="auto"/>
          <w:sz w:val="24"/>
          <w:szCs w:val="24"/>
          <w:highlight w:val="none"/>
        </w:rPr>
        <w:t xml:space="preserve">.</w:t>
      </w:r>
      <w:r>
        <w:rPr>
          <w:rFonts w:hint="eastAsia" w:hAnsi="宋体"/>
          <w:b/>
          <w:color w:val="auto"/>
          <w:sz w:val="24"/>
          <w:szCs w:val="24"/>
          <w:highlight w:val="none"/>
        </w:rPr>
        <w:t xml:space="preserve"> 保安管理标准</w:t>
      </w:r>
      <w:r/>
    </w:p>
    <w:p>
      <w:pPr>
        <w:ind w:firstLine="482"/>
        <w:jc w:val="left"/>
        <w:spacing w:line="440" w:lineRule="exact"/>
        <w:rPr>
          <w:rFonts w:hAnsi="宋体"/>
          <w:b/>
          <w:color w:val="auto"/>
          <w:sz w:val="24"/>
          <w:szCs w:val="24"/>
          <w:highlight w:val="none"/>
        </w:rPr>
      </w:pPr>
      <w:r>
        <w:rPr>
          <w:rFonts w:hint="eastAsia" w:hAnsi="宋体"/>
          <w:b/>
          <w:color w:val="auto"/>
          <w:sz w:val="24"/>
          <w:szCs w:val="24"/>
          <w:highlight w:val="none"/>
        </w:rPr>
        <w:t xml:space="preserve">2</w:t>
      </w:r>
      <w:r>
        <w:rPr>
          <w:rFonts w:hAnsi="宋体"/>
          <w:b/>
          <w:color w:val="auto"/>
          <w:sz w:val="24"/>
          <w:szCs w:val="24"/>
          <w:highlight w:val="none"/>
        </w:rPr>
        <w:t xml:space="preserve">.1人员组织</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专职安全护卫人员，身体健康，责任心强，工作认真负责，体态良好；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接受过安全护卫或相关训练，训练有素，掌握基本安全护卫技能，并定期进行安全防范学习，增强安全防范能力；</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熟悉</w:t>
      </w:r>
      <w:r>
        <w:rPr>
          <w:rFonts w:hint="eastAsia" w:hAnsi="宋体" w:cs="宋体"/>
          <w:color w:val="auto"/>
          <w:sz w:val="24"/>
          <w:szCs w:val="24"/>
          <w:highlight w:val="none"/>
        </w:rPr>
        <w:t xml:space="preserve">社区</w:t>
      </w:r>
      <w:r>
        <w:rPr>
          <w:rFonts w:hAnsi="宋体" w:cs="宋体"/>
          <w:color w:val="auto"/>
          <w:sz w:val="24"/>
          <w:szCs w:val="24"/>
          <w:highlight w:val="none"/>
        </w:rPr>
        <w:t xml:space="preserve">环境，熟悉物业管理及有关法律法规，能恰当的处理和应对小区护卫工作；思想品质好，作风正派，热爱安全护卫工作，无犯罪记录；</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当班时</w:t>
      </w:r>
      <w:r>
        <w:rPr>
          <w:rFonts w:hint="eastAsia" w:hAnsi="宋体" w:cs="宋体"/>
          <w:color w:val="auto"/>
          <w:sz w:val="24"/>
          <w:szCs w:val="24"/>
          <w:highlight w:val="none"/>
        </w:rPr>
        <w:t xml:space="preserve">保安人员上岗必须凭证并统一着装（着保安服、系武装带，戴保安帽），并</w:t>
      </w:r>
      <w:r>
        <w:rPr>
          <w:rFonts w:hAnsi="宋体" w:cs="宋体"/>
          <w:color w:val="auto"/>
          <w:sz w:val="24"/>
          <w:szCs w:val="24"/>
          <w:highlight w:val="none"/>
        </w:rPr>
        <w:t xml:space="preserve">配备对讲装置和其他必备的安全护卫工具</w:t>
      </w:r>
      <w:r>
        <w:rPr>
          <w:rFonts w:hint="eastAsia" w:hAnsi="宋体" w:cs="宋体"/>
          <w:color w:val="auto"/>
          <w:sz w:val="24"/>
          <w:szCs w:val="24"/>
          <w:highlight w:val="none"/>
        </w:rPr>
        <w:t xml:space="preserve">及警用器材；</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上岗时精神振作，举止应文明，姿态良好，大方、得体，精神振作，姿态良好，抬头挺胸，注意检查和保持仪表；在执勤时不吸烟、</w:t>
      </w:r>
      <w:r>
        <w:rPr>
          <w:rFonts w:hint="eastAsia" w:hAnsi="宋体" w:cs="宋体"/>
          <w:color w:val="auto"/>
          <w:sz w:val="24"/>
          <w:szCs w:val="24"/>
          <w:highlight w:val="none"/>
          <w:lang w:val="en-US" w:eastAsia="zh-CN"/>
        </w:rPr>
        <w:t xml:space="preserve">不</w:t>
      </w:r>
      <w:r>
        <w:rPr>
          <w:rFonts w:hAnsi="宋体" w:cs="宋体"/>
          <w:color w:val="auto"/>
          <w:sz w:val="24"/>
          <w:szCs w:val="24"/>
          <w:highlight w:val="none"/>
        </w:rPr>
        <w:t xml:space="preserve">吃零食</w:t>
      </w:r>
      <w:r>
        <w:rPr>
          <w:rFonts w:hint="eastAsia" w:hAnsi="宋体" w:cs="宋体"/>
          <w:color w:val="auto"/>
          <w:sz w:val="24"/>
          <w:szCs w:val="24"/>
          <w:highlight w:val="none"/>
          <w:lang w:eastAsia="zh-CN"/>
        </w:rPr>
        <w:t xml:space="preserve">，</w:t>
      </w:r>
      <w:r>
        <w:rPr>
          <w:rFonts w:hAnsi="宋体" w:cs="宋体"/>
          <w:color w:val="auto"/>
          <w:sz w:val="24"/>
          <w:szCs w:val="24"/>
          <w:highlight w:val="none"/>
        </w:rPr>
        <w:t xml:space="preserve"> 不袖手、背手、</w:t>
      </w:r>
      <w:r>
        <w:rPr>
          <w:rFonts w:hint="eastAsia" w:hAnsi="宋体" w:cs="宋体"/>
          <w:color w:val="auto"/>
          <w:sz w:val="24"/>
          <w:szCs w:val="24"/>
          <w:highlight w:val="none"/>
          <w:lang w:val="en-US" w:eastAsia="zh-CN"/>
        </w:rPr>
        <w:t xml:space="preserve">叉</w:t>
      </w:r>
      <w:r>
        <w:rPr>
          <w:rFonts w:hAnsi="宋体" w:cs="宋体"/>
          <w:color w:val="auto"/>
          <w:sz w:val="24"/>
          <w:szCs w:val="24"/>
          <w:highlight w:val="none"/>
        </w:rPr>
        <w:t xml:space="preserve">腰或将手插入衣袋，不弯腰驼背，前倾后靠；讲普通话；</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交接班制度完善，并有工作及交接班记录。</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.2门卫</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各出入口24小时有值班看守，主出入口至少有2人驻守，其余出入口至少有一人值守；按照委托合同要求进行进出车辆管理、访客登记，谢绝业主拒绝访问人员和未经业主批准的商贩入内，大件物品搬出实行登记，实施交通指挥交通疏导等工作。</w:t>
      </w:r>
      <w:r/>
    </w:p>
    <w:p>
      <w:pPr>
        <w:ind w:left="479"/>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.3巡逻</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白天巡逻次数不少于6次，夜间巡逻次数不少于8次，重点部位、重点时间以及特殊情况加强巡逻；及时发现和处理安全隐患；接受业主（使用人）投诉和求助；回答用户的询问；在遇到突发事件时，及时报告警方与管理处，必要时采取正当防卫，防止事态扩大，协助保护现场和证据；安全巡逻有记录有检查。 </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.4紧急事故反应</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制定紧急事故处理预案，至少包括：火灾、爆炸、地震、炸弹恐吓、安全疏散等；</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有紧急事件救护组织，并始终处于紧急事故反应状态；</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书面描述紧急事故救护组织职责，并让每位成员了解，周期性地进行反应训练；</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按消防要求组织进行疏散演习；</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对紧急事故做出快速、正确的反应；尽可能减少破坏和损失程度；</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.5其他防范措施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设有业主（使用人）求助与报警电话，24小时有人值守；</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接到报警信号，确认后管理处应立即派人赶往现场查看，予以恰当的紧急处理；</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涉及人身安全处，设有明显标志并有防护措施；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协助有关部门维持</w:t>
      </w:r>
      <w:r>
        <w:rPr>
          <w:rFonts w:hint="eastAsia" w:hAnsi="宋体" w:cs="宋体"/>
          <w:color w:val="auto"/>
          <w:sz w:val="24"/>
          <w:szCs w:val="24"/>
          <w:highlight w:val="none"/>
        </w:rPr>
        <w:t xml:space="preserve">社区</w:t>
      </w:r>
      <w:r>
        <w:rPr>
          <w:rFonts w:hAnsi="宋体" w:cs="宋体"/>
          <w:color w:val="auto"/>
          <w:sz w:val="24"/>
          <w:szCs w:val="24"/>
          <w:highlight w:val="none"/>
        </w:rPr>
        <w:t xml:space="preserve">正常生活秩序，防止不安全事件发生；</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对</w:t>
      </w:r>
      <w:r>
        <w:rPr>
          <w:rFonts w:hint="eastAsia" w:hAnsi="宋体" w:cs="宋体"/>
          <w:color w:val="auto"/>
          <w:sz w:val="24"/>
          <w:szCs w:val="24"/>
          <w:highlight w:val="none"/>
        </w:rPr>
        <w:t xml:space="preserve">社区</w:t>
      </w:r>
      <w:r>
        <w:rPr>
          <w:rFonts w:hAnsi="宋体" w:cs="宋体"/>
          <w:color w:val="auto"/>
          <w:sz w:val="24"/>
          <w:szCs w:val="24"/>
          <w:highlight w:val="none"/>
        </w:rPr>
        <w:t xml:space="preserve">内外围边界、角落、车库、道路的照明设施加强维护，保持必要的照明；</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建立空置房屋、设备室、垃圾房、杂物房巡查、钥匙管理及登记备案制度。</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.6交通、车辆管理</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有较为完善的车辆管理制度；</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社区</w:t>
      </w:r>
      <w:r>
        <w:rPr>
          <w:rFonts w:hAnsi="宋体" w:cs="宋体"/>
          <w:color w:val="auto"/>
          <w:sz w:val="24"/>
          <w:szCs w:val="24"/>
          <w:highlight w:val="none"/>
        </w:rPr>
        <w:t xml:space="preserve">设置明显的交通标志；</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维持交通秩序，发现车辆未上锁及乱停乱放进行忠告或纠正，发现偷盗车辆、破坏交通设施等现象及时制止；</w:t>
      </w:r>
      <w:r/>
    </w:p>
    <w:p>
      <w:pPr>
        <w:jc w:val="left"/>
        <w:spacing w:line="440" w:lineRule="exact"/>
        <w:rPr>
          <w:rFonts w:hAnsi="宋体" w:cs="宋体"/>
          <w:color w:val="auto"/>
          <w:sz w:val="24"/>
          <w:szCs w:val="24"/>
          <w:highlight w:val="none"/>
        </w:rPr>
      </w:pPr>
      <w:r>
        <w:rPr>
          <w:rFonts w:hAnsi="宋体" w:cs="宋体"/>
          <w:color w:val="auto"/>
          <w:sz w:val="24"/>
          <w:szCs w:val="24"/>
          <w:highlight w:val="none"/>
        </w:rPr>
        <w:t xml:space="preserve">封闭停车场由专人管理，车辆进场、离场有检查、记录；管理人员责任心强，认真负责。</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2</w:t>
      </w:r>
      <w:r>
        <w:rPr>
          <w:rFonts w:hAnsi="宋体" w:cs="宋体"/>
          <w:b/>
          <w:color w:val="auto"/>
          <w:sz w:val="24"/>
          <w:szCs w:val="24"/>
          <w:highlight w:val="none"/>
        </w:rPr>
        <w:t xml:space="preserve">.7消防</w:t>
      </w:r>
      <w:r/>
    </w:p>
    <w:p>
      <w:pPr>
        <w:ind w:firstLine="480"/>
        <w:jc w:val="left"/>
        <w:spacing w:line="440" w:lineRule="exact"/>
        <w:rPr>
          <w:rFonts w:hAnsi="宋体" w:eastAsia="宋体" w:cs="宋体"/>
          <w:color w:val="auto"/>
          <w:sz w:val="24"/>
          <w:szCs w:val="24"/>
          <w:highlight w:val="none"/>
        </w:rPr>
      </w:pPr>
      <w:r>
        <w:rPr>
          <w:rFonts w:hAnsi="宋体" w:eastAsia="宋体" w:cs="宋体"/>
          <w:color w:val="auto"/>
          <w:sz w:val="24"/>
          <w:szCs w:val="24"/>
          <w:highlight w:val="none"/>
        </w:rPr>
        <w:t xml:space="preserve">执行《中华人民共和国消防</w:t>
      </w:r>
      <w:r>
        <w:rPr>
          <w:rFonts w:hint="eastAsia" w:hAnsi="宋体" w:eastAsia="宋体" w:cs="宋体"/>
          <w:color w:val="auto"/>
          <w:sz w:val="24"/>
          <w:szCs w:val="24"/>
          <w:highlight w:val="none"/>
          <w:lang w:val="en-US" w:eastAsia="zh-CN"/>
        </w:rPr>
        <w:t xml:space="preserve">法</w:t>
      </w:r>
      <w:r>
        <w:rPr>
          <w:rFonts w:hAnsi="宋体" w:eastAsia="宋体" w:cs="宋体"/>
          <w:color w:val="auto"/>
          <w:sz w:val="24"/>
          <w:szCs w:val="24"/>
          <w:highlight w:val="none"/>
        </w:rPr>
        <w:t xml:space="preserve">》</w:t>
      </w:r>
      <w:r>
        <w:rPr>
          <w:rFonts w:hint="eastAsia" w:hAnsi="宋体" w:eastAsia="宋体" w:cs="宋体"/>
          <w:color w:val="auto"/>
          <w:sz w:val="24"/>
          <w:szCs w:val="24"/>
          <w:highlight w:val="none"/>
          <w:lang w:val="en-US" w:eastAsia="zh-CN"/>
        </w:rPr>
        <w:t xml:space="preserve">和</w:t>
      </w:r>
      <w:r>
        <w:rPr>
          <w:rFonts w:hAnsi="宋体" w:eastAsia="宋体" w:cs="宋体"/>
          <w:color w:val="auto"/>
          <w:sz w:val="24"/>
          <w:szCs w:val="24"/>
          <w:highlight w:val="none"/>
        </w:rPr>
        <w:t xml:space="preserve">其他有关消防法规；</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健全消防组织，建立消防责任制；</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定期进行消防训练，保证有关人员掌握基本消防技能；熟练掌握防火、灭火知识和消防器材的使用方法，提高自防自救的能力。</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根据防火、灭火的需要，配置相应种类、数量的消防器材、设备和设施；保持消防通道畅通，禁止在消防通道设置路障；</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制定防火安全管理办法，指定专人维护、管理消防器材、设备和设施，保持完整好用；</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发现火警有义务迅速向消防队报警，并马上派人前往报警地点，迅速采取措施，组织力量救火，抢救生命和物资，派人接应消防车，服从火场总指挥员的统一指挥；</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每月1次巡查消防栓、箱、烟感头、喷淋头、消防水阀、消防标志等消防设备是否完好、齐全，并及时给予维修；发现设备故障时，必须及时修理或通知厂方处理，保证设备24小时正常运转；</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每日检测1次喷淋管网水压，发现压力不够，马上检修排除故障；</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每年模拟火灾操作1次，以熟悉操作和检查消防监控设备；</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消防监控室保持清洁，每周至少保洁1次，要求地面无积灰，监控箱表面无污渍；</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每日填写工作记录，建档备查。</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3</w:t>
      </w:r>
      <w:r>
        <w:rPr>
          <w:rFonts w:hAnsi="宋体" w:cs="宋体"/>
          <w:b/>
          <w:color w:val="auto"/>
          <w:sz w:val="24"/>
          <w:szCs w:val="24"/>
          <w:highlight w:val="none"/>
        </w:rPr>
        <w:t xml:space="preserve">.</w:t>
      </w:r>
      <w:r>
        <w:rPr>
          <w:rFonts w:hint="eastAsia" w:hAnsi="宋体" w:cs="宋体"/>
          <w:b/>
          <w:color w:val="auto"/>
          <w:sz w:val="24"/>
          <w:szCs w:val="24"/>
          <w:highlight w:val="none"/>
        </w:rPr>
        <w:t xml:space="preserve">公共服务</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3</w:t>
      </w:r>
      <w:r>
        <w:rPr>
          <w:rFonts w:hAnsi="宋体" w:cs="宋体"/>
          <w:b/>
          <w:color w:val="auto"/>
          <w:sz w:val="24"/>
          <w:szCs w:val="24"/>
          <w:highlight w:val="none"/>
        </w:rPr>
        <w:t xml:space="preserve">.1接待</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佩戴统一标志，仪表端庄、大方，衣着整洁，表情自然和蔼、亲切；对业主（使用人）一视同仁；接待时主动、热情、规范；迎送接待业主(使用人)时，用语准确，称呼恰当，问候亲切，语气诚恳，耐心细致；使用文明用语，不应使用服务忌语。</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对业主（使用人）的报修与求助应耐心细致，对收费项目及时说明服务标准、服务方式、收费标准等事项，征求业主（使用人）的意见。</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3</w:t>
      </w:r>
      <w:r>
        <w:rPr>
          <w:rFonts w:hAnsi="宋体" w:cs="宋体"/>
          <w:b/>
          <w:color w:val="auto"/>
          <w:sz w:val="24"/>
          <w:szCs w:val="24"/>
          <w:highlight w:val="none"/>
        </w:rPr>
        <w:t xml:space="preserve">.2值守</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有完善的值班制度和交接班制度；工作有记录。</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3</w:t>
      </w:r>
      <w:r>
        <w:rPr>
          <w:rFonts w:hAnsi="宋体" w:cs="宋体"/>
          <w:b/>
          <w:color w:val="auto"/>
          <w:sz w:val="24"/>
          <w:szCs w:val="24"/>
          <w:highlight w:val="none"/>
        </w:rPr>
        <w:t xml:space="preserve">.</w:t>
      </w:r>
      <w:r>
        <w:rPr>
          <w:rFonts w:hint="eastAsia" w:hAnsi="宋体" w:cs="宋体"/>
          <w:b/>
          <w:color w:val="auto"/>
          <w:sz w:val="24"/>
          <w:szCs w:val="24"/>
          <w:highlight w:val="none"/>
        </w:rPr>
        <w:t xml:space="preserve">3</w:t>
      </w:r>
      <w:r>
        <w:rPr>
          <w:rFonts w:hAnsi="宋体" w:cs="宋体"/>
          <w:b/>
          <w:color w:val="auto"/>
          <w:sz w:val="24"/>
          <w:szCs w:val="24"/>
          <w:highlight w:val="none"/>
        </w:rPr>
        <w:t xml:space="preserve">服务时限</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急修服务1</w:t>
      </w:r>
      <w:r>
        <w:rPr>
          <w:rFonts w:hint="eastAsia" w:hAnsi="宋体" w:cs="宋体"/>
          <w:color w:val="auto"/>
          <w:sz w:val="24"/>
          <w:szCs w:val="24"/>
          <w:highlight w:val="none"/>
        </w:rPr>
        <w:t xml:space="preserve">0</w:t>
      </w:r>
      <w:r>
        <w:rPr>
          <w:rFonts w:hAnsi="宋体" w:cs="宋体"/>
          <w:color w:val="auto"/>
          <w:sz w:val="24"/>
          <w:szCs w:val="24"/>
          <w:highlight w:val="none"/>
        </w:rPr>
        <w:t xml:space="preserve">分钟内到位，</w:t>
      </w:r>
      <w:r>
        <w:rPr>
          <w:rFonts w:hint="eastAsia" w:hAnsi="宋体" w:cs="宋体"/>
          <w:color w:val="auto"/>
          <w:sz w:val="24"/>
          <w:szCs w:val="24"/>
          <w:highlight w:val="none"/>
        </w:rPr>
        <w:t xml:space="preserve">中修</w:t>
      </w:r>
      <w:r>
        <w:rPr>
          <w:rFonts w:hAnsi="宋体" w:cs="宋体"/>
          <w:color w:val="auto"/>
          <w:sz w:val="24"/>
          <w:szCs w:val="24"/>
          <w:highlight w:val="none"/>
        </w:rPr>
        <w:t xml:space="preserve">8小时内修复，若不能，要有紧急处理措施，并对业主（使用人）做出合理解释，做出限时承诺。小修2日内修复，特殊情况必须做出说明和限时承诺。服务时限不得以节假日和休息时间顺延</w:t>
      </w:r>
      <w:r>
        <w:rPr>
          <w:rFonts w:hint="eastAsia" w:hAnsi="宋体" w:cs="宋体"/>
          <w:color w:val="auto"/>
          <w:sz w:val="24"/>
          <w:szCs w:val="24"/>
          <w:highlight w:val="none"/>
        </w:rPr>
        <w:t xml:space="preserve">。</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.房屋、共用设施、设备维护与管理</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.1巡检</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每年年底或年初对房屋共用部位、设施设备、道路、绿地等进行全面检查1次，掌握房屋设施设备完损状况，对完损程度做出评价；</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每半年检查巡视1次房屋主体结构，发现质量问题及时向业主报告与建议；根据</w:t>
      </w:r>
      <w:r>
        <w:rPr>
          <w:rFonts w:hint="eastAsia" w:hAnsi="宋体" w:cs="宋体"/>
          <w:color w:val="auto"/>
          <w:sz w:val="24"/>
          <w:szCs w:val="24"/>
          <w:highlight w:val="none"/>
        </w:rPr>
        <w:t xml:space="preserve">委托方</w:t>
      </w:r>
      <w:r>
        <w:rPr>
          <w:rFonts w:hAnsi="宋体" w:cs="宋体"/>
          <w:color w:val="auto"/>
          <w:sz w:val="24"/>
          <w:szCs w:val="24"/>
          <w:highlight w:val="none"/>
        </w:rPr>
        <w:t xml:space="preserve">的委托，组织维修工作；</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在冬、雨季和天气异常时安排组织房屋设施巡视，对质量较差，易出问题的部位重点检查；每半年检查清除1次屋面、檐沟内落叶杂物树叶等，疏通雨水口、落水管等； </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每日巡视1次</w:t>
      </w:r>
      <w:r>
        <w:rPr>
          <w:rFonts w:hint="eastAsia" w:hAnsi="宋体" w:cs="宋体"/>
          <w:color w:val="auto"/>
          <w:sz w:val="24"/>
          <w:szCs w:val="24"/>
          <w:highlight w:val="none"/>
        </w:rPr>
        <w:t xml:space="preserve">房屋</w:t>
      </w:r>
      <w:r>
        <w:rPr>
          <w:rFonts w:hAnsi="宋体" w:cs="宋体"/>
          <w:color w:val="auto"/>
          <w:sz w:val="24"/>
          <w:szCs w:val="24"/>
          <w:highlight w:val="none"/>
        </w:rPr>
        <w:t xml:space="preserve">门</w:t>
      </w:r>
      <w:r>
        <w:rPr>
          <w:rFonts w:hint="eastAsia" w:hAnsi="宋体" w:cs="宋体"/>
          <w:color w:val="auto"/>
          <w:sz w:val="24"/>
          <w:szCs w:val="24"/>
          <w:highlight w:val="none"/>
        </w:rPr>
        <w:t xml:space="preserve">厅</w:t>
      </w:r>
      <w:r>
        <w:rPr>
          <w:rFonts w:hAnsi="宋体" w:cs="宋体"/>
          <w:color w:val="auto"/>
          <w:sz w:val="24"/>
          <w:szCs w:val="24"/>
          <w:highlight w:val="none"/>
        </w:rPr>
        <w:t xml:space="preserve">、楼梯间通道部位以及其它共用部位的门窗、玻璃、路灯等；每年秋季对共用部位门窗做专项检修1次；巡检有记录；</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巡检结束将检查情况、维修计划及需要进行大、中修或更新改造的项目报告</w:t>
      </w:r>
      <w:r>
        <w:rPr>
          <w:rFonts w:hint="eastAsia" w:hAnsi="宋体" w:cs="宋体"/>
          <w:color w:val="auto"/>
          <w:sz w:val="24"/>
          <w:szCs w:val="24"/>
          <w:highlight w:val="none"/>
        </w:rPr>
        <w:t xml:space="preserve">委托方</w:t>
      </w:r>
      <w:r>
        <w:rPr>
          <w:rFonts w:hAnsi="宋体" w:cs="宋体"/>
          <w:color w:val="auto"/>
          <w:sz w:val="24"/>
          <w:szCs w:val="24"/>
          <w:highlight w:val="none"/>
        </w:rPr>
        <w:t xml:space="preserve">。</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.2房屋</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.2.1装修管理</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.2.1.1将室内装饰装修工程的禁止行为和注意事项告知装修人；</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.2.1.2对业主（使用人）装修房屋的申请，应在2个工作日内给出同意意见或修改意见，并签</w:t>
      </w:r>
      <w:r>
        <w:rPr>
          <w:rFonts w:hint="eastAsia" w:hAnsi="宋体" w:cs="宋体"/>
          <w:color w:val="auto"/>
          <w:sz w:val="24"/>
          <w:szCs w:val="24"/>
          <w:highlight w:val="none"/>
          <w:lang w:val="en-US" w:eastAsia="zh-CN"/>
        </w:rPr>
        <w:t xml:space="preserve">订</w:t>
      </w:r>
      <w:r>
        <w:rPr>
          <w:rFonts w:hAnsi="宋体" w:cs="宋体"/>
          <w:color w:val="auto"/>
          <w:sz w:val="24"/>
          <w:szCs w:val="24"/>
          <w:highlight w:val="none"/>
        </w:rPr>
        <w:t xml:space="preserve">装饰装修管理服务协议；</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.2.1.3业主（使用人）装修期间每日巡查装修施工情况；</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.2.1.4装修结束组织验收；</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.2.1.5验收合格2个月后组织复验；</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.2.1.6复验合格后3个工作日内退还装修保证金；</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.2.1.7对装修中的违约行为及时劝阻；已造成事实后果或者拒不改正的，应当及时报告有关部门依法处理。</w:t>
      </w:r>
      <w:r/>
    </w:p>
    <w:p>
      <w:pPr>
        <w:ind w:left="479"/>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.2.</w:t>
      </w:r>
      <w:r>
        <w:rPr>
          <w:rFonts w:hint="eastAsia" w:hAnsi="宋体" w:cs="宋体"/>
          <w:color w:val="auto"/>
          <w:sz w:val="24"/>
          <w:szCs w:val="24"/>
          <w:highlight w:val="none"/>
        </w:rPr>
        <w:t xml:space="preserve">2</w:t>
      </w:r>
      <w:r>
        <w:rPr>
          <w:rFonts w:hAnsi="宋体" w:cs="宋体"/>
          <w:color w:val="auto"/>
          <w:sz w:val="24"/>
          <w:szCs w:val="24"/>
          <w:highlight w:val="none"/>
        </w:rPr>
        <w:t xml:space="preserve">建筑物外立面</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建筑物外立面为玻璃幕墙、瓷砖、仿石、大理石的，至少每年清洗1次；外立面为水刷石、干粘石和喷涂材料的，原则上每5年粉饰1次；外立面为其他材质的，视材质情况定期清洗。因施工等原因致使建筑物、构筑物外立面有明显污迹的，应当及时进行清洗、粉饰。</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委托合同另有约定的按合同约定执行。</w:t>
      </w:r>
      <w:r/>
    </w:p>
    <w:p>
      <w:pPr>
        <w:ind w:firstLine="482"/>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.3给排水系统及其配套设施</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.3.1给水设施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饮用水水池（箱）</w:t>
      </w:r>
      <w:r>
        <w:rPr>
          <w:rFonts w:hint="eastAsia" w:hAnsi="宋体" w:cs="宋体"/>
          <w:color w:val="auto"/>
          <w:sz w:val="24"/>
          <w:szCs w:val="24"/>
          <w:highlight w:val="none"/>
        </w:rPr>
        <w:t xml:space="preserve">每</w:t>
      </w:r>
      <w:r>
        <w:rPr>
          <w:rFonts w:hAnsi="宋体" w:cs="宋体"/>
          <w:color w:val="auto"/>
          <w:sz w:val="24"/>
          <w:szCs w:val="24"/>
          <w:highlight w:val="none"/>
        </w:rPr>
        <w:t xml:space="preserve">年消毒1次，操作人员具有相应操作资格，按照程序操作，清洗时无二次污染，有严密的管理设施；保持水池（箱）结构完好，无渗漏，表面和支架不锈蚀，漆膜脱落处及时修补。经常检查保养水箱人孔、进水管、溢水管、泻水管、水位计、液位传感器、浮球阀和各类闸门；冬季水箱有可靠的保温措施，且不得对水质产生污染；</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保持泵房清洁卫生，良好的通风、照明和采暖，地面排水畅通；</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水泵运行正常，每2小时巡查泵房1次，以防低位水池液压阀（浮球阀）失灵，各种仪表指示稳定正常，阀门开关灵活，发现滴漏及时维修；消防泵、喷淋泵、污水泵等不经常启动的水泵，每月启动1次，保持水泵能正常运行，每月检查1次消防泵及管道阀门，使之处于完好和正常开启状态；水泵运转部件经常加油，保持润滑灵活；每年对水泵机组清洁保养1次；每日填写水泵运行记录，建档备查； </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专业人员专人巡视，每日检查泵、管道、水箱、阀门、水表状况，定期保养、维护，出现问题随时处理。</w:t>
      </w:r>
      <w:r/>
    </w:p>
    <w:p>
      <w:pPr>
        <w:ind w:firstLine="480"/>
        <w:jc w:val="left"/>
        <w:spacing w:line="440" w:lineRule="exact"/>
        <w:rPr>
          <w:rFonts w:hAnsi="宋体" w:cs="宋体"/>
          <w:color w:val="auto"/>
          <w:sz w:val="24"/>
          <w:szCs w:val="24"/>
          <w:highlight w:val="none"/>
        </w:rPr>
      </w:pPr>
      <w:r>
        <w:rPr>
          <w:rFonts w:hint="eastAsia" w:hAnsi="宋体" w:cs="宋体"/>
          <w:color w:val="auto"/>
          <w:sz w:val="24"/>
          <w:szCs w:val="24"/>
          <w:highlight w:val="none"/>
        </w:rPr>
        <w:t xml:space="preserve">4</w:t>
      </w:r>
      <w:r>
        <w:rPr>
          <w:rFonts w:hAnsi="宋体" w:cs="宋体"/>
          <w:color w:val="auto"/>
          <w:sz w:val="24"/>
          <w:szCs w:val="24"/>
          <w:highlight w:val="none"/>
        </w:rPr>
        <w:t xml:space="preserve">.3.2排水设施</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化粪池每年清理</w:t>
      </w:r>
      <w:r>
        <w:rPr>
          <w:rFonts w:hint="eastAsia" w:hAnsi="宋体" w:cs="宋体"/>
          <w:color w:val="auto"/>
          <w:sz w:val="24"/>
          <w:szCs w:val="24"/>
          <w:highlight w:val="none"/>
        </w:rPr>
        <w:t xml:space="preserve">1</w:t>
      </w:r>
      <w:r>
        <w:rPr>
          <w:rFonts w:hAnsi="宋体" w:cs="宋体"/>
          <w:color w:val="auto"/>
          <w:sz w:val="24"/>
          <w:szCs w:val="24"/>
          <w:highlight w:val="none"/>
        </w:rPr>
        <w:t xml:space="preserve">次，每季巡查1次。出入口畅通，井内无积物浮于面上，池盖无污渍、污物，清理后及时清洁现场；</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楼面落水管落水口等保持完好，开裂、破损等及时更换，定期检查；</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w:t>
      </w:r>
      <w:r>
        <w:rPr>
          <w:rFonts w:hint="eastAsia" w:hAnsi="宋体" w:cs="宋体"/>
          <w:color w:val="auto"/>
          <w:sz w:val="24"/>
          <w:szCs w:val="24"/>
          <w:highlight w:val="none"/>
        </w:rPr>
        <w:t xml:space="preserve">月</w:t>
      </w:r>
      <w:r>
        <w:rPr>
          <w:rFonts w:hAnsi="宋体" w:cs="宋体"/>
          <w:color w:val="auto"/>
          <w:sz w:val="24"/>
          <w:szCs w:val="24"/>
          <w:highlight w:val="none"/>
        </w:rPr>
        <w:t xml:space="preserve">清扫1次以上排水明沟内的泥沙、纸屑等垃圾，拔出沟内生长的杂草；达到目视基本干净无污渍、无杂草，排水畅通，无积水、臭味；</w:t>
      </w:r>
      <w:r/>
    </w:p>
    <w:p>
      <w:pPr>
        <w:ind w:firstLine="480"/>
        <w:jc w:val="left"/>
        <w:spacing w:line="440" w:lineRule="exact"/>
        <w:rPr>
          <w:rFonts w:hAnsi="宋体" w:cs="宋体"/>
          <w:color w:val="auto"/>
          <w:sz w:val="24"/>
          <w:szCs w:val="24"/>
          <w:highlight w:val="none"/>
        </w:rPr>
      </w:pPr>
      <w:r>
        <w:rPr>
          <w:rFonts w:hAnsi="宋体" w:cs="宋体"/>
          <w:color w:val="auto"/>
          <w:sz w:val="24"/>
          <w:szCs w:val="24"/>
          <w:highlight w:val="none"/>
        </w:rPr>
        <w:t xml:space="preserve">每</w:t>
      </w:r>
      <w:r>
        <w:rPr>
          <w:rFonts w:hint="eastAsia" w:hAnsi="宋体" w:cs="宋体"/>
          <w:color w:val="auto"/>
          <w:sz w:val="24"/>
          <w:szCs w:val="24"/>
          <w:highlight w:val="none"/>
        </w:rPr>
        <w:t xml:space="preserve">季</w:t>
      </w:r>
      <w:r>
        <w:rPr>
          <w:rFonts w:hAnsi="宋体" w:cs="宋体"/>
          <w:color w:val="auto"/>
          <w:sz w:val="24"/>
          <w:szCs w:val="24"/>
          <w:highlight w:val="none"/>
        </w:rPr>
        <w:t xml:space="preserve">对地下管井清理1次，捞起井内泥沙和悬浮物，清理结束地面冲洗干净。清理时地面竖警示牌，必要时加</w:t>
      </w:r>
      <w:r>
        <w:rPr>
          <w:rFonts w:hint="eastAsia" w:hAnsi="宋体" w:cs="宋体"/>
          <w:color w:val="auto"/>
          <w:sz w:val="24"/>
          <w:szCs w:val="24"/>
          <w:highlight w:val="none"/>
          <w:lang w:eastAsia="zh-CN"/>
        </w:rPr>
        <w:t xml:space="preserve">护栏</w:t>
      </w:r>
      <w:r>
        <w:rPr>
          <w:rFonts w:hAnsi="宋体" w:cs="宋体"/>
          <w:color w:val="auto"/>
          <w:sz w:val="24"/>
          <w:szCs w:val="24"/>
          <w:highlight w:val="none"/>
        </w:rPr>
        <w:t xml:space="preserve">。清理后达到目视管道内壁无粘附物，井底无沉淀物，水面无漂浮物，水流畅通，井盖上无污渍、污物。</w:t>
      </w:r>
      <w:r/>
    </w:p>
    <w:p>
      <w:pPr>
        <w:ind w:left="479"/>
        <w:jc w:val="left"/>
        <w:spacing w:line="440" w:lineRule="exact"/>
        <w:rPr>
          <w:rFonts w:hAnsi="宋体" w:cs="宋体"/>
          <w:b/>
          <w:color w:val="auto"/>
          <w:sz w:val="24"/>
          <w:szCs w:val="24"/>
          <w:highlight w:val="none"/>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.4供配电系统</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建立和完善有关规章制度，包括电气设备运行操作规程、安全操作规程、事故处理规程、巡视检查制度、维护制度、安全及交接班制度；</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值班人员具备变配电运行知识和技能，具备上岗资格，持有上岗证书；</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保持配电房清洁卫生，每周清扫地面及擦拭配电柜表面，要求地面干燥无积灰，配电柜表面无污渍；</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每日检查变压器电压、电流互感器、断路器、隔离开关、高压熔断器及避雷器、配电箱、导线等供配电系统的运行状况，并定时抄表做好记录，出现异常及时处理； </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年对变压器外部、低压配电柜进行2次清洁、保养；保证正常电力供应，限电、停电按规定时间通知业主（使用人）；每年检测1次保安接地电阻；每年检测1次配电房主要电器设备的绝缘强度；每年检测2次配电房内消防器材，保持消防器材完好；妥善保管高压操作工具，并每年送供电部门检测1次；</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潮湿天气时，采</w:t>
      </w:r>
      <w:r>
        <w:rPr>
          <w:rFonts w:hint="eastAsia" w:ascii="宋体" w:hAnsi="宋体" w:cs="Times New Roman"/>
          <w:color w:val="auto"/>
          <w:sz w:val="24"/>
          <w:szCs w:val="24"/>
          <w:highlight w:val="none"/>
          <w:lang w:val="en-US" w:eastAsia="zh-CN"/>
        </w:rPr>
        <w:t xml:space="preserve">取</w:t>
      </w:r>
      <w:r>
        <w:rPr>
          <w:rFonts w:hint="eastAsia" w:ascii="宋体" w:hAnsi="宋体" w:cs="Times New Roman"/>
          <w:color w:val="auto"/>
          <w:sz w:val="24"/>
          <w:szCs w:val="24"/>
          <w:highlight w:val="none"/>
        </w:rPr>
        <w:t xml:space="preserve">安全有效措施，保持配电房内主要电器设备干燥；</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每月检测1次配电房内有无蛙、鼠、蚁等虫害，如发现马上采取措施杜绝；</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每日填写运行记录，建档备查。</w:t>
      </w:r>
      <w:r/>
    </w:p>
    <w:p>
      <w:pPr>
        <w:ind w:left="479"/>
        <w:jc w:val="left"/>
        <w:spacing w:line="440" w:lineRule="exact"/>
        <w:rPr>
          <w:rFonts w:hint="eastAsia" w:hAnsi="宋体" w:eastAsia="宋体" w:cs="宋体"/>
          <w:b/>
          <w:color w:val="auto"/>
          <w:sz w:val="24"/>
          <w:szCs w:val="24"/>
          <w:highlight w:val="none"/>
          <w:lang w:eastAsia="zh-CN"/>
        </w:rPr>
      </w:pPr>
      <w:r>
        <w:rPr>
          <w:rFonts w:hint="eastAsia" w:hAnsi="宋体" w:cs="宋体"/>
          <w:b/>
          <w:color w:val="auto"/>
          <w:sz w:val="24"/>
          <w:szCs w:val="24"/>
          <w:highlight w:val="none"/>
        </w:rPr>
        <w:t xml:space="preserve">4</w:t>
      </w:r>
      <w:r>
        <w:rPr>
          <w:rFonts w:hAnsi="宋体" w:cs="宋体"/>
          <w:b/>
          <w:color w:val="auto"/>
          <w:sz w:val="24"/>
          <w:szCs w:val="24"/>
          <w:highlight w:val="none"/>
        </w:rPr>
        <w:t xml:space="preserve">.5弱电系统</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操作人员受过专业培训，持证上岗；</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工作时认真负责，精神集中，对异常情况能及时识别；发现异常，及时处理；</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有切实可行的维修保养计划；保养、检修及时；</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对相关设备、设施定期进行调试，使系统处于最佳工作状态；</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工作、维修、养护有记录，特殊系统、设备的进入经过授权，密码有有效保护；</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分系统定时检查和记录各部分、各监控点的工作及运行状态，定期对各类信息、数据进行统计分析，形成日、月报表。</w:t>
      </w:r>
      <w:r/>
    </w:p>
    <w:p>
      <w:pPr>
        <w:ind w:firstLine="482"/>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4.6避雷接地系统</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每年雨季来临之前，对整个避雷接地系统进行检查维护；在大雷雨过后也要及时对系统检查，发现严重腐蚀、松脱等立即更换或紧固。</w:t>
      </w:r>
      <w:r/>
    </w:p>
    <w:p>
      <w:pPr>
        <w:ind w:firstLine="482"/>
        <w:spacing w:line="360" w:lineRule="auto"/>
        <w:rPr>
          <w:rFonts w:hint="eastAsia" w:ascii="宋体" w:hAnsi="宋体" w:cs="Times New Roman"/>
          <w:b/>
          <w:bCs/>
          <w:color w:val="auto"/>
          <w:sz w:val="24"/>
          <w:szCs w:val="24"/>
          <w:highlight w:val="none"/>
          <w:lang w:eastAsia="zh-CN"/>
        </w:rPr>
      </w:pPr>
      <w:r>
        <w:rPr>
          <w:rFonts w:hint="eastAsia" w:ascii="宋体" w:hAnsi="宋体" w:cs="Times New Roman"/>
          <w:b/>
          <w:bCs/>
          <w:color w:val="auto"/>
          <w:sz w:val="24"/>
          <w:szCs w:val="24"/>
          <w:highlight w:val="none"/>
        </w:rPr>
        <w:t xml:space="preserve">4.7 道路、停车场（车棚、车库）及配套设施</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加强道路维修与养护，制定详细的道路维修养护计划，按照合同约定实施；</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保持道路畅通，路面平坦整齐，排水畅通；</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设立报修渠道，并有巡查制度，专人负责，发现损坏及时修补；</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按照社区公约的约定，劝阻人为损坏路面，制止在路面焚烧垃圾、落叶或其他杂物；</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停车场、棚、房完好无损，有大、中、小修计划；</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停车场内照明设施完好，通道畅通无阻，配备必要的消防设备，符合停车场规范要求，便于管理和车主停放车辆。</w:t>
      </w:r>
      <w:r/>
    </w:p>
    <w:p>
      <w:pPr>
        <w:ind w:firstLine="482"/>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5.档案资料</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档案资料齐全完整；分类成册，管理完善，合理分类，查阅方便；及时变更登记，账物相符。</w:t>
      </w:r>
      <w:r/>
    </w:p>
    <w:p>
      <w:pPr>
        <w:ind w:firstLine="482"/>
        <w:spacing w:line="360" w:lineRule="auto"/>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6.培训制度</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物业管理公司具备完备的培训制度，对物业管理从业人员进行岗前培训及阶段性培训管理，使其熟悉工作流程与要求，定期对保安和保洁人员进行安全教育与业务培训。并定期与业主共同进行消防安全培训和组织消防演练。</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四、考核办法</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详见本章附件。</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五、其他要求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（1）物业费包含公共水电费。</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r>
        <w:rPr>
          <w:rFonts w:hint="eastAsia" w:ascii="宋体" w:hAnsi="宋体"/>
          <w:color w:val="auto"/>
          <w:sz w:val="24"/>
          <w:szCs w:val="24"/>
          <w:highlight w:val="none"/>
          <w:lang w:val="en-US" w:eastAsia="zh-CN"/>
        </w:rPr>
        <w:t xml:space="preserve">其中高温费人数为保安兼巡逻人员10人，加班费人数为保安部及保洁部人员共41人。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投标供应商报价前应到实地查看现场情况，并在报价时应充分考虑服务期内所有可能影响到报价的因素（包括最低工资标准和社保基数的政策性调整），一旦投标结束最终中标，总价将包定，不予调整。如发生漏、缺、少项，都将被认为是中标供应商的报价让利行为，损失自负。</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（4）中标供应商不得将项目整体转包或非法分包给第三方。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（5）报价中相关成本费用的测算及标准符合国家、省、市相关最新政策规定。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（6）员工工资、社保费用、税金、保险法定费用为不可让利部分（不可竞争费用），须按规定计算并报出，投标总报价不可低于上述相关费用合计。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（7）派驻人员工资待遇需符合国家、省、市相关政策，符合无锡市最低工资标准且必须缴纳个人社保费，且必须签订正式的劳务合同。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（8）对于与报价相关的采购人的各种免费维保条件，请各投标供应商自行与采购人联系、了解，并考虑在本次报价中，若签订合同后由于该种因素考虑调整合同价格的采购人将不予考虑。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本次项目物业管理执行《中华人民共和国政府采购法》、国务院《物业管理条例》《江苏省物业管理条例》等法律法规，中标供应商要严格履行投标书的承诺和物业管理合同的约定，接受业主管理部门对物业管理日常工作的监督和考核管理，如发现管理达不到约定要求，中标供应商管理服务水平下降、投诉多等现象，或物业管理单位管理中发生重大管理失误的，将依照法律程序按规定处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（10）投标供应商要根据安置小区特点，</w:t>
      </w:r>
      <w:r>
        <w:rPr>
          <w:rFonts w:hint="eastAsia" w:ascii="宋体" w:hAnsi="宋体"/>
          <w:color w:val="auto"/>
          <w:sz w:val="24"/>
          <w:szCs w:val="24"/>
          <w:highlight w:val="none"/>
          <w:lang w:val="en-US" w:eastAsia="zh-CN"/>
        </w:rPr>
        <w:t xml:space="preserve">有</w:t>
      </w:r>
      <w:r>
        <w:rPr>
          <w:rFonts w:hint="eastAsia" w:ascii="宋体" w:hAnsi="宋体"/>
          <w:color w:val="auto"/>
          <w:sz w:val="24"/>
          <w:szCs w:val="24"/>
          <w:highlight w:val="none"/>
        </w:rPr>
        <w:t xml:space="preserve">针对性地提出管理理念、方法、措施，要有针对性、可操作性，如违章搭建、房屋渗漏处理、保洁、车库开店、红白喜事搭木圆堂、养宠物、接待和值守、安全防范、便民人性化服务等。</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对于电梯、消防、技防监控、泵房、风机、潜水泵、电力设施、智能化道闸系统等特种设施设备，必须由具备国家认可的相应资质证书、营业执照、技术等级的维保单位进行维保，且符合镇相关要求及规定。维保单位须与中标单位签订维保合同，签订的维保合同必须到所属社区和镇物管办备案登记。设备的维保、年检、维修、更换等费用均包含在投标报价中，中标供应商需负责以上系统日常的清洁保养和使用管理，并对专业维保单位的维保服务进行监督考核及协调，并支付相应的维保服务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大、中修（即单件或单处维修费用≥300元）所产生的费用，原则上由阳山镇政府承担；小修（即单件或单处维修费用＜300元）所产生的费用，由中标供应商承担。质保期内的非维保单位承担的费用由中标供应商承担，质保期外的均由</w:t>
      </w:r>
      <w:r>
        <w:rPr>
          <w:rFonts w:hint="eastAsia" w:ascii="宋体" w:hAnsi="宋体"/>
          <w:color w:val="auto"/>
          <w:sz w:val="24"/>
          <w:szCs w:val="24"/>
          <w:highlight w:val="none"/>
        </w:rPr>
        <w:t xml:space="preserve">中标供应商承担。对于电梯、消防、技防监控、泵房、风机、潜水泵、电力设施、智能化道闸系统等特种设施设备因保养维护不当造成的维修费用由中标供应商承担，并承担安全责任及相应损失（如有）。如因中标供应商管理不当造成的大金额的维修，视情节状况，由中标供应商承担责任并支付相应维修费用。此外，中标供应商要加强日常的物业服务管理，涉及房屋修理、房屋漏水等（指保修期以外的）大金额的维修，需积极配合采购人做好联系和协调工作，及时进行登记并向镇相关部门反映。维修过程中，中标供应商需积极跟进；维修结束后，中标供应商需及时进行回访。</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（13）中标供应商必须积极参与并配合社区做好社区管理的日常事务，包括但不限于各类文体活动、创建工作和各类矛盾纠纷调解等。</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附件：</w:t>
      </w:r>
      <w:r/>
    </w:p>
    <w:p>
      <w:pPr>
        <w:ind w:firstLine="482"/>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阳山镇住宅小区物业管理工作考核办法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阳山镇住宅小区物业管理工作，提升物业管理水平，促进物业管理标准化和规范化，进一步改善居民生活环境，营造整洁、有序、安全、和谐的小区环境，根据《无锡市住宅小区城市精细化管理“红黑榜”考核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惠山区住宅小区物业管理工作考核办法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阳山镇关于加强安置房小区物业管理工作的实施意见》及有关物业管理规定，结合本镇实际情况，就加强住宅小区物业管理制订考核办法。</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一、考核对象</w:t>
      </w:r>
      <w:r/>
    </w:p>
    <w:p>
      <w:pPr>
        <w:ind w:firstLine="440"/>
        <w:spacing w:line="560" w:lineRule="exact"/>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本镇范围内的安置房小区、商品房小区和17个老旧小区的物业管理工作。</w:t>
      </w:r>
      <w:r/>
    </w:p>
    <w:p>
      <w:pPr>
        <w:ind w:firstLine="442"/>
        <w:spacing w:line="560" w:lineRule="exact"/>
        <w:rPr>
          <w:rFonts w:hint="eastAsia" w:ascii="宋体" w:hAnsi="宋体" w:eastAsia="宋体" w:cs="宋体"/>
          <w:b/>
          <w:bCs/>
          <w:color w:val="auto"/>
          <w:spacing w:val="-10"/>
          <w:sz w:val="24"/>
          <w:szCs w:val="24"/>
          <w:highlight w:val="none"/>
        </w:rPr>
      </w:pPr>
      <w:r>
        <w:rPr>
          <w:rFonts w:hint="eastAsia" w:ascii="宋体" w:hAnsi="宋体" w:eastAsia="宋体" w:cs="宋体"/>
          <w:b/>
          <w:bCs/>
          <w:color w:val="auto"/>
          <w:spacing w:val="-10"/>
          <w:sz w:val="24"/>
          <w:szCs w:val="24"/>
          <w:highlight w:val="none"/>
        </w:rPr>
        <w:t xml:space="preserve">二、考核成员单位</w:t>
      </w:r>
      <w:r/>
    </w:p>
    <w:p>
      <w:pPr>
        <w:ind w:firstLine="440"/>
        <w:spacing w:line="560" w:lineRule="exact"/>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 xml:space="preserve">物业管理科、宣传网络科、行政执法局一中队、行政执法局综合科、消委办、卫计教育科、建设科、</w:t>
      </w:r>
      <w:r>
        <w:rPr>
          <w:rFonts w:hint="eastAsia" w:ascii="宋体" w:hAnsi="宋体" w:eastAsia="宋体" w:cs="宋体"/>
          <w:color w:val="auto"/>
          <w:spacing w:val="-10"/>
          <w:sz w:val="24"/>
          <w:szCs w:val="24"/>
          <w:highlight w:val="none"/>
          <w:lang w:eastAsia="zh-CN"/>
        </w:rPr>
        <w:t xml:space="preserve">派出所、</w:t>
      </w:r>
      <w:r>
        <w:rPr>
          <w:rFonts w:hint="eastAsia" w:ascii="宋体" w:hAnsi="宋体" w:eastAsia="宋体" w:cs="宋体"/>
          <w:color w:val="auto"/>
          <w:spacing w:val="-10"/>
          <w:sz w:val="24"/>
          <w:szCs w:val="24"/>
          <w:highlight w:val="none"/>
        </w:rPr>
        <w:t xml:space="preserve">各社区。</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三、考核内容</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物业管理工作考核内容包括：《阳山镇住宅小区物业管理考核评分标准》和《阳山镇住宅小区物业落实各项重点工作检查标准》，考核内容适时动态调整并公布。</w:t>
      </w:r>
      <w:r/>
    </w:p>
    <w:p>
      <w:pPr>
        <w:ind w:firstLine="48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四、考核办法</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阳山镇物业管理考核采用百分制。《阳山镇住宅小区物业管理考核评分标准》得分权重占</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0%，《阳山镇住宅小区物业落实各项重点工作检查标准》得分权重占</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1、由镇物业管理科牵头，组织各社区、居民代表、人大代表以及物业服务企业负责人按《阳山镇住宅小区物业管理考核评分标准》每季度对各住宅小区进行季度考核；2、由镇物业管理科会同各社区牵头，组织各职能科室按照《阳山镇住宅小区物业落实各项重点工作检查标准》每季度对各住宅小区进行季度考核，最终由物业管理科进行考核汇总，年终考核得分为季度考核平均得分。</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、考核结果运用</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1、以考核管理要求为标准，考核总分值为100分，季度综合得分90分以上（含90分），全额支付季度物业管理费用。</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2、85分—90分（含85分），扣除季度物业管理费用0.02元/月·㎡；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3、80分—85分（含80分），扣除季度物业管理费用0.04元/月·㎡；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4、70分—80分（含70分），扣除季度物业管理费用0.07元/月·㎡；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5、60分—70分（含60分），扣除季度物业管理费用0.1元/月·㎡；</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6、低于60分，季度物业管理费用全部扣除；</w:t>
      </w:r>
      <w:r/>
    </w:p>
    <w:p>
      <w:pPr>
        <w:ind w:firstLine="480"/>
        <w:spacing w:line="560" w:lineRule="exact"/>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7、综合得分连续两个季度低于80分或有一次低于60分的，本年度物业服务合同到期后不再续签。综合得分连续三个季度低于80分或有两次低于60分的，即时终止物业服务合同。</w:t>
      </w:r>
      <w:r/>
    </w:p>
    <w:p>
      <w:pPr>
        <w:ind w:firstLine="440"/>
        <w:jc w:val="left"/>
        <w:keepLines w:val="0"/>
        <w:keepNext w:val="0"/>
        <w:pageBreakBefore w:val="0"/>
        <w:spacing w:line="560" w:lineRule="exact"/>
        <w:widowControl w:val="off"/>
        <w:rPr>
          <w:rFonts w:hint="eastAsia" w:ascii="宋体" w:hAnsi="宋体" w:eastAsia="宋体" w:cs="宋体"/>
          <w:bCs/>
          <w:color w:val="auto"/>
          <w:spacing w:val="-10"/>
          <w:sz w:val="24"/>
          <w:szCs w:val="24"/>
          <w:highlight w:val="none"/>
        </w:rPr>
      </w:pPr>
      <w:r>
        <w:rPr>
          <w:rFonts w:hint="eastAsia" w:ascii="宋体" w:hAnsi="宋体" w:eastAsia="宋体" w:cs="宋体"/>
          <w:bCs/>
          <w:color w:val="auto"/>
          <w:spacing w:val="-10"/>
          <w:sz w:val="24"/>
          <w:szCs w:val="24"/>
          <w:highlight w:val="none"/>
          <w:lang w:val="en-US" w:eastAsia="zh-CN"/>
        </w:rPr>
        <w:t xml:space="preserve">六</w:t>
      </w:r>
      <w:r>
        <w:rPr>
          <w:rFonts w:hint="eastAsia" w:ascii="宋体" w:hAnsi="宋体" w:eastAsia="宋体" w:cs="宋体"/>
          <w:bCs/>
          <w:color w:val="auto"/>
          <w:spacing w:val="-10"/>
          <w:sz w:val="24"/>
          <w:szCs w:val="24"/>
          <w:highlight w:val="none"/>
        </w:rPr>
        <w:t xml:space="preserve">、工作要求</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1、各物业服务企业必须高度重视物业管理考核工作。对照《阳山镇安置房物业管理考核基本标准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阳山镇住宅小区物业落实各项重点工作检查标准》的内容和标准，不断完善管理措施，提升服务水平。</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2、各物业服务企业在接受考核时要及时提供考核所需的合同、</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等相关材料，以备检查。</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各社区要按照属地管理的原则，结合辖区实际和物业管理的政策、法规等文件要求，协同镇物业管理科做好社区物业管理工作，认真贯彻落实本办法，在落实中抓规范，在规范中促提升；各相关职能部门要主动深入各物业小区，指导督促各物业企业落实落细疫情防控、安全生产、文明城市创建、住区环境、城市管理等各项重点工作。</w:t>
      </w:r>
      <w:r/>
    </w:p>
    <w:p>
      <w:pPr>
        <w:ind w:firstLine="480"/>
        <w:keepLines w:val="0"/>
        <w:keepNext w:val="0"/>
        <w:pageBreakBefore w:val="0"/>
        <w:spacing w:line="560" w:lineRule="exact"/>
        <w:widowControl w:val="off"/>
        <w:tabs>
          <w:tab w:val="left" w:pos="840" w:leader="none"/>
          <w:tab w:val="left" w:pos="13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本办法自发布之日起执行，具体由镇建设局物业管理科负责解释。</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附件：1、阳山镇住宅小区物业管理考核评分标准</w:t>
      </w:r>
      <w:r/>
    </w:p>
    <w:p>
      <w:pPr>
        <w:ind w:firstLine="120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、阳山镇住宅小区物业落实各项重点工作检查标准</w:t>
      </w:r>
      <w:r/>
    </w:p>
    <w:p>
      <w:pPr>
        <w:ind w:left="219" w:hanging="3"/>
        <w:jc w:val="right"/>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9" w:hanging="3"/>
        <w:jc w:val="right"/>
        <w:spacing w:line="560" w:lineRule="exact"/>
        <w:tabs>
          <w:tab w:val="left" w:pos="8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无锡市惠山区阳山镇人民政府</w:t>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color w:val="auto"/>
          <w:sz w:val="32"/>
          <w:szCs w:val="32"/>
          <w:highlight w:val="none"/>
        </w:rPr>
      </w:pPr>
      <w:r>
        <w:rPr>
          <w:rFonts w:hint="eastAsia" w:ascii="方正黑体_GBK" w:hAnsi="方正黑体_GBK" w:eastAsia="方正黑体_GBK" w:cs="方正黑体_GBK"/>
          <w:color w:val="auto"/>
          <w:sz w:val="32"/>
          <w:szCs w:val="32"/>
          <w:highlight w:val="none"/>
        </w:rPr>
      </w:r>
      <w:r/>
    </w:p>
    <w:p>
      <w:pPr>
        <w:jc w:val="left"/>
        <w:spacing w:after="624" w:line="400" w:lineRule="exact"/>
        <w:widowControl/>
        <w:tabs>
          <w:tab w:val="left" w:pos="6259" w:leader="none"/>
          <w:tab w:val="left" w:pos="8298" w:leader="none"/>
        </w:tabs>
        <w:rPr>
          <w:rFonts w:hint="eastAsia" w:ascii="方正黑体_GBK" w:hAnsi="方正黑体_GBK" w:eastAsia="方正黑体_GBK" w:cs="方正黑体_GBK"/>
          <w:b/>
          <w:bCs/>
          <w:color w:val="auto"/>
          <w:sz w:val="36"/>
          <w:szCs w:val="36"/>
          <w:highlight w:val="none"/>
        </w:rPr>
      </w:pPr>
      <w:r>
        <w:rPr>
          <w:rFonts w:hint="eastAsia" w:ascii="方正黑体_GBK" w:hAnsi="方正黑体_GBK" w:eastAsia="方正黑体_GBK" w:cs="方正黑体_GBK"/>
          <w:color w:val="auto"/>
          <w:sz w:val="32"/>
          <w:szCs w:val="32"/>
          <w:highlight w:val="none"/>
        </w:rPr>
        <w:t xml:space="preserve">附件1：</w:t>
      </w:r>
      <w:r/>
    </w:p>
    <w:p>
      <w:pPr>
        <w:jc w:val="center"/>
        <w:spacing w:after="624" w:line="400" w:lineRule="exact"/>
        <w:widowControl/>
        <w:tabs>
          <w:tab w:val="left" w:pos="6259" w:leader="none"/>
          <w:tab w:val="left" w:pos="8298" w:leader="none"/>
        </w:tabs>
        <w:rPr>
          <w:rFonts w:eastAsia="方正小标宋简体"/>
          <w:color w:val="auto"/>
          <w:sz w:val="32"/>
          <w:szCs w:val="32"/>
          <w:highlight w:val="none"/>
        </w:rPr>
      </w:pPr>
      <w:r>
        <w:rPr>
          <w:rFonts w:eastAsia="方正小标宋简体"/>
          <w:color w:val="auto"/>
          <w:sz w:val="32"/>
          <w:szCs w:val="32"/>
          <w:highlight w:val="none"/>
        </w:rPr>
        <w:t xml:space="preserve">阳山镇住宅小区物业管理考核评分标准（占考核总分值</w:t>
      </w:r>
      <w:r>
        <w:rPr>
          <w:rFonts w:hint="eastAsia" w:eastAsia="方正小标宋简体"/>
          <w:color w:val="auto"/>
          <w:sz w:val="32"/>
          <w:szCs w:val="32"/>
          <w:highlight w:val="none"/>
          <w:lang w:val="en-US" w:eastAsia="zh-CN"/>
        </w:rPr>
        <w:t xml:space="preserve">6</w:t>
      </w:r>
      <w:r>
        <w:rPr>
          <w:rFonts w:eastAsia="方正小标宋简体"/>
          <w:color w:val="auto"/>
          <w:sz w:val="32"/>
          <w:szCs w:val="32"/>
          <w:highlight w:val="none"/>
        </w:rPr>
        <w:t xml:space="preserve">0%）</w:t>
      </w:r>
      <w:r/>
    </w:p>
    <w:tbl>
      <w:tblPr>
        <w:tblStyle w:val="817"/>
        <w:tblW w:w="5342" w:type="pct"/>
        <w:tblInd w:w="-687" w:type="dxa"/>
        <w:tblLayout w:type="autofit"/>
        <w:tblCellMar>
          <w:left w:w="0" w:type="dxa"/>
          <w:top w:w="0" w:type="dxa"/>
          <w:right w:w="0" w:type="dxa"/>
          <w:bottom w:w="0" w:type="dxa"/>
        </w:tblCellMar>
        <w:tblLook w:val="04A0" w:firstRow="1" w:lastRow="0" w:firstColumn="1" w:lastColumn="0" w:noHBand="0" w:noVBand="1"/>
      </w:tblPr>
      <w:tblGrid>
        <w:gridCol w:w="1278"/>
        <w:gridCol w:w="887"/>
        <w:gridCol w:w="957"/>
        <w:gridCol w:w="3653"/>
        <w:gridCol w:w="474"/>
        <w:gridCol w:w="2273"/>
        <w:gridCol w:w="508"/>
        <w:gridCol w:w="602"/>
      </w:tblGrid>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textDirection w:val="lrTb"/>
            <w:noWrap w:val="false"/>
          </w:tcPr>
          <w:p>
            <w:pPr>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项目</w:t>
            </w:r>
            <w:r>
              <w:rPr>
                <w:rFonts w:ascii="宋体" w:hAnsi="宋体" w:cs="宋体"/>
                <w:b/>
                <w:bCs/>
                <w:color w:val="auto"/>
                <w:sz w:val="22"/>
                <w:szCs w:val="22"/>
                <w:highlight w:val="none"/>
              </w:rPr>
              <w:t xml:space="preserve"> </w:t>
            </w:r>
            <w:r/>
          </w:p>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管理要求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widowControl/>
              <w:rPr>
                <w:rFonts w:ascii="宋体"/>
                <w:b/>
                <w:bCs/>
                <w:color w:val="auto"/>
                <w:sz w:val="22"/>
                <w:highlight w:val="none"/>
              </w:rPr>
            </w:pPr>
            <w:r>
              <w:rPr>
                <w:rFonts w:hint="eastAsia" w:ascii="宋体" w:hAnsi="宋体" w:cs="宋体"/>
                <w:b/>
                <w:bCs/>
                <w:color w:val="auto"/>
                <w:sz w:val="22"/>
                <w:szCs w:val="22"/>
                <w:highlight w:val="none"/>
              </w:rPr>
              <w:t xml:space="preserve">扣分</w:t>
            </w:r>
            <w:r>
              <w:rPr>
                <w:rFonts w:ascii="宋体" w:hAnsi="宋体" w:cs="宋体"/>
                <w:b/>
                <w:bCs/>
                <w:color w:val="auto"/>
                <w:sz w:val="22"/>
                <w:szCs w:val="22"/>
                <w:highlight w:val="none"/>
              </w:rPr>
              <w:t xml:space="preserve"> </w:t>
            </w:r>
            <w:r>
              <w:rPr>
                <w:rFonts w:hint="eastAsia" w:ascii="宋体" w:hAnsi="宋体" w:cs="宋体"/>
                <w:b/>
                <w:bCs/>
                <w:color w:val="auto"/>
                <w:sz w:val="22"/>
                <w:szCs w:val="22"/>
                <w:highlight w:val="none"/>
              </w:rPr>
              <w:t xml:space="preserve">原因</w:t>
            </w:r>
            <w:r/>
          </w:p>
        </w:tc>
      </w:tr>
      <w:tr>
        <w:trPr>
          <w:trHeight w:val="1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基础管理（</w:t>
            </w:r>
            <w:r>
              <w:rPr>
                <w:rFonts w:hint="eastAsia"/>
                <w:color w:val="auto"/>
                <w:sz w:val="22"/>
                <w:szCs w:val="22"/>
                <w:highlight w:val="none"/>
              </w:rPr>
              <w:t xml:space="preserve">15</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t xml:space="preserve">1、小区项目经理要有项目经理上岗证，有</w:t>
            </w:r>
            <w:r>
              <w:rPr>
                <w:rFonts w:hint="eastAsia"/>
                <w:color w:val="auto"/>
                <w:sz w:val="22"/>
                <w:szCs w:val="22"/>
                <w:highlight w:val="none"/>
                <w:lang w:eastAsia="zh-CN"/>
              </w:rPr>
              <w:t xml:space="preserve">两年</w:t>
            </w:r>
            <w:r>
              <w:rPr>
                <w:color w:val="auto"/>
                <w:sz w:val="22"/>
                <w:szCs w:val="22"/>
                <w:highlight w:val="none"/>
              </w:rPr>
              <w:t xml:space="preserve">以上的物业管理经验。</w:t>
            </w:r>
            <w:r/>
          </w:p>
          <w:p>
            <w:pPr>
              <w:jc w:val="left"/>
              <w:widowControl/>
              <w:rPr>
                <w:color w:val="auto"/>
                <w:sz w:val="22"/>
                <w:highlight w:val="none"/>
              </w:rPr>
            </w:pPr>
            <w:r>
              <w:rPr>
                <w:color w:val="auto"/>
                <w:sz w:val="22"/>
                <w:szCs w:val="22"/>
                <w:highlight w:val="none"/>
              </w:rPr>
              <w:t xml:space="preserve">2、物业人员按招投标书和实际岗位配备到位，服装统一，挂牌上岗，仪表整洁规范，服务热情主动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无项目经理上岗证扣0.5分，人员配备不到位扣1分，发现一次不符合扣0.5分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2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日常服务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小区设置物业管理站，周一至周五8小时业务接待，设立24小时值班服务电话。有完整的报修、维修和回访记录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无报修、维修回访记录的，发现一次扣0.5分，其他发现一次扣0.5分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27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服务公示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在小区醒目位置公示物业服务内容、收费标准、服务承诺和服务电话。每月在物业点或楼道公示楼道清理、设施设备维保计划及执行情况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未按要求公示的发现一次扣1分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18"/>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建立对物业人员的工作制度和考核制度，并上墙公布。各类物管方案、台账资料齐全完善。录用人员需向物管办备案，统计的相关数据与资料及时上报物管办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发现缺少一项的扣0.5分，资料数据上报不及时每次扣0.5分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567"/>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highlight w:val="none"/>
              </w:rPr>
              <w:t xml:space="preserve">投诉处理舆情处置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highlight w:val="none"/>
              </w:rPr>
              <w:t xml:space="preserve">及时处置业主举报及反映的问题，记录完整，形成台账；</w:t>
            </w:r>
            <w:r>
              <w:rPr>
                <w:rFonts w:hint="eastAsia"/>
                <w:color w:val="auto"/>
                <w:sz w:val="22"/>
                <w:highlight w:val="none"/>
              </w:rPr>
              <w:t xml:space="preserve">及时处置12345平台的投诉，记录完整，形成台账；</w:t>
            </w:r>
            <w:r>
              <w:rPr>
                <w:color w:val="auto"/>
                <w:sz w:val="22"/>
                <w:highlight w:val="none"/>
              </w:rPr>
              <w:t xml:space="preserve">对突发状况处置得当，不得引发舆情。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rPr>
                <w:rFonts w:hint="eastAsia"/>
                <w:color w:val="auto"/>
                <w:sz w:val="22"/>
                <w:szCs w:val="22"/>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rFonts w:hint="eastAsia"/>
                <w:color w:val="auto"/>
                <w:sz w:val="22"/>
                <w:highlight w:val="none"/>
              </w:rPr>
              <w:t xml:space="preserve">未及时处置业主举报及反映的问题扣1分1次；12345平台同一问题因物业公司原因被反复投诉的扣1分1次；引发舆情的扣10分；无台账扣3分。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2</w:t>
            </w:r>
            <w:r/>
          </w:p>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清洁管理（</w:t>
            </w:r>
            <w:r>
              <w:rPr>
                <w:rFonts w:hint="eastAsia"/>
                <w:color w:val="auto"/>
                <w:sz w:val="22"/>
                <w:szCs w:val="22"/>
                <w:highlight w:val="none"/>
              </w:rPr>
              <w:t xml:space="preserve">24</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共用楼道保洁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确保楼层通道、楼梯台阶、扶手干净，无杂物、积灰、蛛网，无小广告、乱张贴、乱涂写、乱停车等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电梯保洁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确保电梯轿厢内整洁，无乱张贴、无乱涂写、无积灰等；电梯机房整洁，无明显积灰、无乱堆放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374"/>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停车场共用车库或车棚保洁</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整洁、无杂物、无明显积灰，门窗、墙面整洁无破损</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标识、宣传牌、塑料信报箱保洁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完好、干净、无明显浮灰、污迹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rFonts w:hint="eastAsia"/>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门卫、岗亭、河道</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门卫、岗亭干净、整洁，没有无关物品；河面无漂浮物，岸脚无垃圾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766"/>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rPr>
                <w:color w:val="auto"/>
                <w:sz w:val="22"/>
                <w:highlight w:val="none"/>
              </w:rPr>
            </w:pPr>
            <w:r>
              <w:rPr>
                <w:color w:val="auto"/>
                <w:sz w:val="22"/>
                <w:szCs w:val="22"/>
                <w:highlight w:val="none"/>
              </w:rPr>
              <w:t xml:space="preserve">其他公共场所、设施、公厕</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保持干净、整洁、无浮灰、污迹、损坏，无乱堆放、乱涂写、乱牵挂、乱晾晒现象</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4</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50"/>
        </w:trPr>
        <w:tc>
          <w:tcPr>
            <w:tcBorders>
              <w:top w:val="single" w:color="000000" w:sz="4" w:space="0"/>
              <w:left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t xml:space="preserve">3</w:t>
            </w:r>
            <w:r/>
          </w:p>
          <w:p>
            <w:pPr>
              <w:jc w:val="cente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t xml:space="preserve">房屋共用</w:t>
            </w:r>
            <w:r/>
          </w:p>
          <w:p>
            <w:pPr>
              <w:jc w:val="center"/>
              <w:widowControl/>
              <w:rPr>
                <w:color w:val="auto"/>
                <w:sz w:val="22"/>
                <w:szCs w:val="22"/>
                <w:highlight w:val="none"/>
              </w:rPr>
            </w:pPr>
            <w:r>
              <w:rPr>
                <w:color w:val="auto"/>
                <w:sz w:val="22"/>
                <w:szCs w:val="22"/>
                <w:highlight w:val="none"/>
              </w:rPr>
              <w:t xml:space="preserve">设施、设备维护与管理</w:t>
            </w:r>
            <w:r/>
          </w:p>
          <w:p>
            <w:pPr>
              <w:jc w:val="center"/>
              <w:widowControl/>
              <w:rPr>
                <w:color w:val="auto"/>
                <w:sz w:val="22"/>
                <w:highlight w:val="none"/>
              </w:rPr>
            </w:pPr>
            <w:r>
              <w:rPr>
                <w:color w:val="auto"/>
                <w:sz w:val="22"/>
                <w:szCs w:val="22"/>
                <w:highlight w:val="none"/>
              </w:rPr>
              <w:t xml:space="preserve">（18分）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服务时限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急修1小时到位，12小时内修复；小修2日内修复，有记录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超过时限扣0.5分，无记录扣0.5分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65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房屋管理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有完善的装修管理制度。业主装修无破坏主体结构等情况。及时处理小区居民的报修工作，按照维修管理规定执行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发现一处破坏主体结构扣1.5分，一周内整改不到位的扣2分，未按照维修规定执行的每次扣0.5分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5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给排水设施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水箱、蓄水池盖板完好无损坏，每年做好清洗工作，有记录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发现一次扣0.5分，扣完为止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45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泵房整洁无杂物，各类水泵运作正常，管道及阀门配件完好、无损坏、渗漏、锈迹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发现一次因人为原因运行不正常的扣1分；发现一处损坏渗漏，维保不到位的扣0.2分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33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每月清扫一次明沟，无堵塞。清扫有记录，多层安置房梅雨季节前清扫一次露台天沟；疏通一次</w:t>
            </w:r>
            <w:r>
              <w:rPr>
                <w:rFonts w:hint="eastAsia"/>
                <w:color w:val="auto"/>
                <w:sz w:val="22"/>
                <w:szCs w:val="22"/>
                <w:highlight w:val="none"/>
                <w:lang w:eastAsia="zh-CN"/>
              </w:rPr>
              <w:t xml:space="preserve">路面</w:t>
            </w:r>
            <w:r>
              <w:rPr>
                <w:color w:val="auto"/>
                <w:sz w:val="22"/>
                <w:szCs w:val="22"/>
                <w:highlight w:val="none"/>
              </w:rPr>
              <w:t xml:space="preserve">窨井，化粪池每年清理一次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未按要求做的，发现一次扣1分，限时整改不到位的扣2分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130"/>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auto"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窨井无损坏、无缺失，安装到位，不影响行人与</w:t>
            </w:r>
            <w:r>
              <w:rPr>
                <w:rFonts w:hint="eastAsia"/>
                <w:color w:val="auto"/>
                <w:sz w:val="22"/>
                <w:szCs w:val="22"/>
                <w:highlight w:val="none"/>
                <w:lang w:eastAsia="zh-CN"/>
              </w:rPr>
              <w:t xml:space="preserve">车辆通行</w:t>
            </w:r>
            <w:r/>
          </w:p>
        </w:tc>
        <w:tc>
          <w:tcPr>
            <w:tcBorders>
              <w:top w:val="single" w:color="auto" w:sz="4" w:space="0"/>
              <w:left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auto"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auto" w:sz="4" w:space="0"/>
              <w:left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840"/>
        </w:trPr>
        <w:tc>
          <w:tcPr>
            <w:tcBorders>
              <w:left w:val="single" w:color="000000" w:sz="4" w:space="0"/>
              <w:right w:val="single" w:color="000000" w:sz="4" w:space="0"/>
            </w:tcBorders>
            <w:tcW w:w="601" w:type="pct"/>
            <w:vAlign w:val="center"/>
            <w:textDirection w:val="lrTb"/>
            <w:noWrap w:val="false"/>
          </w:tcPr>
          <w:p>
            <w:pPr>
              <w:jc w:val="center"/>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restart"/>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bottom w:val="single" w:color="000000" w:sz="4" w:space="0"/>
              <w:right w:val="single" w:color="000000" w:sz="4" w:space="0"/>
            </w:tcBorders>
            <w:tcW w:w="450"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雨水管污水、给排水管无堵塞、排水畅通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975"/>
        </w:trPr>
        <w:tc>
          <w:tcPr>
            <w:tcBorders>
              <w:left w:val="single" w:color="000000" w:sz="4" w:space="0"/>
              <w:right w:val="single" w:color="000000" w:sz="4" w:space="0"/>
            </w:tcBorders>
            <w:tcW w:w="601" w:type="pct"/>
            <w:vAlign w:val="center"/>
            <w:vMerge w:val="restart"/>
            <w:textDirection w:val="lrTb"/>
            <w:noWrap w:val="false"/>
          </w:tcPr>
          <w:p>
            <w:pPr>
              <w:ind w:firstLine="110"/>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公共照明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每月检查公共供配电系统的运行状况，并做好记录，出现异常情况及时处理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不检查一次扣0.5分，不及时处理扣0.5分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公共照明灯具开关等无损坏，使用正常</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3</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2145"/>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highlight w:val="none"/>
              </w:rPr>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电梯</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选聘有资质的维保单位进行日常维护保养，维保记录资料齐全，主动到镇物管办登记备案。做到一梯一档；有应急救援预案和操作程序。在接到报警信号半小时内设法解救乘客，排除故障，有记录。电梯灯具、风扇、按钮、对讲系统及安全设施保养到位，无异常、无损坏</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未及时备案的扣2分无正常维护保养扣2分；记录不全，发现一处扣0.2分；其他发现一次扣0.2分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2220"/>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消防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选聘有资质的维保单位进行日常维护保养，主动到物管办登记备案。每月进行一次巡查，调试消防栓、箱、烟管器、消防水阀。消防标志等消防设备完好、齐全，确保正常使用，并及时维修，有记录，无失窃、私用等情况。灭火器定期检查更换药粉，确保有效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没有备案的扣2分；无巡查调试扣1分，设备、设施损坏不符合要求，每发现一处扣0.2分，发现私用扣1分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227"/>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监控</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r>
            <w:r/>
          </w:p>
          <w:p>
            <w:pPr>
              <w:jc w:val="left"/>
              <w:widowControl/>
              <w:rPr>
                <w:color w:val="auto"/>
                <w:sz w:val="22"/>
                <w:szCs w:val="22"/>
                <w:highlight w:val="none"/>
              </w:rPr>
            </w:pPr>
            <w:r>
              <w:rPr>
                <w:color w:val="auto"/>
                <w:sz w:val="22"/>
                <w:szCs w:val="22"/>
                <w:highlight w:val="none"/>
              </w:rPr>
            </w:r>
            <w:r/>
          </w:p>
          <w:p>
            <w:pPr>
              <w:jc w:val="left"/>
              <w:widowControl/>
              <w:rPr>
                <w:color w:val="auto"/>
                <w:sz w:val="22"/>
                <w:szCs w:val="22"/>
                <w:highlight w:val="none"/>
              </w:rPr>
            </w:pPr>
            <w:r>
              <w:rPr>
                <w:color w:val="auto"/>
                <w:sz w:val="22"/>
                <w:szCs w:val="22"/>
                <w:highlight w:val="none"/>
              </w:rPr>
              <w:t xml:space="preserve">每月按规定检查监控设备，有记录，如有损坏及时修复</w:t>
            </w:r>
            <w:r/>
          </w:p>
          <w:p>
            <w:pPr>
              <w:jc w:val="left"/>
              <w:widowControl/>
              <w:rPr>
                <w:color w:val="auto"/>
                <w:sz w:val="22"/>
                <w:szCs w:val="22"/>
                <w:highlight w:val="none"/>
              </w:rPr>
            </w:pPr>
            <w:r>
              <w:rPr>
                <w:color w:val="auto"/>
                <w:sz w:val="22"/>
                <w:szCs w:val="22"/>
                <w:highlight w:val="none"/>
              </w:rPr>
            </w:r>
            <w:r/>
          </w:p>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不检查扣1分，不及时维修扣0.5分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9" w:type="pct"/>
            <w:vAlign w:val="center"/>
            <w:vMerge w:val="restart"/>
            <w:textDirection w:val="lrTb"/>
            <w:noWrap/>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vMerge w:val="restart"/>
            <w:textDirection w:val="lrTb"/>
            <w:noWrap/>
          </w:tcPr>
          <w:p>
            <w:pPr>
              <w:jc w:val="center"/>
              <w:rPr>
                <w:color w:val="auto"/>
                <w:sz w:val="22"/>
                <w:highlight w:val="none"/>
              </w:rPr>
            </w:pPr>
            <w:r>
              <w:rPr>
                <w:color w:val="auto"/>
                <w:sz w:val="22"/>
                <w:highlight w:val="none"/>
              </w:rPr>
            </w:r>
            <w:r/>
          </w:p>
        </w:tc>
      </w:tr>
      <w:tr>
        <w:trPr>
          <w:trHeight w:val="1965"/>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监控室实行24小时值班，发现情况及时上报处理，情况处理有记录；禁止无关人员在内；保持室内整洁无杂物堆放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发现无人值班扣1分，情况不及时处理扣0.5分，发现有无关人员一次扣0.5分；发现有杂物堆放每次扣0.5分</w:t>
            </w:r>
            <w:r/>
          </w:p>
        </w:tc>
        <w:tc>
          <w:tcPr>
            <w:tcBorders>
              <w:top w:val="single" w:color="000000" w:sz="4" w:space="0"/>
              <w:left w:val="none" w:color="000000" w:sz="4" w:space="0"/>
              <w:bottom w:val="single" w:color="000000" w:sz="4" w:space="0"/>
              <w:right w:val="single" w:color="000000" w:sz="4" w:space="0"/>
            </w:tcBorders>
            <w:tcW w:w="239"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left"/>
              <w:widowControl/>
              <w:rPr>
                <w:color w:val="auto"/>
                <w:sz w:val="22"/>
                <w:highlight w:val="none"/>
              </w:rPr>
            </w:pPr>
            <w:r>
              <w:rPr>
                <w:color w:val="auto"/>
                <w:sz w:val="22"/>
                <w:highlight w:val="none"/>
              </w:rPr>
            </w:r>
            <w:r/>
          </w:p>
        </w:tc>
      </w:tr>
      <w:tr>
        <w:trPr>
          <w:trHeight w:val="1930"/>
        </w:trPr>
        <w:tc>
          <w:tcPr>
            <w:tcBorders>
              <w:left w:val="single" w:color="000000" w:sz="4" w:space="0"/>
              <w:right w:val="single" w:color="auto"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auto" w:sz="4" w:space="0"/>
              <w:bottom w:val="single" w:color="auto" w:sz="4" w:space="0"/>
              <w:right w:val="single" w:color="auto"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其他公用设施</w:t>
            </w:r>
            <w:r/>
          </w:p>
          <w:p>
            <w:pPr>
              <w:jc w:val="center"/>
              <w:widowControl/>
              <w:rPr>
                <w:color w:val="auto"/>
                <w:sz w:val="22"/>
                <w:highlight w:val="none"/>
              </w:rPr>
            </w:pPr>
            <w:r>
              <w:rPr>
                <w:color w:val="auto"/>
                <w:sz w:val="22"/>
                <w:szCs w:val="22"/>
                <w:highlight w:val="none"/>
              </w:rPr>
              <w:t xml:space="preserve">智能道闸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tcPr>
          <w:p>
            <w:pPr>
              <w:jc w:val="left"/>
              <w:widowControl/>
              <w:rPr>
                <w:color w:val="auto"/>
                <w:sz w:val="22"/>
                <w:highlight w:val="none"/>
              </w:rPr>
            </w:pPr>
            <w:r>
              <w:rPr>
                <w:color w:val="auto"/>
                <w:sz w:val="22"/>
                <w:szCs w:val="22"/>
                <w:highlight w:val="none"/>
              </w:rPr>
              <w:t xml:space="preserve">完好无损、无随意改变用途现象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损坏1处扣0.2分，随意改变用途扣1分，确保智能道闸正常使用，未按规定使用的每次扣0.2分</w:t>
            </w:r>
            <w:r/>
          </w:p>
        </w:tc>
        <w:tc>
          <w:tcPr>
            <w:tcBorders>
              <w:top w:val="single" w:color="000000" w:sz="4" w:space="0"/>
              <w:left w:val="none" w:color="000000" w:sz="4" w:space="0"/>
              <w:bottom w:val="single" w:color="000000" w:sz="4" w:space="0"/>
              <w:right w:val="single" w:color="000000" w:sz="4" w:space="0"/>
            </w:tcBorders>
            <w:tcW w:w="239"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80" w:type="pct"/>
            <w:vAlign w:val="center"/>
            <w:vMerge w:val="continue"/>
            <w:textDirection w:val="lrTb"/>
            <w:noWrap w:val="false"/>
          </w:tcPr>
          <w:p>
            <w:pPr>
              <w:jc w:val="left"/>
              <w:widowControl/>
              <w:rPr>
                <w:color w:val="auto"/>
                <w:sz w:val="22"/>
                <w:highlight w:val="none"/>
              </w:rPr>
            </w:pPr>
            <w:r>
              <w:rPr>
                <w:color w:val="auto"/>
                <w:sz w:val="22"/>
                <w:highlight w:val="none"/>
              </w:rPr>
            </w:r>
            <w:r/>
          </w:p>
        </w:tc>
      </w:tr>
      <w:tr>
        <w:trPr>
          <w:trHeight w:val="100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jc w:val="center"/>
              <w:widowControl/>
              <w:rPr>
                <w:color w:val="auto"/>
                <w:sz w:val="22"/>
                <w:highlight w:val="none"/>
              </w:rPr>
            </w:pPr>
            <w:r>
              <w:rPr>
                <w:color w:val="auto"/>
                <w:sz w:val="22"/>
                <w:szCs w:val="22"/>
                <w:highlight w:val="none"/>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szCs w:val="22"/>
                <w:highlight w:val="none"/>
              </w:rPr>
            </w:pPr>
            <w:r>
              <w:rPr>
                <w:color w:val="auto"/>
                <w:sz w:val="22"/>
                <w:szCs w:val="22"/>
                <w:highlight w:val="none"/>
              </w:rPr>
            </w:r>
            <w:r/>
          </w:p>
          <w:p>
            <w:pPr>
              <w:jc w:val="center"/>
              <w:widowControl/>
              <w:rPr>
                <w:color w:val="auto"/>
                <w:sz w:val="22"/>
                <w:szCs w:val="22"/>
                <w:highlight w:val="none"/>
              </w:rPr>
            </w:pPr>
            <w:r>
              <w:rPr>
                <w:color w:val="auto"/>
                <w:sz w:val="22"/>
                <w:szCs w:val="22"/>
                <w:highlight w:val="none"/>
              </w:rPr>
            </w:r>
            <w:r/>
          </w:p>
          <w:p>
            <w:pPr>
              <w:widowControl/>
              <w:rPr>
                <w:color w:val="auto"/>
                <w:sz w:val="22"/>
                <w:szCs w:val="22"/>
                <w:highlight w:val="none"/>
              </w:rPr>
            </w:pPr>
            <w:r>
              <w:rPr>
                <w:color w:val="auto"/>
                <w:sz w:val="22"/>
                <w:szCs w:val="22"/>
                <w:highlight w:val="none"/>
              </w:rPr>
            </w:r>
            <w:r/>
          </w:p>
          <w:p>
            <w:pPr>
              <w:widowControl/>
              <w:rPr>
                <w:color w:val="auto"/>
                <w:sz w:val="22"/>
                <w:szCs w:val="22"/>
                <w:highlight w:val="none"/>
              </w:rPr>
            </w:pPr>
            <w:r>
              <w:rPr>
                <w:color w:val="auto"/>
                <w:sz w:val="22"/>
                <w:szCs w:val="22"/>
                <w:highlight w:val="none"/>
              </w:rPr>
              <w:t xml:space="preserve">绿化养护与</w:t>
            </w:r>
            <w:r/>
          </w:p>
          <w:p>
            <w:pPr>
              <w:widowControl/>
              <w:rPr>
                <w:color w:val="auto"/>
                <w:sz w:val="22"/>
                <w:szCs w:val="22"/>
                <w:highlight w:val="none"/>
              </w:rPr>
            </w:pPr>
            <w:r>
              <w:rPr>
                <w:color w:val="auto"/>
                <w:sz w:val="22"/>
                <w:szCs w:val="22"/>
                <w:highlight w:val="none"/>
              </w:rPr>
              <w:t xml:space="preserve">管理</w:t>
            </w:r>
            <w:r/>
          </w:p>
          <w:p>
            <w:pPr>
              <w:widowControl/>
              <w:rPr>
                <w:color w:val="auto"/>
                <w:sz w:val="22"/>
                <w:highlight w:val="none"/>
              </w:rPr>
            </w:pPr>
            <w:r>
              <w:rPr>
                <w:color w:val="auto"/>
                <w:sz w:val="22"/>
                <w:szCs w:val="22"/>
                <w:highlight w:val="none"/>
              </w:rPr>
              <w:t xml:space="preserve">（1</w:t>
            </w:r>
            <w:r>
              <w:rPr>
                <w:rFonts w:hint="eastAsia"/>
                <w:color w:val="auto"/>
                <w:sz w:val="22"/>
                <w:szCs w:val="22"/>
                <w:highlight w:val="none"/>
              </w:rPr>
              <w:t xml:space="preserve">4</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草坪、树木、花坛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植物长势良好，草坪、色块、树木、花坛成活率在90%以上。如有死亡，毁绿现象能够及时补绿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rFonts w:hint="eastAsia"/>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发现一处毁绿扣0.5分，不及时补绿扣1分，扣完为止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227"/>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绿地无杂草，无明显土地裸露，无乱种植现象</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6</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假山、亭、雕塑等建筑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干净无垃圾、无明显积灰、无污迹、无损坏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5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highlight w:val="none"/>
              </w:rPr>
            </w:pPr>
            <w:r>
              <w:rPr>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widowControl/>
              <w:rPr>
                <w:color w:val="auto"/>
                <w:sz w:val="22"/>
                <w:highlight w:val="none"/>
              </w:rPr>
            </w:pPr>
            <w:r>
              <w:rPr>
                <w:color w:val="auto"/>
                <w:sz w:val="22"/>
                <w:szCs w:val="22"/>
                <w:highlight w:val="none"/>
              </w:rPr>
              <w:t xml:space="preserve">安全防范（20分）</w:t>
            </w:r>
            <w:r/>
          </w:p>
        </w:tc>
        <w:tc>
          <w:tcPr>
            <w:tcBorders>
              <w:top w:val="single" w:color="000000" w:sz="4" w:space="0"/>
              <w:left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rPr>
                <w:color w:val="auto"/>
                <w:sz w:val="22"/>
                <w:highlight w:val="none"/>
              </w:rPr>
            </w:pPr>
            <w:r>
              <w:rPr>
                <w:color w:val="auto"/>
                <w:sz w:val="22"/>
                <w:szCs w:val="22"/>
                <w:highlight w:val="none"/>
              </w:rPr>
              <w:t xml:space="preserve">巡逻</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highlight w:val="none"/>
              </w:rPr>
            </w:pPr>
            <w:r>
              <w:rPr>
                <w:color w:val="auto"/>
                <w:sz w:val="22"/>
                <w:szCs w:val="22"/>
                <w:highlight w:val="none"/>
              </w:rPr>
              <w:t xml:space="preserve">按规定白天巡查不少于4次，夜间巡查不少于6次，巡查台账完备。车库门、防盗电控门保持完好，及时关闭</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rPr>
                <w:color w:val="auto"/>
                <w:sz w:val="22"/>
                <w:highlight w:val="none"/>
              </w:rPr>
            </w:pPr>
            <w:r>
              <w:rPr>
                <w:color w:val="auto"/>
                <w:sz w:val="22"/>
                <w:szCs w:val="22"/>
                <w:highlight w:val="none"/>
              </w:rPr>
              <w:t xml:space="preserve">15</w:t>
            </w:r>
            <w:r/>
          </w:p>
        </w:tc>
        <w:tc>
          <w:tcPr>
            <w:tcBorders>
              <w:top w:val="single" w:color="000000" w:sz="4" w:space="0"/>
              <w:left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rPr>
                <w:color w:val="auto"/>
                <w:sz w:val="22"/>
                <w:highlight w:val="none"/>
              </w:rPr>
            </w:pPr>
            <w:r>
              <w:rPr>
                <w:color w:val="auto"/>
                <w:sz w:val="22"/>
                <w:szCs w:val="22"/>
                <w:highlight w:val="none"/>
              </w:rPr>
              <w:t xml:space="preserve">缺一次巡逻扣1分，夜间车库门未关闭发现一处扣0.5分，扣完为止</w:t>
            </w:r>
            <w:r/>
          </w:p>
        </w:tc>
        <w:tc>
          <w:tcPr>
            <w:tcBorders>
              <w:top w:val="single" w:color="000000" w:sz="4" w:space="0"/>
              <w:left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050"/>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left"/>
              <w:widowControl/>
              <w:rPr>
                <w:color w:val="auto"/>
                <w:sz w:val="22"/>
                <w:highlight w:val="none"/>
              </w:rPr>
            </w:pPr>
            <w:r>
              <w:rPr>
                <w:color w:val="auto"/>
                <w:sz w:val="22"/>
                <w:highlight w:val="none"/>
              </w:rPr>
              <w:t xml:space="preserve">交通秩序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保持消防通道畅通，消防通道无路障；对于火灾等突发事件要有应急预案，每年进行一次消防演练活动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消防通道不畅通，发现一次扣2分，未进行消防演练活动的扣1分</w:t>
            </w:r>
            <w:r/>
          </w:p>
        </w:tc>
        <w:tc>
          <w:tcPr>
            <w:tcBorders>
              <w:top w:val="none" w:color="000000" w:sz="4" w:space="0"/>
              <w:left w:val="none" w:color="000000" w:sz="4" w:space="0"/>
              <w:bottom w:val="single" w:color="000000" w:sz="4" w:space="0"/>
              <w:right w:val="single" w:color="000000" w:sz="4" w:space="0"/>
            </w:tcBorders>
            <w:tcW w:w="239" w:type="pct"/>
            <w:vAlign w:val="center"/>
            <w:textDirection w:val="lrTb"/>
            <w:noWrap w:val="false"/>
          </w:tcPr>
          <w:p>
            <w:pPr>
              <w:jc w:val="left"/>
              <w:widowControl/>
              <w:rPr>
                <w:color w:val="auto"/>
                <w:sz w:val="22"/>
                <w:highlight w:val="none"/>
              </w:rPr>
            </w:pPr>
            <w:r>
              <w:rPr>
                <w:color w:val="auto"/>
                <w:sz w:val="22"/>
                <w:highlight w:val="none"/>
              </w:rPr>
            </w:r>
            <w:r/>
          </w:p>
        </w:tc>
        <w:tc>
          <w:tcPr>
            <w:tcBorders>
              <w:top w:val="none" w:color="000000" w:sz="4" w:space="0"/>
              <w:left w:val="single" w:color="000000" w:sz="4" w:space="0"/>
              <w:bottom w:val="single" w:color="000000" w:sz="4" w:space="0"/>
              <w:right w:val="single" w:color="000000" w:sz="4" w:space="0"/>
            </w:tcBorders>
            <w:tcW w:w="280" w:type="pct"/>
            <w:vAlign w:val="center"/>
            <w:textDirection w:val="lrTb"/>
            <w:noWrap w:val="false"/>
          </w:tcPr>
          <w:p>
            <w:pPr>
              <w:jc w:val="left"/>
              <w:widowControl/>
              <w:rPr>
                <w:color w:val="auto"/>
                <w:sz w:val="22"/>
                <w:highlight w:val="none"/>
              </w:rPr>
            </w:pPr>
            <w:r>
              <w:rPr>
                <w:color w:val="auto"/>
                <w:sz w:val="22"/>
                <w:highlight w:val="none"/>
              </w:rPr>
            </w:r>
            <w:r/>
          </w:p>
        </w:tc>
      </w:tr>
      <w:tr>
        <w:trPr>
          <w:trHeight w:val="1545"/>
        </w:trPr>
        <w:tc>
          <w:tcPr>
            <w:tcBorders>
              <w:top w:val="single" w:color="000000" w:sz="4" w:space="0"/>
              <w:left w:val="single" w:color="000000" w:sz="4" w:space="0"/>
              <w:bottom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W w:w="417"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其他方面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对于治安、公共卫生等突发事件，危及住户人身安全的设施设备有明显标志和防范措施。主出入口设有小区平面示意图，主要路口设有路标、幢、单元（门）和户门标志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发现一处不符合要求的扣0.5分，扣完为止</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tcPr>
          <w:p>
            <w:pPr>
              <w:rPr>
                <w:color w:val="auto"/>
                <w:sz w:val="22"/>
                <w:highlight w:val="none"/>
              </w:rPr>
            </w:pPr>
            <w:r>
              <w:rPr>
                <w:color w:val="auto"/>
                <w:sz w:val="22"/>
                <w:highlight w:val="none"/>
              </w:rPr>
            </w:r>
            <w:r/>
          </w:p>
        </w:tc>
      </w:tr>
      <w:tr>
        <w:trPr>
          <w:trHeight w:val="1680"/>
        </w:trPr>
        <w:tc>
          <w:tcPr>
            <w:tcBorders>
              <w:top w:val="single" w:color="000000" w:sz="4" w:space="0"/>
              <w:left w:val="single" w:color="000000" w:sz="4" w:space="0"/>
              <w:right w:val="single" w:color="000000" w:sz="4" w:space="0"/>
            </w:tcBorders>
            <w:tcMar>
              <w:left w:w="15" w:type="dxa"/>
              <w:top w:w="15" w:type="dxa"/>
              <w:right w:w="15" w:type="dxa"/>
              <w:bottom w:w="0" w:type="dxa"/>
            </w:tcMar>
            <w:tcW w:w="601" w:type="pct"/>
            <w:vAlign w:val="center"/>
            <w:vMerge w:val="restart"/>
            <w:textDirection w:val="lrTb"/>
            <w:noWrap/>
          </w:tcPr>
          <w:p>
            <w:pPr>
              <w:jc w:val="center"/>
              <w:widowControl/>
              <w:rPr>
                <w:color w:val="auto"/>
                <w:sz w:val="22"/>
                <w:highlight w:val="none"/>
              </w:rPr>
            </w:pPr>
            <w:r>
              <w:rPr>
                <w:color w:val="auto"/>
                <w:sz w:val="22"/>
                <w:szCs w:val="22"/>
                <w:highlight w:val="none"/>
              </w:rPr>
              <w:t xml:space="preserve">6</w:t>
            </w:r>
            <w:r/>
          </w:p>
        </w:tc>
        <w:tc>
          <w:tcPr>
            <w:tcBorders>
              <w:top w:val="single" w:color="000000" w:sz="4" w:space="0"/>
              <w:left w:val="single" w:color="000000" w:sz="4" w:space="0"/>
              <w:right w:val="single" w:color="000000" w:sz="4" w:space="0"/>
            </w:tcBorders>
            <w:tcMar>
              <w:left w:w="15" w:type="dxa"/>
              <w:top w:w="15" w:type="dxa"/>
              <w:right w:w="15" w:type="dxa"/>
              <w:bottom w:w="0" w:type="dxa"/>
            </w:tcMar>
            <w:tcW w:w="417" w:type="pct"/>
            <w:vAlign w:val="center"/>
            <w:vMerge w:val="restart"/>
            <w:textDirection w:val="lrTb"/>
            <w:noWrap w:val="false"/>
          </w:tcPr>
          <w:p>
            <w:pPr>
              <w:jc w:val="center"/>
              <w:rPr>
                <w:color w:val="auto"/>
                <w:sz w:val="22"/>
                <w:szCs w:val="22"/>
                <w:highlight w:val="none"/>
              </w:rPr>
            </w:pPr>
            <w:r>
              <w:rPr>
                <w:color w:val="auto"/>
                <w:sz w:val="22"/>
                <w:szCs w:val="22"/>
                <w:highlight w:val="none"/>
              </w:rPr>
              <w:t xml:space="preserve">业主权益</w:t>
            </w:r>
            <w:r/>
          </w:p>
          <w:p>
            <w:pPr>
              <w:jc w:val="center"/>
              <w:rPr>
                <w:color w:val="auto"/>
                <w:sz w:val="22"/>
                <w:highlight w:val="none"/>
              </w:rPr>
            </w:pPr>
            <w:r>
              <w:rPr>
                <w:color w:val="auto"/>
                <w:sz w:val="22"/>
                <w:szCs w:val="22"/>
                <w:highlight w:val="none"/>
              </w:rPr>
              <w:t xml:space="preserve">（</w:t>
            </w:r>
            <w:r>
              <w:rPr>
                <w:rFonts w:hint="eastAsia"/>
                <w:color w:val="auto"/>
                <w:sz w:val="22"/>
                <w:szCs w:val="22"/>
                <w:highlight w:val="none"/>
              </w:rPr>
              <w:t xml:space="preserve">9</w:t>
            </w:r>
            <w:r>
              <w:rPr>
                <w:color w:val="auto"/>
                <w:sz w:val="22"/>
                <w:szCs w:val="22"/>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收费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按标准合理收取物业管理费、车辆停车费，加强沟通避免投诉，每月月底按时结算上报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未按规定收费的，发现一次扣1分，每月月底未结算上报的，每次扣1分，不合理收费发现一次扣1分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765"/>
        </w:trPr>
        <w:tc>
          <w:tcPr>
            <w:tcBorders>
              <w:left w:val="single" w:color="000000" w:sz="4" w:space="0"/>
              <w:right w:val="single" w:color="000000" w:sz="4" w:space="0"/>
            </w:tcBorders>
            <w:tcW w:w="601" w:type="pct"/>
            <w:vAlign w:val="center"/>
            <w:vMerge w:val="continue"/>
            <w:textDirection w:val="lrTb"/>
            <w:noWrap w:val="false"/>
          </w:tcPr>
          <w:p>
            <w:pPr>
              <w:jc w:val="left"/>
              <w:widowControl/>
              <w:rPr>
                <w:color w:val="auto"/>
                <w:sz w:val="22"/>
                <w:highlight w:val="none"/>
              </w:rPr>
            </w:pPr>
            <w:r>
              <w:rPr>
                <w:color w:val="auto"/>
                <w:sz w:val="22"/>
                <w:highlight w:val="none"/>
              </w:rPr>
            </w:r>
            <w:r/>
          </w:p>
        </w:tc>
        <w:tc>
          <w:tcPr>
            <w:tcBorders>
              <w:left w:val="single" w:color="000000" w:sz="4" w:space="0"/>
              <w:right w:val="single" w:color="000000" w:sz="4" w:space="0"/>
            </w:tcBorders>
            <w:tcW w:w="417" w:type="pct"/>
            <w:vAlign w:val="center"/>
            <w:vMerge w:val="continue"/>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0" w:type="pct"/>
            <w:vAlign w:val="center"/>
            <w:textDirection w:val="lrTb"/>
            <w:noWrap w:val="false"/>
          </w:tcPr>
          <w:p>
            <w:pPr>
              <w:jc w:val="center"/>
              <w:widowControl/>
              <w:rPr>
                <w:color w:val="auto"/>
                <w:sz w:val="22"/>
                <w:highlight w:val="none"/>
              </w:rPr>
            </w:pPr>
            <w:r>
              <w:rPr>
                <w:color w:val="auto"/>
                <w:sz w:val="22"/>
                <w:szCs w:val="22"/>
                <w:highlight w:val="none"/>
              </w:rPr>
              <w:t xml:space="preserve">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highlight w:val="none"/>
              </w:rPr>
            </w:pPr>
            <w:r>
              <w:rPr>
                <w:color w:val="auto"/>
                <w:sz w:val="22"/>
                <w:szCs w:val="22"/>
                <w:highlight w:val="none"/>
              </w:rPr>
              <w:t xml:space="preserve">按季度公示经营管理收支情况，专项维修情况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tcPr>
          <w:p>
            <w:pPr>
              <w:jc w:val="center"/>
              <w:widowControl/>
              <w:rPr>
                <w:color w:val="auto"/>
                <w:sz w:val="22"/>
                <w:highlight w:val="none"/>
              </w:rPr>
            </w:pPr>
            <w:r>
              <w:rPr>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highlight w:val="none"/>
              </w:rPr>
            </w:pPr>
            <w:r>
              <w:rPr>
                <w:color w:val="auto"/>
                <w:sz w:val="22"/>
                <w:szCs w:val="22"/>
                <w:highlight w:val="none"/>
              </w:rPr>
              <w:t xml:space="preserve">未按规定公示的，每项扣1分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jc w:val="cente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jc w:val="center"/>
              <w:rPr>
                <w:color w:val="auto"/>
                <w:sz w:val="22"/>
                <w:highlight w:val="none"/>
              </w:rPr>
            </w:pPr>
            <w:r>
              <w:rPr>
                <w:color w:val="auto"/>
                <w:sz w:val="22"/>
                <w:highlight w:val="none"/>
              </w:rPr>
            </w:r>
            <w:r/>
          </w:p>
        </w:tc>
      </w:tr>
      <w:tr>
        <w:trPr>
          <w:trHeight w:val="1059"/>
        </w:trPr>
        <w:tc>
          <w:tcPr>
            <w:tcBorders>
              <w:left w:val="single" w:color="000000" w:sz="4" w:space="0"/>
              <w:right w:val="single" w:color="000000" w:sz="4" w:space="0"/>
            </w:tcBorders>
            <w:tcMar>
              <w:left w:w="15" w:type="dxa"/>
              <w:top w:w="15" w:type="dxa"/>
              <w:right w:w="15" w:type="dxa"/>
              <w:bottom w:w="0" w:type="dxa"/>
            </w:tcMar>
            <w:tcW w:w="601"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left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bottom w:w="0" w:type="dxa"/>
            </w:tcMar>
            <w:tcW w:w="450" w:type="pct"/>
            <w:vAlign w:val="center"/>
            <w:textDirection w:val="lrTb"/>
            <w:noWrap w:val="false"/>
          </w:tcPr>
          <w:p>
            <w:pPr>
              <w:jc w:val="center"/>
              <w:rPr>
                <w:color w:val="auto"/>
                <w:sz w:val="22"/>
                <w:szCs w:val="22"/>
                <w:highlight w:val="none"/>
              </w:rPr>
            </w:pPr>
            <w:r>
              <w:rPr>
                <w:color w:val="auto"/>
                <w:sz w:val="22"/>
                <w:szCs w:val="22"/>
                <w:highlight w:val="none"/>
              </w:rPr>
              <w:t xml:space="preserve">召开座谈会</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bottom w:w="0" w:type="dxa"/>
            </w:tcMar>
            <w:tcW w:w="1717" w:type="pct"/>
            <w:vAlign w:val="center"/>
            <w:textDirection w:val="lrTb"/>
            <w:noWrap w:val="false"/>
          </w:tcPr>
          <w:p>
            <w:pPr>
              <w:jc w:val="left"/>
              <w:rPr>
                <w:color w:val="auto"/>
                <w:sz w:val="22"/>
                <w:szCs w:val="22"/>
                <w:highlight w:val="none"/>
              </w:rPr>
            </w:pPr>
            <w:r>
              <w:rPr>
                <w:color w:val="auto"/>
                <w:sz w:val="22"/>
                <w:szCs w:val="22"/>
                <w:highlight w:val="none"/>
              </w:rPr>
              <w:t xml:space="preserve">每季度召开一次业主代表物业服务工作座谈会，听取意见或建议。对合理的建议及时整改</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4</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1069" w:type="pct"/>
            <w:vAlign w:val="center"/>
            <w:textDirection w:val="lrTb"/>
            <w:noWrap w:val="false"/>
          </w:tcPr>
          <w:p>
            <w:pPr>
              <w:rPr>
                <w:color w:val="auto"/>
                <w:sz w:val="22"/>
                <w:szCs w:val="22"/>
                <w:highlight w:val="none"/>
              </w:rPr>
            </w:pPr>
            <w:r>
              <w:rPr>
                <w:color w:val="auto"/>
                <w:sz w:val="22"/>
                <w:szCs w:val="22"/>
                <w:highlight w:val="none"/>
              </w:rPr>
              <w:t xml:space="preserve">座谈会少于3次的不得分，无正当理由不整改不得分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39" w:type="pct"/>
            <w:vAlign w:val="center"/>
            <w:textDirection w:val="lrTb"/>
            <w:noWrap w:val="false"/>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bottom w:w="0" w:type="dxa"/>
            </w:tcMar>
            <w:tcW w:w="280" w:type="pct"/>
            <w:vAlign w:val="center"/>
            <w:textDirection w:val="lrTb"/>
            <w:noWrap w:val="false"/>
          </w:tcPr>
          <w:p>
            <w:pPr>
              <w:rPr>
                <w:color w:val="auto"/>
                <w:sz w:val="22"/>
                <w:highlight w:val="none"/>
              </w:rPr>
            </w:pPr>
            <w:r>
              <w:rPr>
                <w:color w:val="auto"/>
                <w:sz w:val="22"/>
                <w:highlight w:val="none"/>
              </w:rPr>
            </w:r>
            <w:r/>
          </w:p>
        </w:tc>
      </w:tr>
      <w:tr>
        <w:trPr>
          <w:trHeight w:val="454"/>
        </w:trPr>
        <w:tc>
          <w:tcPr>
            <w:tcBorders>
              <w:left w:val="single" w:color="000000" w:sz="4" w:space="0"/>
              <w:bottom w:val="single" w:color="000000" w:sz="4" w:space="0"/>
              <w:right w:val="single" w:color="000000" w:sz="4" w:space="0"/>
            </w:tcBorders>
            <w:tcMar>
              <w:left w:w="15" w:type="dxa"/>
              <w:top w:w="15" w:type="dxa"/>
              <w:right w:w="15" w:type="dxa"/>
              <w:bottom w:w="0" w:type="dxa"/>
            </w:tcMar>
            <w:tcW w:w="601"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left w:val="single" w:color="000000" w:sz="4" w:space="0"/>
              <w:bottom w:val="single" w:color="000000" w:sz="4" w:space="0"/>
              <w:right w:val="single" w:color="000000" w:sz="4" w:space="0"/>
            </w:tcBorders>
            <w:tcMar>
              <w:left w:w="15" w:type="dxa"/>
              <w:top w:w="15" w:type="dxa"/>
              <w:right w:w="15" w:type="dxa"/>
              <w:bottom w:w="0" w:type="dxa"/>
            </w:tcMar>
            <w:tcW w:w="417" w:type="pct"/>
            <w:vAlign w:val="center"/>
            <w:vMerge w:val="continue"/>
            <w:textDirection w:val="lrTb"/>
            <w:noWrap w:val="false"/>
          </w:tcPr>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bottom w:w="0" w:type="dxa"/>
            </w:tcMar>
            <w:tcW w:w="450"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满意度</w:t>
            </w:r>
            <w:r/>
          </w:p>
          <w:p>
            <w:pPr>
              <w:jc w:val="center"/>
              <w:widowControl/>
              <w:rPr>
                <w:color w:val="auto"/>
                <w:sz w:val="22"/>
                <w:szCs w:val="22"/>
                <w:highlight w:val="none"/>
              </w:rPr>
            </w:pPr>
            <w:r>
              <w:rPr>
                <w:color w:val="auto"/>
                <w:sz w:val="22"/>
                <w:szCs w:val="22"/>
                <w:highlight w:val="none"/>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bottom w:w="0" w:type="dxa"/>
            </w:tcMar>
            <w:tcW w:w="1717" w:type="pct"/>
            <w:vAlign w:val="center"/>
            <w:textDirection w:val="lrTb"/>
            <w:noWrap w:val="false"/>
          </w:tcPr>
          <w:p>
            <w:pPr>
              <w:jc w:val="left"/>
              <w:widowControl/>
              <w:rPr>
                <w:color w:val="auto"/>
                <w:sz w:val="22"/>
                <w:szCs w:val="22"/>
                <w:highlight w:val="none"/>
              </w:rPr>
            </w:pPr>
            <w:r>
              <w:rPr>
                <w:color w:val="auto"/>
                <w:sz w:val="22"/>
                <w:szCs w:val="22"/>
                <w:highlight w:val="none"/>
              </w:rPr>
              <w:t xml:space="preserve">居民满意度90%以上</w:t>
            </w:r>
            <w:r/>
          </w:p>
          <w:p>
            <w:pPr>
              <w:jc w:val="left"/>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szCs w:val="22"/>
                <w:highlight w:val="none"/>
              </w:rPr>
            </w:pPr>
            <w:r>
              <w:rPr>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jc w:val="left"/>
              <w:widowControl/>
              <w:rPr>
                <w:color w:val="auto"/>
                <w:sz w:val="22"/>
                <w:szCs w:val="22"/>
                <w:highlight w:val="none"/>
              </w:rPr>
            </w:pPr>
            <w:r>
              <w:rPr>
                <w:color w:val="auto"/>
                <w:sz w:val="22"/>
                <w:szCs w:val="22"/>
                <w:highlight w:val="none"/>
              </w:rPr>
              <w:t xml:space="preserve">每下降10%扣1分，低于60%不得分 </w:t>
            </w:r>
            <w:r/>
          </w:p>
          <w:p>
            <w:pPr>
              <w:jc w:val="left"/>
              <w:widowControl/>
              <w:rPr>
                <w:color w:val="auto"/>
                <w:sz w:val="22"/>
                <w:szCs w:val="22"/>
                <w:highlight w:val="none"/>
              </w:rPr>
            </w:pPr>
            <w:r>
              <w:rPr>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39" w:type="pct"/>
            <w:vAlign w:val="center"/>
            <w:textDirection w:val="lrTb"/>
            <w:noWrap w:val="false"/>
          </w:tcPr>
          <w:p>
            <w:pPr>
              <w:rPr>
                <w:color w:val="auto"/>
                <w:sz w:val="22"/>
                <w:highlight w:val="none"/>
              </w:rPr>
            </w:pPr>
            <w:r>
              <w:rPr>
                <w:color w:val="auto"/>
                <w:sz w:val="22"/>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80" w:type="pct"/>
            <w:vAlign w:val="center"/>
            <w:textDirection w:val="lrTb"/>
            <w:noWrap w:val="false"/>
          </w:tcPr>
          <w:p>
            <w:pPr>
              <w:rPr>
                <w:color w:val="auto"/>
                <w:sz w:val="22"/>
                <w:highlight w:val="none"/>
              </w:rPr>
            </w:pPr>
            <w:r>
              <w:rPr>
                <w:color w:val="auto"/>
                <w:sz w:val="22"/>
                <w:highlight w:val="none"/>
              </w:rPr>
            </w:r>
            <w:r/>
          </w:p>
        </w:tc>
      </w:tr>
      <w:tr>
        <w:trPr>
          <w:trHeight w:val="454"/>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86" w:type="pct"/>
            <w:vAlign w:val="center"/>
            <w:textDirection w:val="lrTb"/>
            <w:noWrap w:val="false"/>
          </w:tcPr>
          <w:p>
            <w:pPr>
              <w:jc w:val="center"/>
              <w:widowControl/>
              <w:rPr>
                <w:color w:val="auto"/>
                <w:sz w:val="22"/>
                <w:highlight w:val="none"/>
              </w:rPr>
            </w:pPr>
            <w:r>
              <w:rPr>
                <w:color w:val="auto"/>
                <w:sz w:val="22"/>
                <w:szCs w:val="22"/>
                <w:highlight w:val="none"/>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23" w:type="pct"/>
            <w:vAlign w:val="center"/>
            <w:textDirection w:val="lrTb"/>
            <w:noWrap w:val="false"/>
          </w:tcPr>
          <w:p>
            <w:pPr>
              <w:jc w:val="center"/>
              <w:widowControl/>
              <w:rPr>
                <w:color w:val="auto"/>
                <w:sz w:val="22"/>
                <w:highlight w:val="none"/>
              </w:rPr>
            </w:pPr>
            <w:r>
              <w:rPr>
                <w:color w:val="auto"/>
                <w:sz w:val="22"/>
                <w:szCs w:val="22"/>
                <w:highlight w:val="none"/>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69" w:type="pct"/>
            <w:vAlign w:val="center"/>
            <w:textDirection w:val="lrTb"/>
            <w:noWrap w:val="false"/>
          </w:tcPr>
          <w:p>
            <w:pPr>
              <w:rPr>
                <w:color w:val="auto"/>
                <w:sz w:val="22"/>
                <w:highlight w:val="none"/>
              </w:rPr>
            </w:pPr>
            <w:r>
              <w:rPr>
                <w:color w:val="auto"/>
                <w:sz w:val="22"/>
                <w:highlight w:val="none"/>
              </w:rPr>
              <w:t xml:space="preserve">最终得分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20" w:type="pct"/>
            <w:vAlign w:val="center"/>
            <w:textDirection w:val="lrTb"/>
            <w:noWrap w:val="false"/>
          </w:tcPr>
          <w:p>
            <w:pPr>
              <w:rPr>
                <w:color w:val="auto"/>
                <w:sz w:val="22"/>
                <w:highlight w:val="none"/>
              </w:rPr>
            </w:pPr>
            <w:r>
              <w:rPr>
                <w:color w:val="auto"/>
                <w:sz w:val="22"/>
                <w:highlight w:val="none"/>
              </w:rPr>
            </w:r>
            <w:r/>
          </w:p>
        </w:tc>
      </w:tr>
      <w:tr>
        <w:trPr>
          <w:trHeight w:val="1233"/>
        </w:trPr>
        <w:tc>
          <w:tcPr>
            <w:gridSpan w:val="8"/>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00" w:type="pct"/>
            <w:vAlign w:val="center"/>
            <w:textDirection w:val="lrTb"/>
            <w:noWrap w:val="false"/>
          </w:tcPr>
          <w:p>
            <w:pPr>
              <w:rPr>
                <w:color w:val="auto"/>
                <w:sz w:val="22"/>
                <w:highlight w:val="none"/>
              </w:rPr>
            </w:pPr>
            <w:r>
              <w:rPr>
                <w:color w:val="auto"/>
                <w:sz w:val="22"/>
                <w:highlight w:val="none"/>
              </w:rPr>
              <w:t xml:space="preserve">考核人员签字：</w:t>
            </w:r>
            <w:r/>
          </w:p>
        </w:tc>
      </w:tr>
    </w:tbl>
    <w:p>
      <w:pPr>
        <w:jc w:val="both"/>
        <w:spacing w:after="312" w:line="400" w:lineRule="exact"/>
        <w:rPr>
          <w:rFonts w:hint="eastAsia" w:ascii="方正小标宋简体" w:hAnsi="方正小标宋简体" w:eastAsia="方正小标宋简体" w:cs="方正小标宋简体"/>
          <w:color w:val="auto"/>
          <w:sz w:val="36"/>
          <w:szCs w:val="36"/>
          <w:highlight w:val="none"/>
        </w:rPr>
        <w:sectPr>
          <w:headerReference w:type="default" r:id="rId10"/>
          <w:footerReference w:type="default" r:id="rId13"/>
          <w:footerReference w:type="first" r:id="rId14"/>
          <w:footnotePr/>
          <w:endnotePr/>
          <w:type w:val="nextPage"/>
          <w:pgSz w:w="11906" w:h="16838" w:orient="portrait"/>
          <w:pgMar w:top="567" w:right="851" w:bottom="567" w:left="1134" w:header="624" w:footer="907" w:gutter="0"/>
          <w:pgNumType w:start="1"/>
          <w:cols w:num="1" w:sep="0" w:space="720" w:equalWidth="1"/>
          <w:docGrid w:linePitch="360"/>
        </w:sectPr>
      </w:pPr>
      <w:r>
        <w:rPr>
          <w:rFonts w:hint="eastAsia" w:ascii="方正小标宋简体" w:hAnsi="方正小标宋简体" w:eastAsia="方正小标宋简体" w:cs="方正小标宋简体"/>
          <w:color w:val="auto"/>
          <w:sz w:val="36"/>
          <w:szCs w:val="36"/>
          <w:highlight w:val="none"/>
        </w:rPr>
      </w:r>
      <w:r/>
    </w:p>
    <w:p>
      <w:pPr>
        <w:spacing w:line="400" w:lineRule="exact"/>
        <w:rPr>
          <w:rFonts w:eastAsia="方正黑体_GBK"/>
          <w:color w:val="auto"/>
          <w:sz w:val="32"/>
          <w:szCs w:val="32"/>
          <w:highlight w:val="none"/>
        </w:rPr>
      </w:pPr>
      <w:r>
        <w:rPr>
          <w:rFonts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2</w:t>
      </w:r>
      <w:r>
        <w:rPr>
          <w:rFonts w:eastAsia="方正黑体_GBK"/>
          <w:color w:val="auto"/>
          <w:sz w:val="32"/>
          <w:szCs w:val="32"/>
          <w:highlight w:val="none"/>
        </w:rPr>
        <w:t xml:space="preserve">：</w:t>
      </w:r>
      <w:r/>
    </w:p>
    <w:p>
      <w:pPr>
        <w:jc w:val="center"/>
        <w:spacing w:after="312" w:line="400" w:lineRule="exact"/>
        <w:rPr>
          <w:rFonts w:hint="eastAsia" w:ascii="方正小标宋简体" w:hAnsi="方正小标宋简体" w:eastAsia="方正小标宋简体" w:cs="方正小标宋简体"/>
          <w:color w:val="auto"/>
          <w:sz w:val="36"/>
          <w:szCs w:val="36"/>
          <w:highlight w:val="none"/>
        </w:rPr>
      </w:pPr>
      <w:r>
        <w:rPr>
          <w:rFonts w:hint="eastAsia" w:ascii="方正小标宋简体" w:hAnsi="方正小标宋简体" w:eastAsia="方正小标宋简体" w:cs="方正小标宋简体"/>
          <w:color w:val="auto"/>
          <w:sz w:val="36"/>
          <w:szCs w:val="36"/>
          <w:highlight w:val="none"/>
        </w:rPr>
        <w:t xml:space="preserve">阳山镇住宅小区物业落实各项重点工作检查标准</w:t>
      </w:r>
      <w:r/>
    </w:p>
    <w:p>
      <w:pPr>
        <w:jc w:val="center"/>
        <w:spacing w:after="312" w:line="400" w:lineRule="exact"/>
        <w:rPr>
          <w:rFonts w:hint="eastAsia" w:ascii="方正小标宋简体" w:hAnsi="方正小标宋简体" w:eastAsia="方正小标宋简体" w:cs="方正小标宋简体"/>
          <w:color w:val="auto"/>
          <w:sz w:val="36"/>
          <w:szCs w:val="36"/>
          <w:highlight w:val="none"/>
        </w:rPr>
      </w:pPr>
      <w:r>
        <w:rPr>
          <w:rFonts w:eastAsia="方正小标宋简体"/>
          <w:color w:val="auto"/>
          <w:sz w:val="32"/>
          <w:szCs w:val="32"/>
          <w:highlight w:val="none"/>
        </w:rPr>
        <w:t xml:space="preserve">（占考核总分值</w:t>
      </w:r>
      <w:r>
        <w:rPr>
          <w:rFonts w:hint="eastAsia" w:eastAsia="方正小标宋简体"/>
          <w:color w:val="auto"/>
          <w:sz w:val="32"/>
          <w:szCs w:val="32"/>
          <w:highlight w:val="none"/>
        </w:rPr>
        <w:t xml:space="preserve">4</w:t>
      </w:r>
      <w:r>
        <w:rPr>
          <w:rFonts w:eastAsia="方正小标宋简体"/>
          <w:color w:val="auto"/>
          <w:sz w:val="32"/>
          <w:szCs w:val="32"/>
          <w:highlight w:val="none"/>
        </w:rPr>
        <w:t xml:space="preserve">0%）</w:t>
      </w:r>
      <w:r/>
    </w:p>
    <w:p>
      <w:pPr>
        <w:ind w:left="108"/>
        <w:spacing w:line="400" w:lineRule="exact"/>
        <w:widowControl/>
        <w:tabs>
          <w:tab w:val="left" w:pos="6259" w:leader="none"/>
          <w:tab w:val="left" w:pos="8298" w:leader="none"/>
        </w:tabs>
        <w:rPr>
          <w:rFonts w:eastAsia="方正小标宋简体"/>
          <w:color w:val="auto"/>
          <w:sz w:val="24"/>
          <w:highlight w:val="none"/>
          <w:u w:val="single"/>
        </w:rPr>
      </w:pPr>
      <w:r>
        <w:rPr>
          <w:rFonts w:eastAsia="方正小标宋简体"/>
          <w:color w:val="auto"/>
          <w:sz w:val="24"/>
          <w:highlight w:val="none"/>
        </w:rPr>
        <w:t xml:space="preserve">检查项目：</w:t>
      </w:r>
      <w:r>
        <w:rPr>
          <w:rFonts w:eastAsia="方正小标宋简体"/>
          <w:color w:val="auto"/>
          <w:sz w:val="24"/>
          <w:highlight w:val="none"/>
          <w:u w:val="single"/>
        </w:rPr>
        <w:t xml:space="preserve">                            </w:t>
      </w:r>
      <w:r>
        <w:rPr>
          <w:rFonts w:eastAsia="方正小标宋简体"/>
          <w:color w:val="auto"/>
          <w:sz w:val="24"/>
          <w:highlight w:val="none"/>
        </w:rPr>
        <w:t xml:space="preserve">检查时间：</w:t>
      </w:r>
      <w:r>
        <w:rPr>
          <w:rFonts w:eastAsia="方正小标宋简体"/>
          <w:color w:val="auto"/>
          <w:sz w:val="24"/>
          <w:highlight w:val="none"/>
          <w:u w:val="single"/>
        </w:rPr>
        <w:t xml:space="preserve">                     </w:t>
      </w:r>
      <w:r>
        <w:rPr>
          <w:rFonts w:eastAsia="方正小标宋简体"/>
          <w:color w:val="auto"/>
          <w:sz w:val="24"/>
          <w:highlight w:val="none"/>
        </w:rPr>
        <w:t xml:space="preserve">检查人签字：</w:t>
      </w:r>
      <w:r>
        <w:rPr>
          <w:rFonts w:eastAsia="方正小标宋简体"/>
          <w:color w:val="auto"/>
          <w:sz w:val="24"/>
          <w:highlight w:val="none"/>
          <w:u w:val="single"/>
        </w:rPr>
        <w:t xml:space="preserve">                             </w:t>
      </w:r>
      <w:r>
        <w:rPr>
          <w:rFonts w:hint="eastAsia" w:eastAsia="方正小标宋简体"/>
          <w:color w:val="auto"/>
          <w:sz w:val="24"/>
          <w:highlight w:val="none"/>
          <w:u w:val="single"/>
        </w:rPr>
        <w:t xml:space="preserve">  </w:t>
      </w:r>
      <w:r>
        <w:rPr>
          <w:rFonts w:eastAsia="方正小标宋简体"/>
          <w:color w:val="auto"/>
          <w:sz w:val="24"/>
          <w:highlight w:val="none"/>
          <w:u w:val="single"/>
        </w:rPr>
        <w:t xml:space="preserve">         </w:t>
      </w:r>
      <w:r>
        <w:rPr>
          <w:rFonts w:hint="eastAsia" w:eastAsia="方正小标宋简体"/>
          <w:color w:val="auto"/>
          <w:sz w:val="24"/>
          <w:highlight w:val="none"/>
          <w:u w:val="single"/>
        </w:rPr>
        <w:t xml:space="preserve">  </w:t>
      </w:r>
      <w:r>
        <w:rPr>
          <w:rFonts w:hint="eastAsia" w:eastAsia="方正小标宋简体"/>
          <w:color w:val="auto"/>
          <w:sz w:val="24"/>
          <w:highlight w:val="none"/>
        </w:rPr>
        <w:t xml:space="preserve"> </w:t>
      </w:r>
      <w:r>
        <w:rPr>
          <w:rFonts w:eastAsia="方正小标宋简体"/>
          <w:color w:val="auto"/>
          <w:sz w:val="24"/>
          <w:highlight w:val="none"/>
          <w:u w:val="single"/>
        </w:rPr>
        <w:t xml:space="preserve">                </w:t>
      </w:r>
      <w:r/>
    </w:p>
    <w:tbl>
      <w:tblPr>
        <w:tblStyle w:val="817"/>
        <w:tblW w:w="10215" w:type="dxa"/>
        <w:tblInd w:w="-3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260"/>
        <w:gridCol w:w="1904"/>
        <w:gridCol w:w="2385"/>
        <w:gridCol w:w="886"/>
        <w:gridCol w:w="1178"/>
        <w:gridCol w:w="1178"/>
        <w:gridCol w:w="862"/>
      </w:tblGrid>
      <w:tr>
        <w:trPr>
          <w:trHeight w:val="949"/>
        </w:trPr>
        <w:tc>
          <w:tcPr>
            <w:tcW w:w="577"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序号</w:t>
            </w:r>
            <w:r/>
          </w:p>
        </w:tc>
        <w:tc>
          <w:tcPr>
            <w:tcW w:w="1346"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配合工作内容</w:t>
            </w:r>
            <w:r/>
          </w:p>
        </w:tc>
        <w:tc>
          <w:tcPr>
            <w:tcW w:w="2019" w:type="dxa"/>
            <w:vAlign w:val="center"/>
            <w:textDirection w:val="lrTb"/>
            <w:noWrap w:val="false"/>
          </w:tcPr>
          <w:p>
            <w:pPr>
              <w:jc w:val="center"/>
              <w:widowControl/>
              <w:rPr>
                <w:b/>
                <w:bCs/>
                <w:color w:val="auto"/>
                <w:sz w:val="24"/>
                <w:szCs w:val="24"/>
                <w:highlight w:val="none"/>
              </w:rPr>
            </w:pPr>
            <w:r>
              <w:rPr>
                <w:b/>
                <w:bCs/>
                <w:color w:val="auto"/>
                <w:sz w:val="24"/>
                <w:szCs w:val="24"/>
                <w:highlight w:val="none"/>
              </w:rPr>
              <w:t xml:space="preserve">检查程序</w:t>
            </w:r>
            <w:r/>
          </w:p>
        </w:tc>
        <w:tc>
          <w:tcPr>
            <w:tcW w:w="2597" w:type="dxa"/>
            <w:vAlign w:val="center"/>
            <w:textDirection w:val="lrTb"/>
            <w:noWrap w:val="false"/>
          </w:tcPr>
          <w:p>
            <w:pPr>
              <w:ind w:firstLine="435"/>
              <w:jc w:val="center"/>
              <w:widowControl/>
              <w:rPr>
                <w:b/>
                <w:bCs/>
                <w:color w:val="auto"/>
                <w:sz w:val="24"/>
                <w:szCs w:val="24"/>
                <w:highlight w:val="none"/>
              </w:rPr>
            </w:pPr>
            <w:r>
              <w:rPr>
                <w:b/>
                <w:bCs/>
                <w:color w:val="auto"/>
                <w:sz w:val="24"/>
                <w:szCs w:val="24"/>
                <w:highlight w:val="none"/>
              </w:rPr>
              <w:t xml:space="preserve">扣分标准</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考核部门</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社区评分（20%）</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考核科室评分（20%）</w:t>
            </w:r>
            <w:r/>
          </w:p>
        </w:tc>
        <w:tc>
          <w:tcPr>
            <w:tcW w:w="919" w:type="dxa"/>
            <w:vAlign w:val="center"/>
            <w:textDirection w:val="lrTb"/>
            <w:noWrap w:val="false"/>
          </w:tcPr>
          <w:p>
            <w:pPr>
              <w:jc w:val="center"/>
              <w:widowControl/>
              <w:rPr>
                <w:b/>
                <w:bCs/>
                <w:color w:val="auto"/>
                <w:sz w:val="24"/>
                <w:szCs w:val="24"/>
                <w:highlight w:val="none"/>
              </w:rPr>
            </w:pPr>
            <w:r>
              <w:rPr>
                <w:rFonts w:hint="eastAsia"/>
                <w:b/>
                <w:bCs/>
                <w:color w:val="auto"/>
                <w:sz w:val="24"/>
                <w:szCs w:val="24"/>
                <w:highlight w:val="none"/>
              </w:rPr>
              <w:t xml:space="preserve">最终得分</w:t>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1</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文明城市建设提升10分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宣传、管理是否达到居民小区点位检查的23条标准</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有一项未落实到位的扣2分；有多项未落实到位的累计扣分最多不超过10分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各社区、宣传网络科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2</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城市精细化管理（主要涉及环境卫生）10分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查看是否落实环境卫生管理要求</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环境卫生差，扣2到5分；城管部门是否有通报，一起扣2分，对发现的各类问题逾期不整改的或整改不到位的扣2分。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3</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垃圾分类（主要检查已实施垃圾分类试点的项目）10分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查看垃圾分类设施是</w:t>
            </w:r>
            <w:r>
              <w:rPr>
                <w:rFonts w:hint="eastAsia"/>
                <w:color w:val="auto"/>
                <w:sz w:val="22"/>
                <w:szCs w:val="22"/>
                <w:highlight w:val="none"/>
              </w:rPr>
              <w:t xml:space="preserve">否</w:t>
            </w:r>
            <w:r>
              <w:rPr>
                <w:color w:val="auto"/>
                <w:sz w:val="22"/>
                <w:szCs w:val="22"/>
                <w:highlight w:val="none"/>
              </w:rPr>
              <w:t xml:space="preserve">到位，垃圾分类工作是否已实际开展，垃圾分类成效是否落实到位</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垃圾分类设施未到位的扣10分；垃圾分类工作开展不到位的酌情扣3</w:t>
            </w:r>
            <w:r>
              <w:rPr>
                <w:rFonts w:hint="eastAsia"/>
                <w:color w:val="auto"/>
                <w:sz w:val="22"/>
                <w:szCs w:val="22"/>
                <w:highlight w:val="none"/>
                <w:lang w:eastAsia="zh-CN"/>
              </w:rPr>
              <w:t xml:space="preserve">—</w:t>
            </w:r>
            <w:r>
              <w:rPr>
                <w:color w:val="auto"/>
                <w:sz w:val="22"/>
                <w:szCs w:val="22"/>
                <w:highlight w:val="none"/>
              </w:rPr>
              <w:t xml:space="preserve">5分；垃圾分类成效不好的扣1</w:t>
            </w:r>
            <w:r>
              <w:rPr>
                <w:rFonts w:hint="eastAsia"/>
                <w:color w:val="auto"/>
                <w:sz w:val="22"/>
                <w:szCs w:val="22"/>
                <w:highlight w:val="none"/>
                <w:lang w:eastAsia="zh-CN"/>
              </w:rPr>
              <w:t xml:space="preserve">—</w:t>
            </w:r>
            <w:r>
              <w:rPr>
                <w:color w:val="auto"/>
                <w:sz w:val="22"/>
                <w:szCs w:val="22"/>
                <w:highlight w:val="none"/>
              </w:rPr>
              <w:t xml:space="preserve">3分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4</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安全生产10分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查看企业安全管理措施，应急制度、值班记录</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安全生产落实情况，未落实到位的（检查、提醒、宣传、预案、演练、设施设备保养运行）扣2到10分</w:t>
            </w:r>
            <w:r/>
          </w:p>
        </w:tc>
        <w:tc>
          <w:tcPr>
            <w:tcW w:w="919" w:type="dxa"/>
            <w:vAlign w:val="center"/>
            <w:vMerge w:val="restart"/>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各社区、消委办</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5</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打通“生命通道”专项行动10分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查看是否落实专项治理行动，划设消防通道标识线和警示标志，消防通道畅通，违停抄报落实</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无宣传措施的扣1分；未落实到位的扣3到5分；未开展行动的扣10分</w:t>
            </w:r>
            <w:r/>
          </w:p>
        </w:tc>
        <w:tc>
          <w:tcPr>
            <w:tcW w:w="919" w:type="dxa"/>
            <w:vAlign w:val="center"/>
            <w:vMerge w:val="continue"/>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24"/>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6</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违建管控10分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查看报送城管部门记录、对房屋装修拆改监督情况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未落实到位的扣1到5分；违建严重完全失控的扣10分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各社区、行政执法局一中队</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7</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建筑垃圾清运10分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查看清运委托合同</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未委托环卫部门指定的清运单位进行清运扣10分；发现偷倒建筑垃圾的一起扣5分，扣满为止</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各社区、行政执法局综合科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1039"/>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8</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协助群租治理，车库住人专项治理10分</w:t>
            </w:r>
            <w:r/>
          </w:p>
        </w:tc>
        <w:tc>
          <w:tcPr>
            <w:tcW w:w="2019"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查看落实情况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出租未落实登记制度的扣2分；出租管控措施不到位的扣2到5分；被通报批评的扣10分；发现群租现象的一起扣5分，扣满为止</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各社区、派出所</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83"/>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9</w:t>
            </w:r>
            <w:r/>
          </w:p>
        </w:tc>
        <w:tc>
          <w:tcPr>
            <w:tcW w:w="1346" w:type="dxa"/>
            <w:vAlign w:val="center"/>
            <w:textDirection w:val="lrTb"/>
            <w:noWrap w:val="false"/>
          </w:tcPr>
          <w:p>
            <w:pPr>
              <w:jc w:val="left"/>
              <w:spacing w:line="260" w:lineRule="exact"/>
              <w:widowControl/>
              <w:rPr>
                <w:color w:val="auto"/>
                <w:sz w:val="22"/>
                <w:szCs w:val="22"/>
                <w:highlight w:val="none"/>
              </w:rPr>
            </w:pPr>
            <w:r>
              <w:rPr>
                <w:rFonts w:hint="eastAsia"/>
                <w:color w:val="auto"/>
                <w:sz w:val="22"/>
                <w:szCs w:val="22"/>
                <w:highlight w:val="none"/>
              </w:rPr>
              <w:t xml:space="preserve">爱国卫生</w:t>
            </w:r>
            <w:r>
              <w:rPr>
                <w:color w:val="auto"/>
                <w:sz w:val="22"/>
                <w:szCs w:val="22"/>
                <w:highlight w:val="none"/>
              </w:rPr>
              <w:t xml:space="preserve">10分</w:t>
            </w:r>
            <w:r/>
          </w:p>
        </w:tc>
        <w:tc>
          <w:tcPr>
            <w:tcW w:w="2019" w:type="dxa"/>
            <w:vAlign w:val="center"/>
            <w:textDirection w:val="lrTb"/>
            <w:noWrap w:val="false"/>
          </w:tcPr>
          <w:p>
            <w:pPr>
              <w:jc w:val="left"/>
              <w:spacing w:line="260" w:lineRule="exact"/>
              <w:widowControl/>
              <w:rPr>
                <w:rFonts w:hint="eastAsia"/>
                <w:b/>
                <w:bCs/>
                <w:color w:val="auto"/>
                <w:sz w:val="22"/>
                <w:szCs w:val="22"/>
                <w:highlight w:val="none"/>
              </w:rPr>
            </w:pPr>
            <w:r>
              <w:rPr>
                <w:color w:val="auto"/>
                <w:sz w:val="22"/>
                <w:szCs w:val="22"/>
                <w:highlight w:val="none"/>
              </w:rPr>
              <w:t xml:space="preserve">查看</w:t>
            </w:r>
            <w:r>
              <w:rPr>
                <w:rFonts w:hint="eastAsia"/>
                <w:color w:val="auto"/>
                <w:sz w:val="22"/>
                <w:szCs w:val="22"/>
                <w:highlight w:val="none"/>
              </w:rPr>
              <w:t xml:space="preserve">病媒生物防治、病原体污水清理是否到位。</w:t>
            </w:r>
            <w:r/>
          </w:p>
        </w:tc>
        <w:tc>
          <w:tcPr>
            <w:tcW w:w="2597" w:type="dxa"/>
            <w:vAlign w:val="center"/>
            <w:textDirection w:val="lrTb"/>
            <w:noWrap w:val="false"/>
          </w:tcPr>
          <w:p>
            <w:pPr>
              <w:jc w:val="left"/>
              <w:spacing w:line="260" w:lineRule="exact"/>
              <w:widowControl/>
              <w:rPr>
                <w:b/>
                <w:bCs/>
                <w:color w:val="auto"/>
                <w:sz w:val="22"/>
                <w:szCs w:val="22"/>
                <w:highlight w:val="none"/>
              </w:rPr>
            </w:pPr>
            <w:r>
              <w:rPr>
                <w:rFonts w:hint="eastAsia"/>
                <w:color w:val="auto"/>
                <w:sz w:val="22"/>
                <w:szCs w:val="22"/>
                <w:highlight w:val="none"/>
              </w:rPr>
              <w:t xml:space="preserve">上级通报一次扣3分，</w:t>
            </w:r>
            <w:r>
              <w:rPr>
                <w:color w:val="auto"/>
                <w:sz w:val="22"/>
                <w:szCs w:val="22"/>
                <w:highlight w:val="none"/>
              </w:rPr>
              <w:t xml:space="preserve">对发现的各类问题逾期不整改的或整改不到位的扣</w:t>
            </w:r>
            <w:r>
              <w:rPr>
                <w:rFonts w:hint="eastAsia"/>
                <w:color w:val="auto"/>
                <w:sz w:val="22"/>
                <w:szCs w:val="22"/>
                <w:highlight w:val="none"/>
              </w:rPr>
              <w:t xml:space="preserve">2</w:t>
            </w:r>
            <w:r>
              <w:rPr>
                <w:rFonts w:hint="eastAsia"/>
                <w:color w:val="auto"/>
                <w:sz w:val="22"/>
                <w:szCs w:val="22"/>
                <w:highlight w:val="none"/>
                <w:lang w:eastAsia="zh-CN"/>
              </w:rPr>
              <w:t xml:space="preserve">—</w:t>
            </w:r>
            <w:r>
              <w:rPr>
                <w:rFonts w:hint="eastAsia"/>
                <w:color w:val="auto"/>
                <w:sz w:val="22"/>
                <w:szCs w:val="22"/>
                <w:highlight w:val="none"/>
              </w:rPr>
              <w:t xml:space="preserve">5</w:t>
            </w:r>
            <w:r>
              <w:rPr>
                <w:color w:val="auto"/>
                <w:sz w:val="22"/>
                <w:szCs w:val="22"/>
                <w:highlight w:val="none"/>
              </w:rPr>
              <w:t xml:space="preserve">分</w:t>
            </w:r>
            <w:r>
              <w:rPr>
                <w:rFonts w:hint="eastAsia"/>
                <w:color w:val="auto"/>
                <w:sz w:val="22"/>
                <w:szCs w:val="22"/>
                <w:highlight w:val="none"/>
              </w:rPr>
              <w:t xml:space="preserve">，完全未落实的扣10分</w:t>
            </w:r>
            <w:r/>
          </w:p>
        </w:tc>
        <w:tc>
          <w:tcPr>
            <w:tcW w:w="919" w:type="dxa"/>
            <w:vAlign w:val="center"/>
            <w:textDirection w:val="lrTb"/>
            <w:noWrap w:val="false"/>
          </w:tcPr>
          <w:p>
            <w:pPr>
              <w:jc w:val="center"/>
              <w:spacing w:line="240" w:lineRule="exact"/>
              <w:widowControl/>
              <w:rPr>
                <w:b/>
                <w:bCs/>
                <w:color w:val="auto"/>
                <w:sz w:val="22"/>
                <w:szCs w:val="22"/>
                <w:highlight w:val="none"/>
              </w:rPr>
            </w:pPr>
            <w:r>
              <w:rPr>
                <w:color w:val="auto"/>
                <w:sz w:val="22"/>
                <w:szCs w:val="22"/>
                <w:highlight w:val="none"/>
              </w:rPr>
              <w:t xml:space="preserve">各社区、卫计科</w:t>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c>
          <w:tcPr>
            <w:tcW w:w="919" w:type="dxa"/>
            <w:vAlign w:val="center"/>
            <w:textDirection w:val="lrTb"/>
            <w:noWrap w:val="false"/>
          </w:tcPr>
          <w:p>
            <w:pPr>
              <w:jc w:val="center"/>
              <w:spacing w:line="240" w:lineRule="exact"/>
              <w:widowControl/>
              <w:rPr>
                <w:b/>
                <w:bCs/>
                <w:color w:val="auto"/>
                <w:sz w:val="22"/>
                <w:szCs w:val="22"/>
                <w:highlight w:val="none"/>
              </w:rPr>
            </w:pPr>
            <w:r>
              <w:rPr>
                <w:b/>
                <w:bCs/>
                <w:color w:val="auto"/>
                <w:sz w:val="22"/>
                <w:szCs w:val="22"/>
                <w:highlight w:val="none"/>
              </w:rPr>
            </w:r>
            <w:r/>
          </w:p>
        </w:tc>
      </w:tr>
      <w:tr>
        <w:trPr>
          <w:trHeight w:val="1631"/>
        </w:trPr>
        <w:tc>
          <w:tcPr>
            <w:tcW w:w="577"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10</w:t>
            </w:r>
            <w:r/>
          </w:p>
        </w:tc>
        <w:tc>
          <w:tcPr>
            <w:tcW w:w="1346"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装修管理10分</w:t>
            </w:r>
            <w:r/>
          </w:p>
        </w:tc>
        <w:tc>
          <w:tcPr>
            <w:tcW w:w="2019" w:type="dxa"/>
            <w:vAlign w:val="center"/>
            <w:textDirection w:val="lrTb"/>
            <w:noWrap w:val="false"/>
          </w:tcPr>
          <w:p>
            <w:pPr>
              <w:spacing w:line="260" w:lineRule="exact"/>
              <w:widowControl/>
              <w:rPr>
                <w:color w:val="auto"/>
                <w:sz w:val="22"/>
                <w:szCs w:val="22"/>
                <w:highlight w:val="none"/>
              </w:rPr>
            </w:pPr>
            <w:r>
              <w:rPr>
                <w:color w:val="auto"/>
                <w:sz w:val="22"/>
                <w:szCs w:val="22"/>
                <w:highlight w:val="none"/>
              </w:rPr>
              <w:t xml:space="preserve">小区内房屋装修前至镇建设科报备，根据《住宅室内装饰装修管理办法》</w:t>
            </w:r>
            <w:r>
              <w:rPr>
                <w:rFonts w:hint="eastAsia"/>
                <w:color w:val="auto"/>
                <w:sz w:val="22"/>
                <w:szCs w:val="22"/>
                <w:highlight w:val="none"/>
                <w:lang w:eastAsia="zh-CN"/>
              </w:rPr>
              <w:t xml:space="preserve">（</w:t>
            </w:r>
            <w:r>
              <w:rPr>
                <w:color w:val="auto"/>
                <w:sz w:val="22"/>
                <w:szCs w:val="22"/>
                <w:highlight w:val="none"/>
              </w:rPr>
              <w:t xml:space="preserve">建设部110号令</w:t>
            </w:r>
            <w:r>
              <w:rPr>
                <w:rFonts w:hint="eastAsia"/>
                <w:color w:val="auto"/>
                <w:sz w:val="22"/>
                <w:szCs w:val="22"/>
                <w:highlight w:val="none"/>
                <w:lang w:eastAsia="zh-CN"/>
              </w:rPr>
              <w:t xml:space="preserve">）</w:t>
            </w:r>
            <w:r>
              <w:rPr>
                <w:color w:val="auto"/>
                <w:sz w:val="22"/>
                <w:szCs w:val="22"/>
                <w:highlight w:val="none"/>
              </w:rPr>
              <w:t xml:space="preserve">、《无</w:t>
            </w:r>
            <w:r/>
          </w:p>
          <w:p>
            <w:pPr>
              <w:spacing w:line="260" w:lineRule="exact"/>
              <w:widowControl/>
              <w:rPr>
                <w:color w:val="auto"/>
                <w:sz w:val="22"/>
                <w:szCs w:val="22"/>
                <w:highlight w:val="none"/>
              </w:rPr>
            </w:pPr>
            <w:r>
              <w:rPr>
                <w:color w:val="auto"/>
                <w:sz w:val="22"/>
                <w:szCs w:val="22"/>
                <w:highlight w:val="none"/>
              </w:rPr>
              <w:t xml:space="preserve">锡市房屋安全管理条例》和《关于明确既有建筑改造和装饰装修工程建设管理有关事项的通知》</w:t>
            </w:r>
            <w:r>
              <w:rPr>
                <w:rFonts w:hint="eastAsia"/>
                <w:color w:val="auto"/>
                <w:sz w:val="22"/>
                <w:szCs w:val="22"/>
                <w:highlight w:val="none"/>
                <w:lang w:eastAsia="zh-CN"/>
              </w:rPr>
              <w:t xml:space="preserve">（</w:t>
            </w:r>
            <w:r>
              <w:rPr>
                <w:color w:val="auto"/>
                <w:sz w:val="22"/>
                <w:szCs w:val="22"/>
                <w:highlight w:val="none"/>
              </w:rPr>
              <w:t xml:space="preserve">锡既建安办</w:t>
            </w:r>
            <w:r>
              <w:rPr>
                <w:rFonts w:hint="eastAsia"/>
                <w:color w:val="auto"/>
                <w:sz w:val="22"/>
                <w:szCs w:val="22"/>
                <w:highlight w:val="none"/>
                <w:lang w:eastAsia="zh-CN"/>
              </w:rPr>
              <w:t xml:space="preserve">〔2021〕3号）</w:t>
            </w:r>
            <w:r>
              <w:rPr>
                <w:color w:val="auto"/>
                <w:sz w:val="22"/>
                <w:szCs w:val="22"/>
                <w:highlight w:val="none"/>
              </w:rPr>
              <w:t xml:space="preserve">等法规和文件规定，查看是否</w:t>
            </w:r>
            <w:r>
              <w:rPr>
                <w:rFonts w:hint="eastAsia"/>
                <w:color w:val="auto"/>
                <w:sz w:val="22"/>
                <w:szCs w:val="22"/>
                <w:highlight w:val="none"/>
                <w:lang w:eastAsia="zh-CN"/>
              </w:rPr>
              <w:t xml:space="preserve">存在</w:t>
            </w:r>
            <w:r>
              <w:rPr>
                <w:color w:val="auto"/>
                <w:sz w:val="22"/>
                <w:szCs w:val="22"/>
                <w:highlight w:val="none"/>
              </w:rPr>
              <w:t xml:space="preserve">违反房屋装修登记制度的情况。</w:t>
            </w:r>
            <w:r/>
          </w:p>
        </w:tc>
        <w:tc>
          <w:tcPr>
            <w:tcW w:w="2597" w:type="dxa"/>
            <w:vAlign w:val="center"/>
            <w:textDirection w:val="lrTb"/>
            <w:noWrap w:val="false"/>
          </w:tcPr>
          <w:p>
            <w:pPr>
              <w:jc w:val="left"/>
              <w:spacing w:line="260" w:lineRule="exact"/>
              <w:widowControl/>
              <w:rPr>
                <w:color w:val="auto"/>
                <w:sz w:val="22"/>
                <w:szCs w:val="22"/>
                <w:highlight w:val="none"/>
              </w:rPr>
            </w:pPr>
            <w:r>
              <w:rPr>
                <w:color w:val="auto"/>
                <w:sz w:val="22"/>
                <w:szCs w:val="22"/>
                <w:highlight w:val="none"/>
              </w:rPr>
              <w:t xml:space="preserve">未落实到位酌情扣1到10分</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t xml:space="preserve">各社区、建设科</w:t>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center"/>
              <w:spacing w:line="240" w:lineRule="exact"/>
              <w:widowControl/>
              <w:rPr>
                <w:color w:val="auto"/>
                <w:sz w:val="22"/>
                <w:szCs w:val="22"/>
                <w:highlight w:val="none"/>
              </w:rPr>
            </w:pPr>
            <w:r>
              <w:rPr>
                <w:color w:val="auto"/>
                <w:sz w:val="22"/>
                <w:szCs w:val="22"/>
                <w:highlight w:val="none"/>
              </w:rPr>
            </w:r>
            <w:r/>
          </w:p>
        </w:tc>
      </w:tr>
      <w:tr>
        <w:trPr>
          <w:trHeight w:val="747"/>
        </w:trPr>
        <w:tc>
          <w:tcPr>
            <w:gridSpan w:val="3"/>
            <w:tcW w:w="3942"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t xml:space="preserve">合计：</w:t>
            </w:r>
            <w:r/>
          </w:p>
        </w:tc>
        <w:tc>
          <w:tcPr>
            <w:gridSpan w:val="2"/>
            <w:tcW w:w="3516" w:type="dxa"/>
            <w:vAlign w:val="center"/>
            <w:textDirection w:val="lrTb"/>
            <w:noWrap w:val="false"/>
          </w:tcPr>
          <w:p>
            <w:pPr>
              <w:jc w:val="left"/>
              <w:spacing w:line="240" w:lineRule="exact"/>
              <w:widowControl/>
              <w:rPr>
                <w:color w:val="auto"/>
                <w:sz w:val="22"/>
                <w:szCs w:val="22"/>
                <w:highlight w:val="none"/>
              </w:rPr>
            </w:pPr>
            <w:r>
              <w:rPr>
                <w:rFonts w:hint="eastAsia"/>
                <w:color w:val="auto"/>
                <w:sz w:val="22"/>
                <w:szCs w:val="22"/>
                <w:highlight w:val="none"/>
              </w:rPr>
              <w:t xml:space="preserve">100</w:t>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c>
          <w:tcPr>
            <w:tcW w:w="919" w:type="dxa"/>
            <w:vAlign w:val="center"/>
            <w:textDirection w:val="lrTb"/>
            <w:noWrap w:val="false"/>
          </w:tcPr>
          <w:p>
            <w:pPr>
              <w:jc w:val="left"/>
              <w:spacing w:line="240" w:lineRule="exact"/>
              <w:widowControl/>
              <w:rPr>
                <w:color w:val="auto"/>
                <w:sz w:val="22"/>
                <w:szCs w:val="22"/>
                <w:highlight w:val="none"/>
              </w:rPr>
            </w:pPr>
            <w:r>
              <w:rPr>
                <w:color w:val="auto"/>
                <w:sz w:val="22"/>
                <w:szCs w:val="22"/>
                <w:highlight w:val="none"/>
              </w:rPr>
            </w:r>
            <w:r/>
          </w:p>
        </w:tc>
      </w:tr>
      <w:tr>
        <w:trPr>
          <w:trHeight w:val="1935"/>
        </w:trPr>
        <w:tc>
          <w:tcPr>
            <w:gridSpan w:val="8"/>
            <w:tcW w:w="10215" w:type="dxa"/>
            <w:vAlign w:val="center"/>
            <w:textDirection w:val="lrTb"/>
            <w:noWrap w:val="false"/>
          </w:tcPr>
          <w:p>
            <w:pPr>
              <w:jc w:val="left"/>
              <w:spacing w:line="240" w:lineRule="exact"/>
              <w:widowControl/>
              <w:rPr>
                <w:rFonts w:hint="eastAsia"/>
                <w:color w:val="auto"/>
                <w:sz w:val="22"/>
                <w:szCs w:val="22"/>
                <w:highlight w:val="none"/>
              </w:rPr>
            </w:pPr>
            <w:r>
              <w:rPr>
                <w:color w:val="auto"/>
                <w:sz w:val="22"/>
                <w:szCs w:val="22"/>
                <w:highlight w:val="none"/>
              </w:rPr>
              <w:t xml:space="preserve">考核人员签字：</w:t>
            </w:r>
            <w:r/>
          </w:p>
          <w:p>
            <w:pPr>
              <w:jc w:val="left"/>
              <w:keepLines w:val="0"/>
              <w:keepNext w:val="0"/>
              <w:pageBreakBefore w:val="0"/>
              <w:spacing w:line="260" w:lineRule="exact"/>
              <w:widowControl/>
              <w:rPr>
                <w:rFonts w:hint="eastAsia"/>
                <w:color w:val="auto"/>
                <w:sz w:val="22"/>
                <w:szCs w:val="22"/>
                <w:highlight w:val="none"/>
              </w:rPr>
            </w:pPr>
            <w:r>
              <w:rPr>
                <w:rFonts w:hint="eastAsia"/>
                <w:color w:val="auto"/>
                <w:sz w:val="22"/>
                <w:szCs w:val="22"/>
                <w:highlight w:val="none"/>
              </w:rPr>
              <w:t xml:space="preserve">  </w:t>
            </w:r>
            <w:r/>
          </w:p>
          <w:p>
            <w:pPr>
              <w:jc w:val="left"/>
              <w:keepLines w:val="0"/>
              <w:keepNext w:val="0"/>
              <w:pageBreakBefore w:val="0"/>
              <w:spacing w:line="380" w:lineRule="exact"/>
              <w:widowControl/>
              <w:rPr>
                <w:rFonts w:hint="eastAsia"/>
                <w:color w:val="auto"/>
                <w:sz w:val="22"/>
                <w:szCs w:val="22"/>
                <w:highlight w:val="none"/>
                <w:u w:val="single"/>
              </w:rPr>
            </w:pPr>
            <w:r>
              <w:rPr>
                <w:rFonts w:hint="eastAsia"/>
                <w:color w:val="auto"/>
                <w:sz w:val="22"/>
                <w:szCs w:val="22"/>
                <w:highlight w:val="none"/>
              </w:rPr>
              <w:t xml:space="preserve">社区：</w:t>
            </w:r>
            <w:r>
              <w:rPr>
                <w:rFonts w:hint="eastAsia"/>
                <w:color w:val="auto"/>
                <w:sz w:val="22"/>
                <w:szCs w:val="22"/>
                <w:highlight w:val="none"/>
                <w:u w:val="single"/>
              </w:rPr>
              <w:t xml:space="preserve">                              </w:t>
            </w:r>
            <w:r>
              <w:rPr>
                <w:rFonts w:hint="eastAsia"/>
                <w:color w:val="auto"/>
                <w:sz w:val="22"/>
                <w:szCs w:val="22"/>
                <w:highlight w:val="none"/>
              </w:rPr>
              <w:t xml:space="preserve">建设科：</w:t>
            </w:r>
            <w:r>
              <w:rPr>
                <w:rFonts w:hint="eastAsia"/>
                <w:color w:val="auto"/>
                <w:sz w:val="22"/>
                <w:szCs w:val="22"/>
                <w:highlight w:val="none"/>
                <w:u w:val="single"/>
              </w:rPr>
              <w:t xml:space="preserve">                    </w:t>
            </w:r>
            <w:r>
              <w:rPr>
                <w:rFonts w:hint="eastAsia"/>
                <w:color w:val="auto"/>
                <w:sz w:val="22"/>
                <w:szCs w:val="22"/>
                <w:highlight w:val="none"/>
              </w:rPr>
              <w:t xml:space="preserve">宣传网络科：</w:t>
            </w:r>
            <w:r>
              <w:rPr>
                <w:rFonts w:hint="eastAsia"/>
                <w:color w:val="auto"/>
                <w:sz w:val="22"/>
                <w:szCs w:val="22"/>
                <w:highlight w:val="none"/>
                <w:u w:val="single"/>
              </w:rPr>
              <w:t xml:space="preserve">                    </w:t>
            </w:r>
            <w:r>
              <w:rPr>
                <w:rFonts w:hint="eastAsia"/>
                <w:color w:val="auto"/>
                <w:sz w:val="22"/>
                <w:szCs w:val="22"/>
                <w:highlight w:val="none"/>
              </w:rPr>
              <w:t xml:space="preserve">派出所：</w:t>
            </w:r>
            <w:r>
              <w:rPr>
                <w:rFonts w:hint="eastAsia"/>
                <w:color w:val="auto"/>
                <w:sz w:val="22"/>
                <w:szCs w:val="22"/>
                <w:highlight w:val="none"/>
                <w:u w:val="single"/>
              </w:rPr>
              <w:t xml:space="preserve">                    </w:t>
            </w:r>
            <w:r/>
          </w:p>
          <w:p>
            <w:pPr>
              <w:jc w:val="left"/>
              <w:keepLines w:val="0"/>
              <w:keepNext w:val="0"/>
              <w:pageBreakBefore w:val="0"/>
              <w:spacing w:line="380" w:lineRule="exact"/>
              <w:widowControl/>
              <w:rPr>
                <w:rFonts w:hint="eastAsia"/>
                <w:color w:val="auto"/>
                <w:sz w:val="22"/>
                <w:szCs w:val="22"/>
                <w:highlight w:val="none"/>
                <w:u w:val="single"/>
              </w:rPr>
            </w:pPr>
            <w:r>
              <w:rPr>
                <w:rFonts w:hint="eastAsia"/>
                <w:color w:val="auto"/>
                <w:sz w:val="22"/>
                <w:szCs w:val="22"/>
                <w:highlight w:val="none"/>
              </w:rPr>
              <w:t xml:space="preserve">消委办：</w:t>
            </w:r>
            <w:r>
              <w:rPr>
                <w:rFonts w:hint="eastAsia"/>
                <w:color w:val="auto"/>
                <w:sz w:val="22"/>
                <w:szCs w:val="22"/>
                <w:highlight w:val="none"/>
                <w:u w:val="single"/>
              </w:rPr>
              <w:t xml:space="preserve">                     </w:t>
            </w:r>
            <w:r>
              <w:rPr>
                <w:rFonts w:hint="eastAsia"/>
                <w:color w:val="auto"/>
                <w:sz w:val="22"/>
                <w:szCs w:val="22"/>
                <w:highlight w:val="none"/>
              </w:rPr>
              <w:t xml:space="preserve">卫计科：</w:t>
            </w:r>
            <w:r>
              <w:rPr>
                <w:rFonts w:hint="eastAsia"/>
                <w:color w:val="auto"/>
                <w:sz w:val="22"/>
                <w:szCs w:val="22"/>
                <w:highlight w:val="none"/>
                <w:u w:val="single"/>
              </w:rPr>
              <w:t xml:space="preserve">                     </w:t>
            </w:r>
            <w:r>
              <w:rPr>
                <w:rFonts w:hint="eastAsia"/>
                <w:color w:val="auto"/>
                <w:sz w:val="22"/>
                <w:szCs w:val="22"/>
                <w:highlight w:val="none"/>
              </w:rPr>
              <w:t xml:space="preserve">行政执法局一中队：</w:t>
            </w:r>
            <w:r>
              <w:rPr>
                <w:rFonts w:hint="eastAsia"/>
                <w:color w:val="auto"/>
                <w:sz w:val="22"/>
                <w:szCs w:val="22"/>
                <w:highlight w:val="none"/>
                <w:u w:val="single"/>
              </w:rPr>
              <w:t xml:space="preserve">                     </w:t>
            </w:r>
            <w:r>
              <w:rPr>
                <w:rFonts w:hint="eastAsia"/>
                <w:color w:val="auto"/>
                <w:sz w:val="22"/>
                <w:szCs w:val="22"/>
                <w:highlight w:val="none"/>
              </w:rPr>
              <w:t xml:space="preserve">行政执法局综合科：</w:t>
            </w:r>
            <w:r>
              <w:rPr>
                <w:rFonts w:hint="eastAsia"/>
                <w:color w:val="auto"/>
                <w:sz w:val="22"/>
                <w:szCs w:val="22"/>
                <w:highlight w:val="none"/>
                <w:u w:val="single"/>
              </w:rPr>
              <w:t xml:space="preserve">                 </w:t>
            </w:r>
            <w:r/>
          </w:p>
          <w:p>
            <w:pPr>
              <w:jc w:val="left"/>
              <w:keepLines w:val="0"/>
              <w:keepNext w:val="0"/>
              <w:pageBreakBefore w:val="0"/>
              <w:spacing w:line="380" w:lineRule="exact"/>
              <w:widowControl/>
              <w:rPr>
                <w:rFonts w:hint="eastAsia"/>
                <w:color w:val="auto"/>
                <w:sz w:val="22"/>
                <w:szCs w:val="22"/>
                <w:highlight w:val="none"/>
                <w:u w:val="single"/>
              </w:rPr>
            </w:pPr>
            <w:r>
              <w:rPr>
                <w:rFonts w:hint="eastAsia"/>
                <w:color w:val="auto"/>
                <w:sz w:val="22"/>
                <w:szCs w:val="22"/>
                <w:highlight w:val="none"/>
                <w:u w:val="single"/>
              </w:rPr>
            </w:r>
            <w:r/>
          </w:p>
          <w:p>
            <w:pPr>
              <w:jc w:val="left"/>
              <w:spacing w:line="240" w:lineRule="exact"/>
              <w:widowControl/>
              <w:rPr>
                <w:rFonts w:hint="eastAsia"/>
                <w:color w:val="auto"/>
                <w:sz w:val="22"/>
                <w:szCs w:val="22"/>
                <w:highlight w:val="none"/>
                <w:u w:val="single"/>
              </w:rPr>
            </w:pPr>
            <w:r>
              <w:rPr>
                <w:rFonts w:hint="eastAsia"/>
                <w:color w:val="auto"/>
                <w:sz w:val="22"/>
                <w:szCs w:val="22"/>
                <w:highlight w:val="none"/>
                <w:u w:val="single"/>
              </w:rPr>
            </w:r>
            <w:r/>
          </w:p>
          <w:p>
            <w:pPr>
              <w:jc w:val="left"/>
              <w:spacing w:line="240" w:lineRule="exact"/>
              <w:widowControl/>
              <w:rPr>
                <w:color w:val="auto"/>
                <w:sz w:val="22"/>
                <w:szCs w:val="22"/>
                <w:highlight w:val="none"/>
              </w:rPr>
            </w:pPr>
            <w:r>
              <w:rPr>
                <w:color w:val="auto"/>
                <w:sz w:val="22"/>
                <w:szCs w:val="22"/>
                <w:highlight w:val="none"/>
              </w:rPr>
            </w:r>
            <w:r/>
          </w:p>
        </w:tc>
      </w:tr>
    </w:tbl>
    <w:p>
      <w:pPr>
        <w:jc w:val="left"/>
        <w:spacing w:after="624" w:line="400" w:lineRule="exact"/>
        <w:widowControl/>
        <w:tabs>
          <w:tab w:val="left" w:pos="6259" w:leader="none"/>
          <w:tab w:val="left" w:pos="8298" w:leader="none"/>
        </w:tabs>
        <w:rPr>
          <w:rFonts w:hint="eastAsia" w:ascii="宋体" w:hAnsi="宋体" w:eastAsia="宋体" w:cs="宋体"/>
          <w:color w:val="auto"/>
          <w:sz w:val="24"/>
          <w:szCs w:val="24"/>
          <w:highlight w:val="none"/>
        </w:rPr>
        <w:sectPr>
          <w:footerReference w:type="default" r:id="rId15"/>
          <w:footnotePr/>
          <w:endnotePr/>
          <w:type w:val="nextPage"/>
          <w:pgSz w:w="11906" w:h="16838" w:orient="portrait"/>
          <w:pgMar w:top="1984" w:right="1417" w:bottom="1701" w:left="1417" w:header="851" w:footer="992" w:gutter="0"/>
          <w:cols w:num="1" w:sep="0" w:space="720" w:equalWidth="1"/>
          <w:docGrid w:linePitch="360"/>
        </w:sectPr>
      </w:pPr>
      <w:r>
        <w:rPr>
          <w:rFonts w:hint="eastAsia" w:ascii="宋体" w:hAnsi="宋体" w:eastAsia="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第二部分  有关说明</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2"/>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第三部分  政府采购政策</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（包括但不限于下列具体政策要求）</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3.根据国家扶持中小企业的有关政策，在我中心组织的采购项目中标的供应商，如需要政府采购合同融资，请按锡财购【2022】7号文件执行。</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 按</w:t>
      </w:r>
      <w:r>
        <w:rPr>
          <w:rFonts w:hint="eastAsia" w:ascii="宋体" w:hAnsi="宋体" w:cs="宋体"/>
          <w:bCs/>
          <w:color w:val="auto"/>
          <w:sz w:val="24"/>
          <w:szCs w:val="24"/>
          <w:highlight w:val="none"/>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中标、成交供应商可根据自身情况，自行决定是否选择采用合同融资形式， 在无锡政府采购网——政采贷专栏提供的银行名录内自主选择合作银行。</w:t>
      </w:r>
      <w:r/>
    </w:p>
    <w:p>
      <w:pPr>
        <w:ind w:firstLine="480"/>
        <w:spacing w:line="440" w:lineRule="exact"/>
        <w:tabs>
          <w:tab w:val="left" w:pos="525" w:leader="none"/>
          <w:tab w:val="left" w:pos="945"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rPr>
      </w:pPr>
      <w:r>
        <w:rPr>
          <w:rFonts w:hint="eastAsia" w:ascii="宋体" w:hAnsi="宋体" w:cs="宋体"/>
          <w:bCs/>
          <w:color w:val="auto"/>
          <w:sz w:val="24"/>
          <w:szCs w:val="24"/>
          <w:highlight w:val="none"/>
          <w:lang w:val="en"/>
        </w:rPr>
        <w:t xml:space="preserve">中标、成交供应商可以根据自身情况，自行决定是否采用电子履约保函形式，具体操作可登陆江苏政府采购网的保险保函模块进行办理。</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color w:val="auto"/>
          <w:sz w:val="24"/>
          <w:szCs w:val="24"/>
          <w:highlight w:val="none"/>
        </w:rPr>
        <w:t xml:space="preserve">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hAnsi="宋体" w:cs="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44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政府采购合同的双方当事人不得擅自变更合同，依照政府采购法确需变更政府采购合同内容的，采购人应当自合同变更之日起</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2个工作日内在省级以上财政部门指定的媒体上发布政府采购合同变更公告，但涉及国家秘密、商业秘密的信息和其他依法不得公开的信息除外。</w:t>
      </w:r>
      <w:r/>
    </w:p>
    <w:p>
      <w:pPr>
        <w:ind w:firstLine="480"/>
        <w:spacing w:line="440" w:lineRule="exact"/>
        <w:tabs>
          <w:tab w:val="left" w:pos="525" w:leader="none"/>
          <w:tab w:val="left" w:pos="630" w:leader="none"/>
          <w:tab w:val="left" w:pos="735" w:leader="none"/>
          <w:tab w:val="left" w:pos="945" w:leader="none"/>
          <w:tab w:val="left" w:pos="1080" w:leader="none"/>
        </w:tabs>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jc w:val="left"/>
        <w:widowControl/>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53"/>
        <w:ind w:firstLine="640"/>
        <w:jc w:val="center"/>
        <w:spacing w:line="440" w:lineRule="exact"/>
        <w:rPr>
          <w:rFonts w:ascii="黑体" w:eastAsia="黑体"/>
          <w:bCs/>
          <w:color w:val="auto"/>
          <w:sz w:val="32"/>
          <w:szCs w:val="32"/>
          <w:highlight w:val="none"/>
        </w:rPr>
      </w:pPr>
      <w:r>
        <w:rPr>
          <w:rFonts w:hint="eastAsia" w:ascii="黑体" w:eastAsia="黑体"/>
          <w:bCs/>
          <w:color w:val="auto"/>
          <w:sz w:val="32"/>
          <w:szCs w:val="32"/>
          <w:highlight w:val="none"/>
        </w:rPr>
        <w:t xml:space="preserve">第四章  合同文本</w:t>
      </w:r>
      <w:r/>
    </w:p>
    <w:p>
      <w:pPr>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以下为中标后</w:t>
      </w:r>
      <w:r>
        <w:rPr>
          <w:rFonts w:hint="eastAsia" w:ascii="宋体" w:hAnsi="宋体"/>
          <w:bCs/>
          <w:color w:val="auto"/>
          <w:sz w:val="24"/>
          <w:szCs w:val="24"/>
          <w:highlight w:val="none"/>
        </w:rPr>
        <w:t xml:space="preserve">签订</w:t>
      </w:r>
      <w:r>
        <w:rPr>
          <w:rFonts w:hint="eastAsia" w:ascii="宋体" w:hAnsi="宋体"/>
          <w:bCs/>
          <w:color w:val="auto"/>
          <w:sz w:val="24"/>
          <w:highlight w:val="none"/>
        </w:rPr>
        <w:t xml:space="preserve">本项目合同的通用条款，中标人不得提出实质性的修改。</w:t>
      </w:r>
      <w:r/>
    </w:p>
    <w:p>
      <w:pPr>
        <w:ind w:firstLine="602"/>
        <w:jc w:val="center"/>
        <w:spacing w:line="440" w:lineRule="exact"/>
        <w:rPr>
          <w:rFonts w:ascii="宋体" w:hAnsi="宋体"/>
          <w:b/>
          <w:bCs/>
          <w:color w:val="auto"/>
          <w:sz w:val="30"/>
          <w:highlight w:val="none"/>
        </w:rPr>
        <w:outlineLvl w:val="0"/>
      </w:pPr>
      <w:r>
        <w:rPr>
          <w:rFonts w:hint="eastAsia" w:ascii="宋体" w:hAnsi="宋体"/>
          <w:b/>
          <w:color w:val="auto"/>
          <w:sz w:val="30"/>
          <w:highlight w:val="none"/>
        </w:rPr>
        <w:t xml:space="preserve">江苏省政府采购合同（服务）（合同编号）</w:t>
      </w:r>
      <w:r/>
    </w:p>
    <w:p>
      <w:pPr>
        <w:pStyle w:val="1177"/>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 xml:space="preserve">项目编号：</w:t>
      </w:r>
      <w:r>
        <w:rPr>
          <w:rFonts w:hint="eastAsia" w:hAnsi="宋体"/>
          <w:color w:val="auto"/>
          <w:sz w:val="24"/>
          <w:szCs w:val="24"/>
          <w:highlight w:val="none"/>
        </w:rPr>
        <w:t xml:space="preserve">                          </w:t>
      </w:r>
      <w:r/>
    </w:p>
    <w:p>
      <w:pPr>
        <w:pStyle w:val="1177"/>
        <w:spacing w:line="440" w:lineRule="exact"/>
        <w:rPr>
          <w:rFonts w:hAnsi="宋体"/>
          <w:color w:val="auto"/>
          <w:sz w:val="24"/>
          <w:szCs w:val="24"/>
          <w:highlight w:val="none"/>
        </w:rPr>
      </w:pPr>
      <w:r>
        <w:rPr>
          <w:rFonts w:hAnsi="宋体"/>
          <w:color w:val="auto"/>
          <w:sz w:val="24"/>
          <w:szCs w:val="24"/>
          <w:highlight w:val="none"/>
        </w:rPr>
        <w:t xml:space="preserve">甲方：（买方、需方、采购人）_________</w:t>
      </w:r>
      <w:r/>
    </w:p>
    <w:p>
      <w:pPr>
        <w:pStyle w:val="1177"/>
        <w:spacing w:line="440" w:lineRule="exact"/>
        <w:rPr>
          <w:rFonts w:hAnsi="宋体"/>
          <w:color w:val="auto"/>
          <w:sz w:val="24"/>
          <w:szCs w:val="24"/>
          <w:highlight w:val="none"/>
        </w:rPr>
      </w:pPr>
      <w:r>
        <w:rPr>
          <w:rFonts w:hAnsi="宋体"/>
          <w:color w:val="auto"/>
          <w:sz w:val="24"/>
          <w:szCs w:val="24"/>
          <w:highlight w:val="none"/>
        </w:rPr>
        <w:t xml:space="preserve">乙方：（卖方、供方、供应商）_________</w:t>
      </w:r>
      <w:r/>
    </w:p>
    <w:p>
      <w:pPr>
        <w:pStyle w:val="1177"/>
        <w:ind w:firstLine="482"/>
        <w:spacing w:line="440" w:lineRule="exact"/>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 xml:space="preserve">甲、乙双方根据</w:t>
      </w:r>
      <w:r>
        <w:rPr>
          <w:rFonts w:hint="eastAsia" w:hAnsi="宋体"/>
          <w:color w:val="auto"/>
          <w:sz w:val="24"/>
          <w:szCs w:val="24"/>
          <w:highlight w:val="none"/>
        </w:rPr>
        <w:t xml:space="preserve">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第一条 合同标的</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olor w:val="auto"/>
          <w:sz w:val="24"/>
          <w:szCs w:val="24"/>
          <w:highlight w:val="none"/>
        </w:rPr>
        <w:t xml:space="preserve">项目总建筑面积：</w:t>
      </w:r>
      <w:r>
        <w:rPr>
          <w:rFonts w:hint="eastAsia" w:ascii="宋体" w:hAnsi="宋体"/>
          <w:color w:val="auto"/>
          <w:sz w:val="24"/>
          <w:szCs w:val="24"/>
          <w:highlight w:val="none"/>
          <w:u w:val="singl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日；在物业管理服务期限内，本合同期满后，甲方有权根据物业管理服务履约评价情况，决定是否与乙方签订后续下年度服务合同。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第二条 委托管理事项</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委托物业管理服务内容：</w:t>
      </w:r>
      <w:r>
        <w:rPr>
          <w:rFonts w:hint="eastAsia" w:ascii="宋体" w:hAnsi="宋体" w:cs="宋体"/>
          <w:color w:val="auto"/>
          <w:sz w:val="24"/>
          <w:highlight w:val="none"/>
          <w:u w:val="single"/>
        </w:rPr>
        <w:t xml:space="preserve">                      </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第三条 合同总价款</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二、本合同执行期间总价不变。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三、履约保证金的缴纳和退付</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p>
    <w:p>
      <w:pPr>
        <w:ind w:firstLine="480"/>
        <w:spacing w:line="440" w:lineRule="exact"/>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40" w:lineRule="exact"/>
        <w:tabs>
          <w:tab w:val="left" w:pos="945" w:leader="none"/>
          <w:tab w:val="left" w:pos="2100" w:leader="none"/>
        </w:tabs>
        <w:rPr>
          <w:rFonts w:ascii="宋体" w:hAnsi="宋体"/>
          <w:b/>
          <w:color w:val="auto"/>
          <w:sz w:val="24"/>
          <w:szCs w:val="24"/>
          <w:highlight w:val="none"/>
        </w:rPr>
      </w:pPr>
      <w:r>
        <w:rPr>
          <w:rFonts w:hint="eastAsia" w:ascii="宋体" w:hAnsi="宋体"/>
          <w:bCs/>
          <w:color w:val="auto"/>
          <w:sz w:val="24"/>
          <w:highlight w:val="none"/>
        </w:rPr>
        <w:t xml:space="preserve">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第四条 组成本合同的有关文件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）的招投标文件或与本次采购活动方式相适应的文件及有关附件是本合同不可分割的组成部分，与本合同具有同等法律效力，这些文件包括但不限于：</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一、乙方提供的投标文件和报价表；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二、中标通知书；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三、甲乙双方商定的其他文件。</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第五条 双方权利义务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一、甲方权利义务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40" w:lineRule="exact"/>
        <w:rPr>
          <w:rFonts w:ascii="宋体" w:hAnsi="宋体" w:cs="宋体"/>
          <w:color w:val="auto"/>
          <w:sz w:val="24"/>
          <w:highlight w:val="none"/>
          <w:u w:val="single"/>
        </w:rPr>
      </w:pPr>
      <w:r>
        <w:rPr>
          <w:rFonts w:hint="eastAsia" w:ascii="宋体" w:hAnsi="宋体" w:cs="宋体"/>
          <w:color w:val="auto"/>
          <w:sz w:val="24"/>
          <w:highlight w:val="none"/>
        </w:rPr>
        <w:t xml:space="preserve">（二）审议、修改物业管理区域共用部位和共用设施设备使用、公共秩序和环境卫生、绿化维护等方面的规章制度。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（三）对物业管理服务质量进行监督检查，对不符合质量标准的管理服务要求乙方整改落实。</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（四）为乙方的管理服务提供必要的工作场所以及</w:t>
      </w:r>
      <w:r>
        <w:rPr>
          <w:rFonts w:hint="eastAsia" w:ascii="宋体" w:hAnsi="宋体"/>
          <w:color w:val="auto"/>
          <w:sz w:val="24"/>
          <w:szCs w:val="24"/>
          <w:highlight w:val="none"/>
        </w:rPr>
        <w:t xml:space="preserve">物业管理服务所必需的水、电供应</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（五）对乙方的节能工作进行指导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提高用能设施设备的能源利用效率。</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（六）根据有关部门的要求，指导</w:t>
      </w:r>
      <w:r>
        <w:rPr>
          <w:rFonts w:ascii="宋体" w:hAnsi="宋体" w:cs="宋体"/>
          <w:color w:val="auto"/>
          <w:sz w:val="24"/>
          <w:highlight w:val="none"/>
        </w:rPr>
        <w:t xml:space="preserve">和监督</w:t>
      </w:r>
      <w:r>
        <w:rPr>
          <w:rFonts w:hint="eastAsia" w:ascii="宋体" w:hAnsi="宋体" w:cs="宋体"/>
          <w:color w:val="auto"/>
          <w:sz w:val="24"/>
          <w:highlight w:val="none"/>
        </w:rPr>
        <w:t xml:space="preserve">乙方做好控烟、爱国卫生等工作。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 xml:space="preserve">协助乙方做好物业服务管理工作</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（八）按照合同约定，及时支付</w:t>
      </w:r>
      <w:r>
        <w:rPr>
          <w:rFonts w:ascii="宋体" w:hAnsi="宋体" w:cs="宋体"/>
          <w:color w:val="auto"/>
          <w:sz w:val="24"/>
          <w:highlight w:val="none"/>
        </w:rPr>
        <w:t xml:space="preserve">合同款项。</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（九）法规、政策规定由甲方承担的其他责任。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二、乙方权利义务</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（一）在承接物业时，对物业工程技术档案资料、共用部位、设施设备等进行查验，并做好书面确认工作；对所有图、档、卡、册等资料应做好建档工作。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（五）对有违反或影响本合同执行，包括影响机关正常办公秩序的行为，乙方应及时整改。</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（六）协助甲方做好物业管理区域内各项节能管理工作，对物业管理服务人员进行节能管理专业培训，加大节能管理力度。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（九）投保物业公众责任险。</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（十一）法规、政策规定由乙方承担的其他责任。</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 xml:space="preserve">三、在管理过程中，因下列因素所致的损害构成乙方的免责事由，乙方均不负赔偿之责：</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（一）天灾、地震等不可抗力的事由所致的损害；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（二）暴动、持械抢劫、破坏、爆炸、火灾、刑事犯罪等违法行为等事由所致的损害；</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（三）因甲方或第三者之故意、重大过失所致的损害；</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（四）因乙方书面建议甲方改善或改进物业管理措施，而甲方未采纳</w:t>
      </w:r>
      <w:r>
        <w:rPr>
          <w:rFonts w:ascii="宋体" w:hAnsi="宋体"/>
          <w:color w:val="auto"/>
          <w:sz w:val="24"/>
          <w:szCs w:val="24"/>
          <w:highlight w:val="none"/>
        </w:rPr>
        <w:t xml:space="preserve">所致的损害</w:t>
      </w:r>
      <w:r>
        <w:rPr>
          <w:rFonts w:hint="eastAsia" w:ascii="宋体" w:hAnsi="宋体"/>
          <w:color w:val="auto"/>
          <w:sz w:val="24"/>
          <w:szCs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（五）本合同标的物之共用部分（含共用部位、共用设备设施）自然或非乙方人为的任何损坏。</w:t>
      </w:r>
      <w:r/>
    </w:p>
    <w:p>
      <w:pPr>
        <w:ind w:firstLine="480"/>
        <w:spacing w:line="440" w:lineRule="exact"/>
        <w:rPr>
          <w:rFonts w:ascii="宋体" w:hAnsi="宋体" w:cs="宋体"/>
          <w:color w:val="auto"/>
          <w:sz w:val="24"/>
          <w:highlight w:val="none"/>
        </w:rPr>
      </w:pPr>
      <w:r>
        <w:rPr>
          <w:rFonts w:hint="eastAsia" w:ascii="宋体" w:hAnsi="宋体"/>
          <w:color w:val="auto"/>
          <w:sz w:val="24"/>
          <w:szCs w:val="24"/>
          <w:highlight w:val="none"/>
        </w:rPr>
        <w:t xml:space="preserve">（六）除上述各款外，其他不可归责于乙方之事由的。</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t xml:space="preserve">以上所有事项</w:t>
      </w:r>
      <w:r>
        <w:rPr>
          <w:rFonts w:hint="eastAsia" w:ascii="宋体" w:hAnsi="宋体" w:cs="宋体"/>
          <w:color w:val="auto"/>
          <w:sz w:val="24"/>
          <w:highlight w:val="none"/>
        </w:rPr>
        <w:t xml:space="preserve">因乙方故意或过失所致，或未尽到物业管理职责的，不在此限；</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第六条 质量保证</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一、建立质量管理体系并有效运行，管理服务能够接受质量审核。</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二、管理服务逐步达到接受创优评审条件。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三、各项承诺指标及所采取的措施详见“招标文件”及投标文件。</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四、其他管理服务质量要求按无锡市有关标准执行。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第七条 款项支付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一、本合同项下所有款项均以人民币支付。</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二、甲方在收到乙方开具相应的增值税发票后按约定支付物业服务费；乙方未提供发票的</w:t>
      </w:r>
      <w:r>
        <w:rPr>
          <w:rFonts w:ascii="宋体" w:hAnsi="宋体" w:cs="宋体"/>
          <w:color w:val="auto"/>
          <w:sz w:val="24"/>
          <w:highlight w:val="none"/>
        </w:rPr>
        <w:t xml:space="preserve">，甲方有权迟延支付款项</w:t>
      </w:r>
      <w:r>
        <w:rPr>
          <w:rFonts w:hint="eastAsia" w:ascii="宋体" w:hAnsi="宋体" w:cs="宋体"/>
          <w:color w:val="auto"/>
          <w:sz w:val="24"/>
          <w:highlight w:val="none"/>
        </w:rPr>
        <w:t xml:space="preserve">且</w:t>
      </w:r>
      <w:r>
        <w:rPr>
          <w:rFonts w:ascii="宋体" w:hAnsi="宋体" w:cs="宋体"/>
          <w:color w:val="auto"/>
          <w:sz w:val="24"/>
          <w:highlight w:val="none"/>
        </w:rPr>
        <w:t xml:space="preserve">不承担违约责任，乙方仍应继续履行本合同项下的全部义务</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三、付款方式及进度安排及履约评价考核机制按招标文件执行。</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第八条 违约责任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w:t>
      </w:r>
      <w:r>
        <w:rPr>
          <w:rFonts w:hint="eastAsia" w:ascii="宋体" w:hAnsi="宋体"/>
          <w:color w:val="auto"/>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 xml:space="preserve">或依照法律程序解除部分或全部合同。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二、甲方未按合同约定向乙方支付款项的，每逾期1天甲方向乙方就应付未付款项的0.5‰违约金，但累计违约金总额不超过欠款总额的5%。</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四、乙方无正当理由，违反本合同约定，擅自收费或擅自提高收费标准的，对擅自收费部分或超出标准的部分，甲方有权</w:t>
      </w:r>
      <w:r>
        <w:rPr>
          <w:rFonts w:ascii="宋体" w:hAnsi="宋体" w:cs="宋体"/>
          <w:color w:val="auto"/>
          <w:sz w:val="24"/>
          <w:highlight w:val="none"/>
        </w:rPr>
        <w:t xml:space="preserve">拒绝付款</w:t>
      </w:r>
      <w:r>
        <w:rPr>
          <w:rFonts w:hint="eastAsia" w:ascii="宋体" w:hAnsi="宋体" w:cs="宋体"/>
          <w:color w:val="auto"/>
          <w:sz w:val="24"/>
          <w:highlight w:val="none"/>
        </w:rPr>
        <w:t xml:space="preserve">；</w:t>
      </w:r>
      <w:r>
        <w:rPr>
          <w:rFonts w:ascii="宋体" w:hAnsi="宋体" w:cs="宋体"/>
          <w:color w:val="auto"/>
          <w:sz w:val="24"/>
          <w:highlight w:val="none"/>
        </w:rPr>
        <w:t xml:space="preserve">已经支付的，</w:t>
      </w:r>
      <w:r>
        <w:rPr>
          <w:rFonts w:hint="eastAsia" w:ascii="宋体" w:hAnsi="宋体" w:cs="宋体"/>
          <w:color w:val="auto"/>
          <w:sz w:val="24"/>
          <w:highlight w:val="none"/>
        </w:rPr>
        <w:t xml:space="preserve">有权要求乙方双倍返还；造成甲方经济损失的，乙方应予赔偿。</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五、因乙方原因导致重大火灾、失窃、泄密等事件的，甲方有权解除合同，并要求乙方赔偿相关损失。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 xml:space="preserve">3</w:t>
      </w:r>
      <w:r>
        <w:rPr>
          <w:rFonts w:hint="eastAsia" w:ascii="宋体" w:hAnsi="宋体" w:cs="宋体"/>
          <w:color w:val="auto"/>
          <w:sz w:val="24"/>
          <w:highlight w:val="none"/>
        </w:rPr>
        <w:t xml:space="preserve">0%作为违约金；造成的损失超出前述违约金的，甲方有权要求乙方按照实际损失予以赔偿。</w:t>
      </w:r>
      <w:r/>
    </w:p>
    <w:p>
      <w:pPr>
        <w:pStyle w:val="828"/>
        <w:ind w:firstLine="482"/>
        <w:spacing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八、乙方在承担上述一项或多项违约责任后，仍应继续履行合同规定的义务（甲方解除合同的除外）。甲方未能及时追究乙方的任何一项违约责任并不表明甲方放弃追究乙方该项或其他违约责任。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第九条 合同的生效、变更和终止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三、合同中未有约定的按照有关的法律法规以及国家行业标准或技术文件规定予以解决。</w:t>
      </w:r>
      <w:r/>
    </w:p>
    <w:p>
      <w:pPr>
        <w:ind w:firstLine="480"/>
        <w:spacing w:line="440" w:lineRule="exact"/>
        <w:rPr>
          <w:rFonts w:ascii="宋体" w:hAnsi="宋体" w:cs="宋体"/>
          <w:color w:val="auto"/>
          <w:sz w:val="24"/>
          <w:highlight w:val="none"/>
        </w:rPr>
      </w:pPr>
      <w:r>
        <w:rPr>
          <w:rFonts w:hint="eastAsia" w:ascii="宋体" w:hAnsi="宋体"/>
          <w:bCs/>
          <w:color w:val="auto"/>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五、本合同终止时，乙方应移交管理权，撤出本项目，协助甲方做好服务的交接和善后工作，移交或配合甲方移交管理用房和管理的全部档案资料等。</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第十条 争议的解决</w:t>
      </w:r>
      <w:r/>
    </w:p>
    <w:p>
      <w:pPr>
        <w:ind w:firstLine="480"/>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合同签订后</w:t>
      </w:r>
      <w:r>
        <w:rPr>
          <w:rFonts w:hint="eastAsia" w:ascii="宋体" w:hAnsi="宋体"/>
          <w:color w:val="auto"/>
          <w:sz w:val="24"/>
          <w:szCs w:val="24"/>
          <w:highlight w:val="none"/>
        </w:rPr>
        <w:t xml:space="preserve">甲乙</w:t>
      </w:r>
      <w:r>
        <w:rPr>
          <w:rFonts w:hint="eastAsia" w:ascii="宋体" w:hAnsi="宋体"/>
          <w:bCs/>
          <w:color w:val="auto"/>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由甲乙双方协商处理，若协商不成，</w:t>
      </w:r>
      <w:r>
        <w:rPr>
          <w:rFonts w:hint="eastAsia" w:ascii="宋体" w:hAnsi="宋体"/>
          <w:bCs/>
          <w:color w:val="auto"/>
          <w:sz w:val="24"/>
          <w:szCs w:val="24"/>
          <w:highlight w:val="none"/>
        </w:rPr>
        <w:t xml:space="preserve">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方式处理：</w:t>
      </w:r>
      <w:r/>
    </w:p>
    <w:p>
      <w:pPr>
        <w:spacing w:line="440" w:lineRule="exact"/>
        <w:tabs>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一、向无锡仲裁委员会申请仲裁。</w:t>
      </w:r>
      <w:r/>
    </w:p>
    <w:p>
      <w:pPr>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二、向甲方所在地法院提起诉讼。</w:t>
      </w:r>
      <w:r/>
    </w:p>
    <w:p>
      <w:pPr>
        <w:ind w:firstLine="482"/>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第十一条 诚实信用及其他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二、本合同应按照中华人民共和国的现行法律进行解释。</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代表人：                             代表人：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电话：                               电话：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开户银行：                           开户银行： </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账号：                               账号： </w:t>
      </w:r>
      <w:r/>
    </w:p>
    <w:p>
      <w:pPr>
        <w:ind w:firstLine="480"/>
        <w:spacing w:line="440" w:lineRule="exact"/>
        <w:rPr>
          <w:rFonts w:ascii="宋体" w:hAnsi="宋体" w:cs="宋体"/>
          <w:color w:val="auto"/>
          <w:sz w:val="24"/>
          <w:highlight w:val="none"/>
        </w:rPr>
      </w:pPr>
      <w:r>
        <w:rPr>
          <w:rFonts w:ascii="宋体" w:hAnsi="宋体" w:cs="宋体"/>
          <w:color w:val="auto"/>
          <w:sz w:val="24"/>
          <w:highlight w:val="none"/>
        </w:rPr>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签订日期：    年    月    日</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2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96"/>
        <w:ind w:firstLine="640"/>
        <w:pageBreakBefore/>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 xml:space="preserve">第五章  评分方法与评分标准</w:t>
      </w:r>
      <w:r/>
    </w:p>
    <w:p>
      <w:pPr>
        <w:pStyle w:val="11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178"/>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178"/>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178"/>
        <w:spacing w:before="0" w:after="0" w:line="500" w:lineRule="exact"/>
        <w:rPr>
          <w:rStyle w:val="1173"/>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w:t>
      </w:r>
      <w:r>
        <w:rPr>
          <w:rFonts w:hint="eastAsia" w:ascii="宋体" w:hAnsi="宋体"/>
          <w:bCs/>
          <w:color w:val="auto"/>
          <w:highlight w:val="none"/>
          <w:lang w:eastAsia="zh-CN"/>
        </w:rPr>
        <w:t xml:space="preserve">。</w:t>
      </w:r>
      <w:r>
        <w:rPr>
          <w:rFonts w:hint="eastAsia" w:ascii="宋体" w:hAnsi="宋体"/>
          <w:bCs/>
          <w:color w:val="auto"/>
          <w:highlight w:val="none"/>
        </w:rPr>
        <w:t xml:space="preserve">各投标人的评审后得分为各评委所评定分值的平均值，并按高低顺序排列。得分相同的，按投标报价由低到高顺序排列</w:t>
      </w:r>
      <w:r>
        <w:rPr>
          <w:rFonts w:hint="eastAsia" w:ascii="宋体" w:hAnsi="宋体"/>
          <w:bCs/>
          <w:color w:val="auto"/>
          <w:highlight w:val="none"/>
          <w:lang w:eastAsia="zh-CN"/>
        </w:rPr>
        <w:t xml:space="preserve">；</w:t>
      </w:r>
      <w:r>
        <w:rPr>
          <w:rFonts w:hint="eastAsia" w:ascii="宋体" w:hAnsi="宋体"/>
          <w:bCs/>
          <w:color w:val="auto"/>
          <w:highlight w:val="none"/>
        </w:rPr>
        <w:t xml:space="preserve">得分且投标报价相同的</w:t>
      </w:r>
      <w:r>
        <w:rPr>
          <w:rFonts w:hint="eastAsia" w:ascii="宋体" w:hAnsi="宋体"/>
          <w:bCs/>
          <w:color w:val="auto"/>
          <w:highlight w:val="none"/>
          <w:lang w:eastAsia="zh-CN"/>
        </w:rPr>
        <w:t xml:space="preserve">，且</w:t>
      </w:r>
      <w:r>
        <w:rPr>
          <w:rFonts w:hint="eastAsia" w:ascii="宋体" w:hAnsi="宋体"/>
          <w:bCs/>
          <w:color w:val="auto"/>
          <w:highlight w:val="none"/>
        </w:rPr>
        <w:t xml:space="preserve">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 xml:space="preserve">3</w:t>
      </w:r>
      <w:r>
        <w:rPr>
          <w:rFonts w:hint="eastAsia" w:ascii="宋体" w:hAnsi="宋体"/>
          <w:bCs/>
          <w:color w:val="auto"/>
          <w:highlight w:val="none"/>
        </w:rPr>
        <w:t xml:space="preserve">名中标候选人。</w:t>
      </w:r>
      <w:r/>
    </w:p>
    <w:p>
      <w:pPr>
        <w:pStyle w:val="1178"/>
        <w:spacing w:before="0" w:after="0" w:line="500" w:lineRule="exact"/>
        <w:rPr>
          <w:rFonts w:cs="Arial"/>
          <w:color w:val="auto"/>
          <w:highlight w:val="none"/>
          <w:shd w:val="clear" w:color="ffffff" w:fill="d9d9d9"/>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ind w:firstLine="482"/>
        <w:jc w:val="left"/>
        <w:rPr>
          <w:rFonts w:hint="eastAsia" w:ascii="宋体" w:hAnsi="宋体"/>
          <w:b/>
          <w:bCs/>
          <w:color w:val="auto"/>
          <w:sz w:val="24"/>
          <w:highlight w:val="none"/>
        </w:rPr>
      </w:pPr>
      <w:r>
        <w:rPr>
          <w:rFonts w:hint="eastAsia" w:ascii="宋体" w:hAnsi="宋体"/>
          <w:b/>
          <w:bCs/>
          <w:color w:val="auto"/>
          <w:sz w:val="24"/>
          <w:highlight w:val="none"/>
        </w:rPr>
      </w:r>
      <w:r/>
    </w:p>
    <w:p>
      <w:pPr>
        <w:pStyle w:val="1178"/>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  评标标准</w:t>
      </w:r>
      <w:r/>
    </w:p>
    <w:p>
      <w:pPr>
        <w:pStyle w:val="117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1178"/>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p>
    <w:p>
      <w:pPr>
        <w:ind w:firstLine="482"/>
        <w:spacing w:line="360" w:lineRule="auto"/>
        <w:tabs>
          <w:tab w:val="left" w:pos="1050" w:leader="none"/>
        </w:tabs>
        <w:rPr>
          <w:rFonts w:hint="eastAsia" w:ascii="宋体" w:hAnsi="宋体" w:cs="宋体"/>
          <w:b/>
          <w:bCs/>
          <w:color w:val="auto"/>
          <w:sz w:val="24"/>
          <w:szCs w:val="24"/>
          <w:highlight w:val="none"/>
        </w:rPr>
      </w:pPr>
      <w:r/>
      <w:bookmarkStart w:id="131" w:name="_Toc27155"/>
      <w:r>
        <w:rPr>
          <w:rFonts w:hint="eastAsia" w:ascii="宋体" w:hAnsi="宋体" w:cs="宋体"/>
          <w:b/>
          <w:bCs/>
          <w:color w:val="auto"/>
          <w:sz w:val="24"/>
          <w:szCs w:val="24"/>
          <w:highlight w:val="none"/>
        </w:rPr>
        <w:t xml:space="preserve">1.价格（25分）</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评标基准价／投标报价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×价格权值×100。</w:t>
      </w:r>
      <w:r/>
    </w:p>
    <w:p>
      <w:pPr>
        <w:ind w:firstLine="480"/>
        <w:spacing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关于价格扣除详见本章第二部分“一、落实政府采购政策的价格调整”。</w:t>
      </w:r>
      <w:bookmarkEnd w:id="131"/>
      <w:r/>
    </w:p>
    <w:p>
      <w:pPr>
        <w:numPr>
          <w:ilvl w:val="0"/>
          <w:numId w:val="0"/>
        </w:numPr>
        <w:ind w:firstLine="482"/>
        <w:keepLines w:val="0"/>
        <w:keepNext w:val="0"/>
        <w:pageBreakBefore w:val="0"/>
        <w:spacing w:line="360" w:lineRule="auto"/>
        <w:widowControl w:val="off"/>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商务部分（</w:t>
      </w:r>
      <w:r>
        <w:rPr>
          <w:rFonts w:hint="eastAsia" w:ascii="宋体" w:hAnsi="宋体" w:cs="宋体"/>
          <w:b/>
          <w:bCs/>
          <w:color w:val="auto"/>
          <w:sz w:val="24"/>
          <w:szCs w:val="24"/>
          <w:highlight w:val="none"/>
          <w:lang w:val="en-US" w:eastAsia="zh-CN"/>
        </w:rPr>
        <w:t xml:space="preserve">25</w:t>
      </w:r>
      <w:r>
        <w:rPr>
          <w:rFonts w:hint="eastAsia" w:ascii="宋体" w:hAnsi="宋体" w:cs="宋体"/>
          <w:b/>
          <w:bCs/>
          <w:color w:val="auto"/>
          <w:sz w:val="24"/>
          <w:szCs w:val="24"/>
          <w:highlight w:val="none"/>
        </w:rPr>
        <w:t xml:space="preserve">分）</w:t>
      </w:r>
      <w:r/>
    </w:p>
    <w:p>
      <w:pPr>
        <w:ind w:firstLine="482"/>
        <w:keepLines w:val="0"/>
        <w:keepNext w:val="0"/>
        <w:pageBreakBefore w:val="0"/>
        <w:spacing w:line="360" w:lineRule="auto"/>
        <w:widowControl w:val="off"/>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（1）企业评价（</w:t>
      </w: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①业绩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投标供应商自202</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月1日（含）以来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以合同签订日期为准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承担过类似项目的，每提供一个得</w:t>
      </w:r>
      <w:r>
        <w:rPr>
          <w:rFonts w:hint="eastAsia" w:ascii="宋体" w:hAnsi="宋体" w:cs="宋体"/>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（投标文件中提供合同首页、盖章页及关键页并标注出能判定同类业绩）扫描件，并加盖公章或签电子公章，</w:t>
      </w:r>
      <w:r>
        <w:rPr>
          <w:rFonts w:hint="eastAsia" w:ascii="宋体" w:hAnsi="宋体" w:eastAsia="宋体" w:cs="宋体"/>
          <w:b/>
          <w:bCs/>
          <w:color w:val="auto"/>
          <w:sz w:val="24"/>
          <w:szCs w:val="24"/>
          <w:highlight w:val="none"/>
        </w:rPr>
        <w:t xml:space="preserve">未提供相关资料或资料不全不得分</w:t>
      </w:r>
      <w:r>
        <w:rPr>
          <w:rFonts w:hint="eastAsia" w:ascii="宋体" w:hAnsi="宋体" w:eastAsia="宋体" w:cs="宋体"/>
          <w:b/>
          <w:bCs/>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val="0"/>
          <w:sz w:val="24"/>
          <w:szCs w:val="24"/>
          <w:highlight w:val="none"/>
          <w:lang w:eastAsia="zh-CN"/>
        </w:rPr>
      </w:pPr>
      <w:r>
        <w:rPr>
          <w:rFonts w:hint="eastAsia" w:ascii="宋体" w:hAnsi="宋体" w:cs="宋体"/>
          <w:color w:val="auto"/>
          <w:sz w:val="24"/>
          <w:szCs w:val="24"/>
          <w:highlight w:val="none"/>
        </w:rPr>
        <w:t xml:space="preserve">②体系认证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投标供应商具备有效期内的质量管理体系认证证书、环境管理体系认证证书、职业健康安全管理体系认证证书的，每提供一项得</w:t>
      </w:r>
      <w:r>
        <w:rPr>
          <w:rFonts w:hint="eastAsia" w:ascii="宋体" w:hAnsi="宋体" w:cs="宋体"/>
          <w:b w:val="0"/>
          <w:bCs w:val="0"/>
          <w:color w:val="auto"/>
          <w:sz w:val="24"/>
          <w:szCs w:val="24"/>
          <w:highlight w:val="none"/>
        </w:rPr>
        <w:t xml:space="preserve">1分，最高得3分。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投标文件中提供证书原件扫描件及证书在国家认监委官方网站http://www.cnca.gov.cn/查验截图并加盖公章或签电子公章，</w:t>
      </w:r>
      <w:r>
        <w:rPr>
          <w:rFonts w:hint="eastAsia" w:ascii="宋体" w:hAnsi="宋体" w:eastAsia="宋体" w:cs="宋体"/>
          <w:b/>
          <w:bCs/>
          <w:color w:val="auto"/>
          <w:sz w:val="24"/>
          <w:szCs w:val="24"/>
          <w:highlight w:val="none"/>
        </w:rPr>
        <w:t xml:space="preserve">未提供相关资料或资料不全不得分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b/>
          <w:bCs w:val="0"/>
          <w:color w:val="auto"/>
          <w:sz w:val="24"/>
          <w:szCs w:val="24"/>
          <w:highlight w:val="none"/>
          <w:lang w:eastAsia="zh-CN"/>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荣誉（</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rFonts w:hint="eastAsia" w:ascii="宋体" w:hAnsi="宋体" w:cs="宋体"/>
          <w:bCs/>
          <w:sz w:val="24"/>
          <w:szCs w:val="24"/>
        </w:rPr>
        <w:t xml:space="preserve">投标人自2021年1月1日（含）以来承担过的物业管理项目获得</w:t>
      </w:r>
      <w:r>
        <w:rPr>
          <w:rFonts w:ascii="宋体" w:hAnsi="宋体" w:cs="宋体"/>
          <w:bCs/>
          <w:sz w:val="24"/>
          <w:szCs w:val="24"/>
        </w:rPr>
        <w:t xml:space="preserve">过行政主管部门颁发的</w:t>
      </w:r>
      <w:r>
        <w:rPr>
          <w:rFonts w:ascii="宋体" w:hAnsi="宋体" w:eastAsia="宋体" w:cs="宋体"/>
          <w:bCs/>
          <w:sz w:val="24"/>
          <w:szCs w:val="24"/>
          <w:highlight w:val="none"/>
        </w:rPr>
        <w:t xml:space="preserve">荣誉的</w:t>
      </w:r>
      <w:r>
        <w:rPr>
          <w:rFonts w:hint="eastAsia" w:ascii="宋体" w:hAnsi="宋体" w:eastAsia="宋体" w:cs="宋体"/>
          <w:bCs/>
          <w:color w:val="auto"/>
          <w:sz w:val="24"/>
          <w:szCs w:val="24"/>
          <w:highlight w:val="none"/>
        </w:rPr>
        <w:t xml:space="preserve">，每提供一项得1分；本项最高得3分。</w:t>
      </w:r>
      <w:r>
        <w:rPr>
          <w:rFonts w:hint="eastAsia" w:ascii="宋体" w:hAnsi="宋体" w:eastAsia="宋体" w:cs="宋体"/>
          <w:b/>
          <w:bCs w:val="0"/>
          <w:color w:val="auto"/>
          <w:sz w:val="24"/>
          <w:szCs w:val="24"/>
          <w:highlight w:val="none"/>
        </w:rPr>
        <w:t xml:space="preserve">（投标文件中需提供相关证明资料扫描件并签电子公章，未提供相关资料或资料不全不得分）</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60" w:lineRule="auto"/>
        <w:widowControl w:val="off"/>
        <w:tabs>
          <w:tab w:val="left" w:pos="1050"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eastAsia="宋体" w:cs="宋体"/>
          <w:color w:val="000000"/>
          <w:sz w:val="24"/>
          <w:szCs w:val="24"/>
          <w:highlight w:val="none"/>
          <w:lang w:eastAsia="zh-CN"/>
        </w:rPr>
        <w:t xml:space="preserve">信息</w:t>
      </w:r>
      <w:r>
        <w:rPr>
          <w:rFonts w:hint="eastAsia" w:ascii="宋体" w:hAnsi="宋体" w:eastAsia="宋体" w:cs="宋体"/>
          <w:color w:val="auto"/>
          <w:sz w:val="24"/>
          <w:szCs w:val="24"/>
          <w:highlight w:val="none"/>
          <w:lang w:eastAsia="zh-CN"/>
        </w:rPr>
        <w:t xml:space="preserve">化管理（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000000"/>
          <w:sz w:val="24"/>
          <w:szCs w:val="24"/>
          <w:highlight w:val="none"/>
          <w:lang w:eastAsia="zh-CN"/>
        </w:rPr>
        <w:t xml:space="preserve">：投标人使用物业管理信息化系统软件管理方式的得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b/>
          <w:bCs w:val="0"/>
          <w:color w:val="auto"/>
          <w:sz w:val="24"/>
          <w:szCs w:val="24"/>
          <w:highlight w:val="none"/>
          <w:lang w:eastAsia="zh-CN"/>
        </w:rPr>
        <w:t xml:space="preserve">（投标文件中需提供所用物业管理信息化系统软件的采购合同及发票原件扫描件并签电子公章，如是自主开发的软件则需提供软件著作权登记证书原件扫描件并签电子公章，未提供相关资料或资料不全不得分）</w:t>
      </w:r>
      <w:r>
        <w:rPr>
          <w:rFonts w:hint="eastAsia" w:ascii="宋体" w:hAnsi="宋体" w:eastAsia="宋体" w:cs="宋体"/>
          <w:b w:val="0"/>
          <w:bCs/>
          <w:color w:val="auto"/>
          <w:sz w:val="24"/>
          <w:szCs w:val="24"/>
          <w:highlight w:val="none"/>
          <w:lang w:eastAsia="zh-CN"/>
        </w:rPr>
        <w:t xml:space="preserve">。</w:t>
      </w:r>
      <w:r/>
    </w:p>
    <w:p>
      <w:pPr>
        <w:ind w:firstLine="482"/>
        <w:keepLines w:val="0"/>
        <w:keepNext w:val="0"/>
        <w:pageBreakBefore w:val="0"/>
        <w:spacing w:line="360" w:lineRule="auto"/>
        <w:widowControl w:val="off"/>
        <w:tabs>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（2）人员配置</w:t>
      </w:r>
      <w:r>
        <w:rPr>
          <w:rFonts w:hint="eastAsia" w:ascii="宋体" w:hAnsi="宋体" w:cs="宋体"/>
          <w:b/>
          <w:bCs/>
          <w:color w:val="auto"/>
          <w:sz w:val="24"/>
          <w:szCs w:val="24"/>
          <w:highlight w:val="none"/>
          <w:lang w:val="en-US" w:eastAsia="zh-CN"/>
        </w:rPr>
        <w:t xml:space="preserve">情况</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s>
        <w:rPr>
          <w:rFonts w:hint="eastAsia" w:ascii="宋体" w:hAnsi="宋体" w:eastAsia="宋体" w:cs="宋体"/>
          <w:sz w:val="24"/>
          <w:szCs w:val="24"/>
          <w:highlight w:val="none"/>
          <w:lang w:eastAsia="zh-CN"/>
        </w:rPr>
        <w:outlineLvl w:val="0"/>
      </w:pPr>
      <w:r>
        <w:rPr>
          <w:rFonts w:hint="eastAsia" w:ascii="宋体" w:hAnsi="宋体" w:eastAsia="宋体" w:cs="宋体"/>
          <w:bCs/>
          <w:color w:val="auto"/>
          <w:sz w:val="24"/>
          <w:szCs w:val="20"/>
          <w:highlight w:val="none"/>
        </w:rPr>
        <w:t xml:space="preserve">在满足招标文件中</w:t>
      </w:r>
      <w:r>
        <w:rPr>
          <w:rFonts w:hint="eastAsia" w:ascii="宋体" w:hAnsi="宋体" w:eastAsia="宋体" w:cs="宋体"/>
          <w:bCs/>
          <w:color w:val="auto"/>
          <w:sz w:val="24"/>
          <w:szCs w:val="20"/>
          <w:highlight w:val="none"/>
          <w:lang w:val="en-US" w:eastAsia="zh-CN"/>
        </w:rPr>
        <w:t xml:space="preserve">第三章采购需求</w:t>
      </w:r>
      <w:r>
        <w:rPr>
          <w:rFonts w:hint="eastAsia" w:ascii="宋体" w:hAnsi="宋体" w:eastAsia="宋体" w:cs="宋体"/>
          <w:bCs/>
          <w:color w:val="auto"/>
          <w:sz w:val="24"/>
          <w:szCs w:val="20"/>
          <w:highlight w:val="none"/>
        </w:rPr>
        <w:t xml:space="preserve">“</w:t>
      </w:r>
      <w:r>
        <w:rPr>
          <w:rFonts w:hint="eastAsia" w:ascii="宋体" w:hAnsi="宋体" w:eastAsia="宋体" w:cs="宋体"/>
          <w:bCs/>
          <w:color w:val="auto"/>
          <w:sz w:val="24"/>
          <w:szCs w:val="20"/>
          <w:highlight w:val="none"/>
          <w:lang w:val="zh-CN"/>
        </w:rPr>
        <w:t xml:space="preserve">人员最低配置表</w:t>
      </w:r>
      <w:r>
        <w:rPr>
          <w:rFonts w:hint="eastAsia" w:ascii="宋体" w:hAnsi="宋体" w:eastAsia="宋体" w:cs="宋体"/>
          <w:bCs/>
          <w:color w:val="auto"/>
          <w:sz w:val="24"/>
          <w:szCs w:val="20"/>
          <w:highlight w:val="none"/>
        </w:rPr>
        <w:t xml:space="preserve">”的基础上</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①项目</w:t>
      </w:r>
      <w:r>
        <w:rPr>
          <w:rFonts w:hint="eastAsia" w:ascii="宋体" w:hAnsi="宋体" w:cs="宋体"/>
          <w:b/>
          <w:bCs/>
          <w:color w:val="auto"/>
          <w:sz w:val="24"/>
          <w:szCs w:val="24"/>
          <w:highlight w:val="none"/>
          <w:lang w:val="en-US" w:eastAsia="zh-CN"/>
        </w:rPr>
        <w:t xml:space="preserve">负责人（5</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p>
      <w:pPr>
        <w:ind w:firstLine="480"/>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投标供应商针对本项目拟派项目负责人具备</w:t>
      </w:r>
      <w:r>
        <w:rPr>
          <w:rFonts w:hint="eastAsia" w:ascii="宋体" w:hAnsi="宋体" w:cs="宋体"/>
          <w:color w:val="000000"/>
          <w:sz w:val="24"/>
          <w:szCs w:val="24"/>
        </w:rPr>
        <w:t xml:space="preserve">大专（含）及以上学历，</w:t>
      </w:r>
      <w:r>
        <w:rPr>
          <w:rFonts w:hint="eastAsia" w:ascii="宋体" w:hAnsi="宋体" w:cs="宋体"/>
          <w:bCs/>
          <w:sz w:val="24"/>
        </w:rPr>
        <w:t xml:space="preserve">具有住建部物业管理师资格证书的</w:t>
      </w:r>
      <w:r>
        <w:rPr>
          <w:rFonts w:hint="eastAsia" w:ascii="宋体" w:hAnsi="宋体" w:cs="宋体"/>
          <w:bCs/>
          <w:color w:val="000000"/>
          <w:sz w:val="24"/>
          <w:szCs w:val="24"/>
        </w:rPr>
        <w:t xml:space="preserve">，得2分；具有</w:t>
      </w:r>
      <w:bookmarkStart w:id="132" w:name="OLE_LINK7"/>
      <w:r/>
      <w:bookmarkStart w:id="133" w:name="OLE_LINK6"/>
      <w:r/>
      <w:bookmarkStart w:id="134" w:name="OLE_LINK5"/>
      <w:r>
        <w:rPr>
          <w:rFonts w:hint="eastAsia" w:ascii="宋体" w:hAnsi="宋体" w:cs="宋体"/>
          <w:bCs/>
          <w:color w:val="000000"/>
          <w:sz w:val="24"/>
          <w:szCs w:val="24"/>
        </w:rPr>
        <w:t xml:space="preserve">消防设施操作员四级（中级工）及以上职业资格证</w:t>
      </w:r>
      <w:bookmarkEnd w:id="132"/>
      <w:r/>
      <w:bookmarkEnd w:id="133"/>
      <w:r/>
      <w:bookmarkEnd w:id="134"/>
      <w:r>
        <w:rPr>
          <w:rFonts w:hint="eastAsia" w:ascii="宋体" w:hAnsi="宋体" w:cs="宋体"/>
          <w:bCs/>
          <w:color w:val="000000"/>
          <w:sz w:val="24"/>
          <w:szCs w:val="24"/>
        </w:rPr>
        <w:t xml:space="preserve">的，得1分；具有三级（高级工）或三级以上智能楼宇管理员职业技能等级证书的，得1分；</w:t>
      </w:r>
      <w:r>
        <w:rPr>
          <w:rFonts w:hint="eastAsia" w:ascii="宋体" w:hAnsi="宋体" w:cs="宋体"/>
          <w:bCs/>
          <w:sz w:val="24"/>
        </w:rPr>
        <w:t xml:space="preserve">具有特种设备安全管理和作业人员证（A）</w:t>
      </w:r>
      <w:r>
        <w:rPr>
          <w:rFonts w:hint="eastAsia" w:ascii="宋体" w:hAnsi="宋体" w:cs="宋体"/>
          <w:bCs/>
          <w:sz w:val="24"/>
          <w:lang w:val="zh-CN"/>
        </w:rPr>
        <w:t xml:space="preserve">证书的</w:t>
      </w:r>
      <w:r>
        <w:rPr>
          <w:rFonts w:hint="eastAsia" w:ascii="宋体" w:hAnsi="宋体" w:cs="宋体"/>
          <w:bCs/>
          <w:sz w:val="24"/>
        </w:rPr>
        <w:t xml:space="preserve">，</w:t>
      </w:r>
      <w:r>
        <w:rPr>
          <w:rFonts w:hint="eastAsia" w:ascii="宋体" w:hAnsi="宋体" w:cs="宋体"/>
          <w:bCs/>
          <w:sz w:val="24"/>
          <w:szCs w:val="24"/>
        </w:rPr>
        <w:t xml:space="preserve">得1分；</w:t>
      </w:r>
      <w:r>
        <w:rPr>
          <w:rFonts w:hint="eastAsia" w:ascii="宋体" w:hAnsi="宋体" w:cs="宋体"/>
          <w:color w:val="000000"/>
          <w:sz w:val="24"/>
          <w:szCs w:val="24"/>
        </w:rPr>
        <w:t xml:space="preserve">本项最高得5分</w:t>
      </w:r>
      <w:r>
        <w:rPr>
          <w:rFonts w:hint="eastAsia" w:ascii="宋体" w:hAnsi="宋体" w:cs="宋体"/>
          <w:sz w:val="24"/>
          <w:szCs w:val="24"/>
        </w:rPr>
        <w:t xml:space="preserve">。</w:t>
      </w:r>
      <w:r>
        <w:rPr>
          <w:rFonts w:hint="eastAsia" w:ascii="宋体" w:hAnsi="宋体" w:cs="宋体"/>
          <w:b/>
          <w:sz w:val="24"/>
          <w:szCs w:val="24"/>
        </w:rPr>
        <w:t xml:space="preserve">（项目负责人须提供有效的身份证复印件、学历证书、住建部</w:t>
      </w:r>
      <w:r>
        <w:rPr>
          <w:rFonts w:hint="eastAsia" w:ascii="宋体" w:hAnsi="宋体" w:cs="宋体"/>
          <w:b/>
          <w:color w:val="000000"/>
          <w:sz w:val="24"/>
        </w:rPr>
        <w:t xml:space="preserve">物业管理师资格证书</w:t>
      </w:r>
      <w:r>
        <w:rPr>
          <w:rFonts w:hint="eastAsia" w:ascii="宋体" w:hAnsi="宋体" w:cs="宋体"/>
          <w:b/>
          <w:sz w:val="24"/>
          <w:szCs w:val="24"/>
        </w:rPr>
        <w:t xml:space="preserve">、消防设施操作员四级（中级工）及以上职业资格证书</w:t>
      </w:r>
      <w:r>
        <w:rPr>
          <w:rFonts w:hint="eastAsia" w:ascii="宋体" w:hAnsi="宋体" w:cs="宋体"/>
          <w:b/>
          <w:color w:val="000000"/>
          <w:sz w:val="24"/>
          <w:szCs w:val="24"/>
        </w:rPr>
        <w:t xml:space="preserve">、三级（高级工）或三级以上智能楼宇管理员职业技能等级证书、</w:t>
      </w:r>
      <w:r>
        <w:rPr>
          <w:rFonts w:hint="eastAsia" w:ascii="宋体" w:hAnsi="宋体" w:cs="宋体"/>
          <w:b/>
          <w:sz w:val="24"/>
        </w:rPr>
        <w:t xml:space="preserve">特种设备安全管理和作业人员证（A）</w:t>
      </w:r>
      <w:r>
        <w:rPr>
          <w:rFonts w:hint="eastAsia" w:ascii="宋体" w:hAnsi="宋体" w:cs="宋体"/>
          <w:b/>
          <w:sz w:val="24"/>
          <w:lang w:val="zh-CN"/>
        </w:rPr>
        <w:t xml:space="preserve">证书</w:t>
      </w:r>
      <w:r>
        <w:rPr>
          <w:rFonts w:hint="eastAsia" w:ascii="宋体" w:hAnsi="宋体" w:cs="宋体"/>
          <w:b/>
          <w:sz w:val="24"/>
          <w:szCs w:val="24"/>
        </w:rPr>
        <w:t xml:space="preserve">、投标人为其缴纳的近3个月中任意一个月</w:t>
      </w:r>
      <w:r>
        <w:rPr>
          <w:rFonts w:hint="eastAsia" w:ascii="宋体" w:hAnsi="宋体" w:cs="宋体"/>
          <w:b/>
          <w:sz w:val="24"/>
        </w:rPr>
        <w:t xml:space="preserve">（</w:t>
      </w:r>
      <w:r>
        <w:rPr>
          <w:rFonts w:hint="eastAsia" w:ascii="宋体" w:hAnsi="宋体" w:cs="宋体"/>
          <w:b/>
          <w:sz w:val="24"/>
          <w:szCs w:val="24"/>
        </w:rPr>
        <w:t xml:space="preserve">不含投标当月</w:t>
      </w:r>
      <w:r>
        <w:rPr>
          <w:rFonts w:hint="eastAsia" w:ascii="宋体" w:hAnsi="宋体" w:cs="宋体"/>
          <w:b/>
          <w:sz w:val="24"/>
        </w:rPr>
        <w:t xml:space="preserve">）</w:t>
      </w:r>
      <w:r>
        <w:rPr>
          <w:rFonts w:hint="eastAsia" w:ascii="宋体" w:hAnsi="宋体" w:cs="宋体"/>
          <w:b/>
          <w:sz w:val="24"/>
          <w:szCs w:val="24"/>
        </w:rPr>
        <w:t xml:space="preserve">的社保缴费证明（可提供带有清晰二维码的官网打印件）的原件扫描件并签章，不提供或提供不全均不得分）</w:t>
      </w:r>
      <w:r>
        <w:rPr>
          <w:rFonts w:hint="eastAsia" w:ascii="宋体" w:hAnsi="宋体" w:eastAsia="宋体" w:cs="宋体"/>
          <w:b w:val="0"/>
          <w:bCs/>
          <w:sz w:val="24"/>
          <w:szCs w:val="24"/>
          <w:highlight w:val="none"/>
          <w:lang w:eastAsia="zh-CN"/>
        </w:rPr>
        <w:t xml:space="preserve">。</w:t>
      </w:r>
      <w:r/>
    </w:p>
    <w:p>
      <w:pPr>
        <w:ind w:firstLine="482"/>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②</w:t>
      </w:r>
      <w:r>
        <w:rPr>
          <w:rFonts w:hint="eastAsia" w:ascii="宋体" w:hAnsi="宋体" w:cs="宋体"/>
          <w:b/>
          <w:bCs/>
          <w:color w:val="auto"/>
          <w:sz w:val="24"/>
          <w:szCs w:val="24"/>
          <w:highlight w:val="none"/>
          <w:lang w:val="en-US" w:eastAsia="zh-CN"/>
        </w:rPr>
        <w:t xml:space="preserve">保安配置</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投标供应商拟派的</w:t>
      </w:r>
      <w:r>
        <w:rPr>
          <w:rFonts w:hint="eastAsia" w:ascii="宋体" w:hAnsi="宋体" w:cs="宋体"/>
          <w:bCs/>
          <w:sz w:val="24"/>
          <w:szCs w:val="24"/>
        </w:rPr>
        <w:t xml:space="preserve">保安队</w:t>
      </w:r>
      <w:r>
        <w:rPr>
          <w:rFonts w:hint="eastAsia" w:ascii="宋体" w:hAnsi="宋体" w:eastAsia="宋体" w:cs="宋体"/>
          <w:sz w:val="24"/>
          <w:szCs w:val="24"/>
        </w:rPr>
        <w:t xml:space="preserve">长具备大专（含）以上学历，</w:t>
      </w:r>
      <w:r>
        <w:rPr>
          <w:rFonts w:hint="eastAsia" w:ascii="宋体" w:hAnsi="宋体" w:eastAsia="宋体" w:cs="宋体"/>
          <w:sz w:val="24"/>
          <w:szCs w:val="24"/>
          <w:lang w:val="en-US" w:eastAsia="zh-CN"/>
        </w:rPr>
        <w:t xml:space="preserve">且</w:t>
      </w:r>
      <w:r>
        <w:rPr>
          <w:rFonts w:hint="eastAsia" w:ascii="宋体" w:hAnsi="宋体" w:eastAsia="宋体" w:cs="宋体"/>
          <w:sz w:val="24"/>
          <w:szCs w:val="24"/>
        </w:rPr>
        <w:t xml:space="preserve">具有退伍证的，得1分；</w:t>
      </w:r>
      <w:bookmarkStart w:id="135" w:name="OLE_LINK10"/>
      <w:r>
        <w:rPr>
          <w:rFonts w:hint="eastAsia" w:ascii="宋体" w:hAnsi="宋体" w:eastAsia="宋体" w:cs="宋体"/>
          <w:sz w:val="24"/>
          <w:szCs w:val="24"/>
          <w:lang w:val="en-US" w:eastAsia="zh-CN"/>
        </w:rPr>
        <w:t xml:space="preserve">具有全国物业管理项目经理岗位技能证书</w:t>
      </w:r>
      <w:r>
        <w:rPr>
          <w:rFonts w:hint="eastAsia" w:ascii="宋体" w:hAnsi="宋体" w:eastAsia="宋体" w:cs="宋体"/>
          <w:sz w:val="24"/>
          <w:szCs w:val="24"/>
        </w:rPr>
        <w:t xml:space="preserve">，得1分</w:t>
      </w:r>
      <w:bookmarkEnd w:id="135"/>
      <w:r>
        <w:rPr>
          <w:rFonts w:hint="eastAsia" w:ascii="宋体" w:hAnsi="宋体" w:eastAsia="宋体" w:cs="宋体"/>
          <w:sz w:val="24"/>
          <w:szCs w:val="24"/>
        </w:rPr>
        <w:t xml:space="preserve">，具</w:t>
      </w:r>
      <w:r>
        <w:rPr>
          <w:rFonts w:hint="eastAsia" w:ascii="宋体" w:hAnsi="宋体" w:cs="宋体"/>
          <w:bCs/>
          <w:sz w:val="24"/>
          <w:szCs w:val="24"/>
        </w:rPr>
        <w:t xml:space="preserve">有</w:t>
      </w:r>
      <w:r>
        <w:rPr>
          <w:rFonts w:hint="eastAsia" w:ascii="宋体" w:hAnsi="宋体" w:cs="宋体"/>
          <w:bCs/>
          <w:sz w:val="24"/>
        </w:rPr>
        <w:t xml:space="preserve">特种设备安全管理和作业人员证（A）</w:t>
      </w:r>
      <w:r>
        <w:rPr>
          <w:rFonts w:hint="eastAsia" w:ascii="宋体" w:hAnsi="宋体" w:cs="宋体"/>
          <w:bCs/>
          <w:sz w:val="24"/>
          <w:lang w:val="zh-CN"/>
        </w:rPr>
        <w:t xml:space="preserve">证书</w:t>
      </w:r>
      <w:r>
        <w:rPr>
          <w:rFonts w:hint="eastAsia" w:ascii="宋体" w:hAnsi="宋体" w:cs="宋体"/>
          <w:bCs/>
          <w:sz w:val="24"/>
        </w:rPr>
        <w:t xml:space="preserve">，</w:t>
      </w:r>
      <w:r>
        <w:rPr>
          <w:rFonts w:hint="eastAsia" w:ascii="宋体" w:hAnsi="宋体" w:cs="宋体"/>
          <w:bCs/>
          <w:sz w:val="24"/>
          <w:szCs w:val="24"/>
        </w:rPr>
        <w:t xml:space="preserve">得1分；其余保安人员</w:t>
      </w:r>
      <w:r>
        <w:rPr>
          <w:rFonts w:hint="eastAsia" w:ascii="宋体" w:hAnsi="宋体" w:cs="宋体"/>
          <w:sz w:val="24"/>
          <w:szCs w:val="24"/>
        </w:rPr>
        <w:t xml:space="preserve">具有</w:t>
      </w:r>
      <w:r>
        <w:rPr>
          <w:rFonts w:hint="eastAsia" w:ascii="宋体" w:hAnsi="宋体" w:cs="宋体"/>
          <w:sz w:val="24"/>
        </w:rPr>
        <w:t xml:space="preserve">建（构）筑物消防员证（四级）或消防设施操作员证（四级）的，</w:t>
      </w:r>
      <w:r>
        <w:rPr>
          <w:rFonts w:hint="eastAsia" w:ascii="宋体" w:hAnsi="宋体" w:cs="宋体"/>
          <w:sz w:val="24"/>
          <w:szCs w:val="24"/>
        </w:rPr>
        <w:t xml:space="preserve">有一个得1分，最多得2分；</w:t>
      </w:r>
      <w:r>
        <w:rPr>
          <w:rFonts w:hint="eastAsia" w:ascii="宋体" w:hAnsi="宋体" w:cs="宋体"/>
          <w:color w:val="000000"/>
          <w:sz w:val="24"/>
          <w:szCs w:val="24"/>
        </w:rPr>
        <w:t xml:space="preserve">本项最高得5分。</w:t>
      </w:r>
      <w:r>
        <w:rPr>
          <w:rFonts w:hint="eastAsia" w:ascii="宋体" w:hAnsi="宋体" w:cs="宋体"/>
          <w:b/>
          <w:bCs/>
          <w:sz w:val="24"/>
          <w:szCs w:val="24"/>
        </w:rPr>
        <w:t xml:space="preserve">（保安队长须提供有效的身份证复印件、学历证书、部队退伍证、</w:t>
      </w:r>
      <w:r>
        <w:rPr>
          <w:rFonts w:hint="eastAsia" w:ascii="宋体" w:hAnsi="宋体" w:cs="宋体"/>
          <w:b/>
          <w:bCs w:val="0"/>
          <w:sz w:val="24"/>
          <w:szCs w:val="24"/>
          <w:lang w:val="en-US" w:eastAsia="zh-CN"/>
        </w:rPr>
        <w:t xml:space="preserve">保安员证</w:t>
      </w:r>
      <w:r>
        <w:rPr>
          <w:rFonts w:hint="eastAsia" w:ascii="宋体" w:hAnsi="宋体" w:cs="宋体"/>
          <w:b/>
          <w:sz w:val="24"/>
          <w:szCs w:val="24"/>
        </w:rPr>
        <w:t xml:space="preserve">、</w:t>
      </w:r>
      <w:r>
        <w:rPr>
          <w:rFonts w:hint="eastAsia" w:ascii="宋体" w:hAnsi="宋体" w:cs="宋体"/>
          <w:b/>
          <w:sz w:val="24"/>
        </w:rPr>
        <w:t xml:space="preserve">特种设备安全管理和作业人员证（A）</w:t>
      </w:r>
      <w:r>
        <w:rPr>
          <w:rFonts w:hint="eastAsia" w:ascii="宋体" w:hAnsi="宋体" w:cs="宋体"/>
          <w:b/>
          <w:sz w:val="24"/>
          <w:lang w:val="zh-CN"/>
        </w:rPr>
        <w:t xml:space="preserve">证书</w:t>
      </w:r>
      <w:r>
        <w:rPr>
          <w:rFonts w:hint="eastAsia" w:ascii="宋体" w:hAnsi="宋体" w:cs="宋体"/>
          <w:b/>
          <w:sz w:val="24"/>
        </w:rPr>
        <w:t xml:space="preserve">、</w:t>
      </w:r>
      <w:r>
        <w:rPr>
          <w:rFonts w:hint="eastAsia" w:ascii="宋体" w:hAnsi="宋体" w:cs="宋体"/>
          <w:b/>
          <w:bCs/>
          <w:sz w:val="24"/>
          <w:szCs w:val="24"/>
        </w:rPr>
        <w:t xml:space="preserve">其余保安人员提</w:t>
      </w:r>
      <w:r>
        <w:rPr>
          <w:rFonts w:hint="eastAsia" w:ascii="宋体" w:hAnsi="宋体" w:cs="宋体"/>
          <w:b/>
          <w:bCs/>
          <w:color w:val="000000"/>
          <w:sz w:val="24"/>
          <w:szCs w:val="24"/>
        </w:rPr>
        <w:t xml:space="preserve">供建（构）筑物消防员证（四级）或消防设施操作员证（四级）</w:t>
      </w:r>
      <w:r>
        <w:rPr>
          <w:rFonts w:hint="eastAsia" w:ascii="宋体" w:hAnsi="宋体" w:cs="宋体"/>
          <w:b/>
          <w:color w:val="000000"/>
          <w:sz w:val="24"/>
        </w:rPr>
        <w:t xml:space="preserve">的</w:t>
      </w:r>
      <w:r>
        <w:rPr>
          <w:rFonts w:hint="eastAsia" w:ascii="宋体" w:hAnsi="宋体" w:cs="宋体"/>
          <w:b/>
          <w:bCs/>
          <w:sz w:val="24"/>
          <w:szCs w:val="24"/>
        </w:rPr>
        <w:t xml:space="preserve">；上述所有人员须提供</w:t>
      </w:r>
      <w:r>
        <w:rPr>
          <w:rFonts w:hint="eastAsia" w:ascii="宋体" w:hAnsi="宋体" w:cs="宋体"/>
          <w:b/>
          <w:sz w:val="24"/>
          <w:szCs w:val="24"/>
        </w:rPr>
        <w:t xml:space="preserve">投标人为其缴纳的近3个月中任意一个月</w:t>
      </w:r>
      <w:r>
        <w:rPr>
          <w:rFonts w:hint="eastAsia" w:ascii="宋体" w:hAnsi="宋体" w:cs="宋体"/>
          <w:b/>
          <w:sz w:val="24"/>
        </w:rPr>
        <w:t xml:space="preserve">（</w:t>
      </w:r>
      <w:r>
        <w:rPr>
          <w:rFonts w:hint="eastAsia" w:ascii="宋体" w:hAnsi="宋体" w:cs="宋体"/>
          <w:b/>
          <w:sz w:val="24"/>
          <w:szCs w:val="24"/>
        </w:rPr>
        <w:t xml:space="preserve">不含投标当月</w:t>
      </w:r>
      <w:r>
        <w:rPr>
          <w:rFonts w:hint="eastAsia" w:ascii="宋体" w:hAnsi="宋体" w:cs="宋体"/>
          <w:b/>
          <w:sz w:val="24"/>
        </w:rPr>
        <w:t xml:space="preserve">）</w:t>
      </w:r>
      <w:r>
        <w:rPr>
          <w:rFonts w:hint="eastAsia" w:ascii="宋体" w:hAnsi="宋体" w:cs="宋体"/>
          <w:b/>
          <w:sz w:val="24"/>
          <w:szCs w:val="24"/>
        </w:rPr>
        <w:t xml:space="preserve">的社保缴费证明（可提供带有清晰二维码的官网打印件）的原件扫描件并签章，不提供或提供不全均不得分</w:t>
      </w:r>
      <w:r>
        <w:rPr>
          <w:rFonts w:hint="eastAsia" w:ascii="宋体" w:hAnsi="宋体" w:cs="宋体"/>
          <w:b/>
          <w:bCs/>
          <w:sz w:val="24"/>
          <w:szCs w:val="24"/>
        </w:rPr>
        <w:t xml:space="preserve">）</w:t>
      </w:r>
      <w:r>
        <w:rPr>
          <w:rFonts w:hint="eastAsia" w:ascii="宋体" w:hAnsi="宋体" w:eastAsia="宋体" w:cs="宋体"/>
          <w:b w:val="0"/>
          <w:bCs/>
          <w:sz w:val="24"/>
          <w:szCs w:val="24"/>
          <w:highlight w:val="none"/>
          <w:lang w:eastAsia="zh-CN"/>
        </w:rPr>
        <w:t xml:space="preserve">。</w:t>
      </w:r>
      <w:r/>
    </w:p>
    <w:p>
      <w:pPr>
        <w:ind w:firstLine="482"/>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w:t>
      </w:r>
      <w:r>
        <w:rPr>
          <w:rFonts w:hint="eastAsia" w:ascii="宋体" w:hAnsi="宋体" w:cs="宋体"/>
          <w:b/>
          <w:bCs/>
          <w:color w:val="auto"/>
          <w:sz w:val="24"/>
          <w:szCs w:val="24"/>
          <w:highlight w:val="none"/>
          <w:lang w:val="en-US" w:eastAsia="zh-CN"/>
        </w:rPr>
        <w:t xml:space="preserve">保洁配置</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rPr>
        <w:t xml:space="preserve">投标供应商拟派的保洁主管具有大专（含）以上学历，持有清洁管理师（中级及以上）证书的得1分；具有</w:t>
      </w:r>
      <w:r>
        <w:rPr>
          <w:rFonts w:hint="eastAsia" w:ascii="宋体" w:hAnsi="宋体" w:eastAsia="宋体" w:cs="宋体"/>
          <w:bCs/>
          <w:color w:val="auto"/>
          <w:sz w:val="24"/>
          <w:highlight w:val="none"/>
          <w:lang w:val="en-US" w:eastAsia="zh-CN"/>
        </w:rPr>
        <w:t xml:space="preserve">园林绿化工</w:t>
      </w:r>
      <w:r>
        <w:rPr>
          <w:rFonts w:hint="eastAsia" w:ascii="宋体" w:hAnsi="宋体" w:eastAsia="宋体" w:cs="宋体"/>
          <w:bCs/>
          <w:color w:val="auto"/>
          <w:sz w:val="24"/>
          <w:highlight w:val="none"/>
          <w:lang w:val="zh-CN" w:eastAsia="zh-CN"/>
        </w:rPr>
        <w:t xml:space="preserve">职业技能等级证</w:t>
      </w:r>
      <w:r>
        <w:rPr>
          <w:rFonts w:hint="eastAsia" w:ascii="宋体" w:hAnsi="宋体" w:cs="宋体"/>
          <w:bCs/>
          <w:color w:val="auto"/>
          <w:sz w:val="24"/>
          <w:highlight w:val="none"/>
          <w:lang w:val="en-US" w:eastAsia="zh-CN"/>
        </w:rPr>
        <w:t xml:space="preserve">书（三级/高级工及以上）</w:t>
      </w:r>
      <w:r>
        <w:rPr>
          <w:rFonts w:hint="eastAsia" w:ascii="宋体" w:hAnsi="宋体" w:cs="宋体"/>
          <w:bCs/>
          <w:sz w:val="24"/>
        </w:rPr>
        <w:t xml:space="preserve">的，得1分；本项最高得2分</w:t>
      </w:r>
      <w:bookmarkStart w:id="136" w:name="_Toc9961"/>
      <w:r>
        <w:rPr>
          <w:rFonts w:hint="eastAsia" w:ascii="宋体" w:hAnsi="宋体" w:cs="宋体"/>
          <w:bCs/>
          <w:sz w:val="24"/>
        </w:rPr>
        <w:t xml:space="preserve">。</w:t>
      </w:r>
      <w:r>
        <w:rPr>
          <w:rFonts w:hint="eastAsia" w:ascii="宋体" w:hAnsi="宋体" w:cs="宋体"/>
          <w:b/>
          <w:sz w:val="24"/>
        </w:rPr>
        <w:t xml:space="preserve">（保洁主管须提供有效的学历证书、清洁管理师（中级及以上）证书、</w:t>
      </w:r>
      <w:r>
        <w:rPr>
          <w:rFonts w:hint="eastAsia" w:ascii="宋体" w:hAnsi="宋体" w:eastAsia="宋体" w:cs="宋体"/>
          <w:b/>
          <w:bCs w:val="0"/>
          <w:color w:val="auto"/>
          <w:sz w:val="24"/>
          <w:highlight w:val="none"/>
          <w:lang w:val="en-US" w:eastAsia="zh-CN"/>
        </w:rPr>
        <w:t xml:space="preserve">园林绿化工</w:t>
      </w:r>
      <w:r>
        <w:rPr>
          <w:rFonts w:hint="eastAsia" w:ascii="宋体" w:hAnsi="宋体" w:eastAsia="宋体" w:cs="宋体"/>
          <w:b/>
          <w:bCs w:val="0"/>
          <w:color w:val="auto"/>
          <w:sz w:val="24"/>
          <w:highlight w:val="none"/>
          <w:lang w:val="zh-CN" w:eastAsia="zh-CN"/>
        </w:rPr>
        <w:t xml:space="preserve">职业技能等级证</w:t>
      </w:r>
      <w:r>
        <w:rPr>
          <w:rFonts w:hint="eastAsia" w:ascii="宋体" w:hAnsi="宋体" w:cs="宋体"/>
          <w:b/>
          <w:bCs w:val="0"/>
          <w:color w:val="auto"/>
          <w:sz w:val="24"/>
          <w:highlight w:val="none"/>
          <w:lang w:val="en-US" w:eastAsia="zh-CN"/>
        </w:rPr>
        <w:t xml:space="preserve">书（三级/高级工及以上）</w:t>
      </w:r>
      <w:r>
        <w:rPr>
          <w:rFonts w:hint="eastAsia" w:ascii="宋体" w:hAnsi="宋体" w:cs="宋体"/>
          <w:b/>
          <w:sz w:val="24"/>
        </w:rPr>
        <w:t xml:space="preserve">；</w:t>
      </w:r>
      <w:bookmarkEnd w:id="136"/>
      <w:r>
        <w:rPr>
          <w:rFonts w:hint="eastAsia" w:ascii="宋体" w:hAnsi="宋体" w:cs="宋体"/>
          <w:b/>
          <w:bCs/>
          <w:sz w:val="24"/>
          <w:szCs w:val="24"/>
        </w:rPr>
        <w:t xml:space="preserve">同时须提供</w:t>
      </w:r>
      <w:r>
        <w:rPr>
          <w:rFonts w:hint="eastAsia" w:ascii="宋体" w:hAnsi="宋体" w:cs="宋体"/>
          <w:b/>
          <w:sz w:val="24"/>
          <w:szCs w:val="24"/>
        </w:rPr>
        <w:t xml:space="preserve">投标人为其缴纳的近3个月中任意一</w:t>
      </w:r>
      <w:r>
        <w:rPr>
          <w:rFonts w:hint="eastAsia" w:ascii="宋体" w:hAnsi="宋体" w:cs="宋体"/>
          <w:b/>
          <w:color w:val="auto"/>
          <w:sz w:val="24"/>
          <w:szCs w:val="24"/>
        </w:rPr>
        <w:t xml:space="preserve">个月</w:t>
      </w:r>
      <w:r>
        <w:rPr>
          <w:rFonts w:hint="eastAsia" w:ascii="宋体" w:hAnsi="宋体" w:cs="宋体"/>
          <w:b/>
          <w:color w:val="auto"/>
          <w:sz w:val="24"/>
        </w:rPr>
        <w:t xml:space="preserve">（</w:t>
      </w:r>
      <w:r>
        <w:rPr>
          <w:rFonts w:hint="eastAsia" w:ascii="宋体" w:hAnsi="宋体" w:cs="宋体"/>
          <w:b/>
          <w:color w:val="auto"/>
          <w:sz w:val="24"/>
          <w:szCs w:val="24"/>
        </w:rPr>
        <w:t xml:space="preserve">不含投标当月</w:t>
      </w:r>
      <w:r>
        <w:rPr>
          <w:rFonts w:hint="eastAsia" w:ascii="宋体" w:hAnsi="宋体" w:cs="宋体"/>
          <w:b/>
          <w:color w:val="auto"/>
          <w:sz w:val="24"/>
        </w:rPr>
        <w:t xml:space="preserve">）</w:t>
      </w:r>
      <w:r>
        <w:rPr>
          <w:rFonts w:hint="eastAsia" w:ascii="宋体" w:hAnsi="宋体" w:cs="宋体"/>
          <w:b/>
          <w:color w:val="auto"/>
          <w:sz w:val="24"/>
          <w:szCs w:val="24"/>
        </w:rPr>
        <w:t xml:space="preserve">的社保缴费证明（可提供带有清晰二维码的官网打印件）的原件扫描件并签章，不提供或提供不全均不得分</w:t>
      </w:r>
      <w:r>
        <w:rPr>
          <w:rFonts w:hint="eastAsia" w:ascii="宋体" w:hAnsi="宋体" w:cs="宋体"/>
          <w:b/>
          <w:color w:val="auto"/>
          <w:sz w:val="24"/>
        </w:rPr>
        <w:t xml:space="preserve">）</w:t>
      </w:r>
      <w:r>
        <w:rPr>
          <w:rFonts w:hint="eastAsia" w:ascii="宋体" w:hAnsi="宋体" w:eastAsia="宋体" w:cs="宋体"/>
          <w:b w:val="0"/>
          <w:bCs/>
          <w:color w:val="auto"/>
          <w:sz w:val="24"/>
          <w:szCs w:val="24"/>
          <w:highlight w:val="none"/>
          <w:lang w:eastAsia="zh-CN"/>
        </w:rPr>
        <w:t xml:space="preserve">。</w:t>
      </w:r>
      <w:r/>
    </w:p>
    <w:p>
      <w:pPr>
        <w:ind w:firstLine="482"/>
        <w:keepLines w:val="0"/>
        <w:keepNext w:val="0"/>
        <w:pageBreakBefore w:val="0"/>
        <w:spacing w:line="360" w:lineRule="auto"/>
        <w:widowControl w:val="off"/>
        <w:tabs>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④</w:t>
      </w:r>
      <w:r>
        <w:rPr>
          <w:rFonts w:hint="eastAsia" w:ascii="宋体" w:hAnsi="宋体" w:cs="宋体"/>
          <w:b/>
          <w:bCs/>
          <w:color w:val="auto"/>
          <w:sz w:val="24"/>
          <w:szCs w:val="24"/>
          <w:highlight w:val="none"/>
          <w:lang w:val="en-US" w:eastAsia="zh-CN"/>
        </w:rPr>
        <w:t xml:space="preserve">维修人员配置</w:t>
      </w:r>
      <w:r>
        <w:rPr>
          <w:rFonts w:hint="eastAsia" w:ascii="宋体" w:hAnsi="宋体" w:eastAsia="宋体" w:cs="宋体"/>
          <w:b/>
          <w:bCs/>
          <w:color w:val="auto"/>
          <w:sz w:val="24"/>
          <w:szCs w:val="24"/>
          <w:highlight w:val="none"/>
        </w:rPr>
        <w:t xml:space="preserve">（2分）</w:t>
      </w:r>
      <w:r/>
    </w:p>
    <w:p>
      <w:pPr>
        <w:ind w:firstLine="480"/>
        <w:spacing w:line="360" w:lineRule="auto"/>
        <w:rPr>
          <w:rFonts w:hint="eastAsia" w:ascii="宋体" w:hAnsi="宋体" w:eastAsia="宋体" w:cs="宋体"/>
          <w:b/>
          <w:color w:val="auto"/>
          <w:sz w:val="24"/>
          <w:lang w:eastAsia="zh-CN"/>
        </w:rPr>
      </w:pPr>
      <w:r>
        <w:rPr>
          <w:rFonts w:hint="eastAsia" w:ascii="宋体" w:hAnsi="宋体" w:eastAsia="宋体" w:cs="宋体"/>
          <w:bCs/>
          <w:color w:val="auto"/>
          <w:sz w:val="24"/>
          <w:highlight w:val="none"/>
          <w:lang w:val="zh-CN" w:eastAsia="zh-CN"/>
        </w:rPr>
        <w:t xml:space="preserve">投标</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lang w:val="zh-CN" w:eastAsia="zh-CN"/>
        </w:rPr>
        <w:t xml:space="preserve">拟派</w:t>
      </w:r>
      <w:r>
        <w:rPr>
          <w:rFonts w:hint="eastAsia" w:ascii="宋体" w:hAnsi="宋体" w:eastAsia="宋体" w:cs="宋体"/>
          <w:bCs/>
          <w:color w:val="auto"/>
          <w:sz w:val="24"/>
          <w:highlight w:val="none"/>
          <w:lang w:val="en-US" w:eastAsia="zh-CN"/>
        </w:rPr>
        <w:t xml:space="preserve">的工程维修人员</w:t>
      </w:r>
      <w:r>
        <w:rPr>
          <w:rFonts w:hint="eastAsia" w:ascii="宋体" w:hAnsi="宋体" w:eastAsia="宋体" w:cs="宋体"/>
          <w:bCs/>
          <w:color w:val="auto"/>
          <w:sz w:val="24"/>
          <w:highlight w:val="none"/>
          <w:lang w:val="zh-CN" w:eastAsia="zh-CN"/>
        </w:rPr>
        <w:t xml:space="preserve">具有</w:t>
      </w:r>
      <w:r>
        <w:rPr>
          <w:rFonts w:hint="eastAsia" w:ascii="宋体" w:hAnsi="宋体" w:cs="宋体"/>
          <w:bCs/>
          <w:color w:val="auto"/>
          <w:sz w:val="24"/>
        </w:rPr>
        <w:t xml:space="preserve">特种设备安全管理和作业人员证（A）</w:t>
      </w:r>
      <w:r>
        <w:rPr>
          <w:rFonts w:hint="eastAsia" w:ascii="宋体" w:hAnsi="宋体" w:cs="宋体"/>
          <w:bCs/>
          <w:color w:val="auto"/>
          <w:sz w:val="24"/>
          <w:lang w:val="zh-CN"/>
        </w:rPr>
        <w:t xml:space="preserve">证书</w:t>
      </w:r>
      <w:r>
        <w:rPr>
          <w:rFonts w:hint="eastAsia" w:ascii="宋体" w:hAnsi="宋体" w:eastAsia="宋体" w:cs="宋体"/>
          <w:bCs/>
          <w:color w:val="auto"/>
          <w:sz w:val="24"/>
          <w:highlight w:val="none"/>
          <w:lang w:val="zh-CN" w:eastAsia="zh-CN"/>
        </w:rPr>
        <w:t xml:space="preserve">，</w:t>
      </w:r>
      <w:r>
        <w:rPr>
          <w:rFonts w:hint="eastAsia" w:ascii="宋体" w:hAnsi="宋体" w:cs="宋体"/>
          <w:color w:val="auto"/>
          <w:sz w:val="24"/>
          <w:szCs w:val="24"/>
        </w:rPr>
        <w:t xml:space="preserve">具有</w:t>
      </w:r>
      <w:r>
        <w:rPr>
          <w:rFonts w:hint="eastAsia" w:ascii="宋体" w:hAnsi="宋体" w:cs="宋体"/>
          <w:color w:val="auto"/>
          <w:sz w:val="24"/>
        </w:rPr>
        <w:t xml:space="preserve">建（构）筑物消防员证（四级）或消防设施操作员证（四级）的</w:t>
      </w:r>
      <w:r>
        <w:rPr>
          <w:rFonts w:hint="eastAsia" w:ascii="宋体" w:hAnsi="宋体" w:cs="宋体"/>
          <w:color w:val="auto"/>
          <w:sz w:val="24"/>
          <w:lang w:val="en-US" w:eastAsia="zh-CN"/>
        </w:rPr>
        <w:t xml:space="preserve">得1分，本项</w:t>
      </w:r>
      <w:r>
        <w:rPr>
          <w:rFonts w:hint="eastAsia" w:ascii="宋体" w:hAnsi="宋体" w:eastAsia="宋体" w:cs="宋体"/>
          <w:bCs/>
          <w:color w:val="auto"/>
          <w:sz w:val="24"/>
          <w:highlight w:val="none"/>
          <w:lang w:val="zh-CN" w:eastAsia="zh-CN"/>
        </w:rPr>
        <w:t xml:space="preserve">最高</w:t>
      </w:r>
      <w:r>
        <w:rPr>
          <w:rFonts w:hint="eastAsia" w:ascii="宋体" w:hAnsi="宋体" w:eastAsia="宋体" w:cs="宋体"/>
          <w:b w:val="0"/>
          <w:bCs/>
          <w:color w:val="auto"/>
          <w:sz w:val="24"/>
          <w:highlight w:val="none"/>
          <w:lang w:val="zh-CN" w:eastAsia="zh-CN"/>
        </w:rPr>
        <w:t xml:space="preserve">得2分</w:t>
      </w:r>
      <w:r>
        <w:rPr>
          <w:rFonts w:hint="eastAsia" w:ascii="宋体" w:hAnsi="宋体" w:eastAsia="宋体" w:cs="宋体"/>
          <w:b/>
          <w:bCs w:val="0"/>
          <w:color w:val="auto"/>
          <w:sz w:val="24"/>
          <w:highlight w:val="none"/>
          <w:lang w:val="en-US" w:eastAsia="zh-CN"/>
        </w:rPr>
        <w:t xml:space="preserve">（</w:t>
      </w:r>
      <w:r>
        <w:rPr>
          <w:rFonts w:hint="eastAsia" w:ascii="宋体" w:hAnsi="宋体" w:eastAsia="宋体" w:cs="宋体"/>
          <w:b/>
          <w:bCs w:val="0"/>
          <w:color w:val="auto"/>
          <w:sz w:val="24"/>
          <w:szCs w:val="24"/>
          <w:highlight w:val="none"/>
          <w:lang w:eastAsia="zh-CN"/>
        </w:rPr>
        <w:t xml:space="preserve">维修人员</w:t>
      </w:r>
      <w:r>
        <w:rPr>
          <w:rFonts w:hint="eastAsia" w:ascii="宋体" w:hAnsi="宋体" w:eastAsia="宋体" w:cs="宋体"/>
          <w:b/>
          <w:bCs w:val="0"/>
          <w:color w:val="auto"/>
          <w:sz w:val="24"/>
          <w:szCs w:val="24"/>
          <w:highlight w:val="none"/>
        </w:rPr>
        <w:t xml:space="preserve">须提供有效的身份证复印件、</w:t>
      </w:r>
      <w:r>
        <w:rPr>
          <w:rFonts w:hint="eastAsia" w:ascii="宋体" w:hAnsi="宋体" w:eastAsia="宋体" w:cs="宋体"/>
          <w:b/>
          <w:bCs w:val="0"/>
          <w:color w:val="auto"/>
          <w:sz w:val="24"/>
          <w:szCs w:val="24"/>
          <w:highlight w:val="none"/>
          <w:lang w:val="en-US" w:eastAsia="zh-CN"/>
        </w:rPr>
        <w:t xml:space="preserve">人员证书，</w:t>
      </w:r>
      <w:r>
        <w:rPr>
          <w:rFonts w:hint="eastAsia" w:ascii="宋体" w:hAnsi="宋体" w:eastAsia="宋体" w:cs="宋体"/>
          <w:b/>
          <w:bCs w:val="0"/>
          <w:color w:val="auto"/>
          <w:sz w:val="24"/>
          <w:szCs w:val="24"/>
          <w:highlight w:val="none"/>
        </w:rPr>
        <w:t xml:space="preserve">投标人为其缴纳的近3个月</w:t>
      </w:r>
      <w:r>
        <w:rPr>
          <w:rFonts w:hint="eastAsia" w:ascii="宋体" w:hAnsi="宋体" w:eastAsia="宋体" w:cs="宋体"/>
          <w:b/>
          <w:bCs w:val="0"/>
          <w:color w:val="auto"/>
          <w:sz w:val="24"/>
          <w:szCs w:val="24"/>
          <w:highlight w:val="none"/>
          <w:lang w:val="en-US" w:eastAsia="zh-CN"/>
        </w:rPr>
        <w:t xml:space="preserve">中任意一个月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szCs w:val="24"/>
          <w:highlight w:val="none"/>
        </w:rPr>
        <w:t xml:space="preserve">不含投标当月</w:t>
      </w:r>
      <w:r>
        <w:rPr>
          <w:rFonts w:hint="eastAsia" w:ascii="宋体" w:hAnsi="宋体" w:cs="宋体"/>
          <w:b/>
          <w:bCs w:val="0"/>
          <w:color w:val="auto"/>
          <w:sz w:val="24"/>
          <w:highlight w:val="none"/>
        </w:rPr>
        <w:t xml:space="preserve">）</w:t>
      </w:r>
      <w:r>
        <w:rPr>
          <w:rFonts w:hint="eastAsia" w:ascii="宋体" w:hAnsi="宋体" w:eastAsia="宋体" w:cs="宋体"/>
          <w:b/>
          <w:bCs w:val="0"/>
          <w:color w:val="auto"/>
          <w:sz w:val="24"/>
          <w:szCs w:val="24"/>
          <w:highlight w:val="none"/>
        </w:rPr>
        <w:t xml:space="preserve">的社保缴费证明（可提供带有清晰二维码的官网打印件）的原件扫描件并签章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未提供相关资料或资料不全不得分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w:t>
      </w:r>
      <w:r/>
    </w:p>
    <w:p>
      <w:pPr>
        <w:ind w:firstLine="482"/>
        <w:spacing w:line="360" w:lineRule="auto"/>
        <w:rPr>
          <w:rFonts w:hint="eastAsia" w:ascii="宋体" w:hAnsi="宋体" w:eastAsia="宋体" w:cs="宋体"/>
          <w:b/>
          <w:color w:val="auto"/>
          <w:sz w:val="24"/>
          <w:lang w:eastAsia="zh-CN"/>
        </w:rPr>
      </w:pPr>
      <w:r>
        <w:rPr>
          <w:rFonts w:hint="eastAsia" w:ascii="宋体" w:hAnsi="宋体" w:eastAsia="宋体" w:cs="宋体"/>
          <w:b/>
          <w:color w:val="auto"/>
          <w:sz w:val="24"/>
          <w:lang w:eastAsia="zh-CN"/>
        </w:rPr>
        <w:t xml:space="preserve">注：以上所有人员一人多证不重复计分，按最高得分计。</w:t>
      </w:r>
      <w:r/>
    </w:p>
    <w:p>
      <w:pPr>
        <w:pStyle w:val="1172"/>
        <w:ind w:firstLine="480"/>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（三）服务方案（50分）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（1）项目整体设想与规划（6分）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投标供应商针对本项目提供的物业管理服务的整体设想</w:t>
      </w:r>
      <w:r>
        <w:rPr>
          <w:rFonts w:hint="eastAsia" w:ascii="宋体" w:hAnsi="宋体" w:cs="宋体"/>
          <w:b w:val="0"/>
          <w:bCs w:val="0"/>
          <w:color w:val="000000"/>
          <w:sz w:val="24"/>
          <w:szCs w:val="24"/>
          <w:highlight w:val="none"/>
          <w:lang w:val="en-US" w:eastAsia="zh-CN"/>
        </w:rPr>
        <w:t xml:space="preserve">与规划</w:t>
      </w:r>
      <w:r>
        <w:rPr>
          <w:rFonts w:hint="eastAsia" w:ascii="宋体" w:hAnsi="宋体" w:cs="宋体"/>
          <w:b w:val="0"/>
          <w:bCs w:val="0"/>
          <w:color w:val="000000"/>
          <w:sz w:val="24"/>
          <w:szCs w:val="24"/>
          <w:highlight w:val="none"/>
          <w:lang w:eastAsia="zh-CN"/>
        </w:rPr>
        <w:t xml:space="preserve">包括下述3项：①供应商对本项目的理解与思路；②供应商对本项目的承接优势；③供应商对本项目的方案设想及管理措施。</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（2）项目管理服务体系（</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投标供应商针对本项目提供的物业服务管理</w:t>
      </w:r>
      <w:r>
        <w:rPr>
          <w:rFonts w:hint="eastAsia" w:ascii="宋体" w:hAnsi="宋体" w:cs="宋体"/>
          <w:b w:val="0"/>
          <w:bCs w:val="0"/>
          <w:color w:val="000000"/>
          <w:sz w:val="24"/>
          <w:szCs w:val="24"/>
          <w:highlight w:val="none"/>
          <w:lang w:val="en-US" w:eastAsia="zh-CN"/>
        </w:rPr>
        <w:t xml:space="preserve">服务体系</w:t>
      </w:r>
      <w:r>
        <w:rPr>
          <w:rFonts w:hint="eastAsia" w:ascii="宋体" w:hAnsi="宋体" w:cs="宋体"/>
          <w:b w:val="0"/>
          <w:bCs w:val="0"/>
          <w:color w:val="000000"/>
          <w:sz w:val="24"/>
          <w:szCs w:val="24"/>
          <w:highlight w:val="none"/>
          <w:lang w:eastAsia="zh-CN"/>
        </w:rPr>
        <w:t xml:space="preserve">具体方案包括下述</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项：</w:t>
      </w:r>
      <w:r>
        <w:rPr>
          <w:rFonts w:hint="eastAsia" w:ascii="宋体" w:hAnsi="宋体" w:cs="宋体"/>
          <w:b w:val="0"/>
          <w:bCs w:val="0"/>
          <w:sz w:val="24"/>
          <w:szCs w:val="24"/>
          <w:highlight w:val="none"/>
          <w:lang w:eastAsia="zh-CN"/>
        </w:rPr>
        <w:t xml:space="preserve">①</w:t>
      </w:r>
      <w:r>
        <w:rPr>
          <w:rFonts w:hint="eastAsia" w:ascii="宋体" w:hAnsi="宋体" w:eastAsia="宋体" w:cs="宋体"/>
          <w:b w:val="0"/>
          <w:bCs w:val="0"/>
          <w:sz w:val="24"/>
          <w:szCs w:val="24"/>
          <w:highlight w:val="none"/>
        </w:rPr>
        <w:t xml:space="preserve">管理服务体系</w:t>
      </w:r>
      <w:r>
        <w:rPr>
          <w:rFonts w:hint="eastAsia" w:ascii="宋体" w:hAnsi="宋体" w:cs="宋体"/>
          <w:b w:val="0"/>
          <w:bCs w:val="0"/>
          <w:sz w:val="24"/>
          <w:szCs w:val="24"/>
          <w:highlight w:val="none"/>
          <w:lang w:val="en-US" w:eastAsia="zh-CN"/>
        </w:rPr>
        <w:t xml:space="preserve">及</w:t>
      </w:r>
      <w:r>
        <w:rPr>
          <w:rFonts w:hint="eastAsia" w:ascii="宋体" w:hAnsi="宋体" w:eastAsia="宋体" w:cs="宋体"/>
          <w:b w:val="0"/>
          <w:bCs w:val="0"/>
          <w:sz w:val="24"/>
          <w:szCs w:val="24"/>
          <w:highlight w:val="none"/>
        </w:rPr>
        <w:t xml:space="preserve">管理工作流程；②</w:t>
      </w:r>
      <w:r>
        <w:rPr>
          <w:rFonts w:hint="eastAsia" w:ascii="宋体" w:hAnsi="宋体" w:cs="宋体"/>
          <w:b w:val="0"/>
          <w:bCs w:val="0"/>
          <w:sz w:val="24"/>
          <w:szCs w:val="24"/>
          <w:highlight w:val="none"/>
          <w:lang w:val="en-US" w:eastAsia="zh-CN"/>
        </w:rPr>
        <w:t xml:space="preserve">目</w:t>
      </w:r>
      <w:r>
        <w:rPr>
          <w:rFonts w:hint="eastAsia" w:ascii="宋体" w:hAnsi="宋体" w:eastAsia="宋体" w:cs="宋体"/>
          <w:b w:val="0"/>
          <w:bCs w:val="0"/>
          <w:sz w:val="24"/>
          <w:szCs w:val="24"/>
          <w:highlight w:val="none"/>
        </w:rPr>
        <w:t xml:space="preserve">标管理责任</w:t>
      </w:r>
      <w:r>
        <w:rPr>
          <w:rFonts w:hint="eastAsia" w:ascii="宋体" w:hAnsi="宋体" w:eastAsia="宋体" w:cs="宋体"/>
          <w:b w:val="0"/>
          <w:bCs w:val="0"/>
          <w:sz w:val="24"/>
          <w:szCs w:val="24"/>
          <w:highlight w:val="none"/>
          <w:lang w:eastAsia="zh-CN"/>
        </w:rPr>
        <w:t xml:space="preserve">、监督机制</w:t>
      </w:r>
      <w:r>
        <w:rPr>
          <w:rFonts w:hint="eastAsia" w:ascii="宋体" w:hAnsi="宋体" w:cs="宋体"/>
          <w:b w:val="0"/>
          <w:bCs w:val="0"/>
          <w:color w:val="000000"/>
          <w:sz w:val="24"/>
          <w:szCs w:val="24"/>
          <w:highlight w:val="none"/>
          <w:lang w:eastAsia="zh-CN"/>
        </w:rPr>
        <w:t xml:space="preserve">。</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 xml:space="preserve">2</w:t>
      </w:r>
      <w:r>
        <w:rPr>
          <w:rFonts w:hint="eastAsia" w:ascii="宋体" w:hAnsi="宋体" w:cs="宋体"/>
          <w:b w:val="0"/>
          <w:bCs w:val="0"/>
          <w:color w:val="000000"/>
          <w:sz w:val="24"/>
          <w:szCs w:val="24"/>
          <w:highlight w:val="none"/>
          <w:lang w:eastAsia="zh-CN"/>
        </w:rPr>
        <w:t xml:space="preserve">点内容，本项最高得</w:t>
      </w:r>
      <w:r>
        <w:rPr>
          <w:rFonts w:hint="eastAsia" w:ascii="宋体" w:hAnsi="宋体" w:cs="宋体"/>
          <w:b w:val="0"/>
          <w:bCs w:val="0"/>
          <w:color w:val="000000"/>
          <w:sz w:val="24"/>
          <w:szCs w:val="24"/>
          <w:highlight w:val="none"/>
          <w:lang w:val="en-US" w:eastAsia="zh-CN"/>
        </w:rPr>
        <w:t xml:space="preserve">4</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项目岗前培训及阶段性培训管理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w:t>
      </w:r>
      <w:r>
        <w:rPr>
          <w:rFonts w:hint="eastAsia" w:ascii="宋体" w:hAnsi="宋体" w:cs="宋体"/>
          <w:b w:val="0"/>
          <w:bCs w:val="0"/>
          <w:color w:val="000000"/>
          <w:sz w:val="24"/>
          <w:szCs w:val="24"/>
          <w:highlight w:val="none"/>
          <w:lang w:val="en-US" w:eastAsia="zh-CN"/>
        </w:rPr>
        <w:t xml:space="preserve">岗前培训及阶段性培训管理</w:t>
      </w:r>
      <w:r>
        <w:rPr>
          <w:rFonts w:hint="eastAsia" w:ascii="宋体" w:hAnsi="宋体" w:cs="宋体"/>
          <w:b w:val="0"/>
          <w:bCs w:val="0"/>
          <w:color w:val="000000"/>
          <w:sz w:val="24"/>
          <w:szCs w:val="24"/>
          <w:highlight w:val="none"/>
          <w:lang w:eastAsia="zh-CN"/>
        </w:rPr>
        <w:t xml:space="preserve">方案包括下述3项：①</w:t>
      </w:r>
      <w:r>
        <w:rPr>
          <w:rFonts w:hint="eastAsia" w:ascii="宋体" w:hAnsi="宋体" w:cs="宋体"/>
          <w:b w:val="0"/>
          <w:bCs w:val="0"/>
          <w:color w:val="000000"/>
          <w:sz w:val="24"/>
          <w:szCs w:val="24"/>
          <w:highlight w:val="none"/>
          <w:lang w:val="en-US" w:eastAsia="zh-CN"/>
        </w:rPr>
        <w:t xml:space="preserve">项目及人员</w:t>
      </w:r>
      <w:r>
        <w:rPr>
          <w:rFonts w:hint="eastAsia" w:ascii="宋体" w:hAnsi="宋体" w:cs="宋体"/>
          <w:b w:val="0"/>
          <w:bCs w:val="0"/>
          <w:color w:val="000000"/>
          <w:sz w:val="24"/>
          <w:szCs w:val="24"/>
          <w:highlight w:val="none"/>
          <w:lang w:eastAsia="zh-CN"/>
        </w:rPr>
        <w:t xml:space="preserve">培训目标；②</w:t>
      </w:r>
      <w:r>
        <w:rPr>
          <w:rFonts w:hint="eastAsia" w:ascii="宋体" w:hAnsi="宋体" w:cs="宋体"/>
          <w:b w:val="0"/>
          <w:bCs w:val="0"/>
          <w:color w:val="000000"/>
          <w:sz w:val="24"/>
          <w:szCs w:val="24"/>
          <w:highlight w:val="none"/>
          <w:lang w:val="en-US" w:eastAsia="zh-CN"/>
        </w:rPr>
        <w:t xml:space="preserve">项目及</w:t>
      </w:r>
      <w:r>
        <w:rPr>
          <w:rFonts w:hint="eastAsia" w:ascii="宋体" w:hAnsi="宋体" w:cs="宋体"/>
          <w:b w:val="0"/>
          <w:bCs w:val="0"/>
          <w:color w:val="000000"/>
          <w:sz w:val="24"/>
          <w:szCs w:val="24"/>
          <w:highlight w:val="none"/>
          <w:lang w:eastAsia="zh-CN"/>
        </w:rPr>
        <w:t xml:space="preserve">人员培训管理；③</w:t>
      </w:r>
      <w:r>
        <w:rPr>
          <w:rFonts w:hint="eastAsia" w:ascii="宋体" w:hAnsi="宋体" w:cs="宋体"/>
          <w:b w:val="0"/>
          <w:bCs w:val="0"/>
          <w:color w:val="000000"/>
          <w:sz w:val="24"/>
          <w:szCs w:val="24"/>
          <w:highlight w:val="none"/>
          <w:lang w:val="en-US" w:eastAsia="zh-CN"/>
        </w:rPr>
        <w:t xml:space="preserve">项目及</w:t>
      </w:r>
      <w:r>
        <w:rPr>
          <w:rFonts w:hint="eastAsia" w:ascii="宋体" w:hAnsi="宋体" w:cs="宋体"/>
          <w:b w:val="0"/>
          <w:bCs w:val="0"/>
          <w:color w:val="000000"/>
          <w:sz w:val="24"/>
          <w:szCs w:val="24"/>
          <w:highlight w:val="none"/>
          <w:lang w:eastAsia="zh-CN"/>
        </w:rPr>
        <w:t xml:space="preserve">人员培训内容、培训计划。</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（4）</w:t>
      </w:r>
      <w:r>
        <w:rPr>
          <w:rFonts w:hint="eastAsia" w:ascii="宋体" w:hAnsi="宋体" w:cs="宋体"/>
          <w:b/>
          <w:bCs/>
          <w:color w:val="000000"/>
          <w:sz w:val="24"/>
          <w:szCs w:val="24"/>
          <w:highlight w:val="none"/>
          <w:lang w:val="en-US" w:eastAsia="zh-CN"/>
        </w:rPr>
        <w:t xml:space="preserve">项目日常管理标准及措施</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w:t>
      </w:r>
      <w:r>
        <w:rPr>
          <w:rFonts w:hint="eastAsia" w:ascii="宋体" w:hAnsi="宋体" w:cs="宋体"/>
          <w:b w:val="0"/>
          <w:bCs w:val="0"/>
          <w:color w:val="000000"/>
          <w:sz w:val="24"/>
          <w:szCs w:val="24"/>
          <w:highlight w:val="none"/>
          <w:lang w:val="en-US" w:eastAsia="zh-CN"/>
        </w:rPr>
        <w:t xml:space="preserve">日常管理标准及措施</w:t>
      </w:r>
      <w:r>
        <w:rPr>
          <w:rFonts w:hint="eastAsia" w:ascii="宋体" w:hAnsi="宋体" w:cs="宋体"/>
          <w:b w:val="0"/>
          <w:bCs w:val="0"/>
          <w:color w:val="000000"/>
          <w:sz w:val="24"/>
          <w:szCs w:val="24"/>
          <w:highlight w:val="none"/>
          <w:lang w:eastAsia="zh-CN"/>
        </w:rPr>
        <w:t xml:space="preserve">包括下述</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项：</w:t>
      </w:r>
      <w:r>
        <w:rPr>
          <w:rFonts w:hint="eastAsia" w:ascii="宋体" w:hAnsi="宋体" w:eastAsia="宋体" w:cs="宋体"/>
          <w:b w:val="0"/>
          <w:bCs w:val="0"/>
          <w:sz w:val="24"/>
          <w:szCs w:val="24"/>
          <w:highlight w:val="none"/>
        </w:rPr>
        <w:t xml:space="preserve">①清洁服务</w:t>
      </w:r>
      <w:r>
        <w:rPr>
          <w:rFonts w:hint="eastAsia" w:ascii="宋体" w:hAnsi="宋体" w:eastAsia="宋体" w:cs="宋体"/>
          <w:b w:val="0"/>
          <w:bCs w:val="0"/>
          <w:sz w:val="24"/>
          <w:szCs w:val="24"/>
          <w:highlight w:val="none"/>
          <w:lang w:val="en-US" w:eastAsia="zh-CN"/>
        </w:rPr>
        <w:t xml:space="preserve">日常管理标准及措施</w:t>
      </w:r>
      <w:r>
        <w:rPr>
          <w:rFonts w:hint="eastAsia" w:ascii="宋体" w:hAnsi="宋体" w:eastAsia="宋体" w:cs="宋体"/>
          <w:b w:val="0"/>
          <w:bCs w:val="0"/>
          <w:sz w:val="24"/>
          <w:szCs w:val="24"/>
          <w:highlight w:val="none"/>
        </w:rPr>
        <w:t xml:space="preserve">；②</w:t>
      </w:r>
      <w:r>
        <w:rPr>
          <w:rFonts w:hint="eastAsia" w:ascii="宋体" w:hAnsi="宋体" w:eastAsia="宋体" w:cs="宋体"/>
          <w:b w:val="0"/>
          <w:bCs w:val="0"/>
          <w:sz w:val="24"/>
          <w:highlight w:val="none"/>
        </w:rPr>
        <w:t xml:space="preserve">保安服务</w:t>
      </w:r>
      <w:r>
        <w:rPr>
          <w:rFonts w:hint="eastAsia" w:ascii="宋体" w:hAnsi="宋体" w:eastAsia="宋体" w:cs="宋体"/>
          <w:b w:val="0"/>
          <w:bCs w:val="0"/>
          <w:sz w:val="24"/>
          <w:szCs w:val="24"/>
          <w:highlight w:val="none"/>
          <w:lang w:val="en-US" w:eastAsia="zh-CN"/>
        </w:rPr>
        <w:t xml:space="preserve">日常管理标准及措施</w:t>
      </w:r>
      <w:r>
        <w:rPr>
          <w:rFonts w:hint="eastAsia" w:ascii="宋体" w:hAnsi="宋体" w:eastAsia="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③</w:t>
      </w:r>
      <w:r>
        <w:rPr>
          <w:rFonts w:hint="eastAsia" w:ascii="宋体" w:hAnsi="宋体" w:eastAsia="宋体" w:cs="宋体"/>
          <w:b w:val="0"/>
          <w:bCs w:val="0"/>
          <w:sz w:val="24"/>
          <w:highlight w:val="none"/>
        </w:rPr>
        <w:t xml:space="preserve">公共服务、房屋共用设施设备维护与管理</w:t>
      </w:r>
      <w:r>
        <w:rPr>
          <w:rFonts w:hint="eastAsia" w:ascii="宋体" w:hAnsi="宋体" w:eastAsia="宋体" w:cs="宋体"/>
          <w:b w:val="0"/>
          <w:bCs w:val="0"/>
          <w:sz w:val="24"/>
          <w:szCs w:val="24"/>
          <w:highlight w:val="none"/>
          <w:lang w:val="en-US" w:eastAsia="zh-CN"/>
        </w:rPr>
        <w:t xml:space="preserve">日常管理标准及措施</w:t>
      </w:r>
      <w:r>
        <w:rPr>
          <w:rFonts w:hint="eastAsia" w:ascii="宋体" w:hAnsi="宋体" w:cs="宋体"/>
          <w:b w:val="0"/>
          <w:bCs w:val="0"/>
          <w:color w:val="000000"/>
          <w:sz w:val="24"/>
          <w:szCs w:val="24"/>
          <w:highlight w:val="none"/>
          <w:lang w:eastAsia="zh-CN"/>
        </w:rPr>
        <w:t xml:space="preserve">。</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（5）</w:t>
      </w:r>
      <w:r>
        <w:rPr>
          <w:rFonts w:hint="eastAsia" w:ascii="宋体" w:hAnsi="宋体" w:cs="宋体"/>
          <w:b/>
          <w:bCs/>
          <w:color w:val="000000"/>
          <w:sz w:val="24"/>
          <w:szCs w:val="24"/>
          <w:highlight w:val="none"/>
          <w:lang w:val="en-US" w:eastAsia="zh-CN"/>
        </w:rPr>
        <w:t xml:space="preserve">项目管理规章制度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w:t>
      </w:r>
      <w:r>
        <w:rPr>
          <w:rFonts w:hint="eastAsia" w:ascii="宋体" w:hAnsi="宋体" w:cs="宋体"/>
          <w:b w:val="0"/>
          <w:bCs w:val="0"/>
          <w:color w:val="000000"/>
          <w:sz w:val="24"/>
          <w:szCs w:val="24"/>
          <w:highlight w:val="none"/>
          <w:lang w:val="en-US" w:eastAsia="zh-CN"/>
        </w:rPr>
        <w:t xml:space="preserve">管理规章制度方案</w:t>
      </w:r>
      <w:r>
        <w:rPr>
          <w:rFonts w:hint="eastAsia" w:ascii="宋体" w:hAnsi="宋体" w:cs="宋体"/>
          <w:b w:val="0"/>
          <w:bCs w:val="0"/>
          <w:color w:val="000000"/>
          <w:sz w:val="24"/>
          <w:szCs w:val="24"/>
          <w:highlight w:val="none"/>
          <w:lang w:eastAsia="zh-CN"/>
        </w:rPr>
        <w:t xml:space="preserve">包括下述3项：①管理工作流程、重点、难点和措施；②日常考核、激励考核机制、监督机制；③财务及合同管理制度。</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（6）</w:t>
      </w:r>
      <w:r>
        <w:rPr>
          <w:rFonts w:hint="eastAsia" w:ascii="宋体" w:hAnsi="宋体" w:cs="宋体"/>
          <w:b/>
          <w:bCs/>
          <w:color w:val="000000"/>
          <w:sz w:val="24"/>
          <w:szCs w:val="24"/>
          <w:highlight w:val="none"/>
          <w:lang w:val="en-US" w:eastAsia="zh-CN"/>
        </w:rPr>
        <w:t xml:space="preserve">项目物资装备的配备及维保使用方案</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eastAsia="zh-CN"/>
        </w:rPr>
        <w:t xml:space="preserve">投标供应商针对本项目提供的物资设备配置及</w:t>
      </w:r>
      <w:r>
        <w:rPr>
          <w:rFonts w:hint="eastAsia" w:ascii="宋体" w:hAnsi="宋体" w:cs="宋体"/>
          <w:b w:val="0"/>
          <w:bCs w:val="0"/>
          <w:color w:val="000000"/>
          <w:sz w:val="24"/>
          <w:szCs w:val="24"/>
          <w:highlight w:val="none"/>
          <w:lang w:val="en-US" w:eastAsia="zh-CN"/>
        </w:rPr>
        <w:t xml:space="preserve">维保使用</w:t>
      </w:r>
      <w:r>
        <w:rPr>
          <w:rFonts w:hint="eastAsia" w:ascii="宋体" w:hAnsi="宋体" w:cs="宋体"/>
          <w:b w:val="0"/>
          <w:bCs w:val="0"/>
          <w:color w:val="000000"/>
          <w:sz w:val="24"/>
          <w:szCs w:val="24"/>
          <w:highlight w:val="none"/>
          <w:lang w:eastAsia="zh-CN"/>
        </w:rPr>
        <w:t xml:space="preserve">方案包括下述3项：①物资设备的存储</w:t>
      </w:r>
      <w:r>
        <w:rPr>
          <w:rFonts w:hint="eastAsia" w:ascii="宋体" w:hAnsi="宋体" w:cs="宋体"/>
          <w:b w:val="0"/>
          <w:bCs w:val="0"/>
          <w:color w:val="000000"/>
          <w:sz w:val="24"/>
          <w:szCs w:val="24"/>
          <w:highlight w:val="none"/>
          <w:lang w:val="en-US" w:eastAsia="zh-CN"/>
        </w:rPr>
        <w:t xml:space="preserve">方案</w:t>
      </w:r>
      <w:r>
        <w:rPr>
          <w:rFonts w:hint="eastAsia" w:ascii="宋体" w:hAnsi="宋体" w:cs="宋体"/>
          <w:b w:val="0"/>
          <w:bCs w:val="0"/>
          <w:color w:val="000000"/>
          <w:sz w:val="24"/>
          <w:szCs w:val="24"/>
          <w:highlight w:val="none"/>
          <w:lang w:eastAsia="zh-CN"/>
        </w:rPr>
        <w:t xml:space="preserve">；②物资设备的</w:t>
      </w:r>
      <w:r>
        <w:rPr>
          <w:rFonts w:hint="eastAsia" w:ascii="宋体" w:hAnsi="宋体" w:cs="宋体"/>
          <w:b w:val="0"/>
          <w:bCs w:val="0"/>
          <w:color w:val="000000"/>
          <w:sz w:val="24"/>
          <w:szCs w:val="24"/>
          <w:highlight w:val="none"/>
          <w:lang w:val="en-US" w:eastAsia="zh-CN"/>
        </w:rPr>
        <w:t xml:space="preserve">领用方案；③设施设备使用维护方案。</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（7）项目管理重点难点和措施（6分）</w:t>
      </w:r>
      <w:r/>
    </w:p>
    <w:p>
      <w:pPr>
        <w:pStyle w:val="1172"/>
        <w:ind w:left="0"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项目管理重点难点和措施</w:t>
      </w:r>
      <w:r>
        <w:rPr>
          <w:rFonts w:hint="eastAsia" w:ascii="宋体" w:hAnsi="宋体" w:eastAsia="宋体" w:cs="宋体"/>
          <w:b w:val="0"/>
          <w:bCs w:val="0"/>
          <w:color w:val="000000"/>
          <w:sz w:val="24"/>
          <w:szCs w:val="24"/>
          <w:highlight w:val="none"/>
          <w:lang w:eastAsia="zh-CN"/>
        </w:rPr>
        <w:t xml:space="preserve">包括下述3项：</w:t>
      </w:r>
      <w:r>
        <w:rPr>
          <w:rFonts w:hint="eastAsia" w:ascii="宋体" w:hAnsi="宋体" w:eastAsia="宋体" w:cs="宋体"/>
          <w:b w:val="0"/>
          <w:bCs w:val="0"/>
          <w:color w:val="000000"/>
          <w:sz w:val="24"/>
          <w:szCs w:val="24"/>
          <w:highlight w:val="none"/>
          <w:lang w:val="en-US" w:eastAsia="zh-CN"/>
        </w:rPr>
        <w:t xml:space="preserve">①保洁服务重难点及应对措施、保安服务重难点及应对措施；②维修服务重难点及应对措施；③其他服务重难点及应对措施</w:t>
      </w:r>
      <w:r>
        <w:rPr>
          <w:rFonts w:hint="eastAsia" w:ascii="宋体" w:hAnsi="宋体" w:eastAsia="宋体" w:cs="宋体"/>
          <w:b w:val="0"/>
          <w:bCs w:val="0"/>
          <w:sz w:val="24"/>
          <w:szCs w:val="24"/>
          <w:highlight w:val="none"/>
          <w:lang w:val="en-US" w:eastAsia="zh-CN"/>
        </w:rPr>
        <w:t xml:space="preserve">。</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（8）</w:t>
      </w:r>
      <w:r>
        <w:rPr>
          <w:rFonts w:hint="eastAsia" w:ascii="宋体" w:hAnsi="宋体" w:cs="宋体"/>
          <w:b/>
          <w:bCs/>
          <w:color w:val="000000"/>
          <w:sz w:val="24"/>
          <w:szCs w:val="24"/>
          <w:highlight w:val="none"/>
          <w:lang w:val="en-US" w:eastAsia="zh-CN"/>
        </w:rPr>
        <w:t xml:space="preserve">在本项目中与采购人以及其他单位、部门的综合协调方案</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投标供应商针对本项目提供的</w:t>
      </w:r>
      <w:r>
        <w:rPr>
          <w:rFonts w:hint="eastAsia" w:ascii="宋体" w:hAnsi="宋体" w:cs="宋体"/>
          <w:b w:val="0"/>
          <w:bCs w:val="0"/>
          <w:color w:val="000000"/>
          <w:sz w:val="24"/>
          <w:szCs w:val="24"/>
          <w:highlight w:val="none"/>
          <w:lang w:val="en-US" w:eastAsia="zh-CN"/>
        </w:rPr>
        <w:t xml:space="preserve">采购人以及其他单位、部门的综合协调方案</w:t>
      </w:r>
      <w:r>
        <w:rPr>
          <w:rFonts w:hint="eastAsia" w:ascii="宋体" w:hAnsi="宋体" w:cs="宋体"/>
          <w:b w:val="0"/>
          <w:bCs w:val="0"/>
          <w:color w:val="000000"/>
          <w:sz w:val="24"/>
          <w:szCs w:val="24"/>
          <w:highlight w:val="none"/>
          <w:lang w:eastAsia="zh-CN"/>
        </w:rPr>
        <w:t xml:space="preserve">包括下述</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项：①服务期间与采购人协调的制度建立、与采购人日常沟通措施；②服务期间与采购人综合协调处理主要内容及方式；</w:t>
      </w:r>
      <w:r>
        <w:rPr>
          <w:rFonts w:hint="eastAsia" w:ascii="宋体" w:hAnsi="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eastAsia="zh-CN"/>
        </w:rPr>
        <w:t xml:space="preserve">沟通协调主要内容及</w:t>
      </w:r>
      <w:r>
        <w:rPr>
          <w:rFonts w:hint="eastAsia" w:ascii="宋体" w:hAnsi="宋体" w:cs="宋体"/>
          <w:b w:val="0"/>
          <w:bCs w:val="0"/>
          <w:color w:val="000000"/>
          <w:sz w:val="24"/>
          <w:szCs w:val="24"/>
          <w:highlight w:val="none"/>
          <w:lang w:val="en-US" w:eastAsia="zh-CN"/>
        </w:rPr>
        <w:t xml:space="preserve">对</w:t>
      </w:r>
      <w:r>
        <w:rPr>
          <w:rFonts w:hint="eastAsia" w:ascii="宋体" w:hAnsi="宋体" w:cs="宋体"/>
          <w:b w:val="0"/>
          <w:bCs w:val="0"/>
          <w:color w:val="000000"/>
          <w:sz w:val="24"/>
          <w:szCs w:val="24"/>
          <w:highlight w:val="none"/>
          <w:lang w:eastAsia="zh-CN"/>
        </w:rPr>
        <w:t xml:space="preserve">各项服务事项的配合。</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项目正式接管前具体措施（3分）</w:t>
      </w:r>
      <w:r/>
    </w:p>
    <w:p>
      <w:pPr>
        <w:pStyle w:val="117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正式接管前具体措施方案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项：①接管计划；②接管方案；</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eastAsia="zh-CN"/>
        </w:rPr>
        <w:t xml:space="preserve">接管重点。</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left="0"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lang w:eastAsia="zh-CN"/>
        </w:rPr>
        <w:t xml:space="preserve">）项目特殊情况应急预案及措施（</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投标供应商针对本项目提供的特殊情况应急预案及措施</w:t>
      </w:r>
      <w:r>
        <w:rPr>
          <w:rFonts w:hint="eastAsia" w:ascii="宋体" w:hAnsi="宋体" w:eastAsia="宋体" w:cs="宋体"/>
          <w:b w:val="0"/>
          <w:bCs w:val="0"/>
          <w:color w:val="000000"/>
          <w:sz w:val="24"/>
          <w:szCs w:val="24"/>
          <w:highlight w:val="none"/>
          <w:lang w:val="en-US" w:eastAsia="zh-CN"/>
        </w:rPr>
        <w:t xml:space="preserve">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w:t>
      </w: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eastAsia="zh-CN"/>
        </w:rPr>
        <w:t xml:space="preserve">应急预案处理整体方案；</w:t>
      </w: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eastAsia="zh-CN"/>
        </w:rPr>
        <w:t xml:space="preserve">应急保障措施；</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eastAsia="zh-CN"/>
        </w:rPr>
        <w:t xml:space="preserve">意外事故应急预案、自然灾害应急预案。</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2分，存在1处瑕疵的得1分，存在2处瑕疵的，有基本的解释说明的得0.5分，未进行阐述或不满足采购需求或内容存在2处以上瑕疵的得0分；本项共计3点内容，本项最高得6分。</w:t>
      </w:r>
      <w:r/>
    </w:p>
    <w:p>
      <w:pPr>
        <w:pStyle w:val="1172"/>
        <w:ind w:left="0" w:firstLine="48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lang w:eastAsia="zh-CN"/>
        </w:rPr>
        <w:t xml:space="preserve">）项目过失及意外保障措施（</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分）</w:t>
      </w:r>
      <w:r/>
    </w:p>
    <w:p>
      <w:pPr>
        <w:pStyle w:val="1172"/>
        <w:ind w:firstLine="480"/>
        <w:keepLines w:val="0"/>
        <w:keepNext w:val="0"/>
        <w:pageBreakBefore w:val="0"/>
        <w:spacing w:line="360" w:lineRule="auto"/>
        <w:widowControl w:val="off"/>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过失及意外保障措施方案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w:t>
      </w:r>
      <w:r>
        <w:rPr>
          <w:rFonts w:hint="eastAsia" w:ascii="宋体" w:hAnsi="宋体" w:eastAsia="宋体" w:cs="宋体"/>
          <w:b w:val="0"/>
          <w:bCs w:val="0"/>
          <w:sz w:val="24"/>
          <w:szCs w:val="24"/>
          <w:highlight w:val="none"/>
          <w:lang w:val="en-US" w:eastAsia="zh-CN"/>
        </w:rPr>
        <w:t xml:space="preserve">①</w:t>
      </w:r>
      <w:r>
        <w:rPr>
          <w:rFonts w:hint="eastAsia" w:ascii="宋体" w:hAnsi="宋体" w:eastAsia="宋体" w:cs="宋体"/>
          <w:b w:val="0"/>
          <w:bCs w:val="0"/>
          <w:sz w:val="24"/>
          <w:szCs w:val="24"/>
          <w:highlight w:val="none"/>
          <w:lang w:eastAsia="zh-CN"/>
        </w:rPr>
        <w:t xml:space="preserve">项目人员意外伤害；</w:t>
      </w:r>
      <w:r>
        <w:rPr>
          <w:rFonts w:hint="eastAsia" w:ascii="宋体" w:hAnsi="宋体" w:eastAsia="宋体" w:cs="宋体"/>
          <w:b w:val="0"/>
          <w:bCs w:val="0"/>
          <w:sz w:val="24"/>
          <w:szCs w:val="24"/>
          <w:highlight w:val="none"/>
          <w:lang w:val="en-US" w:eastAsia="zh-CN"/>
        </w:rPr>
        <w:t xml:space="preserve">②</w:t>
      </w:r>
      <w:r>
        <w:rPr>
          <w:rFonts w:hint="eastAsia" w:ascii="宋体" w:hAnsi="宋体" w:eastAsia="宋体" w:cs="宋体"/>
          <w:b w:val="0"/>
          <w:bCs w:val="0"/>
          <w:sz w:val="24"/>
          <w:szCs w:val="24"/>
          <w:highlight w:val="none"/>
          <w:lang w:eastAsia="zh-CN"/>
        </w:rPr>
        <w:t xml:space="preserve">设备故障；</w:t>
      </w:r>
      <w:r>
        <w:rPr>
          <w:rFonts w:hint="eastAsia"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lang w:eastAsia="zh-CN"/>
        </w:rPr>
        <w:t xml:space="preserve">自然意外、病人突发意外情况。</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ind w:firstLine="48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（12）项目档案资料管理（3分）</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档案资料管理方案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w:t>
      </w:r>
      <w:r>
        <w:rPr>
          <w:rFonts w:hint="eastAsia" w:ascii="宋体" w:hAnsi="宋体" w:eastAsia="宋体" w:cs="宋体"/>
          <w:b w:val="0"/>
          <w:bCs w:val="0"/>
          <w:sz w:val="24"/>
          <w:szCs w:val="24"/>
          <w:highlight w:val="none"/>
          <w:lang w:val="en-US" w:eastAsia="zh-CN" w:bidi="ar-SA"/>
        </w:rPr>
        <w:t xml:space="preserve">①档案资料的收集；②档案资料的建立、管理；③档案资料的运用。</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ind w:firstLine="482"/>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（13）项目服务响应时间（3分）</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服务响应时间方案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项：</w:t>
      </w:r>
      <w:r>
        <w:rPr>
          <w:rFonts w:hint="eastAsia" w:ascii="宋体" w:hAnsi="宋体" w:eastAsia="宋体" w:cs="宋体"/>
          <w:b w:val="0"/>
          <w:bCs w:val="0"/>
          <w:sz w:val="24"/>
          <w:szCs w:val="24"/>
          <w:highlight w:val="none"/>
          <w:lang w:val="en-US" w:eastAsia="zh-CN" w:bidi="ar-SA"/>
        </w:rPr>
        <w:t xml:space="preserve">①针对本项目服务响应内容；②针对本项目人员配置情况；③针对本项目实施内容和服务期限。</w:t>
      </w:r>
      <w:r/>
    </w:p>
    <w:p>
      <w:pPr>
        <w:pStyle w:val="1172"/>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分，未进行阐述或不满足采购需求或内容存在2处以上瑕疵的得0分；本项共计3点内容，本项最高得</w:t>
      </w:r>
      <w:r>
        <w:rPr>
          <w:rFonts w:hint="eastAsia" w:ascii="宋体" w:hAnsi="宋体" w:cs="宋体"/>
          <w:b w:val="0"/>
          <w:bCs w:val="0"/>
          <w:color w:val="000000"/>
          <w:sz w:val="24"/>
          <w:szCs w:val="24"/>
          <w:highlight w:val="none"/>
          <w:lang w:val="en-US" w:eastAsia="zh-CN"/>
        </w:rPr>
        <w:t xml:space="preserve">3</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（14）特色与创新（1分）</w:t>
      </w:r>
      <w:r/>
    </w:p>
    <w:p>
      <w:pPr>
        <w:ind w:firstLine="480"/>
        <w:keepLines w:val="0"/>
        <w:keepNext w:val="0"/>
        <w:pageBreakBefore w:val="0"/>
        <w:spacing w:line="360" w:lineRule="auto"/>
        <w:widowControl w:val="off"/>
        <w:tabs>
          <w:tab w:val="left" w:pos="525" w:leader="none"/>
          <w:tab w:val="left" w:pos="945" w:leader="none"/>
          <w:tab w:val="left" w:pos="1155" w:leader="none"/>
          <w:tab w:val="left" w:pos="3300"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eastAsia="zh-CN"/>
        </w:rPr>
        <w:t xml:space="preserve">投标供应商针对本项目提供的</w:t>
      </w:r>
      <w:r>
        <w:rPr>
          <w:rFonts w:hint="eastAsia" w:ascii="宋体" w:hAnsi="宋体" w:eastAsia="宋体" w:cs="宋体"/>
          <w:b w:val="0"/>
          <w:bCs w:val="0"/>
          <w:color w:val="000000"/>
          <w:sz w:val="24"/>
          <w:szCs w:val="24"/>
          <w:highlight w:val="none"/>
          <w:lang w:val="en-US" w:eastAsia="zh-CN"/>
        </w:rPr>
        <w:t xml:space="preserve">特色与创新方案</w:t>
      </w:r>
      <w:r>
        <w:rPr>
          <w:rFonts w:hint="eastAsia" w:ascii="宋体" w:hAnsi="宋体" w:eastAsia="宋体" w:cs="宋体"/>
          <w:b w:val="0"/>
          <w:bCs w:val="0"/>
          <w:color w:val="000000"/>
          <w:sz w:val="24"/>
          <w:szCs w:val="24"/>
          <w:highlight w:val="none"/>
          <w:lang w:eastAsia="zh-CN"/>
        </w:rPr>
        <w:t xml:space="preserve">包括下述</w:t>
      </w:r>
      <w:r>
        <w:rPr>
          <w:rFonts w:hint="eastAsia" w:ascii="宋体" w:hAnsi="宋体" w:eastAsia="宋体" w:cs="宋体"/>
          <w:b w:val="0"/>
          <w:bCs w:val="0"/>
          <w:color w:val="000000"/>
          <w:sz w:val="24"/>
          <w:szCs w:val="24"/>
          <w:highlight w:val="none"/>
          <w:lang w:val="en-US" w:eastAsia="zh-CN"/>
        </w:rPr>
        <w:t xml:space="preserve">内容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sz w:val="24"/>
          <w:szCs w:val="24"/>
          <w:highlight w:val="none"/>
          <w:lang w:val="en-US" w:eastAsia="zh-CN" w:bidi="ar-SA"/>
        </w:rPr>
        <w:t xml:space="preserve">特色与创新服务体系、服务理念及特色与创新服务模式、人员管理。</w:t>
      </w:r>
      <w:r/>
    </w:p>
    <w:p>
      <w:pPr>
        <w:pStyle w:val="1172"/>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投标供应商针对上述内容进行阐述，要求阐述内容合理、针对性强、切实可行有效。以上每点内容不存在瑕疵的得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分，存在1处瑕疵的得</w:t>
      </w:r>
      <w:r>
        <w:rPr>
          <w:rFonts w:hint="eastAsia" w:ascii="宋体" w:hAnsi="宋体" w:cs="宋体"/>
          <w:b w:val="0"/>
          <w:bCs w:val="0"/>
          <w:color w:val="000000"/>
          <w:sz w:val="24"/>
          <w:szCs w:val="24"/>
          <w:highlight w:val="none"/>
          <w:lang w:val="en-US" w:eastAsia="zh-CN"/>
        </w:rPr>
        <w:t xml:space="preserve">0.5</w:t>
      </w:r>
      <w:r>
        <w:rPr>
          <w:rFonts w:hint="eastAsia" w:ascii="宋体" w:hAnsi="宋体" w:cs="宋体"/>
          <w:b w:val="0"/>
          <w:bCs w:val="0"/>
          <w:color w:val="000000"/>
          <w:sz w:val="24"/>
          <w:szCs w:val="24"/>
          <w:highlight w:val="none"/>
          <w:lang w:eastAsia="zh-CN"/>
        </w:rPr>
        <w:t xml:space="preserve">分，存在2处瑕疵的，有基本的解释说明的得</w:t>
      </w:r>
      <w:r>
        <w:rPr>
          <w:rFonts w:hint="eastAsia" w:ascii="宋体" w:hAnsi="宋体" w:cs="宋体"/>
          <w:b w:val="0"/>
          <w:bCs w:val="0"/>
          <w:color w:val="000000"/>
          <w:sz w:val="24"/>
          <w:szCs w:val="24"/>
          <w:highlight w:val="none"/>
          <w:lang w:val="en-US" w:eastAsia="zh-CN"/>
        </w:rPr>
        <w:t xml:space="preserve">0.25</w:t>
      </w:r>
      <w:r>
        <w:rPr>
          <w:rFonts w:hint="eastAsia" w:ascii="宋体" w:hAnsi="宋体" w:cs="宋体"/>
          <w:b w:val="0"/>
          <w:bCs w:val="0"/>
          <w:color w:val="000000"/>
          <w:sz w:val="24"/>
          <w:szCs w:val="24"/>
          <w:highlight w:val="none"/>
          <w:lang w:eastAsia="zh-CN"/>
        </w:rPr>
        <w:t xml:space="preserve">分，未进行阐述或不满足采购需求或内容存在2处以上瑕疵的得0分；本项共计</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点内容，本项最高得</w:t>
      </w:r>
      <w:r>
        <w:rPr>
          <w:rFonts w:hint="eastAsia" w:ascii="宋体" w:hAnsi="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eastAsia="zh-CN"/>
        </w:rPr>
        <w:t xml:space="preserve">分。</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r>
      <w:r/>
    </w:p>
    <w:p>
      <w:pPr>
        <w:pStyle w:val="1172"/>
        <w:ind w:firstLine="48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r>
      <w:r/>
    </w:p>
    <w:p>
      <w:pPr>
        <w:numPr>
          <w:ilvl w:val="0"/>
          <w:numId w:val="4"/>
        </w:numPr>
        <w:ind w:firstLine="640"/>
        <w:jc w:val="center"/>
        <w:spacing w:line="400" w:lineRule="exact"/>
        <w:tabs>
          <w:tab w:val="left" w:pos="1050" w:leader="none"/>
        </w:tabs>
        <w:rPr>
          <w:rFonts w:ascii="黑体" w:eastAsia="黑体"/>
          <w:bCs/>
          <w:color w:val="auto"/>
          <w:sz w:val="32"/>
          <w:szCs w:val="32"/>
          <w:highlight w:val="none"/>
        </w:rPr>
      </w:pPr>
      <w:r>
        <w:rPr>
          <w:rFonts w:hint="eastAsia" w:ascii="黑体" w:eastAsia="黑体"/>
          <w:bCs/>
          <w:color w:val="auto"/>
          <w:sz w:val="32"/>
          <w:szCs w:val="32"/>
          <w:highlight w:val="none"/>
        </w:rPr>
        <w:t xml:space="preserve"> 投标文件内容与格式</w:t>
      </w:r>
      <w:r/>
    </w:p>
    <w:p>
      <w:pPr>
        <w:pStyle w:val="1178"/>
        <w:ind w:firstLine="602"/>
        <w:jc w:val="center"/>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投标文件内容</w:t>
      </w:r>
      <w:r/>
    </w:p>
    <w:p>
      <w:pPr>
        <w:pStyle w:val="1178"/>
        <w:ind w:firstLine="562"/>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8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通用资格要求，详见第一章《投标邀请》</w:t>
            </w:r>
            <w:r/>
          </w:p>
        </w:tc>
      </w:tr>
      <w:tr>
        <w:trPr>
          <w:cantSplit/>
          <w:jc w:val="center"/>
          <w:trHeight w:val="812"/>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73"/>
                <w:rFonts w:hint="eastAsia" w:ascii="宋体" w:hAnsi="宋体" w:cs="宋体"/>
                <w:color w:val="auto"/>
                <w:sz w:val="24"/>
                <w:highlight w:val="none"/>
              </w:rPr>
              <w:t xml:space="preserve">。</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0"/>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ind w:firstLine="0"/>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《中小企业声明函》（给定格式）</w:t>
            </w:r>
            <w:r/>
          </w:p>
        </w:tc>
        <w:tc>
          <w:tcPr>
            <w:tcW w:w="2449" w:type="dxa"/>
            <w:vAlign w:val="center"/>
            <w:vMerge w:val="continue"/>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26"/>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w:t>
            </w:r>
            <w:r/>
          </w:p>
        </w:tc>
        <w:tc>
          <w:tcPr>
            <w:tcW w:w="2449" w:type="dxa"/>
            <w:vAlign w:val="center"/>
            <w:textDirection w:val="lrTb"/>
            <w:noWrap w:val="false"/>
          </w:tcPr>
          <w:p>
            <w:pPr>
              <w:pStyle w:val="1178"/>
              <w:ind w:firstLine="0"/>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78"/>
              <w:ind w:firstLine="0"/>
              <w:jc w:val="center"/>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78"/>
              <w:ind w:firstLine="0"/>
              <w:jc w:val="both"/>
              <w:keepLines w:val="0"/>
              <w:keepNext w:val="0"/>
              <w:pageBreakBefore w:val="0"/>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《联合体协议》（如有，格式自拟）。</w:t>
            </w:r>
            <w:r/>
          </w:p>
        </w:tc>
        <w:tc>
          <w:tcPr>
            <w:tcW w:w="2449" w:type="dxa"/>
            <w:vAlign w:val="center"/>
            <w:textDirection w:val="lrTb"/>
            <w:noWrap w:val="false"/>
          </w:tcPr>
          <w:p>
            <w:pPr>
              <w:pStyle w:val="1178"/>
              <w:ind w:firstLine="0"/>
              <w:keepLines w:val="0"/>
              <w:keepNext w:val="0"/>
              <w:pageBreakBefore w:val="0"/>
              <w:spacing w:before="0" w:after="0" w:line="240" w:lineRule="auto"/>
              <w:rPr>
                <w:rFonts w:hint="eastAsia" w:ascii="宋体" w:hAnsi="宋体" w:cs="宋体"/>
                <w:color w:val="auto"/>
                <w:highlight w:val="none"/>
              </w:rPr>
            </w:pPr>
            <w:r>
              <w:rPr>
                <w:rFonts w:hint="eastAsia" w:ascii="宋体" w:hAnsi="宋体"/>
                <w:color w:val="auto"/>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78"/>
              <w:ind w:firstLine="0"/>
              <w:jc w:val="center"/>
              <w:keepLines w:val="0"/>
              <w:keepNext w:val="0"/>
              <w:pageBreakBefore w:val="0"/>
              <w:spacing w:before="0" w:after="0" w:line="240" w:lineRule="auto"/>
              <w:widowControl w:val="off"/>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178"/>
              <w:ind w:firstLine="0"/>
              <w:jc w:val="center"/>
              <w:keepLines w:val="0"/>
              <w:keepNext w:val="0"/>
              <w:pageBreakBefore w:val="0"/>
              <w:spacing w:before="0" w:after="0" w:line="240" w:lineRule="auto"/>
              <w:widowControl w:val="off"/>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6</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178"/>
              <w:ind w:firstLine="0"/>
              <w:jc w:val="both"/>
              <w:keepLines w:val="0"/>
              <w:keepNext w:val="0"/>
              <w:pageBreakBefore w:val="0"/>
              <w:spacing w:before="0" w:after="0" w:line="240" w:lineRule="auto"/>
              <w:widowControl w:val="off"/>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178"/>
              <w:ind w:firstLine="0"/>
              <w:jc w:val="center"/>
              <w:keepLines w:val="0"/>
              <w:keepNext w:val="0"/>
              <w:pageBreakBefore w:val="0"/>
              <w:spacing w:before="0" w:after="0" w:line="240" w:lineRule="auto"/>
              <w:widowControl w:val="off"/>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7</w:t>
            </w:r>
            <w:r/>
          </w:p>
        </w:tc>
        <w:tc>
          <w:tcPr>
            <w:tcW w:w="6095" w:type="dxa"/>
            <w:vAlign w:val="center"/>
            <w:textDirection w:val="lrTb"/>
            <w:noWrap w:val="false"/>
          </w:tcPr>
          <w:p>
            <w:pPr>
              <w:pStyle w:val="1178"/>
              <w:ind w:firstLine="0"/>
              <w:jc w:val="both"/>
              <w:keepLines w:val="0"/>
              <w:keepNext w:val="0"/>
              <w:pageBreakBefore w:val="0"/>
              <w:spacing w:before="0" w:after="0" w:line="240" w:lineRule="auto"/>
              <w:widowControl w:val="off"/>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178"/>
              <w:ind w:firstLine="0"/>
              <w:keepLines w:val="0"/>
              <w:keepNext w:val="0"/>
              <w:pageBreakBefore w:val="0"/>
              <w:spacing w:before="0" w:after="0" w:line="240" w:lineRule="auto"/>
              <w:widowControl w:val="off"/>
              <w:rPr>
                <w:rFonts w:cs="Arial"/>
                <w:color w:val="auto"/>
                <w:highlight w:val="none"/>
              </w:rPr>
            </w:pPr>
            <w:r>
              <w:rPr>
                <w:rFonts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项可由联合体主体单位（即联合体牵头人）代表联合体提供。</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847"/>
        <w:rPr>
          <w:rFonts w:ascii="黑体" w:eastAsia="黑体"/>
          <w:bCs/>
          <w:color w:val="auto"/>
          <w:sz w:val="32"/>
          <w:szCs w:val="32"/>
          <w:highlight w:val="none"/>
        </w:rPr>
      </w:pPr>
      <w:r>
        <w:rPr>
          <w:rFonts w:ascii="黑体" w:eastAsia="黑体"/>
          <w:bCs/>
          <w:color w:val="auto"/>
          <w:sz w:val="32"/>
          <w:szCs w:val="32"/>
          <w:highlight w:val="none"/>
        </w:rPr>
      </w:r>
      <w:r/>
    </w:p>
    <w:p>
      <w:pPr>
        <w:pStyle w:val="847"/>
        <w:ind w:left="0" w:firstLine="0"/>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jc w:val="cente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1178"/>
        <w:ind w:left="0"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446"/>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JSZC-320206-JZCG-G2026-0036</w:t>
      </w:r>
      <w:r/>
    </w:p>
    <w:p>
      <w:pPr>
        <w:ind w:left="2693" w:hanging="1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阳山镇桃香苑B、C区及睦邻中心物业管理服务采购项目</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2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rPr>
          <w:rFonts w:hint="eastAsia"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79"/>
        <w:ind w:firstLine="480"/>
        <w:spacing w:line="460" w:lineRule="exact"/>
        <w:rPr>
          <w:color w:val="auto"/>
          <w:sz w:val="24"/>
          <w:szCs w:val="24"/>
          <w:highlight w:val="none"/>
        </w:rPr>
      </w:pPr>
      <w:r>
        <w:rPr>
          <w:rFonts w:hint="eastAsia"/>
          <w:color w:val="auto"/>
          <w:sz w:val="24"/>
          <w:szCs w:val="24"/>
          <w:highlight w:val="none"/>
        </w:rPr>
        <w:t xml:space="preserve">我公司（单位）针对</w:t>
      </w:r>
      <w:r>
        <w:rPr>
          <w:rFonts w:hint="eastAsia" w:ascii="黑体" w:eastAsia="黑体"/>
          <w:bCs/>
          <w:color w:val="auto"/>
          <w:sz w:val="24"/>
          <w:szCs w:val="24"/>
          <w:highlight w:val="none"/>
          <w:lang w:eastAsia="zh-CN"/>
        </w:rPr>
        <w:t xml:space="preserve">JSZC-320206-JZCG-G2026-0036</w:t>
      </w:r>
      <w:r>
        <w:rPr>
          <w:rFonts w:hint="eastAsia" w:ascii="宋体" w:hAnsi="宋体"/>
          <w:bCs/>
          <w:color w:val="auto"/>
          <w:sz w:val="24"/>
          <w:szCs w:val="24"/>
          <w:highlight w:val="none"/>
        </w:rPr>
        <w:t xml:space="preserve">项目，兹授权：</w:t>
      </w:r>
      <w:r/>
    </w:p>
    <w:p>
      <w:pPr>
        <w:pStyle w:val="1179"/>
        <w:ind w:firstLine="480"/>
        <w:spacing w:line="460" w:lineRule="exact"/>
        <w:rPr>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79"/>
        <w:ind w:firstLine="480"/>
        <w:spacing w:line="460" w:lineRule="exact"/>
        <w:rPr>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179"/>
        <w:ind w:firstLine="480"/>
        <w:spacing w:line="460" w:lineRule="exact"/>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179"/>
        <w:ind w:firstLine="480"/>
        <w:spacing w:line="460" w:lineRule="exact"/>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179"/>
        <w:ind w:firstLine="480"/>
        <w:spacing w:line="460" w:lineRule="exact"/>
        <w:rPr>
          <w:color w:val="auto"/>
          <w:sz w:val="24"/>
          <w:szCs w:val="24"/>
          <w:highlight w:val="none"/>
        </w:rPr>
      </w:pPr>
      <w:r>
        <w:rPr>
          <w:rFonts w:hint="eastAsia"/>
          <w:color w:val="auto"/>
          <w:sz w:val="24"/>
          <w:szCs w:val="24"/>
          <w:highlight w:val="none"/>
        </w:rPr>
        <w:t xml:space="preserve">特此授权委托。</w:t>
      </w:r>
      <w:r/>
    </w:p>
    <w:p>
      <w:pPr>
        <w:pStyle w:val="1179"/>
        <w:ind w:firstLine="480"/>
        <w:spacing w:line="460" w:lineRule="exact"/>
        <w:rPr>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179"/>
        <w:ind w:firstLine="480"/>
        <w:spacing w:line="460" w:lineRule="exact"/>
        <w:rPr>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179"/>
        <w:ind w:firstLine="602"/>
        <w:spacing w:line="460" w:lineRule="exact"/>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179"/>
        <w:ind w:firstLine="480"/>
        <w:spacing w:line="460" w:lineRule="exact"/>
        <w:rPr>
          <w:color w:val="auto"/>
          <w:sz w:val="24"/>
          <w:szCs w:val="24"/>
          <w:highlight w:val="none"/>
        </w:rPr>
      </w:pPr>
      <w:r>
        <w:rPr>
          <w:rFonts w:hint="eastAsia"/>
          <w:color w:val="auto"/>
          <w:sz w:val="24"/>
          <w:szCs w:val="24"/>
          <w:highlight w:val="none"/>
        </w:rPr>
        <w:t xml:space="preserve">说明：</w:t>
      </w:r>
      <w:r/>
    </w:p>
    <w:p>
      <w:pPr>
        <w:pStyle w:val="117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17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2.当被授权人为法定代表人（或上述情况的单位负责人）时，只需在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179"/>
        <w:ind w:firstLine="480"/>
        <w:spacing w:line="4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3.供应商为自然人情形的，可不提供本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179"/>
        <w:ind w:firstLine="480"/>
        <w:spacing w:line="460" w:lineRule="exact"/>
        <w:rPr>
          <w:rFonts w:hint="eastAsia" w:ascii="宋体" w:hAnsi="宋体"/>
          <w:color w:val="auto"/>
          <w:sz w:val="24"/>
          <w:szCs w:val="20"/>
          <w:highlight w:val="none"/>
        </w:rPr>
      </w:pPr>
      <w:r>
        <w:rPr>
          <w:rFonts w:hint="eastAsia" w:ascii="宋体" w:hAnsi="宋体"/>
          <w:bCs/>
          <w:color w:val="auto"/>
          <w:sz w:val="24"/>
          <w:szCs w:val="24"/>
          <w:highlight w:val="none"/>
        </w:rPr>
        <w:t xml:space="preserve">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可在中国大陆有效居留的许可证明。</w:t>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ind w:firstLine="640"/>
        <w:spacing w:line="400" w:lineRule="exact"/>
        <w:tabs>
          <w:tab w:val="left" w:pos="1050" w:leader="none"/>
        </w:tabs>
        <w:rPr>
          <w:rFonts w:ascii="黑体" w:eastAsia="黑体"/>
          <w:bCs/>
          <w:color w:val="auto"/>
          <w:sz w:val="32"/>
          <w:szCs w:val="32"/>
          <w:highlight w:val="none"/>
        </w:rPr>
      </w:pPr>
      <w:r>
        <w:rPr>
          <w:rFonts w:ascii="黑体" w:eastAsia="黑体"/>
          <w:bCs/>
          <w:color w:val="auto"/>
          <w:sz w:val="32"/>
          <w:szCs w:val="32"/>
          <w:highlight w:val="none"/>
        </w:rPr>
      </w:r>
      <w:r/>
    </w:p>
    <w:p>
      <w:pPr>
        <w:pStyle w:val="1179"/>
        <w:ind w:left="0"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37" w:name="报价方关于资格的声明函（格式）"/>
      <w:r/>
      <w:bookmarkEnd w:id="137"/>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无锡市惠山区政府采购中心：</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黑体" w:eastAsia="黑体"/>
          <w:bCs/>
          <w:color w:val="auto"/>
          <w:sz w:val="24"/>
          <w:szCs w:val="24"/>
          <w:highlight w:val="none"/>
          <w:lang w:eastAsia="zh-CN"/>
        </w:rPr>
        <w:t xml:space="preserve">JSZC-320206-JZCG-G2026-0036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color w:val="auto"/>
          <w:highlight w:val="none"/>
        </w:rPr>
      </w:pPr>
      <w:r>
        <w:rPr>
          <w:color w:val="auto"/>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color w:val="auto"/>
          <w:szCs w:val="21"/>
          <w:highlight w:val="none"/>
        </w:rPr>
      </w:r>
      <w:r/>
    </w:p>
    <w:p>
      <w:pPr>
        <w:ind w:firstLine="480"/>
        <w:rPr>
          <w:color w:val="auto"/>
          <w:szCs w:val="21"/>
          <w:highlight w:val="none"/>
        </w:rPr>
      </w:pPr>
      <w:r>
        <w:rPr>
          <w:rFonts w:hint="eastAsia"/>
          <w:color w:val="auto"/>
          <w:szCs w:val="2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 xml:space="preserve">只需</w:t>
      </w:r>
      <w:r>
        <w:rPr>
          <w:rFonts w:hint="eastAsia"/>
          <w:color w:val="auto"/>
          <w:szCs w:val="21"/>
          <w:highlight w:val="none"/>
        </w:rPr>
        <w:t xml:space="preserve">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投标人未按上述要求逐一进行填报的将被视为无效投标文件；非专门面向中小企业的项目</w:t>
      </w:r>
      <w:r>
        <w:rPr>
          <w:rFonts w:hint="eastAsia"/>
          <w:color w:val="auto"/>
          <w:szCs w:val="21"/>
          <w:highlight w:val="none"/>
          <w:lang w:eastAsia="zh-CN"/>
        </w:rPr>
        <w:t xml:space="preserve">，</w:t>
      </w:r>
      <w:r>
        <w:rPr>
          <w:rFonts w:hint="eastAsia"/>
          <w:color w:val="auto"/>
          <w:szCs w:val="21"/>
          <w:highlight w:val="none"/>
        </w:rPr>
        <w:t xml:space="preserve">投标人未按上述要求逐一进行填报的将不进行中、小、微型企业认定。</w:t>
      </w:r>
      <w:r/>
    </w:p>
    <w:p>
      <w:pPr>
        <w:ind w:firstLine="480"/>
        <w:rPr>
          <w:color w:val="auto"/>
          <w:szCs w:val="21"/>
          <w:highlight w:val="none"/>
        </w:rPr>
      </w:pPr>
      <w:r>
        <w:rPr>
          <w:rFonts w:hint="eastAsia"/>
          <w:color w:val="auto"/>
          <w:szCs w:val="21"/>
          <w:highlight w:val="none"/>
        </w:rPr>
        <w:t xml:space="preserve">（2）</w:t>
      </w:r>
      <w:r>
        <w:rPr>
          <w:color w:val="auto"/>
          <w:szCs w:val="21"/>
          <w:highlight w:val="none"/>
        </w:rPr>
        <w:t xml:space="preserve">从业人员、营业收入、资产总额填报上一年度数据，无上一年度数据的新成立企业可不填报。</w:t>
      </w:r>
      <w:r/>
    </w:p>
    <w:p>
      <w:pPr>
        <w:ind w:firstLine="480"/>
        <w:rPr>
          <w:color w:val="auto"/>
          <w:highlight w:val="none"/>
        </w:rPr>
      </w:pPr>
      <w:r>
        <w:rPr>
          <w:rFonts w:hint="eastAsia"/>
          <w:color w:val="auto"/>
          <w:szCs w:val="21"/>
          <w:highlight w:val="none"/>
        </w:rPr>
        <w:t xml:space="preserve">（3）中标供应商的《</w:t>
      </w:r>
      <w:r>
        <w:rPr>
          <w:color w:val="auto"/>
          <w:szCs w:val="21"/>
          <w:highlight w:val="none"/>
        </w:rPr>
        <w:t xml:space="preserve">中小企业声明函</w:t>
      </w:r>
      <w:r>
        <w:rPr>
          <w:rFonts w:hint="eastAsia"/>
          <w:color w:val="auto"/>
          <w:szCs w:val="2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560"/>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致无锡市惠山区政府采购中心：</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黑体" w:eastAsia="黑体"/>
          <w:bCs/>
          <w:color w:val="auto"/>
          <w:sz w:val="24"/>
          <w:szCs w:val="24"/>
          <w:highlight w:val="none"/>
          <w:lang w:eastAsia="zh-CN"/>
        </w:rPr>
        <w:t xml:space="preserve">JSZC-320206-JZCG-G2026-0036</w:t>
      </w:r>
      <w:r>
        <w:rPr>
          <w:rFonts w:hint="eastAsia" w:ascii="宋体" w:hAnsi="宋体"/>
          <w:bCs/>
          <w:color w:val="auto"/>
          <w:sz w:val="24"/>
          <w:szCs w:val="24"/>
          <w:highlight w:val="none"/>
        </w:rPr>
        <w:t xml:space="preserve">招标文件，经仔细阅读和研究，我方决定参加此项目的投标。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180"/>
          <w:rFonts w:hint="eastAsia"/>
          <w:bCs/>
          <w:color w:val="auto"/>
          <w:highlight w:val="none"/>
        </w:rPr>
      </w:pPr>
      <w:r>
        <w:rPr>
          <w:rFonts w:hint="eastAsia" w:ascii="宋体" w:hAnsi="宋体"/>
          <w:bCs/>
          <w:color w:val="auto"/>
          <w:sz w:val="24"/>
          <w:szCs w:val="24"/>
          <w:highlight w:val="none"/>
        </w:rPr>
        <w:t xml:space="preserve">二、我方愿意提供无锡市惠山区政府采购中心在招标文件中要求的文件、资料。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三、我方同意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五、我方完全同意招标文件规定的决定中标者的方式。</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七、我方认可并遵守招标文件的所有规定，放弃对招标文件提出质疑的权利。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八、如我方在投标截止期后撤回投标及中标后拒绝遵守投标承诺或拒绝在规定的时间内与采购人签订合同，则接受政府采购监督管理部门的处理。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九、如果我方被确定为中标供应商，我方愿意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rPr>
        <w:t xml:space="preserve">七、承诺书（给定格式）：</w:t>
      </w:r>
      <w:r/>
    </w:p>
    <w:p>
      <w:pPr>
        <w:ind w:firstLine="602"/>
        <w:rPr>
          <w:b/>
          <w:color w:val="auto"/>
          <w:sz w:val="30"/>
          <w:szCs w:val="30"/>
          <w:highlight w:val="none"/>
        </w:rPr>
        <w:outlineLvl w:val="0"/>
      </w:pPr>
      <w:r>
        <w:rPr>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黑体" w:eastAsia="黑体"/>
          <w:bCs/>
          <w:color w:val="auto"/>
          <w:sz w:val="24"/>
          <w:szCs w:val="24"/>
          <w:highlight w:val="none"/>
          <w:lang w:eastAsia="zh-CN"/>
        </w:rPr>
        <w:t xml:space="preserve">JSZC-320206-JZCG-G2026-0036</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2、本公司（单位）保证中标并合同签订生效后，将按招标文件要求及所投投标文件中做出的相应承诺将相关人员及时配置到位。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八、开标一览表（给定格式）：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JSZC-320206-JZCG-G2026-0036</w:t>
      </w:r>
      <w:r/>
    </w:p>
    <w:tbl>
      <w:tblPr>
        <w:tblStyle w:val="817"/>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4"/>
        <w:gridCol w:w="4229"/>
      </w:tblGrid>
      <w:tr>
        <w:trPr>
          <w:cantSplit/>
          <w:trHeight w:val="567"/>
        </w:trPr>
        <w:tc>
          <w:tcPr>
            <w:tcW w:w="5694"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229"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4" w:type="dxa"/>
            <w:vAlign w:val="center"/>
            <w:textDirection w:val="lrTb"/>
            <w:noWrap w:val="false"/>
          </w:tcPr>
          <w:p>
            <w:pPr>
              <w:pStyle w:val="1131"/>
              <w:jc w:val="center"/>
              <w:spacing w:line="400" w:lineRule="exact"/>
              <w:rPr>
                <w:rFonts w:hint="eastAsia" w:ascii="黑体" w:hAnsi="黑体" w:eastAsia="黑体"/>
                <w:bCs/>
                <w:color w:val="auto"/>
                <w:szCs w:val="24"/>
                <w:highlight w:val="none"/>
              </w:rPr>
            </w:pPr>
            <w:r>
              <w:rPr>
                <w:rFonts w:hint="eastAsia" w:ascii="黑体" w:hAnsi="黑体" w:eastAsia="黑体"/>
                <w:bCs/>
                <w:color w:val="auto"/>
                <w:szCs w:val="24"/>
                <w:highlight w:val="none"/>
                <w:lang w:eastAsia="zh-CN"/>
              </w:rPr>
              <w:tab/>
              <w:t xml:space="preserve">阳山镇桃香苑B、C区及睦邻中心物业管理服务采购项目</w:t>
            </w:r>
            <w:r/>
          </w:p>
        </w:tc>
        <w:tc>
          <w:tcPr>
            <w:tcW w:w="4229" w:type="dxa"/>
            <w:vAlign w:val="center"/>
            <w:textDirection w:val="lrTb"/>
            <w:noWrap w:val="false"/>
          </w:tcPr>
          <w:p>
            <w:pPr>
              <w:pStyle w:val="1131"/>
              <w:ind w:firstLine="482"/>
              <w:jc w:val="center"/>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9923"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30"/>
          <w:szCs w:val="30"/>
          <w:highlight w:val="none"/>
        </w:rPr>
        <w:t xml:space="preserve">九、分项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hint="eastAsia" w:ascii="宋体" w:hAnsi="宋体" w:eastAsia="宋体" w:cs="宋体"/>
          <w:b/>
          <w:bCs w:val="0"/>
          <w:color w:val="auto"/>
          <w:sz w:val="28"/>
          <w:szCs w:val="28"/>
          <w:highlight w:val="none"/>
        </w:rPr>
        <w:outlineLvl w:val="0"/>
      </w:pPr>
      <w:r/>
      <w:bookmarkStart w:id="138" w:name="_Toc120614284"/>
      <w:r>
        <w:rPr>
          <w:rFonts w:hint="eastAsia" w:ascii="宋体" w:hAnsi="宋体" w:eastAsia="宋体" w:cs="宋体"/>
          <w:b/>
          <w:bCs w:val="0"/>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JSZC-320206-JZCG-G2026-0036</w:t>
      </w:r>
      <w:r/>
    </w:p>
    <w:tbl>
      <w:tblPr>
        <w:tblStyle w:val="817"/>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633"/>
        <w:gridCol w:w="1200"/>
        <w:gridCol w:w="1260"/>
        <w:gridCol w:w="1375"/>
        <w:gridCol w:w="2288"/>
      </w:tblGrid>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36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项目名称</w:t>
            </w:r>
            <w:r/>
          </w:p>
        </w:tc>
        <w:tc>
          <w:tcPr>
            <w:tcW w:w="120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2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报价</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228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员工工资、福利、法定计提费用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参照表（1）</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2</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行政办公费用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办公用品、耗材费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交通费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通讯费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培训费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员工餐费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标识标牌等费用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 </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b/>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
                <w:color w:val="auto"/>
                <w:szCs w:val="21"/>
                <w:highlight w:val="none"/>
              </w:rPr>
              <w:t xml:space="preserve">服装费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4</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卫生清洁费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保洁工具</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bCs/>
                <w:color w:val="auto"/>
                <w:szCs w:val="21"/>
                <w:highlight w:val="none"/>
              </w:rPr>
              <w:t xml:space="preserve">卫生保洁耗材</w:t>
            </w:r>
            <w:r>
              <w:rPr>
                <w:rFonts w:hint="eastAsia" w:ascii="宋体" w:hAnsi="宋体"/>
                <w:color w:val="auto"/>
                <w:szCs w:val="21"/>
                <w:highlight w:val="none"/>
              </w:rPr>
              <w:t xml:space="preserve">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参照表（3）</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消杀防疫等费用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c>
          <w:tcPr>
            <w:tcW w:w="36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其他费用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5</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安保器械装备费</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参照表（2）</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6</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餐饮服务相关费用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自行列清单附后</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7</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维修维保费用</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参照表（4）</w:t>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8</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合理利润</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9</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税金</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10</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其他支出（按需求自行列举）</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b/>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1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3633" w:type="dxa"/>
            <w:vAlign w:val="center"/>
            <w:textDirection w:val="lrTb"/>
            <w:noWrap w:val="false"/>
          </w:tcPr>
          <w:p>
            <w:pPr>
              <w:jc w:val="left"/>
              <w:rPr>
                <w:rFonts w:hint="eastAsia" w:ascii="宋体" w:hAnsi="宋体"/>
                <w:b/>
                <w:color w:val="auto"/>
                <w:szCs w:val="21"/>
                <w:highlight w:val="none"/>
              </w:rPr>
            </w:pPr>
            <w:r>
              <w:rPr>
                <w:rFonts w:hint="eastAsia" w:ascii="宋体" w:hAnsi="宋体"/>
                <w:b/>
                <w:color w:val="auto"/>
                <w:szCs w:val="21"/>
                <w:highlight w:val="none"/>
              </w:rPr>
              <w:t xml:space="preserve">合计：</w:t>
            </w:r>
            <w:r/>
          </w:p>
        </w:tc>
        <w:tc>
          <w:tcPr>
            <w:tcW w:w="120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228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spacing w:line="400" w:lineRule="exact"/>
        <w:rPr>
          <w:rFonts w:ascii="黑体" w:eastAsia="黑体"/>
          <w:bCs/>
          <w:color w:val="auto"/>
          <w:sz w:val="32"/>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r/>
    </w:p>
    <w:p>
      <w:pPr>
        <w:ind w:firstLine="480"/>
        <w:rPr>
          <w:rFonts w:hint="eastAsia" w:ascii="宋体" w:hAnsi="宋体"/>
          <w:bCs/>
          <w:color w:val="auto"/>
          <w:highlight w:val="none"/>
        </w:rPr>
      </w:pPr>
      <w:r>
        <w:rPr>
          <w:rFonts w:hint="eastAsia" w:ascii="宋体" w:hAnsi="宋体"/>
          <w:bCs/>
          <w:color w:val="auto"/>
          <w:highlight w:val="none"/>
        </w:rPr>
        <w:t xml:space="preserve">2、上述报价表由投标单位参照，不限于此，可根据采购需求自行添加条目进行投报。</w:t>
      </w:r>
      <w:r/>
    </w:p>
    <w:p>
      <w:pPr>
        <w:ind w:firstLine="480"/>
        <w:rPr>
          <w:rFonts w:ascii="宋体" w:hAnsi="Calibri"/>
          <w:bCs/>
          <w:color w:val="auto"/>
          <w:highlight w:val="none"/>
        </w:rPr>
        <w:outlineLvl w:val="0"/>
      </w:pPr>
      <w:r>
        <w:rPr>
          <w:rFonts w:hint="eastAsia" w:ascii="宋体" w:hAnsi="宋体"/>
          <w:bCs/>
          <w:color w:val="auto"/>
          <w:highlight w:val="none"/>
        </w:rPr>
        <w:t xml:space="preserve">3、</w:t>
      </w:r>
      <w:r>
        <w:rPr>
          <w:rFonts w:hint="eastAsia" w:ascii="宋体" w:hAnsi="Calibri"/>
          <w:bCs/>
          <w:color w:val="auto"/>
          <w:highlight w:val="none"/>
        </w:rPr>
        <w:t xml:space="preserve">投标人</w:t>
      </w:r>
      <w:r>
        <w:rPr>
          <w:rFonts w:hint="eastAsia" w:ascii="宋体" w:hAnsi="Calibri"/>
          <w:bCs/>
          <w:color w:val="auto"/>
          <w:highlight w:val="none"/>
          <w:lang w:val="en-US" w:eastAsia="zh-CN"/>
        </w:rPr>
        <w:t xml:space="preserve">为</w:t>
      </w:r>
      <w:r>
        <w:rPr>
          <w:rFonts w:hint="eastAsia" w:ascii="宋体" w:hAnsi="Calibri"/>
          <w:bCs/>
          <w:color w:val="auto"/>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 xml:space="preserve">如未按要求填写和提供有效证明或相关内容表述不清的，不得享受价格扣除。</w:t>
      </w:r>
      <w:r>
        <w:rPr>
          <w:rFonts w:hint="eastAsia" w:ascii="宋体" w:hAnsi="Calibri"/>
          <w:bCs/>
          <w:color w:val="auto"/>
          <w:highlight w:val="none"/>
        </w:rPr>
        <w:t xml:space="preserve">投标人对所报相关数据的真实性负责，无锡市</w:t>
      </w:r>
      <w:r>
        <w:rPr>
          <w:rFonts w:hint="eastAsia" w:ascii="宋体" w:hAnsi="Calibri"/>
          <w:bCs/>
          <w:color w:val="auto"/>
          <w:highlight w:val="none"/>
          <w:lang w:val="en-US" w:eastAsia="zh-CN"/>
        </w:rPr>
        <w:t xml:space="preserve">惠山区</w:t>
      </w:r>
      <w:r>
        <w:rPr>
          <w:rFonts w:hint="eastAsia" w:ascii="宋体" w:hAnsi="Calibri"/>
          <w:bCs/>
          <w:color w:val="auto"/>
          <w:highlight w:val="none"/>
        </w:rPr>
        <w:t xml:space="preserve">政府采购中心有权将相关内容进行公示；</w:t>
      </w:r>
      <w:r/>
    </w:p>
    <w:p>
      <w:pPr>
        <w:jc w:val="center"/>
        <w:rPr>
          <w:rFonts w:hint="eastAsia" w:ascii="宋体" w:hAnsi="宋体"/>
          <w:b/>
          <w:bCs/>
          <w:color w:val="auto"/>
          <w:sz w:val="24"/>
          <w:szCs w:val="24"/>
          <w:highlight w:val="none"/>
        </w:rPr>
        <w:outlineLvl w:val="0"/>
      </w:pPr>
      <w:r>
        <w:rPr>
          <w:rFonts w:ascii="宋体" w:hAnsi="Calibri"/>
          <w:bCs/>
          <w:color w:val="auto"/>
          <w:highlight w:val="none"/>
        </w:rPr>
        <w:br w:type="page" w:clear="all"/>
      </w:r>
      <w:r>
        <w:rPr>
          <w:rFonts w:hint="eastAsia" w:ascii="宋体" w:hAnsi="宋体"/>
          <w:b/>
          <w:bCs/>
          <w:color w:val="auto"/>
          <w:sz w:val="24"/>
          <w:szCs w:val="24"/>
          <w:highlight w:val="none"/>
        </w:rPr>
        <w:t xml:space="preserve">表（1）：员工工资福利及法定计提费用明细表</w:t>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091"/>
        <w:gridCol w:w="885"/>
        <w:gridCol w:w="1695"/>
        <w:gridCol w:w="1685"/>
        <w:gridCol w:w="1109"/>
        <w:gridCol w:w="1406"/>
      </w:tblGrid>
      <w:tr>
        <w:trPr>
          <w:jc w:val="center"/>
          <w:trHeight w:val="1119"/>
        </w:trPr>
        <w:tc>
          <w:tcPr>
            <w:tcW w:w="917"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序号</w:t>
            </w:r>
            <w:r/>
          </w:p>
        </w:tc>
        <w:tc>
          <w:tcPr>
            <w:tcW w:w="2091"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项目名称</w:t>
            </w:r>
            <w:r/>
          </w:p>
        </w:tc>
        <w:tc>
          <w:tcPr>
            <w:tcW w:w="88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人数配置</w:t>
            </w:r>
            <w:r/>
          </w:p>
        </w:tc>
        <w:tc>
          <w:tcPr>
            <w:tcW w:w="169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人员费用标准（元/月）</w:t>
            </w:r>
            <w:r/>
          </w:p>
        </w:tc>
        <w:tc>
          <w:tcPr>
            <w:tcW w:w="1685"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合计费用（元/</w:t>
            </w:r>
            <w:r>
              <w:rPr>
                <w:rFonts w:hint="eastAsia" w:ascii="黑体" w:hAnsi="宋体" w:eastAsia="黑体"/>
                <w:b/>
                <w:szCs w:val="21"/>
                <w:lang w:eastAsia="zh-CN"/>
              </w:rPr>
              <w:t xml:space="preserve">年</w:t>
            </w:r>
            <w:r>
              <w:rPr>
                <w:rFonts w:hint="eastAsia" w:ascii="黑体" w:hAnsi="宋体" w:eastAsia="黑体"/>
                <w:b/>
                <w:szCs w:val="21"/>
              </w:rPr>
              <w:t xml:space="preserve">）</w:t>
            </w:r>
            <w:r/>
          </w:p>
        </w:tc>
        <w:tc>
          <w:tcPr>
            <w:tcW w:w="1109"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合计费用（元/</w:t>
            </w:r>
            <w:r>
              <w:rPr>
                <w:rFonts w:hint="eastAsia" w:ascii="黑体" w:hAnsi="宋体" w:eastAsia="黑体"/>
                <w:b/>
                <w:szCs w:val="21"/>
                <w:lang w:eastAsia="zh-CN"/>
              </w:rPr>
              <w:t xml:space="preserve">三</w:t>
            </w:r>
            <w:r>
              <w:rPr>
                <w:rFonts w:hint="eastAsia" w:ascii="黑体" w:hAnsi="宋体" w:eastAsia="黑体"/>
                <w:b/>
                <w:szCs w:val="21"/>
              </w:rPr>
              <w:t xml:space="preserve">年）</w:t>
            </w:r>
            <w:r/>
          </w:p>
        </w:tc>
        <w:tc>
          <w:tcPr>
            <w:tcW w:w="1406" w:type="dxa"/>
            <w:vAlign w:val="center"/>
            <w:textDirection w:val="lrTb"/>
            <w:noWrap w:val="false"/>
          </w:tcPr>
          <w:p>
            <w:pPr>
              <w:jc w:val="center"/>
              <w:rPr>
                <w:rFonts w:hint="eastAsia" w:ascii="黑体" w:hAnsi="宋体" w:eastAsia="黑体"/>
                <w:b/>
                <w:szCs w:val="21"/>
              </w:rPr>
            </w:pPr>
            <w:r>
              <w:rPr>
                <w:rFonts w:hint="eastAsia" w:ascii="黑体" w:hAnsi="宋体" w:eastAsia="黑体"/>
                <w:b/>
                <w:szCs w:val="21"/>
              </w:rPr>
              <w:t xml:space="preserve">备注</w:t>
            </w:r>
            <w:r/>
          </w:p>
        </w:tc>
      </w:tr>
      <w:tr>
        <w:trPr>
          <w:jc w:val="center"/>
          <w:trHeight w:val="525"/>
        </w:trPr>
        <w:tc>
          <w:tcPr>
            <w:tcW w:w="917" w:type="dxa"/>
            <w:vAlign w:val="center"/>
            <w:textDirection w:val="lrTb"/>
            <w:noWrap w:val="false"/>
          </w:tcPr>
          <w:p>
            <w:pPr>
              <w:jc w:val="center"/>
              <w:rPr>
                <w:rFonts w:hint="eastAsia" w:ascii="宋体" w:hAnsi="宋体"/>
                <w:b/>
              </w:rPr>
            </w:pPr>
            <w:r>
              <w:rPr>
                <w:rFonts w:hint="eastAsia" w:ascii="宋体" w:hAnsi="宋体"/>
                <w:b/>
              </w:rPr>
              <w:t xml:space="preserve">1</w:t>
            </w:r>
            <w:r/>
          </w:p>
        </w:tc>
        <w:tc>
          <w:tcPr>
            <w:tcW w:w="2091" w:type="dxa"/>
            <w:vAlign w:val="center"/>
            <w:textDirection w:val="lrTb"/>
            <w:noWrap w:val="false"/>
          </w:tcPr>
          <w:p>
            <w:pPr>
              <w:jc w:val="center"/>
              <w:rPr>
                <w:rFonts w:hint="eastAsia" w:ascii="宋体" w:hAnsi="宋体"/>
                <w:b/>
              </w:rPr>
            </w:pPr>
            <w:r>
              <w:rPr>
                <w:rFonts w:hint="eastAsia" w:ascii="宋体" w:hAnsi="宋体"/>
                <w:b/>
              </w:rPr>
              <w:t xml:space="preserve">员工工资及福利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0"/>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1</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eastAsia="宋体"/>
                <w:lang w:eastAsia="zh-CN"/>
              </w:rPr>
            </w:pPr>
            <w:r>
              <w:rPr>
                <w:rFonts w:hint="eastAsia" w:ascii="宋体" w:hAnsi="宋体"/>
                <w:lang w:eastAsia="zh-CN"/>
              </w:rPr>
              <w:t xml:space="preserve">物业经理</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1</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2</w:t>
            </w:r>
            <w:r>
              <w:rPr>
                <w:rFonts w:hint="eastAsia" w:ascii="宋体" w:hAnsi="宋体"/>
                <w:lang w:eastAsia="zh-CN"/>
              </w:rPr>
              <w:t xml:space="preserve">)</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cs="宋体"/>
                <w:i w:val="0"/>
                <w:iCs w:val="0"/>
                <w:color w:val="000000"/>
                <w:sz w:val="21"/>
                <w:szCs w:val="21"/>
                <w:u w:val="none"/>
                <w:lang w:val="en-US" w:eastAsia="zh-CN" w:bidi="ar"/>
              </w:rPr>
              <w:t xml:space="preserve">出纳兼客服</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2</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(3)</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保安队长</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2</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(4)</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保安班长兼巡逻</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8</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(5)</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门岗</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8</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(6)</w:t>
            </w:r>
            <w:r/>
          </w:p>
        </w:tc>
        <w:tc>
          <w:tcPr>
            <w:tcW w:w="2091" w:type="dxa"/>
            <w:vAlign w:val="center"/>
            <w:textDirection w:val="lrTb"/>
            <w:noWrap w:val="false"/>
          </w:tcPr>
          <w:p>
            <w:pPr>
              <w:jc w:val="center"/>
              <w:keepLines w:val="0"/>
              <w:keepNext w:val="0"/>
              <w:widowControl/>
              <w:rPr>
                <w:rFonts w:hint="eastAsia" w:ascii="宋体" w:hAnsi="宋体" w:eastAsia="宋体"/>
                <w:lang w:eastAsia="zh-CN"/>
              </w:rPr>
              <w:suppressLineNumbers w:val="0"/>
            </w:pPr>
            <w:r>
              <w:rPr>
                <w:rFonts w:hint="eastAsia" w:ascii="宋体" w:hAnsi="宋体"/>
                <w:lang w:eastAsia="zh-CN"/>
              </w:rPr>
              <w:t xml:space="preserve">消控</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8</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(7)</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保洁主管</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2</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(8)</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保洁员</w:t>
            </w:r>
            <w:r/>
          </w:p>
        </w:tc>
        <w:tc>
          <w:tcPr>
            <w:tcW w:w="885" w:type="dxa"/>
            <w:vAlign w:val="center"/>
            <w:textDirection w:val="lrTb"/>
            <w:noWrap w:val="false"/>
          </w:tcPr>
          <w:p>
            <w:pPr>
              <w:jc w:val="center"/>
              <w:rPr>
                <w:rFonts w:hint="default" w:ascii="宋体" w:hAnsi="宋体" w:eastAsia="宋体"/>
                <w:lang w:val="en-US" w:eastAsia="zh-CN"/>
              </w:rPr>
            </w:pPr>
            <w:r>
              <w:rPr>
                <w:rFonts w:hint="eastAsia" w:ascii="宋体" w:hAnsi="宋体"/>
                <w:lang w:val="en-US" w:eastAsia="zh-CN"/>
              </w:rPr>
              <w:t xml:space="preserve">13</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rPr>
              <w:suppressLineNumbers w:val="0"/>
            </w:pPr>
            <w:r>
              <w:rPr>
                <w:rFonts w:hint="eastAsia" w:ascii="宋体" w:hAnsi="宋体" w:eastAsia="宋体" w:cs="宋体"/>
                <w:sz w:val="21"/>
                <w:szCs w:val="21"/>
                <w:lang w:val="en-US" w:eastAsia="zh-CN" w:bidi="ar"/>
              </w:rPr>
              <w:t xml:space="preserve">(9)</w:t>
            </w:r>
            <w:r/>
          </w:p>
        </w:tc>
        <w:tc>
          <w:tcPr>
            <w:tcW w:w="2091" w:type="dxa"/>
            <w:vAlign w:val="center"/>
            <w:textDirection w:val="lrTb"/>
            <w:noWrap w:val="false"/>
          </w:tcPr>
          <w:p>
            <w:pPr>
              <w:jc w:val="center"/>
              <w:keepLines w:val="0"/>
              <w:keepNext w:val="0"/>
              <w:widowControl/>
              <w:rPr>
                <w:rFonts w:hint="eastAsia" w:ascii="宋体" w:hAnsi="宋体"/>
              </w:rPr>
              <w:suppressLineNumbers w:val="0"/>
            </w:pPr>
            <w:r>
              <w:rPr>
                <w:rFonts w:hint="eastAsia" w:ascii="宋体" w:hAnsi="宋体" w:eastAsia="宋体" w:cs="宋体"/>
                <w:i w:val="0"/>
                <w:iCs w:val="0"/>
                <w:color w:val="000000"/>
                <w:sz w:val="21"/>
                <w:szCs w:val="21"/>
                <w:u w:val="none"/>
                <w:lang w:val="en-US" w:eastAsia="zh-CN" w:bidi="ar"/>
              </w:rPr>
              <w:t xml:space="preserve">工程（水电）</w:t>
            </w:r>
            <w:r/>
          </w:p>
        </w:tc>
        <w:tc>
          <w:tcPr>
            <w:tcW w:w="885" w:type="dxa"/>
            <w:vAlign w:val="center"/>
            <w:textDirection w:val="lrTb"/>
            <w:noWrap w:val="false"/>
          </w:tcPr>
          <w:p>
            <w:pPr>
              <w:jc w:val="center"/>
              <w:rPr>
                <w:rFonts w:hint="eastAsia" w:ascii="宋体" w:hAnsi="宋体" w:eastAsia="宋体"/>
                <w:lang w:val="en-US" w:eastAsia="zh-CN"/>
              </w:rPr>
            </w:pPr>
            <w:r>
              <w:rPr>
                <w:rFonts w:hint="eastAsia" w:ascii="宋体" w:hAnsi="宋体"/>
                <w:lang w:val="en-US" w:eastAsia="zh-CN"/>
              </w:rPr>
              <w:t xml:space="preserve">2</w:t>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6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10)</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法定节假日加班工资</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21"/>
                <w:lang w:val="en-US" w:eastAsia="zh-CN" w:bidi="ar-SA"/>
              </w:rPr>
            </w:pPr>
            <w:r>
              <w:rPr>
                <w:rFonts w:hint="eastAsia" w:ascii="宋体" w:hAnsi="宋体"/>
                <w:sz w:val="15"/>
                <w:szCs w:val="15"/>
              </w:rPr>
              <w:t xml:space="preserve">按人员配置总数</w:t>
            </w:r>
            <w:r>
              <w:rPr>
                <w:rFonts w:hint="eastAsia" w:ascii="宋体" w:hAnsi="宋体"/>
                <w:sz w:val="15"/>
                <w:szCs w:val="15"/>
                <w:lang w:eastAsia="zh-CN"/>
              </w:rPr>
              <w:t xml:space="preserve">不少于</w:t>
            </w:r>
            <w:r>
              <w:rPr>
                <w:rFonts w:hint="eastAsia" w:ascii="宋体" w:hAnsi="宋体"/>
                <w:sz w:val="15"/>
                <w:szCs w:val="15"/>
                <w:lang w:val="en-US" w:eastAsia="zh-CN"/>
              </w:rPr>
              <w:t xml:space="preserve">41</w:t>
            </w:r>
            <w:r>
              <w:rPr>
                <w:rFonts w:hint="eastAsia" w:ascii="宋体" w:hAnsi="宋体"/>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11)</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员工人身意外保险费</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46</w:t>
            </w:r>
            <w:r>
              <w:rPr>
                <w:rFonts w:hint="eastAsia" w:ascii="宋体" w:hAnsi="宋体"/>
                <w:sz w:val="15"/>
                <w:szCs w:val="15"/>
              </w:rPr>
              <w:t xml:space="preserve">人计算</w:t>
            </w:r>
            <w:r/>
          </w:p>
        </w:tc>
      </w:tr>
      <w:tr>
        <w:trPr>
          <w:jc w:val="center"/>
          <w:trHeight w:val="461"/>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lang w:val="en-US" w:eastAsia="zh-CN"/>
              </w:rPr>
              <w:t xml:space="preserve">12)</w:t>
            </w:r>
            <w:r/>
          </w:p>
        </w:tc>
        <w:tc>
          <w:tcPr>
            <w:shd w:val="clear" w:color="auto" w:fill="auto"/>
            <w:tcW w:w="2091"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rPr>
              <w:t xml:space="preserve">高温费</w:t>
            </w:r>
            <w:r/>
          </w:p>
        </w:tc>
        <w:tc>
          <w:tcPr>
            <w:shd w:val="clear" w:color="auto" w:fill="auto"/>
            <w:tcW w:w="88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69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685"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109" w:type="dxa"/>
            <w:vAlign w:val="center"/>
            <w:textDirection w:val="lrTb"/>
            <w:noWrap w:val="false"/>
          </w:tcPr>
          <w:p>
            <w:pPr>
              <w:jc w:val="center"/>
              <w:rPr>
                <w:rFonts w:hint="eastAsia" w:ascii="宋体" w:hAnsi="宋体" w:eastAsia="宋体" w:cs="Times New Roman"/>
                <w:sz w:val="21"/>
                <w:lang w:val="en-US" w:eastAsia="zh-CN" w:bidi="ar-SA"/>
              </w:rPr>
            </w:pPr>
            <w:r>
              <w:rPr>
                <w:rFonts w:hint="eastAsia" w:ascii="宋体" w:hAnsi="宋体" w:eastAsia="宋体" w:cs="Times New Roman"/>
                <w:sz w:val="21"/>
                <w:lang w:val="en-US" w:eastAsia="zh-CN" w:bidi="ar-SA"/>
              </w:rPr>
            </w:r>
            <w:r/>
          </w:p>
        </w:tc>
        <w:tc>
          <w:tcPr>
            <w:shd w:val="clear" w:color="auto" w:fill="auto"/>
            <w:tcW w:w="1406" w:type="dxa"/>
            <w:vAlign w:val="center"/>
            <w:textDirection w:val="lrTb"/>
            <w:noWrap w:val="false"/>
          </w:tcPr>
          <w:p>
            <w:pPr>
              <w:jc w:val="both"/>
              <w:rPr>
                <w:rFonts w:hint="eastAsia" w:ascii="Times New Roman" w:hAnsi="Times New Roman" w:eastAsia="宋体" w:cs="Times New Roman"/>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eastAsia="zh-CN"/>
              </w:rPr>
              <w:t xml:space="preserve">不少于</w:t>
            </w:r>
            <w:r>
              <w:rPr>
                <w:rFonts w:hint="eastAsia" w:ascii="宋体" w:hAnsi="宋体"/>
                <w:sz w:val="15"/>
                <w:szCs w:val="15"/>
                <w:lang w:val="en-US" w:eastAsia="zh-CN"/>
              </w:rPr>
              <w:t xml:space="preserve">10</w:t>
            </w:r>
            <w:r>
              <w:rPr>
                <w:rFonts w:hint="eastAsia" w:ascii="宋体" w:hAnsi="宋体"/>
                <w:sz w:val="15"/>
                <w:szCs w:val="15"/>
              </w:rPr>
              <w:t xml:space="preserve">人计算</w:t>
            </w:r>
            <w:r/>
          </w:p>
        </w:tc>
      </w:tr>
      <w:tr>
        <w:trPr>
          <w:jc w:val="center"/>
          <w:trHeight w:val="493"/>
        </w:trPr>
        <w:tc>
          <w:tcPr>
            <w:tcW w:w="917" w:type="dxa"/>
            <w:vAlign w:val="center"/>
            <w:textDirection w:val="lrTb"/>
            <w:noWrap w:val="false"/>
          </w:tcPr>
          <w:p>
            <w:pPr>
              <w:jc w:val="center"/>
              <w:rPr>
                <w:rFonts w:ascii="宋体" w:hAnsi="宋体"/>
              </w:rPr>
            </w:pPr>
            <w:r>
              <w:rPr>
                <w:rFonts w:hint="eastAsia" w:ascii="宋体" w:hAnsi="宋体"/>
                <w:lang w:eastAsia="zh-CN"/>
              </w:rPr>
              <w:t xml:space="preserve">(</w:t>
            </w:r>
            <w:r>
              <w:rPr>
                <w:rFonts w:hint="eastAsia" w:ascii="宋体" w:hAnsi="宋体"/>
                <w:lang w:val="en-US" w:eastAsia="zh-CN"/>
              </w:rPr>
              <w:t xml:space="preserve">13)</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其他员工福利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sz w:val="15"/>
                <w:szCs w:val="15"/>
                <w:lang w:val="en-US" w:eastAsia="zh-CN" w:bidi="ar-SA"/>
              </w:rPr>
            </w:r>
            <w:r/>
          </w:p>
        </w:tc>
      </w:tr>
      <w:tr>
        <w:trPr>
          <w:jc w:val="center"/>
          <w:trHeight w:val="478"/>
        </w:trPr>
        <w:tc>
          <w:tcPr>
            <w:tcW w:w="917" w:type="dxa"/>
            <w:vAlign w:val="center"/>
            <w:textDirection w:val="lrTb"/>
            <w:noWrap w:val="false"/>
          </w:tcPr>
          <w:p>
            <w:pPr>
              <w:jc w:val="center"/>
              <w:rPr>
                <w:rFonts w:ascii="宋体" w:hAnsi="宋体"/>
              </w:rPr>
            </w:pPr>
            <w:r>
              <w:rPr>
                <w:rFonts w:ascii="宋体" w:hAnsi="宋体"/>
              </w:rPr>
              <w:t xml:space="preserve">…</w:t>
            </w:r>
            <w:r>
              <w:rPr>
                <w:rFonts w:hint="eastAsia" w:ascii="宋体" w:hAnsi="宋体"/>
              </w:rPr>
              <w:t xml:space="preserve"> </w:t>
            </w:r>
            <w:r>
              <w:rPr>
                <w:rFonts w:ascii="宋体" w:hAnsi="宋体"/>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rFonts w:hint="eastAsia" w:ascii="宋体" w:hAnsi="宋体"/>
                <w:sz w:val="15"/>
                <w:szCs w:val="15"/>
                <w:lang w:val="en-US" w:eastAsia="zh-CN" w:bidi="ar-SA"/>
              </w:rPr>
            </w:pPr>
            <w:r>
              <w:rPr>
                <w:rFonts w:hint="eastAsia" w:ascii="宋体" w:hAnsi="宋体"/>
                <w:sz w:val="15"/>
                <w:szCs w:val="15"/>
                <w:lang w:val="en-US" w:eastAsia="zh-CN" w:bidi="ar-SA"/>
              </w:rPr>
            </w:r>
            <w:r/>
          </w:p>
        </w:tc>
      </w:tr>
      <w:tr>
        <w:trPr>
          <w:jc w:val="center"/>
          <w:trHeight w:val="329"/>
        </w:trPr>
        <w:tc>
          <w:tcPr>
            <w:tcW w:w="917" w:type="dxa"/>
            <w:vAlign w:val="center"/>
            <w:textDirection w:val="lrTb"/>
            <w:noWrap w:val="false"/>
          </w:tcPr>
          <w:p>
            <w:pPr>
              <w:jc w:val="center"/>
              <w:rPr>
                <w:rFonts w:ascii="宋体" w:hAnsi="宋体"/>
                <w:b/>
              </w:rPr>
            </w:pPr>
            <w:r>
              <w:rPr>
                <w:rFonts w:hint="eastAsia" w:ascii="宋体" w:hAnsi="宋体"/>
                <w:b/>
              </w:rPr>
              <w:t xml:space="preserve">2</w:t>
            </w:r>
            <w:r/>
          </w:p>
        </w:tc>
        <w:tc>
          <w:tcPr>
            <w:tcW w:w="2091" w:type="dxa"/>
            <w:vAlign w:val="center"/>
            <w:textDirection w:val="lrTb"/>
            <w:noWrap w:val="false"/>
          </w:tcPr>
          <w:p>
            <w:pPr>
              <w:jc w:val="center"/>
              <w:rPr>
                <w:rFonts w:hint="eastAsia" w:ascii="宋体" w:hAnsi="宋体"/>
                <w:b/>
              </w:rPr>
            </w:pPr>
            <w:r>
              <w:rPr>
                <w:rFonts w:hint="eastAsia" w:ascii="宋体" w:hAnsi="宋体"/>
                <w:b/>
              </w:rPr>
              <w:t xml:space="preserve">法定计提费用</w:t>
            </w:r>
            <w:r/>
          </w:p>
        </w:tc>
        <w:tc>
          <w:tcPr>
            <w:tcW w:w="885" w:type="dxa"/>
            <w:vAlign w:val="center"/>
            <w:textDirection w:val="lrTb"/>
            <w:noWrap w:val="false"/>
          </w:tcPr>
          <w:p>
            <w:pPr>
              <w:jc w:val="center"/>
              <w:rPr>
                <w:rFonts w:hint="eastAsia" w:ascii="宋体" w:hAnsi="宋体"/>
                <w:b/>
              </w:rPr>
            </w:pPr>
            <w:r>
              <w:rPr>
                <w:rFonts w:hint="eastAsia" w:ascii="宋体" w:hAnsi="宋体"/>
                <w:b/>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rFonts w:hint="eastAsia" w:ascii="宋体" w:hAnsi="宋体"/>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434"/>
        </w:trPr>
        <w:tc>
          <w:tcPr>
            <w:tcW w:w="917" w:type="dxa"/>
            <w:vAlign w:val="center"/>
            <w:textDirection w:val="lrTb"/>
            <w:noWrap w:val="false"/>
          </w:tcPr>
          <w:p>
            <w:pPr>
              <w:jc w:val="center"/>
              <w:rPr>
                <w:rFonts w:ascii="宋体" w:hAnsi="宋体"/>
              </w:rPr>
            </w:pPr>
            <w:r>
              <w:rPr>
                <w:rFonts w:hint="eastAsia" w:ascii="宋体" w:hAnsi="宋体"/>
                <w:lang w:eastAsia="zh-CN"/>
              </w:rPr>
              <w:t xml:space="preserve">(</w:t>
            </w:r>
            <w:r>
              <w:rPr>
                <w:rFonts w:hint="eastAsia" w:ascii="宋体" w:hAnsi="宋体"/>
              </w:rPr>
              <w:t xml:space="preserve">1</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养老保险</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389"/>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2</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医疗统筹</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419"/>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3</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失业</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412"/>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4</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工伤</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46</w:t>
            </w:r>
            <w:r>
              <w:rPr>
                <w:rFonts w:hint="eastAsia" w:ascii="宋体" w:hAnsi="宋体"/>
                <w:sz w:val="15"/>
                <w:szCs w:val="15"/>
              </w:rPr>
              <w:t xml:space="preserve">人计算</w:t>
            </w:r>
            <w:r/>
          </w:p>
        </w:tc>
      </w:tr>
      <w:tr>
        <w:trPr>
          <w:jc w:val="center"/>
          <w:trHeight w:val="436"/>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5</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生育</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sz w:val="15"/>
                <w:szCs w:val="15"/>
                <w:lang w:val="en-US" w:eastAsia="zh-CN" w:bidi="ar-SA"/>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414"/>
        </w:trPr>
        <w:tc>
          <w:tcPr>
            <w:tcW w:w="917" w:type="dxa"/>
            <w:vAlign w:val="center"/>
            <w:textDirection w:val="lrTb"/>
            <w:noWrap w:val="false"/>
          </w:tcPr>
          <w:p>
            <w:pPr>
              <w:jc w:val="center"/>
              <w:rPr>
                <w:rFonts w:hint="eastAsia" w:ascii="宋体" w:hAnsi="宋体"/>
              </w:rPr>
            </w:pPr>
            <w:r>
              <w:rPr>
                <w:rFonts w:hint="eastAsia" w:ascii="宋体" w:hAnsi="宋体"/>
                <w:lang w:eastAsia="zh-CN"/>
              </w:rPr>
              <w:t xml:space="preserve">(</w:t>
            </w:r>
            <w:r>
              <w:rPr>
                <w:rFonts w:hint="eastAsia" w:ascii="宋体" w:hAnsi="宋体"/>
              </w:rPr>
              <w:t xml:space="preserve">6</w:t>
            </w:r>
            <w:r>
              <w:rPr>
                <w:rFonts w:hint="eastAsia" w:ascii="宋体" w:hAnsi="宋体"/>
                <w:lang w:eastAsia="zh-CN"/>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住房公积金</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both"/>
              <w:rPr>
                <w:rFonts w:hint="eastAsia" w:ascii="宋体" w:hAnsi="宋体"/>
              </w:rPr>
            </w:pPr>
            <w:r>
              <w:rPr>
                <w:rFonts w:hint="eastAsia" w:ascii="宋体" w:hAnsi="宋体"/>
                <w:sz w:val="15"/>
                <w:szCs w:val="15"/>
              </w:rPr>
              <w:t xml:space="preserve">按人员配置总数</w:t>
            </w:r>
            <w:r>
              <w:rPr>
                <w:rFonts w:hint="eastAsia" w:ascii="宋体" w:hAnsi="宋体"/>
                <w:sz w:val="15"/>
                <w:szCs w:val="15"/>
                <w:lang w:val="en-US" w:eastAsia="zh-CN"/>
              </w:rPr>
              <w:t xml:space="preserve">不少于33</w:t>
            </w:r>
            <w:r>
              <w:rPr>
                <w:rFonts w:hint="eastAsia" w:ascii="宋体" w:hAnsi="宋体"/>
                <w:sz w:val="15"/>
                <w:szCs w:val="15"/>
              </w:rPr>
              <w:t xml:space="preserve">人计算</w:t>
            </w:r>
            <w:r/>
          </w:p>
        </w:tc>
      </w:tr>
      <w:tr>
        <w:trPr>
          <w:jc w:val="center"/>
          <w:trHeight w:val="420"/>
        </w:trPr>
        <w:tc>
          <w:tcPr>
            <w:tcW w:w="917" w:type="dxa"/>
            <w:vAlign w:val="center"/>
            <w:textDirection w:val="lrTb"/>
            <w:noWrap w:val="false"/>
          </w:tcPr>
          <w:p>
            <w:pPr>
              <w:jc w:val="center"/>
              <w:rPr>
                <w:rFonts w:ascii="宋体" w:hAnsi="宋体"/>
              </w:rPr>
            </w:pPr>
            <w:r>
              <w:rPr>
                <w:rFonts w:ascii="宋体" w:hAnsi="宋体"/>
              </w:rPr>
              <w:t xml:space="preserve">…</w:t>
            </w:r>
            <w:r>
              <w:rPr>
                <w:rFonts w:hint="eastAsia" w:ascii="宋体" w:hAnsi="宋体"/>
              </w:rPr>
              <w:t xml:space="preserve"> </w:t>
            </w:r>
            <w:r>
              <w:rPr>
                <w:rFonts w:ascii="宋体" w:hAnsi="宋体"/>
              </w:rPr>
              <w:t xml:space="preserve">…</w:t>
            </w:r>
            <w:r/>
          </w:p>
        </w:tc>
        <w:tc>
          <w:tcPr>
            <w:tcW w:w="2091" w:type="dxa"/>
            <w:vAlign w:val="center"/>
            <w:textDirection w:val="lrTb"/>
            <w:noWrap w:val="false"/>
          </w:tcPr>
          <w:p>
            <w:pPr>
              <w:jc w:val="center"/>
              <w:rPr>
                <w:rFonts w:hint="eastAsia" w:ascii="宋体" w:hAnsi="宋体"/>
              </w:rPr>
            </w:pPr>
            <w:r>
              <w:rPr>
                <w:rFonts w:hint="eastAsia" w:ascii="宋体" w:hAnsi="宋体"/>
              </w:rPr>
              <w:t xml:space="preserve">其他法定计提费用</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r>
        <w:trPr>
          <w:jc w:val="center"/>
          <w:trHeight w:val="478"/>
        </w:trPr>
        <w:tc>
          <w:tcPr>
            <w:gridSpan w:val="2"/>
            <w:tcW w:w="3008" w:type="dxa"/>
            <w:vAlign w:val="center"/>
            <w:textDirection w:val="lrTb"/>
            <w:noWrap w:val="false"/>
          </w:tcPr>
          <w:p>
            <w:pPr>
              <w:jc w:val="center"/>
              <w:rPr>
                <w:rFonts w:hint="eastAsia" w:ascii="宋体" w:hAnsi="宋体"/>
              </w:rPr>
            </w:pPr>
            <w:r>
              <w:rPr>
                <w:rFonts w:hint="eastAsia" w:ascii="宋体" w:hAnsi="宋体"/>
              </w:rPr>
              <w:t xml:space="preserve">合计：</w:t>
            </w:r>
            <w:r/>
          </w:p>
        </w:tc>
        <w:tc>
          <w:tcPr>
            <w:tcW w:w="885" w:type="dxa"/>
            <w:vAlign w:val="center"/>
            <w:textDirection w:val="lrTb"/>
            <w:noWrap w:val="false"/>
          </w:tcPr>
          <w:p>
            <w:pPr>
              <w:jc w:val="center"/>
              <w:rPr>
                <w:rFonts w:hint="eastAsia" w:ascii="宋体" w:hAnsi="宋体"/>
              </w:rPr>
            </w:pPr>
            <w:r>
              <w:rPr>
                <w:rFonts w:hint="eastAsia" w:ascii="宋体" w:hAnsi="宋体"/>
              </w:rPr>
            </w:r>
            <w:r/>
          </w:p>
        </w:tc>
        <w:tc>
          <w:tcPr>
            <w:tcW w:w="1695" w:type="dxa"/>
            <w:vAlign w:val="center"/>
            <w:textDirection w:val="lrTb"/>
            <w:noWrap w:val="false"/>
          </w:tcPr>
          <w:p>
            <w:pPr>
              <w:jc w:val="center"/>
              <w:rPr>
                <w:rFonts w:hint="eastAsia" w:ascii="宋体" w:hAnsi="宋体"/>
              </w:rPr>
            </w:pPr>
            <w:r>
              <w:rPr>
                <w:rFonts w:hint="eastAsia" w:ascii="宋体" w:hAnsi="宋体"/>
              </w:rPr>
            </w:r>
            <w:r/>
          </w:p>
        </w:tc>
        <w:tc>
          <w:tcPr>
            <w:tcW w:w="1685" w:type="dxa"/>
            <w:vAlign w:val="center"/>
            <w:textDirection w:val="lrTb"/>
            <w:noWrap w:val="false"/>
          </w:tcPr>
          <w:p>
            <w:pPr>
              <w:jc w:val="center"/>
              <w:rPr>
                <w:rFonts w:hint="eastAsia" w:ascii="宋体" w:hAnsi="宋体"/>
              </w:rPr>
            </w:pPr>
            <w:r>
              <w:rPr>
                <w:rFonts w:hint="eastAsia" w:ascii="宋体" w:hAnsi="宋体"/>
              </w:rPr>
            </w:r>
            <w:r/>
          </w:p>
        </w:tc>
        <w:tc>
          <w:tcPr>
            <w:tcW w:w="1109" w:type="dxa"/>
            <w:vAlign w:val="center"/>
            <w:textDirection w:val="lrTb"/>
            <w:noWrap w:val="false"/>
          </w:tcPr>
          <w:p>
            <w:pPr>
              <w:jc w:val="center"/>
              <w:rPr>
                <w:rFonts w:hint="eastAsia" w:ascii="宋体" w:hAnsi="宋体"/>
              </w:rPr>
            </w:pPr>
            <w:r>
              <w:rPr>
                <w:rFonts w:hint="eastAsia" w:ascii="宋体" w:hAnsi="宋体"/>
              </w:rPr>
            </w:r>
            <w:r/>
          </w:p>
        </w:tc>
        <w:tc>
          <w:tcPr>
            <w:tcW w:w="1406" w:type="dxa"/>
            <w:vAlign w:val="center"/>
            <w:textDirection w:val="lrTb"/>
            <w:noWrap w:val="false"/>
          </w:tcPr>
          <w:p>
            <w:pPr>
              <w:jc w:val="center"/>
              <w:rPr>
                <w:rFonts w:hint="eastAsia" w:ascii="宋体" w:hAnsi="宋体"/>
              </w:rPr>
            </w:pPr>
            <w:r>
              <w:rPr>
                <w:rFonts w:hint="eastAsia" w:ascii="宋体" w:hAnsi="宋体"/>
              </w:rPr>
            </w:r>
            <w:r/>
          </w:p>
        </w:tc>
      </w:tr>
    </w:tbl>
    <w:p>
      <w:pPr>
        <w:jc w:val="cente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注：1.以上人员费用须包括工资、社保等内容，</w:t>
      </w:r>
      <w:r>
        <w:rPr>
          <w:rFonts w:hint="eastAsia" w:ascii="宋体" w:hAnsi="宋体"/>
          <w:bCs/>
          <w:color w:val="auto"/>
          <w:highlight w:val="none"/>
          <w:lang w:val="en-US" w:eastAsia="zh-CN"/>
        </w:rPr>
        <w:t xml:space="preserve">投标人应当合理确定人员工资标准、工作时间等，</w:t>
      </w:r>
      <w:r>
        <w:rPr>
          <w:rFonts w:hint="eastAsia" w:ascii="宋体" w:hAnsi="宋体"/>
          <w:bCs/>
          <w:color w:val="auto"/>
          <w:highlight w:val="none"/>
        </w:rPr>
        <w:t xml:space="preserve">须符合国家、省、市相关政策规定；</w:t>
      </w:r>
      <w:r>
        <w:rPr>
          <w:rFonts w:hint="eastAsia" w:ascii="宋体" w:hAnsi="宋体"/>
          <w:bCs/>
          <w:color w:val="auto"/>
          <w:highlight w:val="none"/>
          <w:lang w:eastAsia="zh-CN"/>
        </w:rPr>
        <w:t xml:space="preserve">员工工资福利及法定计提费用不得低于上表人员配置，</w:t>
      </w:r>
      <w:r>
        <w:rPr>
          <w:rFonts w:hint="eastAsia" w:ascii="宋体" w:hAnsi="宋体"/>
          <w:bCs/>
          <w:color w:val="auto"/>
          <w:highlight w:val="none"/>
        </w:rPr>
        <w:t xml:space="preserve">否则投标文件无效。</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rPr>
        <w:t xml:space="preserve">上述报价表由投标单位参照，不限于此，可根据采购需求自行添加条目进行投报。</w:t>
      </w:r>
      <w:r/>
    </w:p>
    <w:p>
      <w:pPr>
        <w:numPr>
          <w:ilvl w:val="0"/>
          <w:numId w:val="5"/>
        </w:numPr>
        <w:ind w:left="510" w:hanging="360"/>
        <w:rPr>
          <w:rFonts w:hint="eastAsia" w:ascii="宋体" w:hAnsi="宋体"/>
          <w:bCs/>
          <w:color w:val="auto"/>
          <w:highlight w:val="none"/>
        </w:rPr>
      </w:pPr>
      <w:r>
        <w:rPr>
          <w:rFonts w:hint="eastAsia" w:ascii="宋体" w:hAnsi="宋体"/>
          <w:bCs/>
          <w:color w:val="auto"/>
          <w:highlight w:val="none"/>
          <w:lang w:val="en-US" w:eastAsia="zh-CN"/>
        </w:rPr>
        <w:t xml:space="preserve">投标人应当自行为服务人员办理必需的保险，有关人员伤亡及第三者责任险均应当考虑在报价因素中。</w:t>
      </w:r>
      <w:r/>
    </w:p>
    <w:p>
      <w:pPr>
        <w:rPr>
          <w:rFonts w:hint="eastAsia" w:ascii="宋体" w:hAnsi="宋体"/>
          <w:bCs/>
          <w:color w:val="auto"/>
          <w:highlight w:val="none"/>
        </w:rPr>
      </w:pPr>
      <w:r>
        <w:rPr>
          <w:rFonts w:hint="eastAsia" w:ascii="宋体" w:hAnsi="宋体"/>
          <w:bCs/>
          <w:color w:val="auto"/>
          <w:highlight w:val="none"/>
        </w:rPr>
      </w:r>
      <w:r/>
    </w:p>
    <w:p>
      <w:pPr>
        <w:rPr>
          <w:rFonts w:hint="eastAsia" w:ascii="宋体" w:hAnsi="宋体"/>
          <w:bCs/>
          <w:color w:val="auto"/>
          <w:highlight w:val="none"/>
        </w:rPr>
      </w:pPr>
      <w:r>
        <w:rPr>
          <w:rFonts w:hint="eastAsia" w:ascii="宋体" w:hAnsi="宋体"/>
          <w:bCs/>
          <w:color w:val="auto"/>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表（2）：投入本项目的工具设备物资明细表</w:t>
      </w:r>
      <w:r/>
    </w:p>
    <w:tbl>
      <w:tblPr>
        <w:tblStyle w:val="817"/>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00"/>
        <w:gridCol w:w="709"/>
        <w:gridCol w:w="709"/>
        <w:gridCol w:w="742"/>
        <w:gridCol w:w="1134"/>
        <w:gridCol w:w="1526"/>
        <w:gridCol w:w="1559"/>
        <w:gridCol w:w="1423"/>
        <w:gridCol w:w="965"/>
      </w:tblGrid>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100"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物品名称</w:t>
            </w:r>
            <w:r/>
          </w:p>
        </w:tc>
        <w:tc>
          <w:tcPr>
            <w:tcW w:w="709" w:type="dxa"/>
            <w:vAlign w:val="center"/>
            <w:textDirection w:val="lrTb"/>
            <w:noWrap w:val="false"/>
          </w:tcPr>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品牌</w:t>
            </w:r>
            <w:r/>
          </w:p>
          <w:p>
            <w:pP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型号</w:t>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742"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134"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526"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5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3"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65"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W w:w="1100"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58"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1100"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74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134"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6"/>
            <w:tcW w:w="5052"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526"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1423"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c>
          <w:tcPr>
            <w:tcW w:w="965" w:type="dxa"/>
            <w:vAlign w:val="center"/>
            <w:textDirection w:val="lrTb"/>
            <w:noWrap w:val="false"/>
          </w:tcPr>
          <w:p>
            <w:pPr>
              <w:jc w:val="center"/>
              <w:keepLines w:val="0"/>
              <w:keepNext w:val="0"/>
              <w:pageBreakBefore w:val="0"/>
              <w:widowControl w:val="off"/>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表（3）：投入本项目的耗材明细表</w:t>
      </w:r>
      <w:r/>
    </w:p>
    <w:tbl>
      <w:tblPr>
        <w:tblStyle w:val="817"/>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51"/>
        <w:gridCol w:w="708"/>
        <w:gridCol w:w="993"/>
        <w:gridCol w:w="992"/>
        <w:gridCol w:w="709"/>
        <w:gridCol w:w="1275"/>
        <w:gridCol w:w="1560"/>
        <w:gridCol w:w="1429"/>
        <w:gridCol w:w="951"/>
      </w:tblGrid>
      <w:tr>
        <w:trPr/>
        <w:tc>
          <w:tcPr>
            <w:tcW w:w="674"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8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名称</w:t>
            </w:r>
            <w:r/>
          </w:p>
        </w:tc>
        <w:tc>
          <w:tcPr>
            <w:tcW w:w="708"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品牌</w:t>
            </w:r>
            <w:r/>
          </w:p>
        </w:tc>
        <w:tc>
          <w:tcPr>
            <w:tcW w:w="9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992"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每年用量</w:t>
            </w:r>
            <w:r/>
          </w:p>
        </w:tc>
        <w:tc>
          <w:tcPr>
            <w:tcW w:w="70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单位</w:t>
            </w:r>
            <w:r/>
          </w:p>
        </w:tc>
        <w:tc>
          <w:tcPr>
            <w:tcW w:w="1275"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56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42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金额</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95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产地</w:t>
            </w:r>
            <w:r/>
          </w:p>
        </w:tc>
      </w:tr>
      <w:tr>
        <w:trPr/>
        <w:tc>
          <w:tcPr>
            <w:tcW w:w="67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tcW w:w="674" w:type="dxa"/>
            <w:vAlign w:val="center"/>
            <w:textDirection w:val="lrTb"/>
            <w:noWrap w:val="false"/>
          </w:tcPr>
          <w:p>
            <w:pPr>
              <w:jc w:val="center"/>
              <w:rPr>
                <w:rFonts w:hint="eastAsia"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w:t>
            </w:r>
            <w:r/>
          </w:p>
        </w:tc>
        <w:tc>
          <w:tcPr>
            <w:tcW w:w="8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8"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92"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7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tc>
          <w:tcPr>
            <w:gridSpan w:val="6"/>
            <w:tcW w:w="492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27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56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42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95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ind w:firstLine="482"/>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4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表（4）：投入本项目的维修维保费用明细表</w:t>
      </w:r>
      <w:r/>
    </w:p>
    <w:tbl>
      <w:tblPr>
        <w:tblStyle w:val="817"/>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9"/>
        <w:gridCol w:w="1979"/>
        <w:gridCol w:w="1186"/>
        <w:gridCol w:w="1367"/>
        <w:gridCol w:w="1347"/>
        <w:gridCol w:w="1377"/>
        <w:gridCol w:w="1106"/>
      </w:tblGrid>
      <w:tr>
        <w:trPr>
          <w:jc w:val="center"/>
        </w:trPr>
        <w:tc>
          <w:tcPr>
            <w:tcW w:w="168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维保内容</w:t>
            </w:r>
            <w:r/>
          </w:p>
        </w:tc>
        <w:tc>
          <w:tcPr>
            <w:tcW w:w="118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单价（元）</w:t>
            </w:r>
            <w:r/>
          </w:p>
        </w:tc>
        <w:tc>
          <w:tcPr>
            <w:tcW w:w="136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（元/月）</w:t>
            </w:r>
            <w:r/>
          </w:p>
        </w:tc>
        <w:tc>
          <w:tcPr>
            <w:tcW w:w="134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（元/年）</w:t>
            </w:r>
            <w:r/>
          </w:p>
        </w:tc>
        <w:tc>
          <w:tcPr>
            <w:tcW w:w="1377"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合计费用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三</w:t>
            </w:r>
            <w:r>
              <w:rPr>
                <w:rFonts w:hint="eastAsia" w:ascii="宋体" w:hAnsi="宋体"/>
                <w:b/>
                <w:color w:val="auto"/>
                <w:szCs w:val="21"/>
                <w:highlight w:val="none"/>
              </w:rPr>
              <w:t xml:space="preserve">年）</w:t>
            </w:r>
            <w:r/>
          </w:p>
        </w:tc>
        <w:tc>
          <w:tcPr>
            <w:tcW w:w="1106"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97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168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97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18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gridSpan w:val="3"/>
            <w:tcW w:w="4854"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合计：</w:t>
            </w:r>
            <w:r/>
          </w:p>
        </w:tc>
        <w:tc>
          <w:tcPr>
            <w:tcW w:w="136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4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37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c>
          <w:tcPr>
            <w:tcW w:w="110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cs="宋体"/>
          <w:color w:val="auto"/>
          <w:highlight w:val="none"/>
          <w:lang w:val="zh-CN"/>
        </w:rPr>
      </w:pPr>
      <w:r>
        <w:rPr>
          <w:rFonts w:hint="eastAsia" w:ascii="宋体" w:hAnsi="宋体"/>
          <w:bCs/>
          <w:color w:val="auto"/>
          <w:highlight w:val="none"/>
        </w:rPr>
        <w:t xml:space="preserve">注：表（2）（3）（4）由投标人根据采购需求自行测算含在投标报价中。表格不够</w:t>
      </w:r>
      <w:r>
        <w:rPr>
          <w:rFonts w:hint="eastAsia" w:ascii="宋体" w:hAnsi="宋体" w:cs="宋体"/>
          <w:color w:val="auto"/>
          <w:highlight w:val="none"/>
          <w:lang w:val="zh-CN"/>
        </w:rPr>
        <w:t xml:space="preserve">可自行延长。</w:t>
      </w:r>
      <w:r/>
    </w:p>
    <w:p>
      <w:pPr>
        <w:spacing w:line="360" w:lineRule="auto"/>
        <w:rPr>
          <w:b/>
          <w:color w:val="auto"/>
          <w:sz w:val="30"/>
          <w:szCs w:val="30"/>
          <w:highlight w:val="none"/>
        </w:rPr>
      </w:pPr>
      <w:r>
        <w:rPr>
          <w:rFonts w:hint="eastAsia" w:ascii="宋体" w:hAnsi="宋体"/>
          <w:bCs/>
          <w:color w:val="auto"/>
          <w:highlight w:val="none"/>
        </w:rPr>
        <w:br w:type="page" w:clear="all"/>
      </w: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56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560"/>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JSZC-320206-JZCG-G2026-0036</w:t>
      </w:r>
      <w:r/>
    </w:p>
    <w:tbl>
      <w:tblPr>
        <w:tblStyle w:val="8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0"/>
              <w:jc w:val="center"/>
              <w:keepLines w:val="0"/>
              <w:keepNext w:val="0"/>
              <w:pageBreakBefore w:val="0"/>
              <w:widowControl w:val="off"/>
              <w:rPr>
                <w:rFonts w:ascii="宋体"/>
                <w:bCs/>
                <w:color w:val="auto"/>
                <w:highlight w:val="none"/>
              </w:rPr>
            </w:pPr>
            <w:r>
              <w:rPr>
                <w:rFonts w:ascii="宋体"/>
                <w:bCs/>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600"/>
        <w:rPr>
          <w:rFonts w:ascii="宋体"/>
          <w:bCs/>
          <w:color w:val="auto"/>
          <w:sz w:val="30"/>
          <w:highlight w:val="none"/>
        </w:rPr>
      </w:pPr>
      <w:r>
        <w:rPr>
          <w:rFonts w:ascii="宋体"/>
          <w:bCs/>
          <w:color w:val="auto"/>
          <w:sz w:val="30"/>
          <w:highlight w:val="none"/>
        </w:rPr>
      </w:r>
      <w:r/>
    </w:p>
    <w:p>
      <w:pPr>
        <w:ind w:firstLine="600"/>
        <w:rPr>
          <w:rFonts w:ascii="宋体"/>
          <w:bCs/>
          <w:color w:val="auto"/>
          <w:sz w:val="30"/>
          <w:highlight w:val="none"/>
        </w:rPr>
      </w:pPr>
      <w:r>
        <w:rPr>
          <w:rFonts w:ascii="宋体"/>
          <w:bCs/>
          <w:color w:val="auto"/>
          <w:sz w:val="30"/>
          <w:highlight w:val="none"/>
        </w:rPr>
      </w:r>
      <w:bookmarkEnd w:id="138"/>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210"/>
        <w:rPr>
          <w:rFonts w:hint="eastAsia" w:ascii="宋体" w:hAnsi="宋体"/>
          <w:bCs/>
          <w:color w:val="auto"/>
          <w:szCs w:val="21"/>
          <w:highlight w:val="none"/>
        </w:rPr>
        <w:outlineLvl w:val="0"/>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480"/>
        <w:rPr>
          <w:rFonts w:hint="eastAsia" w:ascii="宋体" w:hAnsi="宋体"/>
          <w:bCs/>
          <w:color w:val="auto"/>
          <w:szCs w:val="21"/>
          <w:highlight w:val="none"/>
        </w:rPr>
        <w:outlineLvl w:val="0"/>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）如无任何服务偏离，请于本表 “偏离说明”中注明“无偏离”；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Cs w:val="21"/>
          <w:highlight w:val="none"/>
        </w:rPr>
        <w:t xml:space="preserve">  （3）如有服务偏离项，请于本表中列明偏离内容，如需要可自行延长，其余无偏离内容不须赘述。</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r>
      <w:r/>
    </w:p>
    <w:sectPr>
      <w:headerReference w:type="default" r:id="rId11"/>
      <w:footerReference w:type="default" r:id="rId16"/>
      <w:footnotePr/>
      <w:endnotePr/>
      <w:type w:val="nextPage"/>
      <w:pgSz w:w="11906" w:h="16838" w:orient="portrait"/>
      <w:pgMar w:top="567" w:right="851" w:bottom="567"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Symbol">
    <w:panose1 w:val="05050102010706020507"/>
  </w:font>
  <w:font w:name="Wingdings">
    <w:panose1 w:val="05000000000000000000"/>
  </w:font>
  <w:font w:name="Univers">
    <w:panose1 w:val="020B0503020202020204"/>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Verdana">
    <w:panose1 w:val="020B0604030504040204"/>
  </w:font>
  <w:font w:name="仿宋_GB2312">
    <w:panose1 w:val="02010609060101010101"/>
  </w:font>
  <w:font w:name="Times">
    <w:panose1 w:val="02020603050405020304"/>
  </w:font>
  <w:font w:name="Calibri Light">
    <w:panose1 w:val="020F0302020204030204"/>
  </w:font>
  <w:font w:name="Cambria">
    <w:panose1 w:val="02040503050406030204"/>
  </w:font>
  <w:font w:name="Calibri">
    <w:panose1 w:val="020F0502020204030204"/>
  </w:font>
  <w:font w:name="微软雅黑">
    <w:panose1 w:val="020B0503020204020204"/>
  </w:font>
  <w:font w:name="楷体_GB2312">
    <w:panose1 w:val="02010609060101010101"/>
  </w:font>
  <w:font w:name="Courier New">
    <w:panose1 w:val="020703090202050204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rPr>
        <w:rStyle w:val="1046"/>
      </w:rPr>
      <w:framePr w:wrap="around" w:vAnchor="text" w:hAnchor="margin" w:xAlign="center" w:y="1"/>
    </w:pPr>
    <w:r>
      <w:fldChar w:fldCharType="begin"/>
    </w:r>
    <w:r>
      <w:rPr>
        <w:rStyle w:val="1046"/>
      </w:rPr>
      <w:instrText xml:space="preserve">PAGE  </w:instrText>
    </w:r>
    <w:r>
      <w:fldChar w:fldCharType="separate"/>
    </w:r>
    <w:r>
      <w:rPr>
        <w:rStyle w:val="1046"/>
      </w:rPr>
      <w:t xml:space="preserve">1</w:t>
    </w:r>
    <w:r>
      <w:fldChar w:fldCharType="end"/>
    </w:r>
    <w:r/>
  </w:p>
  <w:p>
    <w:pPr>
      <w:pStyle w:val="1024"/>
      <w:ind w:right="360"/>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24"/>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left"/>
      <w:keepLines w:val="0"/>
      <w:keepNext w:val="0"/>
      <w:pageBreakBefore w:val="0"/>
      <w:widowControl w:val="off"/>
      <w:rPr>
        <w:lang w:eastAsia="zh-CN"/>
      </w:rPr>
    </w:pPr>
    <w:r>
      <w:rPr>
        <w:rFonts w:hint="eastAsia"/>
        <w:lang w:eastAsia="zh-CN"/>
      </w:rPr>
      <w:t xml:space="preserve">JSZC-320206-JZCG-G2026-0036</w:t>
    </w:r>
    <w:r>
      <w:rPr>
        <w:rFonts w:hint="eastAsia"/>
        <w:lang w:eastAsia="zh-CN"/>
      </w:rPr>
      <w:tab/>
      <w:t xml:space="preserve">阳山镇桃香苑B、C区及睦邻中心物业管理服务采购项目  </w:t>
    </w:r>
    <w:r>
      <w:rPr>
        <w:rFonts w:hint="eastAsia"/>
        <w:lang w:val="en-US" w:eastAsia="zh-CN"/>
      </w:rPr>
      <w:t xml:space="preserve">                </w:t>
    </w:r>
    <w:r>
      <w:rPr>
        <w:rFonts w:hint="eastAsia" w:ascii="黑体" w:eastAsia="黑体"/>
        <w:sz w:val="30"/>
        <w:szCs w:val="3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rFonts w:hint="default"/>
        <w:lang w:val="en-US" w:eastAsia="zh-CN"/>
      </w:rPr>
    </w:pPr>
    <w:r>
      <w:rPr>
        <w:rFonts w:hint="default"/>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ascii="黑体" w:hAnsi="黑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num w:numId="1">
    <w:abstractNumId w:val="3"/>
  </w:num>
  <w:num w:numId="2">
    <w:abstractNumId w:val="1"/>
    <w:lvlOverride w:ilvl="0">
      <w:lvl w:ilvl="0">
        <w:start w:val="1"/>
        <w:numFmt w:val="decimal"/>
        <w:pStyle w:val="1031"/>
        <w:isLgl w:val="false"/>
        <w:suff w:val="tab"/>
        <w:lvlText w:val="第%1章"/>
        <w:lvlJc w:val="left"/>
        <w:pPr>
          <w:ind w:left="465" w:hanging="465"/>
        </w:pPr>
      </w:lvl>
    </w:lvlOverride>
    <w:lvlOverride w:ilvl="1">
      <w:lvl w:ilvl="1">
        <w:start w:val="1"/>
        <w:numFmt w:val="decimal"/>
        <w:pStyle w:val="1096"/>
        <w:isLgl w:val="false"/>
        <w:suff w:val="tab"/>
        <w:lvlText w:val="%1.%2"/>
        <w:lvlJc w:val="left"/>
        <w:pPr>
          <w:ind w:left="465" w:hanging="465"/>
        </w:pPr>
      </w:lvl>
    </w:lvlOverride>
    <w:lvlOverride w:ilvl="2">
      <w:lvl w:ilvl="2">
        <w:start w:val="1"/>
        <w:numFmt w:val="decimal"/>
        <w:pStyle w:val="1135"/>
        <w:isLgl w:val="false"/>
        <w:suff w:val="tab"/>
        <w:lvlText w:val="%1.%2.%3"/>
        <w:lvlJc w:val="left"/>
        <w:pPr>
          <w:ind w:left="720" w:hanging="720"/>
        </w:pPr>
      </w:lvl>
    </w:lvlOverride>
    <w:lvlOverride w:ilvl="3">
      <w:lvl w:ilvl="3">
        <w:start w:val="1"/>
        <w:numFmt w:val="decimal"/>
        <w:pStyle w:val="1098"/>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6"/>
    <w:link w:val="807"/>
    <w:uiPriority w:val="9"/>
    <w:rPr>
      <w:rFonts w:ascii="Arial" w:hAnsi="Arial" w:eastAsia="Arial" w:cs="Arial"/>
      <w:sz w:val="40"/>
      <w:szCs w:val="40"/>
    </w:rPr>
  </w:style>
  <w:style w:type="character" w:styleId="15">
    <w:name w:val="Heading 2 Char"/>
    <w:basedOn w:val="816"/>
    <w:link w:val="808"/>
    <w:uiPriority w:val="9"/>
    <w:rPr>
      <w:rFonts w:ascii="Arial" w:hAnsi="Arial" w:eastAsia="Arial" w:cs="Arial"/>
      <w:sz w:val="34"/>
    </w:rPr>
  </w:style>
  <w:style w:type="character" w:styleId="17">
    <w:name w:val="Heading 3 Char"/>
    <w:basedOn w:val="816"/>
    <w:link w:val="809"/>
    <w:uiPriority w:val="9"/>
    <w:rPr>
      <w:rFonts w:ascii="Arial" w:hAnsi="Arial" w:eastAsia="Arial" w:cs="Arial"/>
      <w:sz w:val="30"/>
      <w:szCs w:val="30"/>
    </w:rPr>
  </w:style>
  <w:style w:type="character" w:styleId="19">
    <w:name w:val="Heading 4 Char"/>
    <w:basedOn w:val="816"/>
    <w:link w:val="810"/>
    <w:uiPriority w:val="9"/>
    <w:rPr>
      <w:rFonts w:ascii="Arial" w:hAnsi="Arial" w:eastAsia="Arial" w:cs="Arial"/>
      <w:b/>
      <w:bCs/>
      <w:sz w:val="26"/>
      <w:szCs w:val="26"/>
    </w:rPr>
  </w:style>
  <w:style w:type="character" w:styleId="21">
    <w:name w:val="Heading 5 Char"/>
    <w:basedOn w:val="816"/>
    <w:link w:val="811"/>
    <w:uiPriority w:val="9"/>
    <w:rPr>
      <w:rFonts w:ascii="Arial" w:hAnsi="Arial" w:eastAsia="Arial" w:cs="Arial"/>
      <w:b/>
      <w:bCs/>
      <w:sz w:val="24"/>
      <w:szCs w:val="24"/>
    </w:rPr>
  </w:style>
  <w:style w:type="character" w:styleId="23">
    <w:name w:val="Heading 6 Char"/>
    <w:basedOn w:val="816"/>
    <w:link w:val="812"/>
    <w:uiPriority w:val="9"/>
    <w:rPr>
      <w:rFonts w:ascii="Arial" w:hAnsi="Arial" w:eastAsia="Arial" w:cs="Arial"/>
      <w:b/>
      <w:bCs/>
      <w:sz w:val="22"/>
      <w:szCs w:val="22"/>
    </w:rPr>
  </w:style>
  <w:style w:type="character" w:styleId="25">
    <w:name w:val="Heading 7 Char"/>
    <w:basedOn w:val="816"/>
    <w:link w:val="813"/>
    <w:uiPriority w:val="9"/>
    <w:rPr>
      <w:rFonts w:ascii="Arial" w:hAnsi="Arial" w:eastAsia="Arial" w:cs="Arial"/>
      <w:b/>
      <w:bCs/>
      <w:i/>
      <w:iCs/>
      <w:sz w:val="22"/>
      <w:szCs w:val="22"/>
    </w:rPr>
  </w:style>
  <w:style w:type="character" w:styleId="27">
    <w:name w:val="Heading 8 Char"/>
    <w:basedOn w:val="816"/>
    <w:link w:val="814"/>
    <w:uiPriority w:val="9"/>
    <w:rPr>
      <w:rFonts w:ascii="Arial" w:hAnsi="Arial" w:eastAsia="Arial" w:cs="Arial"/>
      <w:i/>
      <w:iCs/>
      <w:sz w:val="22"/>
      <w:szCs w:val="22"/>
    </w:rPr>
  </w:style>
  <w:style w:type="character" w:styleId="29">
    <w:name w:val="Heading 9 Char"/>
    <w:basedOn w:val="816"/>
    <w:link w:val="815"/>
    <w:uiPriority w:val="9"/>
    <w:rPr>
      <w:rFonts w:ascii="Arial" w:hAnsi="Arial" w:eastAsia="Arial" w:cs="Arial"/>
      <w:i/>
      <w:iCs/>
      <w:sz w:val="21"/>
      <w:szCs w:val="21"/>
    </w:rPr>
  </w:style>
  <w:style w:type="character" w:styleId="34">
    <w:name w:val="Title Char"/>
    <w:basedOn w:val="816"/>
    <w:link w:val="840"/>
    <w:uiPriority w:val="10"/>
    <w:rPr>
      <w:sz w:val="48"/>
      <w:szCs w:val="48"/>
    </w:rPr>
  </w:style>
  <w:style w:type="character" w:styleId="36">
    <w:name w:val="Subtitle Char"/>
    <w:basedOn w:val="816"/>
    <w:link w:val="833"/>
    <w:uiPriority w:val="11"/>
    <w:rPr>
      <w:sz w:val="24"/>
      <w:szCs w:val="24"/>
    </w:rPr>
  </w:style>
  <w:style w:type="character" w:styleId="38">
    <w:name w:val="Quote Char"/>
    <w:link w:val="861"/>
    <w:uiPriority w:val="29"/>
    <w:rPr>
      <w:i/>
    </w:rPr>
  </w:style>
  <w:style w:type="character" w:styleId="40">
    <w:name w:val="Intense Quote Char"/>
    <w:link w:val="863"/>
    <w:uiPriority w:val="30"/>
    <w:rPr>
      <w:i/>
    </w:rPr>
  </w:style>
  <w:style w:type="character" w:styleId="42">
    <w:name w:val="Header Char"/>
    <w:basedOn w:val="816"/>
    <w:link w:val="830"/>
    <w:uiPriority w:val="99"/>
  </w:style>
  <w:style w:type="character" w:styleId="46">
    <w:name w:val="Caption Char"/>
    <w:basedOn w:val="819"/>
    <w:link w:val="828"/>
    <w:uiPriority w:val="99"/>
  </w:style>
  <w:style w:type="table" w:styleId="49">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35"/>
    <w:uiPriority w:val="99"/>
    <w:rPr>
      <w:sz w:val="18"/>
    </w:rPr>
  </w:style>
  <w:style w:type="character" w:styleId="178">
    <w:name w:val="Endnote Text Char"/>
    <w:link w:val="827"/>
    <w:uiPriority w:val="99"/>
    <w:rPr>
      <w:sz w:val="20"/>
    </w:rPr>
  </w:style>
  <w:style w:type="paragraph" w:styleId="189">
    <w:name w:val="TOC Heading"/>
    <w:uiPriority w:val="39"/>
    <w:unhideWhenUsed/>
  </w:style>
  <w:style w:type="paragraph" w:styleId="80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7">
    <w:name w:val="Heading 1"/>
    <w:basedOn w:val="806"/>
    <w:next w:val="806"/>
    <w:link w:val="849"/>
    <w:uiPriority w:val="9"/>
    <w:qFormat/>
    <w:pPr>
      <w:keepLines/>
      <w:keepNext/>
      <w:spacing w:before="480" w:after="200"/>
      <w:outlineLvl w:val="0"/>
    </w:pPr>
    <w:rPr>
      <w:rFonts w:ascii="Arial" w:hAnsi="Arial" w:eastAsia="Arial" w:cs="Arial"/>
      <w:sz w:val="40"/>
      <w:szCs w:val="40"/>
    </w:rPr>
  </w:style>
  <w:style w:type="paragraph" w:styleId="808">
    <w:name w:val="Heading 2"/>
    <w:basedOn w:val="806"/>
    <w:next w:val="806"/>
    <w:link w:val="850"/>
    <w:uiPriority w:val="9"/>
    <w:unhideWhenUsed/>
    <w:qFormat/>
    <w:pPr>
      <w:keepLines/>
      <w:keepNext/>
      <w:spacing w:before="360" w:after="200"/>
      <w:outlineLvl w:val="1"/>
    </w:pPr>
    <w:rPr>
      <w:rFonts w:ascii="Arial" w:hAnsi="Arial" w:eastAsia="Arial" w:cs="Arial"/>
      <w:sz w:val="34"/>
    </w:rPr>
  </w:style>
  <w:style w:type="paragraph" w:styleId="809">
    <w:name w:val="Heading 3"/>
    <w:basedOn w:val="806"/>
    <w:next w:val="806"/>
    <w:link w:val="851"/>
    <w:uiPriority w:val="9"/>
    <w:unhideWhenUsed/>
    <w:qFormat/>
    <w:pPr>
      <w:keepLines/>
      <w:keepNext/>
      <w:spacing w:before="320" w:after="200"/>
      <w:outlineLvl w:val="2"/>
    </w:pPr>
    <w:rPr>
      <w:rFonts w:ascii="Arial" w:hAnsi="Arial" w:eastAsia="Arial" w:cs="Arial"/>
      <w:sz w:val="30"/>
      <w:szCs w:val="30"/>
    </w:rPr>
  </w:style>
  <w:style w:type="paragraph" w:styleId="810">
    <w:name w:val="Heading 4"/>
    <w:basedOn w:val="806"/>
    <w:next w:val="806"/>
    <w:link w:val="852"/>
    <w:uiPriority w:val="9"/>
    <w:unhideWhenUsed/>
    <w:qFormat/>
    <w:pPr>
      <w:keepLines/>
      <w:keepNext/>
      <w:spacing w:before="320" w:after="200"/>
      <w:outlineLvl w:val="3"/>
    </w:pPr>
    <w:rPr>
      <w:rFonts w:ascii="Arial" w:hAnsi="Arial" w:eastAsia="Arial" w:cs="Arial"/>
      <w:b/>
      <w:bCs/>
      <w:sz w:val="26"/>
      <w:szCs w:val="26"/>
    </w:rPr>
  </w:style>
  <w:style w:type="paragraph" w:styleId="811">
    <w:name w:val="Heading 5"/>
    <w:basedOn w:val="806"/>
    <w:next w:val="806"/>
    <w:link w:val="853"/>
    <w:uiPriority w:val="9"/>
    <w:unhideWhenUsed/>
    <w:qFormat/>
    <w:pPr>
      <w:keepLines/>
      <w:keepNext/>
      <w:spacing w:before="320" w:after="200"/>
      <w:outlineLvl w:val="4"/>
    </w:pPr>
    <w:rPr>
      <w:rFonts w:ascii="Arial" w:hAnsi="Arial" w:eastAsia="Arial" w:cs="Arial"/>
      <w:b/>
      <w:bCs/>
      <w:sz w:val="24"/>
      <w:szCs w:val="24"/>
    </w:rPr>
  </w:style>
  <w:style w:type="paragraph" w:styleId="812">
    <w:name w:val="Heading 6"/>
    <w:basedOn w:val="806"/>
    <w:next w:val="806"/>
    <w:link w:val="854"/>
    <w:uiPriority w:val="9"/>
    <w:unhideWhenUsed/>
    <w:qFormat/>
    <w:pPr>
      <w:keepLines/>
      <w:keepNext/>
      <w:spacing w:before="320" w:after="200"/>
      <w:outlineLvl w:val="5"/>
    </w:pPr>
    <w:rPr>
      <w:rFonts w:ascii="Arial" w:hAnsi="Arial" w:eastAsia="Arial" w:cs="Arial"/>
      <w:b/>
      <w:bCs/>
      <w:sz w:val="22"/>
      <w:szCs w:val="22"/>
    </w:rPr>
  </w:style>
  <w:style w:type="paragraph" w:styleId="813">
    <w:name w:val="Heading 7"/>
    <w:basedOn w:val="806"/>
    <w:next w:val="806"/>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814">
    <w:name w:val="Heading 8"/>
    <w:basedOn w:val="806"/>
    <w:next w:val="806"/>
    <w:link w:val="856"/>
    <w:uiPriority w:val="9"/>
    <w:unhideWhenUsed/>
    <w:qFormat/>
    <w:pPr>
      <w:keepLines/>
      <w:keepNext/>
      <w:spacing w:before="320" w:after="200"/>
      <w:outlineLvl w:val="7"/>
    </w:pPr>
    <w:rPr>
      <w:rFonts w:ascii="Arial" w:hAnsi="Arial" w:eastAsia="Arial" w:cs="Arial"/>
      <w:i/>
      <w:iCs/>
      <w:sz w:val="22"/>
      <w:szCs w:val="22"/>
    </w:rPr>
  </w:style>
  <w:style w:type="paragraph" w:styleId="815">
    <w:name w:val="Heading 9"/>
    <w:basedOn w:val="806"/>
    <w:next w:val="806"/>
    <w:link w:val="857"/>
    <w:uiPriority w:val="9"/>
    <w:unhideWhenUsed/>
    <w:qFormat/>
    <w:pPr>
      <w:keepLines/>
      <w:keepNext/>
      <w:spacing w:before="320" w:after="200"/>
      <w:outlineLvl w:val="8"/>
    </w:pPr>
    <w:rPr>
      <w:rFonts w:ascii="Arial" w:hAnsi="Arial" w:eastAsia="Arial" w:cs="Arial"/>
      <w:i/>
      <w:iCs/>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39"/>
    <w:unhideWhenUsed/>
    <w:qFormat/>
    <w:pPr>
      <w:ind w:left="1701"/>
      <w:spacing w:after="57"/>
    </w:pPr>
  </w:style>
  <w:style w:type="paragraph" w:styleId="819">
    <w:name w:val="Caption"/>
    <w:basedOn w:val="806"/>
    <w:next w:val="8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6"/>
    <w:uiPriority w:val="99"/>
    <w:unhideWhenUsed/>
    <w:qFormat/>
    <w:pPr>
      <w:jc w:val="left"/>
    </w:pPr>
  </w:style>
  <w:style w:type="paragraph" w:styleId="821">
    <w:name w:val="Body Text"/>
    <w:basedOn w:val="806"/>
    <w:uiPriority w:val="0"/>
    <w:qFormat/>
    <w:rPr>
      <w:sz w:val="20"/>
    </w:rPr>
  </w:style>
  <w:style w:type="paragraph" w:styleId="822">
    <w:name w:val="index 4"/>
    <w:basedOn w:val="806"/>
    <w:next w:val="806"/>
    <w:uiPriority w:val="99"/>
    <w:qFormat/>
    <w:pPr>
      <w:ind w:left="600"/>
    </w:pPr>
    <w:rPr>
      <w:szCs w:val="24"/>
    </w:rPr>
  </w:style>
  <w:style w:type="paragraph" w:styleId="823">
    <w:name w:val="toc 5"/>
    <w:basedOn w:val="806"/>
    <w:next w:val="806"/>
    <w:uiPriority w:val="39"/>
    <w:unhideWhenUsed/>
    <w:qFormat/>
    <w:pPr>
      <w:ind w:left="1134"/>
      <w:spacing w:after="57"/>
    </w:pPr>
  </w:style>
  <w:style w:type="paragraph" w:styleId="824">
    <w:name w:val="toc 3"/>
    <w:basedOn w:val="806"/>
    <w:next w:val="806"/>
    <w:uiPriority w:val="39"/>
    <w:unhideWhenUsed/>
    <w:qFormat/>
    <w:pPr>
      <w:ind w:left="567"/>
      <w:spacing w:after="57"/>
    </w:pPr>
  </w:style>
  <w:style w:type="paragraph" w:styleId="825">
    <w:name w:val="Plain Text"/>
    <w:basedOn w:val="806"/>
    <w:uiPriority w:val="0"/>
    <w:qFormat/>
    <w:rPr>
      <w:rFonts w:ascii="宋体" w:hAnsi="Courier New" w:eastAsia="楷体_GB2312"/>
      <w:sz w:val="26"/>
    </w:rPr>
  </w:style>
  <w:style w:type="paragraph" w:styleId="826">
    <w:name w:val="toc 8"/>
    <w:basedOn w:val="806"/>
    <w:next w:val="806"/>
    <w:uiPriority w:val="39"/>
    <w:unhideWhenUsed/>
    <w:qFormat/>
    <w:pPr>
      <w:ind w:left="1984"/>
      <w:spacing w:after="57"/>
    </w:pPr>
  </w:style>
  <w:style w:type="paragraph" w:styleId="827">
    <w:name w:val="endnote text"/>
    <w:basedOn w:val="806"/>
    <w:link w:val="994"/>
    <w:uiPriority w:val="99"/>
    <w:semiHidden/>
    <w:unhideWhenUsed/>
    <w:qFormat/>
    <w:rPr>
      <w:sz w:val="20"/>
    </w:rPr>
  </w:style>
  <w:style w:type="paragraph" w:styleId="828">
    <w:name w:val="Footer"/>
    <w:basedOn w:val="806"/>
    <w:next w:val="829"/>
    <w:link w:val="867"/>
    <w:uiPriority w:val="99"/>
    <w:unhideWhenUsed/>
    <w:qFormat/>
    <w:pPr>
      <w:tabs>
        <w:tab w:val="center" w:pos="7143" w:leader="none"/>
        <w:tab w:val="right" w:pos="14287" w:leader="none"/>
      </w:tabs>
    </w:pPr>
  </w:style>
  <w:style w:type="paragraph" w:styleId="829" w:customStyle="1">
    <w:name w:val="TOC Heading1"/>
    <w:next w:val="806"/>
    <w:uiPriority w:val="0"/>
    <w:qFormat/>
    <w:rPr>
      <w:rFonts w:ascii="Calibri" w:hAnsi="Calibri" w:eastAsia="宋体" w:cs="Times New Roman"/>
      <w:sz w:val="32"/>
      <w:lang w:val="en-US" w:eastAsia="zh-CN" w:bidi="ar-SA"/>
    </w:rPr>
  </w:style>
  <w:style w:type="paragraph" w:styleId="830">
    <w:name w:val="Header"/>
    <w:basedOn w:val="806"/>
    <w:link w:val="865"/>
    <w:uiPriority w:val="99"/>
    <w:unhideWhenUsed/>
    <w:qFormat/>
    <w:pPr>
      <w:tabs>
        <w:tab w:val="center" w:pos="7143" w:leader="none"/>
        <w:tab w:val="right" w:pos="14287" w:leader="none"/>
      </w:tabs>
    </w:pPr>
  </w:style>
  <w:style w:type="paragraph" w:styleId="831">
    <w:name w:val="toc 1"/>
    <w:basedOn w:val="806"/>
    <w:next w:val="806"/>
    <w:uiPriority w:val="39"/>
    <w:unhideWhenUsed/>
    <w:qFormat/>
    <w:pPr>
      <w:spacing w:after="57"/>
    </w:pPr>
  </w:style>
  <w:style w:type="paragraph" w:styleId="832">
    <w:name w:val="toc 4"/>
    <w:basedOn w:val="806"/>
    <w:next w:val="806"/>
    <w:uiPriority w:val="39"/>
    <w:unhideWhenUsed/>
    <w:qFormat/>
    <w:pPr>
      <w:ind w:left="850"/>
      <w:spacing w:after="57"/>
    </w:pPr>
  </w:style>
  <w:style w:type="paragraph" w:styleId="833">
    <w:name w:val="Subtitle"/>
    <w:basedOn w:val="806"/>
    <w:next w:val="806"/>
    <w:link w:val="860"/>
    <w:uiPriority w:val="11"/>
    <w:qFormat/>
    <w:pPr>
      <w:spacing w:before="200" w:after="200"/>
    </w:pPr>
    <w:rPr>
      <w:sz w:val="24"/>
      <w:szCs w:val="24"/>
    </w:rPr>
  </w:style>
  <w:style w:type="paragraph" w:styleId="834">
    <w:name w:val="List"/>
    <w:basedOn w:val="806"/>
    <w:uiPriority w:val="99"/>
    <w:qFormat/>
    <w:pPr>
      <w:ind w:left="465" w:hanging="465"/>
      <w:spacing w:after="20" w:line="288" w:lineRule="auto"/>
      <w:tabs>
        <w:tab w:val="left" w:pos="420" w:leader="none"/>
      </w:tabs>
    </w:pPr>
    <w:rPr>
      <w:lang w:val="en-GB"/>
    </w:rPr>
  </w:style>
  <w:style w:type="paragraph" w:styleId="835">
    <w:name w:val="footnote text"/>
    <w:basedOn w:val="806"/>
    <w:link w:val="993"/>
    <w:uiPriority w:val="99"/>
    <w:semiHidden/>
    <w:unhideWhenUsed/>
    <w:qFormat/>
    <w:pPr>
      <w:spacing w:after="40"/>
    </w:pPr>
    <w:rPr>
      <w:sz w:val="18"/>
    </w:rPr>
  </w:style>
  <w:style w:type="paragraph" w:styleId="836">
    <w:name w:val="toc 6"/>
    <w:basedOn w:val="806"/>
    <w:next w:val="806"/>
    <w:uiPriority w:val="39"/>
    <w:unhideWhenUsed/>
    <w:qFormat/>
    <w:pPr>
      <w:ind w:left="1417"/>
      <w:spacing w:after="57"/>
    </w:pPr>
  </w:style>
  <w:style w:type="paragraph" w:styleId="837">
    <w:name w:val="table of figures"/>
    <w:basedOn w:val="806"/>
    <w:next w:val="806"/>
    <w:uiPriority w:val="99"/>
    <w:unhideWhenUsed/>
    <w:qFormat/>
  </w:style>
  <w:style w:type="paragraph" w:styleId="838">
    <w:name w:val="toc 2"/>
    <w:basedOn w:val="806"/>
    <w:next w:val="806"/>
    <w:uiPriority w:val="39"/>
    <w:unhideWhenUsed/>
    <w:qFormat/>
    <w:pPr>
      <w:ind w:left="283"/>
      <w:spacing w:after="57"/>
    </w:pPr>
  </w:style>
  <w:style w:type="paragraph" w:styleId="839">
    <w:name w:val="toc 9"/>
    <w:basedOn w:val="806"/>
    <w:next w:val="806"/>
    <w:uiPriority w:val="39"/>
    <w:unhideWhenUsed/>
    <w:qFormat/>
    <w:pPr>
      <w:ind w:left="2268"/>
      <w:spacing w:after="57"/>
    </w:pPr>
  </w:style>
  <w:style w:type="paragraph" w:styleId="840">
    <w:name w:val="Title"/>
    <w:basedOn w:val="806"/>
    <w:next w:val="806"/>
    <w:link w:val="859"/>
    <w:uiPriority w:val="10"/>
    <w:qFormat/>
    <w:pPr>
      <w:contextualSpacing/>
      <w:spacing w:before="300" w:after="200"/>
    </w:pPr>
    <w:rPr>
      <w:sz w:val="48"/>
      <w:szCs w:val="48"/>
    </w:rPr>
  </w:style>
  <w:style w:type="paragraph" w:styleId="841">
    <w:name w:val="Body Text First Indent"/>
    <w:basedOn w:val="821"/>
    <w:uiPriority w:val="99"/>
    <w:qFormat/>
    <w:pPr>
      <w:ind w:firstLine="420"/>
      <w:jc w:val="left"/>
      <w:spacing w:after="120"/>
      <w:widowControl/>
    </w:pPr>
    <w:rPr>
      <w:sz w:val="30"/>
      <w:szCs w:val="30"/>
    </w:rPr>
  </w:style>
  <w:style w:type="table" w:styleId="842">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uiPriority w:val="22"/>
    <w:qFormat/>
    <w:rPr>
      <w:b/>
      <w:bCs/>
    </w:r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paragraph" w:styleId="847">
    <w:name w:val="List Paragraph"/>
    <w:basedOn w:val="806"/>
    <w:uiPriority w:val="99"/>
    <w:qFormat/>
    <w:pPr>
      <w:ind w:firstLine="420"/>
    </w:pPr>
  </w:style>
  <w:style w:type="paragraph" w:styleId="848" w:customStyle="1">
    <w:name w:val="索引 41"/>
    <w:basedOn w:val="806"/>
    <w:next w:val="806"/>
    <w:uiPriority w:val="99"/>
    <w:qFormat/>
    <w:pPr>
      <w:ind w:left="600"/>
    </w:pPr>
    <w:rPr>
      <w:szCs w:val="24"/>
    </w:rPr>
  </w:style>
  <w:style w:type="character" w:styleId="849" w:customStyle="1">
    <w:name w:val="标题 1 字符2"/>
    <w:link w:val="807"/>
    <w:uiPriority w:val="9"/>
    <w:qFormat/>
    <w:rPr>
      <w:rFonts w:ascii="Arial" w:hAnsi="Arial" w:eastAsia="Arial" w:cs="Arial"/>
      <w:sz w:val="40"/>
      <w:szCs w:val="40"/>
    </w:rPr>
  </w:style>
  <w:style w:type="character" w:styleId="850" w:customStyle="1">
    <w:name w:val="标题 2 字符1"/>
    <w:link w:val="808"/>
    <w:uiPriority w:val="9"/>
    <w:qFormat/>
    <w:rPr>
      <w:rFonts w:ascii="Arial" w:hAnsi="Arial" w:eastAsia="Arial" w:cs="Arial"/>
      <w:sz w:val="34"/>
    </w:rPr>
  </w:style>
  <w:style w:type="character" w:styleId="851" w:customStyle="1">
    <w:name w:val="标题 3 字符1"/>
    <w:link w:val="809"/>
    <w:uiPriority w:val="9"/>
    <w:qFormat/>
    <w:rPr>
      <w:rFonts w:ascii="Arial" w:hAnsi="Arial" w:eastAsia="Arial" w:cs="Arial"/>
      <w:sz w:val="30"/>
      <w:szCs w:val="30"/>
    </w:rPr>
  </w:style>
  <w:style w:type="character" w:styleId="852" w:customStyle="1">
    <w:name w:val="标题 4 字符1"/>
    <w:link w:val="810"/>
    <w:uiPriority w:val="9"/>
    <w:qFormat/>
    <w:rPr>
      <w:rFonts w:ascii="Arial" w:hAnsi="Arial" w:eastAsia="Arial" w:cs="Arial"/>
      <w:b/>
      <w:bCs/>
      <w:sz w:val="26"/>
      <w:szCs w:val="26"/>
    </w:rPr>
  </w:style>
  <w:style w:type="character" w:styleId="853" w:customStyle="1">
    <w:name w:val="标题 5 字符1"/>
    <w:link w:val="811"/>
    <w:uiPriority w:val="9"/>
    <w:qFormat/>
    <w:rPr>
      <w:rFonts w:ascii="Arial" w:hAnsi="Arial" w:eastAsia="Arial" w:cs="Arial"/>
      <w:b/>
      <w:bCs/>
      <w:sz w:val="24"/>
      <w:szCs w:val="24"/>
    </w:rPr>
  </w:style>
  <w:style w:type="character" w:styleId="854" w:customStyle="1">
    <w:name w:val="标题 6 字符"/>
    <w:link w:val="812"/>
    <w:uiPriority w:val="9"/>
    <w:qFormat/>
    <w:rPr>
      <w:rFonts w:ascii="Arial" w:hAnsi="Arial" w:eastAsia="Arial" w:cs="Arial"/>
      <w:b/>
      <w:bCs/>
      <w:sz w:val="22"/>
      <w:szCs w:val="22"/>
    </w:rPr>
  </w:style>
  <w:style w:type="character" w:styleId="855" w:customStyle="1">
    <w:name w:val="标题 7 字符"/>
    <w:link w:val="813"/>
    <w:uiPriority w:val="9"/>
    <w:qFormat/>
    <w:rPr>
      <w:rFonts w:ascii="Arial" w:hAnsi="Arial" w:eastAsia="Arial" w:cs="Arial"/>
      <w:b/>
      <w:bCs/>
      <w:i/>
      <w:iCs/>
      <w:sz w:val="22"/>
      <w:szCs w:val="22"/>
    </w:rPr>
  </w:style>
  <w:style w:type="character" w:styleId="856" w:customStyle="1">
    <w:name w:val="标题 8 字符"/>
    <w:link w:val="814"/>
    <w:uiPriority w:val="9"/>
    <w:qFormat/>
    <w:rPr>
      <w:rFonts w:ascii="Arial" w:hAnsi="Arial" w:eastAsia="Arial" w:cs="Arial"/>
      <w:i/>
      <w:iCs/>
      <w:sz w:val="22"/>
      <w:szCs w:val="22"/>
    </w:rPr>
  </w:style>
  <w:style w:type="character" w:styleId="857" w:customStyle="1">
    <w:name w:val="标题 9 字符"/>
    <w:link w:val="815"/>
    <w:uiPriority w:val="9"/>
    <w:qFormat/>
    <w:rPr>
      <w:rFonts w:ascii="Arial" w:hAnsi="Arial" w:eastAsia="Arial" w:cs="Arial"/>
      <w:i/>
      <w:iCs/>
      <w:sz w:val="21"/>
      <w:szCs w:val="21"/>
    </w:rPr>
  </w:style>
  <w:style w:type="paragraph" w:styleId="858">
    <w:name w:val="No Spacing"/>
    <w:uiPriority w:val="1"/>
    <w:qFormat/>
    <w:rPr>
      <w:rFonts w:ascii="Times New Roman" w:hAnsi="Times New Roman" w:eastAsia="宋体" w:cs="Times New Roman"/>
      <w:lang w:val="en-US" w:eastAsia="zh-CN" w:bidi="ar-SA"/>
    </w:rPr>
  </w:style>
  <w:style w:type="character" w:styleId="859" w:customStyle="1">
    <w:name w:val="标题 字符1"/>
    <w:link w:val="840"/>
    <w:uiPriority w:val="10"/>
    <w:qFormat/>
    <w:rPr>
      <w:sz w:val="48"/>
      <w:szCs w:val="48"/>
    </w:rPr>
  </w:style>
  <w:style w:type="character" w:styleId="860" w:customStyle="1">
    <w:name w:val="副标题 字符1"/>
    <w:link w:val="833"/>
    <w:uiPriority w:val="11"/>
    <w:qFormat/>
    <w:rPr>
      <w:sz w:val="24"/>
      <w:szCs w:val="24"/>
    </w:rPr>
  </w:style>
  <w:style w:type="paragraph" w:styleId="861">
    <w:name w:val="Quote"/>
    <w:basedOn w:val="806"/>
    <w:next w:val="806"/>
    <w:link w:val="862"/>
    <w:uiPriority w:val="29"/>
    <w:qFormat/>
    <w:pPr>
      <w:ind w:left="720" w:right="720"/>
    </w:pPr>
    <w:rPr>
      <w:i/>
    </w:rPr>
  </w:style>
  <w:style w:type="character" w:styleId="862" w:customStyle="1">
    <w:name w:val="引用 字符"/>
    <w:link w:val="861"/>
    <w:uiPriority w:val="29"/>
    <w:qFormat/>
    <w:rPr>
      <w:i/>
    </w:rPr>
  </w:style>
  <w:style w:type="paragraph" w:styleId="863">
    <w:name w:val="Intense Quote"/>
    <w:basedOn w:val="806"/>
    <w:next w:val="806"/>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明显引用 字符"/>
    <w:link w:val="863"/>
    <w:uiPriority w:val="30"/>
    <w:qFormat/>
    <w:rPr>
      <w:i/>
    </w:rPr>
  </w:style>
  <w:style w:type="character" w:styleId="865" w:customStyle="1">
    <w:name w:val="页眉 字符2"/>
    <w:link w:val="830"/>
    <w:uiPriority w:val="99"/>
    <w:qFormat/>
  </w:style>
  <w:style w:type="character" w:styleId="866" w:customStyle="1">
    <w:name w:val="Footer Char"/>
    <w:uiPriority w:val="99"/>
    <w:qFormat/>
  </w:style>
  <w:style w:type="character" w:styleId="867" w:customStyle="1">
    <w:name w:val="页脚 字符1"/>
    <w:link w:val="828"/>
    <w:uiPriority w:val="99"/>
    <w:qFormat/>
  </w:style>
  <w:style w:type="table" w:styleId="86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脚注文本 字符"/>
    <w:link w:val="835"/>
    <w:uiPriority w:val="99"/>
    <w:qFormat/>
    <w:rPr>
      <w:sz w:val="18"/>
    </w:rPr>
  </w:style>
  <w:style w:type="character" w:styleId="994" w:customStyle="1">
    <w:name w:val="尾注文本 字符"/>
    <w:link w:val="827"/>
    <w:uiPriority w:val="99"/>
    <w:qFormat/>
    <w:rPr>
      <w:sz w:val="20"/>
    </w:rPr>
  </w:style>
  <w:style w:type="paragraph" w:styleId="995" w:customStyle="1">
    <w:name w:val="TOC 标题1"/>
    <w:uiPriority w:val="39"/>
    <w:unhideWhenUsed/>
    <w:qFormat/>
    <w:rPr>
      <w:rFonts w:ascii="Times New Roman" w:hAnsi="Times New Roman" w:eastAsia="宋体" w:cs="Times New Roman"/>
      <w:lang w:val="en-US" w:eastAsia="zh-CN" w:bidi="ar-SA"/>
    </w:rPr>
  </w:style>
  <w:style w:type="paragraph" w:styleId="996" w:customStyle="1">
    <w:name w:val="标题 11"/>
    <w:basedOn w:val="806"/>
    <w:next w:val="806"/>
    <w:link w:val="1003"/>
    <w:uiPriority w:val="0"/>
    <w:qFormat/>
    <w:pPr>
      <w:jc w:val="center"/>
      <w:keepNext/>
      <w:outlineLvl w:val="0"/>
    </w:pPr>
    <w:rPr>
      <w:b/>
      <w:bCs/>
      <w:sz w:val="44"/>
      <w:szCs w:val="44"/>
      <w:lang w:eastAsia="en-US"/>
    </w:rPr>
  </w:style>
  <w:style w:type="paragraph" w:styleId="997" w:customStyle="1">
    <w:name w:val="标题 21"/>
    <w:basedOn w:val="806"/>
    <w:next w:val="806"/>
    <w:link w:val="1004"/>
    <w:uiPriority w:val="0"/>
    <w:qFormat/>
    <w:pPr>
      <w:jc w:val="center"/>
      <w:keepNext/>
      <w:outlineLvl w:val="1"/>
    </w:pPr>
    <w:rPr>
      <w:rFonts w:ascii="Cambria" w:hAnsi="Cambria"/>
      <w:b/>
      <w:bCs/>
      <w:sz w:val="32"/>
      <w:szCs w:val="32"/>
      <w:lang w:eastAsia="en-US"/>
    </w:rPr>
  </w:style>
  <w:style w:type="paragraph" w:styleId="998" w:customStyle="1">
    <w:name w:val="标题 311"/>
    <w:basedOn w:val="806"/>
    <w:next w:val="806"/>
    <w:link w:val="1005"/>
    <w:uiPriority w:val="0"/>
    <w:qFormat/>
    <w:pPr>
      <w:jc w:val="center"/>
      <w:keepNext/>
      <w:outlineLvl w:val="2"/>
    </w:pPr>
    <w:rPr>
      <w:b/>
      <w:bCs/>
      <w:sz w:val="32"/>
      <w:szCs w:val="32"/>
      <w:lang w:eastAsia="en-US"/>
    </w:rPr>
  </w:style>
  <w:style w:type="paragraph" w:styleId="999" w:customStyle="1">
    <w:name w:val="标题 411"/>
    <w:basedOn w:val="806"/>
    <w:next w:val="806"/>
    <w:link w:val="1006"/>
    <w:uiPriority w:val="0"/>
    <w:qFormat/>
    <w:pPr>
      <w:jc w:val="center"/>
      <w:keepNext/>
      <w:outlineLvl w:val="3"/>
    </w:pPr>
    <w:rPr>
      <w:rFonts w:ascii="Cambria" w:hAnsi="Cambria"/>
      <w:b/>
      <w:bCs/>
      <w:sz w:val="28"/>
      <w:szCs w:val="28"/>
      <w:lang w:eastAsia="en-US"/>
    </w:rPr>
  </w:style>
  <w:style w:type="paragraph" w:styleId="1000" w:customStyle="1">
    <w:name w:val="标题 51"/>
    <w:basedOn w:val="806"/>
    <w:next w:val="806"/>
    <w:link w:val="1007"/>
    <w:uiPriority w:val="0"/>
    <w:qFormat/>
    <w:pPr>
      <w:numPr>
        <w:ilvl w:val="0"/>
        <w:numId w:val="1"/>
      </w:numPr>
      <w:keepNext/>
      <w:outlineLvl w:val="4"/>
    </w:pPr>
    <w:rPr>
      <w:rFonts w:ascii="楷体_GB2312" w:eastAsia="楷体_GB2312"/>
      <w:bCs/>
      <w:sz w:val="28"/>
      <w:lang w:eastAsia="en-US"/>
    </w:rPr>
  </w:style>
  <w:style w:type="character" w:styleId="1001" w:customStyle="1">
    <w:name w:val="默认段落字体1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标题 1 Char"/>
    <w:link w:val="996"/>
    <w:uiPriority w:val="0"/>
    <w:qFormat/>
    <w:rPr>
      <w:rFonts w:cs="Times New Roman"/>
      <w:b/>
      <w:bCs/>
      <w:sz w:val="44"/>
      <w:szCs w:val="44"/>
    </w:rPr>
  </w:style>
  <w:style w:type="character" w:styleId="1004" w:customStyle="1">
    <w:name w:val="标题 2 Char"/>
    <w:link w:val="997"/>
    <w:uiPriority w:val="0"/>
    <w:semiHidden/>
    <w:qFormat/>
    <w:rPr>
      <w:rFonts w:ascii="Cambria" w:hAnsi="Cambria" w:eastAsia="宋体" w:cs="Times New Roman"/>
      <w:b/>
      <w:bCs/>
      <w:sz w:val="32"/>
      <w:szCs w:val="32"/>
    </w:rPr>
  </w:style>
  <w:style w:type="character" w:styleId="1005" w:customStyle="1">
    <w:name w:val="标题 3 Char"/>
    <w:link w:val="998"/>
    <w:uiPriority w:val="0"/>
    <w:qFormat/>
    <w:rPr>
      <w:rFonts w:cs="Times New Roman"/>
      <w:b/>
      <w:bCs/>
      <w:sz w:val="32"/>
      <w:szCs w:val="32"/>
    </w:rPr>
  </w:style>
  <w:style w:type="character" w:styleId="1006" w:customStyle="1">
    <w:name w:val="标题 4 Char"/>
    <w:link w:val="999"/>
    <w:uiPriority w:val="0"/>
    <w:semiHidden/>
    <w:qFormat/>
    <w:rPr>
      <w:rFonts w:ascii="Cambria" w:hAnsi="Cambria" w:eastAsia="宋体" w:cs="Times New Roman"/>
      <w:b/>
      <w:bCs/>
      <w:sz w:val="28"/>
      <w:szCs w:val="28"/>
    </w:rPr>
  </w:style>
  <w:style w:type="character" w:styleId="1007" w:customStyle="1">
    <w:name w:val="标题 5 Char"/>
    <w:link w:val="1000"/>
    <w:uiPriority w:val="0"/>
    <w:qFormat/>
    <w:rPr>
      <w:rFonts w:ascii="楷体_GB2312" w:eastAsia="楷体_GB2312"/>
      <w:bCs/>
      <w:sz w:val="28"/>
    </w:rPr>
  </w:style>
  <w:style w:type="paragraph" w:styleId="1008" w:customStyle="1">
    <w:name w:val="正文缩进11"/>
    <w:basedOn w:val="806"/>
    <w:link w:val="1009"/>
    <w:uiPriority w:val="0"/>
    <w:qFormat/>
    <w:pPr>
      <w:ind w:firstLine="420"/>
    </w:pPr>
    <w:rPr>
      <w:lang w:eastAsia="en-US"/>
    </w:rPr>
  </w:style>
  <w:style w:type="character" w:styleId="1009" w:customStyle="1">
    <w:name w:val="正文缩进 Char"/>
    <w:link w:val="1008"/>
    <w:uiPriority w:val="0"/>
    <w:qFormat/>
    <w:rPr>
      <w:sz w:val="21"/>
    </w:rPr>
  </w:style>
  <w:style w:type="paragraph" w:styleId="1010" w:customStyle="1">
    <w:name w:val="文档结构图1"/>
    <w:basedOn w:val="806"/>
    <w:link w:val="1011"/>
    <w:uiPriority w:val="0"/>
    <w:semiHidden/>
    <w:qFormat/>
    <w:pPr>
      <w:shd w:val="clear" w:color="auto" w:fill="000080"/>
    </w:pPr>
    <w:rPr>
      <w:sz w:val="2"/>
      <w:lang w:eastAsia="en-US"/>
    </w:rPr>
  </w:style>
  <w:style w:type="character" w:styleId="1011" w:customStyle="1">
    <w:name w:val="文档结构图 Char"/>
    <w:link w:val="1010"/>
    <w:uiPriority w:val="0"/>
    <w:semiHidden/>
    <w:qFormat/>
    <w:rPr>
      <w:rFonts w:cs="Times New Roman"/>
      <w:sz w:val="2"/>
    </w:rPr>
  </w:style>
  <w:style w:type="paragraph" w:styleId="1012" w:customStyle="1">
    <w:name w:val="批注文字1"/>
    <w:basedOn w:val="806"/>
    <w:link w:val="1013"/>
    <w:uiPriority w:val="99"/>
    <w:unhideWhenUsed/>
    <w:qFormat/>
    <w:pPr>
      <w:jc w:val="left"/>
    </w:pPr>
    <w:rPr>
      <w:lang w:eastAsia="en-US"/>
    </w:rPr>
  </w:style>
  <w:style w:type="character" w:styleId="1013" w:customStyle="1">
    <w:name w:val="批注文字 Char"/>
    <w:link w:val="1012"/>
    <w:uiPriority w:val="99"/>
    <w:semiHidden/>
    <w:qFormat/>
    <w:rPr>
      <w:sz w:val="21"/>
    </w:rPr>
  </w:style>
  <w:style w:type="paragraph" w:styleId="1014" w:customStyle="1">
    <w:name w:val="正文文本1"/>
    <w:basedOn w:val="806"/>
    <w:link w:val="1015"/>
    <w:uiPriority w:val="0"/>
    <w:qFormat/>
    <w:rPr>
      <w:sz w:val="20"/>
      <w:lang w:eastAsia="en-US"/>
    </w:rPr>
  </w:style>
  <w:style w:type="character" w:styleId="1015" w:customStyle="1">
    <w:name w:val="正文文本 Char"/>
    <w:link w:val="1014"/>
    <w:uiPriority w:val="0"/>
    <w:semiHidden/>
    <w:qFormat/>
    <w:rPr>
      <w:rFonts w:cs="Times New Roman"/>
      <w:sz w:val="20"/>
      <w:szCs w:val="20"/>
    </w:rPr>
  </w:style>
  <w:style w:type="paragraph" w:styleId="1016" w:customStyle="1">
    <w:name w:val="正文文本缩进1"/>
    <w:basedOn w:val="806"/>
    <w:link w:val="1017"/>
    <w:uiPriority w:val="0"/>
    <w:qFormat/>
    <w:pPr>
      <w:ind w:firstLine="576"/>
    </w:pPr>
    <w:rPr>
      <w:sz w:val="20"/>
      <w:lang w:eastAsia="en-US"/>
    </w:rPr>
  </w:style>
  <w:style w:type="character" w:styleId="1017" w:customStyle="1">
    <w:name w:val="正文文本缩进 Char"/>
    <w:link w:val="1016"/>
    <w:uiPriority w:val="0"/>
    <w:semiHidden/>
    <w:qFormat/>
    <w:rPr>
      <w:rFonts w:cs="Times New Roman"/>
      <w:sz w:val="20"/>
      <w:szCs w:val="20"/>
    </w:rPr>
  </w:style>
  <w:style w:type="paragraph" w:styleId="1018" w:customStyle="1">
    <w:name w:val="日期1"/>
    <w:basedOn w:val="806"/>
    <w:next w:val="806"/>
    <w:link w:val="1019"/>
    <w:uiPriority w:val="0"/>
    <w:qFormat/>
    <w:rPr>
      <w:sz w:val="20"/>
      <w:lang w:eastAsia="en-US"/>
    </w:rPr>
  </w:style>
  <w:style w:type="character" w:styleId="1019" w:customStyle="1">
    <w:name w:val="日期 Char"/>
    <w:link w:val="1018"/>
    <w:uiPriority w:val="0"/>
    <w:semiHidden/>
    <w:qFormat/>
    <w:rPr>
      <w:rFonts w:cs="Times New Roman"/>
      <w:sz w:val="20"/>
      <w:szCs w:val="20"/>
    </w:rPr>
  </w:style>
  <w:style w:type="paragraph" w:styleId="1020" w:customStyle="1">
    <w:name w:val="正文文本缩进 21"/>
    <w:basedOn w:val="806"/>
    <w:link w:val="1021"/>
    <w:uiPriority w:val="0"/>
    <w:qFormat/>
    <w:pPr>
      <w:ind w:left="900"/>
    </w:pPr>
    <w:rPr>
      <w:sz w:val="20"/>
      <w:lang w:eastAsia="en-US"/>
    </w:rPr>
  </w:style>
  <w:style w:type="character" w:styleId="1021" w:customStyle="1">
    <w:name w:val="正文文本缩进 2 Char"/>
    <w:link w:val="1020"/>
    <w:uiPriority w:val="0"/>
    <w:semiHidden/>
    <w:qFormat/>
    <w:rPr>
      <w:rFonts w:cs="Times New Roman"/>
      <w:sz w:val="20"/>
      <w:szCs w:val="20"/>
    </w:rPr>
  </w:style>
  <w:style w:type="paragraph" w:styleId="1022" w:customStyle="1">
    <w:name w:val="批注框文本1"/>
    <w:basedOn w:val="806"/>
    <w:link w:val="1023"/>
    <w:uiPriority w:val="0"/>
    <w:unhideWhenUsed/>
    <w:qFormat/>
    <w:rPr>
      <w:sz w:val="18"/>
      <w:szCs w:val="18"/>
      <w:lang w:eastAsia="en-US"/>
    </w:rPr>
  </w:style>
  <w:style w:type="character" w:styleId="1023" w:customStyle="1">
    <w:name w:val="批注框文本 Char"/>
    <w:link w:val="1022"/>
    <w:uiPriority w:val="0"/>
    <w:qFormat/>
    <w:rPr>
      <w:sz w:val="18"/>
      <w:szCs w:val="18"/>
    </w:rPr>
  </w:style>
  <w:style w:type="paragraph" w:styleId="1024" w:customStyle="1">
    <w:name w:val="页脚11"/>
    <w:basedOn w:val="806"/>
    <w:link w:val="1025"/>
    <w:uiPriority w:val="99"/>
    <w:qFormat/>
    <w:pPr>
      <w:jc w:val="left"/>
      <w:tabs>
        <w:tab w:val="center" w:pos="4153" w:leader="none"/>
        <w:tab w:val="right" w:pos="8306" w:leader="none"/>
      </w:tabs>
    </w:pPr>
    <w:rPr>
      <w:sz w:val="18"/>
      <w:szCs w:val="18"/>
      <w:lang w:eastAsia="en-US"/>
    </w:rPr>
  </w:style>
  <w:style w:type="character" w:styleId="1025" w:customStyle="1">
    <w:name w:val="页脚 Char"/>
    <w:link w:val="1024"/>
    <w:uiPriority w:val="99"/>
    <w:qFormat/>
    <w:rPr>
      <w:rFonts w:cs="Times New Roman"/>
      <w:sz w:val="18"/>
      <w:szCs w:val="18"/>
    </w:rPr>
  </w:style>
  <w:style w:type="paragraph" w:styleId="1026" w:customStyle="1">
    <w:name w:val="页眉11"/>
    <w:basedOn w:val="806"/>
    <w:link w:val="1027"/>
    <w:uiPriority w:val="99"/>
    <w:qFormat/>
    <w:pPr>
      <w:tabs>
        <w:tab w:val="center" w:pos="4153" w:leader="none"/>
        <w:tab w:val="right" w:pos="8306" w:leader="none"/>
      </w:tabs>
      <w:pBdr>
        <w:bottom w:val="single" w:color="000000" w:sz="6" w:space="1"/>
      </w:pBdr>
    </w:pPr>
    <w:rPr>
      <w:sz w:val="18"/>
      <w:szCs w:val="18"/>
      <w:lang w:eastAsia="en-US"/>
    </w:rPr>
  </w:style>
  <w:style w:type="character" w:styleId="1027" w:customStyle="1">
    <w:name w:val="页眉 Char"/>
    <w:link w:val="1026"/>
    <w:uiPriority w:val="99"/>
    <w:qFormat/>
    <w:rPr>
      <w:sz w:val="18"/>
      <w:szCs w:val="18"/>
    </w:rPr>
  </w:style>
  <w:style w:type="paragraph" w:styleId="1028" w:customStyle="1">
    <w:name w:val="目录 11"/>
    <w:basedOn w:val="806"/>
    <w:next w:val="806"/>
    <w:uiPriority w:val="39"/>
    <w:qFormat/>
  </w:style>
  <w:style w:type="paragraph" w:styleId="1029" w:customStyle="1">
    <w:name w:val="副标题1"/>
    <w:basedOn w:val="806"/>
    <w:next w:val="806"/>
    <w:link w:val="1030"/>
    <w:uiPriority w:val="11"/>
    <w:qFormat/>
    <w:pPr>
      <w:jc w:val="center"/>
      <w:spacing w:before="240" w:after="60" w:line="312" w:lineRule="auto"/>
      <w:outlineLvl w:val="1"/>
    </w:pPr>
    <w:rPr>
      <w:rFonts w:ascii="Calibri Light" w:hAnsi="Calibri Light"/>
      <w:b/>
      <w:bCs/>
      <w:sz w:val="32"/>
      <w:szCs w:val="32"/>
      <w:lang w:eastAsia="en-US"/>
    </w:rPr>
  </w:style>
  <w:style w:type="character" w:styleId="1030" w:customStyle="1">
    <w:name w:val="副标题 Char"/>
    <w:link w:val="1029"/>
    <w:uiPriority w:val="11"/>
    <w:qFormat/>
    <w:rPr>
      <w:rFonts w:ascii="Calibri Light" w:hAnsi="Calibri Light"/>
      <w:b/>
      <w:bCs/>
      <w:sz w:val="32"/>
      <w:szCs w:val="32"/>
    </w:rPr>
  </w:style>
  <w:style w:type="paragraph" w:styleId="1031" w:customStyle="1">
    <w:name w:val="列表1"/>
    <w:basedOn w:val="806"/>
    <w:uiPriority w:val="99"/>
    <w:qFormat/>
    <w:pPr>
      <w:numPr>
        <w:ilvl w:val="0"/>
        <w:numId w:val="2"/>
      </w:numPr>
      <w:spacing w:after="20" w:line="288" w:lineRule="auto"/>
      <w:tabs>
        <w:tab w:val="left" w:pos="420" w:leader="none"/>
      </w:tabs>
    </w:pPr>
    <w:rPr>
      <w:lang w:val="en-GB"/>
    </w:rPr>
  </w:style>
  <w:style w:type="paragraph" w:styleId="1032" w:customStyle="1">
    <w:name w:val="正文文本缩进 31"/>
    <w:basedOn w:val="806"/>
    <w:link w:val="1033"/>
    <w:uiPriority w:val="0"/>
    <w:qFormat/>
    <w:pPr>
      <w:ind w:left="359" w:firstLine="359"/>
    </w:pPr>
    <w:rPr>
      <w:sz w:val="16"/>
      <w:szCs w:val="16"/>
      <w:lang w:eastAsia="en-US"/>
    </w:rPr>
  </w:style>
  <w:style w:type="character" w:styleId="1033" w:customStyle="1">
    <w:name w:val="正文文本缩进 3 Char"/>
    <w:link w:val="1032"/>
    <w:uiPriority w:val="0"/>
    <w:semiHidden/>
    <w:qFormat/>
    <w:rPr>
      <w:rFonts w:cs="Times New Roman"/>
      <w:sz w:val="16"/>
      <w:szCs w:val="16"/>
    </w:rPr>
  </w:style>
  <w:style w:type="paragraph" w:styleId="1034" w:customStyle="1">
    <w:name w:val="正文文本 21"/>
    <w:basedOn w:val="806"/>
    <w:link w:val="1035"/>
    <w:uiPriority w:val="0"/>
    <w:qFormat/>
    <w:pPr>
      <w:spacing w:after="120" w:line="480" w:lineRule="auto"/>
    </w:pPr>
    <w:rPr>
      <w:sz w:val="20"/>
      <w:lang w:eastAsia="en-US"/>
    </w:rPr>
  </w:style>
  <w:style w:type="character" w:styleId="1035" w:customStyle="1">
    <w:name w:val="正文文本 2 Char"/>
    <w:link w:val="1034"/>
    <w:uiPriority w:val="0"/>
    <w:semiHidden/>
    <w:qFormat/>
    <w:rPr>
      <w:rFonts w:cs="Times New Roman"/>
      <w:sz w:val="20"/>
      <w:szCs w:val="20"/>
    </w:rPr>
  </w:style>
  <w:style w:type="paragraph" w:styleId="1036" w:customStyle="1">
    <w:name w:val="普通(网站)1"/>
    <w:basedOn w:val="806"/>
    <w:uiPriority w:val="99"/>
    <w:unhideWhenUsed/>
    <w:qFormat/>
    <w:pPr>
      <w:jc w:val="left"/>
      <w:spacing w:before="100" w:beforeAutospacing="1" w:after="100" w:afterAutospacing="1"/>
      <w:widowControl/>
    </w:pPr>
    <w:rPr>
      <w:rFonts w:ascii="宋体" w:hAnsi="宋体" w:cs="宋体"/>
      <w:sz w:val="24"/>
      <w:szCs w:val="24"/>
    </w:rPr>
  </w:style>
  <w:style w:type="paragraph" w:styleId="1037" w:customStyle="1">
    <w:name w:val="标题1"/>
    <w:basedOn w:val="806"/>
    <w:next w:val="806"/>
    <w:link w:val="1038"/>
    <w:uiPriority w:val="99"/>
    <w:qFormat/>
    <w:pPr>
      <w:ind w:firstLine="200"/>
      <w:jc w:val="center"/>
      <w:spacing w:before="240" w:after="60" w:line="336" w:lineRule="auto"/>
      <w:outlineLvl w:val="0"/>
    </w:pPr>
    <w:rPr>
      <w:rFonts w:ascii="Cambria" w:hAnsi="Cambria"/>
      <w:b/>
      <w:bCs/>
      <w:sz w:val="32"/>
      <w:szCs w:val="32"/>
      <w:lang w:eastAsia="en-US"/>
    </w:rPr>
  </w:style>
  <w:style w:type="character" w:styleId="1038" w:customStyle="1">
    <w:name w:val="标题 Char"/>
    <w:link w:val="1037"/>
    <w:uiPriority w:val="99"/>
    <w:qFormat/>
    <w:rPr>
      <w:rFonts w:ascii="Cambria" w:hAnsi="Cambria" w:cs="Cambria"/>
      <w:b/>
      <w:bCs/>
      <w:sz w:val="32"/>
      <w:szCs w:val="32"/>
    </w:rPr>
  </w:style>
  <w:style w:type="paragraph" w:styleId="1039" w:customStyle="1">
    <w:name w:val="批注主题1"/>
    <w:basedOn w:val="1012"/>
    <w:next w:val="1012"/>
    <w:link w:val="1040"/>
    <w:uiPriority w:val="99"/>
    <w:unhideWhenUsed/>
    <w:qFormat/>
    <w:rPr>
      <w:b/>
      <w:bCs/>
    </w:rPr>
  </w:style>
  <w:style w:type="character" w:styleId="1040" w:customStyle="1">
    <w:name w:val="批注主题 Char"/>
    <w:link w:val="1039"/>
    <w:uiPriority w:val="99"/>
    <w:semiHidden/>
    <w:qFormat/>
    <w:rPr>
      <w:b/>
      <w:bCs/>
      <w:sz w:val="21"/>
    </w:rPr>
  </w:style>
  <w:style w:type="paragraph" w:styleId="1041" w:customStyle="1">
    <w:name w:val="正文首行缩进1"/>
    <w:basedOn w:val="1014"/>
    <w:link w:val="1042"/>
    <w:uiPriority w:val="99"/>
    <w:unhideWhenUsed/>
    <w:qFormat/>
    <w:pPr>
      <w:ind w:firstLine="420"/>
      <w:spacing w:after="120"/>
    </w:pPr>
    <w:rPr>
      <w:sz w:val="21"/>
    </w:rPr>
  </w:style>
  <w:style w:type="character" w:styleId="1042" w:customStyle="1">
    <w:name w:val="正文首行缩进 Char"/>
    <w:basedOn w:val="1015"/>
    <w:link w:val="1041"/>
    <w:uiPriority w:val="99"/>
    <w:qFormat/>
    <w:rPr>
      <w:rFonts w:cs="Times New Roman"/>
      <w:sz w:val="21"/>
      <w:szCs w:val="20"/>
    </w:rPr>
  </w:style>
  <w:style w:type="paragraph" w:styleId="1043" w:customStyle="1">
    <w:name w:val="正文首行缩进 21"/>
    <w:next w:val="806"/>
    <w:uiPriority w:val="99"/>
    <w:unhideWhenUsed/>
    <w:qFormat/>
    <w:pPr>
      <w:ind w:firstLine="420"/>
      <w:jc w:val="both"/>
      <w:widowControl w:val="off"/>
    </w:pPr>
    <w:rPr>
      <w:rFonts w:ascii="Times New Roman" w:hAnsi="Times New Roman" w:eastAsia="宋体" w:cs="Times New Roman"/>
      <w:b/>
      <w:sz w:val="30"/>
      <w:lang w:val="en-US" w:eastAsia="zh-CN" w:bidi="ar-SA"/>
    </w:rPr>
  </w:style>
  <w:style w:type="table" w:styleId="1044" w:customStyle="1">
    <w:name w:val="网格型1"/>
    <w:basedOn w:val="1002"/>
    <w:uiPriority w:val="99"/>
    <w:qFormat/>
    <w:rPr>
      <w:rFonts w:ascii="Times" w:hAnsi="Times" w:cs="Times"/>
    </w:rPr>
    <w:tblPr/>
  </w:style>
  <w:style w:type="character" w:styleId="1045" w:customStyle="1">
    <w:name w:val="要点1"/>
    <w:uiPriority w:val="0"/>
    <w:qFormat/>
    <w:rPr>
      <w:rFonts w:cs="Times New Roman"/>
      <w:b/>
      <w:bCs/>
    </w:rPr>
  </w:style>
  <w:style w:type="character" w:styleId="1046" w:customStyle="1">
    <w:name w:val="页码11"/>
    <w:uiPriority w:val="0"/>
    <w:qFormat/>
    <w:rPr>
      <w:rFonts w:cs="Times New Roman"/>
    </w:rPr>
  </w:style>
  <w:style w:type="character" w:styleId="1047" w:customStyle="1">
    <w:name w:val="已访问的超链接1"/>
    <w:uiPriority w:val="99"/>
    <w:qFormat/>
    <w:rPr>
      <w:rFonts w:cs="Times New Roman"/>
      <w:color w:val="000000"/>
      <w:u w:val="none"/>
    </w:rPr>
  </w:style>
  <w:style w:type="character" w:styleId="1048" w:customStyle="1">
    <w:name w:val="HTML 打字机11"/>
    <w:uiPriority w:val="99"/>
    <w:qFormat/>
    <w:rPr>
      <w:rFonts w:ascii="宋体" w:hAnsi="宋体" w:eastAsia="宋体" w:cs="宋体"/>
      <w:sz w:val="24"/>
      <w:szCs w:val="24"/>
    </w:rPr>
  </w:style>
  <w:style w:type="character" w:styleId="1049" w:customStyle="1">
    <w:name w:val="超链接1"/>
    <w:uiPriority w:val="99"/>
    <w:qFormat/>
    <w:rPr>
      <w:rFonts w:cs="Times New Roman"/>
      <w:color w:val="000000"/>
      <w:u w:val="none"/>
    </w:rPr>
  </w:style>
  <w:style w:type="character" w:styleId="1050" w:customStyle="1">
    <w:name w:val="批注引用11"/>
    <w:uiPriority w:val="0"/>
    <w:unhideWhenUsed/>
    <w:qFormat/>
    <w:rPr>
      <w:sz w:val="21"/>
      <w:szCs w:val="21"/>
    </w:rPr>
  </w:style>
  <w:style w:type="character" w:styleId="1051" w:customStyle="1">
    <w:name w:val="页码1"/>
    <w:uiPriority w:val="0"/>
    <w:qFormat/>
  </w:style>
  <w:style w:type="paragraph" w:styleId="1052" w:customStyle="1">
    <w:name w:val="标题 31"/>
    <w:basedOn w:val="806"/>
    <w:next w:val="1053"/>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1053" w:customStyle="1">
    <w:name w:val="正文缩进1"/>
    <w:basedOn w:val="806"/>
    <w:uiPriority w:val="0"/>
    <w:qFormat/>
    <w:pPr>
      <w:ind w:firstLine="420"/>
    </w:pPr>
    <w:rPr>
      <w:sz w:val="20"/>
    </w:rPr>
  </w:style>
  <w:style w:type="character" w:styleId="1054" w:customStyle="1">
    <w:name w:val="style21"/>
    <w:uiPriority w:val="99"/>
    <w:qFormat/>
    <w:rPr>
      <w:sz w:val="22"/>
      <w:szCs w:val="22"/>
    </w:rPr>
  </w:style>
  <w:style w:type="character" w:styleId="1055" w:customStyle="1">
    <w:name w:val="列出段落 字符"/>
    <w:uiPriority w:val="34"/>
    <w:qFormat/>
    <w:rPr>
      <w:sz w:val="21"/>
    </w:rPr>
  </w:style>
  <w:style w:type="character" w:styleId="1056" w:customStyle="1">
    <w:name w:val="宋体&amp;Time5# Char"/>
    <w:link w:val="1057"/>
    <w:uiPriority w:val="0"/>
    <w:qFormat/>
    <w:rPr>
      <w:rFonts w:ascii="Calibri" w:hAnsi="Calibri" w:eastAsia="Times New Roman"/>
      <w:sz w:val="21"/>
      <w:szCs w:val="21"/>
    </w:rPr>
  </w:style>
  <w:style w:type="paragraph" w:styleId="1057" w:customStyle="1">
    <w:name w:val="宋体&amp;Time5#"/>
    <w:basedOn w:val="806"/>
    <w:link w:val="1056"/>
    <w:uiPriority w:val="0"/>
    <w:qFormat/>
    <w:pPr>
      <w:jc w:val="center"/>
    </w:pPr>
    <w:rPr>
      <w:rFonts w:ascii="Calibri" w:hAnsi="Calibri" w:eastAsia="Times New Roman"/>
      <w:szCs w:val="21"/>
      <w:lang w:eastAsia="en-US"/>
    </w:rPr>
  </w:style>
  <w:style w:type="character" w:styleId="1058" w:customStyle="1">
    <w:name w:val="访问过的超链接1"/>
    <w:uiPriority w:val="0"/>
    <w:qFormat/>
    <w:rPr>
      <w:color w:val="000000"/>
      <w:u w:val="none"/>
    </w:rPr>
  </w:style>
  <w:style w:type="character" w:styleId="1059" w:customStyle="1">
    <w:name w:val="列出段落 Char"/>
    <w:link w:val="1060"/>
    <w:uiPriority w:val="34"/>
    <w:qFormat/>
    <w:rPr>
      <w:sz w:val="21"/>
    </w:rPr>
  </w:style>
  <w:style w:type="paragraph" w:styleId="1060" w:customStyle="1">
    <w:name w:val="列出段落1"/>
    <w:basedOn w:val="806"/>
    <w:link w:val="1059"/>
    <w:uiPriority w:val="34"/>
    <w:qFormat/>
    <w:pPr>
      <w:ind w:firstLine="420"/>
    </w:pPr>
    <w:rPr>
      <w:lang w:eastAsia="en-US"/>
    </w:rPr>
  </w:style>
  <w:style w:type="character" w:styleId="1061" w:customStyle="1">
    <w:name w:val="case31"/>
    <w:uiPriority w:val="0"/>
    <w:qFormat/>
    <w:rPr>
      <w:rFonts w:cs="Times New Roman"/>
      <w:spacing w:val="390"/>
      <w:sz w:val="21"/>
      <w:szCs w:val="21"/>
    </w:rPr>
  </w:style>
  <w:style w:type="character" w:styleId="1062" w:customStyle="1">
    <w:name w:val="_正文 Char"/>
    <w:link w:val="1063"/>
    <w:uiPriority w:val="0"/>
    <w:qFormat/>
    <w:rPr>
      <w:rFonts w:ascii="微软雅黑" w:hAnsi="微软雅黑"/>
    </w:rPr>
  </w:style>
  <w:style w:type="paragraph" w:styleId="1063" w:customStyle="1">
    <w:name w:val="_正文"/>
    <w:basedOn w:val="806"/>
    <w:link w:val="1062"/>
    <w:uiPriority w:val="0"/>
    <w:qFormat/>
    <w:pPr>
      <w:ind w:firstLine="200"/>
      <w:jc w:val="left"/>
      <w:spacing w:line="360" w:lineRule="auto"/>
      <w:widowControl/>
    </w:pPr>
    <w:rPr>
      <w:rFonts w:ascii="微软雅黑" w:hAnsi="微软雅黑"/>
      <w:sz w:val="20"/>
      <w:lang w:eastAsia="en-US"/>
    </w:rPr>
  </w:style>
  <w:style w:type="paragraph" w:styleId="1064" w:customStyle="1">
    <w:name w:val="xl43"/>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5" w:customStyle="1">
    <w:name w:val="xl29"/>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66" w:customStyle="1">
    <w:name w:val="xl54"/>
    <w:basedOn w:val="80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067" w:customStyle="1">
    <w:name w:val="xl51"/>
    <w:basedOn w:val="80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68" w:customStyle="1">
    <w:name w:val="样式 首行缩进:  2 字符"/>
    <w:basedOn w:val="806"/>
    <w:uiPriority w:val="99"/>
    <w:qFormat/>
    <w:pPr>
      <w:ind w:firstLine="200"/>
      <w:spacing w:line="288" w:lineRule="auto"/>
    </w:pPr>
    <w:rPr>
      <w:rFonts w:ascii="仿宋_GB2312" w:hAnsi="Times" w:eastAsia="仿宋_GB2312" w:cs="仿宋_GB2312"/>
      <w:sz w:val="32"/>
      <w:szCs w:val="32"/>
    </w:rPr>
  </w:style>
  <w:style w:type="paragraph" w:styleId="1069" w:customStyle="1">
    <w:name w:val="font13"/>
    <w:basedOn w:val="806"/>
    <w:uiPriority w:val="0"/>
    <w:qFormat/>
    <w:pPr>
      <w:jc w:val="left"/>
      <w:spacing w:before="100" w:beforeAutospacing="1" w:after="100" w:afterAutospacing="1"/>
      <w:widowControl/>
    </w:pPr>
    <w:rPr>
      <w:i/>
      <w:iCs/>
      <w:sz w:val="36"/>
      <w:szCs w:val="36"/>
    </w:rPr>
  </w:style>
  <w:style w:type="paragraph" w:styleId="1070" w:customStyle="1">
    <w:name w:val="xl62"/>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71" w:customStyle="1">
    <w:name w:val="xl26"/>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2" w:customStyle="1">
    <w:name w:val="xl46"/>
    <w:basedOn w:val="80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73" w:customStyle="1">
    <w:name w:val="xl39"/>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4" w:customStyle="1">
    <w:name w:val="xl30"/>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75" w:customStyle="1">
    <w:name w:val="xl42"/>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76" w:customStyle="1">
    <w:name w:val="样式 首行缩进:  2 字符1"/>
    <w:basedOn w:val="806"/>
    <w:uiPriority w:val="99"/>
    <w:qFormat/>
    <w:pPr>
      <w:ind w:firstLine="200"/>
      <w:spacing w:line="288" w:lineRule="auto"/>
    </w:pPr>
    <w:rPr>
      <w:rFonts w:ascii="仿宋_GB2312" w:hAnsi="Times" w:eastAsia="仿宋_GB2312" w:cs="仿宋_GB2312"/>
      <w:sz w:val="32"/>
      <w:szCs w:val="32"/>
    </w:rPr>
  </w:style>
  <w:style w:type="paragraph" w:styleId="1077" w:customStyle="1">
    <w:name w:val="font7"/>
    <w:basedOn w:val="806"/>
    <w:uiPriority w:val="0"/>
    <w:qFormat/>
    <w:pPr>
      <w:jc w:val="left"/>
      <w:spacing w:before="100" w:beforeAutospacing="1" w:after="100" w:afterAutospacing="1"/>
      <w:widowControl/>
    </w:pPr>
    <w:rPr>
      <w:b/>
      <w:bCs/>
      <w:i/>
      <w:iCs/>
      <w:sz w:val="20"/>
    </w:rPr>
  </w:style>
  <w:style w:type="paragraph" w:styleId="107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79" w:customStyle="1">
    <w:name w:val="xl45"/>
    <w:basedOn w:val="806"/>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080" w:customStyle="1">
    <w:name w:val="xl56"/>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81" w:customStyle="1">
    <w:name w:val="xl53"/>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82" w:customStyle="1">
    <w:name w:val="xl171"/>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83" w:customStyle="1">
    <w:name w:val="xl37"/>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84" w:customStyle="1">
    <w:name w:val="xl40"/>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5" w:customStyle="1">
    <w:name w:val="font5"/>
    <w:basedOn w:val="806"/>
    <w:uiPriority w:val="0"/>
    <w:qFormat/>
    <w:pPr>
      <w:jc w:val="left"/>
      <w:spacing w:before="100" w:beforeAutospacing="1" w:after="100" w:afterAutospacing="1"/>
      <w:widowControl/>
    </w:pPr>
    <w:rPr>
      <w:rFonts w:ascii="宋体" w:hAnsi="宋体"/>
      <w:sz w:val="18"/>
      <w:szCs w:val="18"/>
    </w:rPr>
  </w:style>
  <w:style w:type="paragraph" w:styleId="1086" w:customStyle="1">
    <w:name w:val="xl48"/>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87" w:customStyle="1">
    <w:name w:val="Table Description"/>
    <w:basedOn w:val="806"/>
    <w:next w:val="806"/>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1088" w:customStyle="1">
    <w:name w:val="xl6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89" w:customStyle="1">
    <w:name w:val="xl3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0" w:customStyle="1">
    <w:name w:val="xl24"/>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91" w:customStyle="1">
    <w:name w:val="文件标题"/>
    <w:basedOn w:val="806"/>
    <w:uiPriority w:val="99"/>
    <w:qFormat/>
    <w:pPr>
      <w:jc w:val="center"/>
      <w:spacing w:line="640" w:lineRule="exact"/>
    </w:pPr>
    <w:rPr>
      <w:rFonts w:ascii="宋体" w:hAnsi="宋体" w:eastAsia="方正小标宋_GBK" w:cs="宋体"/>
      <w:sz w:val="44"/>
      <w:szCs w:val="44"/>
    </w:rPr>
  </w:style>
  <w:style w:type="paragraph" w:styleId="1092" w:customStyle="1">
    <w:name w:val="文档正文"/>
    <w:basedOn w:val="806"/>
    <w:uiPriority w:val="0"/>
    <w:qFormat/>
    <w:pPr>
      <w:ind w:firstLine="567"/>
      <w:spacing w:line="312" w:lineRule="atLeast"/>
    </w:pPr>
    <w:rPr>
      <w:rFonts w:ascii="长城仿宋" w:eastAsia="长城仿宋"/>
      <w:sz w:val="28"/>
    </w:rPr>
  </w:style>
  <w:style w:type="paragraph" w:styleId="1093" w:customStyle="1">
    <w:name w:val="xl31"/>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094" w:customStyle="1">
    <w:name w:val="font8"/>
    <w:basedOn w:val="806"/>
    <w:uiPriority w:val="0"/>
    <w:qFormat/>
    <w:pPr>
      <w:jc w:val="left"/>
      <w:spacing w:before="100" w:beforeAutospacing="1" w:after="100" w:afterAutospacing="1"/>
      <w:widowControl/>
    </w:pPr>
    <w:rPr>
      <w:rFonts w:ascii="宋体" w:hAnsi="宋体"/>
      <w:b/>
      <w:bCs/>
      <w:i/>
      <w:iCs/>
      <w:sz w:val="20"/>
    </w:rPr>
  </w:style>
  <w:style w:type="paragraph" w:styleId="1095" w:customStyle="1">
    <w:name w:val="Figure Description"/>
    <w:next w:val="806"/>
    <w:uiPriority w:val="0"/>
    <w:qFormat/>
    <w:pPr>
      <w:ind w:left="1701"/>
      <w:keepNext/>
      <w:spacing w:before="320" w:after="80" w:line="240" w:lineRule="atLeast"/>
      <w:outlineLvl w:val="7"/>
    </w:pPr>
    <w:rPr>
      <w:rFonts w:ascii="Times New Roman" w:hAnsi="Times New Roman" w:eastAsia="黑体" w:cs="Arial"/>
      <w:spacing w:val="-4"/>
      <w:sz w:val="21"/>
      <w:szCs w:val="21"/>
      <w:lang w:val="en-US" w:eastAsia="zh-CN" w:bidi="ar-SA"/>
    </w:rPr>
  </w:style>
  <w:style w:type="paragraph" w:styleId="1096" w:customStyle="1">
    <w:name w:val="_标题 2"/>
    <w:basedOn w:val="997"/>
    <w:next w:val="1063"/>
    <w:uiPriority w:val="0"/>
    <w:qFormat/>
    <w:pPr>
      <w:numPr>
        <w:ilvl w:val="1"/>
        <w:numId w:val="2"/>
      </w:numPr>
      <w:jc w:val="left"/>
      <w:keepLines/>
      <w:spacing w:before="260" w:after="260"/>
      <w:widowControl/>
    </w:pPr>
    <w:rPr>
      <w:rFonts w:ascii="微软雅黑" w:hAnsi="微软雅黑"/>
      <w:sz w:val="21"/>
    </w:rPr>
  </w:style>
  <w:style w:type="paragraph" w:styleId="1097" w:customStyle="1">
    <w:name w:val="Block Label"/>
    <w:basedOn w:val="806"/>
    <w:next w:val="806"/>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1098" w:customStyle="1">
    <w:name w:val="_标题 4"/>
    <w:basedOn w:val="999"/>
    <w:next w:val="1063"/>
    <w:uiPriority w:val="0"/>
    <w:qFormat/>
    <w:pPr>
      <w:numPr>
        <w:ilvl w:val="3"/>
        <w:numId w:val="2"/>
      </w:numPr>
      <w:ind w:left="0" w:firstLine="283"/>
      <w:jc w:val="left"/>
      <w:keepLines/>
      <w:spacing w:before="260" w:after="260" w:line="377" w:lineRule="auto"/>
      <w:widowControl/>
    </w:pPr>
    <w:rPr>
      <w:rFonts w:ascii="微软雅黑" w:hAnsi="微软雅黑"/>
      <w:color w:val="000000"/>
      <w:sz w:val="20"/>
      <w:szCs w:val="21"/>
    </w:rPr>
  </w:style>
  <w:style w:type="paragraph" w:styleId="1099" w:customStyle="1">
    <w:name w:val="Char Char Char Char"/>
    <w:basedOn w:val="1010"/>
    <w:uiPriority w:val="0"/>
    <w:qFormat/>
    <w:pPr>
      <w:spacing w:line="360" w:lineRule="auto"/>
    </w:pPr>
    <w:rPr>
      <w:rFonts w:ascii="Tahoma" w:hAnsi="Tahoma"/>
      <w:sz w:val="24"/>
      <w:szCs w:val="24"/>
    </w:rPr>
  </w:style>
  <w:style w:type="paragraph" w:styleId="1100" w:customStyle="1">
    <w:name w:val="xl58"/>
    <w:basedOn w:val="80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01" w:customStyle="1">
    <w:name w:val="xl60"/>
    <w:basedOn w:val="80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02" w:customStyle="1">
    <w:name w:val="xl49"/>
    <w:basedOn w:val="80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103" w:customStyle="1">
    <w:name w:val="默认段落字体 Para Char"/>
    <w:basedOn w:val="806"/>
    <w:uiPriority w:val="0"/>
    <w:qFormat/>
    <w:pPr>
      <w:ind w:left="552" w:hanging="420"/>
      <w:tabs>
        <w:tab w:val="left" w:pos="552" w:leader="none"/>
      </w:tabs>
    </w:pPr>
    <w:rPr>
      <w:sz w:val="24"/>
      <w:szCs w:val="24"/>
    </w:rPr>
  </w:style>
  <w:style w:type="paragraph" w:styleId="1104" w:customStyle="1">
    <w:name w:val="xl52"/>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5" w:customStyle="1">
    <w:name w:val="xl55"/>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06" w:customStyle="1">
    <w:name w:val="xl61"/>
    <w:basedOn w:val="80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07" w:customStyle="1">
    <w:name w:val="xl36"/>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08" w:customStyle="1">
    <w:name w:val="xl57"/>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09" w:customStyle="1">
    <w:name w:val="xl47"/>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0" w:customStyle="1">
    <w:name w:val="xl27"/>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1" w:customStyle="1">
    <w:name w:val="xl28"/>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2" w:customStyle="1">
    <w:name w:val="xl41"/>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13" w:customStyle="1">
    <w:name w:val="font6"/>
    <w:basedOn w:val="806"/>
    <w:uiPriority w:val="0"/>
    <w:qFormat/>
    <w:pPr>
      <w:jc w:val="left"/>
      <w:spacing w:before="100" w:beforeAutospacing="1" w:after="100" w:afterAutospacing="1"/>
      <w:widowControl/>
    </w:pPr>
    <w:rPr>
      <w:rFonts w:ascii="宋体" w:hAnsi="宋体"/>
      <w:b/>
      <w:bCs/>
      <w:sz w:val="20"/>
    </w:rPr>
  </w:style>
  <w:style w:type="paragraph" w:styleId="1114" w:customStyle="1">
    <w:name w:val="主送"/>
    <w:basedOn w:val="806"/>
    <w:next w:val="806"/>
    <w:uiPriority w:val="99"/>
    <w:qFormat/>
    <w:pPr>
      <w:spacing w:line="336" w:lineRule="auto"/>
    </w:pPr>
    <w:rPr>
      <w:rFonts w:ascii="仿宋_GB2312" w:hAnsi="Times" w:eastAsia="仿宋_GB2312" w:cs="仿宋_GB2312"/>
      <w:sz w:val="32"/>
      <w:szCs w:val="32"/>
    </w:rPr>
  </w:style>
  <w:style w:type="paragraph" w:styleId="1115" w:customStyle="1">
    <w:name w:val="_Style 22"/>
    <w:basedOn w:val="806"/>
    <w:uiPriority w:val="0"/>
    <w:qFormat/>
    <w:pPr>
      <w:ind w:firstLine="200"/>
      <w:spacing w:line="300" w:lineRule="auto"/>
    </w:pPr>
    <w:rPr>
      <w:rFonts w:ascii="宋体" w:hAnsi="Calibri" w:eastAsia="等线"/>
      <w:sz w:val="24"/>
      <w:szCs w:val="22"/>
    </w:rPr>
  </w:style>
  <w:style w:type="paragraph" w:styleId="1116" w:customStyle="1">
    <w:name w:val="xl34"/>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17" w:customStyle="1">
    <w:name w:val="Char Char1 Char Char Char Char"/>
    <w:basedOn w:val="1010"/>
    <w:uiPriority w:val="0"/>
    <w:qFormat/>
    <w:pPr>
      <w:ind w:left="357"/>
      <w:jc w:val="left"/>
      <w:spacing w:line="436" w:lineRule="exact"/>
      <w:outlineLvl w:val="3"/>
    </w:pPr>
    <w:rPr>
      <w:rFonts w:ascii="Tahoma" w:hAnsi="Tahoma"/>
      <w:b/>
      <w:sz w:val="24"/>
      <w:szCs w:val="24"/>
    </w:rPr>
  </w:style>
  <w:style w:type="paragraph" w:styleId="1118" w:customStyle="1">
    <w:name w:val="xl59"/>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19" w:customStyle="1">
    <w:name w:val="xl44"/>
    <w:basedOn w:val="80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20" w:customStyle="1">
    <w:name w:val="font9"/>
    <w:basedOn w:val="806"/>
    <w:uiPriority w:val="0"/>
    <w:qFormat/>
    <w:pPr>
      <w:jc w:val="left"/>
      <w:spacing w:before="100" w:beforeAutospacing="1" w:after="100" w:afterAutospacing="1"/>
      <w:widowControl/>
    </w:pPr>
    <w:rPr>
      <w:b/>
      <w:bCs/>
      <w:sz w:val="20"/>
    </w:rPr>
  </w:style>
  <w:style w:type="paragraph" w:styleId="1121"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ascii="Calibri" w:hAnsi="Calibri" w:eastAsia="宋体" w:cs="Calibri"/>
      <w:sz w:val="21"/>
      <w:szCs w:val="21"/>
      <w:lang w:val="en-US" w:eastAsia="zh-CN" w:bidi="ar-SA"/>
    </w:rPr>
  </w:style>
  <w:style w:type="paragraph" w:styleId="1122" w:customStyle="1">
    <w:name w:val="_Style 1"/>
    <w:basedOn w:val="806"/>
    <w:uiPriority w:val="99"/>
    <w:qFormat/>
    <w:pPr>
      <w:ind w:firstLine="420"/>
    </w:pPr>
    <w:rPr>
      <w:szCs w:val="22"/>
    </w:rPr>
  </w:style>
  <w:style w:type="paragraph" w:styleId="1123" w:customStyle="1">
    <w:name w:val="Body"/>
    <w:uiPriority w:val="0"/>
    <w:qFormat/>
    <w:pPr>
      <w:spacing w:before="130" w:after="130" w:line="260" w:lineRule="exact"/>
    </w:pPr>
    <w:rPr>
      <w:rFonts w:ascii="Univers" w:hAnsi="Univers" w:eastAsia="宋体" w:cs="Times New Roman"/>
      <w:color w:val="000000"/>
      <w:sz w:val="22"/>
      <w:lang w:val="en-US" w:eastAsia="en-US" w:bidi="ar-SA"/>
    </w:rPr>
  </w:style>
  <w:style w:type="paragraph" w:styleId="1124" w:customStyle="1">
    <w:name w:val="列出段落11"/>
    <w:basedOn w:val="806"/>
    <w:uiPriority w:val="34"/>
    <w:qFormat/>
    <w:pPr>
      <w:ind w:firstLine="420"/>
    </w:pPr>
    <w:rPr>
      <w:sz w:val="20"/>
    </w:rPr>
  </w:style>
  <w:style w:type="paragraph" w:styleId="1125"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26" w:customStyle="1">
    <w:name w:val="xl33"/>
    <w:basedOn w:val="8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7" w:customStyle="1">
    <w:name w:val="font11"/>
    <w:basedOn w:val="806"/>
    <w:uiPriority w:val="0"/>
    <w:qFormat/>
    <w:pPr>
      <w:jc w:val="left"/>
      <w:spacing w:before="100" w:beforeAutospacing="1" w:after="100" w:afterAutospacing="1"/>
      <w:widowControl/>
    </w:pPr>
    <w:rPr>
      <w:b/>
      <w:bCs/>
      <w:sz w:val="18"/>
      <w:szCs w:val="18"/>
    </w:rPr>
  </w:style>
  <w:style w:type="paragraph" w:styleId="1128" w:customStyle="1">
    <w:name w:val="xl25"/>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29" w:customStyle="1">
    <w:name w:val="Char1"/>
    <w:basedOn w:val="806"/>
    <w:uiPriority w:val="0"/>
    <w:qFormat/>
    <w:pPr>
      <w:jc w:val="left"/>
      <w:spacing w:after="160" w:line="240" w:lineRule="exact"/>
      <w:widowControl/>
    </w:pPr>
  </w:style>
  <w:style w:type="paragraph" w:styleId="1130"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131" w:customStyle="1">
    <w:name w:val="普通文字"/>
    <w:basedOn w:val="806"/>
    <w:next w:val="806"/>
    <w:uiPriority w:val="99"/>
    <w:qFormat/>
    <w:rPr>
      <w:rFonts w:ascii="宋体"/>
      <w:sz w:val="24"/>
    </w:rPr>
  </w:style>
  <w:style w:type="paragraph" w:styleId="1132" w:customStyle="1">
    <w:name w:val="font12"/>
    <w:basedOn w:val="806"/>
    <w:uiPriority w:val="0"/>
    <w:qFormat/>
    <w:pPr>
      <w:jc w:val="left"/>
      <w:spacing w:before="100" w:beforeAutospacing="1" w:after="100" w:afterAutospacing="1"/>
      <w:widowControl/>
    </w:pPr>
    <w:rPr>
      <w:rFonts w:ascii="宋体" w:hAnsi="宋体"/>
      <w:sz w:val="36"/>
      <w:szCs w:val="36"/>
    </w:rPr>
  </w:style>
  <w:style w:type="paragraph" w:styleId="1133" w:customStyle="1">
    <w:name w:val="xl35"/>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134" w:customStyle="1">
    <w:name w:val="_标题 1"/>
    <w:basedOn w:val="806"/>
    <w:next w:val="1063"/>
    <w:uiPriority w:val="0"/>
    <w:qFormat/>
    <w:pPr>
      <w:ind w:left="465"/>
      <w:jc w:val="center"/>
      <w:keepLines/>
      <w:keepNext/>
      <w:pageBreakBefore/>
      <w:spacing w:before="340" w:after="330"/>
      <w:widowControl/>
      <w:outlineLvl w:val="0"/>
    </w:pPr>
    <w:rPr>
      <w:rFonts w:ascii="微软雅黑" w:hAnsi="微软雅黑"/>
      <w:b/>
      <w:bCs/>
      <w:sz w:val="32"/>
      <w:szCs w:val="28"/>
    </w:rPr>
  </w:style>
  <w:style w:type="paragraph" w:styleId="1135" w:customStyle="1">
    <w:name w:val="_标题 3"/>
    <w:basedOn w:val="998"/>
    <w:next w:val="1063"/>
    <w:uiPriority w:val="0"/>
    <w:qFormat/>
    <w:pPr>
      <w:numPr>
        <w:ilvl w:val="2"/>
        <w:numId w:val="2"/>
      </w:numPr>
      <w:jc w:val="left"/>
      <w:keepLines/>
      <w:spacing w:before="260" w:after="260"/>
      <w:widowControl/>
    </w:pPr>
    <w:rPr>
      <w:rFonts w:ascii="微软雅黑" w:hAnsi="微软雅黑"/>
      <w:sz w:val="21"/>
      <w:szCs w:val="21"/>
    </w:rPr>
  </w:style>
  <w:style w:type="paragraph" w:styleId="1136" w:customStyle="1">
    <w:name w:val="xl50"/>
    <w:basedOn w:val="8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137" w:customStyle="1">
    <w:name w:val="Step"/>
    <w:basedOn w:val="806"/>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138" w:customStyle="1">
    <w:name w:val="xl32"/>
    <w:basedOn w:val="8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39" w:customStyle="1">
    <w:name w:val="font14"/>
    <w:basedOn w:val="806"/>
    <w:uiPriority w:val="0"/>
    <w:qFormat/>
    <w:pPr>
      <w:jc w:val="left"/>
      <w:spacing w:before="100" w:beforeAutospacing="1" w:after="100" w:afterAutospacing="1"/>
      <w:widowControl/>
    </w:pPr>
    <w:rPr>
      <w:sz w:val="36"/>
      <w:szCs w:val="36"/>
    </w:rPr>
  </w:style>
  <w:style w:type="paragraph" w:styleId="1140" w:customStyle="1">
    <w:name w:val="彩色列表 - 着色 11"/>
    <w:basedOn w:val="806"/>
    <w:uiPriority w:val="34"/>
    <w:qFormat/>
    <w:pPr>
      <w:ind w:firstLine="420"/>
    </w:pPr>
    <w:rPr>
      <w:szCs w:val="24"/>
    </w:rPr>
  </w:style>
  <w:style w:type="paragraph" w:styleId="1141" w:customStyle="1">
    <w:name w:val="font10"/>
    <w:basedOn w:val="806"/>
    <w:uiPriority w:val="0"/>
    <w:qFormat/>
    <w:pPr>
      <w:jc w:val="left"/>
      <w:spacing w:before="100" w:beforeAutospacing="1" w:after="100" w:afterAutospacing="1"/>
      <w:widowControl/>
    </w:pPr>
    <w:rPr>
      <w:rFonts w:ascii="楷体_GB2312" w:hAnsi="宋体" w:eastAsia="楷体_GB2312"/>
      <w:b/>
      <w:bCs/>
      <w:sz w:val="18"/>
      <w:szCs w:val="18"/>
    </w:rPr>
  </w:style>
  <w:style w:type="character" w:styleId="1142" w:customStyle="1">
    <w:name w:val="正文文本 字符"/>
    <w:uiPriority w:val="0"/>
    <w:semiHidden/>
    <w:qFormat/>
    <w:rPr>
      <w:rFonts w:cs="Times New Roman"/>
      <w:sz w:val="20"/>
      <w:szCs w:val="20"/>
    </w:rPr>
  </w:style>
  <w:style w:type="character" w:styleId="1143" w:customStyle="1">
    <w:name w:val="页脚 字符"/>
    <w:uiPriority w:val="99"/>
    <w:qFormat/>
    <w:rPr>
      <w:rFonts w:cs="Times New Roman"/>
      <w:sz w:val="18"/>
      <w:szCs w:val="18"/>
    </w:rPr>
  </w:style>
  <w:style w:type="character" w:styleId="1144" w:customStyle="1">
    <w:name w:val="正文文本缩进 字符"/>
    <w:uiPriority w:val="0"/>
    <w:semiHidden/>
    <w:qFormat/>
    <w:rPr>
      <w:rFonts w:cs="Times New Roman"/>
      <w:sz w:val="20"/>
      <w:szCs w:val="20"/>
    </w:rPr>
  </w:style>
  <w:style w:type="character" w:styleId="1145" w:customStyle="1">
    <w:name w:val="批注框文本 字符"/>
    <w:uiPriority w:val="0"/>
    <w:qFormat/>
    <w:rPr>
      <w:sz w:val="18"/>
      <w:szCs w:val="18"/>
    </w:rPr>
  </w:style>
  <w:style w:type="character" w:styleId="1146" w:customStyle="1">
    <w:name w:val="批注主题 字符"/>
    <w:uiPriority w:val="99"/>
    <w:semiHidden/>
    <w:qFormat/>
    <w:rPr>
      <w:b/>
      <w:bCs/>
      <w:sz w:val="21"/>
    </w:rPr>
  </w:style>
  <w:style w:type="character" w:styleId="1147" w:customStyle="1">
    <w:name w:val="正文文本缩进 2 字符"/>
    <w:uiPriority w:val="0"/>
    <w:semiHidden/>
    <w:qFormat/>
    <w:rPr>
      <w:rFonts w:cs="Times New Roman"/>
      <w:sz w:val="20"/>
      <w:szCs w:val="20"/>
    </w:rPr>
  </w:style>
  <w:style w:type="character" w:styleId="1148" w:customStyle="1">
    <w:name w:val="正文文本 2 字符"/>
    <w:uiPriority w:val="0"/>
    <w:semiHidden/>
    <w:qFormat/>
    <w:rPr>
      <w:rFonts w:cs="Times New Roman"/>
      <w:sz w:val="20"/>
      <w:szCs w:val="20"/>
    </w:rPr>
  </w:style>
  <w:style w:type="character" w:styleId="1149" w:customStyle="1">
    <w:name w:val="正文文本缩进 3 字符"/>
    <w:uiPriority w:val="0"/>
    <w:semiHidden/>
    <w:qFormat/>
    <w:rPr>
      <w:rFonts w:cs="Times New Roman"/>
      <w:sz w:val="16"/>
      <w:szCs w:val="16"/>
    </w:rPr>
  </w:style>
  <w:style w:type="character" w:styleId="1150" w:customStyle="1">
    <w:name w:val="标题 字符"/>
    <w:uiPriority w:val="99"/>
    <w:qFormat/>
    <w:rPr>
      <w:rFonts w:ascii="Cambria" w:hAnsi="Cambria" w:cs="Cambria"/>
      <w:b/>
      <w:bCs/>
      <w:sz w:val="32"/>
      <w:szCs w:val="32"/>
    </w:rPr>
  </w:style>
  <w:style w:type="character" w:styleId="1151" w:customStyle="1">
    <w:name w:val="文档结构图 字符"/>
    <w:uiPriority w:val="0"/>
    <w:semiHidden/>
    <w:qFormat/>
    <w:rPr>
      <w:rFonts w:cs="Times New Roman"/>
      <w:sz w:val="2"/>
    </w:rPr>
  </w:style>
  <w:style w:type="character" w:styleId="1152" w:customStyle="1">
    <w:name w:val="日期 字符"/>
    <w:uiPriority w:val="0"/>
    <w:semiHidden/>
    <w:qFormat/>
    <w:rPr>
      <w:rFonts w:cs="Times New Roman"/>
      <w:sz w:val="20"/>
      <w:szCs w:val="20"/>
    </w:rPr>
  </w:style>
  <w:style w:type="character" w:styleId="1153" w:customStyle="1">
    <w:name w:val="标题 2 字符"/>
    <w:uiPriority w:val="0"/>
    <w:semiHidden/>
    <w:qFormat/>
    <w:rPr>
      <w:rFonts w:ascii="Cambria" w:hAnsi="Cambria" w:eastAsia="宋体" w:cs="Times New Roman"/>
      <w:b/>
      <w:bCs/>
      <w:sz w:val="32"/>
      <w:szCs w:val="32"/>
    </w:rPr>
  </w:style>
  <w:style w:type="character" w:styleId="1154" w:customStyle="1">
    <w:name w:val="副标题 字符"/>
    <w:uiPriority w:val="11"/>
    <w:qFormat/>
    <w:rPr>
      <w:rFonts w:ascii="Calibri Light" w:hAnsi="Calibri Light"/>
      <w:b/>
      <w:bCs/>
      <w:sz w:val="32"/>
      <w:szCs w:val="32"/>
    </w:rPr>
  </w:style>
  <w:style w:type="character" w:styleId="1155" w:customStyle="1">
    <w:name w:val="标题 4 字符"/>
    <w:uiPriority w:val="0"/>
    <w:semiHidden/>
    <w:qFormat/>
    <w:rPr>
      <w:rFonts w:ascii="Cambria" w:hAnsi="Cambria" w:eastAsia="宋体" w:cs="Times New Roman"/>
      <w:b/>
      <w:bCs/>
      <w:sz w:val="28"/>
      <w:szCs w:val="28"/>
    </w:rPr>
  </w:style>
  <w:style w:type="character" w:styleId="1156" w:customStyle="1">
    <w:name w:val="标题 1 字符"/>
    <w:uiPriority w:val="0"/>
    <w:qFormat/>
    <w:rPr>
      <w:rFonts w:cs="Times New Roman"/>
      <w:b/>
      <w:bCs/>
      <w:sz w:val="44"/>
      <w:szCs w:val="44"/>
    </w:rPr>
  </w:style>
  <w:style w:type="character" w:styleId="1157" w:customStyle="1">
    <w:name w:val="标题 3 字符"/>
    <w:uiPriority w:val="0"/>
    <w:semiHidden/>
    <w:qFormat/>
    <w:rPr>
      <w:rFonts w:cs="Times New Roman"/>
      <w:b/>
      <w:bCs/>
      <w:sz w:val="32"/>
      <w:szCs w:val="32"/>
    </w:rPr>
  </w:style>
  <w:style w:type="character" w:styleId="1158" w:customStyle="1">
    <w:name w:val="列出段落 字符1"/>
    <w:uiPriority w:val="34"/>
    <w:qFormat/>
    <w:rPr>
      <w:sz w:val="21"/>
    </w:rPr>
  </w:style>
  <w:style w:type="character" w:styleId="1159" w:customStyle="1">
    <w:name w:val="标题 5 字符"/>
    <w:uiPriority w:val="0"/>
    <w:qFormat/>
    <w:rPr>
      <w:rFonts w:ascii="楷体_GB2312" w:eastAsia="楷体_GB2312"/>
      <w:bCs/>
      <w:sz w:val="28"/>
    </w:rPr>
  </w:style>
  <w:style w:type="character" w:styleId="1160" w:customStyle="1">
    <w:name w:val="页眉 字符"/>
    <w:uiPriority w:val="99"/>
    <w:qFormat/>
    <w:rPr>
      <w:rFonts w:cs="Times New Roman"/>
      <w:sz w:val="18"/>
      <w:szCs w:val="18"/>
    </w:rPr>
  </w:style>
  <w:style w:type="character" w:styleId="1161" w:customStyle="1">
    <w:name w:val="批注文字 字符"/>
    <w:uiPriority w:val="99"/>
    <w:semiHidden/>
    <w:qFormat/>
    <w:rPr>
      <w:sz w:val="21"/>
    </w:rPr>
  </w:style>
  <w:style w:type="paragraph" w:styleId="1162"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63" w:customStyle="1">
    <w:name w:val="Char1 Char Char Char"/>
    <w:basedOn w:val="806"/>
    <w:uiPriority w:val="0"/>
    <w:qFormat/>
    <w:rPr>
      <w:rFonts w:ascii="Tahoma" w:hAnsi="Tahoma"/>
      <w:sz w:val="24"/>
    </w:rPr>
  </w:style>
  <w:style w:type="paragraph" w:styleId="1164" w:customStyle="1">
    <w:name w:val="样式 小四 段前: 5 磅 段后: 5 磅 首行缩进:  2 字符"/>
    <w:basedOn w:val="806"/>
    <w:uiPriority w:val="0"/>
    <w:qFormat/>
    <w:pPr>
      <w:spacing w:line="360" w:lineRule="auto"/>
    </w:pPr>
    <w:rPr>
      <w:rFonts w:ascii="宋体" w:hAnsi="宋体"/>
      <w:szCs w:val="21"/>
    </w:rPr>
  </w:style>
  <w:style w:type="character" w:styleId="1165" w:customStyle="1">
    <w:name w:val="font21"/>
    <w:basedOn w:val="816"/>
    <w:uiPriority w:val="0"/>
    <w:qFormat/>
    <w:rPr>
      <w:rFonts w:hint="eastAsia" w:ascii="宋体" w:hAnsi="宋体" w:eastAsia="宋体" w:cs="宋体"/>
      <w:color w:val="ff0000"/>
      <w:sz w:val="18"/>
      <w:szCs w:val="18"/>
      <w:u w:val="none"/>
    </w:rPr>
  </w:style>
  <w:style w:type="character" w:styleId="1166" w:customStyle="1">
    <w:name w:val="font01"/>
    <w:uiPriority w:val="0"/>
    <w:qFormat/>
    <w:rPr>
      <w:rFonts w:hint="eastAsia" w:ascii="宋体" w:hAnsi="宋体" w:eastAsia="宋体" w:cs="宋体"/>
      <w:color w:val="000000"/>
      <w:sz w:val="18"/>
      <w:szCs w:val="18"/>
      <w:u w:val="none"/>
    </w:rPr>
  </w:style>
  <w:style w:type="character" w:styleId="1167" w:customStyle="1">
    <w:name w:val="font51"/>
    <w:uiPriority w:val="0"/>
    <w:qFormat/>
    <w:rPr>
      <w:rFonts w:hint="eastAsia" w:ascii="宋体" w:hAnsi="宋体" w:eastAsia="宋体" w:cs="宋体"/>
      <w:color w:val="000000"/>
      <w:sz w:val="18"/>
      <w:szCs w:val="18"/>
      <w:u w:val="none"/>
    </w:rPr>
  </w:style>
  <w:style w:type="paragraph" w:styleId="1168" w:customStyle="1">
    <w:name w:val="Other|1"/>
    <w:basedOn w:val="806"/>
    <w:uiPriority w:val="0"/>
    <w:qFormat/>
    <w:pPr>
      <w:spacing w:line="389" w:lineRule="auto"/>
    </w:pPr>
    <w:rPr>
      <w:rFonts w:ascii="宋体" w:hAnsi="宋体" w:cs="宋体"/>
      <w:sz w:val="22"/>
      <w:szCs w:val="22"/>
      <w:lang w:val="zh-TW" w:eastAsia="zh-TW" w:bidi="zh-TW"/>
    </w:rPr>
  </w:style>
  <w:style w:type="character" w:styleId="1169" w:customStyle="1">
    <w:name w:val="标题 1 字符1"/>
    <w:uiPriority w:val="0"/>
    <w:qFormat/>
    <w:rPr>
      <w:rFonts w:cs="Times New Roman"/>
      <w:b/>
      <w:bCs/>
      <w:sz w:val="44"/>
      <w:szCs w:val="44"/>
    </w:rPr>
  </w:style>
  <w:style w:type="character" w:styleId="1170" w:customStyle="1">
    <w:name w:val="页眉 字符1"/>
    <w:uiPriority w:val="0"/>
    <w:qFormat/>
    <w:rPr>
      <w:sz w:val="18"/>
      <w:szCs w:val="18"/>
    </w:rPr>
  </w:style>
  <w:style w:type="paragraph" w:styleId="1171" w:customStyle="1">
    <w:name w:val="Plain Text1"/>
    <w:basedOn w:val="806"/>
    <w:uiPriority w:val="99"/>
    <w:qFormat/>
    <w:rPr>
      <w:rFonts w:ascii="宋体" w:hAnsi="Courier New" w:eastAsia="楷体_GB2312" w:cs="宋体"/>
      <w:sz w:val="26"/>
      <w:szCs w:val="26"/>
    </w:rPr>
  </w:style>
  <w:style w:type="paragraph" w:styleId="1172" w:customStyle="1">
    <w:name w:val="List Paragraph1"/>
    <w:uiPriority w:val="0"/>
    <w:qFormat/>
    <w:pPr>
      <w:ind w:firstLine="420"/>
      <w:jc w:val="both"/>
      <w:widowControl w:val="off"/>
    </w:pPr>
    <w:rPr>
      <w:rFonts w:ascii="Calibri" w:hAnsi="Calibri" w:eastAsia="宋体" w:cs="Times New Roman"/>
      <w:sz w:val="21"/>
      <w:szCs w:val="21"/>
      <w:lang w:val="en-US" w:eastAsia="zh-CN" w:bidi="ar-SA"/>
    </w:rPr>
  </w:style>
  <w:style w:type="character" w:styleId="1173" w:customStyle="1">
    <w:name w:val="批注引用1"/>
    <w:basedOn w:val="1174"/>
    <w:uiPriority w:val="0"/>
    <w:semiHidden/>
    <w:qFormat/>
    <w:rPr>
      <w:sz w:val="21"/>
      <w:lang w:val="en-US" w:eastAsia="zh-CN" w:bidi="ar-SA"/>
    </w:rPr>
  </w:style>
  <w:style w:type="character" w:styleId="1174" w:customStyle="1">
    <w:name w:val="默认段落字体1"/>
    <w:uiPriority w:val="1"/>
    <w:unhideWhenUsed/>
    <w:qFormat/>
  </w:style>
  <w:style w:type="paragraph" w:styleId="1175" w:customStyle="1">
    <w:name w:val="标题 41"/>
    <w:basedOn w:val="806"/>
    <w:next w:val="1053"/>
    <w:uiPriority w:val="0"/>
    <w:qFormat/>
    <w:pPr>
      <w:keepLines/>
      <w:keepNext/>
      <w:spacing w:before="280" w:after="290" w:line="376" w:lineRule="auto"/>
      <w:outlineLvl w:val="3"/>
    </w:pPr>
    <w:rPr>
      <w:rFonts w:ascii="Arial" w:hAnsi="Arial" w:eastAsia="黑体"/>
      <w:b/>
      <w:bCs/>
      <w:sz w:val="28"/>
      <w:szCs w:val="28"/>
    </w:rPr>
  </w:style>
  <w:style w:type="paragraph" w:styleId="11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77" w:customStyle="1">
    <w:name w:val="纯文本1"/>
    <w:basedOn w:val="806"/>
    <w:uiPriority w:val="0"/>
    <w:qFormat/>
    <w:rPr>
      <w:rFonts w:ascii="宋体" w:hAnsi="Courier New"/>
      <w:sz w:val="20"/>
    </w:rPr>
  </w:style>
  <w:style w:type="paragraph" w:styleId="1178" w:customStyle="1">
    <w:name w:val="普通正文"/>
    <w:basedOn w:val="806"/>
    <w:uiPriority w:val="0"/>
    <w:qFormat/>
    <w:pPr>
      <w:ind w:firstLine="480"/>
      <w:jc w:val="left"/>
      <w:spacing w:before="120" w:after="120" w:line="360" w:lineRule="auto"/>
    </w:pPr>
    <w:rPr>
      <w:rFonts w:ascii="Arial" w:hAnsi="Arial"/>
      <w:sz w:val="24"/>
      <w:szCs w:val="24"/>
    </w:rPr>
  </w:style>
  <w:style w:type="paragraph" w:styleId="1179" w:customStyle="1">
    <w:name w:val="Char"/>
    <w:basedOn w:val="806"/>
    <w:uiPriority w:val="0"/>
    <w:qFormat/>
    <w:pPr>
      <w:ind w:firstLine="200"/>
      <w:tabs>
        <w:tab w:val="left" w:pos="360" w:leader="none"/>
      </w:tabs>
    </w:pPr>
    <w:rPr>
      <w:sz w:val="28"/>
      <w:szCs w:val="30"/>
    </w:rPr>
  </w:style>
  <w:style w:type="character" w:styleId="1180" w:customStyle="1">
    <w:name w:val="HTML 打字机1"/>
    <w:uiPriority w:val="99"/>
    <w:qFormat/>
    <w:rPr>
      <w:rFonts w:ascii="宋体" w:hAnsi="宋体" w:eastAsia="宋体" w:cs="宋体"/>
      <w:sz w:val="24"/>
      <w:szCs w:val="24"/>
    </w:rPr>
  </w:style>
  <w:style w:type="paragraph" w:styleId="1181" w:customStyle="1">
    <w:name w:val="页眉1"/>
    <w:basedOn w:val="806"/>
    <w:uiPriority w:val="99"/>
    <w:qFormat/>
    <w:pPr>
      <w:jc w:val="center"/>
      <w:tabs>
        <w:tab w:val="center" w:pos="4153" w:leader="none"/>
        <w:tab w:val="right" w:pos="8306" w:leader="none"/>
      </w:tabs>
      <w:pBdr>
        <w:bottom w:val="single" w:color="000000" w:sz="6" w:space="1"/>
      </w:pBdr>
    </w:pPr>
    <w:rPr>
      <w:sz w:val="18"/>
      <w:szCs w:val="18"/>
    </w:rPr>
  </w:style>
  <w:style w:type="paragraph" w:styleId="1182" w:customStyle="1">
    <w:name w:val="页脚1"/>
    <w:basedOn w:val="806"/>
    <w:uiPriority w:val="0"/>
    <w:qFormat/>
    <w:pPr>
      <w:jc w:val="left"/>
      <w:tabs>
        <w:tab w:val="center" w:pos="4153" w:leader="none"/>
        <w:tab w:val="right" w:pos="8306" w:leader="none"/>
      </w:tabs>
    </w:pPr>
    <w:rPr>
      <w:sz w:val="18"/>
      <w:szCs w:val="18"/>
    </w:rPr>
  </w:style>
  <w:style w:type="paragraph" w:styleId="1183" w:customStyle="1">
    <w:name w:val="纯文本2"/>
    <w:basedOn w:val="806"/>
    <w:link w:val="1184"/>
    <w:uiPriority w:val="0"/>
    <w:qFormat/>
    <w:rPr>
      <w:rFonts w:ascii="宋体" w:hAnsi="Calibri" w:cs="Calibri"/>
      <w:sz w:val="20"/>
      <w:szCs w:val="21"/>
    </w:rPr>
  </w:style>
  <w:style w:type="character" w:styleId="1184" w:customStyle="1">
    <w:name w:val="纯文本 Char"/>
    <w:basedOn w:val="1001"/>
    <w:link w:val="1183"/>
    <w:uiPriority w:val="0"/>
    <w:qFormat/>
    <w:rPr>
      <w:rFonts w:ascii="宋体" w:hAnsi="Calibri" w:eastAsia="宋体" w:cs="Calibri"/>
      <w:szCs w:val="21"/>
    </w:rPr>
  </w:style>
  <w:style w:type="paragraph" w:styleId="1185"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正文2"/>
    <w:basedOn w:val="806"/>
    <w:uiPriority w:val="0"/>
    <w:qFormat/>
    <w:pPr>
      <w:ind w:firstLine="200"/>
      <w:jc w:val="left"/>
      <w:spacing w:after="160" w:line="360" w:lineRule="auto"/>
      <w:widowControl/>
    </w:pPr>
    <w:rPr>
      <w:rFonts w:ascii="Verdana" w:hAnsi="Verdana" w:eastAsia="黑体"/>
      <w:szCs w:val="20"/>
      <w:lang w:eastAsia="en-US"/>
    </w:rPr>
  </w:style>
  <w:style w:type="paragraph" w:styleId="1187" w:customStyle="1">
    <w:name w:val="正文文本11"/>
    <w:basedOn w:val="806"/>
    <w:next w:val="806"/>
    <w:uiPriority w:val="0"/>
    <w:qFormat/>
    <w:rPr>
      <w:rFonts w:ascii="仿宋_GB2312" w:eastAsia="仿宋_GB2312"/>
      <w:sz w:val="28"/>
      <w:szCs w:val="20"/>
    </w:rPr>
  </w:style>
  <w:style w:type="character" w:styleId="1188" w:customStyle="1">
    <w:name w:val="NormalCharacter1"/>
    <w:uiPriority w:val="0"/>
    <w:qFormat/>
    <w:rPr>
      <w:rFonts w:ascii="宋体" w:hAnsi="宋体" w:cs="宋体"/>
      <w:sz w:val="21"/>
      <w:szCs w:val="21"/>
      <w:lang w:val="en-US" w:eastAsia="zh-CN" w:bidi="ar-SA"/>
    </w:rPr>
  </w:style>
  <w:style w:type="character" w:styleId="1189" w:customStyle="1">
    <w:name w:val="NormalCharacter"/>
    <w:link w:val="1190"/>
    <w:uiPriority w:val="0"/>
    <w:qFormat/>
  </w:style>
  <w:style w:type="paragraph" w:styleId="1190" w:customStyle="1">
    <w:name w:val="UserStyle_4"/>
    <w:basedOn w:val="806"/>
    <w:link w:val="1189"/>
    <w:uiPriority w:val="99"/>
    <w:qFormat/>
  </w:style>
  <w:style w:type="paragraph" w:styleId="1191" w:customStyle="1">
    <w:name w:val="段"/>
    <w:next w:val="806"/>
    <w:uiPriority w:val="0"/>
    <w:qFormat/>
    <w:pPr>
      <w:ind w:firstLine="200"/>
      <w:jc w:val="both"/>
    </w:pPr>
    <w:rPr>
      <w:rFonts w:hint="default" w:ascii="宋体" w:hAnsi="Times New Roman" w:eastAsia="宋体" w:cs="Times New Roman"/>
      <w:sz w:val="21"/>
      <w:lang w:val="en-US" w:eastAsia="zh-CN" w:bidi="ar-SA"/>
    </w:rPr>
  </w:style>
  <w:style w:type="paragraph" w:styleId="1192" w:customStyle="1">
    <w:name w:val="Table Text"/>
    <w:basedOn w:val="806"/>
    <w:uiPriority w:val="0"/>
    <w:semiHidden/>
    <w:qFormat/>
    <w:rPr>
      <w:rFonts w:ascii="宋体" w:hAnsi="宋体" w:eastAsia="宋体" w:cs="宋体"/>
      <w:sz w:val="22"/>
      <w:szCs w:val="22"/>
      <w:lang w:val="en-US" w:eastAsia="en-US" w:bidi="ar-SA"/>
    </w:rPr>
  </w:style>
  <w:style w:type="table" w:styleId="1193" w:customStyle="1">
    <w:name w:val="Table Normal"/>
    <w:uiPriority w:val="0"/>
    <w:unhideWhenUsed/>
    <w:qFormat/>
    <w:tblPr>
      <w:tblCellMar>
        <w:left w:w="0" w:type="dxa"/>
        <w:top w:w="0" w:type="dxa"/>
        <w:right w:w="0" w:type="dxa"/>
        <w:bottom w:w="0" w:type="dxa"/>
      </w:tblCellMar>
    </w:tblPr>
  </w:style>
  <w:style w:type="numbering" w:styleId="18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马胜</cp:lastModifiedBy>
  <cp:revision>132</cp:revision>
  <dcterms:created xsi:type="dcterms:W3CDTF">2017-01-17T02:34:00Z</dcterms:created>
  <dcterms:modified xsi:type="dcterms:W3CDTF">2026-07-10T07:35:17Z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