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679"/>
        <w:spacing w:line="360" w:lineRule="auto"/>
        <w:rPr>
          <w:rFonts w:ascii="宋体" w:hAnsi="宋体" w:eastAsia="宋体"/>
          <w:b/>
          <w:bCs/>
          <w:color w:val="000000"/>
          <w:sz w:val="20"/>
          <w:szCs w:val="20"/>
          <w:highlight w:val="none"/>
          <w:lang w:eastAsia="zh-CN"/>
        </w:rPr>
      </w:pPr>
      <w:r>
        <w:rPr>
          <w:rFonts w:ascii="宋体" w:hAnsi="宋体" w:eastAsia="宋体"/>
          <w:b/>
          <w:bCs/>
          <w:color w:val="000000"/>
          <w:sz w:val="20"/>
          <w:szCs w:val="20"/>
          <w:highlight w:val="none"/>
          <w:lang w:eastAsia="zh-CN"/>
        </w:rPr>
      </w:r>
      <w:r/>
    </w:p>
    <w:p>
      <w:pPr>
        <w:pStyle w:val="679"/>
        <w:spacing w:line="360" w:lineRule="auto"/>
        <w:rPr>
          <w:rFonts w:ascii="宋体" w:hAnsi="宋体" w:eastAsia="宋体"/>
          <w:b/>
          <w:bCs/>
          <w:color w:val="000000"/>
          <w:sz w:val="20"/>
          <w:szCs w:val="20"/>
          <w:highlight w:val="none"/>
          <w:lang w:eastAsia="zh-CN"/>
        </w:rPr>
      </w:pPr>
      <w:r>
        <w:rPr>
          <w:rFonts w:ascii="宋体" w:hAnsi="宋体" w:eastAsia="宋体"/>
          <w:b/>
          <w:bCs/>
          <w:color w:val="000000"/>
          <w:sz w:val="20"/>
          <w:szCs w:val="20"/>
          <w:highlight w:val="none"/>
          <w:lang w:eastAsia="zh-CN"/>
        </w:rPr>
      </w:r>
      <w:r/>
    </w:p>
    <w:p>
      <w:pPr>
        <w:pStyle w:val="679"/>
        <w:spacing w:line="360" w:lineRule="auto"/>
        <w:rPr>
          <w:rFonts w:ascii="宋体" w:hAnsi="宋体" w:eastAsia="宋体"/>
          <w:b/>
          <w:bCs/>
          <w:color w:val="000000"/>
          <w:sz w:val="20"/>
          <w:szCs w:val="20"/>
          <w:highlight w:val="none"/>
          <w:lang w:eastAsia="zh-CN"/>
        </w:rPr>
      </w:pPr>
      <w:r>
        <w:rPr>
          <w:rFonts w:ascii="宋体" w:hAnsi="宋体" w:eastAsia="宋体"/>
          <w:b/>
          <w:bCs/>
          <w:color w:val="000000"/>
          <w:sz w:val="20"/>
          <w:szCs w:val="20"/>
          <w:highlight w:val="none"/>
          <w:lang w:eastAsia="zh-CN"/>
        </w:rPr>
      </w:r>
      <w:r/>
    </w:p>
    <w:p>
      <w:pPr>
        <w:pStyle w:val="679"/>
        <w:spacing w:before="5" w:line="360" w:lineRule="auto"/>
        <w:rPr>
          <w:rFonts w:ascii="宋体" w:hAnsi="宋体" w:eastAsia="宋体"/>
          <w:b/>
          <w:bCs/>
          <w:color w:val="000000"/>
          <w:sz w:val="29"/>
          <w:szCs w:val="29"/>
          <w:highlight w:val="none"/>
          <w:lang w:eastAsia="zh-CN"/>
        </w:rPr>
      </w:pPr>
      <w:r>
        <w:rPr>
          <w:rFonts w:ascii="宋体" w:hAnsi="宋体" w:eastAsia="宋体"/>
          <w:b/>
          <w:bCs/>
          <w:color w:val="000000"/>
          <w:sz w:val="29"/>
          <w:szCs w:val="29"/>
          <w:highlight w:val="none"/>
          <w:lang w:eastAsia="zh-CN"/>
        </w:rPr>
      </w:r>
      <w:r/>
    </w:p>
    <w:p>
      <w:pPr>
        <w:pStyle w:val="679"/>
        <w:jc w:val="center"/>
        <w:rPr>
          <w:b/>
          <w:bCs/>
          <w:color w:val="000000"/>
          <w:sz w:val="72"/>
          <w:szCs w:val="72"/>
          <w:highlight w:val="none"/>
          <w:lang w:eastAsia="zh-CN"/>
        </w:rPr>
      </w:pPr>
      <w:r/>
      <w:bookmarkStart w:id="0" w:name="_Toc15112"/>
      <w:r>
        <w:rPr>
          <w:b/>
          <w:bCs/>
          <w:color w:val="000000"/>
          <w:sz w:val="72"/>
          <w:szCs w:val="72"/>
          <w:highlight w:val="none"/>
          <w:lang w:eastAsia="zh-CN"/>
        </w:rPr>
        <w:t xml:space="preserve">竞争性磋商文件</w:t>
      </w:r>
      <w:bookmarkEnd w:id="0"/>
      <w:r>
        <w:rPr>
          <w:b/>
          <w:bCs/>
          <w:color w:val="000000"/>
          <w:sz w:val="72"/>
          <w:szCs w:val="72"/>
          <w:highlight w:val="none"/>
          <w:lang w:eastAsia="zh-CN"/>
        </w:rPr>
      </w:r>
      <w:r/>
    </w:p>
    <w:p>
      <w:pPr>
        <w:pStyle w:val="679"/>
        <w:spacing w:before="9" w:line="360" w:lineRule="auto"/>
        <w:rPr>
          <w:rFonts w:ascii="宋体" w:hAnsi="宋体" w:eastAsia="宋体" w:cs="黑体"/>
          <w:b/>
          <w:bCs/>
          <w:color w:val="000000"/>
          <w:sz w:val="90"/>
          <w:szCs w:val="90"/>
          <w:highlight w:val="none"/>
          <w:lang w:eastAsia="zh-CN"/>
        </w:rPr>
      </w:pPr>
      <w:r>
        <w:rPr>
          <w:rFonts w:ascii="宋体" w:hAnsi="宋体" w:eastAsia="宋体" w:cs="黑体"/>
          <w:b/>
          <w:bCs/>
          <w:color w:val="000000"/>
          <w:sz w:val="90"/>
          <w:szCs w:val="90"/>
          <w:highlight w:val="none"/>
          <w:lang w:eastAsia="zh-CN"/>
        </w:rPr>
      </w:r>
      <w:r/>
    </w:p>
    <w:p>
      <w:pPr>
        <w:pStyle w:val="679"/>
        <w:rPr>
          <w:b/>
          <w:bCs/>
          <w:color w:val="000000"/>
          <w:highlight w:val="none"/>
          <w:lang w:eastAsia="zh-CN"/>
        </w:rPr>
      </w:pPr>
      <w:r>
        <w:rPr>
          <w:b/>
          <w:bCs/>
          <w:color w:val="000000"/>
          <w:highlight w:val="none"/>
          <w:lang w:eastAsia="zh-CN"/>
        </w:rPr>
      </w:r>
      <w:r/>
    </w:p>
    <w:p>
      <w:pPr>
        <w:pStyle w:val="679"/>
        <w:rPr>
          <w:b/>
          <w:bCs/>
          <w:color w:val="000000"/>
          <w:sz w:val="36"/>
          <w:szCs w:val="36"/>
          <w:highlight w:val="none"/>
          <w:lang w:val="en-US" w:eastAsia="zh-CN"/>
        </w:rPr>
      </w:pPr>
      <w:r/>
      <w:bookmarkStart w:id="1" w:name="_Toc30030"/>
      <w:r>
        <w:rPr>
          <w:b/>
          <w:bCs/>
          <w:color w:val="000000"/>
          <w:sz w:val="36"/>
          <w:szCs w:val="36"/>
          <w:highlight w:val="none"/>
          <w:lang w:eastAsia="zh-CN"/>
        </w:rPr>
        <w:t xml:space="preserve">项目编号：</w:t>
      </w:r>
      <w:r>
        <w:rPr>
          <w:rFonts w:hint="eastAsia"/>
          <w:b/>
          <w:bCs/>
          <w:color w:val="000000"/>
          <w:sz w:val="36"/>
          <w:szCs w:val="36"/>
          <w:highlight w:val="none"/>
          <w:lang w:eastAsia="zh-CN"/>
        </w:rPr>
        <w:t xml:space="preserve">JSZC-320000-NJJC-C2026-0082</w:t>
      </w:r>
      <w:bookmarkEnd w:id="1"/>
      <w:r>
        <w:rPr>
          <w:b/>
          <w:bCs/>
          <w:color w:val="000000"/>
          <w:sz w:val="36"/>
          <w:szCs w:val="36"/>
          <w:highlight w:val="none"/>
          <w:lang w:val="en-US" w:eastAsia="zh-CN"/>
        </w:rPr>
      </w:r>
      <w:r/>
    </w:p>
    <w:p>
      <w:pPr>
        <w:pStyle w:val="679"/>
        <w:rPr>
          <w:b/>
          <w:bCs/>
          <w:color w:val="000000"/>
          <w:sz w:val="36"/>
          <w:szCs w:val="36"/>
          <w:highlight w:val="none"/>
          <w:lang w:eastAsia="zh-CN"/>
        </w:rPr>
      </w:pPr>
      <w:r>
        <w:rPr>
          <w:b/>
          <w:bCs/>
          <w:color w:val="000000"/>
          <w:sz w:val="36"/>
          <w:szCs w:val="36"/>
          <w:highlight w:val="none"/>
          <w:lang w:eastAsia="zh-CN"/>
        </w:rPr>
      </w:r>
      <w:r/>
    </w:p>
    <w:p>
      <w:pPr>
        <w:pStyle w:val="679"/>
        <w:rPr>
          <w:rFonts w:hint="eastAsia"/>
          <w:b/>
          <w:bCs/>
          <w:color w:val="000000"/>
          <w:sz w:val="36"/>
          <w:szCs w:val="36"/>
          <w:highlight w:val="none"/>
          <w:lang w:eastAsia="zh-CN"/>
        </w:rPr>
      </w:pPr>
      <w:r>
        <w:rPr>
          <w:b/>
          <w:bCs/>
          <w:color w:val="000000"/>
          <w:sz w:val="36"/>
          <w:szCs w:val="36"/>
          <w:highlight w:val="none"/>
          <w:lang w:eastAsia="zh-CN"/>
        </w:rPr>
        <w:t xml:space="preserve">项目名称：</w:t>
      </w:r>
      <w:r>
        <w:rPr>
          <w:rFonts w:hint="eastAsia"/>
          <w:b/>
          <w:bCs/>
          <w:color w:val="000000"/>
          <w:sz w:val="36"/>
          <w:szCs w:val="36"/>
          <w:highlight w:val="none"/>
          <w:lang w:eastAsia="zh-CN"/>
        </w:rPr>
        <w:t xml:space="preserve">田径场塑胶跑道、人工草皮更新 </w:t>
      </w:r>
      <w:r>
        <w:rPr>
          <w:rFonts w:hint="eastAsia"/>
          <w:b/>
          <w:bCs/>
          <w:color w:val="000000"/>
          <w:sz w:val="36"/>
          <w:szCs w:val="36"/>
          <w:highlight w:val="none"/>
          <w:lang w:eastAsia="zh-CN"/>
        </w:rPr>
      </w:r>
      <w:r/>
    </w:p>
    <w:p>
      <w:pPr>
        <w:pStyle w:val="679"/>
        <w:rPr>
          <w:b/>
          <w:bCs/>
          <w:color w:val="000000"/>
          <w:sz w:val="36"/>
          <w:szCs w:val="36"/>
          <w:highlight w:val="none"/>
          <w:lang w:eastAsia="zh-CN"/>
        </w:rPr>
      </w:pPr>
      <w:r>
        <w:rPr>
          <w:b/>
          <w:bCs/>
          <w:color w:val="000000"/>
          <w:sz w:val="36"/>
          <w:szCs w:val="36"/>
          <w:highlight w:val="none"/>
          <w:lang w:eastAsia="zh-CN"/>
        </w:rPr>
      </w:r>
      <w:r/>
    </w:p>
    <w:p>
      <w:pPr>
        <w:pStyle w:val="679"/>
        <w:rPr>
          <w:b/>
          <w:bCs/>
          <w:color w:val="000000"/>
          <w:sz w:val="36"/>
          <w:szCs w:val="36"/>
          <w:highlight w:val="none"/>
          <w:lang w:eastAsia="zh-CN"/>
        </w:rPr>
      </w:pPr>
      <w:r>
        <w:rPr>
          <w:b/>
          <w:bCs/>
          <w:color w:val="000000"/>
          <w:sz w:val="36"/>
          <w:szCs w:val="36"/>
          <w:highlight w:val="none"/>
          <w:lang w:eastAsia="zh-CN"/>
        </w:rPr>
        <w:t xml:space="preserve">项目类别：</w:t>
      </w:r>
      <w:r>
        <w:rPr>
          <w:rFonts w:hint="eastAsia"/>
          <w:b/>
          <w:bCs/>
          <w:color w:val="000000"/>
          <w:sz w:val="36"/>
          <w:szCs w:val="36"/>
          <w:highlight w:val="none"/>
          <w:lang w:eastAsia="zh-CN"/>
        </w:rPr>
        <w:t xml:space="preserve">工程类</w:t>
      </w:r>
      <w:r>
        <w:rPr>
          <w:b/>
          <w:bCs/>
          <w:color w:val="000000"/>
          <w:sz w:val="36"/>
          <w:szCs w:val="36"/>
          <w:highlight w:val="none"/>
          <w:lang w:eastAsia="zh-CN"/>
        </w:rPr>
      </w:r>
      <w:r/>
    </w:p>
    <w:p>
      <w:pPr>
        <w:pStyle w:val="679"/>
        <w:rPr>
          <w:rFonts w:hint="eastAsia"/>
          <w:b/>
          <w:bCs/>
          <w:color w:val="000000"/>
          <w:sz w:val="36"/>
          <w:szCs w:val="36"/>
          <w:highlight w:val="none"/>
          <w:lang w:eastAsia="zh-CN"/>
        </w:rPr>
      </w:pPr>
      <w:r>
        <w:rPr>
          <w:rFonts w:hint="eastAsia"/>
          <w:b/>
          <w:bCs/>
          <w:color w:val="000000"/>
          <w:sz w:val="36"/>
          <w:szCs w:val="36"/>
          <w:highlight w:val="none"/>
          <w:lang w:eastAsia="zh-CN"/>
        </w:rPr>
      </w:r>
      <w:r/>
    </w:p>
    <w:p>
      <w:pPr>
        <w:pStyle w:val="679"/>
        <w:rPr>
          <w:rFonts w:hint="eastAsia"/>
          <w:b/>
          <w:bCs/>
          <w:color w:val="000000"/>
          <w:sz w:val="36"/>
          <w:szCs w:val="36"/>
          <w:highlight w:val="none"/>
          <w:lang w:eastAsia="zh-CN"/>
        </w:rPr>
      </w:pPr>
      <w:r/>
      <w:bookmarkStart w:id="2" w:name="_Toc28156"/>
      <w:r>
        <w:rPr>
          <w:rFonts w:hint="eastAsia"/>
          <w:b/>
          <w:bCs/>
          <w:color w:val="000000"/>
          <w:sz w:val="36"/>
          <w:szCs w:val="36"/>
          <w:highlight w:val="none"/>
          <w:lang w:eastAsia="zh-CN"/>
        </w:rPr>
        <w:t xml:space="preserve">采购人：江苏海事职业技术学院</w:t>
      </w:r>
      <w:bookmarkEnd w:id="2"/>
      <w:r>
        <w:rPr>
          <w:rFonts w:hint="eastAsia"/>
          <w:b/>
          <w:bCs/>
          <w:color w:val="000000"/>
          <w:sz w:val="36"/>
          <w:szCs w:val="36"/>
          <w:highlight w:val="none"/>
          <w:lang w:eastAsia="zh-CN"/>
        </w:rPr>
        <w:t xml:space="preserve"> </w:t>
      </w:r>
      <w:r>
        <w:rPr>
          <w:rFonts w:hint="eastAsia"/>
          <w:b/>
          <w:bCs/>
          <w:color w:val="000000"/>
          <w:sz w:val="36"/>
          <w:szCs w:val="36"/>
          <w:highlight w:val="none"/>
          <w:lang w:eastAsia="zh-CN"/>
        </w:rPr>
      </w:r>
      <w:r/>
    </w:p>
    <w:p>
      <w:pPr>
        <w:pStyle w:val="679"/>
        <w:rPr>
          <w:rFonts w:hint="eastAsia"/>
          <w:b/>
          <w:bCs/>
          <w:color w:val="000000"/>
          <w:sz w:val="36"/>
          <w:szCs w:val="36"/>
          <w:highlight w:val="none"/>
          <w:lang w:eastAsia="zh-CN"/>
        </w:rPr>
      </w:pPr>
      <w:r>
        <w:rPr>
          <w:rFonts w:hint="eastAsia"/>
          <w:b/>
          <w:bCs/>
          <w:color w:val="000000"/>
          <w:sz w:val="36"/>
          <w:szCs w:val="36"/>
          <w:highlight w:val="none"/>
          <w:lang w:eastAsia="zh-CN"/>
        </w:rPr>
      </w:r>
      <w:r/>
    </w:p>
    <w:p>
      <w:pPr>
        <w:pStyle w:val="679"/>
        <w:rPr>
          <w:b/>
          <w:bCs/>
          <w:color w:val="000000"/>
          <w:sz w:val="36"/>
          <w:szCs w:val="36"/>
          <w:highlight w:val="none"/>
          <w:lang w:eastAsia="zh-CN"/>
        </w:rPr>
      </w:pPr>
      <w:r/>
      <w:bookmarkStart w:id="3" w:name="_Toc12131"/>
      <w:r>
        <w:rPr>
          <w:rFonts w:hint="eastAsia"/>
          <w:b/>
          <w:bCs/>
          <w:color w:val="000000"/>
          <w:sz w:val="36"/>
          <w:szCs w:val="36"/>
          <w:highlight w:val="none"/>
          <w:lang w:eastAsia="zh-CN"/>
        </w:rPr>
        <w:t xml:space="preserve">采购代理机构：南京江城工程项目管理有限公司</w:t>
      </w:r>
      <w:bookmarkEnd w:id="3"/>
      <w:r>
        <w:rPr>
          <w:b/>
          <w:bCs/>
          <w:color w:val="000000"/>
          <w:sz w:val="36"/>
          <w:szCs w:val="36"/>
          <w:highlight w:val="none"/>
          <w:lang w:eastAsia="zh-CN"/>
        </w:rPr>
      </w:r>
      <w:r/>
    </w:p>
    <w:p>
      <w:pPr>
        <w:pStyle w:val="679"/>
        <w:spacing w:line="360" w:lineRule="auto"/>
        <w:rPr>
          <w:rFonts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lang w:eastAsia="zh-CN"/>
        </w:rPr>
      </w:r>
      <w:r/>
    </w:p>
    <w:p>
      <w:pPr>
        <w:pStyle w:val="679"/>
        <w:spacing w:line="360" w:lineRule="auto"/>
        <w:rPr>
          <w:rFonts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lang w:eastAsia="zh-CN"/>
        </w:rPr>
      </w:r>
      <w:r/>
    </w:p>
    <w:p>
      <w:pPr>
        <w:pStyle w:val="679"/>
        <w:spacing w:line="360" w:lineRule="auto"/>
        <w:rPr>
          <w:rFonts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lang w:eastAsia="zh-CN"/>
        </w:rPr>
      </w:r>
      <w:r/>
    </w:p>
    <w:p>
      <w:pPr>
        <w:pStyle w:val="679"/>
        <w:ind w:left="1572" w:right="1933"/>
        <w:jc w:val="center"/>
        <w:spacing w:line="360" w:lineRule="auto"/>
        <w:rPr>
          <w:rFonts w:ascii="宋体" w:hAnsi="宋体" w:eastAsia="宋体" w:cs="黑体"/>
          <w:b/>
          <w:bCs/>
          <w:color w:val="000000"/>
          <w:sz w:val="40"/>
          <w:szCs w:val="40"/>
          <w:highlight w:val="none"/>
          <w:lang w:eastAsia="zh-CN"/>
        </w:rPr>
      </w:pPr>
      <w:r>
        <w:rPr>
          <w:rFonts w:ascii="宋体" w:hAnsi="宋体" w:eastAsia="宋体" w:cs="黑体"/>
          <w:b/>
          <w:bCs/>
          <w:color w:val="000000"/>
          <w:sz w:val="40"/>
          <w:szCs w:val="40"/>
          <w:highlight w:val="none"/>
          <w:lang w:eastAsia="zh-CN"/>
        </w:rPr>
        <w:t xml:space="preserve">二○二</w:t>
      </w:r>
      <w:r>
        <w:rPr>
          <w:rFonts w:hint="eastAsia" w:ascii="宋体" w:hAnsi="宋体" w:eastAsia="宋体" w:cs="黑体"/>
          <w:b/>
          <w:bCs/>
          <w:color w:val="000000"/>
          <w:sz w:val="40"/>
          <w:szCs w:val="40"/>
          <w:highlight w:val="none"/>
          <w:lang w:val="en-US" w:eastAsia="zh-CN"/>
        </w:rPr>
        <w:t xml:space="preserve">六</w:t>
      </w:r>
      <w:r>
        <w:rPr>
          <w:rFonts w:ascii="宋体" w:hAnsi="宋体" w:eastAsia="宋体" w:cs="黑体"/>
          <w:b/>
          <w:bCs/>
          <w:color w:val="000000"/>
          <w:sz w:val="40"/>
          <w:szCs w:val="40"/>
          <w:highlight w:val="none"/>
          <w:lang w:eastAsia="zh-CN"/>
        </w:rPr>
        <w:t xml:space="preserve">年</w:t>
      </w:r>
      <w:r>
        <w:rPr>
          <w:rFonts w:hint="eastAsia" w:ascii="宋体" w:hAnsi="宋体" w:eastAsia="宋体" w:cs="黑体"/>
          <w:b/>
          <w:bCs/>
          <w:color w:val="000000"/>
          <w:sz w:val="40"/>
          <w:szCs w:val="40"/>
          <w:highlight w:val="none"/>
          <w:lang w:val="en-US" w:eastAsia="zh-CN"/>
        </w:rPr>
        <w:t xml:space="preserve">七</w:t>
      </w:r>
      <w:r>
        <w:rPr>
          <w:rFonts w:ascii="宋体" w:hAnsi="宋体" w:eastAsia="宋体" w:cs="黑体"/>
          <w:b/>
          <w:bCs/>
          <w:color w:val="000000"/>
          <w:sz w:val="40"/>
          <w:szCs w:val="40"/>
          <w:highlight w:val="none"/>
          <w:lang w:eastAsia="zh-CN"/>
        </w:rPr>
        <w:t xml:space="preserve">月</w:t>
      </w:r>
      <w:r>
        <w:rPr>
          <w:rFonts w:ascii="宋体" w:hAnsi="宋体" w:eastAsia="宋体" w:cs="黑体"/>
          <w:b/>
          <w:bCs/>
          <w:color w:val="000000"/>
          <w:sz w:val="40"/>
          <w:szCs w:val="40"/>
          <w:highlight w:val="none"/>
          <w:lang w:eastAsia="zh-CN"/>
        </w:rPr>
      </w:r>
      <w:r/>
    </w:p>
    <w:p>
      <w:pPr>
        <w:pStyle w:val="679"/>
        <w:ind w:left="1572" w:right="1933"/>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679"/>
        <w:ind w:left="0" w:right="0" w:firstLine="0"/>
        <w:jc w:val="center"/>
        <w:spacing w:before="0" w:after="0" w:line="240" w:lineRule="auto"/>
        <w:rPr>
          <w:b/>
          <w:bCs/>
          <w:color w:val="000000"/>
          <w:sz w:val="36"/>
          <w:szCs w:val="36"/>
          <w:highlight w:val="none"/>
        </w:rPr>
      </w:pPr>
      <w:r>
        <w:rPr>
          <w:rFonts w:ascii="宋体" w:hAnsi="宋体" w:eastAsia="宋体"/>
          <w:b/>
          <w:bCs/>
          <w:color w:val="000000"/>
          <w:sz w:val="32"/>
          <w:szCs w:val="36"/>
          <w:highlight w:val="none"/>
        </w:rPr>
        <w:t xml:space="preserve">目</w:t>
      </w:r>
      <w:r>
        <w:rPr>
          <w:rFonts w:hint="eastAsia" w:ascii="宋体" w:hAnsi="宋体" w:eastAsia="宋体"/>
          <w:b/>
          <w:bCs/>
          <w:color w:val="000000"/>
          <w:sz w:val="32"/>
          <w:szCs w:val="36"/>
          <w:highlight w:val="none"/>
          <w:lang w:val="en-US" w:eastAsia="zh-CN"/>
        </w:rPr>
        <w:t xml:space="preserve"> </w:t>
      </w:r>
      <w:r>
        <w:rPr>
          <w:rFonts w:ascii="宋体" w:hAnsi="宋体" w:eastAsia="宋体"/>
          <w:b/>
          <w:bCs/>
          <w:color w:val="000000"/>
          <w:sz w:val="32"/>
          <w:szCs w:val="36"/>
          <w:highlight w:val="none"/>
        </w:rPr>
        <w:t xml:space="preserve">录</w:t>
      </w:r>
      <w:r>
        <w:rPr>
          <w:b/>
          <w:bCs/>
          <w:color w:val="000000"/>
          <w:sz w:val="36"/>
          <w:szCs w:val="36"/>
          <w:highlight w:val="none"/>
        </w:rPr>
      </w:r>
      <w:r/>
    </w:p>
    <w:p>
      <w:pPr>
        <w:pStyle w:val="710"/>
        <w:tabs>
          <w:tab w:val="right" w:pos="3200" w:leader="none"/>
          <w:tab w:val="right" w:pos="8910" w:leader="dot"/>
        </w:tabs>
        <w:rPr>
          <w:b/>
          <w:bCs/>
          <w:color w:val="000000"/>
          <w:highlight w:val="none"/>
        </w:rPr>
      </w:pPr>
      <w:r>
        <w:rPr>
          <w:b/>
          <w:bCs/>
          <w:color w:val="000000"/>
          <w:highlight w:val="none"/>
        </w:rPr>
        <w:fldChar w:fldCharType="begin"/>
      </w:r>
      <w:r>
        <w:rPr>
          <w:b/>
          <w:bCs/>
          <w:color w:val="000000"/>
          <w:highlight w:val="none"/>
        </w:rPr>
        <w:instrText xml:space="preserve">TOC \o "1-3" \h \u </w:instrText>
      </w:r>
      <w:r>
        <w:rPr>
          <w:b/>
          <w:bCs/>
          <w:color w:val="000000"/>
          <w:highlight w:val="none"/>
        </w:rPr>
        <w:fldChar w:fldCharType="separate"/>
      </w:r>
      <w:r>
        <w:rPr>
          <w:b/>
          <w:bCs/>
          <w:color w:val="000000"/>
          <w:highlight w:val="none"/>
        </w:rPr>
        <w:fldChar w:fldCharType="begin"/>
      </w:r>
      <w:r>
        <w:rPr>
          <w:b/>
          <w:bCs/>
          <w:color w:val="000000"/>
          <w:highlight w:val="none"/>
        </w:rPr>
        <w:instrText xml:space="preserve"> HYPERLINK \l _Toc5205 </w:instrText>
      </w:r>
      <w:r>
        <w:rPr>
          <w:b/>
          <w:bCs/>
          <w:color w:val="000000"/>
          <w:highlight w:val="none"/>
        </w:rPr>
        <w:fldChar w:fldCharType="separate"/>
      </w:r>
      <w:r>
        <w:rPr>
          <w:rFonts w:hint="eastAsia" w:ascii="宋体" w:hAnsi="宋体" w:eastAsia="宋体" w:cs="宋体"/>
          <w:b/>
          <w:bCs/>
          <w:color w:val="000000"/>
          <w:szCs w:val="36"/>
          <w:highlight w:val="none"/>
          <w:lang w:eastAsia="zh-CN"/>
        </w:rPr>
        <w:t xml:space="preserve">第一章</w:t>
      </w:r>
      <w:r>
        <w:rPr>
          <w:rFonts w:hint="eastAsia" w:cs="宋体"/>
          <w:b/>
          <w:bCs/>
          <w:color w:val="000000"/>
          <w:szCs w:val="36"/>
          <w:highlight w:val="none"/>
          <w:lang w:val="en-US" w:eastAsia="zh-CN"/>
        </w:rPr>
        <w:t xml:space="preserve">  </w:t>
      </w:r>
      <w:r>
        <w:rPr>
          <w:rFonts w:hint="eastAsia" w:ascii="宋体" w:hAnsi="宋体" w:eastAsia="宋体" w:cs="宋体"/>
          <w:b/>
          <w:bCs/>
          <w:color w:val="000000"/>
          <w:szCs w:val="36"/>
          <w:highlight w:val="none"/>
          <w:lang w:eastAsia="zh-CN"/>
        </w:rPr>
        <w:t xml:space="preserve">竞争性磋商邀请</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_Toc5205 \h </w:instrText>
      </w:r>
      <w:r>
        <w:rPr>
          <w:b/>
          <w:bCs/>
          <w:color w:val="000000"/>
          <w:highlight w:val="none"/>
        </w:rPr>
        <w:fldChar w:fldCharType="separate"/>
      </w:r>
      <w:r>
        <w:rPr>
          <w:b/>
          <w:bCs/>
          <w:color w:val="000000"/>
          <w:highlight w:val="none"/>
        </w:rPr>
        <w:t xml:space="preserve">1</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_Toc4209 </w:instrText>
      </w:r>
      <w:r>
        <w:rPr>
          <w:b/>
          <w:bCs/>
          <w:color w:val="000000"/>
          <w:highlight w:val="none"/>
        </w:rPr>
        <w:fldChar w:fldCharType="separate"/>
      </w:r>
      <w:r>
        <w:rPr>
          <w:rFonts w:hint="eastAsia"/>
          <w:b/>
          <w:bCs/>
          <w:color w:val="000000"/>
          <w:highlight w:val="none"/>
          <w:lang w:val="en-US" w:eastAsia="zh-CN"/>
        </w:rPr>
        <w:t xml:space="preserve">第二章  竞争性磋商</w:t>
      </w:r>
      <w:r>
        <w:rPr>
          <w:b/>
          <w:bCs/>
          <w:color w:val="000000"/>
          <w:highlight w:val="none"/>
          <w:lang w:eastAsia="zh-CN"/>
        </w:rPr>
        <w:t xml:space="preserve">须知</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_Toc4209 \h </w:instrText>
      </w:r>
      <w:r>
        <w:rPr>
          <w:b/>
          <w:bCs/>
          <w:color w:val="000000"/>
          <w:highlight w:val="none"/>
        </w:rPr>
        <w:fldChar w:fldCharType="separate"/>
      </w:r>
      <w:r>
        <w:rPr>
          <w:b/>
          <w:bCs/>
          <w:color w:val="000000"/>
          <w:highlight w:val="none"/>
        </w:rPr>
        <w:t xml:space="preserve">4</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_Toc2951 </w:instrText>
      </w:r>
      <w:r>
        <w:rPr>
          <w:b/>
          <w:bCs/>
          <w:color w:val="000000"/>
          <w:highlight w:val="none"/>
        </w:rPr>
        <w:fldChar w:fldCharType="separate"/>
      </w:r>
      <w:r>
        <w:rPr>
          <w:rFonts w:hint="eastAsia"/>
          <w:b/>
          <w:bCs/>
          <w:color w:val="000000"/>
          <w:highlight w:val="none"/>
          <w:lang w:val="en-US" w:eastAsia="zh-CN"/>
        </w:rPr>
        <w:t xml:space="preserve">第三章  </w:t>
      </w:r>
      <w:r>
        <w:rPr>
          <w:b/>
          <w:bCs/>
          <w:color w:val="000000"/>
          <w:highlight w:val="none"/>
        </w:rPr>
        <w:t xml:space="preserve">成交标准</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_Toc2951 \h </w:instrText>
      </w:r>
      <w:r>
        <w:rPr>
          <w:b/>
          <w:bCs/>
          <w:color w:val="000000"/>
          <w:highlight w:val="none"/>
        </w:rPr>
        <w:fldChar w:fldCharType="separate"/>
      </w:r>
      <w:r>
        <w:rPr>
          <w:b/>
          <w:bCs/>
          <w:color w:val="000000"/>
          <w:highlight w:val="none"/>
        </w:rPr>
        <w:t xml:space="preserve">18</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_Toc7610 </w:instrText>
      </w:r>
      <w:r>
        <w:rPr>
          <w:b/>
          <w:bCs/>
          <w:color w:val="000000"/>
          <w:highlight w:val="none"/>
        </w:rPr>
        <w:fldChar w:fldCharType="separate"/>
      </w:r>
      <w:r>
        <w:rPr>
          <w:rFonts w:hint="eastAsia"/>
          <w:b/>
          <w:bCs/>
          <w:color w:val="000000"/>
          <w:highlight w:val="none"/>
          <w:lang w:val="en-US" w:eastAsia="zh-CN"/>
        </w:rPr>
        <w:t xml:space="preserve">第四章  </w:t>
      </w:r>
      <w:r>
        <w:rPr>
          <w:b/>
          <w:bCs/>
          <w:color w:val="000000"/>
          <w:highlight w:val="none"/>
          <w:lang w:eastAsia="zh-CN"/>
        </w:rPr>
        <w:t xml:space="preserve">采购项目需求</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_Toc7610 \h </w:instrText>
      </w:r>
      <w:r>
        <w:rPr>
          <w:b/>
          <w:bCs/>
          <w:color w:val="000000"/>
          <w:highlight w:val="none"/>
        </w:rPr>
        <w:fldChar w:fldCharType="separate"/>
      </w:r>
      <w:r>
        <w:rPr>
          <w:b/>
          <w:bCs/>
          <w:color w:val="000000"/>
          <w:highlight w:val="none"/>
        </w:rPr>
        <w:t xml:space="preserve">22</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_Toc16369 </w:instrText>
      </w:r>
      <w:r>
        <w:rPr>
          <w:b/>
          <w:bCs/>
          <w:color w:val="000000"/>
          <w:highlight w:val="none"/>
        </w:rPr>
        <w:fldChar w:fldCharType="separate"/>
      </w:r>
      <w:r>
        <w:rPr>
          <w:rFonts w:hint="eastAsia" w:ascii="宋体" w:hAnsi="宋体" w:eastAsia="宋体" w:cs="宋体"/>
          <w:b/>
          <w:bCs/>
          <w:color w:val="000000"/>
          <w:szCs w:val="36"/>
          <w:highlight w:val="none"/>
          <w:lang w:eastAsia="zh-CN"/>
        </w:rPr>
        <w:t xml:space="preserve">第五章</w:t>
      </w:r>
      <w:r>
        <w:rPr>
          <w:rFonts w:hint="eastAsia" w:cs="宋体"/>
          <w:b/>
          <w:bCs/>
          <w:color w:val="000000"/>
          <w:szCs w:val="36"/>
          <w:highlight w:val="none"/>
          <w:lang w:val="en-US" w:eastAsia="zh-CN"/>
        </w:rPr>
        <w:t xml:space="preserve">  </w:t>
      </w:r>
      <w:r>
        <w:rPr>
          <w:rFonts w:hint="eastAsia" w:ascii="宋体" w:hAnsi="宋体" w:eastAsia="宋体" w:cs="宋体"/>
          <w:b/>
          <w:bCs/>
          <w:color w:val="000000"/>
          <w:szCs w:val="36"/>
          <w:highlight w:val="none"/>
          <w:lang w:eastAsia="zh-CN"/>
        </w:rPr>
        <w:t xml:space="preserve">合同条款及格式</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_Toc16369 \h </w:instrText>
      </w:r>
      <w:r>
        <w:rPr>
          <w:b/>
          <w:bCs/>
          <w:color w:val="000000"/>
          <w:highlight w:val="none"/>
        </w:rPr>
        <w:fldChar w:fldCharType="separate"/>
      </w:r>
      <w:r>
        <w:rPr>
          <w:b/>
          <w:bCs/>
          <w:color w:val="000000"/>
          <w:highlight w:val="none"/>
        </w:rPr>
        <w:t xml:space="preserve">32</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2800" w:leader="none"/>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_Toc31270 </w:instrText>
      </w:r>
      <w:r>
        <w:rPr>
          <w:b/>
          <w:bCs/>
          <w:color w:val="000000"/>
          <w:highlight w:val="none"/>
        </w:rPr>
        <w:fldChar w:fldCharType="separate"/>
      </w:r>
      <w:r>
        <w:rPr>
          <w:rFonts w:ascii="宋体" w:hAnsi="宋体" w:eastAsia="宋体"/>
          <w:b/>
          <w:bCs/>
          <w:color w:val="000000"/>
          <w:szCs w:val="44"/>
          <w:highlight w:val="none"/>
          <w:lang w:eastAsia="zh-CN"/>
        </w:rPr>
        <w:t xml:space="preserve">第六章</w:t>
      </w:r>
      <w:r>
        <w:rPr>
          <w:rFonts w:hint="eastAsia"/>
          <w:b/>
          <w:bCs/>
          <w:color w:val="000000"/>
          <w:szCs w:val="44"/>
          <w:highlight w:val="none"/>
          <w:lang w:val="en-US" w:eastAsia="zh-CN"/>
        </w:rPr>
        <w:t xml:space="preserve">  </w:t>
      </w:r>
      <w:r>
        <w:rPr>
          <w:rFonts w:ascii="宋体" w:hAnsi="宋体" w:eastAsia="宋体"/>
          <w:b/>
          <w:bCs/>
          <w:color w:val="000000"/>
          <w:szCs w:val="44"/>
          <w:highlight w:val="none"/>
          <w:lang w:eastAsia="zh-CN"/>
        </w:rPr>
        <w:t xml:space="preserve">响应文件格式</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_Toc31270 \h </w:instrText>
      </w:r>
      <w:r>
        <w:rPr>
          <w:b/>
          <w:bCs/>
          <w:color w:val="000000"/>
          <w:highlight w:val="none"/>
        </w:rPr>
        <w:fldChar w:fldCharType="separate"/>
      </w:r>
      <w:r>
        <w:rPr>
          <w:b/>
          <w:bCs/>
          <w:color w:val="000000"/>
          <w:highlight w:val="none"/>
        </w:rPr>
        <w:t xml:space="preserve">38</w:t>
      </w:r>
      <w:r>
        <w:rPr>
          <w:b/>
          <w:bCs/>
          <w:color w:val="000000"/>
          <w:highlight w:val="none"/>
        </w:rPr>
        <w:fldChar w:fldCharType="end"/>
      </w:r>
      <w:r>
        <w:rPr>
          <w:b/>
          <w:bCs/>
          <w:color w:val="000000"/>
          <w:highlight w:val="none"/>
        </w:rPr>
        <w:fldChar w:fldCharType="end"/>
      </w:r>
      <w:r>
        <w:rPr>
          <w:b/>
          <w:bCs/>
          <w:color w:val="000000"/>
          <w:highlight w:val="none"/>
        </w:rPr>
      </w:r>
      <w:r/>
    </w:p>
    <w:p>
      <w:pPr>
        <w:pStyle w:val="679"/>
        <w:rPr>
          <w:color w:val="000000"/>
          <w:highlight w:val="none"/>
        </w:rPr>
      </w:pPr>
      <w:r>
        <w:rPr>
          <w:b/>
          <w:bCs/>
          <w:color w:val="000000"/>
          <w:highlight w:val="none"/>
        </w:rPr>
        <w:fldChar w:fldCharType="end"/>
      </w:r>
      <w:r>
        <w:rPr>
          <w:color w:val="000000"/>
          <w:highlight w:val="none"/>
        </w:rPr>
      </w:r>
      <w:r/>
    </w:p>
    <w:p>
      <w:pPr>
        <w:pStyle w:val="679"/>
        <w:rPr>
          <w:color w:val="000000"/>
          <w:highlight w:val="none"/>
        </w:rPr>
      </w:pPr>
      <w:r>
        <w:rPr>
          <w:color w:val="000000"/>
          <w:highlight w:val="none"/>
        </w:rPr>
      </w:r>
      <w:r/>
    </w:p>
    <w:p>
      <w:pPr>
        <w:pStyle w:val="699"/>
        <w:ind w:left="0" w:firstLine="0"/>
        <w:tabs>
          <w:tab w:val="right" w:pos="8910" w:leader="dot"/>
        </w:tabs>
        <w:rPr>
          <w:color w:val="000000"/>
          <w:highlight w:val="none"/>
        </w:rPr>
      </w:pPr>
      <w:r>
        <w:rPr>
          <w:rFonts w:ascii="宋体" w:hAnsi="宋体" w:eastAsia="宋体" w:cs="黑体"/>
          <w:color w:val="000000"/>
          <w:sz w:val="36"/>
          <w:szCs w:val="36"/>
          <w:highlight w:val="none"/>
          <w:lang w:eastAsia="zh-CN"/>
        </w:rPr>
        <w:fldChar w:fldCharType="begin"/>
      </w:r>
      <w:r>
        <w:rPr>
          <w:rFonts w:ascii="宋体" w:hAnsi="宋体" w:eastAsia="宋体" w:cs="黑体"/>
          <w:color w:val="000000"/>
          <w:sz w:val="36"/>
          <w:szCs w:val="36"/>
          <w:highlight w:val="none"/>
          <w:lang w:eastAsia="zh-CN"/>
        </w:rPr>
        <w:instrText xml:space="preserve">TOC \o "1-3" \h \u </w:instrText>
      </w:r>
      <w:r>
        <w:rPr>
          <w:rFonts w:ascii="宋体" w:hAnsi="宋体" w:eastAsia="宋体" w:cs="黑体"/>
          <w:color w:val="000000"/>
          <w:sz w:val="36"/>
          <w:szCs w:val="36"/>
          <w:highlight w:val="none"/>
          <w:lang w:eastAsia="zh-CN"/>
        </w:rPr>
        <w:fldChar w:fldCharType="separate"/>
      </w:r>
      <w:r>
        <w:rPr>
          <w:color w:val="000000"/>
          <w:highlight w:val="none"/>
        </w:rPr>
      </w:r>
      <w:r/>
    </w:p>
    <w:p>
      <w:pPr>
        <w:pStyle w:val="711"/>
        <w:tabs>
          <w:tab w:val="right" w:pos="8910" w:leader="dot"/>
        </w:tabs>
        <w:rPr>
          <w:color w:val="000000"/>
          <w:highlight w:val="none"/>
        </w:rPr>
      </w:pPr>
      <w:r>
        <w:rPr>
          <w:color w:val="000000"/>
          <w:highlight w:val="none"/>
        </w:rPr>
      </w:r>
      <w:r/>
    </w:p>
    <w:p>
      <w:pPr>
        <w:pStyle w:val="679"/>
        <w:ind w:left="1572" w:right="1933"/>
        <w:jc w:val="center"/>
        <w:spacing w:line="360" w:lineRule="auto"/>
        <w:rPr>
          <w:rFonts w:ascii="宋体" w:hAnsi="宋体" w:eastAsia="宋体" w:cs="黑体"/>
          <w:color w:val="000000"/>
          <w:szCs w:val="36"/>
          <w:highlight w:val="none"/>
          <w:lang w:eastAsia="zh-CN"/>
        </w:rPr>
      </w:pPr>
      <w:r>
        <w:rPr>
          <w:rFonts w:ascii="宋体" w:hAnsi="宋体" w:eastAsia="宋体" w:cs="黑体"/>
          <w:color w:val="000000"/>
          <w:szCs w:val="36"/>
          <w:highlight w:val="none"/>
          <w:lang w:eastAsia="zh-CN"/>
        </w:rPr>
        <w:fldChar w:fldCharType="end"/>
      </w:r>
      <w:r>
        <w:rPr>
          <w:rFonts w:ascii="宋体" w:hAnsi="宋体" w:eastAsia="宋体" w:cs="黑体"/>
          <w:color w:val="000000"/>
          <w:szCs w:val="36"/>
          <w:highlight w:val="none"/>
          <w:lang w:eastAsia="zh-CN"/>
        </w:rPr>
      </w:r>
      <w:r/>
    </w:p>
    <w:p>
      <w:pPr>
        <w:pStyle w:val="679"/>
        <w:ind w:left="1572" w:right="1933"/>
        <w:jc w:val="center"/>
        <w:spacing w:line="360" w:lineRule="auto"/>
        <w:rPr>
          <w:rFonts w:ascii="宋体" w:hAnsi="宋体" w:eastAsia="宋体" w:cs="黑体"/>
          <w:color w:val="000000"/>
          <w:szCs w:val="36"/>
          <w:highlight w:val="none"/>
          <w:lang w:eastAsia="zh-CN"/>
        </w:rPr>
        <w:sectPr>
          <w:footnotePr/>
          <w:endnotePr/>
          <w:type w:val="nextPage"/>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Cs w:val="36"/>
          <w:highlight w:val="none"/>
          <w:lang w:eastAsia="zh-CN"/>
        </w:rPr>
      </w:r>
      <w:r/>
    </w:p>
    <w:p>
      <w:pPr>
        <w:pStyle w:val="680"/>
        <w:jc w:val="center"/>
        <w:spacing w:line="360" w:lineRule="auto"/>
        <w:rPr>
          <w:rFonts w:hint="eastAsia" w:ascii="宋体" w:hAnsi="宋体" w:eastAsia="宋体" w:cs="宋体"/>
          <w:b/>
          <w:bCs/>
          <w:color w:val="000000"/>
          <w:sz w:val="36"/>
          <w:szCs w:val="36"/>
          <w:highlight w:val="none"/>
          <w:lang w:eastAsia="zh-CN"/>
        </w:rPr>
      </w:pPr>
      <w:r/>
      <w:bookmarkStart w:id="4" w:name="_Toc17162"/>
      <w:r/>
      <w:bookmarkStart w:id="5" w:name="_Toc5205"/>
      <w:r>
        <w:rPr>
          <w:rFonts w:hint="eastAsia" w:ascii="宋体" w:hAnsi="宋体" w:eastAsia="宋体" w:cs="宋体"/>
          <w:b/>
          <w:bCs/>
          <w:color w:val="000000"/>
          <w:sz w:val="36"/>
          <w:szCs w:val="36"/>
          <w:highlight w:val="none"/>
          <w:lang w:eastAsia="zh-CN"/>
        </w:rPr>
        <w:t xml:space="preserve">第一章</w:t>
      </w:r>
      <w:r>
        <w:rPr>
          <w:rFonts w:hint="eastAsia" w:ascii="宋体" w:hAnsi="宋体" w:eastAsia="宋体" w:cs="宋体"/>
          <w:b/>
          <w:bCs/>
          <w:color w:val="000000"/>
          <w:sz w:val="36"/>
          <w:szCs w:val="36"/>
          <w:highlight w:val="none"/>
          <w:lang w:eastAsia="zh-CN"/>
        </w:rPr>
        <w:tab/>
      </w:r>
      <w:r>
        <w:rPr>
          <w:rFonts w:hint="eastAsia" w:ascii="宋体" w:hAnsi="宋体" w:eastAsia="宋体" w:cs="宋体"/>
          <w:b/>
          <w:bCs/>
          <w:color w:val="000000"/>
          <w:sz w:val="36"/>
          <w:szCs w:val="36"/>
          <w:highlight w:val="none"/>
          <w:lang w:eastAsia="zh-CN"/>
        </w:rPr>
        <w:t xml:space="preserve">竞争性磋商邀请</w:t>
      </w:r>
      <w:bookmarkEnd w:id="4"/>
      <w:r/>
      <w:bookmarkEnd w:id="5"/>
      <w:r>
        <w:rPr>
          <w:rFonts w:hint="eastAsia" w:ascii="宋体" w:hAnsi="宋体" w:eastAsia="宋体" w:cs="宋体"/>
          <w:b/>
          <w:bCs/>
          <w:color w:val="000000"/>
          <w:sz w:val="36"/>
          <w:szCs w:val="36"/>
          <w:highlight w:val="none"/>
          <w:lang w:eastAsia="zh-CN"/>
        </w:rPr>
      </w:r>
      <w:r/>
    </w:p>
    <w:p>
      <w:pPr>
        <w:pStyle w:val="679"/>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田径场塑胶跑道、人工草皮更新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07</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30</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09</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3</w:t>
      </w:r>
      <w:r>
        <w:rPr>
          <w:rFonts w:hint="eastAsia" w:ascii="宋体" w:hAnsi="宋体" w:eastAsia="宋体"/>
          <w:color w:val="000000"/>
          <w:sz w:val="21"/>
          <w:szCs w:val="21"/>
          <w:highlight w:val="none"/>
          <w:u w:val="single"/>
          <w:lang w:eastAsia="zh-CN"/>
        </w:rPr>
        <w:t xml:space="preserve">0分</w:t>
      </w:r>
      <w:r>
        <w:rPr>
          <w:rFonts w:hint="eastAsia" w:ascii="宋体" w:hAnsi="宋体" w:eastAsia="宋体"/>
          <w:color w:val="000000"/>
          <w:sz w:val="21"/>
          <w:szCs w:val="21"/>
          <w:highlight w:val="none"/>
          <w:u w:val="single"/>
          <w:lang w:eastAsia="zh-CN"/>
        </w:rPr>
        <w:t xml:space="preserve">（北京时间）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bookmarkStart w:id="6" w:name="_Toc35393798"/>
      <w:r/>
      <w:bookmarkStart w:id="7" w:name="_Toc35393629"/>
      <w:r/>
      <w:bookmarkStart w:id="8" w:name="_Toc28359089"/>
      <w:r/>
      <w:bookmarkStart w:id="9" w:name="_Toc28359012"/>
      <w:r>
        <w:rPr>
          <w:rFonts w:hint="eastAsia" w:eastAsia="宋体"/>
          <w:b/>
          <w:bCs/>
          <w:color w:val="000000"/>
          <w:sz w:val="21"/>
          <w:szCs w:val="21"/>
          <w:highlight w:val="none"/>
          <w:lang w:eastAsia="zh-CN"/>
        </w:rPr>
        <w:t xml:space="preserve">一、项目基本情况</w:t>
      </w:r>
      <w:bookmarkEnd w:id="6"/>
      <w:r/>
      <w:bookmarkEnd w:id="7"/>
      <w:r/>
      <w:bookmarkEnd w:id="8"/>
      <w:r/>
      <w:bookmarkEnd w:id="9"/>
      <w:r>
        <w:rPr>
          <w:rFonts w:eastAsia="宋体"/>
          <w:b/>
          <w:bCs/>
          <w:color w:val="000000"/>
          <w:sz w:val="21"/>
          <w:szCs w:val="21"/>
          <w:highlight w:val="none"/>
          <w:lang w:eastAsia="zh-CN"/>
        </w:rPr>
      </w:r>
      <w:r/>
    </w:p>
    <w:p>
      <w:pPr>
        <w:pStyle w:val="697"/>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项目编号：JSZC-320000-NJJC-C2026-0082 </w:t>
      </w:r>
      <w:r>
        <w:rPr>
          <w:rFonts w:hint="eastAsia"/>
          <w:bCs/>
          <w:color w:val="000000"/>
          <w:sz w:val="21"/>
          <w:szCs w:val="21"/>
          <w:highlight w:val="none"/>
          <w:lang w:eastAsia="zh-CN"/>
        </w:rPr>
      </w:r>
      <w:r/>
    </w:p>
    <w:p>
      <w:pPr>
        <w:pStyle w:val="697"/>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项目名称：田径场塑胶跑道、人工草皮更新 </w:t>
      </w:r>
      <w:r>
        <w:rPr>
          <w:rFonts w:hint="eastAsia"/>
          <w:bCs/>
          <w:color w:val="000000"/>
          <w:sz w:val="21"/>
          <w:szCs w:val="21"/>
          <w:highlight w:val="none"/>
          <w:lang w:eastAsia="zh-CN"/>
        </w:rPr>
      </w:r>
      <w:r/>
    </w:p>
    <w:p>
      <w:pPr>
        <w:pStyle w:val="697"/>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697"/>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372.616</w:t>
      </w:r>
      <w:r>
        <w:rPr>
          <w:rFonts w:hint="eastAsia"/>
          <w:color w:val="000000"/>
          <w:sz w:val="21"/>
          <w:szCs w:val="21"/>
          <w:highlight w:val="none"/>
          <w:lang w:eastAsia="zh-CN"/>
        </w:rPr>
        <w:t xml:space="preserve">万元</w:t>
      </w:r>
      <w:r>
        <w:rPr>
          <w:rFonts w:hint="eastAsia"/>
          <w:color w:val="000000"/>
          <w:sz w:val="21"/>
          <w:szCs w:val="21"/>
          <w:highlight w:val="none"/>
          <w:lang w:eastAsia="zh-CN"/>
        </w:rPr>
      </w:r>
      <w:r/>
    </w:p>
    <w:p>
      <w:pPr>
        <w:pStyle w:val="697"/>
        <w:spacing w:line="360" w:lineRule="auto"/>
        <w:rPr>
          <w:rFonts w:hint="eastAsia"/>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最高限价：366.477583</w:t>
      </w:r>
      <w:r>
        <w:rPr>
          <w:rFonts w:hint="eastAsia"/>
          <w:color w:val="000000"/>
          <w:sz w:val="21"/>
          <w:szCs w:val="21"/>
          <w:highlight w:val="none"/>
          <w:lang w:eastAsia="zh-CN"/>
        </w:rPr>
        <w:t xml:space="preserve">万元，超过最高限价的投标文件为无效投标。</w:t>
      </w:r>
      <w:r>
        <w:rPr>
          <w:rFonts w:hint="eastAsia"/>
          <w:color w:val="000000"/>
          <w:sz w:val="21"/>
          <w:szCs w:val="21"/>
          <w:highlight w:val="none"/>
          <w:lang w:eastAsia="zh-CN"/>
        </w:rPr>
      </w:r>
      <w:r/>
    </w:p>
    <w:p>
      <w:pPr>
        <w:pStyle w:val="697"/>
        <w:spacing w:line="360" w:lineRule="auto"/>
        <w:rPr>
          <w:rFonts w:hint="eastAsia" w:ascii="宋体" w:hAnsi="宋体" w:eastAsia="宋体" w:cs="宋体"/>
          <w:color w:val="000000"/>
          <w:sz w:val="21"/>
          <w:szCs w:val="21"/>
          <w:highlight w:val="none"/>
          <w:lang w:val="en-US" w:eastAsia="zh-CN" w:bidi="ar-SA"/>
        </w:rPr>
      </w:pPr>
      <w:r>
        <w:rPr>
          <w:rFonts w:hint="eastAsia"/>
          <w:color w:val="000000"/>
          <w:sz w:val="21"/>
          <w:szCs w:val="21"/>
          <w:highlight w:val="none"/>
          <w:lang w:val="en-US" w:eastAsia="zh-CN"/>
        </w:rPr>
        <w:t xml:space="preserve">采购需求：</w:t>
      </w:r>
      <w:r>
        <w:rPr>
          <w:rFonts w:hint="eastAsia" w:ascii="宋体" w:hAnsi="宋体" w:eastAsia="宋体" w:cs="宋体"/>
          <w:color w:val="000000"/>
          <w:sz w:val="21"/>
          <w:szCs w:val="21"/>
          <w:highlight w:val="none"/>
          <w:lang w:val="en-US" w:eastAsia="zh-CN" w:bidi="ar-SA"/>
        </w:rPr>
        <w:t xml:space="preserve">主要包含塑胶跑道翻新，排水沟盖板更换等，具体内容详见工程量清单。</w:t>
      </w:r>
      <w:r>
        <w:rPr>
          <w:rFonts w:hint="eastAsia" w:ascii="宋体" w:hAnsi="宋体" w:eastAsia="宋体" w:cs="宋体"/>
          <w:color w:val="000000"/>
          <w:sz w:val="21"/>
          <w:szCs w:val="21"/>
          <w:highlight w:val="none"/>
          <w:lang w:val="en-US" w:eastAsia="zh-CN" w:bidi="ar-SA"/>
        </w:rPr>
      </w:r>
      <w:r/>
    </w:p>
    <w:p>
      <w:pPr>
        <w:pStyle w:val="697"/>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工期：30个日历天</w:t>
      </w:r>
      <w:r>
        <w:rPr>
          <w:rFonts w:hint="eastAsia" w:ascii="宋体" w:hAnsi="宋体" w:eastAsia="宋体" w:cs="宋体"/>
          <w:color w:val="000000"/>
          <w:sz w:val="21"/>
          <w:szCs w:val="21"/>
          <w:highlight w:val="none"/>
          <w:lang w:val="en-US" w:eastAsia="zh-CN" w:bidi="ar-SA"/>
        </w:rPr>
      </w:r>
      <w:r/>
    </w:p>
    <w:p>
      <w:pPr>
        <w:pStyle w:val="733"/>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733"/>
        <w:ind w:firstLine="105"/>
        <w:spacing w:line="360" w:lineRule="auto"/>
        <w:rPr>
          <w:rFonts w:eastAsia="宋体"/>
          <w:bCs/>
          <w:color w:val="000000"/>
          <w:sz w:val="21"/>
          <w:szCs w:val="21"/>
          <w:highlight w:val="none"/>
          <w:lang w:val="en-US" w:eastAsia="zh-CN"/>
        </w:rPr>
      </w:pPr>
      <w:r>
        <w:rPr>
          <w:rFonts w:hint="eastAsia" w:eastAsia="宋体"/>
          <w:b/>
          <w:bCs w:val="0"/>
          <w:color w:val="000000"/>
          <w:sz w:val="21"/>
          <w:szCs w:val="21"/>
          <w:highlight w:val="none"/>
          <w:lang w:eastAsia="zh-CN"/>
        </w:rPr>
        <w:t xml:space="preserve">本项目所属行业</w:t>
      </w:r>
      <w:r>
        <w:rPr>
          <w:rFonts w:hint="eastAsia" w:eastAsia="宋体"/>
          <w:bCs/>
          <w:color w:val="000000"/>
          <w:sz w:val="21"/>
          <w:szCs w:val="21"/>
          <w:highlight w:val="none"/>
          <w:lang w:eastAsia="zh-CN"/>
        </w:rPr>
        <w:t xml:space="preserve">：</w:t>
      </w:r>
      <w:r>
        <w:rPr>
          <w:rFonts w:hint="eastAsia" w:ascii="宋体" w:hAnsi="宋体" w:eastAsia="宋体" w:cs="Times New Roman"/>
          <w:b/>
          <w:bCs w:val="0"/>
          <w:color w:val="000000"/>
          <w:sz w:val="21"/>
          <w:szCs w:val="21"/>
          <w:highlight w:val="none"/>
          <w:lang w:val="en-US" w:eastAsia="zh-CN"/>
        </w:rPr>
        <w:t xml:space="preserve">建筑业</w:t>
      </w:r>
      <w:r>
        <w:rPr>
          <w:rFonts w:eastAsia="宋体"/>
          <w:bCs/>
          <w:color w:val="000000"/>
          <w:sz w:val="21"/>
          <w:szCs w:val="21"/>
          <w:highlight w:val="none"/>
          <w:lang w:val="en-US" w:eastAsia="zh-CN"/>
        </w:rPr>
      </w:r>
      <w:r/>
    </w:p>
    <w:p>
      <w:pPr>
        <w:pStyle w:val="733"/>
        <w:ind w:firstLine="0"/>
        <w:spacing w:line="360" w:lineRule="auto"/>
        <w:rPr>
          <w:rFonts w:eastAsia="宋体"/>
          <w:b/>
          <w:bCs/>
          <w:color w:val="000000"/>
          <w:sz w:val="21"/>
          <w:szCs w:val="21"/>
          <w:highlight w:val="none"/>
          <w:lang w:eastAsia="zh-CN"/>
        </w:rPr>
      </w:pPr>
      <w:r/>
      <w:bookmarkStart w:id="10" w:name="_Toc35393791"/>
      <w:r/>
      <w:bookmarkStart w:id="11" w:name="_Toc35393622"/>
      <w:r/>
      <w:bookmarkStart w:id="12" w:name="_Toc28359003"/>
      <w:r/>
      <w:bookmarkStart w:id="13" w:name="_Toc28359080"/>
      <w:r>
        <w:rPr>
          <w:rFonts w:hint="eastAsia" w:eastAsia="宋体"/>
          <w:b/>
          <w:bCs/>
          <w:color w:val="000000"/>
          <w:sz w:val="21"/>
          <w:szCs w:val="21"/>
          <w:highlight w:val="none"/>
          <w:lang w:eastAsia="zh-CN"/>
        </w:rPr>
        <w:t xml:space="preserve">二、申请人的资格要求 ：</w:t>
      </w:r>
      <w:bookmarkEnd w:id="10"/>
      <w:r/>
      <w:bookmarkEnd w:id="11"/>
      <w:r/>
      <w:bookmarkEnd w:id="12"/>
      <w:r/>
      <w:bookmarkEnd w:id="13"/>
      <w:r>
        <w:rPr>
          <w:rFonts w:eastAsia="宋体"/>
          <w:b/>
          <w:bCs/>
          <w:color w:val="000000"/>
          <w:sz w:val="21"/>
          <w:szCs w:val="21"/>
          <w:highlight w:val="none"/>
          <w:lang w:eastAsia="zh-CN"/>
        </w:rPr>
      </w:r>
      <w:r/>
    </w:p>
    <w:p>
      <w:pPr>
        <w:pStyle w:val="73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bookmarkStart w:id="14" w:name="_Toc28359081"/>
      <w:r/>
      <w:bookmarkStart w:id="15" w:name="_Toc28359004"/>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提供参加本次政府采购活动前半年内任意一个月（2026年1月以来）的财务报表（包含资产负债表、现金流量表、利润表）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695"/>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r>
        <w:rPr>
          <w:rFonts w:hint="eastAsia" w:eastAsia="宋体"/>
          <w:b/>
          <w:bCs/>
          <w:color w:val="000000"/>
          <w:sz w:val="21"/>
          <w:szCs w:val="21"/>
          <w:highlight w:val="none"/>
          <w:lang w:eastAsia="zh-CN"/>
        </w:rPr>
        <w:t xml:space="preserve"> </w:t>
      </w:r>
      <w:r>
        <w:rPr>
          <w:rFonts w:hint="eastAsia" w:eastAsia="宋体"/>
          <w:bCs/>
          <w:color w:val="000000"/>
          <w:sz w:val="21"/>
          <w:szCs w:val="21"/>
          <w:highlight w:val="none"/>
          <w:lang w:eastAsia="zh-CN"/>
        </w:rPr>
        <w:t xml:space="preserve">：</w:t>
      </w:r>
      <w:bookmarkStart w:id="16" w:name="_Toc35393623"/>
      <w:r/>
      <w:bookmarkStart w:id="17" w:name="_Toc35393792"/>
      <w:r>
        <w:rPr>
          <w:rFonts w:hint="eastAsia" w:eastAsia="宋体"/>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供应商资质等级及范围：具有建筑工程施工总承包三级(含)以上资质或施工总承包市政公用工程三级(含)以上和有效期内的安全生产许可证（提供有效的资质证书、安全生产许可证加盖公章） </w:t>
      </w:r>
      <w:r>
        <w:rPr>
          <w:rFonts w:hint="eastAsia" w:eastAsia="宋体"/>
          <w:b/>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4"/>
      <w:r/>
      <w:bookmarkEnd w:id="15"/>
      <w:r/>
      <w:bookmarkEnd w:id="16"/>
      <w:r/>
      <w:bookmarkEnd w:id="17"/>
      <w:r>
        <w:rPr>
          <w:rFonts w:eastAsia="宋体"/>
          <w:b/>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bookmarkStart w:id="18" w:name="_Toc35393632"/>
      <w:r/>
      <w:bookmarkStart w:id="19" w:name="_Toc35393801"/>
      <w:r/>
      <w:bookmarkStart w:id="20" w:name="_Toc28359092"/>
      <w:r/>
      <w:bookmarkStart w:id="21" w:name="_Toc28359015"/>
      <w:r/>
      <w:bookmarkStart w:id="22" w:name="_Toc35393626"/>
      <w:r/>
      <w:bookmarkStart w:id="23" w:name="_Toc35393795"/>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8"/>
      <w:r/>
      <w:bookmarkEnd w:id="19"/>
      <w:r/>
      <w:bookmarkEnd w:id="20"/>
      <w:r/>
      <w:bookmarkEnd w:id="21"/>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w:t>
      </w:r>
      <w:r>
        <w:rPr>
          <w:rFonts w:hint="eastAsia" w:eastAsia="宋体"/>
          <w:bCs/>
          <w:color w:val="000000"/>
          <w:sz w:val="21"/>
          <w:szCs w:val="21"/>
          <w:highlight w:val="none"/>
          <w:lang w:eastAsia="zh-CN"/>
        </w:rPr>
        <w:t xml:space="preserve">2026年07月 3</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日09点30分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73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bookmarkStart w:id="24" w:name="_Toc35393802"/>
      <w:r/>
      <w:bookmarkStart w:id="25" w:name="_Toc28359016"/>
      <w:r/>
      <w:bookmarkStart w:id="26" w:name="_Toc35393633"/>
      <w:r/>
      <w:bookmarkStart w:id="27" w:name="_Toc28359093"/>
      <w:r>
        <w:rPr>
          <w:rFonts w:hint="eastAsia" w:eastAsia="宋体"/>
          <w:b/>
          <w:bCs/>
          <w:color w:val="000000"/>
          <w:sz w:val="21"/>
          <w:szCs w:val="21"/>
          <w:highlight w:val="none"/>
          <w:lang w:eastAsia="zh-CN"/>
        </w:rPr>
        <w:t xml:space="preserve">五、开启</w:t>
      </w:r>
      <w:bookmarkEnd w:id="24"/>
      <w:r/>
      <w:bookmarkEnd w:id="25"/>
      <w:r/>
      <w:bookmarkEnd w:id="26"/>
      <w:r/>
      <w:bookmarkEnd w:id="27"/>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2026年07月 </w:t>
      </w:r>
      <w:r>
        <w:rPr>
          <w:rFonts w:hint="eastAsia" w:eastAsia="宋体"/>
          <w:bCs/>
          <w:color w:val="000000"/>
          <w:sz w:val="21"/>
          <w:szCs w:val="21"/>
          <w:highlight w:val="none"/>
          <w:lang w:val="en-US" w:eastAsia="zh-CN"/>
        </w:rPr>
        <w:t xml:space="preserve">30</w:t>
      </w:r>
      <w:r>
        <w:rPr>
          <w:rFonts w:hint="eastAsia" w:eastAsia="宋体"/>
          <w:bCs/>
          <w:color w:val="000000"/>
          <w:sz w:val="21"/>
          <w:szCs w:val="21"/>
          <w:highlight w:val="none"/>
          <w:lang w:eastAsia="zh-CN"/>
        </w:rPr>
        <w:t xml:space="preserve">日09点30分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733"/>
        <w:ind w:firstLine="0"/>
        <w:spacing w:line="360" w:lineRule="auto"/>
        <w:rPr>
          <w:rFonts w:hint="eastAsia" w:eastAsia="宋体"/>
          <w:bCs/>
          <w:color w:val="000000"/>
          <w:sz w:val="21"/>
          <w:szCs w:val="21"/>
          <w:highlight w:val="none"/>
          <w:lang w:eastAsia="zh-CN"/>
        </w:rPr>
      </w:pPr>
      <w:r/>
      <w:bookmarkStart w:id="28" w:name="_Toc35393634"/>
      <w:r/>
      <w:bookmarkStart w:id="29" w:name="_Toc35393803"/>
      <w:r/>
      <w:bookmarkStart w:id="30" w:name="_Toc28359094"/>
      <w:r/>
      <w:bookmarkStart w:id="31" w:name="_Toc28359017"/>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8"/>
      <w:r/>
      <w:bookmarkEnd w:id="29"/>
      <w:r/>
      <w:bookmarkEnd w:id="30"/>
      <w:r/>
      <w:bookmarkEnd w:id="31"/>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22"/>
      <w:r/>
      <w:bookmarkEnd w:id="23"/>
      <w:r/>
      <w:bookmarkStart w:id="32" w:name="_Toc28359008"/>
      <w:r/>
      <w:bookmarkStart w:id="33" w:name="_Toc35393796"/>
      <w:r/>
      <w:bookmarkStart w:id="34" w:name="_Toc35393627"/>
      <w:r/>
      <w:bookmarkStart w:id="35" w:name="_Toc28359085"/>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733"/>
        <w:ind w:firstLine="420"/>
        <w:spacing w:line="360" w:lineRule="auto"/>
        <w:rPr>
          <w:rFonts w:eastAsia="宋体"/>
          <w:bCs/>
          <w:color w:val="000000"/>
          <w:sz w:val="21"/>
          <w:szCs w:val="21"/>
          <w:highlight w:val="none"/>
          <w:lang w:eastAsia="zh-CN"/>
        </w:rPr>
      </w:pPr>
      <w:r/>
      <w:bookmarkStart w:id="36"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本次项目各供应商自愿按规定时间至现场勘查现有情况，供应商代表携带营业执照复印件（加盖单位公章）、法定代表人授权委托书（加盖单位公章）参加集中考察或答疑。现场勘察签到开始时间：2026年</w:t>
      </w:r>
      <w:r>
        <w:rPr>
          <w:rFonts w:hint="eastAsia" w:eastAsia="宋体" w:cs="宋体"/>
          <w:bCs/>
          <w:color w:val="000000"/>
          <w:sz w:val="21"/>
          <w:szCs w:val="21"/>
          <w:highlight w:val="none"/>
          <w:lang w:val="en-US" w:eastAsia="zh-CN"/>
        </w:rPr>
        <w:t xml:space="preserve">0</w:t>
      </w:r>
      <w:r>
        <w:rPr>
          <w:rFonts w:hint="eastAsia" w:eastAsia="宋体" w:cs="宋体"/>
          <w:bCs/>
          <w:color w:val="000000"/>
          <w:sz w:val="21"/>
          <w:szCs w:val="21"/>
          <w:highlight w:val="none"/>
          <w:lang w:val="en-US" w:eastAsia="zh-CN"/>
        </w:rPr>
        <w:t xml:space="preserve">7</w:t>
      </w:r>
      <w:r>
        <w:rPr>
          <w:rFonts w:hint="eastAsia" w:eastAsia="宋体" w:cs="宋体"/>
          <w:bCs/>
          <w:color w:val="000000"/>
          <w:sz w:val="21"/>
          <w:szCs w:val="21"/>
          <w:highlight w:val="none"/>
          <w:lang w:eastAsia="zh-CN"/>
        </w:rPr>
        <w:t xml:space="preserve">月</w:t>
      </w:r>
      <w:r>
        <w:rPr>
          <w:rFonts w:hint="eastAsia" w:eastAsia="宋体" w:cs="宋体"/>
          <w:bCs/>
          <w:color w:val="000000"/>
          <w:sz w:val="21"/>
          <w:szCs w:val="21"/>
          <w:highlight w:val="none"/>
          <w:lang w:val="en-US" w:eastAsia="zh-CN"/>
        </w:rPr>
        <w:t xml:space="preserve">2</w:t>
      </w:r>
      <w:r>
        <w:rPr>
          <w:rFonts w:hint="eastAsia" w:eastAsia="宋体" w:cs="宋体"/>
          <w:bCs/>
          <w:color w:val="000000"/>
          <w:sz w:val="21"/>
          <w:szCs w:val="21"/>
          <w:highlight w:val="none"/>
          <w:lang w:val="en-US" w:eastAsia="zh-CN"/>
        </w:rPr>
        <w:t xml:space="preserve">1</w:t>
      </w:r>
      <w:r>
        <w:rPr>
          <w:rFonts w:hint="eastAsia" w:eastAsia="宋体" w:cs="宋体"/>
          <w:bCs/>
          <w:color w:val="000000"/>
          <w:sz w:val="21"/>
          <w:szCs w:val="21"/>
          <w:highlight w:val="none"/>
          <w:lang w:eastAsia="zh-CN"/>
        </w:rPr>
        <w:t xml:space="preserve">日09点 30分，签到截止时间：</w:t>
      </w:r>
      <w:r>
        <w:rPr>
          <w:rFonts w:hint="eastAsia" w:eastAsia="宋体" w:cs="宋体"/>
          <w:bCs/>
          <w:color w:val="000000"/>
          <w:sz w:val="21"/>
          <w:szCs w:val="21"/>
          <w:highlight w:val="none"/>
          <w:lang w:eastAsia="zh-CN"/>
        </w:rPr>
        <w:t xml:space="preserve">2026年</w:t>
      </w:r>
      <w:r>
        <w:rPr>
          <w:rFonts w:hint="eastAsia" w:eastAsia="宋体" w:cs="宋体"/>
          <w:bCs/>
          <w:color w:val="000000"/>
          <w:sz w:val="21"/>
          <w:szCs w:val="21"/>
          <w:highlight w:val="none"/>
          <w:lang w:val="en-US" w:eastAsia="zh-CN"/>
        </w:rPr>
        <w:t xml:space="preserve">07</w:t>
      </w:r>
      <w:r>
        <w:rPr>
          <w:rFonts w:hint="eastAsia" w:eastAsia="宋体" w:cs="宋体"/>
          <w:bCs/>
          <w:color w:val="000000"/>
          <w:sz w:val="21"/>
          <w:szCs w:val="21"/>
          <w:highlight w:val="none"/>
          <w:lang w:eastAsia="zh-CN"/>
        </w:rPr>
        <w:t xml:space="preserve">月</w:t>
      </w:r>
      <w:r>
        <w:rPr>
          <w:rFonts w:hint="eastAsia" w:eastAsia="宋体" w:cs="宋体"/>
          <w:bCs/>
          <w:color w:val="000000"/>
          <w:sz w:val="21"/>
          <w:szCs w:val="21"/>
          <w:highlight w:val="none"/>
          <w:lang w:val="en-US" w:eastAsia="zh-CN"/>
        </w:rPr>
        <w:t xml:space="preserve">21</w:t>
      </w:r>
      <w:r>
        <w:rPr>
          <w:rFonts w:hint="eastAsia" w:eastAsia="宋体" w:cs="宋体"/>
          <w:bCs/>
          <w:color w:val="000000"/>
          <w:sz w:val="21"/>
          <w:szCs w:val="21"/>
          <w:highlight w:val="none"/>
          <w:lang w:eastAsia="zh-CN"/>
        </w:rPr>
        <w:t xml:space="preserve">日</w:t>
      </w:r>
      <w:r>
        <w:rPr>
          <w:rFonts w:hint="eastAsia" w:eastAsia="宋体" w:cs="宋体"/>
          <w:bCs/>
          <w:color w:val="000000"/>
          <w:sz w:val="21"/>
          <w:szCs w:val="21"/>
          <w:highlight w:val="none"/>
          <w:lang w:val="en-US" w:eastAsia="zh-CN"/>
        </w:rPr>
        <w:t xml:space="preserve">10</w:t>
      </w:r>
      <w:r>
        <w:rPr>
          <w:rFonts w:hint="eastAsia" w:eastAsia="宋体" w:cs="宋体"/>
          <w:bCs/>
          <w:color w:val="000000"/>
          <w:sz w:val="21"/>
          <w:szCs w:val="21"/>
          <w:highlight w:val="none"/>
          <w:lang w:eastAsia="zh-CN"/>
        </w:rPr>
        <w:t xml:space="preserve">点 30分，地点：</w:t>
      </w:r>
      <w:r>
        <w:rPr>
          <w:rFonts w:hint="eastAsia" w:eastAsia="宋体" w:cs="宋体"/>
          <w:bCs/>
          <w:color w:val="000000"/>
          <w:sz w:val="21"/>
          <w:szCs w:val="21"/>
          <w:highlight w:val="none"/>
          <w:lang w:val="en-US" w:eastAsia="zh-CN"/>
        </w:rPr>
        <w:t xml:space="preserve"> 江苏海事职业技术学院学生公寓（</w:t>
      </w:r>
      <w:r>
        <w:rPr>
          <w:rFonts w:hint="eastAsia" w:eastAsia="宋体" w:cs="宋体"/>
          <w:bCs/>
          <w:color w:val="000000"/>
          <w:sz w:val="21"/>
          <w:szCs w:val="21"/>
          <w:highlight w:val="none"/>
          <w:lang w:val="en-US" w:eastAsia="zh-CN"/>
        </w:rPr>
        <w:t xml:space="preserve">入校需申请，请提前联系学校老师</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，联系人：唐鹏</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，联系电话：15335169081</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 每家供应商只允许派1名代表参加集中答疑。现场由工作人员带领沿指定线路踏勘。因为不可抗力无法踏勘现场或者取消踏勘，采购人不负任何责任。              </w:t>
      </w:r>
      <w:r>
        <w:rPr>
          <w:rFonts w:eastAsia="宋体"/>
          <w:bCs/>
          <w:color w:val="000000"/>
          <w:sz w:val="21"/>
          <w:szCs w:val="21"/>
          <w:highlight w:val="none"/>
          <w:lang w:eastAsia="zh-CN"/>
        </w:rPr>
      </w:r>
      <w:r/>
    </w:p>
    <w:p>
      <w:pPr>
        <w:pStyle w:val="733"/>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733"/>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中标后不允许转包、分包本工程。</w:t>
      </w:r>
      <w:r>
        <w:rPr>
          <w:rFonts w:hint="eastAsia" w:eastAsia="宋体" w:cs="宋体"/>
          <w:bCs/>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bookmarkEnd w:id="36"/>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32"/>
      <w:r/>
      <w:bookmarkEnd w:id="33"/>
      <w:r/>
      <w:bookmarkEnd w:id="34"/>
      <w:r/>
      <w:bookmarkEnd w:id="35"/>
      <w:r>
        <w:rPr>
          <w:rFonts w:eastAsia="宋体"/>
          <w:b/>
          <w:bCs/>
          <w:color w:val="000000"/>
          <w:sz w:val="21"/>
          <w:szCs w:val="21"/>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称：江苏海事职业技术学院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地址：南京市江宁区格致路309号</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陈</w:t>
      </w:r>
      <w:r>
        <w:rPr>
          <w:rFonts w:hint="eastAsia" w:eastAsia="宋体" w:cs="宋体"/>
          <w:bCs/>
          <w:color w:val="000000"/>
          <w:sz w:val="21"/>
          <w:szCs w:val="22"/>
          <w:highlight w:val="none"/>
          <w:lang w:eastAsia="zh-CN"/>
        </w:rPr>
        <w:t xml:space="preserve">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w:t>
      </w:r>
      <w:r>
        <w:rPr>
          <w:rFonts w:hint="eastAsia" w:eastAsia="宋体" w:cs="宋体"/>
          <w:bCs/>
          <w:color w:val="000000"/>
          <w:sz w:val="21"/>
          <w:szCs w:val="22"/>
          <w:highlight w:val="none"/>
          <w:lang w:val="en-US" w:eastAsia="zh-CN"/>
        </w:rPr>
        <w:t xml:space="preserve">业务</w:t>
      </w:r>
      <w:r>
        <w:rPr>
          <w:rFonts w:hint="eastAsia" w:eastAsia="宋体" w:cs="宋体"/>
          <w:bCs/>
          <w:color w:val="000000"/>
          <w:sz w:val="21"/>
          <w:szCs w:val="22"/>
          <w:highlight w:val="none"/>
          <w:lang w:val="en-US" w:eastAsia="zh-CN"/>
        </w:rPr>
        <w:t xml:space="preserve">咨询）</w:t>
      </w:r>
      <w:r>
        <w:rPr>
          <w:rFonts w:eastAsia="宋体"/>
          <w:bCs/>
          <w:color w:val="000000"/>
          <w:sz w:val="21"/>
          <w:szCs w:val="22"/>
          <w:highlight w:val="none"/>
          <w:lang w:val="en-US"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15380780998</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733"/>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color w:val="000000"/>
          <w:highlight w:val="none"/>
          <w:lang w:eastAsia="zh-CN"/>
        </w:rPr>
      </w:r>
      <w:r/>
    </w:p>
    <w:p>
      <w:pPr>
        <w:pStyle w:val="680"/>
        <w:jc w:val="center"/>
        <w:rPr>
          <w:color w:val="000000"/>
          <w:highlight w:val="none"/>
          <w:lang w:eastAsia="zh-CN"/>
        </w:rPr>
      </w:pPr>
      <w:r>
        <w:rPr>
          <w:rFonts w:hint="eastAsia" w:eastAsia="宋体"/>
          <w:color w:val="000000"/>
          <w:highlight w:val="none"/>
          <w:lang w:eastAsia="zh-CN"/>
        </w:rPr>
        <w:br w:type="page" w:clear="all"/>
      </w:r>
      <w:bookmarkStart w:id="37" w:name="_bookmark1"/>
      <w:r/>
      <w:bookmarkEnd w:id="37"/>
      <w:r/>
      <w:bookmarkStart w:id="38" w:name="_Toc12782"/>
      <w:r/>
      <w:bookmarkStart w:id="39" w:name="_Toc4209"/>
      <w:r>
        <w:rPr>
          <w:rFonts w:hint="eastAsia"/>
          <w:color w:val="000000"/>
          <w:highlight w:val="none"/>
          <w:lang w:val="en-US" w:eastAsia="zh-CN"/>
        </w:rPr>
        <w:t xml:space="preserve">第二章 竞争性磋商</w:t>
      </w:r>
      <w:r>
        <w:rPr>
          <w:color w:val="000000"/>
          <w:highlight w:val="none"/>
          <w:lang w:eastAsia="zh-CN"/>
        </w:rPr>
        <w:t xml:space="preserve">须知</w:t>
      </w:r>
      <w:bookmarkEnd w:id="38"/>
      <w:r/>
      <w:bookmarkEnd w:id="39"/>
      <w:r/>
      <w:bookmarkStart w:id="40" w:name="一、总    则"/>
      <w:r/>
      <w:bookmarkEnd w:id="40"/>
      <w:r/>
      <w:bookmarkStart w:id="41" w:name="_bookmark2"/>
      <w:r/>
      <w:bookmarkEnd w:id="41"/>
      <w:r>
        <w:rPr>
          <w:color w:val="000000"/>
          <w:highlight w:val="none"/>
          <w:lang w:eastAsia="zh-CN"/>
        </w:rPr>
      </w:r>
      <w:r/>
    </w:p>
    <w:p>
      <w:pPr>
        <w:pStyle w:val="679"/>
        <w:jc w:val="center"/>
        <w:spacing w:before="11" w:line="360" w:lineRule="auto"/>
        <w:rPr>
          <w:rFonts w:hint="eastAsia" w:ascii="宋体" w:hAnsi="宋体" w:eastAsia="宋体" w:cs="宋体"/>
          <w:b/>
          <w:bCs/>
          <w:color w:val="000000"/>
          <w:sz w:val="25"/>
          <w:szCs w:val="25"/>
          <w:highlight w:val="none"/>
          <w:u w:val="none"/>
          <w:lang w:eastAsia="zh-CN"/>
        </w:rPr>
      </w:pPr>
      <w:r>
        <w:rPr>
          <w:rFonts w:hint="eastAsia" w:ascii="宋体" w:hAnsi="宋体" w:eastAsia="宋体" w:cs="宋体"/>
          <w:b/>
          <w:bCs/>
          <w:color w:val="000000"/>
          <w:sz w:val="25"/>
          <w:szCs w:val="25"/>
          <w:highlight w:val="none"/>
          <w:u w:val="none"/>
          <w:lang w:eastAsia="zh-CN"/>
        </w:rPr>
        <w:t xml:space="preserve"> </w:t>
      </w:r>
      <w:r>
        <w:rPr>
          <w:rFonts w:hint="eastAsia" w:ascii="宋体" w:hAnsi="宋体" w:eastAsia="宋体" w:cs="宋体"/>
          <w:b/>
          <w:bCs/>
          <w:color w:val="000000"/>
          <w:sz w:val="25"/>
          <w:szCs w:val="25"/>
          <w:highlight w:val="none"/>
          <w:u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679"/>
              <w:jc w:val="center"/>
              <w:spacing w:line="360" w:lineRule="auto"/>
              <w:widowControl w:val="off"/>
              <w:rPr>
                <w:rFonts w:hint="eastAsia" w:ascii="宋体" w:hAnsi="宋体" w:cs="宋体"/>
                <w:b/>
                <w:color w:val="000000"/>
                <w:sz w:val="22"/>
                <w:szCs w:val="22"/>
                <w:highlight w:val="none"/>
                <w:lang w:eastAsia="zh-CN"/>
              </w:rPr>
            </w:pPr>
            <w:r/>
            <w:bookmarkStart w:id="42" w:name="一、总____则"/>
            <w:r/>
            <w:bookmarkEnd w:id="42"/>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679"/>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679"/>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称：江苏海事职业技术学院</w:t>
            </w:r>
            <w:r>
              <w:rPr>
                <w:rFonts w:hint="eastAsia" w:ascii="Times New Roman" w:hAnsi="Times New Roman" w:eastAsia="宋体" w:cs="宋体"/>
                <w:bCs/>
                <w:color w:val="000000"/>
                <w:sz w:val="22"/>
                <w:szCs w:val="22"/>
                <w:highlight w:val="none"/>
                <w:lang w:eastAsia="zh-CN"/>
              </w:rPr>
            </w:r>
            <w:r/>
          </w:p>
          <w:p>
            <w:pPr>
              <w:pStyle w:val="679"/>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南京市江宁区格致路309号</w:t>
            </w:r>
            <w:r>
              <w:rPr>
                <w:rFonts w:hint="eastAsia" w:ascii="Times New Roman" w:hAnsi="Times New Roman" w:eastAsia="宋体" w:cs="宋体"/>
                <w:bCs/>
                <w:color w:val="000000"/>
                <w:sz w:val="22"/>
                <w:szCs w:val="22"/>
                <w:highlight w:val="none"/>
                <w:lang w:eastAsia="zh-CN"/>
              </w:rPr>
            </w:r>
            <w:r/>
          </w:p>
          <w:p>
            <w:pPr>
              <w:pStyle w:val="679"/>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陈</w:t>
            </w:r>
            <w:r>
              <w:rPr>
                <w:rFonts w:hint="eastAsia" w:eastAsia="宋体" w:cs="宋体"/>
                <w:bCs/>
                <w:color w:val="000000"/>
                <w:sz w:val="21"/>
                <w:szCs w:val="22"/>
                <w:highlight w:val="none"/>
                <w:lang w:eastAsia="zh-CN"/>
              </w:rPr>
              <w:t xml:space="preserve">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陈老师（招标业务咨询）</w:t>
            </w:r>
            <w:r>
              <w:rPr>
                <w:rFonts w:ascii="Times New Roman" w:hAnsi="Times New Roman" w:eastAsia="宋体" w:cs="宋体"/>
                <w:bCs/>
                <w:color w:val="000000"/>
                <w:sz w:val="22"/>
                <w:szCs w:val="22"/>
                <w:highlight w:val="none"/>
                <w:lang w:val="en-US" w:eastAsia="zh-CN"/>
              </w:rPr>
            </w:r>
            <w:r/>
          </w:p>
          <w:p>
            <w:pPr>
              <w:pStyle w:val="679"/>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eastAsia="宋体"/>
                <w:color w:val="000000"/>
                <w:sz w:val="21"/>
                <w:szCs w:val="21"/>
                <w:highlight w:val="none"/>
                <w:lang w:val="en-US" w:eastAsia="zh-CN"/>
              </w:rPr>
              <w:t xml:space="preserve">15380780998</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田径场塑胶跑道、人工草皮更新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ascii="宋体" w:hAnsi="宋体" w:cs="宋体"/>
                <w:b/>
                <w:color w:val="000000"/>
                <w:sz w:val="22"/>
                <w:szCs w:val="22"/>
                <w:highlight w:val="none"/>
                <w:lang w:val="en-US" w:eastAsia="zh-CN"/>
              </w:rPr>
            </w:pPr>
            <w:r>
              <w:rPr>
                <w:rFonts w:hint="eastAsia" w:ascii="宋体" w:hAnsi="宋体" w:cs="宋体"/>
                <w:color w:val="000000"/>
                <w:sz w:val="22"/>
                <w:szCs w:val="22"/>
                <w:highlight w:val="none"/>
                <w:lang w:eastAsia="zh-CN"/>
              </w:rPr>
              <w:t xml:space="preserve">江苏省南京市</w:t>
            </w:r>
            <w:r>
              <w:rPr>
                <w:rFonts w:hint="eastAsia" w:ascii="宋体" w:hAnsi="宋体" w:cs="宋体"/>
                <w:color w:val="000000"/>
                <w:sz w:val="22"/>
                <w:szCs w:val="22"/>
                <w:highlight w:val="none"/>
                <w:lang w:val="en-US" w:eastAsia="zh-CN"/>
              </w:rPr>
              <w:t xml:space="preserve">江宁区</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财政资金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9"/>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679"/>
        <w:numPr>
          <w:ilvl w:val="0"/>
          <w:numId w:val="0"/>
        </w:numPr>
        <w:spacing w:line="360" w:lineRule="auto"/>
        <w:rPr>
          <w:b/>
          <w:bCs/>
          <w:color w:val="000000"/>
          <w:szCs w:val="21"/>
          <w:highlight w:val="none"/>
          <w:lang w:val="zh-CN"/>
        </w:rPr>
      </w:pPr>
      <w:r>
        <w:rPr>
          <w:color w:val="000000"/>
          <w:highlight w:val="none"/>
          <w:lang w:eastAsia="zh-CN"/>
        </w:rPr>
        <w:br w:type="page" w:clear="all"/>
      </w:r>
      <w:r>
        <w:rPr>
          <w:rFonts w:hint="eastAsia"/>
          <w:color w:val="000000"/>
          <w:highlight w:val="none"/>
          <w:lang w:val="en-US" w:eastAsia="zh-CN"/>
        </w:rPr>
        <w:t xml:space="preserve">        </w:t>
      </w:r>
      <w:r>
        <w:rPr>
          <w:rFonts w:hint="eastAsia"/>
          <w:b/>
          <w:bCs/>
          <w:color w:val="000000"/>
          <w:highlight w:val="none"/>
          <w:lang w:val="en-US" w:eastAsia="zh-CN"/>
        </w:rPr>
        <w:t xml:space="preserve">一、</w:t>
      </w:r>
      <w:r>
        <w:rPr>
          <w:b/>
          <w:bCs/>
          <w:color w:val="000000"/>
          <w:szCs w:val="21"/>
          <w:highlight w:val="none"/>
          <w:lang w:val="zh-CN"/>
        </w:rPr>
        <w:t xml:space="preserve">总则</w:t>
      </w:r>
      <w:r>
        <w:rPr>
          <w:b/>
          <w:bCs/>
          <w:color w:val="000000"/>
          <w:szCs w:val="21"/>
          <w:highlight w:val="none"/>
          <w:lang w:val="zh-CN"/>
        </w:rPr>
      </w:r>
      <w:r/>
    </w:p>
    <w:p>
      <w:pPr>
        <w:pStyle w:val="679"/>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679"/>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679"/>
        <w:numPr>
          <w:ilvl w:val="0"/>
          <w:numId w:val="2"/>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679"/>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highlight w:val="none"/>
          <w:lang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679"/>
        <w:numPr>
          <w:ilvl w:val="0"/>
          <w:numId w:val="2"/>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679"/>
        <w:numPr>
          <w:ilvl w:val="0"/>
          <w:numId w:val="2"/>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4、磋商费用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 xml:space="preserve">本次招标代理费由成交人支付，本项目</w:t>
      </w: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lang w:val="zh-CN" w:eastAsia="zh-CN"/>
        </w:rPr>
        <w:t xml:space="preserve">代理服务费由成交人在领取成交通知书前一次性支付给招标代理机构，招标代理费按照1980号文件收费标准的</w:t>
      </w:r>
      <w:r>
        <w:rPr>
          <w:rFonts w:hint="eastAsia" w:ascii="宋体" w:hAnsi="宋体" w:eastAsia="宋体" w:cs="Times New Roman"/>
          <w:color w:val="000000"/>
          <w:szCs w:val="21"/>
          <w:highlight w:val="none"/>
          <w:lang w:val="en-US" w:eastAsia="zh-CN"/>
        </w:rPr>
        <w:t xml:space="preserve">48</w:t>
      </w:r>
      <w:r>
        <w:rPr>
          <w:rFonts w:hint="eastAsia" w:ascii="宋体" w:hAnsi="宋体" w:eastAsia="宋体" w:cs="Times New Roman"/>
          <w:color w:val="000000"/>
          <w:szCs w:val="21"/>
          <w:highlight w:val="none"/>
          <w:lang w:val="zh-CN" w:eastAsia="zh-CN"/>
        </w:rPr>
        <w:t xml:space="preserve">%收取，</w:t>
      </w:r>
      <w:r>
        <w:rPr>
          <w:rFonts w:hint="eastAsia" w:ascii="宋体" w:hAnsi="宋体" w:eastAsia="宋体" w:cs="Times New Roman"/>
          <w:color w:val="000000"/>
          <w:szCs w:val="21"/>
          <w:highlight w:val="none"/>
          <w:lang w:val="en-US" w:eastAsia="zh-CN"/>
        </w:rPr>
        <w:t xml:space="preserve">造价咨询费</w:t>
      </w:r>
      <w:r>
        <w:rPr>
          <w:rFonts w:hint="eastAsia" w:ascii="宋体" w:hAnsi="宋体" w:eastAsia="宋体" w:cs="Times New Roman"/>
          <w:color w:val="000000"/>
          <w:szCs w:val="21"/>
          <w:highlight w:val="none"/>
          <w:lang w:val="en-US" w:eastAsia="zh-CN"/>
        </w:rPr>
        <w:t xml:space="preserve">根据苏价服【2014】383号文收费标准*80％*48％，造价咨询费</w:t>
      </w:r>
      <w:r>
        <w:rPr>
          <w:rFonts w:ascii="宋体" w:hAnsi="宋体" w:eastAsia="宋体" w:cs="宋体"/>
          <w:color w:val="000000"/>
          <w:sz w:val="21"/>
          <w:highlight w:val="none"/>
        </w:rPr>
        <w:t xml:space="preserve">5347.64</w:t>
      </w:r>
      <w:r>
        <w:rPr>
          <w:rFonts w:hint="eastAsia" w:ascii="宋体" w:hAnsi="宋体" w:eastAsia="宋体" w:cs="Times New Roman"/>
          <w:color w:val="000000"/>
          <w:szCs w:val="21"/>
          <w:highlight w:val="none"/>
          <w:lang w:val="en-US" w:eastAsia="zh-CN"/>
        </w:rPr>
        <w:t xml:space="preserve">元由成交供应商汇入采购人指定账户</w:t>
      </w:r>
      <w:r>
        <w:rPr>
          <w:rFonts w:hint="eastAsia" w:ascii="宋体" w:hAnsi="宋体" w:eastAsia="宋体" w:cs="Times New Roman"/>
          <w:color w:val="000000"/>
          <w:szCs w:val="21"/>
          <w:highlight w:val="none"/>
          <w:lang w:val="zh-CN" w:eastAsia="zh-CN"/>
        </w:rPr>
        <w:t xml:space="preserve">，该项费用请供应商综合考虑在投标报价中。</w:t>
      </w:r>
      <w:r>
        <w:rPr>
          <w:rFonts w:hint="eastAsia" w:ascii="宋体" w:hAnsi="宋体" w:eastAsia="宋体" w:cs="Times New Roman"/>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ascii="宋体" w:hAnsi="宋体" w:eastAsia="宋体"/>
          <w:color w:val="000000"/>
          <w:szCs w:val="21"/>
          <w:highlight w:val="none"/>
          <w:lang w:eastAsia="zh-CN"/>
        </w:rPr>
        <w:t xml:space="preserve">工程量清单</w:t>
      </w:r>
      <w:r>
        <w:rPr>
          <w:rFonts w:hint="eastAsia" w:ascii="宋体" w:hAnsi="宋体" w:eastAsia="宋体"/>
          <w:color w:val="000000"/>
          <w:szCs w:val="21"/>
          <w:highlight w:val="none"/>
          <w:lang w:val="en-US" w:eastAsia="zh-CN"/>
        </w:rPr>
        <w:t xml:space="preserve">报价表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（6）★报价表；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施工组织方案；</w:t>
      </w:r>
      <w:r>
        <w:rPr>
          <w:rFonts w:ascii="宋体" w:hAnsi="宋体" w:eastAsia="宋体"/>
          <w:color w:val="000000"/>
          <w:szCs w:val="21"/>
          <w:highlight w:val="none"/>
          <w:lang w:val="en-US"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679"/>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ascii="宋体" w:hAnsi="宋体" w:eastAsia="宋体"/>
          <w:color w:val="00000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改变工程量清单计价规则、数量、项目特征等；</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改变工程量清单不可竞争费、暂列金、暂估价等。</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 </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679"/>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25.3.13  其他法律法规要求的事宜。</w:t>
      </w:r>
      <w:r>
        <w:rPr>
          <w:rFonts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改变工程量清单，计价规范，工程数量，单位，不可竞争费等。</w:t>
      </w:r>
      <w:r>
        <w:rPr>
          <w:rFonts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680"/>
        <w:jc w:val="center"/>
        <w:spacing w:line="360" w:lineRule="auto"/>
        <w:rPr>
          <w:rFonts w:hint="eastAsia"/>
          <w:color w:val="000000"/>
          <w:highlight w:val="none"/>
          <w:lang w:eastAsia="zh-CN"/>
        </w:rPr>
      </w:pPr>
      <w:r>
        <w:rPr>
          <w:rFonts w:ascii="宋体" w:hAnsi="宋体" w:eastAsia="宋体"/>
          <w:color w:val="000000"/>
          <w:szCs w:val="21"/>
          <w:highlight w:val="none"/>
          <w:lang w:eastAsia="zh-CN"/>
        </w:rPr>
        <w:br w:type="page" w:clear="all"/>
      </w:r>
      <w:bookmarkStart w:id="43" w:name="_bookmark7"/>
      <w:r/>
      <w:bookmarkEnd w:id="43"/>
      <w:r/>
      <w:bookmarkStart w:id="44" w:name="_Toc4972"/>
      <w:r/>
      <w:bookmarkStart w:id="45" w:name="_Toc2951"/>
      <w:r>
        <w:rPr>
          <w:rFonts w:hint="eastAsia"/>
          <w:color w:val="000000"/>
          <w:highlight w:val="none"/>
          <w:lang w:val="en-US" w:eastAsia="zh-CN"/>
        </w:rPr>
        <w:t xml:space="preserve">第三章 </w:t>
      </w:r>
      <w:r>
        <w:rPr>
          <w:color w:val="000000"/>
          <w:highlight w:val="none"/>
        </w:rPr>
        <w:t xml:space="preserve">成交标准</w:t>
      </w:r>
      <w:bookmarkEnd w:id="44"/>
      <w:r/>
      <w:bookmarkEnd w:id="45"/>
      <w:r>
        <w:rPr>
          <w:rFonts w:hint="eastAsia"/>
          <w:color w:val="000000"/>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679"/>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r>
      <w:tr>
        <w:trPr>
          <w:trHeight w:val="1729"/>
        </w:trPr>
        <w:tc>
          <w:tcPr>
            <w:tcW w:w="676"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9"/>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val="zh-CN" w:eastAsia="zh-CN"/>
              </w:rPr>
              <w:t xml:space="preserve">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月1日以来承担过类似</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val="en-US"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材料时间</w:t>
            </w:r>
            <w:r>
              <w:rPr>
                <w:rFonts w:hint="eastAsia" w:ascii="宋体" w:hAnsi="宋体" w:eastAsia="宋体" w:cs="宋体"/>
                <w:bCs/>
                <w:color w:val="000000"/>
                <w:sz w:val="21"/>
                <w:szCs w:val="21"/>
                <w:highlight w:val="none"/>
                <w:lang w:val="zh-CN" w:eastAsia="zh-CN"/>
              </w:rPr>
              <w:t xml:space="preserve">为准，</w:t>
            </w:r>
            <w:r>
              <w:rPr>
                <w:rFonts w:hint="eastAsia" w:ascii="宋体" w:hAnsi="宋体" w:eastAsia="宋体" w:cs="宋体"/>
                <w:bCs/>
                <w:color w:val="000000"/>
                <w:sz w:val="21"/>
                <w:szCs w:val="21"/>
                <w:highlight w:val="none"/>
                <w:lang w:val="en-US" w:eastAsia="zh-CN"/>
              </w:rPr>
              <w:t xml:space="preserve">内容以合同为准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235"/>
        </w:trPr>
        <w:tc>
          <w:tcPr>
            <w:tcW w:w="676" w:type="dxa"/>
            <w:vAlign w:val="center"/>
            <w:vMerge w:val="restart"/>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073" w:type="dxa"/>
            <w:vAlign w:val="center"/>
            <w:vMerge w:val="restart"/>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施工方案</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根据供应商提供的项目总体实施方案的清晰性、全面性、前瞻性、合理性、科学性、可行性及针对性进行评分：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（1）总体实施方案表述清晰完整、严谨、科学合理，针对性强、可操作性强的得</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（2）总体实施方案表述清晰完整但不够严谨、合理，具有针对性和可操作性的得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（3）总体实施方案表述清晰但不够完整、无针对性，可操作性一般的得 </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258"/>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根据供应商提供的项目进度计划和各阶段进度的保证措施的思路的清晰性、准确性、完整性，可操作性、科学性、针对性进行评分：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（1）进度计划安排清晰完整、严谨、科学合理，针对性强、可操作性强的得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（2）进度计划安排清晰完整但不够严谨、合理，具有针对性和可操作性的得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（3）进度计划安排清晰但不够完整、无针对性，可操作性一般的得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160"/>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根据供应商提供的针对本项目安全文明措施的规范性、全面性、合理性、针对性、具体性、可靠性、及操作规程科学性进行评分：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（1）安全文明措施表述清晰完整、严谨、科学合理，针对性强、可操作性强的得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（2）安全文明措施表述清晰完整但不够严谨、合理，具有针对性和可操作性的得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（3）安全文明措施表述清晰但不够完整、无针对性，可操作性一般的得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191"/>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根据供应商提供的针对本项目质量保证体系及措施符合规范要求，各项措施方法可靠、详尽，有质量保证承诺等进行评分：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（1）质量保证体系及措施表述清晰完整、严谨、科学合理，针对性强、可操作性强的得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（2）质量保证体系及措施表述清晰完整但不够严谨、合理，具有针对性和可操作性的得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（3）质量保证体系及措施表述清晰但不够完整、无针对性，可操作性一般的得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根据供应商提供的售后服务方案进行综合评分，包括但不限于服务体系、服务承诺、服务内容、故障解决方案、响应速度、响应次数、响应时间、专业人员技术保障、售后技术装备及备品备件等内容。</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（1）方案全面、科学合理、操作可行、具有针对性的得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（2）方案考虑较全面、合理性，具有一定操作性的得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（3）方案考虑片面、无针对性的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根据供应商提供的针对本项目关键施工技术、工艺及工程项目实施的重点、难点和解决方案进行评分：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（1）关键方案表述清晰完整、严谨、科学合理，针对性强、可操作性强的得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（2）关键方案表述清晰完整但不够严谨、合理，具有针对性和可操作性的得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（3）关键方案表述清晰但不够完整、无针对性，可操作性一般的得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668"/>
        </w:trPr>
        <w:tc>
          <w:tcPr>
            <w:tcW w:w="676" w:type="dxa"/>
            <w:vAlign w:val="center"/>
            <w:vMerge w:val="restart"/>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46" w:name="_Hlk184651297"/>
            <w:r/>
            <w:bookmarkStart w:id="47" w:name="OLE_LINK10"/>
            <w:r/>
            <w:bookmarkStart w:id="48" w:name="OLE_LINK9"/>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分。（提供证书加盖电子公章）</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46"/>
            <w:r/>
            <w:bookmarkEnd w:id="47"/>
            <w:r/>
            <w:bookmarkEnd w:id="48"/>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ascii="宋体" w:hAnsi="宋体" w:eastAsia="宋体" w:cs="宋体"/>
                <w:bCs/>
                <w:color w:val="000000"/>
                <w:sz w:val="21"/>
                <w:szCs w:val="21"/>
                <w:highlight w:val="none"/>
                <w:lang w:eastAsia="zh-CN"/>
              </w:rPr>
            </w:pPr>
            <w:r/>
            <w:bookmarkStart w:id="49" w:name="OLE_LINK11"/>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en-US" w:eastAsia="zh-CN"/>
              </w:rPr>
              <w:t xml:space="preserve">项目负责人、技术负责人除外</w:t>
            </w:r>
            <w:r>
              <w:rPr>
                <w:rFonts w:hint="eastAsia" w:ascii="宋体" w:hAnsi="宋体" w:eastAsia="宋体" w:cs="宋体"/>
                <w:bCs/>
                <w:color w:val="000000"/>
                <w:sz w:val="21"/>
                <w:szCs w:val="21"/>
                <w:highlight w:val="none"/>
                <w:lang w:val="zh-CN" w:eastAsia="zh-CN"/>
              </w:rPr>
              <w:t xml:space="preserve">）具有</w:t>
            </w:r>
            <w:r>
              <w:rPr>
                <w:rFonts w:hint="eastAsia" w:ascii="宋体" w:hAnsi="宋体" w:eastAsia="宋体" w:cs="宋体"/>
                <w:bCs/>
                <w:color w:val="000000"/>
                <w:sz w:val="21"/>
                <w:szCs w:val="21"/>
                <w:highlight w:val="none"/>
                <w:lang w:val="en-US" w:eastAsia="zh-CN"/>
              </w:rPr>
              <w:t xml:space="preserve">建设类</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lang w:val="zh-CN" w:eastAsia="zh-CN"/>
              </w:rPr>
              <w:t xml:space="preserve">级及以上职称，每提供一名得2分，满分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9"/>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textDirection w:val="lrTb"/>
            <w:noWrap w:val="false"/>
          </w:tcPr>
          <w:p>
            <w:pPr>
              <w:pStyle w:val="679"/>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样品评审</w:t>
            </w:r>
            <w:r>
              <w:rPr>
                <w:rFonts w:hint="eastAsia" w:ascii="宋体" w:hAnsi="宋体" w:eastAsia="宋体" w:cs="宋体"/>
                <w:bCs/>
                <w:color w:val="000000"/>
                <w:sz w:val="21"/>
                <w:szCs w:val="21"/>
                <w:highlight w:val="none"/>
                <w:lang w:val="en-US" w:eastAsia="zh-CN"/>
              </w:rPr>
            </w:r>
            <w:r/>
          </w:p>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（暗标评审，不得出现供应商名称，出现为无效投标）</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（1）根据供应商提供的预制跑道样品材质进行综合评审（满分 2分）：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lang w:eastAsia="zh-CN"/>
              </w:rPr>
              <w:t xml:space="preserve">样品表面纹理均匀，无气泡、分层、缺胶、裂纹；接缝平整；厚度均匀、颜色无色差、无杂色颗粒；无刺鼻气味得 2分 ；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②</w:t>
            </w:r>
            <w:r>
              <w:rPr>
                <w:rFonts w:hint="eastAsia" w:ascii="宋体" w:hAnsi="宋体" w:eastAsia="宋体" w:cs="宋体"/>
                <w:bCs/>
                <w:color w:val="000000"/>
                <w:sz w:val="21"/>
                <w:szCs w:val="21"/>
                <w:highlight w:val="none"/>
                <w:lang w:eastAsia="zh-CN"/>
              </w:rPr>
              <w:t xml:space="preserve">样品表面纹理基本均匀，有略微气泡、分层、缺胶、裂纹；接缝基本平整；厚度基本均匀；颜色有略微色差、颗粒；略有刺鼻气味得 1分；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③</w:t>
            </w:r>
            <w:r>
              <w:rPr>
                <w:rFonts w:hint="eastAsia" w:ascii="宋体" w:hAnsi="宋体" w:eastAsia="宋体" w:cs="宋体"/>
                <w:bCs/>
                <w:color w:val="000000"/>
                <w:sz w:val="21"/>
                <w:szCs w:val="21"/>
                <w:highlight w:val="none"/>
                <w:lang w:eastAsia="zh-CN"/>
              </w:rPr>
              <w:t xml:space="preserve">样品表面纹理不一；气泡、缺胶、裂纹、分层明显；接缝存在出入，厚度不一；颜色颜色差距大；气味刺激明显得0.5分；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未提供不得分。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（2）根据供应商提供的人造草坪材质进行综合评审 （满分 2分）：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lang w:eastAsia="zh-CN"/>
              </w:rPr>
              <w:t xml:space="preserve">草丝直立性好，无倒伏、并丝、焦丝、破损、漏胶，背胶均匀不透底；色泽统一，无色差、油污得 2分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②</w:t>
            </w:r>
            <w:r>
              <w:rPr>
                <w:rFonts w:hint="eastAsia" w:ascii="宋体" w:hAnsi="宋体" w:eastAsia="宋体" w:cs="宋体"/>
                <w:bCs/>
                <w:color w:val="000000"/>
                <w:sz w:val="21"/>
                <w:szCs w:val="21"/>
                <w:highlight w:val="none"/>
                <w:lang w:eastAsia="zh-CN"/>
              </w:rPr>
              <w:t xml:space="preserve">草丝直立性较好，有略微焦丝、破损、漏胶，背胶基本均匀；色泽无明显色差、油污得1分；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③</w:t>
            </w:r>
            <w:r>
              <w:rPr>
                <w:rFonts w:hint="eastAsia" w:ascii="宋体" w:hAnsi="宋体" w:eastAsia="宋体" w:cs="宋体"/>
                <w:bCs/>
                <w:color w:val="000000"/>
                <w:sz w:val="21"/>
                <w:szCs w:val="21"/>
                <w:highlight w:val="none"/>
                <w:lang w:eastAsia="zh-CN"/>
              </w:rPr>
              <w:t xml:space="preserve">草丝出现气泡、分层、大面积色得0.5分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未提供不得分。</w:t>
            </w:r>
            <w:r>
              <w:rPr>
                <w:rFonts w:hint="eastAsia" w:ascii="宋体" w:hAnsi="宋体" w:eastAsia="宋体" w:cs="宋体"/>
                <w:bCs/>
                <w:color w:val="000000"/>
                <w:sz w:val="21"/>
                <w:szCs w:val="21"/>
                <w:highlight w:val="none"/>
                <w:lang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70"/>
        </w:trPr>
        <w:tc>
          <w:tcPr>
            <w:tcW w:w="676" w:type="dxa"/>
            <w:vAlign w:val="center"/>
            <w:textDirection w:val="lrTb"/>
            <w:noWrap w:val="false"/>
          </w:tcPr>
          <w:p>
            <w:pPr>
              <w:pStyle w:val="679"/>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质保期</w:t>
            </w:r>
            <w:r>
              <w:rPr>
                <w:rFonts w:ascii="宋体" w:hAnsi="宋体" w:eastAsia="宋体" w:cs="宋体"/>
                <w:bCs/>
                <w:color w:val="000000"/>
                <w:sz w:val="21"/>
                <w:szCs w:val="21"/>
                <w:highlight w:val="none"/>
                <w:lang w:val="en-US" w:eastAsia="zh-CN" w:bidi="ar-SA"/>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eastAsia="zh-CN"/>
              </w:rPr>
              <w:t xml:space="preserve">供应商质保期在满足招标文件的基础每增加一年得1分，本项最高得3分（提供相关承诺书加盖公章）。</w:t>
            </w:r>
            <w:r>
              <w:rPr>
                <w:rFonts w:hint="eastAsia" w:ascii="宋体" w:hAnsi="宋体" w:eastAsia="宋体" w:cs="宋体"/>
                <w:bCs/>
                <w:color w:val="000000"/>
                <w:sz w:val="21"/>
                <w:szCs w:val="21"/>
                <w:highlight w:val="none"/>
                <w:lang w:val="zh-CN" w:eastAsia="zh-CN" w:bidi="ar-SA"/>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bidi="ar-SA"/>
              </w:rPr>
            </w:r>
            <w:r/>
          </w:p>
        </w:tc>
      </w:tr>
      <w:tr>
        <w:trPr>
          <w:trHeight w:val="446"/>
        </w:trPr>
        <w:tc>
          <w:tcPr>
            <w:gridSpan w:val="3"/>
            <w:tcW w:w="8109" w:type="dxa"/>
            <w:vAlign w:val="center"/>
            <w:textDirection w:val="lrTb"/>
            <w:noWrap w:val="false"/>
          </w:tcPr>
          <w:p>
            <w:pPr>
              <w:pStyle w:val="679"/>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67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697"/>
        <w:spacing w:line="360" w:lineRule="auto"/>
        <w:widowControl w:val="off"/>
        <w:rPr>
          <w:rFonts w:hint="eastAsia" w:ascii="宋体" w:hAnsi="宋体" w:cs="宋体"/>
          <w:color w:val="000000"/>
          <w:sz w:val="21"/>
          <w:szCs w:val="21"/>
          <w:highlight w:val="none"/>
        </w:rPr>
      </w:pPr>
      <w:r/>
      <w:bookmarkStart w:id="50" w:name="第四章  采购项目需求"/>
      <w:r/>
      <w:bookmarkEnd w:id="50"/>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697"/>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3.1本项目对小微企业投标报价给予报价的</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3.2大中型企业和其他自然人、法人或者其他组织与小型、微型企业组成联合体共同参加，如果联合协议中约定，小型、微型企业的协议合同金额占到联合体协议合同总金额30%以上的，给予联合体</w:t>
      </w:r>
      <w:r>
        <w:rPr>
          <w:rFonts w:hint="eastAsia"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%的价格扣除。联合体各方均为小型、微型企业的，联合体视同为小型、微型企业享受</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 小企业（含小型、微型企业）应当同时符合以下条件：</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3.3小企业（含小型、微型企业）应当同时符合以下条件：</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4、监狱和戒毒企业的价格扣除</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4.1 本项目对监狱和戒毒企业（简称监狱企业），给予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5、残疾人福利性单位的价格扣除</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 本项目对残疾人福利性单位，给予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5.2. 残疾人福利单位需按照采购文件的要求提供《残疾人福利性单位声明函》。</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6、监狱企业、残疾人福利单位属于小型、微型企业的，不重复享受政策。</w:t>
      </w:r>
      <w:r>
        <w:rPr>
          <w:rFonts w:hint="eastAsia" w:ascii="宋体" w:hAnsi="宋体" w:cs="宋体"/>
          <w:bCs/>
          <w:color w:val="000000"/>
          <w:sz w:val="21"/>
          <w:szCs w:val="21"/>
          <w:highlight w:val="none"/>
        </w:rPr>
      </w:r>
      <w:r/>
    </w:p>
    <w:p>
      <w:pPr>
        <w:pStyle w:val="733"/>
        <w:ind w:left="0" w:firstLine="0"/>
        <w:spacing w:line="360" w:lineRule="auto"/>
        <w:rPr>
          <w:rFonts w:hint="eastAsia" w:eastAsia="宋体"/>
          <w:b/>
          <w:bCs/>
          <w:color w:val="000000"/>
          <w:sz w:val="21"/>
          <w:szCs w:val="21"/>
          <w:highlight w:val="none"/>
          <w:lang w:eastAsia="zh-CN"/>
        </w:rPr>
      </w:pPr>
      <w:r>
        <w:rPr>
          <w:rFonts w:hint="eastAsia" w:eastAsia="宋体" w:cs="Calibri"/>
          <w:color w:val="000000"/>
          <w:sz w:val="21"/>
          <w:szCs w:val="21"/>
          <w:highlight w:val="none"/>
          <w:lang w:val="en-US" w:eastAsia="zh-CN"/>
        </w:rPr>
        <w:t xml:space="preserve">7、</w:t>
      </w:r>
      <w:r>
        <w:rPr>
          <w:rFonts w:hint="eastAsia" w:eastAsia="宋体" w:cs="Calibri"/>
          <w:color w:val="000000"/>
          <w:sz w:val="21"/>
          <w:szCs w:val="21"/>
          <w:highlight w:val="none"/>
          <w:lang w:eastAsia="zh-CN"/>
        </w:rPr>
        <w:t xml:space="preserve">采购标的对应的中小企业划分标准所属行业：建筑业。</w:t>
      </w:r>
      <w:r>
        <w:rPr>
          <w:rFonts w:hint="eastAsia" w:eastAsia="宋体"/>
          <w:b/>
          <w:bCs/>
          <w:color w:val="000000"/>
          <w:sz w:val="21"/>
          <w:szCs w:val="21"/>
          <w:highlight w:val="none"/>
          <w:lang w:eastAsia="zh-CN"/>
        </w:rPr>
      </w:r>
      <w:r/>
    </w:p>
    <w:p>
      <w:pPr>
        <w:pStyle w:val="679"/>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80"/>
        <w:jc w:val="center"/>
        <w:spacing w:line="360" w:lineRule="auto"/>
        <w:rPr>
          <w:color w:val="000000"/>
          <w:highlight w:val="none"/>
          <w:lang w:eastAsia="zh-CN"/>
        </w:rPr>
      </w:pPr>
      <w:r/>
      <w:bookmarkStart w:id="51" w:name="_bookmark8"/>
      <w:r/>
      <w:bookmarkEnd w:id="51"/>
      <w:r>
        <w:rPr>
          <w:rFonts w:ascii="宋体" w:hAnsi="宋体" w:eastAsia="宋体"/>
          <w:b w:val="0"/>
          <w:color w:val="000000"/>
          <w:highlight w:val="none"/>
          <w:lang w:eastAsia="zh-CN"/>
        </w:rPr>
        <w:br w:type="page" w:clear="all"/>
      </w:r>
      <w:bookmarkStart w:id="52" w:name="_Toc8547"/>
      <w:r/>
      <w:bookmarkStart w:id="53" w:name="_Toc7610"/>
      <w:r>
        <w:rPr>
          <w:rFonts w:hint="eastAsia"/>
          <w:color w:val="000000"/>
          <w:highlight w:val="none"/>
          <w:lang w:val="en-US" w:eastAsia="zh-CN"/>
        </w:rPr>
        <w:t xml:space="preserve">第四章 </w:t>
      </w:r>
      <w:r>
        <w:rPr>
          <w:color w:val="000000"/>
          <w:highlight w:val="none"/>
          <w:lang w:eastAsia="zh-CN"/>
        </w:rPr>
        <w:t xml:space="preserve">采购项目需求</w:t>
      </w:r>
      <w:bookmarkEnd w:id="52"/>
      <w:r/>
      <w:bookmarkEnd w:id="53"/>
      <w:r>
        <w:rPr>
          <w:color w:val="000000"/>
          <w:highlight w:val="none"/>
          <w:lang w:eastAsia="zh-CN"/>
        </w:rPr>
      </w:r>
      <w:r/>
    </w:p>
    <w:p>
      <w:pPr>
        <w:pStyle w:val="681"/>
        <w:numPr>
          <w:ilvl w:val="0"/>
          <w:numId w:val="3"/>
        </w:numPr>
        <w:ind w:left="0"/>
        <w:spacing w:line="360" w:lineRule="auto"/>
        <w:rPr>
          <w:rFonts w:hint="eastAsia" w:ascii="宋体" w:hAnsi="宋体" w:eastAsia="宋体" w:cs="宋体"/>
          <w:color w:val="000000"/>
          <w:sz w:val="21"/>
          <w:szCs w:val="21"/>
          <w:highlight w:val="none"/>
          <w:lang w:eastAsia="zh-CN"/>
        </w:rPr>
      </w:pPr>
      <w:r/>
      <w:bookmarkStart w:id="54" w:name="_Toc21116"/>
      <w:r/>
      <w:bookmarkStart w:id="55" w:name="_Toc27867"/>
      <w:r/>
      <w:bookmarkStart w:id="56" w:name="_Toc25479"/>
      <w:r/>
      <w:bookmarkStart w:id="57" w:name="_Toc20241682"/>
      <w:r/>
      <w:bookmarkStart w:id="58" w:name="_Toc20311"/>
      <w:r/>
      <w:bookmarkStart w:id="59" w:name="_Toc26973"/>
      <w:r/>
      <w:bookmarkStart w:id="60" w:name="_Toc10157"/>
      <w:r>
        <w:rPr>
          <w:rFonts w:hint="eastAsia" w:ascii="宋体" w:hAnsi="宋体" w:eastAsia="宋体" w:cs="宋体"/>
          <w:color w:val="000000"/>
          <w:sz w:val="21"/>
          <w:szCs w:val="21"/>
          <w:highlight w:val="none"/>
          <w:lang w:eastAsia="zh-CN"/>
        </w:rPr>
        <w:t xml:space="preserve">采购说明</w:t>
      </w:r>
      <w:bookmarkEnd w:id="54"/>
      <w:r/>
      <w:bookmarkEnd w:id="55"/>
      <w:r/>
      <w:bookmarkEnd w:id="56"/>
      <w:r/>
      <w:bookmarkEnd w:id="57"/>
      <w:r/>
      <w:bookmarkEnd w:id="58"/>
      <w:r/>
      <w:bookmarkEnd w:id="59"/>
      <w:r/>
      <w:bookmarkEnd w:id="60"/>
      <w:r>
        <w:rPr>
          <w:rFonts w:hint="eastAsia" w:ascii="宋体" w:hAnsi="宋体" w:eastAsia="宋体" w:cs="宋体"/>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1、本采购需求中的品牌、技术参数及其性能（配置）仅起参考作用，供应商可选用其他品牌替代，但这些替代的品牌要实质上相当于或优于参考品牌及其技术参数性能（配置）要求。</w:t>
      </w:r>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bookmarkStart w:id="61" w:name="_Toc171129620"/>
      <w:r/>
      <w:bookmarkStart w:id="62" w:name="_Toc168825184"/>
      <w:r>
        <w:rPr>
          <w:rFonts w:hint="eastAsia" w:ascii="宋体" w:hAnsi="宋体" w:eastAsia="宋体" w:cs="宋体"/>
          <w:bCs/>
          <w:color w:val="000000"/>
          <w:sz w:val="21"/>
          <w:szCs w:val="21"/>
          <w:highlight w:val="none"/>
          <w:lang w:eastAsia="zh-CN"/>
        </w:rPr>
        <w:t xml:space="preserve">2、本采购需求中参考品牌及技术参数性能（配置）不明确或有误的，或供应商选用其他品牌替代的，请以详细、正确的品牌、技术参数性能（配置）同时填写技术响应表。</w:t>
      </w:r>
      <w:bookmarkEnd w:id="61"/>
      <w:r/>
      <w:bookmarkEnd w:id="62"/>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3、磋商时，如磋商小组发现本采购需求中技术参数及性能（配置）要求中含有某一品牌特有的参数或限制性要求的，有权认定不作为主要技术参数及性能（配置）要求处理。</w:t>
      </w:r>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本文打“★”为实质性响应条款，不满足做无效投标处理。</w:t>
      </w:r>
      <w:r>
        <w:rPr>
          <w:rFonts w:hint="eastAsia" w:ascii="宋体" w:hAnsi="宋体" w:eastAsia="宋体" w:cs="宋体"/>
          <w:bCs/>
          <w:color w:val="000000"/>
          <w:sz w:val="21"/>
          <w:szCs w:val="21"/>
          <w:highlight w:val="none"/>
          <w:lang w:eastAsia="zh-CN"/>
        </w:rPr>
        <w:t xml:space="preserve">其他非“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”技术条款，</w:t>
      </w:r>
      <w:r>
        <w:rPr>
          <w:rFonts w:hint="eastAsia" w:ascii="宋体" w:hAnsi="宋体" w:eastAsia="宋体" w:cs="宋体"/>
          <w:bCs/>
          <w:color w:val="000000"/>
          <w:sz w:val="21"/>
          <w:szCs w:val="21"/>
          <w:highlight w:val="none"/>
          <w:lang w:val="en-US" w:eastAsia="zh-CN"/>
        </w:rPr>
        <w:t xml:space="preserve">不能负偏离，</w:t>
      </w:r>
      <w:r>
        <w:rPr>
          <w:rFonts w:hint="eastAsia" w:ascii="宋体" w:hAnsi="宋体" w:eastAsia="宋体" w:cs="宋体"/>
          <w:bCs/>
          <w:color w:val="000000"/>
          <w:sz w:val="21"/>
          <w:szCs w:val="21"/>
          <w:highlight w:val="none"/>
          <w:lang w:eastAsia="zh-CN"/>
        </w:rPr>
        <w:t xml:space="preserve">响应人需在响应文件中提供偏离表。</w:t>
      </w:r>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5、如无特别说明，每个项目只允许有一个报价，任何有选择的报价将不予接受。</w:t>
      </w:r>
      <w:r>
        <w:rPr>
          <w:rFonts w:hint="eastAsia" w:ascii="宋体" w:hAnsi="宋体" w:eastAsia="宋体" w:cs="宋体"/>
          <w:bCs/>
          <w:color w:val="000000"/>
          <w:sz w:val="21"/>
          <w:szCs w:val="21"/>
          <w:highlight w:val="none"/>
          <w:lang w:eastAsia="zh-CN"/>
        </w:rPr>
      </w:r>
      <w:r/>
    </w:p>
    <w:p>
      <w:pPr>
        <w:pStyle w:val="679"/>
        <w:ind w:firstLine="422"/>
        <w:spacing w:line="360" w:lineRule="auto"/>
        <w:tabs>
          <w:tab w:val="left" w:pos="720" w:leader="none"/>
        </w:tabs>
        <w:rPr>
          <w:rFonts w:hint="eastAsia" w:ascii="宋体" w:hAnsi="宋体" w:eastAsia="宋体" w:cs="宋体"/>
          <w:bCs/>
          <w:color w:val="000000"/>
          <w:sz w:val="21"/>
          <w:szCs w:val="21"/>
          <w:highlight w:val="none"/>
        </w:rPr>
      </w:pPr>
      <w:r/>
      <w:bookmarkStart w:id="63" w:name="_Toc9109"/>
      <w:r/>
      <w:bookmarkStart w:id="64" w:name="_Toc9799"/>
      <w:r/>
      <w:bookmarkStart w:id="65" w:name="_Toc12016"/>
      <w:r>
        <w:rPr>
          <w:rFonts w:hint="eastAsia" w:ascii="宋体" w:hAnsi="宋体" w:eastAsia="宋体" w:cs="宋体"/>
          <w:b/>
          <w:bCs/>
          <w:color w:val="000000"/>
          <w:sz w:val="21"/>
          <w:szCs w:val="21"/>
          <w:highlight w:val="none"/>
          <w:lang w:val="en-US" w:eastAsia="zh-CN"/>
        </w:rPr>
        <w:t xml:space="preserve">二、工程量清单编制范围：</w:t>
      </w:r>
      <w:r>
        <w:rPr>
          <w:rFonts w:hint="eastAsia" w:ascii="宋体" w:hAnsi="宋体" w:eastAsia="宋体" w:cs="宋体"/>
          <w:color w:val="000000"/>
          <w:sz w:val="21"/>
          <w:szCs w:val="21"/>
          <w:highlight w:val="none"/>
          <w:lang w:val="en-US" w:eastAsia="zh-CN" w:bidi="ar-SA"/>
        </w:rPr>
        <w:t xml:space="preserve">主要包含塑胶跑道翻新，排水沟盖板更换等</w:t>
      </w:r>
      <w:r>
        <w:rPr>
          <w:rFonts w:hint="eastAsia" w:ascii="宋体" w:hAnsi="宋体" w:eastAsia="宋体" w:cs="宋体"/>
          <w:b w:val="0"/>
          <w:bCs w:val="0"/>
          <w:color w:val="000000"/>
          <w:sz w:val="21"/>
          <w:szCs w:val="21"/>
          <w:highlight w:val="none"/>
          <w:lang w:val="en-US" w:eastAsia="zh-CN"/>
        </w:rPr>
        <w:t xml:space="preserve">，具体内容详见工程量清单</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679"/>
        <w:ind w:firstLine="474"/>
        <w:spacing w:line="360" w:lineRule="auto"/>
        <w:tabs>
          <w:tab w:val="left" w:pos="7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三、工程量清单编制依据：</w:t>
      </w:r>
      <w:r>
        <w:rPr>
          <w:rFonts w:hint="eastAsia" w:ascii="宋体" w:hAnsi="宋体" w:eastAsia="宋体" w:cs="宋体"/>
          <w:b/>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采购人提供的做法及图纸：</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中华人民共和国住房城乡建设部《建设工程工程量清单计价标准》GB/T50500-2024、《房屋建筑与装饰工程工程量计算标准》GB/T50854-2024、《通用安装工程工程量计算标准》GB/50856-2024等；</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省建筑与装饰工程消耗量》（2026版）、《江苏省通用安装工程》（2026年）、《江苏省市政工程》（2026）、《江苏省房屋修缮工程计价表》(2009)、《江苏省古建筑修缮工程消耗量定额》（2024）、《江苏省建设工程费用参考》（2026）；</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拟定的采购文件；</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相关标准图集以及现行有关清单编制文件；</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省住房城乡建设厅关于明确材料预算价格中含税价和除税价计算方式的通知苏建函价〔2025〕2号。 </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最高投标限价人工费标准执行《江苏省市政工程》中人工参考价，材料价格执行2026年05月份南京市建设工程材料信息价，缺项部分材料价格按市场询价计入；投标报价由</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自行考虑计入。</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本项目安全生产费遵照江苏省建设工程费用参考文件计取，市政工程1.9%、土建工程 3.8%、安装工程 2.9%，此费率为下限值，</w:t>
      </w:r>
      <w:r>
        <w:rPr>
          <w:rFonts w:hint="eastAsia" w:ascii="宋体" w:hAnsi="宋体" w:eastAsia="宋体" w:cs="宋体"/>
          <w:color w:val="000000"/>
          <w:sz w:val="21"/>
          <w:szCs w:val="21"/>
          <w:highlight w:val="none"/>
          <w:lang w:val="en-US" w:eastAsia="zh-CN"/>
        </w:rPr>
        <w:t xml:space="preserve">采购人供应商</w:t>
      </w:r>
      <w:r>
        <w:rPr>
          <w:rFonts w:hint="eastAsia" w:ascii="宋体" w:hAnsi="宋体" w:eastAsia="宋体" w:cs="宋体"/>
          <w:color w:val="000000"/>
          <w:sz w:val="21"/>
          <w:szCs w:val="21"/>
          <w:highlight w:val="none"/>
          <w:lang w:eastAsia="zh-CN"/>
        </w:rPr>
        <w:t xml:space="preserve">双方可根据项目实际确定费率，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报价时不得低于文件要求的下限费率，</w:t>
      </w:r>
      <w:r>
        <w:rPr>
          <w:rFonts w:hint="eastAsia" w:ascii="宋体" w:hAnsi="宋体" w:eastAsia="宋体" w:cs="宋体"/>
          <w:color w:val="000000"/>
          <w:sz w:val="21"/>
          <w:szCs w:val="21"/>
          <w:highlight w:val="none"/>
          <w:lang w:val="en-US" w:eastAsia="zh-CN"/>
        </w:rPr>
        <w:t xml:space="preserve">低于为无效响应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679"/>
        <w:ind w:firstLine="474"/>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四、编制说明：</w:t>
      </w:r>
      <w:r>
        <w:rPr>
          <w:rFonts w:hint="eastAsia" w:ascii="宋体" w:hAnsi="宋体" w:eastAsia="宋体" w:cs="宋体"/>
          <w:b/>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工程质量要求：合格。</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专业工程暂估价：无暂估价，以工程量清单为准。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本工程暂列金额：以工程量清单为准。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本工程暂定材：无暂定材，详见工程量清单，以工程量清单为准。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本工程甲供材：无甲供材，详见工程量清单，以工程量清单为准。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采购文件要求的风险金等全部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措施费项目清单中，内容仅供参考，</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可根据工程实际与施工组织设计进行增补，但不得更改已列措施项目，结算时除工程变更引起施工方案改变外，供应商不得以招标工程措施项目清单缺项为由要求新增措施项目。</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所报工程</w:t>
      </w:r>
      <w:r>
        <w:rPr>
          <w:rFonts w:hint="eastAsia" w:ascii="宋体" w:hAnsi="宋体" w:eastAsia="宋体" w:cs="宋体"/>
          <w:color w:val="000000"/>
          <w:sz w:val="21"/>
          <w:szCs w:val="21"/>
          <w:highlight w:val="none"/>
        </w:rPr>
        <w:t xml:space="preserve">量清单综合单价应包括完成采购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⑦做为有经验的承包商按照合同条款及相关规定判定交付竣工产品还应计列的其他费用；⑧按照技术方案要求交付竣工产品应该计列的相关费用；⑨其他应当计取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本工程量清单作为</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报价的基础之一，</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应结合采购文件、项目现状、取费文件、技术规范等确定投标报价。</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本工程招标控制价（含综合单价）为采购人根据相关规定结合市场价编制，</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未在约定时间内提出异议，视为对招标控制价（含综合单价）完全理解并接受，中标后不作调整。</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必须充分勘察现场实际情况，自行考虑材料运输及堆场、机械进退场所必须的临时道路、场地硬化费用。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本项目对于材料的运输、施工时间的限制、施工场地和临设场地的影响等，请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对于江苏省、南京市相关部门对工程施工要求所发的文件规定，特别是对于工程围挡、扬尘控制等的要求，请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自行查勘现场，对于现场是否满足所有临时设施、施工场地的搭设要求，请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在报价中充分考虑本项目施工的特殊性，结算时不得增加与此有关的费用。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本工程施工外部协调工作由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应充分考虑周边地域情况，并将此费用考虑在投标报价中，结算时发包人不再为此增加费用。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填写工程量清单的每一项综合单价和合价时均应结合采购文件、技术规范、设计施工图纸和现场勘察情况，谨慎仔细地进行报价。清单特征中未描述的，但计价规范中注明的工程内容，供应商在报价时应充分考虑“工程内容”而产生的费用，列入相应投标报价中，实施过程中费用不调整。</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根据现场实际施工场地考察的情况并结合各自条件情况自行计入报价。</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本工程中施工的实际损耗，自行综合考虑在本次报价中，不另增加费用。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须自行考虑材料的采购、保管费，中标后不再调整。</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应充分了解本项目性质、学校管理制度及地理位置，所需人员、机械、材料的超常规运费等增加费用，应在综合单价中考虑。</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应充分考虑保证机械正常运转的措施费用，含场地硬化(回填道碴、钢板等)措施等，结算时不另外增加费用。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需结合现场情况在投标报价中综合考虑内、外部道路运输的保护、安全围护、清理以及交通管制产生的措施及降效等费用，结算时不因运输问题增加任何费用。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应充分考虑本工程的特殊性及管理制度，施工期应满足校方管理要求。包括但不限于配合校方活动、学生作息时间、校方巡视检查等临时停工，投标时综合考虑，结算时不增加相关费用。</w:t>
      </w:r>
      <w:r>
        <w:rPr>
          <w:rFonts w:hint="eastAsia" w:ascii="宋体" w:hAnsi="宋体" w:eastAsia="宋体" w:cs="宋体"/>
          <w:color w:val="000000"/>
          <w:sz w:val="21"/>
          <w:szCs w:val="21"/>
          <w:highlight w:val="none"/>
          <w:lang w:val="en-US" w:eastAsia="zh-CN"/>
        </w:rPr>
      </w:r>
      <w:r/>
    </w:p>
    <w:p>
      <w:pPr>
        <w:pStyle w:val="679"/>
        <w:ind w:firstLine="474"/>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五、工程量清单编制中需说明的其他事项：</w:t>
      </w:r>
      <w:r>
        <w:rPr>
          <w:rFonts w:hint="eastAsia" w:ascii="宋体" w:hAnsi="宋体" w:eastAsia="宋体" w:cs="宋体"/>
          <w:b/>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1.施工工程需注意成品保护，避免损坏其他构件，应考虑对现状构件保护的费用；</w:t>
      </w:r>
      <w:r>
        <w:rPr>
          <w:rFonts w:hint="eastAsia" w:ascii="宋体" w:hAnsi="宋体" w:eastAsia="宋体" w:cs="宋体"/>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2.建筑垃圾弃置含渣土费、消纳费，弃置距离自行考虑，实际弃置场地与运距由供应商自行考虑，结算不作调整；</w:t>
      </w:r>
      <w:r>
        <w:rPr>
          <w:rFonts w:hint="eastAsia" w:ascii="宋体" w:hAnsi="宋体" w:eastAsia="宋体" w:cs="宋体"/>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3.本工程为改造项目，供应商需仔细勘察现场结合工程量清单，自行考虑施工措施方案并综合考虑在投标报价中，结算时不得增加与此有关的费用。</w:t>
      </w:r>
      <w:r>
        <w:rPr>
          <w:rFonts w:hint="eastAsia" w:ascii="宋体" w:hAnsi="宋体" w:eastAsia="宋体" w:cs="宋体"/>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4、施工过程中不能污染、破坏校园路面。如有污染、破坏要及时恢复。在投标报价中必须予以考虑，结算时不得调整。</w:t>
      </w:r>
      <w:r>
        <w:rPr>
          <w:rFonts w:hint="eastAsia" w:ascii="宋体" w:hAnsi="宋体" w:eastAsia="宋体" w:cs="宋体"/>
          <w:bCs/>
          <w:color w:val="000000"/>
          <w:sz w:val="21"/>
          <w:szCs w:val="21"/>
          <w:highlight w:val="none"/>
        </w:rPr>
      </w:r>
      <w:r/>
    </w:p>
    <w:p>
      <w:pPr>
        <w:pStyle w:val="681"/>
        <w:ind w:left="0" w:firstLine="422"/>
        <w:spacing w:line="360" w:lineRule="auto"/>
        <w:rPr>
          <w:rFonts w:hint="eastAsia" w:ascii="宋体" w:hAnsi="宋体" w:eastAsia="宋体" w:cs="宋体"/>
          <w:b/>
          <w:bCs w:val="0"/>
          <w:color w:val="000000"/>
          <w:sz w:val="21"/>
          <w:szCs w:val="21"/>
          <w:highlight w:val="none"/>
          <w:lang w:val="en-US" w:eastAsia="zh-CN"/>
        </w:rPr>
      </w:pPr>
      <w:r/>
      <w:bookmarkStart w:id="66" w:name="_Toc324237156"/>
      <w:r/>
      <w:bookmarkStart w:id="67" w:name="_Toc479757211"/>
      <w:r/>
      <w:bookmarkStart w:id="68" w:name="_Toc26554093"/>
      <w:r/>
      <w:bookmarkStart w:id="69" w:name="_Toc120614281"/>
      <w:r/>
      <w:bookmarkStart w:id="70" w:name="_Toc24644"/>
      <w:r/>
      <w:bookmarkStart w:id="71" w:name="_Toc10075"/>
      <w:r/>
      <w:bookmarkStart w:id="72" w:name="_Toc49090575"/>
      <w:r/>
      <w:bookmarkStart w:id="73" w:name="_Toc462564139"/>
      <w:r/>
      <w:bookmarkStart w:id="74" w:name="_Toc16"/>
      <w:r>
        <w:rPr>
          <w:rFonts w:hint="eastAsia" w:ascii="宋体" w:hAnsi="宋体" w:eastAsia="宋体" w:cs="宋体"/>
          <w:b/>
          <w:bCs w:val="0"/>
          <w:color w:val="000000"/>
          <w:sz w:val="21"/>
          <w:szCs w:val="21"/>
          <w:highlight w:val="none"/>
          <w:lang w:val="en-US" w:eastAsia="zh-CN"/>
        </w:rPr>
        <w:t xml:space="preserve">六、</w:t>
      </w:r>
      <w:bookmarkEnd w:id="66"/>
      <w:r/>
      <w:bookmarkEnd w:id="67"/>
      <w:r/>
      <w:bookmarkEnd w:id="68"/>
      <w:r/>
      <w:bookmarkEnd w:id="69"/>
      <w:r/>
      <w:bookmarkEnd w:id="72"/>
      <w:r/>
      <w:bookmarkEnd w:id="73"/>
      <w:r/>
      <w:bookmarkEnd w:id="74"/>
      <w:r>
        <w:rPr>
          <w:rFonts w:hint="eastAsia" w:ascii="宋体" w:hAnsi="宋体" w:eastAsia="宋体" w:cs="宋体"/>
          <w:b/>
          <w:bCs w:val="0"/>
          <w:color w:val="000000"/>
          <w:sz w:val="21"/>
          <w:szCs w:val="21"/>
          <w:highlight w:val="none"/>
          <w:lang w:val="en-US" w:eastAsia="zh-CN"/>
        </w:rPr>
        <w:t xml:space="preserve">推荐主材品牌</w:t>
      </w:r>
      <w:bookmarkEnd w:id="70"/>
      <w:r/>
      <w:bookmarkEnd w:id="71"/>
      <w:r>
        <w:rPr>
          <w:rFonts w:hint="eastAsia" w:ascii="宋体" w:hAnsi="宋体" w:eastAsia="宋体" w:cs="宋体"/>
          <w:b/>
          <w:bCs w:val="0"/>
          <w:color w:val="000000"/>
          <w:sz w:val="21"/>
          <w:szCs w:val="21"/>
          <w:highlight w:val="none"/>
          <w:lang w:val="en-US" w:eastAsia="zh-CN"/>
        </w:rPr>
      </w:r>
      <w:r/>
    </w:p>
    <w:p>
      <w:pPr>
        <w:pStyle w:val="681"/>
        <w:ind w:left="0" w:firstLine="0"/>
        <w:spacing w:line="360" w:lineRule="auto"/>
        <w:rPr>
          <w:rFonts w:hint="eastAsia" w:ascii="宋体" w:hAnsi="宋体" w:eastAsia="宋体" w:cs="宋体"/>
          <w:b w:val="0"/>
          <w:color w:val="000000"/>
          <w:sz w:val="21"/>
          <w:szCs w:val="21"/>
          <w:highlight w:val="none"/>
          <w:lang w:val="en-US" w:eastAsia="zh-CN"/>
        </w:rPr>
      </w:pPr>
      <w:r/>
      <w:bookmarkStart w:id="75" w:name="_Toc25024"/>
      <w:r/>
      <w:bookmarkStart w:id="76" w:name="_Toc29231"/>
      <w:r>
        <w:rPr>
          <w:rFonts w:hint="eastAsia" w:ascii="宋体" w:hAnsi="宋体" w:eastAsia="宋体" w:cs="宋体"/>
          <w:b w:val="0"/>
          <w:color w:val="000000"/>
          <w:sz w:val="21"/>
          <w:szCs w:val="21"/>
          <w:highlight w:val="none"/>
          <w:lang w:val="en-US" w:eastAsia="zh-CN"/>
        </w:rPr>
        <w:t xml:space="preserve">（供应商负责采购的主要材料设备，供应商响应时需明确所选品牌，格式自拟）</w:t>
      </w:r>
      <w:bookmarkEnd w:id="75"/>
      <w:r/>
      <w:bookmarkEnd w:id="76"/>
      <w:r>
        <w:rPr>
          <w:rFonts w:hint="eastAsia" w:ascii="宋体" w:hAnsi="宋体" w:eastAsia="宋体" w:cs="宋体"/>
          <w:b w:val="0"/>
          <w:color w:val="000000"/>
          <w:sz w:val="21"/>
          <w:szCs w:val="21"/>
          <w:highlight w:val="none"/>
          <w:lang w:val="en-US" w:eastAsia="zh-CN"/>
        </w:rPr>
      </w:r>
      <w:r/>
    </w:p>
    <w:tbl>
      <w:tblPr>
        <w:tblW w:w="94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6"/>
        <w:gridCol w:w="3867"/>
        <w:gridCol w:w="2378"/>
      </w:tblGrid>
      <w:tr>
        <w:trPr>
          <w:trHeight w:val="512"/>
        </w:trPr>
        <w:tc>
          <w:tcPr>
            <w:tcW w:w="975"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bidi="ar"/>
              </w:rPr>
              <w:t xml:space="preserve">序号</w:t>
            </w:r>
            <w:r>
              <w:rPr>
                <w:rFonts w:hint="eastAsia" w:ascii="宋体" w:hAnsi="宋体" w:eastAsia="宋体" w:cs="宋体"/>
                <w:b w:val="0"/>
                <w:bCs/>
                <w:color w:val="000000"/>
                <w:sz w:val="21"/>
                <w:szCs w:val="21"/>
                <w:highlight w:val="none"/>
              </w:rPr>
            </w:r>
            <w:r/>
          </w:p>
        </w:tc>
        <w:tc>
          <w:tcPr>
            <w:tcW w:w="2246"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bidi="ar"/>
              </w:rPr>
              <w:t xml:space="preserve">名称</w:t>
            </w:r>
            <w:r>
              <w:rPr>
                <w:rFonts w:hint="eastAsia" w:ascii="宋体" w:hAnsi="宋体" w:eastAsia="宋体" w:cs="宋体"/>
                <w:b w:val="0"/>
                <w:bCs/>
                <w:color w:val="000000"/>
                <w:sz w:val="21"/>
                <w:szCs w:val="21"/>
                <w:highlight w:val="none"/>
              </w:rPr>
            </w:r>
            <w:r/>
          </w:p>
        </w:tc>
        <w:tc>
          <w:tcPr>
            <w:tcW w:w="3867"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bidi="ar"/>
              </w:rPr>
              <w:t xml:space="preserve">参考品牌</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lang w:val="en-US" w:eastAsia="zh-CN" w:bidi="ar"/>
              </w:rPr>
              <w:t xml:space="preserve">同等及以上档次</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lang w:eastAsia="zh-CN" w:bidi="ar"/>
              </w:rPr>
            </w:r>
            <w:r/>
          </w:p>
        </w:tc>
        <w:tc>
          <w:tcPr>
            <w:tcW w:w="2378"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bidi="ar"/>
              </w:rPr>
            </w:pPr>
            <w:r>
              <w:rPr>
                <w:rFonts w:hint="eastAsia" w:ascii="宋体" w:hAnsi="宋体" w:eastAsia="宋体" w:cs="宋体"/>
                <w:b w:val="0"/>
                <w:bCs/>
                <w:color w:val="000000"/>
                <w:sz w:val="21"/>
                <w:szCs w:val="21"/>
                <w:highlight w:val="none"/>
                <w:lang w:bidi="ar"/>
              </w:rPr>
              <w:t xml:space="preserve">备注</w:t>
            </w:r>
            <w:r>
              <w:rPr>
                <w:rFonts w:hint="eastAsia" w:ascii="宋体" w:hAnsi="宋体" w:eastAsia="宋体" w:cs="宋体"/>
                <w:b w:val="0"/>
                <w:bCs/>
                <w:color w:val="000000"/>
                <w:sz w:val="21"/>
                <w:szCs w:val="21"/>
                <w:highlight w:val="none"/>
                <w:lang w:bidi="ar"/>
              </w:rPr>
            </w:r>
            <w:r/>
          </w:p>
        </w:tc>
      </w:tr>
      <w:tr>
        <w:trPr>
          <w:trHeight w:val="658"/>
        </w:trPr>
        <w:tc>
          <w:tcPr>
            <w:tcW w:w="975"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1</w:t>
            </w:r>
            <w:r>
              <w:rPr>
                <w:rFonts w:hint="eastAsia" w:ascii="宋体" w:hAnsi="宋体" w:eastAsia="宋体" w:cs="宋体"/>
                <w:b w:val="0"/>
                <w:bCs/>
                <w:color w:val="000000"/>
                <w:sz w:val="21"/>
                <w:szCs w:val="21"/>
                <w:highlight w:val="none"/>
                <w:lang w:val="en-US" w:eastAsia="zh-CN" w:bidi="ar"/>
              </w:rPr>
            </w:r>
            <w:r/>
          </w:p>
        </w:tc>
        <w:tc>
          <w:tcPr>
            <w:tcW w:w="2246"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环保型预制型橡胶跑道</w:t>
            </w:r>
            <w:r>
              <w:rPr>
                <w:rFonts w:hint="eastAsia" w:ascii="宋体" w:hAnsi="宋体" w:eastAsia="宋体" w:cs="宋体"/>
                <w:b w:val="0"/>
                <w:bCs/>
                <w:color w:val="000000"/>
                <w:sz w:val="21"/>
                <w:szCs w:val="21"/>
                <w:highlight w:val="none"/>
                <w:lang w:val="en-US" w:eastAsia="zh-CN" w:bidi="ar"/>
              </w:rPr>
            </w:r>
            <w:r/>
          </w:p>
        </w:tc>
        <w:tc>
          <w:tcPr>
            <w:tcW w:w="3867"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江苏长诺、南京高健、湖南盛亚</w:t>
            </w:r>
            <w:r>
              <w:rPr>
                <w:rFonts w:hint="eastAsia" w:ascii="宋体" w:hAnsi="宋体" w:eastAsia="宋体" w:cs="宋体"/>
                <w:b w:val="0"/>
                <w:bCs/>
                <w:color w:val="000000"/>
                <w:sz w:val="21"/>
                <w:szCs w:val="21"/>
                <w:highlight w:val="none"/>
                <w:lang w:val="en-US" w:eastAsia="zh-CN" w:bidi="ar"/>
              </w:rPr>
              <w:tab/>
            </w:r>
            <w:r>
              <w:rPr>
                <w:rFonts w:hint="eastAsia" w:ascii="宋体" w:hAnsi="宋体" w:eastAsia="宋体" w:cs="宋体"/>
                <w:b w:val="0"/>
                <w:bCs/>
                <w:color w:val="000000"/>
                <w:sz w:val="21"/>
                <w:szCs w:val="21"/>
                <w:highlight w:val="none"/>
                <w:lang w:val="en-US" w:eastAsia="zh-CN" w:bidi="ar"/>
              </w:rPr>
            </w:r>
            <w:r/>
          </w:p>
        </w:tc>
        <w:tc>
          <w:tcPr>
            <w:tcW w:w="2378"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厚度13mm，大小：50cm*50cm；</w:t>
            </w:r>
            <w:r>
              <w:rPr>
                <w:rFonts w:hint="eastAsia" w:ascii="宋体" w:hAnsi="宋体" w:eastAsia="宋体" w:cs="宋体"/>
                <w:b w:val="0"/>
                <w:bCs/>
                <w:color w:val="000000"/>
                <w:sz w:val="21"/>
                <w:szCs w:val="21"/>
                <w:highlight w:val="none"/>
                <w:u w:val="none"/>
                <w:lang w:val="en-US" w:eastAsia="zh-CN" w:bidi="ar"/>
              </w:rPr>
              <w:t xml:space="preserve">响应时提供样品评审，中标后</w:t>
            </w:r>
            <w:r>
              <w:rPr>
                <w:rFonts w:hint="eastAsia" w:ascii="宋体" w:hAnsi="宋体" w:eastAsia="宋体" w:cs="宋体"/>
                <w:b w:val="0"/>
                <w:bCs/>
                <w:color w:val="000000"/>
                <w:sz w:val="21"/>
                <w:szCs w:val="21"/>
                <w:highlight w:val="none"/>
                <w:lang w:val="en-US" w:eastAsia="zh-CN" w:bidi="ar"/>
              </w:rPr>
              <w:t xml:space="preserve">合同签订前提供样品至采购人处。</w:t>
            </w:r>
            <w:r>
              <w:rPr>
                <w:rFonts w:hint="eastAsia" w:ascii="宋体" w:hAnsi="宋体" w:eastAsia="宋体" w:cs="宋体"/>
                <w:b w:val="0"/>
                <w:bCs/>
                <w:color w:val="000000"/>
                <w:sz w:val="21"/>
                <w:szCs w:val="21"/>
                <w:highlight w:val="none"/>
                <w:lang w:val="en-US" w:eastAsia="zh-CN" w:bidi="ar"/>
              </w:rPr>
            </w:r>
            <w:r/>
          </w:p>
        </w:tc>
      </w:tr>
      <w:tr>
        <w:trPr>
          <w:trHeight w:val="658"/>
        </w:trPr>
        <w:tc>
          <w:tcPr>
            <w:tcW w:w="975"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2</w:t>
            </w:r>
            <w:r>
              <w:rPr>
                <w:rFonts w:hint="eastAsia" w:ascii="宋体" w:hAnsi="宋体" w:eastAsia="宋体" w:cs="宋体"/>
                <w:b w:val="0"/>
                <w:bCs/>
                <w:color w:val="000000"/>
                <w:sz w:val="21"/>
                <w:szCs w:val="21"/>
                <w:highlight w:val="none"/>
                <w:lang w:val="en-US" w:eastAsia="zh-CN" w:bidi="ar"/>
              </w:rPr>
            </w:r>
            <w:r/>
          </w:p>
        </w:tc>
        <w:tc>
          <w:tcPr>
            <w:tcW w:w="2246"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人造草坪</w:t>
            </w:r>
            <w:r>
              <w:rPr>
                <w:rFonts w:hint="eastAsia" w:ascii="宋体" w:hAnsi="宋体" w:eastAsia="宋体" w:cs="宋体"/>
                <w:b w:val="0"/>
                <w:bCs/>
                <w:color w:val="000000"/>
                <w:sz w:val="21"/>
                <w:szCs w:val="21"/>
                <w:highlight w:val="none"/>
                <w:lang w:val="en-US" w:eastAsia="zh-CN" w:bidi="ar"/>
              </w:rPr>
            </w:r>
            <w:r/>
          </w:p>
        </w:tc>
        <w:tc>
          <w:tcPr>
            <w:tcW w:w="3867"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江苏共创、北京火炬、广东利蒙塔</w:t>
            </w:r>
            <w:r>
              <w:rPr>
                <w:rFonts w:hint="eastAsia" w:ascii="宋体" w:hAnsi="宋体" w:eastAsia="宋体" w:cs="宋体"/>
                <w:b w:val="0"/>
                <w:bCs/>
                <w:color w:val="000000"/>
                <w:sz w:val="21"/>
                <w:szCs w:val="21"/>
                <w:highlight w:val="none"/>
                <w:lang w:val="en-US" w:eastAsia="zh-CN" w:bidi="ar"/>
              </w:rPr>
              <w:tab/>
            </w:r>
            <w:r>
              <w:rPr>
                <w:rFonts w:hint="eastAsia" w:ascii="宋体" w:hAnsi="宋体" w:eastAsia="宋体" w:cs="宋体"/>
                <w:b w:val="0"/>
                <w:bCs/>
                <w:color w:val="000000"/>
                <w:sz w:val="21"/>
                <w:szCs w:val="21"/>
                <w:highlight w:val="none"/>
                <w:lang w:val="en-US" w:eastAsia="zh-CN" w:bidi="ar"/>
              </w:rPr>
            </w:r>
            <w:r/>
          </w:p>
        </w:tc>
        <w:tc>
          <w:tcPr>
            <w:tcW w:w="2378"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高度50mm,大小：50cm*50cm；</w:t>
            </w:r>
            <w:r>
              <w:rPr>
                <w:rFonts w:hint="eastAsia" w:ascii="宋体" w:hAnsi="宋体" w:eastAsia="宋体" w:cs="宋体"/>
                <w:b w:val="0"/>
                <w:bCs/>
                <w:color w:val="000000"/>
                <w:sz w:val="21"/>
                <w:szCs w:val="21"/>
                <w:highlight w:val="none"/>
                <w:u w:val="none"/>
                <w:lang w:val="en-US" w:eastAsia="zh-CN" w:bidi="ar"/>
              </w:rPr>
              <w:t xml:space="preserve">响应时提供样品评审，中标后</w:t>
            </w:r>
            <w:r>
              <w:rPr>
                <w:rFonts w:hint="eastAsia" w:ascii="宋体" w:hAnsi="宋体" w:eastAsia="宋体" w:cs="宋体"/>
                <w:b w:val="0"/>
                <w:bCs/>
                <w:color w:val="000000"/>
                <w:sz w:val="21"/>
                <w:szCs w:val="21"/>
                <w:highlight w:val="none"/>
                <w:lang w:val="en-US" w:eastAsia="zh-CN" w:bidi="ar"/>
              </w:rPr>
              <w:t xml:space="preserve">合同签订前提供样品至采购人处。</w:t>
            </w:r>
            <w:r>
              <w:rPr>
                <w:rFonts w:hint="eastAsia" w:ascii="宋体" w:hAnsi="宋体" w:eastAsia="宋体" w:cs="宋体"/>
                <w:b w:val="0"/>
                <w:bCs/>
                <w:color w:val="000000"/>
                <w:sz w:val="21"/>
                <w:szCs w:val="21"/>
                <w:highlight w:val="none"/>
                <w:lang w:val="en-US" w:eastAsia="zh-CN" w:bidi="ar"/>
              </w:rPr>
            </w:r>
            <w:r/>
          </w:p>
        </w:tc>
      </w:tr>
    </w:tbl>
    <w:p>
      <w:pPr>
        <w:pStyle w:val="679"/>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eastAsia="zh-CN"/>
        </w:rPr>
        <w:t xml:space="preserve">样品递交要求</w:t>
      </w:r>
      <w:r>
        <w:rPr>
          <w:rFonts w:hint="eastAsia" w:ascii="宋体" w:hAnsi="宋体" w:eastAsia="宋体" w:cs="宋体"/>
          <w:b/>
          <w:bCs w:val="0"/>
          <w:color w:val="000000"/>
          <w:sz w:val="21"/>
          <w:szCs w:val="21"/>
          <w:highlight w:val="none"/>
          <w:lang w:eastAsia="zh-CN"/>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（1）样品提交（</w:t>
      </w:r>
      <w:r>
        <w:rPr>
          <w:rFonts w:hint="eastAsia" w:ascii="宋体" w:hAnsi="宋体" w:eastAsia="宋体" w:cs="宋体"/>
          <w:bCs/>
          <w:color w:val="000000"/>
          <w:sz w:val="21"/>
          <w:szCs w:val="21"/>
          <w:highlight w:val="none"/>
          <w:lang w:val="en-US" w:eastAsia="zh-CN" w:bidi="ar"/>
        </w:rPr>
        <w:t xml:space="preserve">或邮寄送达</w:t>
      </w:r>
      <w:r>
        <w:rPr>
          <w:rFonts w:hint="eastAsia" w:ascii="宋体" w:hAnsi="宋体" w:eastAsia="宋体" w:cs="宋体"/>
          <w:bCs/>
          <w:color w:val="000000"/>
          <w:sz w:val="21"/>
          <w:szCs w:val="21"/>
          <w:highlight w:val="none"/>
          <w:lang w:eastAsia="zh-CN" w:bidi="ar"/>
        </w:rPr>
        <w:t xml:space="preserve">）时间：</w:t>
      </w:r>
      <w:r>
        <w:rPr>
          <w:rFonts w:hint="eastAsia" w:ascii="宋体" w:hAnsi="宋体" w:eastAsia="宋体" w:cs="宋体"/>
          <w:bCs/>
          <w:color w:val="000000"/>
          <w:sz w:val="21"/>
          <w:szCs w:val="21"/>
          <w:highlight w:val="none"/>
          <w:lang w:eastAsia="zh-CN" w:bidi="ar"/>
        </w:rPr>
        <w:t xml:space="preserve">202</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t xml:space="preserve">年</w:t>
      </w:r>
      <w:r>
        <w:rPr>
          <w:rFonts w:hint="eastAsia" w:ascii="宋体" w:hAnsi="宋体" w:eastAsia="宋体" w:cs="宋体"/>
          <w:bCs/>
          <w:color w:val="000000"/>
          <w:sz w:val="21"/>
          <w:szCs w:val="21"/>
          <w:highlight w:val="none"/>
          <w:lang w:val="en-US" w:eastAsia="zh-CN" w:bidi="ar"/>
        </w:rPr>
        <w:t xml:space="preserve">7</w:t>
      </w:r>
      <w:r>
        <w:rPr>
          <w:rFonts w:hint="eastAsia" w:ascii="宋体" w:hAnsi="宋体" w:eastAsia="宋体" w:cs="宋体"/>
          <w:bCs/>
          <w:color w:val="000000"/>
          <w:sz w:val="21"/>
          <w:szCs w:val="21"/>
          <w:highlight w:val="none"/>
          <w:lang w:eastAsia="zh-CN" w:bidi="ar"/>
        </w:rPr>
        <w:t xml:space="preserve">月</w:t>
      </w:r>
      <w:r>
        <w:rPr>
          <w:rFonts w:hint="eastAsia" w:ascii="宋体" w:hAnsi="宋体" w:eastAsia="宋体" w:cs="宋体"/>
          <w:bCs/>
          <w:color w:val="000000"/>
          <w:sz w:val="21"/>
          <w:szCs w:val="21"/>
          <w:highlight w:val="none"/>
          <w:lang w:val="en-US" w:eastAsia="zh-CN" w:bidi="ar"/>
        </w:rPr>
        <w:t xml:space="preserve">29</w:t>
      </w:r>
      <w:r>
        <w:rPr>
          <w:rFonts w:hint="eastAsia" w:ascii="宋体" w:hAnsi="宋体" w:eastAsia="宋体" w:cs="宋体"/>
          <w:bCs/>
          <w:color w:val="000000"/>
          <w:sz w:val="21"/>
          <w:szCs w:val="21"/>
          <w:highlight w:val="none"/>
          <w:lang w:eastAsia="zh-CN" w:bidi="ar"/>
        </w:rPr>
        <w:t xml:space="preserve">日0</w:t>
      </w:r>
      <w:r>
        <w:rPr>
          <w:rFonts w:hint="eastAsia" w:ascii="宋体" w:hAnsi="宋体" w:eastAsia="宋体" w:cs="宋体"/>
          <w:bCs/>
          <w:color w:val="000000"/>
          <w:sz w:val="21"/>
          <w:szCs w:val="21"/>
          <w:highlight w:val="none"/>
          <w:lang w:val="en-US" w:eastAsia="zh-CN" w:bidi="ar"/>
        </w:rPr>
        <w:t xml:space="preserve">9</w:t>
      </w:r>
      <w:r>
        <w:rPr>
          <w:rFonts w:hint="eastAsia" w:ascii="宋体" w:hAnsi="宋体" w:eastAsia="宋体" w:cs="宋体"/>
          <w:bCs/>
          <w:color w:val="000000"/>
          <w:sz w:val="21"/>
          <w:szCs w:val="21"/>
          <w:highlight w:val="none"/>
          <w:lang w:eastAsia="zh-CN" w:bidi="ar"/>
        </w:rPr>
        <w:t xml:space="preserve">:30起至1</w:t>
      </w:r>
      <w:r>
        <w:rPr>
          <w:rFonts w:hint="eastAsia" w:ascii="宋体" w:hAnsi="宋体" w:eastAsia="宋体" w:cs="宋体"/>
          <w:bCs/>
          <w:color w:val="000000"/>
          <w:sz w:val="21"/>
          <w:szCs w:val="21"/>
          <w:highlight w:val="none"/>
          <w:lang w:val="en-US" w:eastAsia="zh-CN" w:bidi="ar"/>
        </w:rPr>
        <w:t xml:space="preserve">7</w:t>
      </w:r>
      <w:r>
        <w:rPr>
          <w:rFonts w:hint="eastAsia" w:ascii="宋体" w:hAnsi="宋体" w:eastAsia="宋体" w:cs="宋体"/>
          <w:bCs/>
          <w:color w:val="000000"/>
          <w:sz w:val="21"/>
          <w:szCs w:val="21"/>
          <w:highlight w:val="none"/>
          <w:lang w:eastAsia="zh-CN" w:bidi="ar"/>
        </w:rPr>
        <w:t xml:space="preserve">:30止</w:t>
      </w:r>
      <w:r>
        <w:rPr>
          <w:rFonts w:hint="eastAsia" w:ascii="宋体" w:hAnsi="宋体" w:eastAsia="宋体" w:cs="宋体"/>
          <w:bCs/>
          <w:color w:val="000000"/>
          <w:sz w:val="21"/>
          <w:szCs w:val="21"/>
          <w:highlight w:val="none"/>
          <w:lang w:eastAsia="zh-CN" w:bidi="ar"/>
        </w:rPr>
        <w:t xml:space="preserve">，在此期间样品由供应商自行保管。采购人及</w:t>
      </w:r>
      <w:r>
        <w:rPr>
          <w:rFonts w:hint="eastAsia" w:ascii="宋体" w:hAnsi="宋体" w:eastAsia="宋体" w:cs="宋体"/>
          <w:bCs/>
          <w:color w:val="000000"/>
          <w:sz w:val="21"/>
          <w:szCs w:val="21"/>
          <w:highlight w:val="none"/>
          <w:lang w:val="en-US" w:eastAsia="zh-CN" w:bidi="ar"/>
        </w:rPr>
        <w:t xml:space="preserve">代理机构</w:t>
      </w:r>
      <w:r>
        <w:rPr>
          <w:rFonts w:hint="eastAsia" w:ascii="宋体" w:hAnsi="宋体" w:eastAsia="宋体" w:cs="宋体"/>
          <w:bCs/>
          <w:color w:val="000000"/>
          <w:sz w:val="21"/>
          <w:szCs w:val="21"/>
          <w:highlight w:val="none"/>
          <w:lang w:eastAsia="zh-CN" w:bidi="ar"/>
        </w:rPr>
        <w:t xml:space="preserve">不接收在样品递交截止时间后递交的样品。</w:t>
      </w:r>
      <w:r>
        <w:rPr>
          <w:rFonts w:hint="eastAsia" w:ascii="宋体" w:hAnsi="宋体" w:eastAsia="宋体" w:cs="宋体"/>
          <w:bCs/>
          <w:color w:val="000000"/>
          <w:sz w:val="21"/>
          <w:szCs w:val="21"/>
          <w:highlight w:val="none"/>
          <w:lang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（2）样品递交地点：南京市建邺区云龙山路89号龙湖天街1栋29楼。联系人：</w:t>
      </w:r>
      <w:r>
        <w:rPr>
          <w:rFonts w:hint="eastAsia" w:ascii="宋体" w:hAnsi="宋体" w:eastAsia="宋体" w:cs="宋体"/>
          <w:bCs/>
          <w:color w:val="000000"/>
          <w:sz w:val="21"/>
          <w:szCs w:val="21"/>
          <w:highlight w:val="none"/>
          <w:lang w:val="en-US" w:eastAsia="zh-CN" w:bidi="ar"/>
        </w:rPr>
        <w:t xml:space="preserve">曹工</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val="en-US" w:eastAsia="zh-CN" w:bidi="ar"/>
        </w:rPr>
        <w:t xml:space="preserve">025-58066836、025-58875827-0</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（3）</w:t>
      </w:r>
      <w:r>
        <w:rPr>
          <w:rFonts w:hint="eastAsia" w:ascii="宋体" w:hAnsi="宋体" w:eastAsia="宋体" w:cs="宋体"/>
          <w:bCs/>
          <w:color w:val="000000"/>
          <w:sz w:val="21"/>
          <w:szCs w:val="21"/>
          <w:highlight w:val="none"/>
          <w:lang w:val="en-US" w:eastAsia="zh-CN" w:bidi="ar"/>
        </w:rPr>
        <w:t xml:space="preserve">供应商递交方式：①如选择现场递交：</w:t>
      </w:r>
      <w:r>
        <w:rPr>
          <w:rFonts w:hint="eastAsia" w:ascii="宋体" w:hAnsi="宋体" w:eastAsia="宋体" w:cs="宋体"/>
          <w:bCs/>
          <w:color w:val="000000"/>
          <w:sz w:val="21"/>
          <w:szCs w:val="21"/>
          <w:highlight w:val="none"/>
          <w:lang w:eastAsia="zh-CN" w:bidi="ar"/>
        </w:rPr>
        <w:t xml:space="preserve">递交样品时应服从现场工作人员要求，按要求递交样品并签到，不得翻看他人样品及进行拍照，供应商如出现违法违规行为的，视为未提交样品并按照相应法律追究责任。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Pr>
          <w:rFonts w:hint="eastAsia" w:ascii="宋体" w:hAnsi="宋体" w:eastAsia="宋体" w:cs="宋体"/>
          <w:bCs/>
          <w:color w:val="000000"/>
          <w:sz w:val="21"/>
          <w:szCs w:val="21"/>
          <w:highlight w:val="none"/>
          <w:lang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②如选择邮寄送达：请自行承担邮寄在途时间、样品运输破损、丢失责任、邮寄送达滞后等导致样品不满足要求或者无法接受等，均由其供应商负责，采购人及代理机构不对其负责。</w:t>
      </w:r>
      <w:r>
        <w:rPr>
          <w:rFonts w:hint="eastAsia" w:ascii="宋体" w:hAnsi="宋体" w:eastAsia="宋体" w:cs="宋体"/>
          <w:bCs/>
          <w:color w:val="000000"/>
          <w:sz w:val="21"/>
          <w:szCs w:val="21"/>
          <w:highlight w:val="none"/>
          <w:lang w:eastAsia="zh-CN" w:bidi="ar"/>
        </w:rPr>
        <w:t xml:space="preserve">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Pr>
          <w:rFonts w:hint="eastAsia" w:ascii="宋体" w:hAnsi="宋体" w:eastAsia="宋体" w:cs="宋体"/>
          <w:bCs/>
          <w:color w:val="000000"/>
          <w:sz w:val="21"/>
          <w:szCs w:val="21"/>
          <w:highlight w:val="none"/>
          <w:lang w:val="en-US"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（4）样品的退还。未中标样品在在招标投标活动结束后</w:t>
      </w:r>
      <w:r>
        <w:rPr>
          <w:rFonts w:hint="eastAsia" w:ascii="宋体" w:hAnsi="宋体" w:eastAsia="宋体" w:cs="宋体"/>
          <w:bCs/>
          <w:color w:val="000000"/>
          <w:sz w:val="21"/>
          <w:szCs w:val="21"/>
          <w:highlight w:val="none"/>
          <w:lang w:val="en-US" w:eastAsia="zh-CN" w:bidi="ar"/>
        </w:rPr>
        <w:t xml:space="preserve">经采购代理机构通知后</w:t>
      </w:r>
      <w:r>
        <w:rPr>
          <w:rFonts w:hint="eastAsia" w:ascii="宋体" w:hAnsi="宋体" w:eastAsia="宋体" w:cs="宋体"/>
          <w:bCs/>
          <w:color w:val="000000"/>
          <w:sz w:val="21"/>
          <w:szCs w:val="21"/>
          <w:highlight w:val="none"/>
          <w:lang w:eastAsia="zh-CN" w:bidi="ar"/>
        </w:rPr>
        <w:t xml:space="preserve">由供应商自行</w:t>
      </w:r>
      <w:r>
        <w:rPr>
          <w:rFonts w:hint="eastAsia" w:ascii="宋体" w:hAnsi="宋体" w:eastAsia="宋体" w:cs="宋体"/>
          <w:bCs/>
          <w:color w:val="000000"/>
          <w:sz w:val="21"/>
          <w:szCs w:val="21"/>
          <w:highlight w:val="none"/>
          <w:lang w:val="en-US" w:eastAsia="zh-CN" w:bidi="ar"/>
        </w:rPr>
        <w:t xml:space="preserve">带走</w:t>
      </w:r>
      <w:r>
        <w:rPr>
          <w:rFonts w:hint="eastAsia" w:ascii="宋体" w:hAnsi="宋体" w:eastAsia="宋体" w:cs="宋体"/>
          <w:bCs/>
          <w:color w:val="000000"/>
          <w:sz w:val="21"/>
          <w:szCs w:val="21"/>
          <w:highlight w:val="none"/>
          <w:lang w:eastAsia="zh-CN" w:bidi="ar"/>
        </w:rPr>
        <w:t xml:space="preserve">（费用自理），</w:t>
      </w:r>
      <w:r>
        <w:rPr>
          <w:rFonts w:hint="eastAsia" w:ascii="宋体" w:hAnsi="宋体" w:eastAsia="宋体" w:cs="宋体"/>
          <w:bCs/>
          <w:color w:val="000000"/>
          <w:sz w:val="21"/>
          <w:szCs w:val="21"/>
          <w:highlight w:val="none"/>
          <w:lang w:val="en-US" w:eastAsia="zh-CN" w:bidi="ar"/>
        </w:rPr>
        <w:t xml:space="preserve">如邮寄退回（费用自理）采购代理机构不对邮寄样品的完整性负责</w:t>
      </w:r>
      <w:r>
        <w:rPr>
          <w:rFonts w:hint="eastAsia" w:ascii="宋体" w:hAnsi="宋体" w:eastAsia="宋体" w:cs="宋体"/>
          <w:bCs/>
          <w:color w:val="000000"/>
          <w:sz w:val="21"/>
          <w:szCs w:val="21"/>
          <w:highlight w:val="none"/>
          <w:lang w:eastAsia="zh-CN" w:bidi="ar"/>
        </w:rPr>
        <w:t xml:space="preserve">，各供应商应在接到退还通知后，</w:t>
      </w:r>
      <w:r>
        <w:rPr>
          <w:rFonts w:hint="eastAsia" w:ascii="宋体" w:hAnsi="宋体" w:eastAsia="宋体" w:cs="宋体"/>
          <w:bCs/>
          <w:color w:val="000000"/>
          <w:sz w:val="21"/>
          <w:szCs w:val="21"/>
          <w:highlight w:val="none"/>
          <w:lang w:val="en-US" w:eastAsia="zh-CN" w:bidi="ar"/>
        </w:rPr>
        <w:t xml:space="preserve">1天</w:t>
      </w:r>
      <w:r>
        <w:rPr>
          <w:rFonts w:hint="eastAsia" w:ascii="宋体" w:hAnsi="宋体" w:eastAsia="宋体" w:cs="宋体"/>
          <w:bCs/>
          <w:color w:val="000000"/>
          <w:sz w:val="21"/>
          <w:szCs w:val="21"/>
          <w:highlight w:val="none"/>
          <w:lang w:eastAsia="zh-CN" w:bidi="ar"/>
        </w:rPr>
        <w:t xml:space="preserve">内将样品搬离样品递交现场，超过</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t xml:space="preserve">天未退还的，由采购人或</w:t>
      </w:r>
      <w:r>
        <w:rPr>
          <w:rFonts w:hint="eastAsia" w:ascii="宋体" w:hAnsi="宋体" w:eastAsia="宋体" w:cs="宋体"/>
          <w:bCs/>
          <w:color w:val="000000"/>
          <w:sz w:val="21"/>
          <w:szCs w:val="21"/>
          <w:highlight w:val="none"/>
          <w:lang w:val="en-US" w:eastAsia="zh-CN" w:bidi="ar"/>
        </w:rPr>
        <w:t xml:space="preserve">采购代理机构</w:t>
      </w:r>
      <w:r>
        <w:rPr>
          <w:rFonts w:hint="eastAsia" w:ascii="宋体" w:hAnsi="宋体" w:eastAsia="宋体" w:cs="宋体"/>
          <w:bCs/>
          <w:color w:val="000000"/>
          <w:sz w:val="21"/>
          <w:szCs w:val="21"/>
          <w:highlight w:val="none"/>
          <w:lang w:eastAsia="zh-CN" w:bidi="ar"/>
        </w:rPr>
        <w:t xml:space="preserve">处置。</w:t>
      </w:r>
      <w:r>
        <w:rPr>
          <w:rFonts w:hint="eastAsia" w:ascii="宋体" w:hAnsi="宋体" w:eastAsia="宋体" w:cs="宋体"/>
          <w:bCs/>
          <w:color w:val="000000"/>
          <w:sz w:val="21"/>
          <w:szCs w:val="21"/>
          <w:highlight w:val="none"/>
          <w:lang w:val="en-US" w:eastAsia="zh-CN" w:bidi="ar"/>
        </w:rPr>
        <w:t xml:space="preserve">成交供应商</w:t>
      </w:r>
      <w:r>
        <w:rPr>
          <w:rFonts w:hint="eastAsia" w:ascii="宋体" w:hAnsi="宋体" w:eastAsia="宋体" w:cs="宋体"/>
          <w:bCs/>
          <w:color w:val="000000"/>
          <w:sz w:val="21"/>
          <w:szCs w:val="21"/>
          <w:highlight w:val="none"/>
          <w:lang w:eastAsia="zh-CN" w:bidi="ar"/>
        </w:rPr>
        <w:t xml:space="preserve">的样品</w:t>
      </w:r>
      <w:r>
        <w:rPr>
          <w:rFonts w:hint="eastAsia" w:ascii="宋体" w:hAnsi="宋体" w:eastAsia="宋体" w:cs="宋体"/>
          <w:bCs/>
          <w:color w:val="000000"/>
          <w:sz w:val="21"/>
          <w:szCs w:val="21"/>
          <w:highlight w:val="none"/>
          <w:lang w:val="en-US" w:eastAsia="zh-CN" w:bidi="ar"/>
        </w:rPr>
        <w:t xml:space="preserve">将封存，并按照采购人要求</w:t>
      </w:r>
      <w:r>
        <w:rPr>
          <w:rFonts w:hint="eastAsia" w:ascii="宋体" w:hAnsi="宋体" w:eastAsia="宋体" w:cs="宋体"/>
          <w:bCs/>
          <w:color w:val="000000"/>
          <w:sz w:val="21"/>
          <w:szCs w:val="21"/>
          <w:highlight w:val="none"/>
          <w:lang w:eastAsia="zh-CN" w:bidi="ar"/>
        </w:rPr>
        <w:t xml:space="preserve">负责运送到指定地点，</w:t>
      </w:r>
      <w:r>
        <w:rPr>
          <w:rFonts w:hint="eastAsia" w:ascii="宋体" w:hAnsi="宋体" w:eastAsia="宋体" w:cs="宋体"/>
          <w:bCs/>
          <w:color w:val="000000"/>
          <w:sz w:val="21"/>
          <w:szCs w:val="21"/>
          <w:highlight w:val="none"/>
          <w:lang w:val="en-US" w:eastAsia="zh-CN" w:bidi="ar"/>
        </w:rPr>
        <w:t xml:space="preserve">后期作为项目实施和验收的依据</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eastAsia="zh-CN" w:bidi="ar"/>
        </w:rPr>
      </w:r>
      <w:r/>
    </w:p>
    <w:p>
      <w:pPr>
        <w:pStyle w:val="679"/>
        <w:numPr>
          <w:ilvl w:val="0"/>
          <w:numId w:val="0"/>
        </w:numPr>
        <w:rPr>
          <w:color w:val="000000"/>
          <w:highlight w:val="none"/>
          <w:lang w:val="en-US" w:eastAsia="zh-CN"/>
        </w:rPr>
      </w:pPr>
      <w:r>
        <w:rPr>
          <w:color w:val="000000"/>
          <w:highlight w:val="none"/>
          <w:lang w:val="en-US" w:eastAsia="zh-CN"/>
        </w:rPr>
      </w:r>
      <w:r/>
    </w:p>
    <w:p>
      <w:pPr>
        <w:pStyle w:val="681"/>
        <w:ind w:left="0"/>
        <w:spacing w:line="360" w:lineRule="auto"/>
        <w:rPr>
          <w:rFonts w:hint="eastAsia" w:ascii="宋体" w:hAnsi="宋体" w:eastAsia="宋体" w:cs="宋体"/>
          <w:color w:val="000000"/>
          <w:sz w:val="21"/>
          <w:szCs w:val="21"/>
          <w:highlight w:val="none"/>
          <w:lang w:eastAsia="zh-CN"/>
        </w:rPr>
      </w:pPr>
      <w:r/>
      <w:bookmarkStart w:id="77" w:name="_Toc29352"/>
      <w:r/>
      <w:bookmarkStart w:id="78" w:name="_Toc3272"/>
      <w:r>
        <w:rPr>
          <w:rFonts w:hint="eastAsia" w:ascii="宋体" w:hAnsi="宋体" w:eastAsia="宋体" w:cs="宋体"/>
          <w:b/>
          <w:bCs w:val="0"/>
          <w:color w:val="000000"/>
          <w:sz w:val="21"/>
          <w:szCs w:val="21"/>
          <w:highlight w:val="none"/>
          <w:lang w:val="en-US" w:eastAsia="zh-CN"/>
        </w:rPr>
        <w:t xml:space="preserve">八、</w:t>
      </w:r>
      <w:r>
        <w:rPr>
          <w:rFonts w:hint="eastAsia" w:ascii="宋体" w:hAnsi="宋体" w:eastAsia="宋体" w:cs="宋体"/>
          <w:color w:val="000000"/>
          <w:sz w:val="21"/>
          <w:szCs w:val="21"/>
          <w:highlight w:val="none"/>
          <w:lang w:eastAsia="zh-CN"/>
        </w:rPr>
        <w:t xml:space="preserve">田径场塑胶跑道和人造草坪技术参数要求:（</w:t>
      </w:r>
      <w:r>
        <w:rPr>
          <w:rFonts w:hint="eastAsia" w:ascii="宋体" w:hAnsi="宋体" w:eastAsia="宋体" w:cs="宋体"/>
          <w:color w:val="000000"/>
          <w:sz w:val="21"/>
          <w:szCs w:val="21"/>
          <w:highlight w:val="none"/>
          <w:lang w:val="en-US" w:eastAsia="zh-CN"/>
        </w:rPr>
        <w:t xml:space="preserve">除明确需要提供的佐证证明材料以外，其他内容以技术偏离表中逐条响应，未响应视为无效投标</w:t>
      </w:r>
      <w:r>
        <w:rPr>
          <w:rFonts w:hint="eastAsia" w:ascii="宋体" w:hAnsi="宋体" w:eastAsia="宋体" w:cs="宋体"/>
          <w:color w:val="000000"/>
          <w:sz w:val="21"/>
          <w:szCs w:val="21"/>
          <w:highlight w:val="none"/>
          <w:lang w:eastAsia="zh-CN"/>
        </w:rPr>
        <w:t xml:space="preserve">）</w:t>
      </w:r>
      <w:bookmarkEnd w:id="77"/>
      <w:r/>
      <w:bookmarkEnd w:id="78"/>
      <w:r>
        <w:rPr>
          <w:rFonts w:hint="eastAsia" w:ascii="宋体" w:hAnsi="宋体" w:eastAsia="宋体" w:cs="宋体"/>
          <w:color w:val="000000"/>
          <w:sz w:val="21"/>
          <w:szCs w:val="21"/>
          <w:highlight w:val="none"/>
          <w:lang w:eastAsia="zh-CN"/>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所有施工均严格遵循国家体育场地建设相关标准（GB/T 14833等），具体建设内容如下：</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1、草坪翻新内容</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（1）原草坪拆除：对场地内所有老化的人造草坪及杂草进行彻底清理拆除</w:t>
      </w:r>
      <w:r>
        <w:rPr>
          <w:rFonts w:hint="eastAsia" w:ascii="宋体" w:hAnsi="宋体" w:eastAsia="宋体" w:cs="宋体"/>
          <w:b w:val="0"/>
          <w:bCs w:val="0"/>
          <w:color w:val="000000"/>
          <w:sz w:val="21"/>
          <w:szCs w:val="21"/>
          <w:highlight w:val="none"/>
          <w:lang w:val="en-US" w:eastAsia="zh-CN" w:bidi="ar-SA"/>
        </w:rPr>
        <w:t xml:space="preserve">、清理、清运、处置</w:t>
      </w:r>
      <w:r>
        <w:rPr>
          <w:rFonts w:hint="eastAsia" w:ascii="宋体" w:hAnsi="宋体" w:eastAsia="宋体" w:cs="宋体"/>
          <w:b w:val="0"/>
          <w:bCs w:val="0"/>
          <w:color w:val="000000"/>
          <w:sz w:val="21"/>
          <w:szCs w:val="21"/>
          <w:highlight w:val="none"/>
          <w:lang w:val="en-US" w:eastAsia="zh-CN" w:bidi="ar-SA"/>
        </w:rPr>
        <w:t xml:space="preserve">，采用专业机械剥离草坪表层，确保拆除干净，无残留人造草坪及其它杂物；拆除后的草坪废料进行集中收集、分类处理，优先采用环保回收方式，避免环境污染；拆除完成后，对场地表层进行初步清理，为后续沥青基础修补做好准备。</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沥青基础平整：对拆除草坪后的沥青基础进行全面排查，标注破损、坑洼、裂缝等问题区域；对裂缝区域，采用专业填补材料进行灌注、压实，确保裂缝填补牢固，无松动、空鼓现象；对坑洼、破损区域，进行切割、清理，铺设新的沥青混合料，采用专业机械碾压平整，确保修补后区域与原有沥青基础衔接顺畅、高度一致；对整个沥青基础进行全面平整、压实处理，确保场地平整度误差符合国家足球场地标准（平整度≤3mm/3m），表面无积水死角、无凸起凹陷，提升基础承载能力和稳定性，为草坪铺设奠定坚实基础。</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（3）草坪铺设：选用优质人造草坪（草高50m</w:t>
      </w:r>
      <w:r>
        <w:rPr>
          <w:rFonts w:hint="eastAsia" w:ascii="宋体" w:hAnsi="宋体" w:eastAsia="宋体" w:cs="宋体"/>
          <w:b w:val="0"/>
          <w:bCs w:val="0"/>
          <w:color w:val="000000"/>
          <w:sz w:val="21"/>
          <w:szCs w:val="21"/>
          <w:highlight w:val="none"/>
          <w:lang w:val="en-US" w:eastAsia="zh-CN" w:bidi="ar-SA"/>
        </w:rPr>
        <w:t xml:space="preserve">m，填充石英砂+橡胶颗粒，耐踩踏次数≥50万次，符合高校体育场地环保标准，无异味、无污染），按照标准11人制足球场规格进行规范铺设；铺设前对沥青基础进行除尘、防潮处理，确保基础表面干燥、整洁；草坪铺设过程中，严格控制铺设张力，确保草坪平整、无褶皱，草坪接缝处采用专业粘接剂粘接牢固，无缝隙、无翘边；铺设完成后，填充石英砂和橡胶颗粒，采用专业机械梳理、碾压，确保石英砂和橡胶颗粒均匀填充，与草丝贴合紧密，提升场地弹性和舒适性；最后，重新绘制标准足球场地标线、球门区、罚球区等标识，确保标线清晰、规范，符合赛事标准。</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2、跑道维修内容</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原塑胶跑道拆除：对场地内所有老化、开裂、起砂、脱层的塑胶跑道进行彻底清理拆除、清理、清运、处置，采用专业机械剥离塑胶表层及底层粘接层，确保拆除干净，无残留塑胶、胶层及杂物；拆除后的塑胶废料、杂物进行集中收集、分类处理，优先采用环保回收方式，避免环境污染；拆除完成后，对场地沥青基础表层进行初步清理、除尘，为后续沥青基础修补做好准备。</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沥青基础平整：对拆除塑胶后的沥青基础进行全面排查，</w:t>
      </w:r>
      <w:r>
        <w:rPr>
          <w:rFonts w:hint="eastAsia" w:ascii="宋体" w:hAnsi="宋体" w:cs="宋体"/>
          <w:color w:val="000000"/>
          <w:szCs w:val="21"/>
          <w:highlight w:val="none"/>
        </w:rPr>
        <w:t xml:space="preserve">整体采用</w:t>
      </w:r>
      <w:r>
        <w:rPr>
          <w:rFonts w:hint="eastAsia" w:ascii="宋体" w:hAnsi="宋体" w:cs="宋体"/>
          <w:color w:val="000000"/>
          <w:szCs w:val="21"/>
          <w:highlight w:val="none"/>
          <w:lang w:val="en-US" w:eastAsia="zh-CN"/>
        </w:rPr>
        <w:t xml:space="preserve">4cm</w:t>
      </w:r>
      <w:r>
        <w:rPr>
          <w:rFonts w:hint="eastAsia" w:ascii="宋体" w:hAnsi="宋体" w:cs="宋体"/>
          <w:color w:val="000000"/>
          <w:szCs w:val="21"/>
          <w:highlight w:val="none"/>
        </w:rPr>
        <w:t xml:space="preserve">沥青</w:t>
      </w:r>
      <w:r>
        <w:rPr>
          <w:rFonts w:hint="eastAsia" w:ascii="宋体" w:hAnsi="宋体" w:cs="宋体"/>
          <w:color w:val="000000"/>
          <w:szCs w:val="21"/>
          <w:highlight w:val="none"/>
          <w:lang w:val="en-US" w:eastAsia="zh-CN"/>
        </w:rPr>
        <w:t xml:space="preserve">混凝土</w:t>
      </w:r>
      <w:r>
        <w:rPr>
          <w:rFonts w:ascii="??" w:hAnsi="??" w:eastAsia="??" w:cs="??"/>
          <w:b w:val="0"/>
          <w:bCs w:val="0"/>
          <w:color w:val="000000"/>
          <w:sz w:val="20"/>
          <w:szCs w:val="20"/>
          <w:highlight w:val="none"/>
        </w:rPr>
        <w:t xml:space="preserve">摊</w:t>
      </w:r>
      <w:r>
        <w:rPr>
          <w:rFonts w:ascii="??" w:hAnsi="??" w:eastAsia="??" w:cs="??"/>
          <w:b w:val="0"/>
          <w:bCs w:val="0"/>
          <w:color w:val="000000"/>
          <w:sz w:val="20"/>
          <w:szCs w:val="20"/>
          <w:highlight w:val="none"/>
        </w:rPr>
        <w:t xml:space="preserve">铺</w:t>
      </w:r>
      <w:r>
        <w:rPr>
          <w:rFonts w:hint="eastAsia" w:ascii="宋体" w:hAnsi="宋体" w:cs="宋体"/>
          <w:color w:val="000000"/>
          <w:szCs w:val="21"/>
          <w:highlight w:val="none"/>
        </w:rPr>
        <w:t xml:space="preserve">处理</w:t>
      </w:r>
      <w:r>
        <w:rPr>
          <w:rFonts w:hint="eastAsia" w:ascii="宋体" w:hAnsi="宋体" w:eastAsia="宋体" w:cs="宋体"/>
          <w:b w:val="0"/>
          <w:bCs w:val="0"/>
          <w:color w:val="000000"/>
          <w:sz w:val="21"/>
          <w:szCs w:val="21"/>
          <w:highlight w:val="none"/>
          <w:lang w:val="en-US" w:eastAsia="zh-CN" w:bidi="ar-SA"/>
        </w:rPr>
        <w:t xml:space="preserve">铺设新的沥青混合料，采用专业机械对整个沥青基础进行全面平整、压实处理，确保场地平整度误差符合国家田径跑道标准（平整度≤3mm/3m），表面无积水死角、无凸起凹陷、无起砂现象，提升基础承载能力和稳定性，为新塑胶跑道铺设奠定坚实基础；铺设完成后，对基础进行养护，确保基础强度达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numPr>
          <w:ilvl w:val="0"/>
          <w:numId w:val="0"/>
        </w:numPr>
        <w:ind w:left="0" w:firstLine="0"/>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新塑胶跑道铺设：选用优质环保EPDM一体成型预制型橡胶（厚度不小于13mm，符合高校体育场地环保标准，无异味、无污染，弹性适中，防滑性能优良，耐老化、耐踩踏），按照标准400米环形跑道规格（8条分道，道宽1.22米）进行规范铺设；铺设前对沥青基础进行彻底除尘、防潮处理，确保基础表面干燥、整洁、无杂物；</w:t>
      </w:r>
      <w:r>
        <w:rPr>
          <w:rFonts w:ascii="宋体" w:hAnsi="宋体" w:eastAsia="宋体" w:cs="宋体"/>
          <w:b w:val="0"/>
          <w:bCs w:val="0"/>
          <w:color w:val="000000"/>
          <w:sz w:val="21"/>
          <w:szCs w:val="21"/>
          <w:highlight w:val="none"/>
          <w:lang w:val="en-US" w:eastAsia="zh-CN" w:bidi="ar-SA"/>
        </w:rPr>
        <w:t xml:space="preserve">预制型塑胶卷材采用工厂一</w:t>
      </w:r>
      <w:r>
        <w:rPr>
          <w:rFonts w:ascii="宋体" w:hAnsi="宋体" w:eastAsia="宋体" w:cs="宋体"/>
          <w:b w:val="0"/>
          <w:bCs w:val="0"/>
          <w:color w:val="000000"/>
          <w:sz w:val="21"/>
          <w:szCs w:val="21"/>
          <w:highlight w:val="none"/>
          <w:lang w:val="en-US" w:eastAsia="zh-CN" w:bidi="ar-SA"/>
        </w:rPr>
        <w:t xml:space="preserve">体化一次成型工艺，卷材内部弹性层与表层防滑耐磨结构预制成型，现场仅单层整体铺设，无需现场分层施工。基层铺垫找平工序精准管控铺设厚度及全场平整度，使用专业碾压设备反复滚压夯实，消除基底空隙，确保场地回弹、弹性性能符合国标要求；卷材开卷铺装作业时均匀释放卷材张力，杜绝过度拉伸或松弛堆积，铺展完成后板面整体平整统一，不存在褶皱、气泡、空鼓凸起等外观质量问题；卷材长短向拼接位置清理洁净，均匀涂刷卷材专用粘接胶，贴合后用压辊充分滚压密实，粘接成型后接缝无分离缝隙、卷材边角无翘曲起边，拼接线条平整顺滑，无明显拼接痕迹。</w:t>
      </w:r>
      <w:r>
        <w:rPr>
          <w:rFonts w:hint="eastAsia" w:ascii="宋体" w:hAnsi="宋体" w:eastAsia="宋体" w:cs="宋体"/>
          <w:b w:val="0"/>
          <w:bCs w:val="0"/>
          <w:color w:val="000000"/>
          <w:sz w:val="21"/>
          <w:szCs w:val="21"/>
          <w:highlight w:val="none"/>
          <w:lang w:val="en-US" w:eastAsia="zh-CN" w:bidi="ar-SA"/>
        </w:rPr>
        <w:t xml:space="preserve">铺设完成后，重新绘制标准田径跑道分道线、起点线、终点线、弯道标志线及各类田径项目标识（如接力区、投掷区、跳高区标识等），确保标线清晰、规范、耐磨，符合田径赛事标准。</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3、草坪安装质量要求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（1）彻底清除草坪区域内的杂草、枯萎植被、石</w:t>
      </w:r>
      <w:r>
        <w:rPr>
          <w:rFonts w:hint="eastAsia" w:ascii="宋体" w:hAnsi="宋体" w:eastAsia="宋体" w:cs="宋体"/>
          <w:b w:val="0"/>
          <w:bCs w:val="0"/>
          <w:color w:val="000000"/>
          <w:sz w:val="21"/>
          <w:szCs w:val="21"/>
          <w:highlight w:val="none"/>
          <w:lang w:val="en-US" w:eastAsia="zh-CN" w:bidi="ar-SA"/>
        </w:rPr>
        <w:t xml:space="preserve">块、建筑垃圾及表层板结土壤，清理深度控制在5-8cm，确保场地无杂物、无尖锐凸起物，避免刺穿人造草坪底部；基础找平压实，对场地进行深耕（深度20-30cm），随后分层回填级配砂石（粒径2-5cm），分层厚度10cm，每回填一层采用压路机压实，压实度不低于95%，确保基础坚实、无沉降隐患；按照“中心高、四周低”的原则，调整基础坡度，坡度控制在2‰-3‰，确保排水顺畅，无积水死角；基础打磨修整，采用打磨机对基础表面进行全面打磨，去除尖锐棱角、凸起部位，确保基础表面平整度误差不超过3mm/㎡，表面无裂缝、无坑洼。</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（2）选用优质PE材质人造草坪（物理及化学性能应满足GB 36246-2018《中小学合成材料面层运动场地》标准），草高50mm，密度10500簇/㎡，贴合高校足球教学、训练及日常使用需求，具体工艺如下：铺设厚度10mm，颜色绿色，XPE材质，防滑A级的缓冲垫（密度≥1.2g/cm³，</w:t>
      </w:r>
      <w:r>
        <w:rPr>
          <w:rFonts w:hint="eastAsia" w:ascii="宋体" w:hAnsi="宋体" w:eastAsia="宋体" w:cs="宋体"/>
          <w:b w:val="0"/>
          <w:bCs w:val="0"/>
          <w:color w:val="000000"/>
          <w:sz w:val="21"/>
          <w:szCs w:val="21"/>
          <w:highlight w:val="none"/>
          <w:lang w:val="en-US" w:eastAsia="zh-CN" w:bidi="ar-SA"/>
        </w:rPr>
        <w:t xml:space="preserve">回弹率≥45%），缓冲垫铺设平整、无褶皱、无破损，相邻缓冲垫搭接宽度5-10cm，搭接处用专用胶水粘接牢固，防止移位；将人造草坪按场地尺寸裁剪，裁剪边缘整齐、无毛刺，草坪铺设方向一致，接缝处可采用人造草坪专用环保聚氨酯胶水+无纺接缝布。各接缝处搭接应均匀、对齐、无高低落差，接缝间隙应不大于草丝的行距或间距。接缝处应位于连接带中央。连接带宽度应不小于20cm，中圈和禁区弧顶以及各处标志线连接带宽度应不小于30 cm；采用人造草坪专用环保胶水（粘结强度≥1.5MPa），在搭接处均匀涂刷胶水，涂刷厚度0.8-1.</w:t>
      </w:r>
      <w:r>
        <w:rPr>
          <w:rFonts w:hint="eastAsia" w:ascii="宋体" w:hAnsi="宋体" w:eastAsia="宋体" w:cs="宋体"/>
          <w:b w:val="0"/>
          <w:bCs w:val="0"/>
          <w:color w:val="000000"/>
          <w:sz w:val="21"/>
          <w:szCs w:val="21"/>
          <w:highlight w:val="none"/>
          <w:lang w:val="en-US" w:eastAsia="zh-CN" w:bidi="ar-SA"/>
        </w:rPr>
        <w:t xml:space="preserve">0mm，涂刷面积全覆盖搭接区域，晾置5-10分钟后，将草坪压实贴合，确保粘接牢固、无气泡、无松动，粘接后静置24小时固化。选用干燥、洁净的石英砂（高透水性，透气性，防霉，20-40目颗粒均匀圆润无棱角），采用充砂机均匀填充，填充量为28-30kg/m²，填充后用梳理机梳理草坪，同时，填充草坪专用环保颗粒（规格1.5-3mm），填充量≥4-6kg/m²。确保石英砂及环保颗粒，均匀分布在草丝根部，草丝直立，无倒伏确保草坪无褶皱、无松动、无脱胶，草丝直立整齐，平整度误差不超过2mm/㎡，符合人造草坪场地使用规范。</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采用“基础找坡+地下盲管+周边排水沟”三重排水工艺，彻底解决积水问题。在基础处理阶段，严格控制2‰-3‰的坡度，确保地表雨水可快速通过草坪缝隙渗透至基础，流向周边排水沟，避免地表积水；在基础下方20cm处铺设</w:t>
      </w:r>
      <w:r>
        <w:rPr>
          <w:rFonts w:hint="eastAsia" w:ascii="宋体" w:hAnsi="宋体" w:eastAsia="宋体" w:cs="宋体"/>
          <w:b w:val="0"/>
          <w:bCs w:val="0"/>
          <w:color w:val="000000"/>
          <w:sz w:val="21"/>
          <w:szCs w:val="21"/>
          <w:highlight w:val="none"/>
          <w:lang w:val="en-US" w:eastAsia="zh-CN" w:bidi="ar-SA"/>
        </w:rPr>
        <w:t xml:space="preserve">排水盲管，盲管选用HDPE打孔盲管，管径110mm，铺设间距1.5-2m，呈网格状分布，盲管周边包裹土工布，防止砂石堵塞孔道，盲管铺设需平整、无弯折，确保排水顺畅；在盲管下方铺设10-15cm厚的碎石垫层（碎石粒径2-4cm），提升排水通透性，碎石垫层铺设平整、压实，压实度不低于90%；盲管接口采用承插式连接，接口处用密封胶密封，无渗漏，盲管末端接入田径场周边主排水沟，确保排水畅通；排水系统铺设完成后，进行人工浇水测试，模拟暴雨场景，确保雨水在30分钟内排净，无积水残留，测试合格后方可进行后续草坪铺设工序。</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表2  人造草坪材料检测标准</w:t>
      </w:r>
      <w:r>
        <w:rPr>
          <w:rFonts w:hint="eastAsia" w:ascii="宋体" w:hAnsi="宋体" w:eastAsia="宋体" w:cs="宋体"/>
          <w:b w:val="0"/>
          <w:bCs w:val="0"/>
          <w:color w:val="000000"/>
          <w:sz w:val="21"/>
          <w:szCs w:val="21"/>
          <w:highlight w:val="none"/>
          <w:lang w:val="en-US" w:eastAsia="zh-CN" w:bidi="ar-SA"/>
        </w:rPr>
      </w:r>
      <w:r/>
    </w:p>
    <w:tbl>
      <w:tblPr>
        <w:tblW w:w="49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8011"/>
      </w:tblGrid>
      <w:tr>
        <w:trPr>
          <w:trHeight w:val="377"/>
        </w:trPr>
        <w:tc>
          <w:tcPr>
            <w:gridSpan w:val="2"/>
            <w:tcW w:w="9524" w:type="dxa"/>
            <w:vAlign w:val="center"/>
            <w:textDirection w:val="lrTb"/>
            <w:noWrap w:val="false"/>
          </w:tcPr>
          <w:p>
            <w:pPr>
              <w:pStyle w:val="679"/>
              <w:jc w:val="center"/>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人造草坪</w:t>
            </w:r>
            <w:r>
              <w:rPr>
                <w:rFonts w:hint="eastAsia" w:ascii="宋体" w:hAnsi="宋体" w:eastAsia="宋体" w:cs="宋体"/>
                <w:b w:val="0"/>
                <w:bCs w:val="0"/>
                <w:color w:val="000000"/>
                <w:sz w:val="21"/>
                <w:szCs w:val="21"/>
                <w:highlight w:val="none"/>
                <w:lang w:val="en-US" w:eastAsia="zh-CN" w:bidi="ar-SA"/>
              </w:rPr>
            </w:r>
            <w:r/>
          </w:p>
        </w:tc>
      </w:tr>
      <w:tr>
        <w:trPr>
          <w:trHeight w:val="28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草丝形状</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挤出型单丝</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草丝颜色</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翠绿/柠檬黄，单色或双色斑马铺装</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草丝磅重</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≥PE 10000dtex</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草高</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50±1mm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行距</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5/8 inch</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织距</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16.7针/10CM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密度</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10500±100针/平方米</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底布</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双层加强型底布</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背胶</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环保型背胶</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走针</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直线型走针</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运动及安全要求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人造草坪产品依据依据国家检测标准</w:t>
            </w:r>
            <w:r>
              <w:rPr>
                <w:rFonts w:hint="eastAsia" w:ascii="宋体" w:hAnsi="宋体" w:eastAsia="宋体" w:cs="宋体"/>
                <w:b/>
                <w:bCs/>
                <w:color w:val="000000"/>
                <w:sz w:val="21"/>
                <w:szCs w:val="21"/>
                <w:highlight w:val="none"/>
                <w:lang w:val="en-US" w:eastAsia="zh-CN"/>
              </w:rPr>
              <w:t xml:space="preserve">方法进行</w:t>
            </w:r>
            <w:r>
              <w:rPr>
                <w:rFonts w:hint="eastAsia" w:ascii="宋体" w:hAnsi="宋体" w:eastAsia="宋体" w:cs="宋体"/>
                <w:b w:val="0"/>
                <w:bCs w:val="0"/>
                <w:color w:val="000000"/>
                <w:sz w:val="21"/>
                <w:szCs w:val="21"/>
                <w:highlight w:val="none"/>
                <w:lang w:val="en-US" w:eastAsia="zh-CN" w:bidi="ar-SA"/>
              </w:rPr>
              <w:t xml:space="preserve">测试，冲击吸收达50%-55%、垂直变形达6-8mm、抗静电：9×108-1×109Ω、渗水速率≥200mm/h、连接处拉伸强度≥700N/100mm、剥离强度≥90N/100mm、草丝拉断力≥18N、单簇草丝拔出力≥80N，底布拉断力（纵向）≥1800N,底布拉断力（横向）≥1800N，草丝色牢度≥7级</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环保要求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人造草坪产品依据GB/T 43566-2023标准检测，人造草、填充砂、合成材料填充颗粒、胶粘剂、缓冲垫等，有害物质限量符合标准要求。</w:t>
            </w:r>
            <w:r>
              <w:rPr>
                <w:rFonts w:hint="eastAsia" w:ascii="宋体" w:hAnsi="宋体" w:eastAsia="宋体" w:cs="宋体"/>
                <w:b w:val="0"/>
                <w:bCs w:val="0"/>
                <w:color w:val="000000"/>
                <w:sz w:val="21"/>
                <w:szCs w:val="21"/>
                <w:highlight w:val="none"/>
                <w:lang w:val="en-US" w:eastAsia="zh-CN" w:bidi="ar-SA"/>
              </w:rPr>
            </w:r>
            <w:r/>
          </w:p>
        </w:tc>
      </w:tr>
      <w:tr>
        <w:trPr>
          <w:trHeight w:val="209"/>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阻燃等要求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95"/>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人造草坪产品依据GB 36246-2018、GB/T 14833-2020标准检测，阻燃性能Ⅰ级、阻燃性中心到损毁边沿最大距离≤45mm。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草坪老化前后参数比对</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人造草坪产品依据GB36246-2018标准测试，加速老化500h后，草丝拉断力保留率≥85%、单簇草丝拔出力保留率≥85%，</w:t>
            </w:r>
            <w:r>
              <w:rPr>
                <w:rFonts w:ascii="宋体" w:hAnsi="宋体" w:eastAsia="宋体" w:cs="宋体"/>
                <w:b/>
                <w:bCs/>
                <w:color w:val="000000"/>
                <w:sz w:val="21"/>
                <w:szCs w:val="21"/>
                <w:highlight w:val="none"/>
                <w:lang w:eastAsia="zh-CN"/>
              </w:rPr>
              <w:t xml:space="preserve">草丝色牢度≥7级</w:t>
            </w:r>
            <w:r>
              <w:rPr>
                <w:rFonts w:hint="eastAsia" w:ascii="宋体" w:hAnsi="宋体" w:eastAsia="宋体" w:cs="宋体"/>
                <w:b/>
                <w:bCs/>
                <w:color w:val="000000"/>
                <w:sz w:val="21"/>
                <w:szCs w:val="21"/>
                <w:highlight w:val="none"/>
                <w:lang w:eastAsia="zh-CN"/>
              </w:rPr>
              <w:t xml:space="preserve">，底布拉断力保留率（纵向）≥85%,底布拉断力保留率（横向）≥85%</w:t>
            </w:r>
            <w:r>
              <w:rPr>
                <w:rFonts w:hint="eastAsia" w:ascii="宋体" w:hAnsi="宋体" w:eastAsia="宋体" w:cs="宋体"/>
                <w:b/>
                <w:bCs/>
                <w:color w:val="000000"/>
                <w:sz w:val="21"/>
                <w:szCs w:val="21"/>
                <w:highlight w:val="none"/>
                <w:lang w:eastAsia="zh-CN"/>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报告中需包含各性能指标检测具体方法。（提供承诺书原件，未提供视为无效投标）</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4、跑道安装质量要求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color w:val="000000"/>
          <w:highlight w:val="none"/>
          <w:lang w:val="en-US" w:eastAsia="zh-CN"/>
        </w:rPr>
        <w:t xml:space="preserve">面层拆除，整体彻底铲除场地原有塑胶面层，所有废弃材料统一清运出场、清理、处置；基层铣刨，对现状基层开展 4cm 深度铣刨施工，铣刨完成后对基面全面清扫、高压吹扫，保证基面无浮灰、松散骨料、油污及各类杂物，基面保持洁净干燥；沥青摊铺，摊铺 4cm 厚 AC-10 改性沥青混合料作为全新基础层。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（2）采用EPDM一体成型预制型塑胶跑道，符合GB 36246-2018《中小学合成材料面层运动场地》、GB/T 14833-2020《合成材料运动场地面层》等标准要求。厚</w:t>
      </w:r>
      <w:r>
        <w:rPr>
          <w:rFonts w:hint="eastAsia" w:ascii="宋体" w:hAnsi="宋体" w:eastAsia="宋体" w:cs="宋体"/>
          <w:b w:val="0"/>
          <w:bCs w:val="0"/>
          <w:color w:val="000000"/>
          <w:sz w:val="21"/>
          <w:szCs w:val="21"/>
          <w:highlight w:val="none"/>
          <w:lang w:val="en-US" w:eastAsia="zh-CN" w:bidi="ar-SA"/>
        </w:rPr>
        <w:t xml:space="preserve">度≥13mm，跳高起跳区助跑道最后3m、三级跳远助跑道最后13m、跳高助跑道最后8m、铅球掷起掷区域厚度均应≥20mm。EPDM预制型橡胶跑道卷材表面须有无规则防滑乱石纹耐磨纹路；底部须有规则排列的减震凹巢（凹巢深度不得高于8mm)  斜格立体网状弹性层。为增强场地使用年限，EPDM预制型橡胶跑道卷材为同材质一体成型形态，无分层结构，通体材质为同一颜色，产品厚度≥13mm，产品外观及横切面无杂质，工厂机械精密延压成预制型卷材，整体性强、无颗粒脱落，产品不得在正常弯折的情况下出现开裂的问题，现场统一粘接铺装。</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EPDM预制型橡胶跑道面层外观应颜色均匀一致，无明显色差；跑道、助跑道和两个半圆区的合成面层材料和颜色一致；面层固化均匀，不出现起鼓、气泡、裂缝、分层、断裂或台阶式凹凸；点位线清晰、不反光且无明显虚边；表面颗粒均匀，粘接牢固。面层表面应平坦，任何位置和方向上的2m直尺下不应有大于3mm的间隙。</w:t>
      </w:r>
      <w:r>
        <w:rPr>
          <w:rFonts w:hint="eastAsia" w:ascii="宋体" w:hAnsi="宋体" w:eastAsia="宋体" w:cs="宋体"/>
          <w:b w:val="0"/>
          <w:bCs w:val="0"/>
          <w:color w:val="000000"/>
          <w:sz w:val="21"/>
          <w:szCs w:val="21"/>
          <w:highlight w:val="none"/>
          <w:lang w:val="en-US" w:eastAsia="zh-CN" w:bidi="ar-SA"/>
        </w:rPr>
        <w:t xml:space="preserve">不应有大于1mm阶梯状起伏。环形跑道的纵向坡度(跑进方向)不大于0.1%，横向坡度(由外沿向内沿，垂直于跑进方向)不大于1%；跳远、三级跳远横向坡度不大于1.0%，最后40m，纵向坡度不大于0.1%，扇形半圆区域内跳高助跑道最后15m的纵向坡度不大于0.4%；铅球投掷圈保持水平，铅球落地区沿投掷方向坡度不大于0.1%。面层粘接不准许出现空鼓，接头平顺无缝隙且不出现台阶式凹凸，粘接胶采用专用粘接材料，无有害物质释放。符合GB/T 22517.6-2020《体育场地使用要求及检测验方法第6部分：田径场地》要求。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表3  EPDM一体成型预制型橡胶跑道检测标准1</w:t>
      </w:r>
      <w:r>
        <w:rPr>
          <w:rFonts w:hint="eastAsia" w:ascii="宋体" w:hAnsi="宋体" w:eastAsia="宋体" w:cs="宋体"/>
          <w:b w:val="0"/>
          <w:bCs w:val="0"/>
          <w:color w:val="000000"/>
          <w:sz w:val="21"/>
          <w:szCs w:val="21"/>
          <w:highlight w:val="none"/>
          <w:lang w:val="en-US" w:eastAsia="zh-CN" w:bidi="ar-SA"/>
        </w:rPr>
      </w:r>
      <w:r/>
    </w:p>
    <w:tbl>
      <w:tblPr>
        <w:tblStyle w:val="721"/>
        <w:tblW w:w="99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3"/>
        <w:gridCol w:w="8010"/>
      </w:tblGrid>
      <w:tr>
        <w:trPr/>
        <w:tc>
          <w:tcPr>
            <w:gridSpan w:val="2"/>
            <w:tcW w:w="995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EPDM一体成型预制型橡胶跑道物理性能</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材料</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EPDM（三元乙丙橡胶）</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厚度</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宽度</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1220mm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冲击吸收</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35%~50%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垂直变形</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0.6~3.0mm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抗滑值</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≥47（BPN，20℃）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拉伸强度</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≥0.5MPa</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拉断伸长率</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阻燃性能</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I级</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无机填料</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≤65%</w:t>
            </w: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塑胶面层成品中有害物质限量、气味满足以下参数。</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表3  中小学合成材料面层运动场地检测标准2</w:t>
      </w:r>
      <w:r>
        <w:rPr>
          <w:rFonts w:hint="eastAsia" w:ascii="宋体" w:hAnsi="宋体" w:eastAsia="宋体" w:cs="宋体"/>
          <w:b w:val="0"/>
          <w:bCs w:val="0"/>
          <w:color w:val="000000"/>
          <w:sz w:val="21"/>
          <w:szCs w:val="21"/>
          <w:highlight w:val="none"/>
          <w:lang w:val="en-US" w:eastAsia="zh-CN" w:bidi="ar-SA"/>
        </w:rPr>
      </w:r>
      <w:r/>
    </w:p>
    <w:tbl>
      <w:tblPr>
        <w:tblW w:w="994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6"/>
        <w:gridCol w:w="590"/>
        <w:gridCol w:w="7405"/>
        <w:gridCol w:w="1220"/>
      </w:tblGrid>
      <w:tr>
        <w:trPr>
          <w:trHeight w:val="90"/>
        </w:trPr>
        <w:tc>
          <w:tcPr>
            <w:gridSpan w:val="3"/>
            <w:tcBorders>
              <w:top w:val="single" w:color="000000" w:sz="4" w:space="0"/>
              <w:left w:val="single" w:color="000000" w:sz="4" w:space="0"/>
              <w:bottom w:val="single" w:color="000000" w:sz="4" w:space="0"/>
              <w:right w:val="single" w:color="000000" w:sz="4" w:space="0"/>
            </w:tcBorders>
            <w:tcW w:w="8721"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检测项目</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要求</w:t>
            </w:r>
            <w:r>
              <w:rPr>
                <w:rFonts w:hint="eastAsia" w:ascii="宋体" w:hAnsi="宋体" w:eastAsia="宋体" w:cs="宋体"/>
                <w:b w:val="0"/>
                <w:bCs w:val="0"/>
                <w:color w:val="000000"/>
                <w:sz w:val="21"/>
                <w:szCs w:val="21"/>
                <w:highlight w:val="none"/>
                <w:lang w:val="en-US" w:eastAsia="zh-CN" w:bidi="ar-SA"/>
              </w:rPr>
            </w:r>
            <w:r/>
          </w:p>
        </w:tc>
      </w:tr>
      <w:tr>
        <w:trPr>
          <w:trHeight w:val="298"/>
        </w:trPr>
        <w:tc>
          <w:tcPr>
            <w:tcBorders>
              <w:top w:val="single" w:color="000000" w:sz="4" w:space="0"/>
              <w:left w:val="single" w:color="000000" w:sz="4" w:space="0"/>
              <w:bottom w:val="none" w:color="000000" w:sz="0" w:space="0"/>
              <w:right w:val="single" w:color="000000" w:sz="4" w:space="0"/>
            </w:tcBorders>
            <w:tcW w:w="726" w:type="dxa"/>
            <w:vAlign w:val="center"/>
            <w:vMerge w:val="restart"/>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有害物质含量</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 种邻苯二甲酸酯类   （DBP、BBP、DEHP）总和/（g/kg）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158"/>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 种邻苯二甲酸酯类（DNOP、DINP、DIDP）总和/（g/kg）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122"/>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18 种多环芳烃总和/(mg/kg)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苯并［a］芘/（mg/kg）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短链氯化石蜡（C10-C13）/（g/kg）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r>
      <w:tr>
        <w:trPr>
          <w:trHeight w:val="404"/>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4,4′－二氨基一 3,3′－二氯二苯甲烷（MOCA）/（g/kg）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游离甲苯二异氰酸酯和游离六亚甲基二异氰酸酯总和/（g/kg）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≤0.2</w:t>
            </w:r>
            <w:r>
              <w:rPr>
                <w:rFonts w:hint="eastAsia" w:ascii="宋体" w:hAnsi="宋体" w:eastAsia="宋体" w:cs="宋体"/>
                <w:b w:val="0"/>
                <w:bCs w:val="0"/>
                <w:color w:val="000000"/>
                <w:sz w:val="21"/>
                <w:szCs w:val="21"/>
                <w:highlight w:val="none"/>
                <w:lang w:val="en-US" w:eastAsia="zh-CN" w:bidi="ar-SA"/>
              </w:rPr>
            </w:r>
            <w:r/>
          </w:p>
        </w:tc>
      </w:tr>
      <w:tr>
        <w:trPr>
          <w:trHeight w:val="135"/>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游离二苯基甲烷二异氰酸酯（MDI）/（g/kg）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可溶性铅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可溶性镉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可溶性铬/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可溶性汞/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none" w:color="000000" w:sz="0" w:space="0"/>
              <w:right w:val="single" w:color="000000" w:sz="4" w:space="0"/>
            </w:tcBorders>
            <w:tcW w:w="726" w:type="dxa"/>
            <w:vAlign w:val="center"/>
            <w:vMerge w:val="restart"/>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有害物质释放量</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总挥发性有机化合物（TVOC）/（mg/（m2•h））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甲醛/（mg/（m2•h））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≤0.4</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苯/（mg/（m2•h）） </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甲苯、二甲苯和乙苯总和/（mg/（m2•h）） </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387"/>
        </w:trPr>
        <w:tc>
          <w:tcPr>
            <w:tcBorders>
              <w:top w:val="none" w:color="000000" w:sz="0"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17</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二硫化碳/（mg/（m2•h））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r>
      <w:tr>
        <w:trPr>
          <w:trHeight w:val="387"/>
        </w:trPr>
        <w:tc>
          <w:tcPr>
            <w:tcBorders>
              <w:top w:val="none" w:color="000000" w:sz="0" w:space="0"/>
              <w:left w:val="single" w:color="000000" w:sz="4" w:space="0"/>
              <w:bottom w:val="single" w:color="000000" w:sz="4" w:space="0"/>
              <w:right w:val="single" w:color="000000" w:sz="4" w:space="0"/>
            </w:tcBorders>
            <w:tcW w:w="726"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气味</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18</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气味等级/级</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塑胶面层非固体原材料中有害物质限量要求满足以下参数。</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表4  中小学合成材料面层运动场地检测标准3</w:t>
      </w:r>
      <w:r>
        <w:rPr>
          <w:rFonts w:hint="eastAsia" w:ascii="宋体" w:hAnsi="宋体" w:eastAsia="宋体" w:cs="宋体"/>
          <w:b w:val="0"/>
          <w:bCs w:val="0"/>
          <w:color w:val="000000"/>
          <w:sz w:val="21"/>
          <w:szCs w:val="21"/>
          <w:highlight w:val="none"/>
          <w:lang w:val="en-US" w:eastAsia="zh-CN" w:bidi="ar-SA"/>
        </w:rPr>
      </w:r>
      <w:r/>
    </w:p>
    <w:tbl>
      <w:tblPr>
        <w:tblW w:w="99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9"/>
        <w:gridCol w:w="7615"/>
        <w:gridCol w:w="1278"/>
      </w:tblGrid>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序号</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检测项目</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标准要求</w:t>
            </w:r>
            <w:r>
              <w:rPr>
                <w:rFonts w:hint="eastAsia" w:ascii="宋体" w:hAnsi="宋体" w:eastAsia="宋体" w:cs="宋体"/>
                <w:b w:val="0"/>
                <w:bCs w:val="0"/>
                <w:color w:val="000000"/>
                <w:sz w:val="21"/>
                <w:szCs w:val="21"/>
                <w:highlight w:val="none"/>
                <w:lang w:val="en-US" w:eastAsia="zh-CN" w:bidi="ar-SA"/>
              </w:rPr>
            </w:r>
            <w:r/>
          </w:p>
        </w:tc>
      </w:tr>
      <w:tr>
        <w:trPr>
          <w:trHeight w:val="177"/>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3种邻苯二甲酸酯类（DBP、BBP、DEHP）总和/（g/kg）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3种邻苯二甲酸酯类（DNOP、DINP、DIDP）总和/（g/kg）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短链氯化石蜡（C10-C13）/（g/kg）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r>
      <w:tr>
        <w:trPr>
          <w:trHeight w:val="132"/>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游离甲苯二异氰酸酯和游离六亚甲基二异氰酸酯总和/（g/kg）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挥发性有机化合物/（g/L）</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游离甲醛/（g/kg）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≤0.5</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≤0.05</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甲苯、二甲苯和乙苯总和/（g/kg）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可溶性铅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可溶性镉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可溶性铬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可溶性汞 /(mg/kg)</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jc w:val="left"/>
        <w:spacing w:line="36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、其他要求</w:t>
      </w:r>
      <w:r>
        <w:rPr>
          <w:rFonts w:ascii="宋体" w:hAnsi="宋体" w:eastAsia="宋体" w:cs="宋体"/>
          <w:b/>
          <w:bCs/>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1、本项目推荐主材品牌</w:t>
      </w:r>
      <w:r>
        <w:rPr>
          <w:rFonts w:hint="eastAsia" w:ascii="宋体" w:hAnsi="宋体" w:eastAsia="宋体" w:cs="宋体"/>
          <w:b w:val="0"/>
          <w:bCs w:val="0"/>
          <w:color w:val="000000"/>
          <w:sz w:val="21"/>
          <w:szCs w:val="21"/>
          <w:highlight w:val="none"/>
          <w:lang w:val="en-US" w:eastAsia="zh-CN" w:bidi="ar-SA"/>
        </w:rPr>
        <w:t xml:space="preserve">，仅供参考，如供应商选择之外的，提供对应的佐证证明材料证明满足其要求即可。</w:t>
      </w:r>
      <w:r>
        <w:rPr>
          <w:rFonts w:hint="eastAsia" w:ascii="宋体" w:hAnsi="宋体" w:eastAsia="宋体" w:cs="宋体"/>
          <w:color w:val="000000"/>
          <w:sz w:val="21"/>
          <w:highlight w:val="none"/>
          <w:lang w:val="en-US" w:eastAsia="zh-CN"/>
        </w:rPr>
      </w:r>
      <w:r/>
    </w:p>
    <w:p>
      <w:pPr>
        <w:pStyle w:val="679"/>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质保期24小时内响应，48小时完成维保</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r>
      <w:r/>
    </w:p>
    <w:p>
      <w:pPr>
        <w:pStyle w:val="681"/>
        <w:ind w:left="0"/>
        <w:spacing w:line="360" w:lineRule="auto"/>
        <w:rPr>
          <w:rFonts w:hint="eastAsia" w:ascii="宋体" w:hAnsi="宋体" w:eastAsia="宋体" w:cs="宋体"/>
          <w:color w:val="000000"/>
          <w:sz w:val="21"/>
          <w:szCs w:val="21"/>
          <w:highlight w:val="none"/>
          <w:lang w:eastAsia="zh-CN"/>
        </w:rPr>
      </w:pPr>
      <w:r/>
      <w:bookmarkStart w:id="79" w:name="_Toc431"/>
      <w:r/>
      <w:bookmarkStart w:id="80" w:name="_Toc26636"/>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eastAsia="zh-CN"/>
        </w:rPr>
        <w:t xml:space="preserve">、付款方式</w:t>
      </w:r>
      <w:bookmarkEnd w:id="63"/>
      <w:r/>
      <w:bookmarkEnd w:id="64"/>
      <w:r/>
      <w:bookmarkEnd w:id="65"/>
      <w:r/>
      <w:bookmarkEnd w:id="79"/>
      <w:r/>
      <w:bookmarkEnd w:id="80"/>
      <w:r>
        <w:rPr>
          <w:rFonts w:hint="eastAsia" w:ascii="宋体" w:hAnsi="宋体" w:eastAsia="宋体" w:cs="宋体"/>
          <w:color w:val="000000"/>
          <w:sz w:val="21"/>
          <w:szCs w:val="21"/>
          <w:highlight w:val="none"/>
          <w:lang w:eastAsia="zh-CN"/>
        </w:rPr>
      </w:r>
      <w:r/>
    </w:p>
    <w:p>
      <w:pPr>
        <w:pStyle w:val="681"/>
        <w:ind w:left="0"/>
        <w:spacing w:line="360" w:lineRule="auto"/>
        <w:rPr>
          <w:rFonts w:hint="eastAsia" w:ascii="宋体" w:hAnsi="宋体" w:eastAsia="宋体" w:cs="宋体"/>
          <w:b w:val="0"/>
          <w:bCs w:val="0"/>
          <w:color w:val="000000"/>
          <w:sz w:val="21"/>
          <w:szCs w:val="21"/>
          <w:highlight w:val="none"/>
          <w:lang w:val="en-US" w:eastAsia="zh-CN" w:bidi="ar-SA"/>
        </w:rPr>
      </w:pPr>
      <w:r/>
      <w:bookmarkStart w:id="81" w:name="_Toc5886"/>
      <w:r/>
      <w:bookmarkStart w:id="82" w:name="_Toc29461"/>
      <w:r/>
      <w:bookmarkStart w:id="83" w:name="_Toc9080"/>
      <w:r/>
      <w:bookmarkStart w:id="84" w:name="_Toc12033"/>
      <w:r/>
      <w:bookmarkStart w:id="85" w:name="_Toc12841"/>
      <w:r>
        <w:rPr>
          <w:rFonts w:hint="eastAsia" w:ascii="宋体" w:hAnsi="宋体" w:eastAsia="宋体" w:cs="宋体"/>
          <w:b w:val="0"/>
          <w:bCs w:val="0"/>
          <w:color w:val="000000"/>
          <w:sz w:val="21"/>
          <w:szCs w:val="21"/>
          <w:highlight w:val="none"/>
          <w:lang w:val="en-US" w:eastAsia="zh-CN" w:bidi="ar-SA"/>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bookmarkEnd w:id="81"/>
      <w:r/>
      <w:bookmarkEnd w:id="82"/>
      <w:r>
        <w:rPr>
          <w:rFonts w:hint="eastAsia" w:ascii="宋体" w:hAnsi="宋体" w:eastAsia="宋体" w:cs="宋体"/>
          <w:b w:val="0"/>
          <w:bCs w:val="0"/>
          <w:color w:val="000000"/>
          <w:sz w:val="21"/>
          <w:szCs w:val="21"/>
          <w:highlight w:val="none"/>
          <w:lang w:val="en-US" w:eastAsia="zh-CN" w:bidi="ar-SA"/>
        </w:rPr>
      </w:r>
      <w:r/>
    </w:p>
    <w:p>
      <w:pPr>
        <w:pStyle w:val="681"/>
        <w:ind w:left="0"/>
        <w:spacing w:line="360" w:lineRule="auto"/>
        <w:rPr>
          <w:rFonts w:hint="eastAsia" w:ascii="宋体" w:hAnsi="宋体" w:eastAsia="宋体" w:cs="宋体"/>
          <w:color w:val="000000"/>
          <w:sz w:val="21"/>
          <w:szCs w:val="21"/>
          <w:highlight w:val="none"/>
          <w:lang w:eastAsia="zh-CN"/>
        </w:rPr>
      </w:pPr>
      <w:r/>
      <w:bookmarkStart w:id="86" w:name="_Toc5122"/>
      <w:r/>
      <w:bookmarkStart w:id="87" w:name="_Toc1658"/>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lang w:eastAsia="zh-CN"/>
        </w:rPr>
        <w:t xml:space="preserve">质保期</w:t>
      </w:r>
      <w:bookmarkEnd w:id="86"/>
      <w:r/>
      <w:bookmarkEnd w:id="87"/>
      <w:r>
        <w:rPr>
          <w:rFonts w:hint="eastAsia" w:ascii="宋体" w:hAnsi="宋体" w:eastAsia="宋体" w:cs="宋体"/>
          <w:color w:val="000000"/>
          <w:sz w:val="21"/>
          <w:szCs w:val="21"/>
          <w:highlight w:val="none"/>
          <w:lang w:eastAsia="zh-CN"/>
        </w:rPr>
      </w:r>
      <w:r/>
    </w:p>
    <w:p>
      <w:pPr>
        <w:pStyle w:val="67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本项目基础质保期为：60个月</w:t>
      </w:r>
      <w:r>
        <w:rPr>
          <w:rFonts w:hint="eastAsia" w:ascii="宋体" w:hAnsi="宋体" w:eastAsia="宋体" w:cs="宋体"/>
          <w:color w:val="000000"/>
          <w:sz w:val="21"/>
          <w:szCs w:val="21"/>
          <w:highlight w:val="none"/>
          <w:lang w:eastAsia="zh-CN"/>
        </w:rPr>
      </w:r>
      <w:r/>
    </w:p>
    <w:p>
      <w:pPr>
        <w:pStyle w:val="681"/>
        <w:numPr>
          <w:ilvl w:val="0"/>
          <w:numId w:val="0"/>
        </w:numPr>
        <w:spacing w:line="360" w:lineRule="auto"/>
        <w:rPr>
          <w:rFonts w:hint="eastAsia" w:ascii="宋体" w:hAnsi="宋体" w:eastAsia="宋体" w:cs="宋体"/>
          <w:color w:val="000000"/>
          <w:sz w:val="21"/>
          <w:szCs w:val="21"/>
          <w:highlight w:val="none"/>
          <w:lang w:eastAsia="zh-CN"/>
        </w:rPr>
      </w:pPr>
      <w:r/>
      <w:bookmarkEnd w:id="83"/>
      <w:r/>
      <w:bookmarkEnd w:id="84"/>
      <w:r/>
      <w:bookmarkEnd w:id="85"/>
      <w:r/>
      <w:bookmarkStart w:id="88" w:name="_Toc24972"/>
      <w:r/>
      <w:bookmarkStart w:id="89" w:name="_Toc1530"/>
      <w:r/>
      <w:bookmarkStart w:id="90" w:name="_Toc18498"/>
      <w:r/>
      <w:bookmarkStart w:id="91" w:name="_Toc370"/>
      <w:r/>
      <w:bookmarkStart w:id="92" w:name="_Toc11212"/>
      <w:r>
        <w:rPr>
          <w:rFonts w:hint="eastAsia" w:ascii="宋体" w:hAnsi="宋体" w:eastAsia="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lang w:eastAsia="zh-CN"/>
        </w:rPr>
        <w:t xml:space="preserve">工程量清单：</w:t>
      </w:r>
      <w:bookmarkEnd w:id="88"/>
      <w:r/>
      <w:bookmarkEnd w:id="89"/>
      <w:r>
        <w:rPr>
          <w:rFonts w:hint="eastAsia" w:ascii="宋体" w:hAnsi="宋体" w:eastAsia="宋体" w:cs="宋体"/>
          <w:color w:val="000000"/>
          <w:sz w:val="21"/>
          <w:szCs w:val="21"/>
          <w:highlight w:val="none"/>
          <w:lang w:eastAsia="zh-CN"/>
        </w:rPr>
      </w:r>
      <w:r/>
    </w:p>
    <w:p>
      <w:pPr>
        <w:pStyle w:val="681"/>
        <w:numPr>
          <w:ilvl w:val="0"/>
          <w:numId w:val="0"/>
        </w:numPr>
        <w:spacing w:line="360" w:lineRule="auto"/>
        <w:rPr>
          <w:color w:val="000000"/>
          <w:highlight w:val="none"/>
        </w:rPr>
      </w:pPr>
      <w:r/>
      <w:bookmarkStart w:id="93" w:name="_Toc5326"/>
      <w:r/>
      <w:bookmarkStart w:id="94" w:name="_Toc30959"/>
      <w:r>
        <w:rPr>
          <w:rFonts w:hint="eastAsia" w:ascii="宋体" w:hAnsi="宋体" w:eastAsia="宋体" w:cs="宋体"/>
          <w:b w:val="0"/>
          <w:bCs w:val="0"/>
          <w:color w:val="000000"/>
          <w:sz w:val="21"/>
          <w:szCs w:val="21"/>
          <w:highlight w:val="none"/>
          <w:lang w:val="en-US" w:eastAsia="zh-CN" w:bidi="ar-SA"/>
        </w:rPr>
        <w:t xml:space="preserve">详见百度网盘：</w:t>
      </w:r>
      <w:bookmarkEnd w:id="90"/>
      <w:r/>
      <w:bookmarkEnd w:id="91"/>
      <w:r/>
      <w:bookmarkEnd w:id="92"/>
      <w:r>
        <w:rPr>
          <w:rFonts w:hint="eastAsia" w:ascii="宋体" w:hAnsi="宋体" w:eastAsia="宋体" w:cs="宋体"/>
          <w:b w:val="0"/>
          <w:bCs w:val="0"/>
          <w:color w:val="000000"/>
          <w:sz w:val="21"/>
          <w:szCs w:val="21"/>
          <w:highlight w:val="none"/>
          <w:lang w:val="en-US" w:eastAsia="zh-CN" w:bidi="ar-SA"/>
        </w:rPr>
        <w:t xml:space="preserve"> https://pan.baidu.com/s/1Sfi1sLaUYGEmKTGkVlLp4A?pwd=Ti8k</w:t>
      </w:r>
      <w:bookmarkEnd w:id="93"/>
      <w:r/>
      <w:bookmarkEnd w:id="94"/>
      <w:r>
        <w:rPr>
          <w:color w:val="000000"/>
          <w:highlight w:val="none"/>
        </w:rPr>
      </w:r>
      <w:r/>
    </w:p>
    <w:p>
      <w:pPr>
        <w:pStyle w:val="700"/>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700"/>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80"/>
        <w:numPr>
          <w:ilvl w:val="0"/>
          <w:numId w:val="0"/>
        </w:numPr>
        <w:jc w:val="center"/>
        <w:spacing w:line="360" w:lineRule="auto"/>
        <w:rPr>
          <w:rFonts w:hint="eastAsia" w:ascii="宋体" w:hAnsi="宋体" w:eastAsia="宋体" w:cs="宋体"/>
          <w:b/>
          <w:bCs/>
          <w:color w:val="000000"/>
          <w:sz w:val="36"/>
          <w:szCs w:val="36"/>
          <w:highlight w:val="none"/>
          <w:lang w:eastAsia="zh-CN"/>
        </w:rPr>
        <w:outlineLvl w:val="0"/>
      </w:pPr>
      <w:r>
        <w:rPr>
          <w:rFonts w:hint="eastAsia"/>
          <w:b/>
          <w:bCs/>
          <w:color w:val="000000"/>
          <w:sz w:val="21"/>
          <w:szCs w:val="21"/>
          <w:highlight w:val="none"/>
          <w:lang w:val="en-US" w:eastAsia="zh-CN"/>
        </w:rPr>
        <w:br w:type="page" w:clear="all"/>
      </w:r>
      <w:bookmarkStart w:id="95" w:name="_Toc6856"/>
      <w:r/>
      <w:bookmarkStart w:id="96" w:name="_Toc16369"/>
      <w:r>
        <w:rPr>
          <w:rFonts w:hint="eastAsia" w:ascii="宋体" w:hAnsi="宋体" w:eastAsia="宋体" w:cs="宋体"/>
          <w:b/>
          <w:bCs/>
          <w:color w:val="000000"/>
          <w:sz w:val="36"/>
          <w:szCs w:val="36"/>
          <w:highlight w:val="none"/>
          <w:lang w:eastAsia="zh-CN"/>
        </w:rPr>
        <w:t xml:space="preserve">第五章  合同条款及格式</w:t>
      </w:r>
      <w:bookmarkEnd w:id="95"/>
      <w:r/>
      <w:bookmarkEnd w:id="96"/>
      <w:r>
        <w:rPr>
          <w:rFonts w:hint="eastAsia" w:ascii="宋体" w:hAnsi="宋体" w:eastAsia="宋体" w:cs="宋体"/>
          <w:b/>
          <w:bCs/>
          <w:color w:val="000000"/>
          <w:sz w:val="36"/>
          <w:szCs w:val="36"/>
          <w:highlight w:val="none"/>
          <w:lang w:eastAsia="zh-CN"/>
        </w:rPr>
      </w:r>
      <w:r/>
    </w:p>
    <w:p>
      <w:pPr>
        <w:pStyle w:val="679"/>
        <w:jc w:val="center"/>
        <w:widowControl/>
        <w:rPr>
          <w:rFonts w:ascii="宋体" w:hAnsi="宋体" w:eastAsia="宋体" w:cs="宋体"/>
          <w:b/>
          <w:bCs/>
          <w:i w:val="0"/>
          <w:iCs w:val="0"/>
          <w:caps w:val="0"/>
          <w:color w:val="000000"/>
          <w:spacing w:val="0"/>
          <w:sz w:val="36"/>
          <w:szCs w:val="36"/>
          <w:highlight w:val="none"/>
          <w:shd w:val="clear" w:color="auto" w:fill="ffffff"/>
        </w:rPr>
      </w:pPr>
      <w:r/>
      <w:bookmarkStart w:id="97" w:name="_bookmark10"/>
      <w:r/>
      <w:bookmarkEnd w:id="97"/>
      <w:r/>
      <w:bookmarkStart w:id="98" w:name="EBea696e2f19ff479ba403d199c418c4a1"/>
      <w:r>
        <w:rPr>
          <w:rFonts w:ascii="宋体" w:hAnsi="宋体" w:eastAsia="宋体" w:cs="宋体"/>
          <w:b/>
          <w:bCs/>
          <w:i w:val="0"/>
          <w:iCs w:val="0"/>
          <w:caps w:val="0"/>
          <w:color w:val="000000"/>
          <w:spacing w:val="0"/>
          <w:sz w:val="36"/>
          <w:szCs w:val="36"/>
          <w:highlight w:val="none"/>
          <w:shd w:val="clear" w:color="auto" w:fill="ffffff"/>
        </w:rPr>
        <w:t xml:space="preserve">江苏海事职业技术学院工程合同</w:t>
      </w:r>
      <w:r>
        <w:rPr>
          <w:rFonts w:ascii="宋体" w:hAnsi="宋体" w:eastAsia="宋体" w:cs="宋体"/>
          <w:b/>
          <w:bCs/>
          <w:i w:val="0"/>
          <w:iCs w:val="0"/>
          <w:caps w:val="0"/>
          <w:color w:val="000000"/>
          <w:spacing w:val="0"/>
          <w:sz w:val="36"/>
          <w:szCs w:val="36"/>
          <w:highlight w:val="none"/>
          <w:shd w:val="clear" w:color="auto" w:fill="ffffff"/>
        </w:rPr>
      </w:r>
      <w:r/>
    </w:p>
    <w:p>
      <w:pPr>
        <w:pStyle w:val="679"/>
        <w:ind w:firstLine="392"/>
        <w:spacing w:before="230" w:line="360" w:lineRule="auto"/>
        <w:widowControl/>
        <w:rPr>
          <w:rFonts w:ascii="宋体" w:hAnsi="宋体" w:cs="宋体"/>
          <w:color w:val="000000"/>
          <w:spacing w:val="-2"/>
          <w:position w:val="7"/>
          <w:sz w:val="20"/>
          <w:szCs w:val="21"/>
          <w:highlight w:val="none"/>
          <w:lang w:eastAsia="zh-CN"/>
        </w:rPr>
      </w:pPr>
      <w:r/>
      <w:bookmarkEnd w:id="98"/>
      <w:r>
        <w:rPr>
          <w:rFonts w:ascii="宋体" w:hAnsi="宋体" w:cs="宋体"/>
          <w:color w:val="000000"/>
          <w:spacing w:val="-2"/>
          <w:position w:val="7"/>
          <w:sz w:val="20"/>
          <w:szCs w:val="21"/>
          <w:highlight w:val="none"/>
          <w:lang w:eastAsia="zh-CN"/>
        </w:rPr>
        <w:t xml:space="preserve">甲方（发包方）： 江苏海事职业技术学院</w:t>
      </w:r>
      <w:r>
        <w:rPr>
          <w:rFonts w:ascii="宋体" w:hAnsi="宋体" w:cs="宋体"/>
          <w:color w:val="000000"/>
          <w:spacing w:val="-2"/>
          <w:position w:val="7"/>
          <w:sz w:val="20"/>
          <w:szCs w:val="21"/>
          <w:highlight w:val="none"/>
          <w:lang w:eastAsia="zh-CN"/>
        </w:rPr>
      </w:r>
      <w:r/>
    </w:p>
    <w:p>
      <w:pPr>
        <w:pStyle w:val="679"/>
        <w:ind w:firstLine="3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乙方（承包方）：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合同编号：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签订时间：                 </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依照《中华人民共和国民法典》、《中华人民共和国建筑法》及其他有关法律、行政法规，遵循平等、自愿、公平和诚实信用的原则，双方就</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项目</w:t>
      </w:r>
      <w:r>
        <w:rPr>
          <w:rFonts w:ascii="宋体" w:hAnsi="宋体" w:cs="宋体"/>
          <w:color w:val="000000"/>
          <w:spacing w:val="-2"/>
          <w:position w:val="7"/>
          <w:sz w:val="20"/>
          <w:szCs w:val="21"/>
          <w:highlight w:val="none"/>
          <w:lang w:eastAsia="zh-CN"/>
        </w:rPr>
        <w:t xml:space="preserve">（项目编号：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val="en-US" w:eastAsia="zh-CN"/>
        </w:rPr>
        <w:t xml:space="preserve">施</w:t>
      </w:r>
      <w:r>
        <w:rPr>
          <w:rFonts w:ascii="宋体" w:hAnsi="宋体" w:cs="宋体"/>
          <w:color w:val="000000"/>
          <w:spacing w:val="-2"/>
          <w:position w:val="7"/>
          <w:sz w:val="20"/>
          <w:szCs w:val="21"/>
          <w:highlight w:val="none"/>
          <w:lang w:eastAsia="zh-CN"/>
        </w:rPr>
        <w:t xml:space="preserve">工事项协商一致，订立本协议。</w:t>
      </w:r>
      <w:r>
        <w:rPr>
          <w:rFonts w:ascii="宋体" w:hAnsi="宋体" w:cs="宋体"/>
          <w:color w:val="000000"/>
          <w:spacing w:val="-2"/>
          <w:position w:val="7"/>
          <w:sz w:val="20"/>
          <w:szCs w:val="21"/>
          <w:highlight w:val="none"/>
          <w:lang w:eastAsia="zh-CN"/>
        </w:rPr>
      </w:r>
      <w:r/>
    </w:p>
    <w:p>
      <w:pPr>
        <w:pStyle w:val="679"/>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1、工程概况</w:t>
      </w:r>
      <w:r>
        <w:rPr>
          <w:rFonts w:ascii="宋体" w:hAnsi="宋体" w:cs="宋体"/>
          <w:color w:val="000000"/>
          <w:spacing w:val="-2"/>
          <w:position w:val="7"/>
          <w:sz w:val="20"/>
          <w:szCs w:val="21"/>
          <w:highlight w:val="none"/>
          <w:lang w:eastAsia="zh-CN"/>
        </w:rPr>
      </w:r>
      <w:r/>
    </w:p>
    <w:p>
      <w:pPr>
        <w:pStyle w:val="679"/>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 工程名称</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u w:val="single"/>
          <w:lang w:val="en-US" w:eastAsia="zh-CN"/>
        </w:rPr>
      </w:pPr>
      <w:r>
        <w:rPr>
          <w:rFonts w:ascii="宋体" w:hAnsi="宋体" w:cs="宋体"/>
          <w:color w:val="000000"/>
          <w:spacing w:val="-2"/>
          <w:position w:val="7"/>
          <w:sz w:val="20"/>
          <w:szCs w:val="21"/>
          <w:highlight w:val="none"/>
          <w:lang w:eastAsia="zh-CN"/>
        </w:rPr>
        <w:t xml:space="preserve">1.2 工程地点：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val="en-US"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1.3 工程范围：</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1.4 工程内容：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1.5 签约合同价为</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人民币（大写）</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u w:val="single"/>
          <w:lang w:eastAsia="zh-CN"/>
        </w:rPr>
        <w:t xml:space="preserve">元</w:t>
      </w:r>
      <w:r>
        <w:rPr>
          <w:rFonts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51"/>
        <w:spacing w:before="24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2、结算方式</w:t>
      </w:r>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2.1 合同内价格形式</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固定单价合同，工程量按实结算</w:t>
      </w:r>
      <w:r>
        <w:rPr>
          <w:rFonts w:hint="eastAsia"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u w:val="single"/>
          <w:lang w:eastAsia="zh-CN"/>
        </w:rPr>
        <w:t xml:space="preserve">计量规则执行 GB/T50500-2024 及配套各专业工程量计算标准。</w:t>
      </w:r>
      <w:r>
        <w:rPr>
          <w:rFonts w:ascii="宋体" w:hAnsi="宋体" w:cs="宋体"/>
          <w:color w:val="000000"/>
          <w:spacing w:val="-2"/>
          <w:position w:val="7"/>
          <w:sz w:val="20"/>
          <w:szCs w:val="21"/>
          <w:highlight w:val="none"/>
          <w:u w:val="single"/>
          <w:lang w:eastAsia="zh-CN"/>
        </w:rPr>
      </w:r>
      <w:r/>
    </w:p>
    <w:p>
      <w:pPr>
        <w:pStyle w:val="679"/>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2.2 合同外增加项目结算方式：</w:t>
      </w:r>
      <w:r>
        <w:rPr>
          <w:rFonts w:ascii="宋体" w:hAnsi="宋体" w:cs="宋体"/>
          <w:color w:val="000000"/>
          <w:spacing w:val="-2"/>
          <w:position w:val="7"/>
          <w:sz w:val="20"/>
          <w:szCs w:val="21"/>
          <w:highlight w:val="none"/>
          <w:lang w:eastAsia="zh-CN"/>
        </w:rPr>
      </w:r>
      <w:r/>
    </w:p>
    <w:p>
      <w:pPr>
        <w:pStyle w:val="682"/>
        <w:ind w:left="0" w:right="0" w:firstLine="196"/>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bookmarkStart w:id="99" w:name="_Toc8748"/>
      <w:r/>
      <w:bookmarkStart w:id="100" w:name="_Toc23514"/>
      <w:r>
        <w:rPr>
          <w:rFonts w:ascii="宋体" w:hAnsi="宋体" w:eastAsia="Calibri" w:cs="宋体"/>
          <w:color w:val="000000"/>
          <w:spacing w:val="-2"/>
          <w:position w:val="7"/>
          <w:sz w:val="20"/>
          <w:szCs w:val="21"/>
          <w:highlight w:val="none"/>
          <w:lang w:val="en-US" w:eastAsia="zh-CN" w:bidi="ar-SA"/>
        </w:rPr>
        <w:t xml:space="preserve">2.2.1 同清单子目工程量调价规则</w:t>
      </w:r>
      <w:bookmarkEnd w:id="99"/>
      <w:r/>
      <w:bookmarkEnd w:id="100"/>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相同施工条件下实施相同</w:t>
      </w:r>
      <w:r>
        <w:rPr>
          <w:rFonts w:ascii="宋体" w:hAnsi="宋体" w:eastAsia="Calibri" w:cs="宋体"/>
          <w:color w:val="000000"/>
          <w:spacing w:val="-2"/>
          <w:position w:val="7"/>
          <w:sz w:val="20"/>
          <w:szCs w:val="21"/>
          <w:highlight w:val="none"/>
          <w:lang w:val="en-US" w:eastAsia="zh-CN" w:bidi="ar-SA"/>
        </w:rPr>
        <w:t xml:space="preserve">项目特征</w:t>
      </w:r>
      <w:r>
        <w:rPr>
          <w:rFonts w:hint="eastAsia" w:ascii="宋体" w:hAnsi="宋体" w:eastAsia="Calibri" w:cs="宋体"/>
          <w:color w:val="000000"/>
          <w:spacing w:val="-2"/>
          <w:position w:val="7"/>
          <w:sz w:val="20"/>
          <w:szCs w:val="21"/>
          <w:highlight w:val="none"/>
          <w:lang w:val="en-US" w:eastAsia="zh-CN" w:bidi="ar-SA"/>
        </w:rPr>
        <w:t xml:space="preserve">的清单项目</w:t>
      </w:r>
      <w:r>
        <w:rPr>
          <w:rFonts w:ascii="宋体" w:hAnsi="宋体" w:eastAsia="Calibri" w:cs="宋体"/>
          <w:color w:val="000000"/>
          <w:spacing w:val="-2"/>
          <w:position w:val="7"/>
          <w:sz w:val="20"/>
          <w:szCs w:val="21"/>
          <w:highlight w:val="none"/>
          <w:lang w:val="en-US" w:eastAsia="zh-CN" w:bidi="ar-SA"/>
        </w:rPr>
        <w:t xml:space="preserve">： </w:t>
      </w:r>
      <w:r>
        <w:rPr>
          <w:rFonts w:ascii="宋体" w:hAnsi="宋体" w:eastAsia="Calibri" w:cs="宋体"/>
          <w:color w:val="000000"/>
          <w:spacing w:val="-2"/>
          <w:position w:val="7"/>
          <w:sz w:val="20"/>
          <w:szCs w:val="21"/>
          <w:highlight w:val="none"/>
          <w:lang w:val="en-US" w:eastAsia="zh-CN" w:bidi="ar-SA"/>
        </w:rPr>
      </w:r>
      <w:r/>
    </w:p>
    <w:p>
      <w:pPr>
        <w:pStyle w:val="679"/>
        <w:numPr>
          <w:ilvl w:val="0"/>
          <w:numId w:val="4"/>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部分，按投标原综合单价结算； </w:t>
      </w:r>
      <w:r>
        <w:rPr>
          <w:rFonts w:ascii="宋体" w:hAnsi="宋体" w:eastAsia="Calibri" w:cs="宋体"/>
          <w:color w:val="000000"/>
          <w:spacing w:val="-2"/>
          <w:position w:val="7"/>
          <w:sz w:val="20"/>
          <w:szCs w:val="21"/>
          <w:highlight w:val="none"/>
          <w:lang w:val="en-US" w:eastAsia="zh-CN" w:bidi="ar-SA"/>
        </w:rPr>
      </w:r>
      <w:r/>
    </w:p>
    <w:p>
      <w:pPr>
        <w:pStyle w:val="679"/>
        <w:numPr>
          <w:ilvl w:val="0"/>
          <w:numId w:val="4"/>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的超出部分，依据《建设工程工程量清单计价标准》（GB/T50500-2024）价格调整规则，以中标价 / 招标控制价比值同比例下浮重新核定综合单价。</w:t>
      </w:r>
      <w:r>
        <w:rPr>
          <w:rFonts w:ascii="宋体" w:hAnsi="宋体" w:eastAsia="Calibri" w:cs="宋体"/>
          <w:color w:val="000000"/>
          <w:spacing w:val="-2"/>
          <w:position w:val="7"/>
          <w:sz w:val="20"/>
          <w:szCs w:val="21"/>
          <w:highlight w:val="none"/>
          <w:lang w:val="en-US" w:eastAsia="zh-CN" w:bidi="ar-SA"/>
        </w:rPr>
      </w:r>
      <w:r/>
    </w:p>
    <w:p>
      <w:pPr>
        <w:pStyle w:val="679"/>
        <w:ind w:firstLine="196"/>
        <w:spacing w:before="144" w:line="360" w:lineRule="auto"/>
        <w:widowControl/>
        <w:rPr>
          <w:rFonts w:ascii="宋体" w:hAnsi="宋体" w:eastAsia="Calibri" w:cs="宋体"/>
          <w:color w:val="000000"/>
          <w:spacing w:val="-2"/>
          <w:position w:val="7"/>
          <w:sz w:val="20"/>
          <w:szCs w:val="21"/>
          <w:highlight w:val="none"/>
          <w:lang w:val="en-US" w:eastAsia="zh-CN" w:bidi="ar-SA"/>
        </w:rPr>
      </w:pPr>
      <w:r>
        <w:rPr>
          <w:rFonts w:hint="eastAsia" w:ascii="宋体" w:hAnsi="宋体" w:eastAsia="Calibri" w:cs="宋体"/>
          <w:color w:val="000000"/>
          <w:spacing w:val="-2"/>
          <w:position w:val="7"/>
          <w:sz w:val="20"/>
          <w:szCs w:val="21"/>
          <w:highlight w:val="none"/>
          <w:lang w:val="en-US" w:eastAsia="zh-CN" w:bidi="ar-SA"/>
        </w:rPr>
        <w:t xml:space="preserve">2.2.2</w:t>
      </w:r>
      <w:r>
        <w:rPr>
          <w:rFonts w:ascii="宋体" w:hAnsi="宋体" w:eastAsia="Calibri" w:cs="宋体"/>
          <w:color w:val="000000"/>
          <w:spacing w:val="-2"/>
          <w:position w:val="7"/>
          <w:sz w:val="20"/>
          <w:szCs w:val="21"/>
          <w:highlight w:val="none"/>
          <w:lang w:val="en-US" w:eastAsia="zh-CN" w:bidi="ar-SA"/>
        </w:rPr>
        <w:t xml:space="preserve">分项报价同比例调整</w:t>
      </w:r>
      <w:r>
        <w:rPr>
          <w:rFonts w:ascii="宋体" w:hAnsi="宋体" w:eastAsia="Calibri" w:cs="宋体"/>
          <w:color w:val="000000"/>
          <w:spacing w:val="-2"/>
          <w:position w:val="7"/>
          <w:sz w:val="20"/>
          <w:szCs w:val="21"/>
          <w:highlight w:val="none"/>
          <w:lang w:val="en-US" w:eastAsia="zh-CN" w:bidi="ar-SA"/>
        </w:rPr>
      </w:r>
      <w:r/>
    </w:p>
    <w:p>
      <w:pPr>
        <w:pStyle w:val="679"/>
        <w:ind w:left="198" w:firstLine="0"/>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若磋商后分项成交价与投标首次报价存在价差，全部清单分项综合单价按价差比例同步同比例调整。2.2.3 无对应清</w:t>
      </w:r>
      <w:r>
        <w:rPr>
          <w:rFonts w:hint="eastAsia" w:ascii="宋体" w:hAnsi="宋体" w:eastAsia="Calibri" w:cs="宋体"/>
          <w:color w:val="000000"/>
          <w:spacing w:val="-2"/>
          <w:position w:val="7"/>
          <w:sz w:val="20"/>
          <w:szCs w:val="21"/>
          <w:highlight w:val="none"/>
          <w:lang w:val="en-US" w:eastAsia="zh-CN" w:bidi="ar-SA"/>
        </w:rPr>
        <w:t xml:space="preserve">单子目新增 / 变更项目组价规则</w:t>
      </w:r>
      <w:r>
        <w:rPr>
          <w:rFonts w:hint="eastAsia" w:ascii="宋体" w:hAnsi="宋体" w:eastAsia="Calibri" w:cs="宋体"/>
          <w:color w:val="000000"/>
          <w:spacing w:val="-2"/>
          <w:position w:val="7"/>
          <w:sz w:val="20"/>
          <w:szCs w:val="21"/>
          <w:highlight w:val="none"/>
          <w:lang w:val="en-US" w:eastAsia="zh-CN" w:bidi="ar-SA"/>
        </w:rPr>
      </w:r>
      <w:r/>
    </w:p>
    <w:p>
      <w:pPr>
        <w:pStyle w:val="679"/>
        <w:ind w:firstLine="196"/>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投标清单无对应综合单价、或项目特征不一致的变更、新增项目，综合单价按以下顺序组价：</w:t>
      </w:r>
      <w:r>
        <w:rPr>
          <w:rFonts w:hint="eastAsia"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1、 </w:t>
      </w:r>
      <w:r>
        <w:rPr>
          <w:rFonts w:ascii="宋体" w:hAnsi="宋体" w:eastAsia="Calibri" w:cs="宋体"/>
          <w:color w:val="000000"/>
          <w:spacing w:val="-2"/>
          <w:position w:val="7"/>
          <w:sz w:val="20"/>
          <w:szCs w:val="21"/>
          <w:highlight w:val="none"/>
          <w:lang w:val="en-US" w:eastAsia="zh-CN" w:bidi="ar-SA"/>
        </w:rPr>
        <w:t xml:space="preserve">计价依据：执行苏建价〔2026〕76 号发布的《江苏省建筑与装饰工程消耗量（2026）》《江苏省通用安装工程消耗量（2026）》《江苏省市政工程消耗量（2026）》《江苏省建设工程费用参考（2026）》《江苏建设工程施工机具台班费用参考表（2026）》；《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以及配套的费用定额</w:t>
      </w:r>
      <w:r>
        <w:rPr>
          <w:rFonts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2、 </w:t>
      </w:r>
      <w:r>
        <w:rPr>
          <w:rFonts w:ascii="宋体" w:hAnsi="宋体" w:eastAsia="Calibri" w:cs="宋体"/>
          <w:color w:val="000000"/>
          <w:spacing w:val="-2"/>
          <w:position w:val="7"/>
          <w:sz w:val="20"/>
          <w:szCs w:val="21"/>
          <w:highlight w:val="none"/>
          <w:lang w:val="en-US" w:eastAsia="zh-CN" w:bidi="ar-SA"/>
        </w:rPr>
        <w:t xml:space="preserve">人工单价：按江苏省</w:t>
      </w:r>
      <w:r>
        <w:rPr>
          <w:rFonts w:hint="eastAsia" w:ascii="宋体" w:hAnsi="宋体" w:eastAsia="Calibri" w:cs="宋体"/>
          <w:color w:val="000000"/>
          <w:spacing w:val="-2"/>
          <w:position w:val="7"/>
          <w:sz w:val="20"/>
          <w:szCs w:val="21"/>
          <w:highlight w:val="none"/>
          <w:lang w:val="en-US" w:eastAsia="zh-CN" w:bidi="ar-SA"/>
        </w:rPr>
        <w:t xml:space="preserve">南京市</w:t>
      </w:r>
      <w:r>
        <w:rPr>
          <w:rFonts w:ascii="宋体" w:hAnsi="宋体" w:eastAsia="Calibri" w:cs="宋体"/>
          <w:color w:val="000000"/>
          <w:spacing w:val="-2"/>
          <w:position w:val="7"/>
          <w:sz w:val="20"/>
          <w:szCs w:val="21"/>
          <w:highlight w:val="none"/>
          <w:lang w:val="en-US" w:eastAsia="zh-CN" w:bidi="ar-SA"/>
        </w:rPr>
        <w:t xml:space="preserve">发布</w:t>
      </w:r>
      <w:r>
        <w:rPr>
          <w:rFonts w:hint="eastAsia" w:ascii="宋体" w:hAnsi="宋体" w:eastAsia="Calibri" w:cs="宋体"/>
          <w:color w:val="000000"/>
          <w:spacing w:val="-2"/>
          <w:position w:val="7"/>
          <w:sz w:val="20"/>
          <w:szCs w:val="21"/>
          <w:highlight w:val="none"/>
          <w:lang w:val="en-US" w:eastAsia="zh-CN" w:bidi="ar-SA"/>
        </w:rPr>
        <w:t xml:space="preserve">公文信息指导价</w:t>
      </w:r>
      <w:r>
        <w:rPr>
          <w:rFonts w:ascii="宋体" w:hAnsi="宋体" w:eastAsia="Calibri" w:cs="宋体"/>
          <w:color w:val="000000"/>
          <w:spacing w:val="-2"/>
          <w:position w:val="7"/>
          <w:sz w:val="20"/>
          <w:szCs w:val="21"/>
          <w:highlight w:val="none"/>
          <w:lang w:val="en-US" w:eastAsia="zh-CN" w:bidi="ar-SA"/>
        </w:rPr>
        <w:t xml:space="preserve">，以施工当期官方文件为准。</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3、</w:t>
      </w:r>
      <w:r>
        <w:rPr>
          <w:rFonts w:ascii="宋体" w:hAnsi="宋体" w:eastAsia="Calibri" w:cs="宋体"/>
          <w:color w:val="000000"/>
          <w:spacing w:val="-2"/>
          <w:position w:val="7"/>
          <w:sz w:val="20"/>
          <w:szCs w:val="21"/>
          <w:highlight w:val="none"/>
          <w:lang w:val="en-US" w:eastAsia="zh-CN" w:bidi="ar-SA"/>
        </w:rPr>
        <w:t xml:space="preserve">机械台班：采用《江苏建设工程施工机具台班费用参考表（2026）》，按施工同期市场燃油、动力价格调整价差。</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4、</w:t>
      </w:r>
      <w:r>
        <w:rPr>
          <w:rFonts w:ascii="宋体" w:hAnsi="宋体" w:eastAsia="Calibri" w:cs="宋体"/>
          <w:color w:val="000000"/>
          <w:spacing w:val="-2"/>
          <w:position w:val="7"/>
          <w:sz w:val="20"/>
          <w:szCs w:val="21"/>
          <w:highlight w:val="none"/>
          <w:lang w:val="en-US" w:eastAsia="zh-CN" w:bidi="ar-SA"/>
        </w:rPr>
        <w:t xml:space="preserve">材料价格取价优先级： ① 当期《南京工程造价管理》月刊除税信息价； ② 信息价缺失的采用含税市场价，优先京东自营电商含税价； ③ 京东无对应品类采用天猫官方自营含税价； ④ 线上渠道无参考价，乙方提供三家及以上正规供应商报价单，甲方、审计共同确认市场价。</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hint="eastAsia"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5、</w:t>
      </w:r>
      <w:r>
        <w:rPr>
          <w:rFonts w:ascii="宋体" w:hAnsi="宋体" w:eastAsia="Calibri" w:cs="宋体"/>
          <w:color w:val="000000"/>
          <w:spacing w:val="-2"/>
          <w:position w:val="7"/>
          <w:sz w:val="20"/>
          <w:szCs w:val="21"/>
          <w:highlight w:val="none"/>
          <w:lang w:val="en-US" w:eastAsia="zh-CN" w:bidi="ar-SA"/>
        </w:rPr>
        <w:t xml:space="preserve">取费标准：</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《江苏省建筑与装饰工程消耗量（2026）》</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《江苏省通用安装工程消耗量（2026）》</w:t>
      </w:r>
      <w:r>
        <w:rPr>
          <w:rFonts w:hint="eastAsia" w:ascii="宋体" w:hAnsi="宋体" w:eastAsia="Calibri" w:cs="宋体"/>
          <w:color w:val="000000"/>
          <w:spacing w:val="-2"/>
          <w:position w:val="7"/>
          <w:sz w:val="20"/>
          <w:szCs w:val="21"/>
          <w:highlight w:val="none"/>
          <w:lang w:val="en-US" w:eastAsia="zh-CN" w:bidi="ar-SA"/>
        </w:rPr>
        <w:t xml:space="preserve">和</w:t>
      </w:r>
      <w:r>
        <w:rPr>
          <w:rFonts w:ascii="宋体" w:hAnsi="宋体" w:eastAsia="Calibri" w:cs="宋体"/>
          <w:color w:val="000000"/>
          <w:spacing w:val="-2"/>
          <w:position w:val="7"/>
          <w:sz w:val="20"/>
          <w:szCs w:val="21"/>
          <w:highlight w:val="none"/>
          <w:lang w:val="en-US" w:eastAsia="zh-CN" w:bidi="ar-SA"/>
        </w:rPr>
        <w:t xml:space="preserve">《江苏省市政工程消耗量（2026）》</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管理费、利润按《江苏省建设工程费用参考（2026）》对应工程类别标准计取</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增值税按现行建筑业税率计列，价差部分仅计增值税，不再计取管理费、利润（苏建价〔2025〕12 号）</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w:t>
      </w:r>
      <w:r>
        <w:rPr>
          <w:rFonts w:hint="eastAsia" w:ascii="宋体" w:hAnsi="宋体" w:eastAsia="Calibri" w:cs="宋体"/>
          <w:color w:val="000000"/>
          <w:spacing w:val="-2"/>
          <w:position w:val="7"/>
          <w:sz w:val="20"/>
          <w:szCs w:val="21"/>
          <w:highlight w:val="none"/>
          <w:lang w:val="en-US" w:eastAsia="zh-CN" w:bidi="ar-SA"/>
        </w:rPr>
        <w:t xml:space="preserve">配套的按配套的费用定额计取。</w:t>
      </w:r>
      <w:r>
        <w:rPr>
          <w:rFonts w:hint="eastAsia"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6、</w:t>
      </w:r>
      <w:r>
        <w:rPr>
          <w:rFonts w:ascii="宋体" w:hAnsi="宋体" w:eastAsia="Calibri" w:cs="宋体"/>
          <w:color w:val="000000"/>
          <w:spacing w:val="-2"/>
          <w:position w:val="7"/>
          <w:sz w:val="20"/>
          <w:szCs w:val="21"/>
          <w:highlight w:val="none"/>
          <w:lang w:val="en-US" w:eastAsia="zh-CN" w:bidi="ar-SA"/>
        </w:rPr>
        <w:t xml:space="preserve">下浮规则：</w:t>
      </w:r>
      <w:r>
        <w:rPr>
          <w:rFonts w:hint="eastAsia" w:ascii="宋体" w:hAnsi="宋体" w:eastAsia="Calibri" w:cs="宋体"/>
          <w:color w:val="000000"/>
          <w:spacing w:val="-2"/>
          <w:position w:val="7"/>
          <w:sz w:val="20"/>
          <w:szCs w:val="21"/>
          <w:highlight w:val="none"/>
          <w:lang w:val="en-US" w:eastAsia="zh-CN" w:bidi="ar-SA"/>
        </w:rPr>
        <w:t xml:space="preserve">上述</w:t>
      </w:r>
      <w:r>
        <w:rPr>
          <w:rFonts w:ascii="宋体" w:hAnsi="宋体" w:eastAsia="Calibri" w:cs="宋体"/>
          <w:color w:val="000000"/>
          <w:spacing w:val="-2"/>
          <w:position w:val="7"/>
          <w:sz w:val="20"/>
          <w:szCs w:val="21"/>
          <w:highlight w:val="none"/>
          <w:lang w:val="en-US" w:eastAsia="zh-CN" w:bidi="ar-SA"/>
        </w:rPr>
        <w:t xml:space="preserve">组价完成后，按（中标价 ÷ 招标控制价）比值同比例下浮。</w:t>
      </w:r>
      <w:r>
        <w:rPr>
          <w:rFonts w:ascii="宋体" w:hAnsi="宋体" w:eastAsia="Calibri" w:cs="宋体"/>
          <w:color w:val="000000"/>
          <w:spacing w:val="-2"/>
          <w:position w:val="7"/>
          <w:sz w:val="20"/>
          <w:szCs w:val="21"/>
          <w:highlight w:val="none"/>
          <w:lang w:val="en-US" w:eastAsia="zh-CN" w:bidi="ar-SA"/>
        </w:rPr>
      </w:r>
      <w:r/>
    </w:p>
    <w:p>
      <w:pPr>
        <w:pStyle w:val="679"/>
        <w:ind w:left="0" w:right="0" w:firstLine="190"/>
        <w:jc w:val="left"/>
        <w:keepLines w:val="0"/>
        <w:keepNext w:val="0"/>
        <w:spacing w:before="0" w:beforeAutospacing="0" w:after="0" w:afterAutospacing="0" w:line="288" w:lineRule="atLeast"/>
        <w:widowControl/>
        <w:rPr>
          <w:b/>
          <w:bCs/>
          <w:color w:val="000000"/>
          <w:sz w:val="19"/>
          <w:szCs w:val="19"/>
          <w:highlight w:val="none"/>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4</w:t>
      </w:r>
      <w:r>
        <w:rPr>
          <w:b/>
          <w:bCs/>
          <w:color w:val="000000"/>
          <w:sz w:val="19"/>
          <w:szCs w:val="19"/>
          <w:highlight w:val="none"/>
          <w:lang w:eastAsia="zh-CN"/>
        </w:rPr>
        <w:t xml:space="preserve"> </w:t>
      </w:r>
      <w:r>
        <w:rPr>
          <w:b/>
          <w:bCs/>
          <w:color w:val="000000"/>
          <w:sz w:val="19"/>
          <w:szCs w:val="19"/>
          <w:highlight w:val="none"/>
        </w:rPr>
        <w:t xml:space="preserve">单独计日人工签证结算</w:t>
      </w:r>
      <w:r>
        <w:rPr>
          <w:b/>
          <w:bCs/>
          <w:color w:val="000000"/>
          <w:sz w:val="19"/>
          <w:szCs w:val="19"/>
          <w:highlight w:val="none"/>
        </w:rPr>
      </w:r>
      <w:r/>
    </w:p>
    <w:p>
      <w:pPr>
        <w:pStyle w:val="679"/>
        <w:ind w:firstLine="196"/>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如签证内单独签定人工数量，结算时价格按《南京工程造价管理》中江苏省建设工程人工工资指导价取费后，计入分部分项费。  </w:t>
      </w:r>
      <w:r>
        <w:rPr>
          <w:rFonts w:ascii="宋体" w:hAnsi="宋体" w:cs="宋体"/>
          <w:color w:val="000000"/>
          <w:spacing w:val="-2"/>
          <w:position w:val="7"/>
          <w:sz w:val="20"/>
          <w:szCs w:val="21"/>
          <w:highlight w:val="none"/>
          <w:lang w:eastAsia="zh-CN"/>
        </w:rPr>
      </w:r>
      <w:r/>
    </w:p>
    <w:p>
      <w:pPr>
        <w:pStyle w:val="679"/>
        <w:ind w:left="0" w:right="0" w:firstLine="190"/>
        <w:jc w:val="left"/>
        <w:keepLines w:val="0"/>
        <w:keepNext w:val="0"/>
        <w:spacing w:before="0" w:beforeAutospacing="0" w:after="0" w:afterAutospacing="0" w:line="288" w:lineRule="atLeast"/>
        <w:widowControl/>
        <w:rPr>
          <w:b/>
          <w:bCs/>
          <w:color w:val="000000"/>
          <w:sz w:val="19"/>
          <w:szCs w:val="19"/>
          <w:highlight w:val="none"/>
          <w:lang w:eastAsia="zh-CN"/>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5</w:t>
      </w:r>
      <w:r>
        <w:rPr>
          <w:b/>
          <w:bCs/>
          <w:color w:val="000000"/>
          <w:sz w:val="19"/>
          <w:szCs w:val="19"/>
          <w:highlight w:val="none"/>
          <w:lang w:eastAsia="zh-CN"/>
        </w:rPr>
        <w:t xml:space="preserve"> 定额无对应新工艺、新做法计价</w:t>
      </w:r>
      <w:r>
        <w:rPr>
          <w:b/>
          <w:bCs/>
          <w:color w:val="000000"/>
          <w:sz w:val="19"/>
          <w:szCs w:val="19"/>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涉及新工艺、新做法（定额没有的），施工前由乙方上报施工工艺，经甲方使用部门审核确认后方可实施，具体金额按照审计相关要求核算。  </w:t>
      </w:r>
      <w:r>
        <w:rPr>
          <w:rFonts w:ascii="宋体" w:hAnsi="宋体" w:cs="宋体"/>
          <w:color w:val="000000"/>
          <w:spacing w:val="-2"/>
          <w:position w:val="7"/>
          <w:sz w:val="20"/>
          <w:szCs w:val="21"/>
          <w:highlight w:val="none"/>
          <w:lang w:eastAsia="zh-CN"/>
        </w:rPr>
      </w:r>
      <w:r/>
    </w:p>
    <w:p>
      <w:pPr>
        <w:pStyle w:val="679"/>
        <w:ind w:left="53"/>
        <w:spacing w:before="248" w:line="360" w:lineRule="auto"/>
        <w:widowControl/>
        <w:rPr>
          <w:rFonts w:ascii="宋体" w:hAnsi="宋体" w:cs="宋体"/>
          <w:color w:val="000000"/>
          <w:spacing w:val="-2"/>
          <w:position w:val="7"/>
          <w:sz w:val="20"/>
          <w:szCs w:val="21"/>
          <w:highlight w:val="none"/>
          <w:lang w:eastAsia="zh-CN"/>
        </w:rPr>
        <w:outlineLvl w:val="0"/>
      </w:pPr>
      <w:r/>
      <w:bookmarkStart w:id="101" w:name="_Toc28153"/>
      <w:r/>
      <w:bookmarkStart w:id="102" w:name="_Toc11269"/>
      <w:r>
        <w:rPr>
          <w:rFonts w:ascii="宋体" w:hAnsi="宋体" w:cs="宋体"/>
          <w:color w:val="000000"/>
          <w:spacing w:val="-2"/>
          <w:position w:val="7"/>
          <w:sz w:val="20"/>
          <w:szCs w:val="21"/>
          <w:highlight w:val="none"/>
          <w:lang w:eastAsia="zh-CN"/>
        </w:rPr>
        <w:t xml:space="preserve">3、工程期限及承包方式</w:t>
      </w:r>
      <w:bookmarkEnd w:id="101"/>
      <w:r/>
      <w:bookmarkEnd w:id="102"/>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3.1 自合同签订之日起，</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个日历日内竣工。</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3.2 在施工时如遇到下列情况，可顺延工期。 </w:t>
      </w:r>
      <w:r>
        <w:rPr>
          <w:rFonts w:hint="eastAsia"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（1）由于不可抗力，而被迫停工者</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（2）因甲方原因不能连续施工者。</w:t>
      </w:r>
      <w:r>
        <w:rPr>
          <w:rFonts w:ascii="宋体" w:hAnsi="宋体" w:cs="宋体"/>
          <w:color w:val="000000"/>
          <w:spacing w:val="-2"/>
          <w:position w:val="7"/>
          <w:sz w:val="20"/>
          <w:szCs w:val="21"/>
          <w:highlight w:val="none"/>
          <w:lang w:eastAsia="zh-CN"/>
        </w:rPr>
      </w:r>
      <w:r/>
    </w:p>
    <w:p>
      <w:pPr>
        <w:pStyle w:val="679"/>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（3）由于过年期间材料供应商无法提供相关材料或其他客观原因导致不能施工的，施工可顺延。</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3.3 承包方式：</w:t>
      </w:r>
      <w:r>
        <w:rPr>
          <w:rFonts w:ascii="宋体" w:hAnsi="宋体" w:cs="宋体"/>
          <w:color w:val="000000"/>
          <w:spacing w:val="-2"/>
          <w:position w:val="7"/>
          <w:sz w:val="20"/>
          <w:szCs w:val="21"/>
          <w:highlight w:val="none"/>
          <w:u w:val="single"/>
          <w:lang w:eastAsia="zh-CN"/>
        </w:rPr>
        <w:t xml:space="preserve"> 包工包料</w:t>
      </w:r>
      <w:r>
        <w:rPr>
          <w:rFonts w:ascii="宋体" w:hAnsi="宋体" w:cs="宋体"/>
          <w:color w:val="000000"/>
          <w:spacing w:val="-2"/>
          <w:position w:val="7"/>
          <w:sz w:val="20"/>
          <w:szCs w:val="21"/>
          <w:highlight w:val="none"/>
          <w:u w:val="single"/>
          <w:lang w:eastAsia="zh-CN"/>
        </w:rPr>
      </w:r>
      <w:r/>
    </w:p>
    <w:p>
      <w:pPr>
        <w:pStyle w:val="679"/>
        <w:ind w:left="47"/>
        <w:spacing w:before="250" w:line="360" w:lineRule="auto"/>
        <w:widowControl/>
        <w:rPr>
          <w:rFonts w:ascii="宋体" w:hAnsi="宋体" w:cs="宋体"/>
          <w:color w:val="000000"/>
          <w:spacing w:val="-2"/>
          <w:position w:val="7"/>
          <w:sz w:val="20"/>
          <w:szCs w:val="21"/>
          <w:highlight w:val="none"/>
          <w:lang w:eastAsia="zh-CN"/>
        </w:rPr>
        <w:outlineLvl w:val="0"/>
      </w:pPr>
      <w:r/>
      <w:bookmarkStart w:id="103" w:name="_Toc6875"/>
      <w:r/>
      <w:bookmarkStart w:id="104" w:name="_Toc11200"/>
      <w:r>
        <w:rPr>
          <w:rFonts w:ascii="宋体" w:hAnsi="宋体" w:cs="宋体"/>
          <w:color w:val="000000"/>
          <w:spacing w:val="-2"/>
          <w:position w:val="7"/>
          <w:sz w:val="20"/>
          <w:szCs w:val="21"/>
          <w:highlight w:val="none"/>
          <w:lang w:eastAsia="zh-CN"/>
        </w:rPr>
        <w:t xml:space="preserve">4、施工准备中甲方乙双方的义务</w:t>
      </w:r>
      <w:bookmarkEnd w:id="103"/>
      <w:r/>
      <w:bookmarkEnd w:id="104"/>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 甲方义务</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4.1.1 明确工程内容，项目及要求，提供施工所需的水电及材料堆放地。施工过程中,甲方需要派一名现场人员与乙方单位进行协调工作。</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 乙方义务</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4.2.1 按照合同约定的工期按国家相关规范要求完成工程项目。</w:t>
      </w:r>
      <w:r>
        <w:rPr>
          <w:rFonts w:ascii="宋体" w:hAnsi="宋体" w:cs="宋体"/>
          <w:color w:val="000000"/>
          <w:spacing w:val="-2"/>
          <w:position w:val="7"/>
          <w:sz w:val="20"/>
          <w:szCs w:val="21"/>
          <w:highlight w:val="none"/>
          <w:lang w:eastAsia="zh-CN"/>
        </w:rPr>
      </w:r>
      <w:r/>
    </w:p>
    <w:p>
      <w:pPr>
        <w:pStyle w:val="679"/>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4.2.2 保护施工现场的环境卫生及文明施工。</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4.2.3 保证所用材料须符合国家标准和行业标准，且经甲方认可。</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4.2.4 施工过程中，乙方人员的人身、财产安全及因乙方施工造成第三方的人身、财产的侵害由乙方自行负责承担有关责任。甲方因此受到的损失概由乙方承担。</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乙方将承担全部责任，并承担所有赔偿费用。若发生任何大小安全责任事故或伤亡事故均由承包方承担，发包方不承担任何责任</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并根据事故大小对乙方每次</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万元至</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万元的违约金扣除。</w:t>
      </w:r>
      <w:r>
        <w:rPr>
          <w:rFonts w:hint="eastAsia"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合同当事人对文明施工的要求：</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）乙方须定期上报现场一线操作工人名单、人数、籍贯等。如有人员调整，必须及时通知甲方</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2</w:t>
      </w:r>
      <w:r>
        <w:rPr>
          <w:rFonts w:hint="eastAsia" w:ascii="宋体" w:hAnsi="宋体" w:cs="宋体"/>
          <w:color w:val="000000"/>
          <w:spacing w:val="-2"/>
          <w:position w:val="7"/>
          <w:sz w:val="20"/>
          <w:szCs w:val="21"/>
          <w:highlight w:val="none"/>
          <w:lang w:eastAsia="zh-CN"/>
        </w:rPr>
        <w:t xml:space="preserve">）施工人员未经允许不得进入已经交付的工程区域</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3</w:t>
      </w:r>
      <w:r>
        <w:rPr>
          <w:rFonts w:hint="eastAsia" w:ascii="宋体" w:hAnsi="宋体" w:cs="宋体"/>
          <w:color w:val="000000"/>
          <w:spacing w:val="-2"/>
          <w:position w:val="7"/>
          <w:sz w:val="20"/>
          <w:szCs w:val="21"/>
          <w:highlight w:val="none"/>
          <w:lang w:eastAsia="zh-CN"/>
        </w:rPr>
        <w:t xml:space="preserve">）乙方对施工范围内的安全防火承担责任</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4</w:t>
      </w:r>
      <w:r>
        <w:rPr>
          <w:rFonts w:hint="eastAsia" w:ascii="宋体" w:hAnsi="宋体" w:cs="宋体"/>
          <w:color w:val="000000"/>
          <w:spacing w:val="-2"/>
          <w:position w:val="7"/>
          <w:sz w:val="20"/>
          <w:szCs w:val="21"/>
          <w:highlight w:val="none"/>
          <w:lang w:eastAsia="zh-CN"/>
        </w:rPr>
        <w:t xml:space="preserve">）乙方应遵守工程建设安全生产有关管理规定，严格按安全标准组织施工，并随时接受行业安全检查人员依法实施的监督检查，采取必要的安全防护措施，消除事故隐患。安全施工防护费用已含在合同价款内。由于乙方安全措施不力造成事故的责任和因此发生的费用，由乙方承担，造成安全事故带来不良影响的，每次承担</w:t>
      </w:r>
      <w:r>
        <w:rPr>
          <w:rFonts w:ascii="宋体" w:hAnsi="宋体" w:cs="宋体"/>
          <w:color w:val="000000"/>
          <w:spacing w:val="-2"/>
          <w:position w:val="7"/>
          <w:sz w:val="20"/>
          <w:szCs w:val="21"/>
          <w:highlight w:val="none"/>
          <w:lang w:eastAsia="zh-CN"/>
        </w:rPr>
        <w:t xml:space="preserve">5000</w:t>
      </w:r>
      <w:r>
        <w:rPr>
          <w:rFonts w:hint="eastAsia" w:ascii="宋体" w:hAnsi="宋体" w:cs="宋体"/>
          <w:color w:val="000000"/>
          <w:spacing w:val="-2"/>
          <w:position w:val="7"/>
          <w:sz w:val="20"/>
          <w:szCs w:val="21"/>
          <w:highlight w:val="none"/>
          <w:lang w:eastAsia="zh-CN"/>
        </w:rPr>
        <w:t xml:space="preserve">元的违约金。乙方负责施工现场的安全及第三方人身安全</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乙方应负责为其雇员安排食宿并提供各种必需的生活设施，并应采取合理的卫生防护措施和安全措施以保护其雇员的健康和安全。若因卫生、火灾等原因造成损失，由乙方承担全部责任。甲方有权根据现场损失情况要求承担合同价</w:t>
      </w:r>
      <w:r>
        <w:rPr>
          <w:rFonts w:ascii="宋体" w:hAnsi="宋体" w:cs="宋体"/>
          <w:color w:val="000000"/>
          <w:spacing w:val="-2"/>
          <w:position w:val="7"/>
          <w:sz w:val="20"/>
          <w:szCs w:val="21"/>
          <w:highlight w:val="none"/>
          <w:lang w:eastAsia="zh-CN"/>
        </w:rPr>
        <w:t xml:space="preserve">2%-5%</w:t>
      </w:r>
      <w:r>
        <w:rPr>
          <w:rFonts w:hint="eastAsia" w:ascii="宋体" w:hAnsi="宋体" w:cs="宋体"/>
          <w:color w:val="000000"/>
          <w:spacing w:val="-2"/>
          <w:position w:val="7"/>
          <w:sz w:val="20"/>
          <w:szCs w:val="21"/>
          <w:highlight w:val="none"/>
          <w:lang w:eastAsia="zh-CN"/>
        </w:rPr>
        <w:t xml:space="preserve">的违约金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6</w:t>
      </w:r>
      <w:r>
        <w:rPr>
          <w:rFonts w:hint="eastAsia" w:ascii="宋体" w:hAnsi="宋体" w:cs="宋体"/>
          <w:color w:val="000000"/>
          <w:spacing w:val="-2"/>
          <w:position w:val="7"/>
          <w:sz w:val="20"/>
          <w:szCs w:val="21"/>
          <w:highlight w:val="none"/>
          <w:lang w:eastAsia="zh-CN"/>
        </w:rPr>
        <w:t xml:space="preserve">）施工期间必须做好场地清洁卫生，设置冲洗平台，做到净车出场，避免在场外道路上“抛、洒、滴、漏”。由此产生的责任由乙方承担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7</w:t>
      </w:r>
      <w:r>
        <w:rPr>
          <w:rFonts w:hint="eastAsia" w:ascii="宋体" w:hAnsi="宋体" w:cs="宋体"/>
          <w:color w:val="000000"/>
          <w:spacing w:val="-2"/>
          <w:position w:val="7"/>
          <w:sz w:val="20"/>
          <w:szCs w:val="21"/>
          <w:highlight w:val="none"/>
          <w:lang w:eastAsia="zh-CN"/>
        </w:rPr>
        <w:t xml:space="preserve">）乙方严禁污水乱排放，将生活垃圾集中外运，达到标化现场要求</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8</w:t>
      </w:r>
      <w:r>
        <w:rPr>
          <w:rFonts w:hint="eastAsia" w:ascii="宋体" w:hAnsi="宋体" w:cs="宋体"/>
          <w:color w:val="000000"/>
          <w:spacing w:val="-2"/>
          <w:position w:val="7"/>
          <w:sz w:val="20"/>
          <w:szCs w:val="21"/>
          <w:highlight w:val="none"/>
          <w:lang w:eastAsia="zh-CN"/>
        </w:rPr>
        <w:t xml:space="preserve">）对施工场地内的已完工程、在建工程、管沟、管网等进行保护</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9</w:t>
      </w:r>
      <w:r>
        <w:rPr>
          <w:rFonts w:hint="eastAsia" w:ascii="宋体" w:hAnsi="宋体" w:cs="宋体"/>
          <w:color w:val="000000"/>
          <w:spacing w:val="-2"/>
          <w:position w:val="7"/>
          <w:sz w:val="20"/>
          <w:szCs w:val="21"/>
          <w:highlight w:val="none"/>
          <w:lang w:eastAsia="zh-CN"/>
        </w:rPr>
        <w:t xml:space="preserve">）施工期间必须挂牌上岗并统一着装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）禁止乱堆乱放材料与机械设备</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11</w:t>
      </w:r>
      <w:r>
        <w:rPr>
          <w:rFonts w:hint="eastAsia" w:ascii="宋体" w:hAnsi="宋体" w:cs="宋体"/>
          <w:color w:val="000000"/>
          <w:spacing w:val="-2"/>
          <w:position w:val="7"/>
          <w:sz w:val="20"/>
          <w:szCs w:val="21"/>
          <w:highlight w:val="none"/>
          <w:lang w:eastAsia="zh-CN"/>
        </w:rPr>
        <w:t xml:space="preserve">）必须设置标语牌（包括安全、质量、环境、操作规程等）</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4.2.7</w:t>
      </w:r>
      <w:r>
        <w:rPr>
          <w:rFonts w:hint="eastAsia" w:ascii="宋体" w:hAnsi="宋体" w:cs="宋体"/>
          <w:color w:val="000000"/>
          <w:spacing w:val="-2"/>
          <w:position w:val="7"/>
          <w:sz w:val="20"/>
          <w:szCs w:val="21"/>
          <w:highlight w:val="none"/>
          <w:lang w:val="en-US" w:eastAsia="zh-CN"/>
        </w:rPr>
        <w:t xml:space="preserve"> </w:t>
      </w:r>
      <w:r>
        <w:rPr>
          <w:rFonts w:ascii="宋体" w:hAnsi="宋体" w:cs="宋体"/>
          <w:color w:val="000000"/>
          <w:spacing w:val="-2"/>
          <w:position w:val="7"/>
          <w:sz w:val="20"/>
          <w:szCs w:val="21"/>
          <w:highlight w:val="none"/>
          <w:lang w:eastAsia="zh-CN"/>
        </w:rPr>
        <w:t xml:space="preserve">乙方施工不得影响甲方正常教学工作。</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 违约责任：</w:t>
      </w:r>
      <w:r>
        <w:rPr>
          <w:rFonts w:ascii="宋体" w:hAnsi="宋体" w:cs="宋体"/>
          <w:color w:val="000000"/>
          <w:spacing w:val="-2"/>
          <w:position w:val="7"/>
          <w:sz w:val="20"/>
          <w:szCs w:val="21"/>
          <w:highlight w:val="none"/>
          <w:lang w:eastAsia="zh-CN"/>
        </w:rPr>
      </w:r>
      <w:r/>
    </w:p>
    <w:p>
      <w:pPr>
        <w:pStyle w:val="679"/>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4.3.1 </w:t>
      </w:r>
      <w:r>
        <w:rPr>
          <w:rFonts w:ascii="宋体" w:hAnsi="宋体" w:cs="宋体"/>
          <w:color w:val="000000"/>
          <w:spacing w:val="-2"/>
          <w:position w:val="7"/>
          <w:sz w:val="20"/>
          <w:szCs w:val="21"/>
          <w:highlight w:val="none"/>
          <w:lang w:eastAsia="zh-CN"/>
        </w:rPr>
        <w:t xml:space="preserve">如果乙方不能根据工程量清单或承诺书承诺的工期按期完成施工内容，工期每延误一天罚款</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00元,总罚款不超合同总价的</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4.3.2 如果因甲方方案调整原因，导致工程停工等待设计方案，甲方需补偿相应工期及甲方补偿给乙方每停工一天</w:t>
      </w:r>
      <w:r>
        <w:rPr>
          <w:rFonts w:hint="eastAsia" w:ascii="宋体" w:hAnsi="宋体" w:cs="宋体"/>
          <w:color w:val="000000"/>
          <w:spacing w:val="-2"/>
          <w:position w:val="7"/>
          <w:sz w:val="20"/>
          <w:szCs w:val="21"/>
          <w:highlight w:val="none"/>
          <w:lang w:eastAsia="zh-CN"/>
        </w:rPr>
        <w:t xml:space="preserve">5</w:t>
      </w:r>
      <w:r>
        <w:rPr>
          <w:rFonts w:ascii="宋体" w:hAnsi="宋体" w:cs="宋体"/>
          <w:color w:val="000000"/>
          <w:spacing w:val="-2"/>
          <w:position w:val="7"/>
          <w:sz w:val="20"/>
          <w:szCs w:val="21"/>
          <w:highlight w:val="none"/>
          <w:lang w:eastAsia="zh-CN"/>
        </w:rPr>
        <w:t xml:space="preserve">00元费用，总罚款不超合同总价的5%。</w:t>
      </w:r>
      <w:r>
        <w:rPr>
          <w:rFonts w:hint="eastAsia"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4.3.3</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乙方的质量未达国家质量验收标准标，甲方将对乙方进行不低于合同价的</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％罚款，同时乙方必须整改至国家质量验收标准，费用由乙方承担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4.3.4</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本工程具体分项工程完成时间应服从甲方的总体要求，如因乙方原因导致实际进度与甲方要求的进度计划不符，乙方无措施或无法按工期完工或质量无法达到合同要求的，甲方有权对部分分项工程指定第三方施工，乙方必须无条件服从和配合；此分项工程费用由甲方按实际发生费用从乙方的工程款中扣除，并加收</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的管理费；当累计完成工程量不足计划进度的</w:t>
      </w:r>
      <w:r>
        <w:rPr>
          <w:rFonts w:ascii="宋体" w:hAnsi="宋体" w:cs="宋体"/>
          <w:color w:val="000000"/>
          <w:spacing w:val="-2"/>
          <w:position w:val="7"/>
          <w:sz w:val="20"/>
          <w:szCs w:val="21"/>
          <w:highlight w:val="none"/>
          <w:lang w:eastAsia="zh-CN"/>
        </w:rPr>
        <w:t xml:space="preserve">70%</w:t>
      </w:r>
      <w:r>
        <w:rPr>
          <w:rFonts w:hint="eastAsia" w:ascii="宋体" w:hAnsi="宋体" w:cs="宋体"/>
          <w:color w:val="000000"/>
          <w:spacing w:val="-2"/>
          <w:position w:val="7"/>
          <w:sz w:val="20"/>
          <w:szCs w:val="21"/>
          <w:highlight w:val="none"/>
          <w:lang w:eastAsia="zh-CN"/>
        </w:rPr>
        <w:t xml:space="preserve">时，可认为乙方无能力按期履行合同，甲方有权终止合同，并由乙方承担一切损失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乙方未按程序报验的，每次向甲方支付</w:t>
      </w:r>
      <w:r>
        <w:rPr>
          <w:rFonts w:ascii="宋体" w:hAnsi="宋体" w:cs="宋体"/>
          <w:color w:val="000000"/>
          <w:spacing w:val="-2"/>
          <w:position w:val="7"/>
          <w:sz w:val="20"/>
          <w:szCs w:val="21"/>
          <w:highlight w:val="none"/>
          <w:lang w:eastAsia="zh-CN"/>
        </w:rPr>
        <w:t xml:space="preserve">1000</w:t>
      </w:r>
      <w:r>
        <w:rPr>
          <w:rFonts w:hint="eastAsia" w:ascii="宋体" w:hAnsi="宋体" w:cs="宋体"/>
          <w:color w:val="000000"/>
          <w:spacing w:val="-2"/>
          <w:position w:val="7"/>
          <w:sz w:val="20"/>
          <w:szCs w:val="21"/>
          <w:highlight w:val="none"/>
          <w:lang w:eastAsia="zh-CN"/>
        </w:rPr>
        <w:t xml:space="preserve">元违约赔偿金；工序验收不合格的，须按要求返工，并每次向甲方支付</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元违约赔偿金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乙方必须服从甲方发布的各项符合现行法律、法规的管理规定，如乙方不服从甲方及监理的管理，每次向甲方支付</w:t>
      </w:r>
      <w:r>
        <w:rPr>
          <w:rFonts w:ascii="宋体" w:hAnsi="宋体" w:cs="宋体"/>
          <w:color w:val="000000"/>
          <w:spacing w:val="-2"/>
          <w:position w:val="7"/>
          <w:sz w:val="20"/>
          <w:szCs w:val="21"/>
          <w:highlight w:val="none"/>
          <w:lang w:eastAsia="zh-CN"/>
        </w:rPr>
        <w:t xml:space="preserve">10000</w:t>
      </w:r>
      <w:r>
        <w:rPr>
          <w:rFonts w:hint="eastAsia" w:ascii="宋体" w:hAnsi="宋体" w:cs="宋体"/>
          <w:color w:val="000000"/>
          <w:spacing w:val="-2"/>
          <w:position w:val="7"/>
          <w:sz w:val="20"/>
          <w:szCs w:val="21"/>
          <w:highlight w:val="none"/>
          <w:lang w:eastAsia="zh-CN"/>
        </w:rPr>
        <w:t xml:space="preserve">元违约赔偿金，且甲方有权解除合同，并要求乙方赔偿损失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4.3.7</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项目经理每周不少于</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每天不少于八小时必须在本工程现场工作，且必须参加每周召开的例会。并接受业主代表和监理总监的监督，如项目经理有特殊原因不能保证上述在岗时间的，需征得甲方书面同意后，授权项目副经理全权处理现场事务，且满足上述在岗时间，甲方发现项目经理不在本工程现场工作，甲方有权按每天</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元人民币的标准扣罚，项目经理每次例会无故不参加的罚款</w:t>
      </w:r>
      <w:r>
        <w:rPr>
          <w:rFonts w:ascii="宋体" w:hAnsi="宋体" w:cs="宋体"/>
          <w:color w:val="000000"/>
          <w:spacing w:val="-2"/>
          <w:position w:val="7"/>
          <w:sz w:val="20"/>
          <w:szCs w:val="21"/>
          <w:highlight w:val="none"/>
          <w:lang w:eastAsia="zh-CN"/>
        </w:rPr>
        <w:t xml:space="preserve">500</w:t>
      </w:r>
      <w:r>
        <w:rPr>
          <w:rFonts w:hint="eastAsia" w:ascii="宋体" w:hAnsi="宋体" w:cs="宋体"/>
          <w:color w:val="000000"/>
          <w:spacing w:val="-2"/>
          <w:position w:val="7"/>
          <w:sz w:val="20"/>
          <w:szCs w:val="21"/>
          <w:highlight w:val="none"/>
          <w:lang w:eastAsia="zh-CN"/>
        </w:rPr>
        <w:t xml:space="preserve">元</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次。如项目经理一周有二个工作日或二周累计</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天不在现场，为乙方严重违约，甲方有权解除合同，将乙方清退出场，解除合同的同时不免除乙方应当承担的上述违约责任；</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4.3.8</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经查实如乙方有出借资质或挂靠施工现象发生，视乙方违约，乙方除须立即进行纠正外，甲方有权没收履约保证金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4.3.9</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乙方工程结算应实事求是、依法合规，严禁高估冒算、弄虚作假，否则由于种种不良行为造成的后果由施工单位承担。</w:t>
      </w:r>
      <w:r>
        <w:rPr>
          <w:rFonts w:hint="eastAsia"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r>
      <w:r/>
    </w:p>
    <w:p>
      <w:pPr>
        <w:pStyle w:val="679"/>
        <w:spacing w:before="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5、付款方式</w:t>
      </w:r>
      <w:r>
        <w:rPr>
          <w:rFonts w:ascii="宋体" w:hAnsi="宋体" w:cs="宋体"/>
          <w:color w:val="000000"/>
          <w:spacing w:val="-2"/>
          <w:position w:val="7"/>
          <w:sz w:val="20"/>
          <w:szCs w:val="21"/>
          <w:highlight w:val="none"/>
          <w:lang w:eastAsia="zh-CN"/>
        </w:rPr>
      </w:r>
      <w:r/>
    </w:p>
    <w:p>
      <w:pPr>
        <w:pStyle w:val="681"/>
        <w:ind w:left="0"/>
        <w:spacing w:line="360" w:lineRule="auto"/>
        <w:rPr>
          <w:rFonts w:hint="eastAsia" w:ascii="宋体" w:hAnsi="宋体" w:cs="宋体"/>
          <w:color w:val="000000"/>
          <w:spacing w:val="-2"/>
          <w:position w:val="7"/>
          <w:sz w:val="20"/>
          <w:szCs w:val="21"/>
          <w:highlight w:val="none"/>
          <w:lang w:eastAsia="zh-CN"/>
        </w:rPr>
      </w:pPr>
      <w:r/>
      <w:bookmarkStart w:id="105" w:name="_Toc203"/>
      <w:r/>
      <w:bookmarkStart w:id="106" w:name="_Toc2056"/>
      <w:r>
        <w:rPr>
          <w:rFonts w:hint="eastAsia" w:ascii="宋体" w:hAnsi="宋体" w:eastAsia="宋体" w:cs="宋体"/>
          <w:b w:val="0"/>
          <w:bCs w:val="0"/>
          <w:color w:val="000000"/>
          <w:sz w:val="21"/>
          <w:szCs w:val="21"/>
          <w:highlight w:val="none"/>
          <w:lang w:val="en-US" w:eastAsia="zh-CN" w:bidi="ar-SA"/>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cs="宋体"/>
          <w:color w:val="000000"/>
          <w:spacing w:val="-2"/>
          <w:position w:val="7"/>
          <w:sz w:val="20"/>
          <w:szCs w:val="21"/>
          <w:highlight w:val="none"/>
          <w:lang w:eastAsia="zh-CN"/>
        </w:rPr>
        <w:t xml:space="preserve">因设计和施工变更产生的追加工程项目，只能付至追加工程项目签证金额的50%；因设计和施工变更导致减少工程项目，应同比例减少本次工程进度款的支付）</w:t>
      </w:r>
      <w:bookmarkEnd w:id="105"/>
      <w:r/>
      <w:bookmarkEnd w:id="106"/>
      <w:r>
        <w:rPr>
          <w:rFonts w:hint="eastAsia" w:ascii="宋体" w:hAnsi="宋体" w:cs="宋体"/>
          <w:color w:val="000000"/>
          <w:spacing w:val="-2"/>
          <w:position w:val="7"/>
          <w:sz w:val="20"/>
          <w:szCs w:val="21"/>
          <w:highlight w:val="none"/>
          <w:lang w:eastAsia="zh-CN"/>
        </w:rPr>
      </w:r>
      <w:r/>
    </w:p>
    <w:p>
      <w:pPr>
        <w:pStyle w:val="679"/>
        <w:ind w:left="50"/>
        <w:spacing w:before="247" w:line="360" w:lineRule="auto"/>
        <w:widowControl/>
        <w:rPr>
          <w:rFonts w:ascii="宋体" w:hAnsi="宋体" w:cs="宋体"/>
          <w:color w:val="000000"/>
          <w:spacing w:val="-2"/>
          <w:position w:val="7"/>
          <w:sz w:val="20"/>
          <w:szCs w:val="21"/>
          <w:highlight w:val="none"/>
          <w:lang w:eastAsia="zh-CN"/>
        </w:rPr>
        <w:outlineLvl w:val="0"/>
      </w:pPr>
      <w:r/>
      <w:bookmarkStart w:id="107" w:name="_Toc7225"/>
      <w:r/>
      <w:bookmarkStart w:id="108" w:name="_Toc28903"/>
      <w:r>
        <w:rPr>
          <w:rFonts w:ascii="宋体" w:hAnsi="宋体" w:cs="宋体"/>
          <w:color w:val="000000"/>
          <w:spacing w:val="-2"/>
          <w:position w:val="7"/>
          <w:sz w:val="20"/>
          <w:szCs w:val="21"/>
          <w:highlight w:val="none"/>
          <w:lang w:eastAsia="zh-CN"/>
        </w:rPr>
        <w:t xml:space="preserve">6、结算审计的时间要求与费用</w:t>
      </w:r>
      <w:bookmarkEnd w:id="107"/>
      <w:r/>
      <w:bookmarkEnd w:id="108"/>
      <w:r>
        <w:rPr>
          <w:rFonts w:ascii="宋体" w:hAnsi="宋体" w:cs="宋体"/>
          <w:color w:val="000000"/>
          <w:spacing w:val="-2"/>
          <w:position w:val="7"/>
          <w:sz w:val="20"/>
          <w:szCs w:val="21"/>
          <w:highlight w:val="none"/>
          <w:lang w:eastAsia="zh-CN"/>
        </w:rPr>
      </w:r>
      <w:r/>
    </w:p>
    <w:p>
      <w:pPr>
        <w:pStyle w:val="679"/>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结算报审、审计时间要求</w:t>
      </w:r>
      <w:r>
        <w:rPr>
          <w:rFonts w:ascii="宋体" w:hAnsi="宋体" w:cs="宋体"/>
          <w:color w:val="000000"/>
          <w:spacing w:val="-2"/>
          <w:position w:val="7"/>
          <w:sz w:val="20"/>
          <w:szCs w:val="21"/>
          <w:highlight w:val="none"/>
          <w:lang w:eastAsia="zh-CN"/>
        </w:rPr>
      </w:r>
      <w:r/>
    </w:p>
    <w:p>
      <w:pPr>
        <w:pStyle w:val="679"/>
        <w:ind w:firstLine="469"/>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6.1 结算报审、审计时间要求乙方在竣工验收及工程签证手续办理完成后1个月内联系 甲方上报工程结算资料，甲方收到乙方提供的完备的竣工结算资料后，四十五个工作日内  出具审计征求意见稿。施工方需在收到征求意见稿之后10个工作日内，就争议部分出具书  面意见并送达审计处，如按期未提供书面意见则视为无异议。双方对审计结果认可后十日内出具审核报告。甲方有权对超供部分甲供材在结算中扣除。</w:t>
      </w:r>
      <w:r>
        <w:rPr>
          <w:rFonts w:ascii="宋体" w:hAnsi="宋体" w:cs="宋体"/>
          <w:color w:val="000000"/>
          <w:spacing w:val="-2"/>
          <w:position w:val="7"/>
          <w:sz w:val="20"/>
          <w:szCs w:val="21"/>
          <w:highlight w:val="none"/>
          <w:lang w:eastAsia="zh-CN"/>
        </w:rPr>
      </w:r>
      <w:r/>
    </w:p>
    <w:p>
      <w:pPr>
        <w:pStyle w:val="679"/>
        <w:ind w:firstLine="392"/>
        <w:spacing w:before="147"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竣工结算资料包括但不仅限于：（1）施工合同、补充协议等；（2）中标通知书;（3）招标文件、招标答疑、投标文件（纸质版和PDF版）；（4）竣工图、工程签证单、 设计变更等资料（至少一份原件）；（5）开工、竣工报告；（6）工程影像资料；（7）施工用水电度数（如有）；（8）有关工程的质量、安全、奖罚资料；（9）竣工结算资料（含竣工结算书、工程量计算书）；（10）甲供材清单（如有）；</w:t>
      </w:r>
      <w:r>
        <w:rPr>
          <w:rFonts w:hint="eastAsia"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6.2 高校建设项目结算审计，应按下列规定支付审计费用</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单项工程核减率超过10%的，其审计费用全部由施工单位承担，并由学校从施工单位工程款中扣除（下同）；（2）单项工程核减率在8%—10%（含10%）之间的，其审计费用由学校承担20%，施工单位承担80%；（3）单项工程核减率在5%—8%（含8%）之间的，其审计费用由施工单位承担20%，学校承担80%；（4）单项工程核减率在5%及以下的，其审计费用由学校承担。  核减率按审计最终核定额与施工单位申报的决算额之间的差额计算，费用由发包方在付工程款中扣除。</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6.3 工程设计变更签证单的管理</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（1）工程施工中发生的变更签证，严格按规定履行变更审批手续。在项目实施过程中,建设管理部门应对变更项目进行费用预估。工程项目单项变更追加预算的审批权限：</w:t>
      </w:r>
      <w:r>
        <w:rPr>
          <w:rFonts w:ascii="宋体" w:hAnsi="宋体" w:eastAsia="宋体" w:cs="宋体"/>
          <w:color w:val="000000"/>
          <w:spacing w:val="-2"/>
          <w:position w:val="7"/>
          <w:sz w:val="20"/>
          <w:szCs w:val="21"/>
          <w:highlight w:val="none"/>
          <w:lang w:val="en-US" w:eastAsia="zh-CN"/>
        </w:rPr>
        <w:t xml:space="preserve">设计变更、签证预估金额</w:t>
      </w:r>
      <w:r>
        <w:rPr>
          <w:rFonts w:ascii="宋体" w:hAnsi="宋体" w:eastAsia="宋体" w:cs="宋体"/>
          <w:color w:val="000000"/>
          <w:spacing w:val="-2"/>
          <w:position w:val="7"/>
          <w:sz w:val="20"/>
          <w:szCs w:val="21"/>
          <w:highlight w:val="none"/>
          <w:lang w:val="en-US" w:eastAsia="zh-CN"/>
        </w:rPr>
        <w:t xml:space="preserve">10万元以下，经使用（管理）单位党、政负责人申请，建设单位审核，分管维修校领导复核，校长审批</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设计变更、签证预估金额10万元以上100万元以下，经使用（管理）单位党、政负责人申请，校长办公会决策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 100 万元以上，经使用（管理）单位党、政负责人申请，校长办公会审议后，党委会决策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cs="宋体"/>
          <w:color w:val="000000"/>
          <w:spacing w:val="-2"/>
          <w:position w:val="7"/>
          <w:sz w:val="20"/>
          <w:szCs w:val="21"/>
          <w:highlight w:val="none"/>
          <w:lang w:eastAsia="zh-CN"/>
        </w:rPr>
        <w:t xml:space="preserve">建设工程项目进度预付款小于等于合同价格的75%和建设工程签证追加预付款小于等于预估价50%的，按照财务经费支付权限审批；建设工程签证减少工程预付款，同比例减少工程进度款的支付，由建设工程管理部门负责任人审批；（以上预估费用，仅作为签证权限使用，不作为结算费用依据。）</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（2）工程签证总费用，不得超过合同价格的10%。</w:t>
      </w:r>
      <w:r>
        <w:rPr>
          <w:rFonts w:ascii="宋体" w:hAnsi="宋体" w:cs="宋体"/>
          <w:color w:val="000000"/>
          <w:spacing w:val="-2"/>
          <w:position w:val="7"/>
          <w:sz w:val="20"/>
          <w:szCs w:val="21"/>
          <w:highlight w:val="none"/>
          <w:lang w:eastAsia="zh-CN"/>
        </w:rPr>
      </w:r>
      <w:r/>
    </w:p>
    <w:p>
      <w:pPr>
        <w:pStyle w:val="679"/>
        <w:spacing w:before="248" w:line="360" w:lineRule="auto"/>
        <w:widowControl/>
        <w:rPr>
          <w:rFonts w:ascii="宋体" w:hAnsi="宋体" w:cs="宋体"/>
          <w:color w:val="000000"/>
          <w:spacing w:val="-2"/>
          <w:position w:val="7"/>
          <w:sz w:val="20"/>
          <w:szCs w:val="21"/>
          <w:highlight w:val="none"/>
          <w:lang w:eastAsia="zh-CN"/>
        </w:rPr>
        <w:outlineLvl w:val="0"/>
      </w:pPr>
      <w:r/>
      <w:bookmarkStart w:id="109" w:name="_Toc17337"/>
      <w:r/>
      <w:bookmarkStart w:id="110" w:name="_Toc29246"/>
      <w:r>
        <w:rPr>
          <w:rFonts w:ascii="宋体" w:hAnsi="宋体" w:cs="宋体"/>
          <w:color w:val="000000"/>
          <w:spacing w:val="-2"/>
          <w:position w:val="7"/>
          <w:sz w:val="20"/>
          <w:szCs w:val="21"/>
          <w:highlight w:val="none"/>
          <w:lang w:eastAsia="zh-CN"/>
        </w:rPr>
        <w:t xml:space="preserve">7、工程质量</w:t>
      </w:r>
      <w:bookmarkEnd w:id="109"/>
      <w:r/>
      <w:bookmarkEnd w:id="110"/>
      <w:r>
        <w:rPr>
          <w:rFonts w:ascii="宋体" w:hAnsi="宋体" w:cs="宋体"/>
          <w:color w:val="000000"/>
          <w:spacing w:val="-2"/>
          <w:position w:val="7"/>
          <w:sz w:val="20"/>
          <w:szCs w:val="21"/>
          <w:highlight w:val="none"/>
          <w:lang w:eastAsia="zh-CN"/>
        </w:rPr>
      </w:r>
      <w:r/>
    </w:p>
    <w:p>
      <w:pPr>
        <w:pStyle w:val="679"/>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7.1 改造部位施工质量达到合格要求。</w:t>
      </w:r>
      <w:r>
        <w:rPr>
          <w:rFonts w:ascii="宋体" w:hAnsi="宋体" w:cs="宋体"/>
          <w:color w:val="000000"/>
          <w:spacing w:val="-2"/>
          <w:position w:val="7"/>
          <w:sz w:val="20"/>
          <w:szCs w:val="21"/>
          <w:highlight w:val="none"/>
          <w:lang w:eastAsia="zh-CN"/>
        </w:rPr>
      </w:r>
      <w:r/>
    </w:p>
    <w:p>
      <w:pPr>
        <w:pStyle w:val="679"/>
        <w:spacing w:before="248" w:line="360" w:lineRule="auto"/>
        <w:widowControl/>
        <w:rPr>
          <w:rFonts w:ascii="宋体" w:hAnsi="宋体" w:cs="宋体"/>
          <w:color w:val="000000"/>
          <w:spacing w:val="-2"/>
          <w:position w:val="7"/>
          <w:sz w:val="20"/>
          <w:szCs w:val="21"/>
          <w:highlight w:val="none"/>
          <w:lang w:eastAsia="zh-CN"/>
        </w:rPr>
        <w:outlineLvl w:val="0"/>
      </w:pPr>
      <w:r/>
      <w:bookmarkStart w:id="111" w:name="_Toc20309"/>
      <w:r/>
      <w:bookmarkStart w:id="112" w:name="_Toc1790"/>
      <w:r>
        <w:rPr>
          <w:rFonts w:ascii="宋体" w:hAnsi="宋体" w:cs="宋体"/>
          <w:color w:val="000000"/>
          <w:spacing w:val="-2"/>
          <w:position w:val="7"/>
          <w:sz w:val="20"/>
          <w:szCs w:val="21"/>
          <w:highlight w:val="none"/>
          <w:lang w:eastAsia="zh-CN"/>
        </w:rPr>
        <w:t xml:space="preserve">8、甲、乙双方驻工地代表</w:t>
      </w:r>
      <w:bookmarkEnd w:id="111"/>
      <w:r/>
      <w:bookmarkEnd w:id="112"/>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8.1 甲方驻工地代表：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乙方驻工地代表：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spacing w:before="192" w:line="360" w:lineRule="auto"/>
        <w:widowControl/>
        <w:tabs>
          <w:tab w:val="left" w:pos="238" w:leader="none"/>
        </w:tabs>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9、竣工验收及工程交付</w:t>
      </w:r>
      <w:r>
        <w:rPr>
          <w:rFonts w:ascii="宋体" w:hAnsi="宋体" w:cs="宋体"/>
          <w:color w:val="000000"/>
          <w:spacing w:val="-2"/>
          <w:position w:val="7"/>
          <w:sz w:val="20"/>
          <w:szCs w:val="21"/>
          <w:highlight w:val="none"/>
          <w:lang w:eastAsia="zh-CN"/>
        </w:rPr>
      </w:r>
      <w:r/>
    </w:p>
    <w:p>
      <w:pPr>
        <w:pStyle w:val="679"/>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9.1 在进行竣工工程验收中，如发现工程质量不符合规定，乙方应负责在规定时间内无偿修理或返工直至验收合格。</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9.2 乙方应当在验收合格之日起3天内向甲方交付工程，在交付之前，乙方应当将一切杂物及剩余材料清除干净</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一切费用由乙方承担。</w:t>
      </w:r>
      <w:r>
        <w:rPr>
          <w:rFonts w:ascii="宋体" w:hAnsi="宋体" w:cs="宋体"/>
          <w:color w:val="000000"/>
          <w:spacing w:val="-2"/>
          <w:position w:val="7"/>
          <w:sz w:val="20"/>
          <w:szCs w:val="21"/>
          <w:highlight w:val="none"/>
          <w:lang w:eastAsia="zh-CN"/>
        </w:rPr>
      </w:r>
      <w:r/>
    </w:p>
    <w:p>
      <w:pPr>
        <w:pStyle w:val="679"/>
        <w:spacing w:before="250" w:line="360" w:lineRule="auto"/>
        <w:widowControl/>
        <w:rPr>
          <w:rFonts w:ascii="宋体" w:hAnsi="宋体" w:cs="宋体"/>
          <w:color w:val="000000"/>
          <w:spacing w:val="-2"/>
          <w:position w:val="7"/>
          <w:sz w:val="20"/>
          <w:szCs w:val="21"/>
          <w:highlight w:val="none"/>
          <w:lang w:eastAsia="zh-CN"/>
        </w:rPr>
        <w:outlineLvl w:val="0"/>
      </w:pPr>
      <w:r/>
      <w:bookmarkStart w:id="113" w:name="_Toc23155"/>
      <w:r/>
      <w:bookmarkStart w:id="114" w:name="_Toc5584"/>
      <w:r>
        <w:rPr>
          <w:rFonts w:ascii="宋体" w:hAnsi="宋体" w:cs="宋体"/>
          <w:color w:val="000000"/>
          <w:spacing w:val="-2"/>
          <w:position w:val="7"/>
          <w:sz w:val="20"/>
          <w:szCs w:val="21"/>
          <w:highlight w:val="none"/>
          <w:lang w:eastAsia="zh-CN"/>
        </w:rPr>
        <w:t xml:space="preserve">10、工程质量标准及保修</w:t>
      </w:r>
      <w:bookmarkEnd w:id="113"/>
      <w:r/>
      <w:bookmarkEnd w:id="114"/>
      <w:r>
        <w:rPr>
          <w:rFonts w:ascii="宋体" w:hAnsi="宋体" w:cs="宋体"/>
          <w:color w:val="000000"/>
          <w:spacing w:val="-2"/>
          <w:position w:val="7"/>
          <w:sz w:val="20"/>
          <w:szCs w:val="21"/>
          <w:highlight w:val="none"/>
          <w:lang w:eastAsia="zh-CN"/>
        </w:rPr>
      </w:r>
      <w:r/>
    </w:p>
    <w:p>
      <w:pPr>
        <w:pStyle w:val="679"/>
        <w:ind w:right="230" w:firstLine="392"/>
        <w:jc w:val="both"/>
        <w:spacing w:before="21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按发包合同有关质量的约定、国家现行的其他相关规范执行，本工作必须达到国家质量验收标准，根据《建设工程质量管理条例》及有关规定，工程的质量保修期如下：工程保修期限为</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个月</w:t>
      </w:r>
      <w:r>
        <w:rPr>
          <w:rFonts w:hint="eastAsia" w:ascii="宋体" w:hAnsi="宋体" w:cs="宋体"/>
          <w:color w:val="000000"/>
          <w:spacing w:val="-2"/>
          <w:position w:val="7"/>
          <w:sz w:val="20"/>
          <w:szCs w:val="21"/>
          <w:highlight w:val="none"/>
          <w:lang w:eastAsia="zh-CN"/>
        </w:rPr>
        <w:t xml:space="preserve">（以乙方承诺质保期为准）</w:t>
      </w:r>
      <w:r>
        <w:rPr>
          <w:rFonts w:ascii="宋体" w:hAnsi="宋体" w:cs="宋体"/>
          <w:color w:val="000000"/>
          <w:spacing w:val="-2"/>
          <w:position w:val="7"/>
          <w:sz w:val="20"/>
          <w:szCs w:val="21"/>
          <w:highlight w:val="none"/>
          <w:lang w:eastAsia="zh-CN"/>
        </w:rPr>
        <w:t xml:space="preserve">，自工程竣工验收合格交付之日起计算。质保期如出现质量问题，乙方无条件负责维修。缺陷责任期为：</w:t>
      </w:r>
      <w:r>
        <w:rPr>
          <w:rFonts w:hint="eastAsia" w:ascii="宋体" w:hAnsi="宋体" w:cs="宋体"/>
          <w:color w:val="000000"/>
          <w:spacing w:val="-2"/>
          <w:position w:val="7"/>
          <w:sz w:val="20"/>
          <w:szCs w:val="21"/>
          <w:highlight w:val="none"/>
          <w:u w:val="single"/>
          <w:lang w:val="en-US" w:eastAsia="zh-CN"/>
        </w:rPr>
        <w:t xml:space="preserve">24</w:t>
      </w:r>
      <w:r>
        <w:rPr>
          <w:rFonts w:ascii="宋体" w:hAnsi="宋体" w:cs="宋体"/>
          <w:color w:val="000000"/>
          <w:spacing w:val="-2"/>
          <w:position w:val="7"/>
          <w:sz w:val="20"/>
          <w:szCs w:val="21"/>
          <w:highlight w:val="none"/>
          <w:lang w:eastAsia="zh-CN"/>
        </w:rPr>
        <w:t xml:space="preserve">个月。</w:t>
      </w:r>
      <w:r>
        <w:rPr>
          <w:rFonts w:ascii="宋体" w:hAnsi="宋体" w:cs="宋体"/>
          <w:color w:val="000000"/>
          <w:spacing w:val="-2"/>
          <w:position w:val="7"/>
          <w:sz w:val="20"/>
          <w:szCs w:val="21"/>
          <w:highlight w:val="none"/>
          <w:lang w:eastAsia="zh-CN"/>
        </w:rPr>
      </w:r>
      <w:r/>
    </w:p>
    <w:p>
      <w:pPr>
        <w:pStyle w:val="679"/>
        <w:spacing w:before="248" w:line="360" w:lineRule="auto"/>
        <w:widowControl/>
        <w:rPr>
          <w:rFonts w:ascii="宋体" w:hAnsi="宋体" w:cs="宋体"/>
          <w:color w:val="000000"/>
          <w:spacing w:val="-2"/>
          <w:position w:val="7"/>
          <w:sz w:val="20"/>
          <w:szCs w:val="21"/>
          <w:highlight w:val="none"/>
          <w:lang w:eastAsia="zh-CN"/>
        </w:rPr>
        <w:outlineLvl w:val="0"/>
      </w:pPr>
      <w:r/>
      <w:bookmarkStart w:id="115" w:name="_Toc22263"/>
      <w:r/>
      <w:bookmarkStart w:id="116" w:name="_Toc30605"/>
      <w:r>
        <w:rPr>
          <w:rFonts w:ascii="宋体" w:hAnsi="宋体" w:cs="宋体"/>
          <w:color w:val="000000"/>
          <w:spacing w:val="-2"/>
          <w:position w:val="7"/>
          <w:sz w:val="20"/>
          <w:szCs w:val="21"/>
          <w:highlight w:val="none"/>
          <w:lang w:eastAsia="zh-CN"/>
        </w:rPr>
        <w:t xml:space="preserve">11、纠纷解决</w:t>
      </w:r>
      <w:bookmarkEnd w:id="115"/>
      <w:r/>
      <w:bookmarkEnd w:id="116"/>
      <w:r>
        <w:rPr>
          <w:rFonts w:ascii="宋体" w:hAnsi="宋体" w:cs="宋体"/>
          <w:color w:val="000000"/>
          <w:spacing w:val="-2"/>
          <w:position w:val="7"/>
          <w:sz w:val="20"/>
          <w:szCs w:val="21"/>
          <w:highlight w:val="none"/>
          <w:lang w:eastAsia="zh-CN"/>
        </w:rPr>
      </w:r>
      <w:r/>
    </w:p>
    <w:p>
      <w:pPr>
        <w:pStyle w:val="679"/>
        <w:ind w:firstLine="392"/>
        <w:spacing w:before="20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11.1 对本协议所产生的争议，甲、乙双方可通过友好协商，如协商不成时，可向工程所在地人民法院起诉。</w:t>
      </w:r>
      <w:r>
        <w:rPr>
          <w:rFonts w:ascii="宋体" w:hAnsi="宋体" w:cs="宋体"/>
          <w:color w:val="000000"/>
          <w:spacing w:val="-2"/>
          <w:position w:val="7"/>
          <w:sz w:val="20"/>
          <w:szCs w:val="21"/>
          <w:highlight w:val="none"/>
          <w:lang w:eastAsia="zh-CN"/>
        </w:rPr>
      </w:r>
      <w:r/>
    </w:p>
    <w:p>
      <w:pPr>
        <w:pStyle w:val="679"/>
        <w:ind w:left="26"/>
        <w:spacing w:before="147" w:line="360" w:lineRule="auto"/>
        <w:widowControl/>
        <w:rPr>
          <w:rFonts w:ascii="宋体" w:hAnsi="宋体" w:cs="宋体"/>
          <w:color w:val="000000"/>
          <w:spacing w:val="-2"/>
          <w:position w:val="7"/>
          <w:sz w:val="20"/>
          <w:szCs w:val="21"/>
          <w:highlight w:val="none"/>
          <w:lang w:eastAsia="zh-CN"/>
        </w:rPr>
        <w:outlineLvl w:val="0"/>
      </w:pPr>
      <w:r/>
      <w:bookmarkStart w:id="117" w:name="_Toc1917"/>
      <w:r/>
      <w:bookmarkStart w:id="118" w:name="_Toc20656"/>
      <w:r>
        <w:rPr>
          <w:rFonts w:ascii="宋体" w:hAnsi="宋体" w:cs="宋体"/>
          <w:color w:val="000000"/>
          <w:spacing w:val="-2"/>
          <w:position w:val="7"/>
          <w:sz w:val="20"/>
          <w:szCs w:val="21"/>
          <w:highlight w:val="none"/>
          <w:lang w:eastAsia="zh-CN"/>
        </w:rPr>
        <w:t xml:space="preserve">12.合同生效及其它</w:t>
      </w:r>
      <w:bookmarkEnd w:id="117"/>
      <w:r/>
      <w:bookmarkEnd w:id="118"/>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12.1 本合同一式</w:t>
      </w:r>
      <w:r>
        <w:rPr>
          <w:rFonts w:hint="eastAsia" w:ascii="宋体" w:hAnsi="宋体" w:cs="宋体"/>
          <w:color w:val="000000"/>
          <w:spacing w:val="-2"/>
          <w:position w:val="7"/>
          <w:sz w:val="20"/>
          <w:szCs w:val="21"/>
          <w:highlight w:val="none"/>
          <w:lang w:val="en-US" w:eastAsia="zh-CN"/>
        </w:rPr>
        <w:t xml:space="preserve">肆</w:t>
      </w:r>
      <w:r>
        <w:rPr>
          <w:rFonts w:ascii="宋体" w:hAnsi="宋体" w:cs="宋体"/>
          <w:color w:val="000000"/>
          <w:spacing w:val="-2"/>
          <w:position w:val="7"/>
          <w:sz w:val="20"/>
          <w:szCs w:val="21"/>
          <w:highlight w:val="none"/>
          <w:lang w:eastAsia="zh-CN"/>
        </w:rPr>
        <w:t xml:space="preserve">份，甲方执</w:t>
      </w:r>
      <w:r>
        <w:rPr>
          <w:rFonts w:hint="eastAsia" w:ascii="宋体" w:hAnsi="宋体" w:cs="宋体"/>
          <w:color w:val="000000"/>
          <w:spacing w:val="-2"/>
          <w:position w:val="7"/>
          <w:sz w:val="20"/>
          <w:szCs w:val="21"/>
          <w:highlight w:val="none"/>
          <w:lang w:val="en-US" w:eastAsia="zh-CN"/>
        </w:rPr>
        <w:t xml:space="preserve">叁</w:t>
      </w:r>
      <w:r>
        <w:rPr>
          <w:rFonts w:ascii="宋体" w:hAnsi="宋体" w:cs="宋体"/>
          <w:color w:val="000000"/>
          <w:spacing w:val="-2"/>
          <w:position w:val="7"/>
          <w:sz w:val="20"/>
          <w:szCs w:val="21"/>
          <w:highlight w:val="none"/>
          <w:lang w:eastAsia="zh-CN"/>
        </w:rPr>
        <w:t xml:space="preserve">份，乙方执</w:t>
      </w:r>
      <w:r>
        <w:rPr>
          <w:rFonts w:hint="eastAsia" w:ascii="宋体" w:hAnsi="宋体" w:cs="宋体"/>
          <w:color w:val="000000"/>
          <w:spacing w:val="-2"/>
          <w:position w:val="7"/>
          <w:sz w:val="20"/>
          <w:szCs w:val="21"/>
          <w:highlight w:val="none"/>
          <w:lang w:val="en-US" w:eastAsia="zh-CN"/>
        </w:rPr>
        <w:t xml:space="preserve">壹</w:t>
      </w:r>
      <w:r>
        <w:rPr>
          <w:rFonts w:ascii="宋体" w:hAnsi="宋体" w:cs="宋体"/>
          <w:color w:val="000000"/>
          <w:spacing w:val="-2"/>
          <w:position w:val="7"/>
          <w:sz w:val="20"/>
          <w:szCs w:val="21"/>
          <w:highlight w:val="none"/>
          <w:lang w:eastAsia="zh-CN"/>
        </w:rPr>
        <w:t xml:space="preserve">份。</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12.2 本合同自双方签订之日起生效。合同如有变更，经双方协商后制成合同附件或者双方经协商一致可签订补充协议，双方签订盖章后与本合同具有同等法律效力。</w:t>
      </w: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bl>
      <w:tblPr>
        <w:tblW w:w="829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2"/>
        <w:gridCol w:w="4031"/>
      </w:tblGrid>
      <w:tr>
        <w:trPr>
          <w:trHeight w:val="1203"/>
        </w:trPr>
        <w:tc>
          <w:tcPr>
            <w:tcW w:w="4262" w:type="dxa"/>
            <w:vAlign w:val="top"/>
            <w:textDirection w:val="lrTb"/>
            <w:noWrap w:val="false"/>
          </w:tcPr>
          <w:p>
            <w:pPr>
              <w:pStyle w:val="679"/>
              <w:ind w:left="8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甲方(公章)： </w:t>
            </w: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7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乙方(公章):</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r>
      <w:tr>
        <w:trPr>
          <w:trHeight w:val="641"/>
        </w:trPr>
        <w:tc>
          <w:tcPr>
            <w:tcW w:w="4262" w:type="dxa"/>
            <w:vAlign w:val="top"/>
            <w:textDirection w:val="lrTb"/>
            <w:noWrap w:val="false"/>
          </w:tcPr>
          <w:p>
            <w:pPr>
              <w:pStyle w:val="679"/>
              <w:ind w:left="54"/>
              <w:spacing w:before="23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5"/>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tc>
      </w:tr>
      <w:tr>
        <w:trPr>
          <w:trHeight w:val="373"/>
        </w:trPr>
        <w:tc>
          <w:tcPr>
            <w:tcW w:w="4262" w:type="dxa"/>
            <w:vAlign w:val="top"/>
            <w:textDirection w:val="lrTb"/>
            <w:noWrap w:val="false"/>
          </w:tcPr>
          <w:p>
            <w:pPr>
              <w:pStyle w:val="679"/>
              <w:ind w:left="68"/>
              <w:spacing w:before="9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邮政编码：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68"/>
              <w:spacing w:before="99"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邮政编码：</w:t>
            </w:r>
            <w:r>
              <w:rPr>
                <w:rFonts w:ascii="宋体" w:hAnsi="宋体" w:cs="宋体"/>
                <w:color w:val="000000"/>
                <w:spacing w:val="-2"/>
                <w:position w:val="7"/>
                <w:sz w:val="20"/>
                <w:szCs w:val="21"/>
                <w:highlight w:val="none"/>
                <w:lang w:val="en-US" w:eastAsia="zh-CN"/>
              </w:rPr>
            </w:r>
            <w:r/>
          </w:p>
        </w:tc>
      </w:tr>
      <w:tr>
        <w:trPr>
          <w:trHeight w:val="643"/>
        </w:trPr>
        <w:tc>
          <w:tcPr>
            <w:tcW w:w="4262" w:type="dxa"/>
            <w:vAlign w:val="top"/>
            <w:textDirection w:val="lrTb"/>
            <w:noWrap w:val="false"/>
          </w:tcPr>
          <w:p>
            <w:pPr>
              <w:pStyle w:val="679"/>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9"/>
              <w:ind w:left="5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9"/>
              <w:ind w:left="5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9"/>
              <w:ind w:left="54"/>
              <w:spacing w:before="103"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9"/>
              <w:ind w:left="54"/>
              <w:spacing w:before="10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9"/>
              <w:ind w:left="77"/>
              <w:spacing w:before="104"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9"/>
              <w:ind w:left="77"/>
              <w:spacing w:before="10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9"/>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p>
            <w:pPr>
              <w:pStyle w:val="679"/>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tc>
      </w:tr>
      <w:tr>
        <w:trPr>
          <w:trHeight w:val="381"/>
        </w:trPr>
        <w:tc>
          <w:tcPr>
            <w:tcW w:w="4262" w:type="dxa"/>
            <w:vAlign w:val="top"/>
            <w:textDirection w:val="lrTb"/>
            <w:noWrap w:val="false"/>
          </w:tcPr>
          <w:p>
            <w:pPr>
              <w:pStyle w:val="679"/>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p>
            <w:pPr>
              <w:pStyle w:val="679"/>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tc>
      </w:tr>
    </w:tbl>
    <w:p>
      <w:pPr>
        <w:pStyle w:val="680"/>
        <w:ind w:right="177"/>
        <w:jc w:val="center"/>
        <w:spacing w:line="360" w:lineRule="auto"/>
        <w:tabs>
          <w:tab w:val="left" w:pos="1279" w:leader="none"/>
        </w:tabs>
        <w:rPr>
          <w:rFonts w:hint="eastAsia" w:ascii="宋体" w:hAnsi="宋体" w:eastAsia="宋体"/>
          <w:b/>
          <w:bCs/>
          <w:color w:val="000000"/>
          <w:sz w:val="44"/>
          <w:szCs w:val="44"/>
          <w:highlight w:val="none"/>
          <w:lang w:eastAsia="zh-CN"/>
        </w:rPr>
        <w:outlineLvl w:val="0"/>
      </w:pPr>
      <w:r>
        <w:rPr>
          <w:rFonts w:ascii="宋体" w:hAnsi="宋体" w:eastAsia="宋体"/>
          <w:color w:val="000000"/>
          <w:highlight w:val="none"/>
          <w:lang w:eastAsia="zh-CN"/>
        </w:rPr>
        <w:br w:type="page" w:clear="all"/>
      </w:r>
      <w:bookmarkStart w:id="119" w:name="_Toc23019"/>
      <w:r/>
      <w:bookmarkStart w:id="120" w:name="_Toc31270"/>
      <w:r>
        <w:rPr>
          <w:rFonts w:ascii="宋体" w:hAnsi="宋体" w:eastAsia="宋体"/>
          <w:b/>
          <w:bCs/>
          <w:color w:val="000000"/>
          <w:sz w:val="44"/>
          <w:szCs w:val="44"/>
          <w:highlight w:val="none"/>
          <w:lang w:eastAsia="zh-CN"/>
        </w:rPr>
        <w:t xml:space="preserve">第六章</w:t>
      </w:r>
      <w:r>
        <w:rPr>
          <w:rFonts w:ascii="宋体" w:hAnsi="宋体" w:eastAsia="宋体"/>
          <w:b/>
          <w:bCs/>
          <w:color w:val="000000"/>
          <w:sz w:val="44"/>
          <w:szCs w:val="44"/>
          <w:highlight w:val="none"/>
          <w:lang w:eastAsia="zh-CN"/>
        </w:rPr>
        <w:tab/>
      </w:r>
      <w:r>
        <w:rPr>
          <w:rFonts w:hint="eastAsia" w:ascii="宋体" w:hAnsi="宋体"/>
          <w:b/>
          <w:bCs/>
          <w:color w:val="000000"/>
          <w:sz w:val="44"/>
          <w:szCs w:val="44"/>
          <w:highlight w:val="none"/>
          <w:lang w:val="en-US" w:eastAsia="zh-CN"/>
        </w:rPr>
        <w:t xml:space="preserve"> </w:t>
      </w:r>
      <w:r>
        <w:rPr>
          <w:rFonts w:ascii="宋体" w:hAnsi="宋体" w:eastAsia="宋体"/>
          <w:b/>
          <w:bCs/>
          <w:color w:val="000000"/>
          <w:sz w:val="44"/>
          <w:szCs w:val="44"/>
          <w:highlight w:val="none"/>
          <w:lang w:eastAsia="zh-CN"/>
        </w:rPr>
        <w:t xml:space="preserve">响应文件格式</w:t>
      </w:r>
      <w:bookmarkEnd w:id="119"/>
      <w:r/>
      <w:bookmarkEnd w:id="120"/>
      <w:r>
        <w:rPr>
          <w:rFonts w:hint="eastAsia" w:ascii="宋体" w:hAnsi="宋体" w:eastAsia="宋体"/>
          <w:b/>
          <w:bCs/>
          <w:color w:val="000000"/>
          <w:sz w:val="44"/>
          <w:szCs w:val="44"/>
          <w:highlight w:val="none"/>
          <w:lang w:eastAsia="zh-CN"/>
        </w:rPr>
      </w:r>
      <w:r/>
    </w:p>
    <w:p>
      <w:pPr>
        <w:pStyle w:val="679"/>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679"/>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679"/>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74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4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6"/>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679"/>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679"/>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679"/>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679"/>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679"/>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679"/>
        <w:spacing w:line="360" w:lineRule="auto"/>
        <w:rPr>
          <w:rFonts w:hint="eastAsia" w:ascii="宋体" w:hAnsi="宋体" w:eastAsia="宋体" w:cs="宋体"/>
          <w:b/>
          <w:bCs/>
          <w:color w:val="000000"/>
          <w:szCs w:val="21"/>
          <w:highlight w:val="none"/>
          <w:lang w:eastAsia="zh-CN"/>
        </w:rPr>
      </w:pPr>
      <w:r/>
      <w:bookmarkStart w:id="121" w:name="_Toc504044380"/>
      <w:r/>
      <w:bookmarkStart w:id="122" w:name="_Toc504573083"/>
      <w:r/>
      <w:bookmarkStart w:id="123" w:name="_Toc504056868"/>
      <w:r>
        <w:rPr>
          <w:rFonts w:hint="eastAsia" w:ascii="宋体" w:hAnsi="宋体" w:eastAsia="宋体" w:cs="宋体"/>
          <w:b/>
          <w:bCs/>
          <w:color w:val="000000"/>
          <w:szCs w:val="21"/>
          <w:highlight w:val="none"/>
          <w:lang w:eastAsia="zh-CN"/>
        </w:rPr>
        <w:br w:type="page" w:clear="all"/>
      </w:r>
      <w:bookmarkEnd w:id="121"/>
      <w:r/>
      <w:bookmarkEnd w:id="122"/>
      <w:r/>
      <w:bookmarkEnd w:id="123"/>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9"/>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679"/>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致：江苏海事职业技术学院     </w:t>
      </w:r>
      <w:r>
        <w:rPr>
          <w:rFonts w:ascii="宋体" w:hAnsi="宋体" w:eastAsia="宋体"/>
          <w:color w:val="000000"/>
          <w:szCs w:val="21"/>
          <w:highlight w:val="none"/>
          <w:lang w:eastAsia="zh-CN"/>
        </w:rPr>
      </w:r>
      <w:r/>
    </w:p>
    <w:p>
      <w:pPr>
        <w:pStyle w:val="679"/>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70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响应总价为人民币（大写）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lang w:eastAsia="zh-CN"/>
        </w:rPr>
        <w:t xml:space="preserve">（</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s="宋体"/>
          <w:color w:val="000000"/>
          <w:sz w:val="21"/>
          <w:szCs w:val="21"/>
          <w:highlight w:val="none"/>
          <w:lang w:eastAsia="zh-CN"/>
        </w:rPr>
        <w:t xml:space="preserve">：</w:t>
      </w:r>
      <w:r>
        <w:rPr>
          <w:rFonts w:hint="eastAsia" w:hAnsi="宋体"/>
          <w:color w:val="000000"/>
          <w:sz w:val="21"/>
          <w:szCs w:val="21"/>
          <w:highlight w:val="none"/>
          <w:u w:val="single"/>
          <w:lang w:eastAsia="zh-CN"/>
        </w:rPr>
        <w:t xml:space="preserve">      </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0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我方承诺本项目的工期（</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679"/>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124" w:name="_Toc26554105"/>
      <w:r/>
      <w:bookmarkStart w:id="125" w:name="_Toc23828485"/>
      <w:r/>
      <w:bookmarkStart w:id="126" w:name="_Toc49090584"/>
      <w:r/>
      <w:bookmarkStart w:id="127" w:name="_Toc22356585"/>
      <w:r/>
      <w:bookmarkStart w:id="128" w:name="_Toc513029283"/>
      <w:r/>
      <w:bookmarkStart w:id="129" w:name="_Toc120614292"/>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江苏海事职业技术学院 </w:t>
      </w: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679"/>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679"/>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9"/>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130"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124"/>
      <w:r/>
      <w:bookmarkEnd w:id="125"/>
      <w:r/>
      <w:bookmarkEnd w:id="126"/>
      <w:r/>
      <w:bookmarkEnd w:id="127"/>
      <w:r/>
      <w:bookmarkEnd w:id="128"/>
      <w:r/>
      <w:bookmarkEnd w:id="129"/>
      <w:r/>
      <w:bookmarkEnd w:id="130"/>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679"/>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679"/>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679"/>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报价（元）</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小、微型企业报价（元）</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679"/>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9"/>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679"/>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9"/>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679"/>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679"/>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679"/>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679"/>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9"/>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9"/>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131"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679"/>
        <w:ind w:right="420" w:firstLine="420"/>
        <w:jc w:val="center"/>
        <w:spacing w:line="360" w:lineRule="auto"/>
        <w:widowControl/>
        <w:rPr>
          <w:rFonts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ascii="宋体" w:hAnsi="宋体" w:eastAsia="宋体" w:cs="宋体"/>
          <w:b/>
          <w:bCs/>
          <w:color w:val="000000"/>
          <w:sz w:val="21"/>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9"/>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color w:val="000000"/>
          <w:sz w:val="21"/>
          <w:szCs w:val="21"/>
          <w:highlight w:val="none"/>
          <w:lang w:val="zh-CN" w:eastAsia="zh-CN"/>
        </w:rPr>
      </w:r>
      <w:r/>
    </w:p>
    <w:p>
      <w:pPr>
        <w:pStyle w:val="679"/>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9"/>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9"/>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733"/>
        <w:ind w:firstLine="482"/>
        <w:spacing w:line="360" w:lineRule="auto"/>
        <w:rPr>
          <w:rFonts w:hint="eastAsia" w:eastAsia="宋体"/>
          <w:b/>
          <w:color w:val="000000"/>
          <w:highlight w:val="none"/>
          <w:lang w:eastAsia="zh-CN"/>
        </w:rPr>
      </w:pPr>
      <w:r/>
      <w:bookmarkEnd w:id="131"/>
      <w:r>
        <w:rPr>
          <w:rFonts w:eastAsia="宋体" w:cs="宋体"/>
          <w:b/>
          <w:color w:val="000000"/>
          <w:highlight w:val="none"/>
          <w:lang w:eastAsia="zh-CN"/>
        </w:rPr>
        <w:br w:type="page" w:clear="all"/>
      </w:r>
      <w:r>
        <w:rPr>
          <w:rFonts w:hint="eastAsia" w:eastAsia="宋体" w:cs="宋体"/>
          <w:b/>
          <w:color w:val="000000"/>
          <w:highlight w:val="none"/>
          <w:lang w:eastAsia="zh-CN"/>
        </w:rPr>
        <w:t xml:space="preserve">格式四</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697"/>
        <w:jc w:val="center"/>
        <w:spacing w:line="360" w:lineRule="auto"/>
        <w:rPr>
          <w:rFonts w:cs="宋体"/>
          <w:color w:val="000000"/>
          <w:sz w:val="36"/>
          <w:szCs w:val="36"/>
          <w:highlight w:val="none"/>
          <w:lang w:eastAsia="zh-CN"/>
        </w:rPr>
      </w:pPr>
      <w:r/>
      <w:bookmarkStart w:id="132" w:name="OLE_LINK14"/>
      <w:r/>
      <w:bookmarkStart w:id="133" w:name="OLE_LINK13"/>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r>
        <w:rPr>
          <w:rFonts w:cs="宋体"/>
          <w:color w:val="000000"/>
          <w:sz w:val="36"/>
          <w:szCs w:val="36"/>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建筑业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73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3"/>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733"/>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733"/>
        <w:ind w:firstLine="8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3、采购标的对应的中小企业划分标准所属行业：建筑业。</w:t>
      </w:r>
      <w:r>
        <w:rPr>
          <w:rFonts w:hint="eastAsia"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679"/>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679"/>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679"/>
        <w:ind w:firstLine="440"/>
        <w:spacing w:line="360" w:lineRule="auto"/>
        <w:widowControl/>
        <w:rPr>
          <w:rFonts w:hint="eastAsia" w:ascii="宋体" w:hAnsi="宋体" w:eastAsia="宋体" w:cs="宋体"/>
          <w:color w:val="000000"/>
          <w:szCs w:val="21"/>
          <w:highlight w:val="none"/>
          <w:lang w:eastAsia="zh-CN"/>
        </w:rPr>
      </w:pPr>
      <w:r/>
      <w:bookmarkEnd w:id="132"/>
      <w:r/>
      <w:bookmarkEnd w:id="133"/>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679"/>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679"/>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679"/>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679"/>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9"/>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9"/>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79"/>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9"/>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9"/>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9"/>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9"/>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9"/>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9"/>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9"/>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679"/>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9"/>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根据第三章“评分标准”提供相关证明材料</w:t>
      </w:r>
      <w:r>
        <w:rPr>
          <w:rFonts w:hint="eastAsia" w:ascii="宋体" w:hAnsi="宋体" w:eastAsia="宋体" w:cs="宋体"/>
          <w:color w:val="000000"/>
          <w:highlight w:val="none"/>
          <w:lang w:eastAsia="zh-CN"/>
        </w:rPr>
      </w:r>
      <w:r/>
    </w:p>
    <w:p>
      <w:pPr>
        <w:pStyle w:val="679"/>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679"/>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注：具体时间要求及需提交的证明材料见“第三章 成交标准”。</w:t>
      </w:r>
      <w:r>
        <w:rPr>
          <w:rFonts w:hint="eastAsia" w:ascii="宋体" w:hAnsi="宋体" w:eastAsia="宋体" w:cs="宋体"/>
          <w:b/>
          <w:bCs/>
          <w:color w:val="000000"/>
          <w:szCs w:val="21"/>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bookmarkStart w:id="134" w:name="_Toc20086"/>
      <w:r/>
      <w:bookmarkStart w:id="135" w:name="_Toc13552"/>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bookmarkEnd w:id="134"/>
      <w:r/>
      <w:bookmarkEnd w:id="135"/>
      <w:r>
        <w:rPr>
          <w:rFonts w:hint="eastAsia" w:ascii="宋体" w:hAnsi="宋体" w:eastAsia="宋体" w:cs="宋体"/>
          <w:b/>
          <w:color w:val="000000"/>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1.满足《中华人民共和国政府采购法》第二十二条规定：</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（1）具有独立承担民事责任的能力（提供法人或者其他组织的营业执照等证明文件加盖公章）；</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（2）具有良好的商业信誉和健全的财务会计制度（提供由第三方专业机构出具的2024年度</w:t>
      </w:r>
      <w:r>
        <w:rPr>
          <w:rFonts w:hint="eastAsia" w:eastAsia="宋体"/>
          <w:b/>
          <w:bCs/>
          <w:color w:val="000000"/>
          <w:sz w:val="21"/>
          <w:szCs w:val="21"/>
          <w:highlight w:val="none"/>
          <w:lang w:val="en-US" w:eastAsia="zh-CN"/>
        </w:rPr>
        <w:t xml:space="preserve">/2025年度</w:t>
      </w:r>
      <w:r>
        <w:rPr>
          <w:rFonts w:hint="eastAsia" w:eastAsia="宋体"/>
          <w:b/>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
          <w:bCs/>
          <w:color w:val="000000"/>
          <w:sz w:val="21"/>
          <w:szCs w:val="21"/>
          <w:highlight w:val="none"/>
          <w:lang w:val="en-US" w:eastAsia="zh-CN"/>
        </w:rPr>
        <w:t xml:space="preserve">或提供参加本次政府采购活动前半年内任意一个月（2026年1月以来）的财务报表（包含资产负债表、现金流量表、利润表）</w:t>
      </w:r>
      <w:r>
        <w:rPr>
          <w:rFonts w:hint="eastAsia" w:eastAsia="宋体"/>
          <w:b/>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（6）法律、行政法规规定的其他条件。</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2.本项目的特定资格要求 ：</w:t>
      </w:r>
      <w:r>
        <w:rPr>
          <w:rFonts w:hint="eastAsia" w:eastAsia="宋体"/>
          <w:b/>
          <w:bCs/>
          <w:color w:val="000000"/>
          <w:sz w:val="21"/>
          <w:szCs w:val="21"/>
          <w:highlight w:val="none"/>
          <w:lang w:val="en-US" w:eastAsia="zh-CN"/>
        </w:rPr>
        <w:t xml:space="preserve">供应商</w:t>
      </w:r>
      <w:r>
        <w:rPr>
          <w:rFonts w:hint="eastAsia" w:eastAsia="宋体"/>
          <w:b/>
          <w:bCs/>
          <w:color w:val="000000"/>
          <w:sz w:val="21"/>
          <w:szCs w:val="21"/>
          <w:highlight w:val="none"/>
          <w:lang w:eastAsia="zh-CN"/>
        </w:rPr>
        <w:t xml:space="preserve">具有建筑工程施工总承包三级(含)以上资质或施工总承包市政公用工程三级(含)以上和有效期内的安全生产许可证（提供有效的资质证书、安全生产许可证加盖公章） </w:t>
      </w:r>
      <w:r>
        <w:rPr>
          <w:rFonts w:hint="eastAsia" w:eastAsia="宋体"/>
          <w:b/>
          <w:bCs/>
          <w:color w:val="000000"/>
          <w:sz w:val="21"/>
          <w:szCs w:val="21"/>
          <w:highlight w:val="none"/>
          <w:lang w:eastAsia="zh-CN"/>
        </w:rPr>
      </w:r>
      <w:r/>
    </w:p>
    <w:p>
      <w:pPr>
        <w:pStyle w:val="733"/>
        <w:ind w:firstLine="422"/>
        <w:spacing w:line="360" w:lineRule="auto"/>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9"/>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附件十：</w:t>
      </w:r>
      <w:r>
        <w:rPr>
          <w:rFonts w:hint="eastAsia" w:ascii="宋体" w:hAnsi="宋体" w:eastAsia="宋体" w:cs="宋体"/>
          <w:b/>
          <w:color w:val="000000"/>
          <w:sz w:val="24"/>
          <w:highlight w:val="none"/>
          <w:lang w:eastAsia="zh-CN"/>
        </w:rPr>
      </w:r>
      <w:r/>
    </w:p>
    <w:p>
      <w:pPr>
        <w:pStyle w:val="679"/>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679"/>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bCs/>
          <w:color w:val="000000"/>
          <w:sz w:val="24"/>
          <w:highlight w:val="none"/>
          <w:lang w:eastAsia="zh-CN"/>
        </w:rPr>
      </w:r>
      <w:r/>
    </w:p>
    <w:p>
      <w:pPr>
        <w:pStyle w:val="679"/>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679"/>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9"/>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679"/>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3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73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679"/>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9"/>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679"/>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679"/>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679"/>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679"/>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73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73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bookmarkStart w:id="136" w:name="_Toc5441"/>
      <w:r>
        <w:rPr>
          <w:rFonts w:hint="eastAsia" w:ascii="宋体" w:hAnsi="宋体" w:eastAsia="宋体" w:cs="宋体"/>
          <w:b/>
          <w:color w:val="000000"/>
          <w:highlight w:val="none"/>
          <w:lang w:eastAsia="zh-CN"/>
        </w:rPr>
      </w:r>
      <w:r/>
    </w:p>
    <w:p>
      <w:pPr>
        <w:pStyle w:val="679"/>
        <w:spacing w:line="360" w:lineRule="auto"/>
        <w:rPr>
          <w:rFonts w:eastAsia="宋体"/>
          <w:b/>
          <w:bCs/>
          <w:color w:val="000000"/>
          <w:sz w:val="21"/>
          <w:szCs w:val="21"/>
          <w:highlight w:val="none"/>
          <w:lang w:eastAsia="zh-CN"/>
        </w:rPr>
        <w:outlineLvl w:val="1"/>
      </w:pPr>
      <w:r/>
      <w:bookmarkStart w:id="137" w:name="_Toc7602"/>
      <w:r/>
      <w:bookmarkStart w:id="138" w:name="_Toc9677"/>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eastAsia="zh-CN"/>
        </w:rPr>
        <w:t xml:space="preserve">供应商资质等级及范围：具有建筑工程施工总承包三级(含)以上资质或施工总承包市政公用工程三级(含)以上和有效期内的安全生产许可证（提供有效的资质证书、安全生产许可证加盖公章）</w:t>
      </w:r>
      <w:bookmarkEnd w:id="137"/>
      <w:r/>
      <w:bookmarkEnd w:id="138"/>
      <w:r>
        <w:rPr>
          <w:rFonts w:hint="eastAsia" w:eastAsia="宋体"/>
          <w:b/>
          <w:bCs/>
          <w:color w:val="000000"/>
          <w:sz w:val="21"/>
          <w:szCs w:val="21"/>
          <w:highlight w:val="none"/>
          <w:lang w:eastAsia="zh-CN"/>
        </w:rPr>
        <w:t xml:space="preserve"> </w:t>
      </w:r>
      <w:r>
        <w:rPr>
          <w:rFonts w:eastAsia="宋体"/>
          <w:b/>
          <w:bCs/>
          <w:color w:val="000000"/>
          <w:sz w:val="21"/>
          <w:szCs w:val="21"/>
          <w:highlight w:val="none"/>
          <w:lang w:eastAsia="zh-CN"/>
        </w:rPr>
      </w:r>
      <w:r/>
    </w:p>
    <w:p>
      <w:pPr>
        <w:pStyle w:val="733"/>
        <w:ind w:firstLine="422"/>
        <w:spacing w:line="360" w:lineRule="auto"/>
        <w:rPr>
          <w:rFonts w:ascii="宋体" w:hAnsi="宋体" w:eastAsia="宋体" w:cs="宋体"/>
          <w:b/>
          <w:bCs w:val="0"/>
          <w:color w:val="000000"/>
          <w:highlight w:val="none"/>
          <w:lang w:val="en-US" w:eastAsia="zh-CN"/>
        </w:rPr>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eastAsia="zh-CN"/>
        </w:rPr>
        <w:t xml:space="preserve">格式十、</w:t>
      </w:r>
      <w:r>
        <w:rPr>
          <w:rFonts w:hint="eastAsia" w:ascii="宋体" w:hAnsi="宋体" w:eastAsia="宋体" w:cs="宋体"/>
          <w:b/>
          <w:bCs w:val="0"/>
          <w:color w:val="000000"/>
          <w:highlight w:val="none"/>
          <w:lang w:val="en-US" w:eastAsia="zh-CN"/>
        </w:rPr>
        <w:t xml:space="preserve">材料品牌推荐表</w:t>
      </w:r>
      <w:r>
        <w:rPr>
          <w:rFonts w:ascii="宋体" w:hAnsi="宋体" w:eastAsia="宋体" w:cs="宋体"/>
          <w:b/>
          <w:bCs w:val="0"/>
          <w:color w:val="000000"/>
          <w:highlight w:val="none"/>
          <w:lang w:val="en-US" w:eastAsia="zh-CN"/>
        </w:rPr>
      </w:r>
      <w:r/>
    </w:p>
    <w:p>
      <w:pPr>
        <w:pStyle w:val="679"/>
        <w:jc w:val="center"/>
        <w:spacing w:line="360" w:lineRule="auto"/>
        <w:rPr>
          <w:rFonts w:hint="eastAsia" w:ascii="宋体" w:hAnsi="宋体" w:eastAsia="宋体" w:cs="宋体"/>
          <w:b/>
          <w:bCs w:val="0"/>
          <w:color w:val="000000"/>
          <w:highlight w:val="none"/>
          <w:lang w:val="en-US" w:eastAsia="zh-CN"/>
        </w:rPr>
        <w:outlineLvl w:val="1"/>
      </w:pPr>
      <w:r/>
      <w:bookmarkStart w:id="139" w:name="_Toc25533"/>
      <w:r/>
      <w:bookmarkStart w:id="140" w:name="_Toc4050"/>
      <w:r>
        <w:rPr>
          <w:rFonts w:hint="eastAsia" w:ascii="宋体" w:hAnsi="宋体" w:eastAsia="宋体" w:cs="宋体"/>
          <w:b/>
          <w:bCs w:val="0"/>
          <w:color w:val="000000"/>
          <w:highlight w:val="none"/>
          <w:lang w:val="en-US" w:eastAsia="zh-CN"/>
        </w:rPr>
        <w:t xml:space="preserve">材料品牌推荐表</w:t>
      </w:r>
      <w:bookmarkEnd w:id="139"/>
      <w:r/>
      <w:bookmarkEnd w:id="140"/>
      <w:r>
        <w:rPr>
          <w:rFonts w:hint="eastAsia" w:ascii="宋体" w:hAnsi="宋体" w:eastAsia="宋体" w:cs="宋体"/>
          <w:b/>
          <w:bCs w:val="0"/>
          <w:color w:val="000000"/>
          <w:highlight w:val="none"/>
          <w:lang w:val="en-US" w:eastAsia="zh-CN"/>
        </w:rPr>
      </w:r>
      <w:r/>
    </w:p>
    <w:p>
      <w:pPr>
        <w:pStyle w:val="679"/>
        <w:jc w:val="center"/>
        <w:spacing w:line="360" w:lineRule="auto"/>
        <w:rPr>
          <w:rFonts w:hint="eastAsia" w:ascii="宋体" w:hAnsi="宋体" w:eastAsia="宋体" w:cs="宋体"/>
          <w:b/>
          <w:color w:val="000000"/>
          <w:highlight w:val="none"/>
          <w:lang w:eastAsia="zh-CN"/>
        </w:rPr>
        <w:outlineLvl w:val="1"/>
      </w:pPr>
      <w:r/>
      <w:bookmarkStart w:id="141" w:name="_Toc28053"/>
      <w:r/>
      <w:bookmarkStart w:id="142" w:name="_Toc5332"/>
      <w:r>
        <w:rPr>
          <w:rFonts w:hint="eastAsia" w:ascii="宋体" w:hAnsi="宋体" w:eastAsia="宋体" w:cs="宋体"/>
          <w:b/>
          <w:bCs w:val="0"/>
          <w:color w:val="000000"/>
          <w:highlight w:val="none"/>
          <w:lang w:val="en-US" w:eastAsia="zh-CN"/>
        </w:rPr>
        <w:t xml:space="preserve">（格式自拟）</w:t>
      </w:r>
      <w:r>
        <w:rPr>
          <w:rFonts w:hint="eastAsia" w:ascii="宋体" w:hAnsi="宋体" w:eastAsia="宋体" w:cs="宋体"/>
          <w:b/>
          <w:bCs w:val="0"/>
          <w:color w:val="000000"/>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136"/>
      <w:r/>
      <w:bookmarkEnd w:id="141"/>
      <w:r/>
      <w:bookmarkEnd w:id="142"/>
      <w:r>
        <w:rPr>
          <w:rFonts w:hint="eastAsia" w:ascii="宋体" w:hAnsi="宋体" w:eastAsia="宋体" w:cs="宋体"/>
          <w:b/>
          <w:color w:val="000000"/>
          <w:highlight w:val="none"/>
          <w:lang w:eastAsia="zh-CN"/>
        </w:rPr>
      </w:r>
      <w:r/>
    </w:p>
    <w:p>
      <w:pPr>
        <w:pStyle w:val="733"/>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733"/>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679"/>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9"/>
      <w:footerReference w:type="default" r:id="rId10"/>
      <w:footnotePr/>
      <w:endnotePr/>
      <w:type w:val="nextPage"/>
      <w:pgSz w:w="11910" w:h="16840" w:orient="portrait"/>
      <w:pgMar w:top="1080" w:right="1120" w:bottom="920" w:left="1300"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79"/>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679"/>
                            <w:ind w:left="20"/>
                            <w:spacing w:line="219" w:lineRule="exact"/>
                            <w:rPr>
                              <w:rFonts w:ascii="楷体" w:hAnsi="楷体" w:eastAsia="楷体" w:cs="楷体"/>
                              <w:sz w:val="20"/>
                              <w:szCs w:val="20"/>
                            </w:rPr>
                          </w:pPr>
                          <w:r>
                            <w:rPr>
                              <w:rFonts w:ascii="楷体" w:hAnsi="楷体" w:eastAsia="楷体" w:cs="楷体"/>
                              <w:sz w:val="20"/>
                              <w:szCs w:val="20"/>
                            </w:rPr>
                          </w:r>
                          <w:r/>
                        </w:p>
                        <w:p>
                          <w:pPr>
                            <w:pStyle w:val="67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679"/>
                      <w:ind w:left="20"/>
                      <w:spacing w:line="219" w:lineRule="exact"/>
                      <w:rPr>
                        <w:rFonts w:ascii="楷体" w:hAnsi="楷体" w:eastAsia="楷体" w:cs="楷体"/>
                        <w:sz w:val="20"/>
                        <w:szCs w:val="20"/>
                      </w:rPr>
                    </w:pPr>
                    <w:r>
                      <w:rPr>
                        <w:rFonts w:ascii="楷体" w:hAnsi="楷体" w:eastAsia="楷体" w:cs="楷体"/>
                        <w:sz w:val="20"/>
                        <w:szCs w:val="20"/>
                      </w:rPr>
                    </w:r>
                    <w:r/>
                  </w:p>
                  <w:p>
                    <w:pPr>
                      <w:pStyle w:val="679"/>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79"/>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92"/>
      <w:isLgl w:val="false"/>
      <w:suff w:val="tab"/>
      <w:lvlText w:val=""/>
      <w:lvlJc w:val="left"/>
      <w:pPr>
        <w:pStyle w:val="679"/>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41"/>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79"/>
    <w:link w:val="679"/>
    <w:uiPriority w:val="1"/>
    <w:qFormat/>
    <w:pPr>
      <w:widowControl w:val="off"/>
    </w:pPr>
    <w:rPr>
      <w:rFonts w:eastAsia="Calibri"/>
      <w:sz w:val="22"/>
      <w:szCs w:val="22"/>
      <w:lang w:val="en-US" w:eastAsia="en-US" w:bidi="ar-SA"/>
    </w:rPr>
  </w:style>
  <w:style w:type="paragraph" w:styleId="680">
    <w:name w:val="标题 1"/>
    <w:basedOn w:val="679"/>
    <w:next w:val="679"/>
    <w:link w:val="686"/>
    <w:uiPriority w:val="9"/>
    <w:qFormat/>
    <w:pPr>
      <w:outlineLvl w:val="0"/>
    </w:pPr>
    <w:rPr>
      <w:rFonts w:ascii="黑体" w:hAnsi="黑体" w:eastAsia="宋体"/>
      <w:b/>
      <w:sz w:val="36"/>
      <w:szCs w:val="72"/>
    </w:rPr>
  </w:style>
  <w:style w:type="paragraph" w:styleId="681">
    <w:name w:val="标题 2"/>
    <w:basedOn w:val="679"/>
    <w:next w:val="679"/>
    <w:link w:val="687"/>
    <w:qFormat/>
    <w:pPr>
      <w:ind w:left="1558"/>
      <w:outlineLvl w:val="1"/>
    </w:pPr>
    <w:rPr>
      <w:rFonts w:ascii="黑体" w:hAnsi="黑体" w:eastAsia="黑体"/>
      <w:b/>
      <w:bCs/>
      <w:sz w:val="36"/>
      <w:szCs w:val="36"/>
    </w:rPr>
  </w:style>
  <w:style w:type="paragraph" w:styleId="682">
    <w:name w:val="标题 3"/>
    <w:basedOn w:val="679"/>
    <w:next w:val="679"/>
    <w:link w:val="688"/>
    <w:qFormat/>
    <w:pPr>
      <w:outlineLvl w:val="2"/>
    </w:pPr>
    <w:rPr>
      <w:rFonts w:ascii="黑体" w:hAnsi="黑体" w:eastAsia="黑体"/>
      <w:sz w:val="32"/>
      <w:szCs w:val="32"/>
    </w:rPr>
  </w:style>
  <w:style w:type="paragraph" w:styleId="683">
    <w:name w:val="标题 4"/>
    <w:basedOn w:val="679"/>
    <w:next w:val="679"/>
    <w:link w:val="689"/>
    <w:uiPriority w:val="1"/>
    <w:qFormat/>
    <w:pPr>
      <w:ind w:left="358"/>
      <w:spacing w:before="34"/>
      <w:outlineLvl w:val="3"/>
    </w:pPr>
    <w:rPr>
      <w:rFonts w:ascii="宋体" w:hAnsi="宋体" w:eastAsia="宋体"/>
      <w:b/>
      <w:bCs/>
      <w:sz w:val="24"/>
      <w:szCs w:val="24"/>
    </w:rPr>
  </w:style>
  <w:style w:type="character" w:styleId="684">
    <w:name w:val="默认段落字体"/>
    <w:next w:val="684"/>
    <w:link w:val="679"/>
    <w:uiPriority w:val="1"/>
    <w:unhideWhenUsed/>
    <w:qFormat/>
  </w:style>
  <w:style w:type="table" w:styleId="685">
    <w:name w:val="普通表格"/>
    <w:next w:val="685"/>
    <w:link w:val="679"/>
    <w:semiHidden/>
    <w:tblPr/>
  </w:style>
  <w:style w:type="character" w:styleId="686">
    <w:name w:val="标题 1 字符1"/>
    <w:next w:val="686"/>
    <w:link w:val="680"/>
    <w:uiPriority w:val="9"/>
    <w:rPr>
      <w:rFonts w:ascii="黑体" w:hAnsi="黑体" w:eastAsia="宋体"/>
      <w:b/>
      <w:sz w:val="36"/>
      <w:szCs w:val="72"/>
      <w:lang w:eastAsia="en-US"/>
    </w:rPr>
  </w:style>
  <w:style w:type="character" w:styleId="687">
    <w:name w:val="标题 2 字符1"/>
    <w:next w:val="687"/>
    <w:link w:val="681"/>
    <w:rPr>
      <w:rFonts w:ascii="黑体" w:hAnsi="黑体" w:eastAsia="黑体"/>
      <w:b/>
      <w:bCs/>
      <w:sz w:val="36"/>
      <w:szCs w:val="36"/>
      <w:lang w:eastAsia="en-US"/>
    </w:rPr>
  </w:style>
  <w:style w:type="character" w:styleId="688">
    <w:name w:val="标题 3 字符1"/>
    <w:next w:val="688"/>
    <w:link w:val="682"/>
    <w:rPr>
      <w:rFonts w:ascii="黑体" w:hAnsi="黑体" w:eastAsia="黑体"/>
      <w:sz w:val="32"/>
      <w:szCs w:val="32"/>
      <w:lang w:eastAsia="en-US"/>
    </w:rPr>
  </w:style>
  <w:style w:type="character" w:styleId="689">
    <w:name w:val="标题 4 字符1"/>
    <w:next w:val="689"/>
    <w:link w:val="683"/>
    <w:uiPriority w:val="1"/>
    <w:rPr>
      <w:rFonts w:ascii="宋体" w:hAnsi="宋体"/>
      <w:b/>
      <w:bCs/>
      <w:sz w:val="24"/>
      <w:szCs w:val="24"/>
      <w:lang w:eastAsia="en-US"/>
    </w:rPr>
  </w:style>
  <w:style w:type="paragraph" w:styleId="690">
    <w:name w:val="正文缩进"/>
    <w:basedOn w:val="679"/>
    <w:next w:val="690"/>
    <w:link w:val="691"/>
    <w:qFormat/>
    <w:pPr>
      <w:ind w:firstLine="420"/>
    </w:pPr>
  </w:style>
  <w:style w:type="character" w:styleId="691">
    <w:name w:val="正文缩进 字符"/>
    <w:next w:val="691"/>
    <w:link w:val="690"/>
    <w:rPr>
      <w:rFonts w:eastAsia="Calibri"/>
      <w:sz w:val="22"/>
      <w:szCs w:val="22"/>
      <w:lang w:eastAsia="en-US"/>
    </w:rPr>
  </w:style>
  <w:style w:type="paragraph" w:styleId="692">
    <w:name w:val="列表项目符号"/>
    <w:basedOn w:val="679"/>
    <w:next w:val="692"/>
    <w:link w:val="679"/>
    <w:pPr>
      <w:numPr>
        <w:ilvl w:val="0"/>
        <w:numId w:val="1"/>
      </w:numPr>
      <w:tabs>
        <w:tab w:val="left" w:pos="360" w:leader="none"/>
      </w:tabs>
    </w:pPr>
  </w:style>
  <w:style w:type="paragraph" w:styleId="693">
    <w:name w:val="文档结构图"/>
    <w:basedOn w:val="679"/>
    <w:next w:val="693"/>
    <w:link w:val="694"/>
    <w:rPr>
      <w:rFonts w:ascii="宋体" w:hAnsi="Calibri" w:eastAsia="宋体"/>
      <w:sz w:val="18"/>
      <w:szCs w:val="18"/>
    </w:rPr>
  </w:style>
  <w:style w:type="character" w:styleId="694">
    <w:name w:val="文档结构图 字符1"/>
    <w:next w:val="694"/>
    <w:link w:val="693"/>
    <w:rPr>
      <w:rFonts w:ascii="宋体" w:hAnsi="Calibri" w:cs="Calibri"/>
      <w:sz w:val="18"/>
      <w:szCs w:val="18"/>
      <w:lang w:eastAsia="en-US"/>
    </w:rPr>
  </w:style>
  <w:style w:type="paragraph" w:styleId="695">
    <w:name w:val="批注文字"/>
    <w:basedOn w:val="679"/>
    <w:next w:val="695"/>
    <w:link w:val="696"/>
    <w:qFormat/>
    <w:pPr>
      <w:jc w:val="left"/>
    </w:pPr>
    <w:rPr>
      <w:sz w:val="20"/>
    </w:rPr>
  </w:style>
  <w:style w:type="character" w:styleId="696">
    <w:name w:val="批注文字 字符1"/>
    <w:next w:val="696"/>
    <w:link w:val="695"/>
    <w:qFormat/>
    <w:rPr>
      <w:rFonts w:eastAsia="Calibri"/>
      <w:szCs w:val="22"/>
      <w:lang w:eastAsia="en-US"/>
    </w:rPr>
  </w:style>
  <w:style w:type="paragraph" w:styleId="697">
    <w:name w:val="正文文本"/>
    <w:basedOn w:val="679"/>
    <w:next w:val="697"/>
    <w:link w:val="698"/>
    <w:uiPriority w:val="1"/>
    <w:qFormat/>
    <w:pPr>
      <w:ind w:left="118"/>
      <w:spacing w:before="34"/>
    </w:pPr>
    <w:rPr>
      <w:rFonts w:ascii="宋体" w:hAnsi="宋体" w:eastAsia="宋体"/>
      <w:sz w:val="24"/>
      <w:szCs w:val="24"/>
    </w:rPr>
  </w:style>
  <w:style w:type="character" w:styleId="698">
    <w:name w:val="正文文本 字符1"/>
    <w:next w:val="698"/>
    <w:link w:val="697"/>
    <w:uiPriority w:val="1"/>
    <w:rPr>
      <w:rFonts w:ascii="宋体" w:hAnsi="宋体"/>
      <w:sz w:val="24"/>
      <w:szCs w:val="24"/>
      <w:lang w:eastAsia="en-US"/>
    </w:rPr>
  </w:style>
  <w:style w:type="paragraph" w:styleId="699">
    <w:name w:val="目录 3"/>
    <w:basedOn w:val="679"/>
    <w:next w:val="679"/>
    <w:link w:val="679"/>
    <w:uiPriority w:val="39"/>
    <w:pPr>
      <w:ind w:left="840"/>
      <w:jc w:val="both"/>
    </w:pPr>
    <w:rPr>
      <w:rFonts w:ascii="Calibri" w:hAnsi="Calibri" w:eastAsia="宋体"/>
      <w:sz w:val="21"/>
      <w:lang w:eastAsia="zh-CN"/>
    </w:rPr>
  </w:style>
  <w:style w:type="paragraph" w:styleId="700">
    <w:name w:val="纯文本"/>
    <w:basedOn w:val="679"/>
    <w:next w:val="700"/>
    <w:link w:val="701"/>
    <w:qFormat/>
    <w:pPr>
      <w:jc w:val="both"/>
    </w:pPr>
    <w:rPr>
      <w:rFonts w:ascii="宋体" w:hAnsi="Courier New" w:eastAsia="宋体"/>
      <w:sz w:val="20"/>
      <w:szCs w:val="20"/>
    </w:rPr>
  </w:style>
  <w:style w:type="character" w:styleId="701">
    <w:name w:val="纯文本 字符"/>
    <w:next w:val="701"/>
    <w:link w:val="700"/>
    <w:qFormat/>
    <w:rPr>
      <w:rFonts w:ascii="宋体" w:hAnsi="Courier New"/>
    </w:rPr>
  </w:style>
  <w:style w:type="paragraph" w:styleId="702">
    <w:name w:val="日期"/>
    <w:basedOn w:val="679"/>
    <w:next w:val="679"/>
    <w:link w:val="703"/>
    <w:pPr>
      <w:ind w:left="100"/>
      <w:jc w:val="both"/>
    </w:pPr>
    <w:rPr>
      <w:rFonts w:ascii="Calibri" w:hAnsi="Calibri" w:eastAsia="宋体"/>
      <w:sz w:val="21"/>
      <w:szCs w:val="24"/>
    </w:rPr>
  </w:style>
  <w:style w:type="character" w:styleId="703">
    <w:name w:val="日期 字符1"/>
    <w:next w:val="703"/>
    <w:link w:val="702"/>
    <w:rPr>
      <w:rFonts w:ascii="Calibri" w:hAnsi="Calibri" w:cs="Calibri"/>
      <w:sz w:val="21"/>
      <w:szCs w:val="24"/>
      <w:lang w:eastAsia="en-US"/>
    </w:rPr>
  </w:style>
  <w:style w:type="paragraph" w:styleId="704">
    <w:name w:val="批注框文本"/>
    <w:basedOn w:val="679"/>
    <w:next w:val="704"/>
    <w:link w:val="705"/>
    <w:uiPriority w:val="99"/>
    <w:rPr>
      <w:sz w:val="18"/>
      <w:szCs w:val="18"/>
    </w:rPr>
  </w:style>
  <w:style w:type="character" w:styleId="705">
    <w:name w:val="批注框文本 字符1"/>
    <w:next w:val="705"/>
    <w:link w:val="704"/>
    <w:uiPriority w:val="99"/>
    <w:rPr>
      <w:rFonts w:eastAsia="Calibri"/>
      <w:sz w:val="18"/>
      <w:szCs w:val="18"/>
      <w:lang w:eastAsia="en-US"/>
    </w:rPr>
  </w:style>
  <w:style w:type="paragraph" w:styleId="706">
    <w:name w:val="页脚"/>
    <w:basedOn w:val="679"/>
    <w:next w:val="706"/>
    <w:link w:val="707"/>
    <w:pPr>
      <w:jc w:val="left"/>
      <w:tabs>
        <w:tab w:val="center" w:pos="4153" w:leader="none"/>
        <w:tab w:val="right" w:pos="8306" w:leader="none"/>
      </w:tabs>
    </w:pPr>
    <w:rPr>
      <w:sz w:val="18"/>
    </w:rPr>
  </w:style>
  <w:style w:type="character" w:styleId="707">
    <w:name w:val="页脚 字符1"/>
    <w:next w:val="707"/>
    <w:link w:val="706"/>
    <w:rPr>
      <w:rFonts w:eastAsia="Calibri"/>
      <w:sz w:val="18"/>
      <w:szCs w:val="22"/>
      <w:lang w:eastAsia="en-US"/>
    </w:rPr>
  </w:style>
  <w:style w:type="paragraph" w:styleId="708">
    <w:name w:val="页眉"/>
    <w:basedOn w:val="679"/>
    <w:next w:val="708"/>
    <w:link w:val="70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09">
    <w:name w:val="页眉 字符1"/>
    <w:next w:val="709"/>
    <w:link w:val="708"/>
    <w:rPr>
      <w:rFonts w:eastAsia="Calibri"/>
      <w:sz w:val="18"/>
      <w:szCs w:val="22"/>
      <w:lang w:eastAsia="en-US"/>
    </w:rPr>
  </w:style>
  <w:style w:type="paragraph" w:styleId="710">
    <w:name w:val="目录 1"/>
    <w:basedOn w:val="679"/>
    <w:next w:val="679"/>
    <w:link w:val="679"/>
    <w:uiPriority w:val="39"/>
    <w:qFormat/>
    <w:pPr>
      <w:spacing w:before="271"/>
    </w:pPr>
    <w:rPr>
      <w:rFonts w:ascii="宋体" w:hAnsi="宋体" w:eastAsia="宋体"/>
      <w:b/>
      <w:bCs/>
      <w:sz w:val="24"/>
      <w:szCs w:val="24"/>
    </w:rPr>
  </w:style>
  <w:style w:type="paragraph" w:styleId="711">
    <w:name w:val="目录 2"/>
    <w:basedOn w:val="679"/>
    <w:next w:val="679"/>
    <w:link w:val="679"/>
    <w:uiPriority w:val="39"/>
    <w:qFormat/>
    <w:pPr>
      <w:ind w:left="327"/>
      <w:spacing w:before="151"/>
    </w:pPr>
    <w:rPr>
      <w:rFonts w:ascii="宋体" w:hAnsi="宋体" w:eastAsia="宋体"/>
      <w:sz w:val="24"/>
      <w:szCs w:val="24"/>
    </w:rPr>
  </w:style>
  <w:style w:type="paragraph" w:styleId="712">
    <w:name w:val="HTML 预设格式"/>
    <w:basedOn w:val="679"/>
    <w:next w:val="712"/>
    <w:link w:val="713"/>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13">
    <w:name w:val="HTML 预设格式 字符1"/>
    <w:next w:val="713"/>
    <w:link w:val="712"/>
    <w:uiPriority w:val="99"/>
    <w:rPr>
      <w:rFonts w:ascii="Arial" w:hAnsi="Arial" w:cs="Calibri"/>
      <w:sz w:val="11"/>
      <w:szCs w:val="11"/>
      <w:lang w:eastAsia="en-US"/>
    </w:rPr>
  </w:style>
  <w:style w:type="paragraph" w:styleId="714">
    <w:name w:val="普通(网站)"/>
    <w:basedOn w:val="679"/>
    <w:next w:val="714"/>
    <w:link w:val="679"/>
    <w:uiPriority w:val="99"/>
    <w:unhideWhenUsed/>
    <w:pPr>
      <w:spacing w:before="100" w:beforeAutospacing="1" w:after="100" w:afterAutospacing="1"/>
      <w:widowControl/>
    </w:pPr>
    <w:rPr>
      <w:rFonts w:ascii="宋体" w:hAnsi="宋体" w:eastAsia="宋体" w:cs="宋体"/>
      <w:sz w:val="24"/>
      <w:lang w:eastAsia="zh-CN"/>
    </w:rPr>
  </w:style>
  <w:style w:type="paragraph" w:styleId="715">
    <w:name w:val="标题"/>
    <w:basedOn w:val="679"/>
    <w:next w:val="679"/>
    <w:link w:val="716"/>
    <w:qFormat/>
    <w:pPr>
      <w:jc w:val="center"/>
      <w:spacing w:before="240" w:after="60"/>
      <w:outlineLvl w:val="0"/>
    </w:pPr>
    <w:rPr>
      <w:rFonts w:ascii="Cambria" w:hAnsi="Cambria" w:eastAsia="宋体"/>
      <w:b/>
      <w:bCs/>
      <w:sz w:val="32"/>
      <w:szCs w:val="32"/>
    </w:rPr>
  </w:style>
  <w:style w:type="character" w:styleId="716">
    <w:name w:val="标题 字符1"/>
    <w:next w:val="716"/>
    <w:link w:val="715"/>
    <w:rPr>
      <w:rFonts w:ascii="Cambria" w:hAnsi="Cambria"/>
      <w:b/>
      <w:bCs/>
      <w:sz w:val="32"/>
      <w:szCs w:val="32"/>
      <w:lang w:eastAsia="en-US"/>
    </w:rPr>
  </w:style>
  <w:style w:type="paragraph" w:styleId="717">
    <w:name w:val="批注主题"/>
    <w:basedOn w:val="695"/>
    <w:next w:val="695"/>
    <w:link w:val="718"/>
    <w:rPr>
      <w:b/>
      <w:bCs/>
      <w:sz w:val="22"/>
    </w:rPr>
  </w:style>
  <w:style w:type="character" w:styleId="718">
    <w:name w:val="批注主题 字符1"/>
    <w:next w:val="718"/>
    <w:link w:val="717"/>
    <w:rPr>
      <w:rFonts w:eastAsia="Calibri"/>
      <w:b/>
      <w:bCs/>
      <w:sz w:val="22"/>
      <w:szCs w:val="22"/>
      <w:lang w:eastAsia="en-US"/>
    </w:rPr>
  </w:style>
  <w:style w:type="paragraph" w:styleId="719">
    <w:name w:val="正文首行缩进"/>
    <w:basedOn w:val="697"/>
    <w:next w:val="719"/>
    <w:link w:val="720"/>
    <w:pPr>
      <w:ind w:left="0" w:firstLine="420"/>
      <w:spacing w:before="0" w:after="120"/>
    </w:pPr>
    <w:rPr>
      <w:rFonts w:eastAsia="Calibri"/>
      <w:sz w:val="22"/>
      <w:szCs w:val="22"/>
    </w:rPr>
  </w:style>
  <w:style w:type="character" w:styleId="720">
    <w:name w:val="正文文本首行缩进 字符1"/>
    <w:next w:val="720"/>
    <w:link w:val="719"/>
    <w:rPr>
      <w:rFonts w:ascii="宋体" w:hAnsi="宋体" w:eastAsia="Calibri"/>
      <w:sz w:val="22"/>
      <w:szCs w:val="22"/>
      <w:lang w:eastAsia="en-US"/>
    </w:rPr>
  </w:style>
  <w:style w:type="table" w:styleId="721">
    <w:name w:val="网格型"/>
    <w:basedOn w:val="685"/>
    <w:next w:val="721"/>
    <w:link w:val="679"/>
    <w:uiPriority w:val="59"/>
    <w:tblPr/>
  </w:style>
  <w:style w:type="character" w:styleId="722">
    <w:name w:val="要点"/>
    <w:next w:val="722"/>
    <w:link w:val="679"/>
    <w:uiPriority w:val="22"/>
    <w:qFormat/>
    <w:rPr>
      <w:b/>
      <w:bCs/>
    </w:rPr>
  </w:style>
  <w:style w:type="character" w:styleId="723">
    <w:name w:val="页码"/>
    <w:basedOn w:val="684"/>
    <w:next w:val="723"/>
    <w:link w:val="679"/>
    <w:qFormat/>
  </w:style>
  <w:style w:type="character" w:styleId="724">
    <w:name w:val="已访问的超链接"/>
    <w:next w:val="724"/>
    <w:link w:val="679"/>
    <w:unhideWhenUsed/>
    <w:rPr>
      <w:color w:val="954f72"/>
      <w:u w:val="single"/>
    </w:rPr>
  </w:style>
  <w:style w:type="character" w:styleId="725">
    <w:name w:val="强调"/>
    <w:next w:val="725"/>
    <w:link w:val="679"/>
    <w:uiPriority w:val="20"/>
    <w:qFormat/>
    <w:rPr>
      <w:i/>
      <w:iCs/>
    </w:rPr>
  </w:style>
  <w:style w:type="character" w:styleId="726">
    <w:name w:val="HTML 打字机"/>
    <w:next w:val="726"/>
    <w:link w:val="679"/>
    <w:rPr>
      <w:rFonts w:ascii="monospace" w:hAnsi="monospace" w:eastAsia="monospace" w:cs="monospace"/>
      <w:sz w:val="20"/>
    </w:rPr>
  </w:style>
  <w:style w:type="character" w:styleId="727">
    <w:name w:val="HTML 缩写"/>
    <w:basedOn w:val="684"/>
    <w:next w:val="727"/>
    <w:link w:val="679"/>
  </w:style>
  <w:style w:type="character" w:styleId="728">
    <w:name w:val="超链接"/>
    <w:next w:val="728"/>
    <w:link w:val="679"/>
    <w:uiPriority w:val="99"/>
    <w:rPr>
      <w:color w:val="0000ff"/>
      <w:u w:val="none"/>
    </w:rPr>
  </w:style>
  <w:style w:type="character" w:styleId="729">
    <w:name w:val="HTML 代码"/>
    <w:next w:val="729"/>
    <w:link w:val="679"/>
    <w:rPr>
      <w:rFonts w:ascii="monospace" w:hAnsi="monospace" w:eastAsia="monospace" w:cs="monospace"/>
      <w:sz w:val="20"/>
    </w:rPr>
  </w:style>
  <w:style w:type="character" w:styleId="730">
    <w:name w:val="批注引用"/>
    <w:next w:val="730"/>
    <w:link w:val="679"/>
    <w:rPr>
      <w:sz w:val="21"/>
      <w:szCs w:val="21"/>
    </w:rPr>
  </w:style>
  <w:style w:type="character" w:styleId="731">
    <w:name w:val="HTML 键盘"/>
    <w:next w:val="731"/>
    <w:link w:val="679"/>
    <w:rPr>
      <w:rFonts w:ascii="monospace" w:hAnsi="monospace" w:eastAsia="monospace" w:cs="monospace"/>
      <w:sz w:val="20"/>
    </w:rPr>
  </w:style>
  <w:style w:type="character" w:styleId="732">
    <w:name w:val="HTML 样本"/>
    <w:next w:val="732"/>
    <w:link w:val="679"/>
    <w:rPr>
      <w:rFonts w:ascii="monospace" w:hAnsi="monospace" w:eastAsia="monospace" w:cs="monospace"/>
    </w:rPr>
  </w:style>
  <w:style w:type="paragraph" w:styleId="733">
    <w:name w:val="首行缩进"/>
    <w:basedOn w:val="679"/>
    <w:next w:val="733"/>
    <w:link w:val="679"/>
    <w:qFormat/>
    <w:pPr>
      <w:ind w:firstLine="480"/>
      <w:jc w:val="left"/>
      <w:spacing w:line="360" w:lineRule="auto"/>
    </w:pPr>
    <w:rPr>
      <w:rFonts w:ascii="宋体" w:hAnsi="宋体"/>
      <w:sz w:val="24"/>
      <w:szCs w:val="24"/>
    </w:rPr>
  </w:style>
  <w:style w:type="character" w:styleId="734">
    <w:name w:val="NormalCharacter1"/>
    <w:next w:val="734"/>
    <w:link w:val="679"/>
    <w:qFormat/>
  </w:style>
  <w:style w:type="character" w:styleId="735">
    <w:name w:val="UserStyle_1"/>
    <w:next w:val="735"/>
    <w:link w:val="736"/>
    <w:rPr>
      <w:sz w:val="21"/>
      <w:szCs w:val="24"/>
    </w:rPr>
  </w:style>
  <w:style w:type="paragraph" w:styleId="736">
    <w:name w:val="NormalIndent1"/>
    <w:basedOn w:val="679"/>
    <w:next w:val="736"/>
    <w:link w:val="735"/>
    <w:pPr>
      <w:ind w:firstLine="420"/>
      <w:jc w:val="both"/>
      <w:widowControl/>
    </w:pPr>
    <w:rPr>
      <w:rFonts w:eastAsia="宋体"/>
      <w:sz w:val="21"/>
      <w:szCs w:val="24"/>
    </w:rPr>
  </w:style>
  <w:style w:type="character" w:styleId="737">
    <w:name w:val="无"/>
    <w:next w:val="737"/>
    <w:link w:val="679"/>
    <w:uiPriority w:val="99"/>
    <w:qFormat/>
  </w:style>
  <w:style w:type="character" w:styleId="738">
    <w:name w:val="纯文本 Char1"/>
    <w:next w:val="738"/>
    <w:link w:val="679"/>
    <w:rPr>
      <w:rFonts w:ascii="宋体" w:hAnsi="Courier New" w:cs="Courier New"/>
      <w:sz w:val="21"/>
      <w:szCs w:val="21"/>
      <w:lang w:eastAsia="en-US"/>
    </w:rPr>
  </w:style>
  <w:style w:type="paragraph" w:styleId="739">
    <w:name w:val="Table Paragraph"/>
    <w:basedOn w:val="679"/>
    <w:next w:val="739"/>
    <w:link w:val="679"/>
    <w:uiPriority w:val="1"/>
    <w:qFormat/>
  </w:style>
  <w:style w:type="paragraph" w:styleId="740">
    <w:name w:val="Default"/>
    <w:next w:val="740"/>
    <w:link w:val="679"/>
    <w:qFormat/>
    <w:pPr>
      <w:widowControl w:val="off"/>
    </w:pPr>
    <w:rPr>
      <w:rFonts w:ascii="宋体" w:cs="宋体"/>
      <w:color w:val="000000"/>
      <w:sz w:val="24"/>
      <w:szCs w:val="24"/>
      <w:lang w:val="en-US" w:eastAsia="zh-CN" w:bidi="ar-SA"/>
    </w:rPr>
  </w:style>
  <w:style w:type="paragraph" w:styleId="741">
    <w:name w:val="Heading 1"/>
    <w:basedOn w:val="679"/>
    <w:next w:val="741"/>
    <w:link w:val="679"/>
    <w:uiPriority w:val="1"/>
    <w:qFormat/>
    <w:pPr>
      <w:ind w:left="39"/>
      <w:outlineLvl w:val="0"/>
    </w:pPr>
    <w:rPr>
      <w:rFonts w:ascii="宋体" w:hAnsi="Times New Roman" w:eastAsia="宋体" w:cs="宋体"/>
      <w:b/>
      <w:bCs/>
      <w:sz w:val="21"/>
      <w:szCs w:val="21"/>
      <w:lang w:eastAsia="zh-CN"/>
    </w:rPr>
  </w:style>
  <w:style w:type="paragraph" w:styleId="742">
    <w:name w:val="正文_0_1"/>
    <w:next w:val="742"/>
    <w:link w:val="679"/>
    <w:qFormat/>
    <w:pPr>
      <w:jc w:val="both"/>
      <w:widowControl w:val="off"/>
    </w:pPr>
    <w:rPr>
      <w:sz w:val="21"/>
      <w:szCs w:val="22"/>
      <w:lang w:val="en-US" w:eastAsia="zh-CN" w:bidi="ar-SA"/>
    </w:rPr>
  </w:style>
  <w:style w:type="paragraph" w:styleId="743">
    <w:name w:val="列出段落1"/>
    <w:next w:val="743"/>
    <w:link w:val="679"/>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744">
    <w:name w:val="Normal_26"/>
    <w:next w:val="744"/>
    <w:link w:val="679"/>
    <w:pPr>
      <w:jc w:val="both"/>
      <w:spacing w:before="120" w:after="240"/>
    </w:pPr>
    <w:rPr>
      <w:rFonts w:eastAsia="Times New Roman"/>
      <w:sz w:val="22"/>
      <w:szCs w:val="22"/>
      <w:lang w:val="en-US" w:eastAsia="en-US" w:bidi="ar-SA"/>
    </w:rPr>
  </w:style>
  <w:style w:type="paragraph" w:styleId="745">
    <w:name w:val="普通正文"/>
    <w:basedOn w:val="679"/>
    <w:next w:val="745"/>
    <w:link w:val="679"/>
    <w:pPr>
      <w:ind w:firstLine="480"/>
      <w:spacing w:before="120" w:after="120" w:line="360" w:lineRule="auto"/>
    </w:pPr>
    <w:rPr>
      <w:rFonts w:ascii="Arial" w:hAnsi="Arial" w:eastAsia="宋体"/>
      <w:sz w:val="24"/>
      <w:szCs w:val="24"/>
      <w:lang w:eastAsia="zh-CN"/>
    </w:rPr>
  </w:style>
  <w:style w:type="paragraph" w:styleId="746">
    <w:name w:val="正文（绿盟科技）"/>
    <w:next w:val="746"/>
    <w:link w:val="679"/>
    <w:qFormat/>
    <w:pPr>
      <w:spacing w:line="300" w:lineRule="auto"/>
    </w:pPr>
    <w:rPr>
      <w:rFonts w:ascii="Arial" w:hAnsi="Arial" w:cs="黑体"/>
      <w:sz w:val="21"/>
      <w:szCs w:val="21"/>
      <w:lang w:val="en-US" w:eastAsia="zh-CN" w:bidi="ar-SA"/>
    </w:rPr>
  </w:style>
  <w:style w:type="paragraph" w:styleId="747">
    <w:name w:val="列表段落"/>
    <w:basedOn w:val="679"/>
    <w:next w:val="679"/>
    <w:link w:val="679"/>
    <w:uiPriority w:val="34"/>
    <w:qFormat/>
  </w:style>
  <w:style w:type="paragraph" w:styleId="748">
    <w:name w:val="正文 A"/>
    <w:next w:val="733"/>
    <w:link w:val="679"/>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749">
    <w:name w:val="Table Normal"/>
    <w:next w:val="749"/>
    <w:link w:val="679"/>
    <w:uiPriority w:val="2"/>
    <w:unhideWhenUsed/>
    <w:qFormat/>
    <w:rPr>
      <w:lang w:val="en-US" w:eastAsia="zh-CN" w:bidi="ar-SA"/>
    </w:rPr>
    <w:tblPr/>
  </w:style>
  <w:style w:type="character" w:styleId="750">
    <w:name w:val="标题 2 字符"/>
    <w:next w:val="750"/>
    <w:link w:val="679"/>
    <w:uiPriority w:val="9"/>
    <w:semiHidden/>
    <w:rPr>
      <w:rFonts w:ascii="等线 Light" w:hAnsi="等线 Light" w:eastAsia="等线 Light" w:cs="Times New Roman"/>
      <w:b/>
      <w:bCs/>
      <w:sz w:val="32"/>
      <w:szCs w:val="32"/>
      <w:lang w:eastAsia="en-US"/>
    </w:rPr>
  </w:style>
  <w:style w:type="character" w:styleId="751">
    <w:name w:val="标题 4 字符"/>
    <w:next w:val="751"/>
    <w:link w:val="679"/>
    <w:uiPriority w:val="9"/>
    <w:semiHidden/>
    <w:rPr>
      <w:rFonts w:ascii="等线 Light" w:hAnsi="等线 Light" w:eastAsia="等线 Light" w:cs="Times New Roman"/>
      <w:b/>
      <w:bCs/>
      <w:sz w:val="28"/>
      <w:szCs w:val="28"/>
      <w:lang w:eastAsia="en-US"/>
    </w:rPr>
  </w:style>
  <w:style w:type="character" w:styleId="752">
    <w:name w:val="p21"/>
    <w:next w:val="752"/>
    <w:link w:val="679"/>
    <w:rPr>
      <w:sz w:val="9"/>
      <w:szCs w:val="9"/>
    </w:rPr>
  </w:style>
  <w:style w:type="character" w:styleId="753">
    <w:name w:val="HTML 预设格式 字符"/>
    <w:next w:val="753"/>
    <w:link w:val="679"/>
    <w:uiPriority w:val="99"/>
    <w:rPr>
      <w:rFonts w:ascii="Courier New" w:hAnsi="Courier New" w:eastAsia="Calibri" w:cs="Courier New"/>
      <w:lang w:eastAsia="en-US"/>
    </w:rPr>
  </w:style>
  <w:style w:type="character" w:styleId="754">
    <w:name w:val="文档结构图 字符"/>
    <w:next w:val="754"/>
    <w:link w:val="679"/>
    <w:uiPriority w:val="99"/>
    <w:rPr>
      <w:rFonts w:ascii="Microsoft YaHei UI" w:eastAsia="Microsoft YaHei UI"/>
      <w:sz w:val="18"/>
      <w:szCs w:val="18"/>
      <w:lang w:eastAsia="en-US"/>
    </w:rPr>
  </w:style>
  <w:style w:type="character" w:styleId="755">
    <w:name w:val="批注框文本 字符"/>
    <w:next w:val="755"/>
    <w:link w:val="679"/>
    <w:uiPriority w:val="99"/>
    <w:semiHidden/>
    <w:rPr>
      <w:rFonts w:ascii="Times New Roman" w:hAnsi="Times New Roman" w:eastAsia="Calibri" w:cs="Times New Roman"/>
      <w:sz w:val="18"/>
      <w:szCs w:val="18"/>
      <w:lang w:eastAsia="en-US"/>
    </w:rPr>
  </w:style>
  <w:style w:type="character" w:styleId="756">
    <w:name w:val="标题 字符"/>
    <w:next w:val="756"/>
    <w:link w:val="679"/>
    <w:uiPriority w:val="10"/>
    <w:rPr>
      <w:rFonts w:ascii="等线 Light" w:hAnsi="等线 Light" w:eastAsia="等线 Light" w:cs="Times New Roman"/>
      <w:b/>
      <w:bCs/>
      <w:sz w:val="32"/>
      <w:szCs w:val="32"/>
      <w:lang w:eastAsia="en-US"/>
    </w:rPr>
  </w:style>
  <w:style w:type="character" w:styleId="757">
    <w:name w:val="纯文本 Char_0"/>
    <w:next w:val="757"/>
    <w:link w:val="758"/>
    <w:uiPriority w:val="99"/>
    <w:rPr>
      <w:rFonts w:ascii="宋体" w:hAnsi="Courier New"/>
      <w:szCs w:val="21"/>
    </w:rPr>
  </w:style>
  <w:style w:type="paragraph" w:styleId="758">
    <w:name w:val="纯文本_0"/>
    <w:basedOn w:val="759"/>
    <w:next w:val="758"/>
    <w:link w:val="757"/>
    <w:uiPriority w:val="99"/>
    <w:unhideWhenUsed/>
    <w:rPr>
      <w:rFonts w:ascii="宋体" w:hAnsi="Courier New" w:cs="Times New Roman"/>
      <w:szCs w:val="21"/>
    </w:rPr>
  </w:style>
  <w:style w:type="paragraph" w:styleId="759">
    <w:name w:val="正文_1_0"/>
    <w:next w:val="759"/>
    <w:link w:val="679"/>
    <w:qFormat/>
    <w:pPr>
      <w:jc w:val="both"/>
      <w:widowControl w:val="off"/>
    </w:pPr>
    <w:rPr>
      <w:rFonts w:ascii="Calibri" w:hAnsi="Calibri" w:cs="Calibri"/>
      <w:lang w:val="en-US" w:eastAsia="zh-CN" w:bidi="ar-SA"/>
    </w:rPr>
  </w:style>
  <w:style w:type="character" w:styleId="760">
    <w:name w:val="ca-10"/>
    <w:next w:val="760"/>
    <w:link w:val="679"/>
    <w:rPr>
      <w:rFonts w:eastAsia="Times New Roman"/>
    </w:rPr>
  </w:style>
  <w:style w:type="character" w:styleId="761">
    <w:name w:val="批注文字 Char1"/>
    <w:next w:val="761"/>
    <w:link w:val="679"/>
    <w:uiPriority w:val="99"/>
    <w:semiHidden/>
    <w:rPr>
      <w:rFonts w:eastAsia="Calibri"/>
      <w:sz w:val="22"/>
      <w:szCs w:val="22"/>
      <w:lang w:eastAsia="en-US"/>
    </w:rPr>
  </w:style>
  <w:style w:type="character" w:styleId="762">
    <w:name w:val="批注主题 字符"/>
    <w:next w:val="762"/>
    <w:link w:val="679"/>
    <w:uiPriority w:val="99"/>
    <w:rPr>
      <w:rFonts w:eastAsia="Calibri"/>
      <w:b/>
      <w:bCs/>
      <w:sz w:val="22"/>
      <w:szCs w:val="22"/>
      <w:lang w:eastAsia="en-US"/>
    </w:rPr>
  </w:style>
  <w:style w:type="character" w:styleId="763">
    <w:name w:val="apple-converted-space"/>
    <w:next w:val="763"/>
    <w:link w:val="679"/>
    <w:rPr>
      <w:rFonts w:eastAsia="Times New Roman"/>
    </w:rPr>
  </w:style>
  <w:style w:type="character" w:styleId="764">
    <w:name w:val="ca-2"/>
    <w:next w:val="764"/>
    <w:link w:val="679"/>
    <w:rPr>
      <w:rFonts w:eastAsia="Times New Roman"/>
    </w:rPr>
  </w:style>
  <w:style w:type="character" w:styleId="765">
    <w:name w:val="标题3 Char_0"/>
    <w:next w:val="765"/>
    <w:link w:val="766"/>
    <w:rPr>
      <w:rFonts w:ascii="黑体" w:hAnsi="黑体" w:eastAsia="黑体"/>
      <w:b/>
      <w:sz w:val="32"/>
      <w:szCs w:val="32"/>
    </w:rPr>
  </w:style>
  <w:style w:type="paragraph" w:styleId="766">
    <w:name w:val="标题3_0"/>
    <w:basedOn w:val="767"/>
    <w:next w:val="766"/>
    <w:link w:val="765"/>
    <w:qFormat/>
    <w:pPr>
      <w:jc w:val="center"/>
      <w:outlineLvl w:val="2"/>
    </w:pPr>
    <w:rPr>
      <w:rFonts w:ascii="黑体" w:hAnsi="黑体" w:eastAsia="黑体" w:cs="Times New Roman"/>
      <w:b/>
      <w:sz w:val="32"/>
      <w:szCs w:val="32"/>
    </w:rPr>
  </w:style>
  <w:style w:type="paragraph" w:styleId="767">
    <w:name w:val="正文_1"/>
    <w:next w:val="767"/>
    <w:link w:val="679"/>
    <w:qFormat/>
    <w:pPr>
      <w:jc w:val="both"/>
      <w:widowControl w:val="off"/>
    </w:pPr>
    <w:rPr>
      <w:rFonts w:ascii="Calibri" w:hAnsi="Calibri" w:cs="Calibri"/>
      <w:szCs w:val="24"/>
      <w:lang w:val="en-US" w:eastAsia="zh-CN" w:bidi="ar-SA"/>
    </w:rPr>
  </w:style>
  <w:style w:type="character" w:styleId="768">
    <w:name w:val="正文文本 字符"/>
    <w:next w:val="768"/>
    <w:link w:val="679"/>
    <w:uiPriority w:val="99"/>
    <w:semiHidden/>
    <w:rPr>
      <w:rFonts w:ascii="Times New Roman" w:hAnsi="Times New Roman" w:eastAsia="Calibri" w:cs="Times New Roman"/>
      <w:sz w:val="22"/>
      <w:lang w:eastAsia="en-US"/>
    </w:rPr>
  </w:style>
  <w:style w:type="character" w:styleId="769">
    <w:name w:val="标题3 Char"/>
    <w:next w:val="769"/>
    <w:link w:val="770"/>
    <w:rPr>
      <w:rFonts w:ascii="黑体" w:hAnsi="黑体" w:eastAsia="黑体"/>
      <w:b/>
      <w:sz w:val="32"/>
      <w:szCs w:val="32"/>
    </w:rPr>
  </w:style>
  <w:style w:type="paragraph" w:styleId="770">
    <w:name w:val="标题3"/>
    <w:basedOn w:val="679"/>
    <w:next w:val="770"/>
    <w:link w:val="769"/>
    <w:qFormat/>
    <w:pPr>
      <w:jc w:val="center"/>
      <w:pageBreakBefore/>
      <w:outlineLvl w:val="2"/>
    </w:pPr>
    <w:rPr>
      <w:rFonts w:ascii="黑体" w:hAnsi="黑体" w:eastAsia="黑体"/>
      <w:b/>
      <w:sz w:val="32"/>
      <w:szCs w:val="32"/>
    </w:rPr>
  </w:style>
  <w:style w:type="character" w:styleId="771">
    <w:name w:val="批注主题 Char1"/>
    <w:next w:val="771"/>
    <w:link w:val="679"/>
    <w:uiPriority w:val="99"/>
    <w:semiHidden/>
    <w:rPr>
      <w:rFonts w:eastAsia="Calibri"/>
      <w:b/>
      <w:bCs/>
      <w:sz w:val="22"/>
      <w:szCs w:val="22"/>
      <w:lang w:eastAsia="en-US"/>
    </w:rPr>
  </w:style>
  <w:style w:type="character" w:styleId="772">
    <w:name w:val="标题 1 字符"/>
    <w:next w:val="772"/>
    <w:link w:val="679"/>
    <w:uiPriority w:val="9"/>
    <w:rPr>
      <w:rFonts w:ascii="Times New Roman" w:hAnsi="Times New Roman" w:eastAsia="Calibri" w:cs="Times New Roman"/>
      <w:b/>
      <w:bCs/>
      <w:sz w:val="44"/>
      <w:szCs w:val="44"/>
      <w:lang w:eastAsia="en-US"/>
    </w:rPr>
  </w:style>
  <w:style w:type="character" w:styleId="773">
    <w:name w:val="正文文本首行缩进 字符"/>
    <w:next w:val="773"/>
    <w:link w:val="679"/>
    <w:uiPriority w:val="99"/>
    <w:semiHidden/>
    <w:rPr>
      <w:rFonts w:ascii="Times New Roman" w:hAnsi="Times New Roman" w:eastAsia="Calibri" w:cs="Times New Roman"/>
      <w:sz w:val="22"/>
      <w:szCs w:val="24"/>
      <w:lang w:eastAsia="en-US"/>
    </w:rPr>
  </w:style>
  <w:style w:type="character" w:styleId="774">
    <w:name w:val="批注文字 字符"/>
    <w:next w:val="774"/>
    <w:link w:val="679"/>
    <w:uiPriority w:val="99"/>
    <w:semiHidden/>
    <w:rPr>
      <w:rFonts w:ascii="Times New Roman" w:hAnsi="Times New Roman" w:eastAsia="Calibri" w:cs="Times New Roman"/>
      <w:sz w:val="22"/>
      <w:lang w:eastAsia="en-US"/>
    </w:rPr>
  </w:style>
  <w:style w:type="character" w:styleId="775">
    <w:name w:val="标题 3 字符"/>
    <w:next w:val="775"/>
    <w:link w:val="679"/>
    <w:uiPriority w:val="9"/>
    <w:semiHidden/>
    <w:rPr>
      <w:rFonts w:ascii="Times New Roman" w:hAnsi="Times New Roman" w:eastAsia="Calibri" w:cs="Times New Roman"/>
      <w:b/>
      <w:bCs/>
      <w:sz w:val="32"/>
      <w:szCs w:val="32"/>
      <w:lang w:eastAsia="en-US"/>
    </w:rPr>
  </w:style>
  <w:style w:type="character" w:styleId="776">
    <w:name w:val="批注框文本 Char1"/>
    <w:next w:val="776"/>
    <w:link w:val="679"/>
    <w:uiPriority w:val="99"/>
    <w:semiHidden/>
    <w:rPr>
      <w:rFonts w:eastAsia="Calibri"/>
      <w:sz w:val="18"/>
      <w:szCs w:val="18"/>
      <w:lang w:eastAsia="en-US"/>
    </w:rPr>
  </w:style>
  <w:style w:type="character" w:styleId="777">
    <w:name w:val="日期 字符"/>
    <w:next w:val="777"/>
    <w:link w:val="679"/>
    <w:uiPriority w:val="99"/>
    <w:rPr>
      <w:rFonts w:eastAsia="Calibri"/>
      <w:sz w:val="22"/>
      <w:szCs w:val="22"/>
      <w:lang w:eastAsia="en-US"/>
    </w:rPr>
  </w:style>
  <w:style w:type="character" w:styleId="778">
    <w:name w:val="页眉 字符"/>
    <w:next w:val="778"/>
    <w:link w:val="679"/>
    <w:uiPriority w:val="99"/>
    <w:semiHidden/>
    <w:rPr>
      <w:rFonts w:ascii="Times New Roman" w:hAnsi="Times New Roman" w:eastAsia="Calibri" w:cs="Times New Roman"/>
      <w:sz w:val="18"/>
      <w:szCs w:val="18"/>
      <w:lang w:eastAsia="en-US"/>
    </w:rPr>
  </w:style>
  <w:style w:type="character" w:styleId="779">
    <w:name w:val="页脚 字符"/>
    <w:next w:val="779"/>
    <w:link w:val="679"/>
    <w:uiPriority w:val="99"/>
    <w:semiHidden/>
    <w:rPr>
      <w:rFonts w:ascii="Times New Roman" w:hAnsi="Times New Roman" w:eastAsia="Calibri" w:cs="Times New Roman"/>
      <w:sz w:val="18"/>
      <w:szCs w:val="18"/>
      <w:lang w:eastAsia="en-US"/>
    </w:rPr>
  </w:style>
  <w:style w:type="paragraph" w:styleId="780">
    <w:name w:val="Plain Text_0"/>
    <w:basedOn w:val="759"/>
    <w:next w:val="780"/>
    <w:link w:val="679"/>
    <w:rPr>
      <w:rFonts w:ascii="宋体" w:hAnsi="Courier New" w:eastAsia="Times New Roman" w:cs="Courier New"/>
      <w:szCs w:val="21"/>
    </w:rPr>
  </w:style>
  <w:style w:type="paragraph" w:styleId="781">
    <w:name w:val="contentarticle"/>
    <w:basedOn w:val="679"/>
    <w:next w:val="781"/>
    <w:link w:val="679"/>
    <w:pPr>
      <w:spacing w:before="100" w:beforeAutospacing="1" w:after="100" w:afterAutospacing="1"/>
      <w:widowControl/>
    </w:pPr>
    <w:rPr>
      <w:rFonts w:ascii="宋体" w:hAnsi="宋体" w:eastAsia="宋体" w:cs="宋体"/>
      <w:sz w:val="24"/>
      <w:lang w:eastAsia="zh-CN"/>
    </w:rPr>
  </w:style>
  <w:style w:type="paragraph" w:styleId="782">
    <w:name w:val="无间隔"/>
    <w:next w:val="782"/>
    <w:link w:val="679"/>
    <w:uiPriority w:val="1"/>
    <w:qFormat/>
    <w:pPr>
      <w:jc w:val="center"/>
      <w:widowControl w:val="off"/>
    </w:pPr>
    <w:rPr>
      <w:rFonts w:ascii="Calibri" w:hAnsi="Calibri" w:eastAsia="黑体" w:cs="Calibri"/>
      <w:sz w:val="30"/>
      <w:szCs w:val="24"/>
      <w:lang w:val="en-US" w:eastAsia="zh-CN" w:bidi="ar-SA"/>
    </w:rPr>
  </w:style>
  <w:style w:type="paragraph" w:styleId="783">
    <w:name w:val="修订"/>
    <w:next w:val="783"/>
    <w:link w:val="679"/>
    <w:uiPriority w:val="99"/>
    <w:unhideWhenUsed/>
    <w:rPr>
      <w:rFonts w:ascii="Calibri" w:hAnsi="Calibri" w:eastAsia="Calibri" w:cs="Calibri"/>
      <w:sz w:val="22"/>
      <w:szCs w:val="22"/>
      <w:lang w:val="en-US" w:eastAsia="en-US" w:bidi="ar-SA"/>
    </w:rPr>
  </w:style>
  <w:style w:type="paragraph" w:styleId="784">
    <w:name w:val="图标题"/>
    <w:basedOn w:val="679"/>
    <w:next w:val="784"/>
    <w:link w:val="679"/>
    <w:qFormat/>
    <w:pPr>
      <w:jc w:val="center"/>
      <w:spacing w:line="360" w:lineRule="auto"/>
    </w:pPr>
    <w:rPr>
      <w:rFonts w:ascii="Calibri" w:hAnsi="Calibri" w:eastAsia="宋体" w:cs="Calibri"/>
      <w:b/>
      <w:sz w:val="24"/>
      <w:szCs w:val="20"/>
      <w:lang w:eastAsia="zh-CN"/>
    </w:rPr>
  </w:style>
  <w:style w:type="paragraph" w:styleId="785">
    <w:name w:val="_Style 29"/>
    <w:basedOn w:val="679"/>
    <w:next w:val="679"/>
    <w:link w:val="679"/>
    <w:uiPriority w:val="39"/>
    <w:pPr>
      <w:ind w:left="840"/>
      <w:jc w:val="both"/>
    </w:pPr>
    <w:rPr>
      <w:rFonts w:ascii="Calibri" w:hAnsi="Calibri" w:eastAsia="宋体" w:cs="Calibri"/>
      <w:sz w:val="21"/>
      <w:lang w:eastAsia="zh-CN"/>
    </w:rPr>
  </w:style>
  <w:style w:type="paragraph" w:styleId="786">
    <w:name w:val="正文2"/>
    <w:next w:val="786"/>
    <w:link w:val="679"/>
    <w:qFormat/>
    <w:pPr>
      <w:jc w:val="both"/>
      <w:widowControl w:val="off"/>
    </w:pPr>
    <w:rPr>
      <w:rFonts w:ascii="Calibri" w:hAnsi="Calibri" w:cs="Calibri"/>
      <w:lang w:val="en-US" w:eastAsia="zh-CN" w:bidi="ar-SA"/>
    </w:rPr>
  </w:style>
  <w:style w:type="paragraph" w:styleId="787">
    <w:name w:val="正文1"/>
    <w:next w:val="787"/>
    <w:link w:val="679"/>
    <w:uiPriority w:val="99"/>
    <w:qFormat/>
    <w:pPr>
      <w:jc w:val="both"/>
      <w:widowControl w:val="off"/>
    </w:pPr>
    <w:rPr>
      <w:rFonts w:ascii="Calibri" w:hAnsi="Calibri" w:cs="Calibri"/>
      <w:lang w:val="en-US" w:eastAsia="zh-CN" w:bidi="ar-SA"/>
    </w:rPr>
  </w:style>
  <w:style w:type="paragraph" w:styleId="788">
    <w:name w:val="Normal_0"/>
    <w:next w:val="788"/>
    <w:link w:val="679"/>
    <w:qFormat/>
    <w:pPr>
      <w:jc w:val="both"/>
      <w:widowControl w:val="off"/>
    </w:pPr>
    <w:rPr>
      <w:rFonts w:ascii="Calibri" w:hAnsi="Calibri" w:cs="Calibri"/>
      <w:lang w:val="en-US" w:eastAsia="zh-CN" w:bidi="ar-SA"/>
    </w:rPr>
  </w:style>
  <w:style w:type="paragraph" w:styleId="789">
    <w:name w:val="pa-15"/>
    <w:basedOn w:val="759"/>
    <w:next w:val="789"/>
    <w:link w:val="679"/>
    <w:pPr>
      <w:jc w:val="left"/>
      <w:spacing w:before="100" w:beforeAutospacing="1" w:after="100" w:afterAutospacing="1"/>
      <w:widowControl/>
    </w:pPr>
    <w:rPr>
      <w:rFonts w:ascii="宋体" w:hAnsi="宋体" w:eastAsia="Times New Roman" w:cs="宋体"/>
      <w:sz w:val="24"/>
      <w:szCs w:val="24"/>
    </w:rPr>
  </w:style>
  <w:style w:type="paragraph" w:styleId="790">
    <w:name w:val="正文_0_0_0_0"/>
    <w:next w:val="790"/>
    <w:link w:val="679"/>
    <w:qFormat/>
    <w:pPr>
      <w:jc w:val="both"/>
      <w:widowControl w:val="off"/>
    </w:pPr>
    <w:rPr>
      <w:rFonts w:ascii="Calibri" w:hAnsi="Calibri" w:cs="Calibri"/>
      <w:lang w:val="en-US" w:eastAsia="zh-CN" w:bidi="ar-SA"/>
    </w:rPr>
  </w:style>
  <w:style w:type="paragraph" w:styleId="791">
    <w:name w:val="正文_2"/>
    <w:next w:val="791"/>
    <w:link w:val="679"/>
    <w:qFormat/>
    <w:pPr>
      <w:spacing w:after="200" w:line="276" w:lineRule="auto"/>
      <w:widowControl w:val="off"/>
    </w:pPr>
    <w:rPr>
      <w:rFonts w:ascii="Calibri" w:hAnsi="Calibri" w:cs="Calibri"/>
      <w:lang w:val="en-US" w:eastAsia="zh-CN" w:bidi="ar-SA"/>
    </w:rPr>
  </w:style>
  <w:style w:type="paragraph" w:styleId="792">
    <w:name w:val="pa-13"/>
    <w:basedOn w:val="759"/>
    <w:next w:val="792"/>
    <w:link w:val="679"/>
    <w:pPr>
      <w:jc w:val="left"/>
      <w:spacing w:before="100" w:beforeAutospacing="1" w:after="100" w:afterAutospacing="1"/>
      <w:widowControl/>
    </w:pPr>
    <w:rPr>
      <w:rFonts w:ascii="宋体" w:hAnsi="宋体" w:eastAsia="Times New Roman" w:cs="宋体"/>
      <w:sz w:val="24"/>
      <w:szCs w:val="24"/>
    </w:rPr>
  </w:style>
  <w:style w:type="paragraph" w:styleId="793">
    <w:name w:val="TOC 标题"/>
    <w:basedOn w:val="680"/>
    <w:next w:val="679"/>
    <w:link w:val="679"/>
    <w:uiPriority w:val="39"/>
    <w:qFormat/>
    <w:pPr>
      <w:keepLines/>
      <w:keepNext/>
      <w:spacing w:before="480" w:line="276" w:lineRule="auto"/>
      <w:widowControl/>
      <w:outlineLvl w:val="9"/>
    </w:pPr>
    <w:rPr>
      <w:rFonts w:ascii="Cambria" w:hAnsi="Cambria" w:eastAsia="宋体" w:cs="Calibri"/>
      <w:b w:val="0"/>
      <w:bCs/>
      <w:color w:val="365f91"/>
      <w:sz w:val="28"/>
      <w:szCs w:val="28"/>
    </w:rPr>
  </w:style>
  <w:style w:type="paragraph" w:styleId="794">
    <w:name w:val="Normal1"/>
    <w:next w:val="794"/>
    <w:link w:val="679"/>
    <w:qFormat/>
    <w:pPr>
      <w:jc w:val="both"/>
      <w:widowControl w:val="off"/>
    </w:pPr>
    <w:rPr>
      <w:rFonts w:ascii="Calibri" w:hAnsi="Calibri" w:cs="Calibri"/>
      <w:lang w:val="en-US" w:eastAsia="zh-CN" w:bidi="ar-SA"/>
    </w:rPr>
  </w:style>
  <w:style w:type="paragraph" w:styleId="795">
    <w:name w:val="样式 标题 3 + (中文) 黑体 小四 非加粗 段前: 7.8 磅 段后: 0 磅 行距: 固定值 20 磅"/>
    <w:basedOn w:val="682"/>
    <w:next w:val="795"/>
    <w:link w:val="679"/>
    <w:pPr>
      <w:jc w:val="both"/>
      <w:keepLines/>
      <w:keepNext/>
      <w:spacing w:line="400" w:lineRule="exact"/>
    </w:pPr>
    <w:rPr>
      <w:rFonts w:ascii="Times New Roman" w:hAnsi="Times New Roman" w:cs="宋体"/>
      <w:sz w:val="24"/>
      <w:szCs w:val="20"/>
    </w:rPr>
  </w:style>
  <w:style w:type="paragraph" w:styleId="796">
    <w:name w:val="pa-16"/>
    <w:basedOn w:val="759"/>
    <w:next w:val="796"/>
    <w:link w:val="679"/>
    <w:pPr>
      <w:jc w:val="left"/>
      <w:spacing w:before="100" w:beforeAutospacing="1" w:after="100" w:afterAutospacing="1"/>
      <w:widowControl/>
    </w:pPr>
    <w:rPr>
      <w:rFonts w:ascii="宋体" w:hAnsi="宋体" w:eastAsia="Times New Roman" w:cs="宋体"/>
      <w:sz w:val="24"/>
      <w:szCs w:val="24"/>
    </w:rPr>
  </w:style>
  <w:style w:type="paragraph" w:styleId="797">
    <w:name w:val="正文文本缩进 22"/>
    <w:basedOn w:val="759"/>
    <w:next w:val="797"/>
    <w:link w:val="679"/>
    <w:pPr>
      <w:ind w:left="420"/>
      <w:spacing w:after="120" w:line="480" w:lineRule="auto"/>
    </w:pPr>
    <w:rPr>
      <w:rFonts w:eastAsia="Times New Roman"/>
      <w:szCs w:val="24"/>
    </w:rPr>
  </w:style>
  <w:style w:type="paragraph" w:styleId="798">
    <w:name w:val="正文1_2"/>
    <w:next w:val="798"/>
    <w:link w:val="679"/>
    <w:qFormat/>
    <w:pPr>
      <w:jc w:val="both"/>
      <w:widowControl w:val="off"/>
    </w:pPr>
    <w:rPr>
      <w:rFonts w:ascii="Calibri" w:hAnsi="Calibri" w:cs="Calibri"/>
      <w:lang w:val="en-US" w:eastAsia="zh-CN" w:bidi="ar-SA"/>
    </w:rPr>
  </w:style>
  <w:style w:type="paragraph" w:styleId="799">
    <w:name w:val="t_black_12_b"/>
    <w:basedOn w:val="679"/>
    <w:next w:val="799"/>
    <w:link w:val="679"/>
    <w:pPr>
      <w:widowControl/>
    </w:pPr>
    <w:rPr>
      <w:rFonts w:ascii="宋体" w:hAnsi="宋体" w:eastAsia="宋体" w:cs="宋体"/>
      <w:b/>
      <w:bCs/>
      <w:color w:val="212121"/>
      <w:sz w:val="9"/>
      <w:szCs w:val="9"/>
      <w:lang w:eastAsia="zh-CN"/>
    </w:rPr>
  </w:style>
  <w:style w:type="paragraph" w:styleId="800">
    <w:name w:val="正文_0_2"/>
    <w:next w:val="800"/>
    <w:link w:val="679"/>
    <w:qFormat/>
    <w:pPr>
      <w:jc w:val="both"/>
      <w:widowControl w:val="off"/>
    </w:pPr>
    <w:rPr>
      <w:rFonts w:ascii="Calibri" w:hAnsi="Calibri" w:cs="Calibri"/>
      <w:szCs w:val="24"/>
      <w:lang w:val="en-US" w:eastAsia="zh-CN" w:bidi="ar-SA"/>
    </w:rPr>
  </w:style>
  <w:style w:type="paragraph" w:styleId="801">
    <w:name w:val="pa-14"/>
    <w:basedOn w:val="759"/>
    <w:next w:val="801"/>
    <w:link w:val="679"/>
    <w:pPr>
      <w:jc w:val="left"/>
      <w:spacing w:before="100" w:beforeAutospacing="1" w:after="100" w:afterAutospacing="1"/>
      <w:widowControl/>
    </w:pPr>
    <w:rPr>
      <w:rFonts w:ascii="宋体" w:hAnsi="宋体" w:eastAsia="Times New Roman" w:cs="宋体"/>
      <w:sz w:val="24"/>
      <w:szCs w:val="24"/>
    </w:rPr>
  </w:style>
  <w:style w:type="paragraph" w:styleId="802">
    <w:name w:val="0"/>
    <w:basedOn w:val="697"/>
    <w:next w:val="802"/>
    <w:link w:val="679"/>
    <w:qFormat/>
    <w:pPr>
      <w:ind w:left="0" w:firstLine="560"/>
      <w:spacing w:before="0" w:line="360" w:lineRule="auto"/>
    </w:pPr>
    <w:rPr>
      <w:rFonts w:ascii="Times New Roman" w:hAnsi="Times New Roman" w:cs="Calibri"/>
      <w:sz w:val="28"/>
      <w:szCs w:val="28"/>
      <w:lang w:val="zh-CN" w:eastAsia="zh-CN"/>
    </w:rPr>
  </w:style>
  <w:style w:type="paragraph" w:styleId="803">
    <w:name w:val="正文_0"/>
    <w:next w:val="803"/>
    <w:link w:val="679"/>
    <w:qFormat/>
    <w:pPr>
      <w:jc w:val="both"/>
      <w:widowControl w:val="off"/>
    </w:pPr>
    <w:rPr>
      <w:rFonts w:ascii="Calibri" w:hAnsi="Calibri" w:cs="Calibri"/>
      <w:sz w:val="21"/>
      <w:szCs w:val="24"/>
      <w:lang w:val="en-US" w:eastAsia="zh-CN" w:bidi="ar-SA"/>
    </w:rPr>
  </w:style>
  <w:style w:type="table" w:styleId="804">
    <w:name w:val="网格型1"/>
    <w:basedOn w:val="685"/>
    <w:next w:val="804"/>
    <w:link w:val="679"/>
    <w:rPr>
      <w:rFonts w:ascii="Calibri" w:hAnsi="Calibri" w:cs="Calibri"/>
    </w:rPr>
    <w:tblPr/>
  </w:style>
  <w:style w:type="table" w:styleId="805">
    <w:name w:val="网格型2"/>
    <w:basedOn w:val="685"/>
    <w:next w:val="805"/>
    <w:link w:val="679"/>
    <w:tblPr/>
  </w:style>
  <w:style w:type="paragraph" w:styleId="806">
    <w:name w:val="Normal_1"/>
    <w:next w:val="806"/>
    <w:link w:val="679"/>
    <w:qFormat/>
    <w:pPr>
      <w:jc w:val="both"/>
      <w:widowControl w:val="off"/>
    </w:pPr>
    <w:rPr>
      <w:rFonts w:ascii="Calibri" w:hAnsi="Calibri"/>
      <w:lang w:val="en-US" w:eastAsia="zh-CN" w:bidi="ar-SA"/>
    </w:rPr>
  </w:style>
  <w:style w:type="paragraph" w:styleId="807">
    <w:name w:val="_Style 21"/>
    <w:basedOn w:val="679"/>
    <w:next w:val="747"/>
    <w:link w:val="679"/>
    <w:uiPriority w:val="1"/>
    <w:qFormat/>
    <w:pPr>
      <w:ind w:left="323" w:firstLine="420"/>
      <w:jc w:val="left"/>
    </w:pPr>
    <w:rPr>
      <w:rFonts w:ascii="宋体" w:hAnsi="宋体" w:cs="宋体"/>
      <w:sz w:val="22"/>
      <w:szCs w:val="22"/>
      <w:lang w:val="zh-CN" w:bidi="zh-CN"/>
    </w:rPr>
  </w:style>
  <w:style w:type="paragraph" w:styleId="808">
    <w:name w:val="样式 标题 2 + Times New Roman 四号 非加粗 段前: 5 磅 段后: 0 磅 行距: 固定值 20..."/>
    <w:basedOn w:val="681"/>
    <w:next w:val="808"/>
    <w:link w:val="679"/>
    <w:qFormat/>
    <w:pPr>
      <w:spacing w:before="100" w:after="0" w:line="400" w:lineRule="exact"/>
    </w:pPr>
    <w:rPr>
      <w:rFonts w:ascii="Times New Roman" w:hAnsi="Times New Roman" w:eastAsia="黑体"/>
      <w:b w:val="0"/>
      <w:bCs w:val="0"/>
      <w:sz w:val="28"/>
      <w:szCs w:val="20"/>
      <w:lang w:val="en-US" w:eastAsia="zh-CN"/>
    </w:rPr>
  </w:style>
  <w:style w:type="paragraph" w:styleId="809">
    <w:name w:val="Blockquote"/>
    <w:basedOn w:val="679"/>
    <w:next w:val="809"/>
    <w:link w:val="679"/>
    <w:qFormat/>
    <w:pPr>
      <w:ind w:left="360" w:right="360"/>
      <w:jc w:val="left"/>
      <w:spacing w:before="100" w:after="100"/>
    </w:pPr>
    <w:rPr>
      <w:rFonts w:ascii="Times New Roman" w:hAnsi="Times New Roman" w:eastAsia="宋体" w:cs="Times New Roman"/>
      <w:sz w:val="24"/>
      <w:szCs w:val="20"/>
    </w:rPr>
  </w:style>
  <w:style w:type="paragraph" w:styleId="810">
    <w:name w:val="_Style 35"/>
    <w:basedOn w:val="679"/>
    <w:next w:val="679"/>
    <w:link w:val="679"/>
    <w:uiPriority w:val="39"/>
    <w:qFormat/>
    <w:pPr>
      <w:jc w:val="center"/>
      <w:spacing w:line="440" w:lineRule="exact"/>
    </w:pPr>
    <w:rPr>
      <w:rFonts w:ascii="Times New Roman" w:hAnsi="Times New Roman" w:eastAsia="宋体" w:cs="Times New Roman"/>
      <w:szCs w:val="20"/>
    </w:rPr>
  </w:style>
  <w:style w:type="character" w:styleId="12441" w:default="1">
    <w:name w:val="Default Paragraph Font"/>
    <w:uiPriority w:val="1"/>
    <w:semiHidden/>
    <w:unhideWhenUsed/>
  </w:style>
  <w:style w:type="numbering" w:styleId="12442" w:default="1">
    <w:name w:val="No List"/>
    <w:uiPriority w:val="99"/>
    <w:semiHidden/>
    <w:unhideWhenUsed/>
  </w:style>
  <w:style w:type="table" w:styleId="124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3</cp:revision>
  <dcterms:created xsi:type="dcterms:W3CDTF">2024-10-28T02:19:00Z</dcterms:created>
  <dcterms:modified xsi:type="dcterms:W3CDTF">2026-07-23T02:01:40Z</dcterms:modified>
</cp:coreProperties>
</file>