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szCs w:val="21"/>
          <w:highlight w:val="none"/>
        </w:rPr>
      </w:pPr>
      <w:r>
        <w:rPr>
          <w:rFonts w:hint="eastAsia" w:ascii="宋体" w:hAnsi="宋体" w:cs="宋体"/>
          <w:szCs w:val="21"/>
          <w:highlight w:val="none"/>
        </w:rPr>
        <w:t xml:space="preserve">版本号：BZ.GK-政采-202201</w:t>
      </w:r>
      <w:r/>
    </w:p>
    <w:p>
      <w:pPr>
        <w:ind w:left="-199" w:firstLine="199"/>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sz w:val="56"/>
          <w:szCs w:val="56"/>
          <w:highlight w:val="none"/>
          <w:lang w:eastAsia="zh-CN"/>
        </w:rPr>
      </w:pPr>
      <w:r>
        <w:rPr>
          <w:rFonts w:hint="eastAsia" w:ascii="宋体" w:hAnsi="宋体" w:cs="宋体"/>
          <w:b/>
          <w:sz w:val="56"/>
          <w:szCs w:val="56"/>
          <w:highlight w:val="none"/>
          <w:lang w:eastAsia="zh-CN"/>
        </w:rPr>
        <w:t xml:space="preserve">江宁区卫健委下属单位污水处理运维服务</w:t>
      </w:r>
      <w:r/>
    </w:p>
    <w:p>
      <w:pPr>
        <w:pStyle w:val="873"/>
        <w:ind w:firstLine="1493"/>
        <w:rPr>
          <w:rFonts w:hint="eastAsia" w:hAnsi="宋体" w:cs="宋体"/>
          <w:b/>
          <w:sz w:val="84"/>
          <w:szCs w:val="84"/>
          <w:highlight w:val="none"/>
        </w:rPr>
      </w:pPr>
      <w:r>
        <w:rPr>
          <w:rFonts w:hint="eastAsia" w:hAnsi="宋体" w:cs="宋体"/>
          <w:b/>
          <w:sz w:val="84"/>
          <w:szCs w:val="84"/>
          <w:highlight w:val="none"/>
        </w:rPr>
      </w:r>
      <w:r/>
    </w:p>
    <w:p>
      <w:pPr>
        <w:pStyle w:val="873"/>
        <w:ind w:firstLine="0"/>
        <w:jc w:val="center"/>
        <w:keepLines w:val="0"/>
        <w:keepNext w:val="0"/>
        <w:pageBreakBefore w:val="0"/>
        <w:widowControl w:val="off"/>
        <w:rPr>
          <w:rFonts w:hint="eastAsia" w:hAnsi="宋体" w:cs="宋体"/>
          <w:b/>
          <w:sz w:val="84"/>
          <w:szCs w:val="84"/>
          <w:highlight w:val="none"/>
        </w:rPr>
      </w:pPr>
      <w:r>
        <w:rPr>
          <w:rFonts w:hint="eastAsia" w:hAnsi="宋体" w:cs="宋体"/>
          <w:b/>
          <w:sz w:val="84"/>
          <w:szCs w:val="84"/>
          <w:highlight w:val="none"/>
        </w:rPr>
        <w:t xml:space="preserve">招 标 文 件</w:t>
      </w:r>
      <w:r/>
    </w:p>
    <w:p>
      <w:pPr>
        <w:ind w:firstLine="1706"/>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firstLine="569"/>
        <w:jc w:val="center"/>
        <w:spacing w:line="360" w:lineRule="auto"/>
        <w:rPr>
          <w:rFonts w:hint="eastAsia" w:ascii="宋体" w:hAnsi="宋体" w:cs="宋体"/>
          <w:sz w:val="32"/>
          <w:highlight w:val="none"/>
        </w:rPr>
      </w:pPr>
      <w:r>
        <w:rPr>
          <w:rFonts w:hint="eastAsia" w:ascii="宋体" w:hAnsi="宋体" w:cs="宋体"/>
          <w:b/>
          <w:sz w:val="32"/>
          <w:szCs w:val="32"/>
          <w:highlight w:val="none"/>
        </w:rPr>
        <w:t xml:space="preserve">项目编号：</w:t>
      </w:r>
      <w:r>
        <w:rPr>
          <w:rFonts w:hint="eastAsia" w:ascii="宋体" w:hAnsi="宋体" w:cs="宋体"/>
          <w:b/>
          <w:sz w:val="32"/>
          <w:szCs w:val="32"/>
          <w:highlight w:val="none"/>
          <w:lang w:eastAsia="zh-CN"/>
        </w:rPr>
        <w:t xml:space="preserve">JSZC-320115-JITC-G2026-0208</w:t>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sz w:val="32"/>
          <w:highlight w:val="none"/>
          <w:lang w:val="en-US" w:eastAsia="zh-CN"/>
        </w:rPr>
      </w:pPr>
      <w:r>
        <w:rPr>
          <w:rFonts w:hint="eastAsia" w:ascii="宋体" w:hAnsi="宋体" w:cs="宋体"/>
          <w:b/>
          <w:sz w:val="32"/>
          <w:highlight w:val="none"/>
        </w:rPr>
        <w:t xml:space="preserve">采</w:t>
      </w:r>
      <w:r>
        <w:rPr>
          <w:rFonts w:hint="eastAsia" w:ascii="宋体" w:hAnsi="宋体" w:cs="宋体"/>
          <w:b/>
          <w:sz w:val="32"/>
          <w:highlight w:val="none"/>
          <w:lang w:val="en-US" w:eastAsia="zh-CN"/>
        </w:rPr>
        <w:t xml:space="preserve">   </w:t>
      </w:r>
      <w:r>
        <w:rPr>
          <w:rFonts w:hint="eastAsia" w:ascii="宋体" w:hAnsi="宋体" w:cs="宋体"/>
          <w:b/>
          <w:sz w:val="32"/>
          <w:highlight w:val="none"/>
        </w:rPr>
        <w:t xml:space="preserve">购</w:t>
      </w:r>
      <w:r>
        <w:rPr>
          <w:rFonts w:hint="eastAsia" w:ascii="宋体" w:hAnsi="宋体" w:cs="宋体"/>
          <w:b/>
          <w:sz w:val="32"/>
          <w:highlight w:val="none"/>
          <w:lang w:val="en-US" w:eastAsia="zh-CN"/>
        </w:rPr>
        <w:t xml:space="preserve">   </w:t>
      </w:r>
      <w:r>
        <w:rPr>
          <w:rFonts w:hint="eastAsia" w:ascii="宋体" w:hAnsi="宋体" w:cs="宋体"/>
          <w:b/>
          <w:sz w:val="32"/>
          <w:highlight w:val="none"/>
        </w:rPr>
        <w:t xml:space="preserve">人：</w:t>
      </w:r>
      <w:r>
        <w:rPr>
          <w:rFonts w:hint="eastAsia" w:ascii="宋体" w:hAnsi="宋体" w:cs="宋体"/>
          <w:b/>
          <w:sz w:val="32"/>
          <w:highlight w:val="none"/>
          <w:lang w:val="en-US" w:eastAsia="zh-CN"/>
        </w:rPr>
        <w:t xml:space="preserve">南京市江宁区卫生健康委员会</w:t>
      </w:r>
      <w:r/>
    </w:p>
    <w:p>
      <w:pPr>
        <w:ind w:firstLine="1606"/>
        <w:jc w:val="left"/>
        <w:keepLines w:val="0"/>
        <w:keepNext w:val="0"/>
        <w:pageBreakBefore w:val="0"/>
        <w:spacing w:line="360" w:lineRule="auto"/>
        <w:widowControl w:val="off"/>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ind w:firstLine="569"/>
        <w:jc w:val="center"/>
        <w:rPr>
          <w:rFonts w:hint="eastAsia" w:ascii="宋体" w:hAnsi="宋体" w:cs="宋体"/>
          <w:b/>
          <w:sz w:val="32"/>
          <w:highlight w:val="none"/>
        </w:rPr>
      </w:pPr>
      <w:r>
        <w:rPr>
          <w:rFonts w:hint="eastAsia" w:ascii="宋体" w:hAnsi="宋体" w:cs="宋体"/>
          <w:b/>
          <w:sz w:val="32"/>
          <w:highlight w:val="none"/>
        </w:rPr>
        <w:t xml:space="preserve">二O二</w:t>
      </w:r>
      <w:r>
        <w:rPr>
          <w:rFonts w:hint="eastAsia" w:ascii="宋体" w:hAnsi="宋体" w:cs="宋体"/>
          <w:b/>
          <w:sz w:val="32"/>
          <w:highlight w:val="none"/>
          <w:lang w:val="en-US" w:eastAsia="zh-CN"/>
        </w:rPr>
        <w:t xml:space="preserve">六 </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 六 </w:t>
      </w:r>
      <w:r>
        <w:rPr>
          <w:rFonts w:hint="eastAsia" w:ascii="宋体" w:hAnsi="宋体" w:cs="宋体"/>
          <w:b/>
          <w:sz w:val="32"/>
          <w:highlight w:val="none"/>
        </w:rPr>
        <w:t xml:space="preserve">月</w:t>
      </w:r>
      <w:r/>
    </w:p>
    <w:p>
      <w:pPr>
        <w:ind w:firstLine="569"/>
        <w:spacing w:line="500" w:lineRule="exact"/>
        <w:rPr>
          <w:rFonts w:hint="eastAsia" w:ascii="宋体" w:hAnsi="宋体" w:cs="宋体"/>
          <w:b/>
          <w:sz w:val="32"/>
          <w:szCs w:val="32"/>
          <w:highlight w:val="none"/>
        </w:rPr>
        <w:sectPr>
          <w:headerReference w:type="default" r:id="rId9"/>
          <w:footerReference w:type="default" r:id="rId10"/>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pStyle w:val="1099"/>
        <w:ind w:firstLine="426"/>
        <w:spacing w:line="360" w:lineRule="auto"/>
        <w:tabs>
          <w:tab w:val="right" w:pos="8834" w:leader="dot"/>
        </w:tabs>
        <w:rPr>
          <w:rFonts w:hint="eastAsia"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p>
    <w:p>
      <w:pPr>
        <w:pStyle w:val="1099"/>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906"/>
          <w:rFonts w:hint="eastAsia" w:ascii="宋体" w:hAnsi="宋体" w:eastAsia="宋体" w:cs="宋体"/>
          <w:b/>
          <w:highlight w:val="none"/>
        </w:rPr>
        <w:t xml:space="preserve">第一章</w:t>
      </w:r>
      <w:r>
        <w:rPr>
          <w:rFonts w:hint="eastAsia" w:ascii="宋体" w:hAnsi="宋体" w:eastAsia="宋体" w:cs="宋体"/>
          <w:b/>
          <w:highlight w:val="none"/>
        </w:rPr>
        <w:tab/>
      </w:r>
      <w:r>
        <w:rPr>
          <w:rStyle w:val="906"/>
          <w:rFonts w:hint="eastAsia" w:ascii="宋体" w:hAnsi="宋体" w:eastAsia="宋体" w:cs="宋体"/>
          <w:b/>
          <w:highlight w:val="none"/>
        </w:rPr>
        <w:t xml:space="preserve">招标公告</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906"/>
          <w:rFonts w:hint="eastAsia" w:ascii="宋体" w:hAnsi="宋体" w:eastAsia="宋体" w:cs="宋体"/>
          <w:b/>
          <w:highlight w:val="none"/>
        </w:rPr>
        <w:t xml:space="preserve">第二章</w:t>
      </w:r>
      <w:r>
        <w:rPr>
          <w:rFonts w:hint="eastAsia" w:ascii="宋体" w:hAnsi="宋体" w:eastAsia="宋体" w:cs="宋体"/>
          <w:b/>
          <w:highlight w:val="none"/>
        </w:rPr>
        <w:tab/>
      </w:r>
      <w:r>
        <w:rPr>
          <w:rStyle w:val="906"/>
          <w:rFonts w:hint="eastAsia" w:ascii="宋体" w:hAnsi="宋体" w:eastAsia="宋体" w:cs="宋体"/>
          <w:b/>
          <w:highlight w:val="none"/>
        </w:rPr>
        <w:t xml:space="preserve">投标人须知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906"/>
          <w:rFonts w:hint="eastAsia" w:ascii="宋体" w:hAnsi="宋体" w:eastAsia="宋体" w:cs="宋体"/>
          <w:b/>
          <w:highlight w:val="none"/>
        </w:rPr>
        <w:t xml:space="preserve">一．总则</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_Toc107246214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10</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906"/>
          <w:rFonts w:hint="eastAsia" w:ascii="宋体" w:hAnsi="宋体" w:eastAsia="宋体" w:cs="宋体"/>
          <w:b/>
          <w:highlight w:val="none"/>
        </w:rPr>
        <w:t xml:space="preserve">二．招标文件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14</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906"/>
          <w:rFonts w:hint="eastAsia" w:ascii="宋体" w:hAnsi="宋体" w:eastAsia="宋体" w:cs="宋体"/>
          <w:b/>
          <w:highlight w:val="none"/>
        </w:rPr>
        <w:t xml:space="preserve">三．投标文件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906"/>
          <w:rFonts w:hint="eastAsia" w:ascii="宋体" w:hAnsi="宋体" w:eastAsia="宋体" w:cs="宋体"/>
          <w:b/>
          <w:highlight w:val="none"/>
        </w:rPr>
        <w:t xml:space="preserve">四．投标文件的递交</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906"/>
          <w:rFonts w:hint="eastAsia" w:ascii="宋体" w:hAnsi="宋体" w:eastAsia="宋体" w:cs="宋体"/>
          <w:b/>
          <w:highlight w:val="none"/>
        </w:rPr>
        <w:t xml:space="preserve">五．开标和评标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_Toc107246245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19</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906"/>
          <w:rFonts w:hint="eastAsia" w:ascii="宋体" w:hAnsi="宋体" w:eastAsia="宋体" w:cs="宋体"/>
          <w:b/>
          <w:highlight w:val="none"/>
        </w:rPr>
        <w:t xml:space="preserve">六．确定中标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_Toc107246257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22</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906"/>
          <w:rFonts w:hint="eastAsia" w:ascii="宋体" w:hAnsi="宋体" w:eastAsia="宋体" w:cs="宋体"/>
          <w:b/>
          <w:highlight w:val="none"/>
        </w:rPr>
        <w:t xml:space="preserve">七．询问与质疑</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23</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906"/>
          <w:rFonts w:hint="eastAsia" w:ascii="宋体" w:hAnsi="宋体" w:eastAsia="宋体" w:cs="宋体"/>
          <w:b/>
          <w:highlight w:val="none"/>
        </w:rPr>
        <w:t xml:space="preserve">八．其他</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_Toc107246266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24</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906"/>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906"/>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41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906"/>
          <w:rFonts w:hint="eastAsia" w:ascii="宋体" w:hAnsi="宋体" w:eastAsia="宋体" w:cs="宋体"/>
          <w:b/>
          <w:highlight w:val="none"/>
        </w:rPr>
        <w:t xml:space="preserve">第五章 评标方法与评标标准</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54</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906"/>
          <w:rFonts w:hint="eastAsia" w:ascii="宋体" w:hAnsi="宋体" w:eastAsia="宋体" w:cs="宋体"/>
          <w:b/>
          <w:highlight w:val="none"/>
        </w:rPr>
        <w:t xml:space="preserve">第六章 投标文件格式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60</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ind w:firstLine="569"/>
        <w:spacing w:line="360" w:lineRule="auto"/>
        <w:rPr>
          <w:rFonts w:hint="eastAsia" w:ascii="宋体" w:hAnsi="宋体" w:cs="宋体"/>
          <w:highlight w:val="none"/>
        </w:rPr>
      </w:pPr>
      <w:r>
        <w:rPr>
          <w:rFonts w:hint="eastAsia" w:ascii="宋体" w:hAnsi="宋体" w:cs="宋体"/>
          <w:b/>
          <w:bCs/>
          <w:sz w:val="32"/>
          <w:highlight w:val="none"/>
          <w:lang w:val="zh-CN"/>
        </w:rPr>
        <w:br w:type="page" w:clear="all"/>
      </w:r>
      <w:bookmarkEnd w:id="0"/>
      <w:r/>
      <w:bookmarkEnd w:id="1"/>
      <w:r/>
      <w:r/>
    </w:p>
    <w:p>
      <w:pPr>
        <w:pStyle w:val="895"/>
        <w:ind w:firstLine="3213"/>
        <w:jc w:val="both"/>
        <w:rPr>
          <w:rFonts w:hint="eastAsia" w:ascii="宋体" w:hAnsi="宋体" w:cs="宋体"/>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highlight w:val="none"/>
        </w:rPr>
        <w:t xml:space="preserve">第一章 招标公告</w:t>
      </w:r>
      <w:bookmarkEnd w:id="2"/>
      <w:r/>
      <w:r/>
    </w:p>
    <w:p>
      <w:pPr>
        <w:ind w:firstLine="420"/>
        <w:spacing w:line="360" w:lineRule="auto"/>
        <w:rPr>
          <w:rFonts w:hint="eastAsia"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highlight w:val="none"/>
        </w:rPr>
        <w:t xml:space="preserve">项目概况</w:t>
      </w:r>
      <w:r/>
    </w:p>
    <w:p>
      <w:pPr>
        <w:ind w:firstLine="420"/>
        <w:spacing w:line="360" w:lineRule="auto"/>
        <w:rPr>
          <w:rFonts w:hint="eastAsia"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highlight w:val="none"/>
          <w:u w:val="single"/>
          <w:lang w:eastAsia="zh-CN"/>
        </w:rPr>
        <w:t xml:space="preserve">江宁区卫健委下属单位污水处理运维服务</w:t>
      </w:r>
      <w:r>
        <w:rPr>
          <w:rFonts w:hint="eastAsia" w:ascii="宋体" w:hAnsi="宋体" w:cs="宋体"/>
          <w:bCs/>
          <w:szCs w:val="21"/>
          <w:highlight w:val="none"/>
        </w:rPr>
        <w:t xml:space="preserve">的潜在投标人应在规定时间内通过</w:t>
      </w:r>
      <w:r>
        <w:rPr>
          <w:rFonts w:hint="eastAsia" w:ascii="Microsoft New Tai Lue" w:hAnsi="Microsoft New Tai Lue" w:cs="Microsoft New Tai Lue"/>
          <w:bCs/>
          <w:szCs w:val="21"/>
          <w:highlight w:val="none"/>
          <w:u w:val="single"/>
        </w:rPr>
        <w:t xml:space="preserve">江苏政府采购网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 7 </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 </w:t>
      </w:r>
      <w:r>
        <w:rPr>
          <w:rFonts w:hint="eastAsia" w:ascii="宋体" w:hAnsi="宋体" w:cs="宋体"/>
          <w:bCs/>
          <w:color w:val="ff0000"/>
          <w:szCs w:val="21"/>
          <w:highlight w:val="none"/>
          <w:u w:val="single"/>
          <w:lang w:val="en-US" w:eastAsia="zh-CN"/>
        </w:rPr>
        <w:t xml:space="preserve">21 </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 14</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rPr>
        <w:t xml:space="preserve">0（北京时间</w:t>
      </w:r>
      <w:r>
        <w:rPr>
          <w:rFonts w:hint="eastAsia" w:ascii="宋体" w:hAnsi="宋体" w:cs="宋体"/>
          <w:bCs/>
          <w:szCs w:val="21"/>
          <w:highlight w:val="none"/>
        </w:rPr>
        <w:t xml:space="preserve">）前递交投标文件。</w:t>
      </w:r>
      <w:r/>
    </w:p>
    <w:p>
      <w:pPr>
        <w:ind w:firstLine="373"/>
        <w:spacing w:line="360" w:lineRule="auto"/>
        <w:rPr>
          <w:rFonts w:hint="eastAsia" w:ascii="宋体" w:hAnsi="宋体" w:cs="宋体"/>
          <w:b/>
          <w:bCs/>
          <w:szCs w:val="44"/>
          <w:highlight w:val="none"/>
        </w:rPr>
      </w:pPr>
      <w:r/>
      <w:bookmarkStart w:id="7" w:name="_Toc93909065"/>
      <w:r/>
      <w:bookmarkStart w:id="8" w:name="_Toc96347851"/>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JSZC-320115-JITC-G2026-0208 </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江宁区卫健委下属单位污水处理运维服务</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cs="宋体"/>
          <w:bCs/>
          <w:szCs w:val="21"/>
          <w:highlight w:val="none"/>
          <w:lang w:val="en-US" w:eastAsia="zh-CN"/>
        </w:rPr>
        <w:t xml:space="preserve">180</w:t>
      </w:r>
      <w:r>
        <w:rPr>
          <w:rFonts w:hint="eastAsia" w:ascii="宋体" w:hAnsi="宋体" w:cs="宋体"/>
          <w:bCs/>
          <w:szCs w:val="21"/>
          <w:highlight w:val="none"/>
        </w:rPr>
        <w:t xml:space="preserve">万元。</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
          <w:szCs w:val="21"/>
          <w:highlight w:val="none"/>
        </w:rPr>
        <w:t xml:space="preserve">1.4最高限价：本项目投标报价不得高于人民币</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0万元</w:t>
      </w:r>
      <w:r>
        <w:rPr>
          <w:rFonts w:hint="eastAsia"/>
          <w:b/>
          <w:highlight w:val="none"/>
        </w:rPr>
        <w:t xml:space="preserve">/年</w:t>
      </w:r>
      <w:r>
        <w:rPr>
          <w:rFonts w:hint="eastAsia"/>
          <w:b/>
          <w:highlight w:val="none"/>
          <w:lang w:val="en-US" w:eastAsia="zh-CN"/>
        </w:rPr>
        <w:t xml:space="preserve">,2年180万元</w:t>
      </w:r>
      <w:r>
        <w:rPr>
          <w:rFonts w:hint="eastAsia" w:ascii="宋体" w:hAnsi="宋体" w:cs="宋体"/>
          <w:b/>
          <w:szCs w:val="21"/>
          <w:highlight w:val="none"/>
        </w:rPr>
        <w:t xml:space="preserve">（投标人投标报价不得超过上述限价金额，否则将作无效标处理）。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1.5采购需求：江宁区卫健委下属社区卫生服务中心和公卫单位污水处理运维服务</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具体要求详见招标文件第四章《采购需求》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1.6标段划分：本项目共划分1个标段。</w:t>
      </w:r>
      <w:r/>
    </w:p>
    <w:p>
      <w:pPr>
        <w:ind w:firstLine="420"/>
        <w:spacing w:line="360" w:lineRule="auto"/>
        <w:rPr>
          <w:rFonts w:hint="eastAsia" w:ascii="宋体" w:hAnsi="宋体" w:eastAsia="宋体" w:cs="宋体"/>
          <w:b/>
          <w:szCs w:val="21"/>
          <w:highlight w:val="none"/>
          <w:lang w:eastAsia="zh-CN"/>
        </w:rPr>
      </w:pPr>
      <w:r>
        <w:rPr>
          <w:rFonts w:hint="eastAsia" w:ascii="宋体" w:hAnsi="宋体" w:cs="宋体"/>
          <w:bCs/>
          <w:szCs w:val="21"/>
          <w:highlight w:val="none"/>
        </w:rPr>
        <w:t xml:space="preserve">1.7合同履行期限：</w:t>
      </w:r>
      <w:r>
        <w:rPr>
          <w:rFonts w:hint="eastAsia" w:ascii="宋体" w:hAnsi="宋体" w:cs="宋体"/>
          <w:bCs/>
          <w:szCs w:val="21"/>
          <w:highlight w:val="none"/>
          <w:lang w:val="en-US" w:eastAsia="zh-CN"/>
        </w:rPr>
        <w:t xml:space="preserve">两年</w:t>
      </w:r>
      <w:r>
        <w:rPr>
          <w:rFonts w:hint="eastAsia"/>
          <w:highlight w:val="none"/>
        </w:rPr>
        <w:t xml:space="preserve">。合同一年一签。一年合同期满后，采购人有权根据供应商的履约情况以及政府采购想关决定是否与中标供应商签订后续服务合同或</w:t>
      </w:r>
      <w:r>
        <w:rPr>
          <w:rFonts w:hint="eastAsia"/>
          <w:highlight w:val="none"/>
          <w:lang w:val="en-US" w:eastAsia="zh-CN"/>
        </w:rPr>
        <w:t xml:space="preserve">另</w:t>
      </w:r>
      <w:r>
        <w:rPr>
          <w:rFonts w:hint="eastAsia"/>
          <w:highlight w:val="none"/>
        </w:rPr>
        <w:t xml:space="preserve">行采购</w:t>
      </w:r>
      <w:r>
        <w:rPr>
          <w:rFonts w:hint="eastAsia"/>
          <w:highlight w:val="none"/>
          <w:lang w:eastAsia="zh-CN"/>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1.8本项目是否接受联合体投标：不接受</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1.9本项目是否接受进口产品：不接受</w:t>
      </w:r>
      <w:r/>
    </w:p>
    <w:p>
      <w:pPr>
        <w:ind w:firstLine="373"/>
        <w:spacing w:line="360" w:lineRule="auto"/>
        <w:rPr>
          <w:rFonts w:hint="eastAsia" w:ascii="宋体" w:hAnsi="宋体" w:cs="宋体"/>
          <w:b/>
          <w:bCs/>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
    </w:p>
    <w:p>
      <w:pPr>
        <w:ind w:firstLine="420"/>
        <w:spacing w:line="360" w:lineRule="auto"/>
        <w:rPr>
          <w:rFonts w:hint="eastAsia" w:ascii="宋体" w:hAnsi="宋体" w:cs="宋体"/>
          <w:bCs/>
          <w:szCs w:val="21"/>
          <w:highlight w:val="none"/>
        </w:rPr>
      </w:pPr>
      <w:r/>
      <w:bookmarkStart w:id="13" w:name="_Toc96347853"/>
      <w:r/>
      <w:bookmarkStart w:id="14" w:name="_Toc80264699"/>
      <w:r/>
      <w:bookmarkStart w:id="15" w:name="_Toc80792690"/>
      <w:r/>
      <w:bookmarkStart w:id="16" w:name="_Toc93909067"/>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2.1.2具有良好的商业信誉和健全的财务会计制度，提供</w:t>
      </w:r>
      <w:r>
        <w:rPr>
          <w:rFonts w:hint="eastAsia" w:ascii="宋体" w:hAnsi="宋体" w:cs="宋体"/>
          <w:bCs/>
          <w:szCs w:val="21"/>
          <w:highlight w:val="none"/>
          <w:lang w:val="en-US" w:eastAsia="zh-CN"/>
        </w:rPr>
        <w:t xml:space="preserve">2025年度</w:t>
      </w:r>
      <w:r>
        <w:rPr>
          <w:rFonts w:hint="eastAsia" w:ascii="宋体" w:hAnsi="宋体" w:cs="宋体"/>
          <w:bCs/>
          <w:szCs w:val="21"/>
          <w:highlight w:val="none"/>
        </w:rPr>
        <w:t xml:space="preserve">财务报表复印件（如为新成立的公司，应提供公司成立之后的财务报表）或投标截止时间前3个月内，由其基本开户银行出具的资信证明；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2.1.4有依法缴纳税收和社会保障资金的良好记录，提供本次采购活动前6个月内（即202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w:t>
      </w:r>
      <w:r>
        <w:rPr>
          <w:rFonts w:hint="eastAsia" w:ascii="宋体" w:hAnsi="宋体" w:cs="宋体"/>
          <w:bCs/>
          <w:szCs w:val="21"/>
          <w:highlight w:val="none"/>
          <w:lang w:val="en-US" w:eastAsia="zh-CN"/>
        </w:rPr>
        <w:t xml:space="preserve">12</w:t>
      </w:r>
      <w:r>
        <w:rPr>
          <w:rFonts w:hint="eastAsia" w:ascii="宋体" w:hAnsi="宋体" w:cs="宋体"/>
          <w:bCs/>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2.1.6通过“信用中国”网站（http://www.creditchina.gov.cn）、中国政府采购网（www.ccgp.gov.cn）查询供应商在投标截止时间前的信用记录，通过以上查询渠道，供应商未被列入失信被执行人、重大税收违法失信主体、政府采购严重违法失信行为记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bookmarkStart w:id="17" w:name="_Toc35393635"/>
      <w:r>
        <w:rPr>
          <w:rFonts w:hint="eastAsia" w:ascii="宋体" w:hAnsi="宋体" w:cs="宋体"/>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2.2.1中小企业政策：■本项目不面向中小企业预留采购份额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ascii="宋体" w:hAnsi="宋体" w:eastAsia="宋体" w:cs="宋体"/>
          <w:bCs/>
          <w:szCs w:val="21"/>
          <w:highlight w:val="none"/>
          <w:lang w:val="en-US" w:eastAsia="zh-CN"/>
        </w:rPr>
      </w:pPr>
      <w:r>
        <w:rPr>
          <w:rFonts w:hint="eastAsia" w:ascii="宋体" w:hAnsi="宋体" w:cs="宋体"/>
          <w:bCs/>
          <w:szCs w:val="21"/>
          <w:highlight w:val="none"/>
        </w:rPr>
        <w:t xml:space="preserve">2.3本项目的特定资格要求：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2.3.1供应商存在下列情形的不得参加本次招标活动：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2.3.2其他资格</w:t>
      </w:r>
      <w:r>
        <w:rPr>
          <w:rFonts w:hint="eastAsia" w:ascii="宋体" w:hAnsi="宋体" w:cs="宋体"/>
          <w:bCs/>
          <w:color w:val="auto"/>
          <w:szCs w:val="21"/>
          <w:highlight w:val="none"/>
        </w:rPr>
        <w:t xml:space="preserve">要求：</w:t>
      </w:r>
      <w:r>
        <w:rPr>
          <w:rFonts w:hint="eastAsia" w:ascii="宋体" w:hAnsi="宋体" w:cs="宋体"/>
          <w:b/>
          <w:bCs w:val="0"/>
          <w:color w:val="auto"/>
          <w:szCs w:val="21"/>
          <w:highlight w:val="none"/>
        </w:rPr>
        <w:t xml:space="preserve">如药剂中包含危化品的，投标人承诺危化品运输、存储、使用等各个环节符合国家规定</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rPr>
        <w:t xml:space="preserve">如因投标人违规运输、存储、使用危化品等行为造成事故或损失的，投标人应承担由此产生的一切责任</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提供承诺函</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rPr>
        <w:t xml:space="preserve">。</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szCs w:val="21"/>
          <w:highlight w:val="none"/>
        </w:rPr>
      </w:pPr>
      <w:r/>
      <w:bookmarkStart w:id="18" w:name="_Toc80264700"/>
      <w:r>
        <w:rPr>
          <w:rFonts w:hint="eastAsia" w:ascii="宋体" w:hAnsi="宋体" w:cs="宋体"/>
          <w:bCs/>
          <w:szCs w:val="21"/>
          <w:highlight w:val="none"/>
        </w:rPr>
        <w:t xml:space="preserve">时间：自本公告发布之日起5个工作日</w:t>
      </w:r>
      <w:r/>
    </w:p>
    <w:p>
      <w:pPr>
        <w:ind w:firstLine="525"/>
        <w:spacing w:after="40" w:line="360" w:lineRule="auto"/>
        <w:rPr>
          <w:rFonts w:hint="eastAsia" w:ascii="宋体" w:hAnsi="宋体" w:cs="宋体"/>
          <w:bCs/>
          <w:szCs w:val="21"/>
          <w:highlight w:val="none"/>
        </w:rPr>
      </w:pPr>
      <w:r/>
      <w:bookmarkStart w:id="19" w:name="_Toc80792691"/>
      <w:r/>
      <w:bookmarkStart w:id="20" w:name="_Toc93909068"/>
      <w:r/>
      <w:bookmarkStart w:id="21" w:name="_Toc96347854"/>
      <w:r>
        <w:rPr>
          <w:rFonts w:hint="eastAsia" w:ascii="Microsoft New Tai Lue" w:hAnsi="Microsoft New Tai Lue" w:cs="Microsoft New Tai Lue"/>
          <w:bCs/>
          <w:szCs w:val="21"/>
          <w:highlight w:val="none"/>
        </w:rPr>
        <w:t xml:space="preserve">获取地点：江苏政府采购网</w:t>
      </w:r>
      <w:r>
        <w:rPr>
          <w:rFonts w:hint="eastAsia" w:ascii="宋体" w:hAnsi="宋体" w:cs="宋体"/>
          <w:bCs/>
          <w:szCs w:val="21"/>
          <w:highlight w:val="none"/>
        </w:rPr>
        <w:t xml:space="preserve">。</w:t>
      </w:r>
      <w:r/>
    </w:p>
    <w:p>
      <w:pPr>
        <w:ind w:firstLine="525"/>
        <w:spacing w:after="40" w:line="360" w:lineRule="auto"/>
        <w:rPr>
          <w:rFonts w:hint="eastAsia" w:ascii="宋体" w:hAnsi="宋体" w:cs="宋体"/>
          <w:bCs/>
          <w:szCs w:val="21"/>
          <w:highlight w:val="none"/>
        </w:rPr>
      </w:pPr>
      <w:r>
        <w:rPr>
          <w:rFonts w:hint="eastAsia" w:ascii="Microsoft New Tai Lue" w:hAnsi="Microsoft New Tai Lue" w:cs="Microsoft New Tai Lue"/>
          <w:bCs/>
          <w:szCs w:val="21"/>
          <w:highlight w:val="none"/>
        </w:rPr>
        <w:t xml:space="preserve">获取方式：网上下载</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售价：0元。</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8"/>
      <w:r/>
      <w:bookmarkEnd w:id="19"/>
      <w:r>
        <w:rPr>
          <w:rFonts w:hint="eastAsia" w:ascii="宋体" w:hAnsi="宋体" w:cs="宋体"/>
          <w:b/>
          <w:bCs/>
          <w:szCs w:val="44"/>
          <w:highlight w:val="none"/>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szCs w:val="21"/>
          <w:highlight w:val="none"/>
        </w:rPr>
      </w:pPr>
      <w:r/>
      <w:bookmarkStart w:id="22" w:name="_Toc80792693"/>
      <w:r/>
      <w:bookmarkStart w:id="23" w:name="_Toc96347855"/>
      <w:r/>
      <w:bookmarkStart w:id="24" w:name="_Toc93909069"/>
      <w:r>
        <w:rPr>
          <w:rFonts w:hint="eastAsia" w:ascii="Microsoft New Tai Lue" w:hAnsi="Microsoft New Tai Lue" w:cs="Microsoft New Tai Lue"/>
          <w:bCs/>
          <w:szCs w:val="21"/>
          <w:highlight w:val="none"/>
        </w:rPr>
        <w:t xml:space="preserve">提交投标文件截止时间、开标时间：202</w:t>
      </w:r>
      <w:r>
        <w:rPr>
          <w:rFonts w:hint="eastAsia" w:ascii="Microsoft New Tai Lue" w:hAnsi="Microsoft New Tai Lue" w:cs="Microsoft New Tai Lue"/>
          <w:bCs/>
          <w:szCs w:val="21"/>
          <w:highlight w:val="none"/>
          <w:lang w:val="en-US" w:eastAsia="zh-CN"/>
        </w:rPr>
        <w:t xml:space="preserve">6</w:t>
      </w:r>
      <w:r>
        <w:rPr>
          <w:rFonts w:hint="eastAsia" w:ascii="Microsoft New Tai Lue" w:hAnsi="Microsoft New Tai Lue" w:cs="Microsoft New Tai Lue"/>
          <w:bCs/>
          <w:szCs w:val="21"/>
          <w:highlight w:val="none"/>
        </w:rPr>
        <w:t xml:space="preserve">年</w:t>
      </w:r>
      <w:r>
        <w:rPr>
          <w:rFonts w:hint="eastAsia" w:ascii="Microsoft New Tai Lue" w:hAnsi="Microsoft New Tai Lue" w:cs="Microsoft New Tai Lue"/>
          <w:bCs/>
          <w:szCs w:val="21"/>
          <w:highlight w:val="none"/>
          <w:lang w:val="en-US" w:eastAsia="zh-CN"/>
        </w:rPr>
        <w:t xml:space="preserve"> 7 </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rPr>
        <w:t xml:space="preserve"> </w:t>
      </w:r>
      <w:r>
        <w:rPr>
          <w:rFonts w:hint="eastAsia" w:ascii="Microsoft New Tai Lue" w:hAnsi="Microsoft New Tai Lue" w:cs="Microsoft New Tai Lue"/>
          <w:bCs/>
          <w:color w:val="ff0000"/>
          <w:szCs w:val="21"/>
          <w:highlight w:val="none"/>
        </w:rPr>
        <w:t xml:space="preserve">21</w:t>
      </w:r>
      <w:r>
        <w:rPr>
          <w:rFonts w:hint="eastAsia" w:ascii="Microsoft New Tai Lue" w:hAnsi="Microsoft New Tai Lue" w:cs="Microsoft New Tai Lue"/>
          <w:bCs/>
          <w:szCs w:val="21"/>
          <w:highlight w:val="none"/>
        </w:rPr>
        <w:t xml:space="preserve"> 日</w:t>
      </w:r>
      <w:r>
        <w:rPr>
          <w:rFonts w:hint="eastAsia" w:ascii="Microsoft New Tai Lue" w:hAnsi="Microsoft New Tai Lue" w:cs="Microsoft New Tai Lue"/>
          <w:bCs/>
          <w:szCs w:val="21"/>
          <w:highlight w:val="none"/>
          <w:lang w:val="en-US" w:eastAsia="zh-CN"/>
        </w:rPr>
        <w:t xml:space="preserve">14</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0（北京时间）</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开标地点：“苏采云”网上开标大厅</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五、</w:t>
      </w:r>
      <w:bookmarkEnd w:id="22"/>
      <w:r>
        <w:rPr>
          <w:rFonts w:hint="eastAsia" w:ascii="宋体" w:hAnsi="宋体" w:cs="宋体"/>
          <w:b/>
          <w:bCs/>
          <w:szCs w:val="44"/>
          <w:highlight w:val="none"/>
        </w:rPr>
        <w:t xml:space="preserve">公告期</w:t>
      </w:r>
      <w:bookmarkEnd w:id="23"/>
      <w:r/>
      <w:bookmarkEnd w:id="24"/>
      <w:r>
        <w:rPr>
          <w:rFonts w:hint="eastAsia" w:ascii="宋体" w:hAnsi="宋体" w:cs="宋体"/>
          <w:b/>
          <w:bCs/>
          <w:szCs w:val="44"/>
          <w:highlight w:val="none"/>
        </w:rPr>
        <w:t xml:space="preserve">限</w:t>
      </w:r>
      <w:r/>
    </w:p>
    <w:p>
      <w:pPr>
        <w:ind w:firstLine="525"/>
        <w:spacing w:line="360" w:lineRule="auto"/>
        <w:rPr>
          <w:rFonts w:hint="eastAsia" w:ascii="宋体" w:hAnsi="宋体" w:cs="宋体"/>
          <w:highlight w:val="none"/>
        </w:rPr>
      </w:pPr>
      <w:r>
        <w:rPr>
          <w:rFonts w:hint="eastAsia" w:ascii="宋体" w:hAnsi="宋体" w:cs="宋体"/>
          <w:highlight w:val="none"/>
        </w:rPr>
        <w:t xml:space="preserve">自本公告发布之日起5个工作日。</w:t>
      </w:r>
      <w:r/>
    </w:p>
    <w:p>
      <w:pPr>
        <w:ind w:firstLine="373"/>
        <w:spacing w:line="360" w:lineRule="auto"/>
        <w:rPr>
          <w:rFonts w:hint="eastAsia" w:ascii="宋体" w:hAnsi="宋体" w:cs="宋体"/>
          <w:b/>
          <w:bCs/>
          <w:szCs w:val="44"/>
          <w:highlight w:val="none"/>
        </w:rPr>
      </w:pPr>
      <w:r/>
      <w:bookmarkStart w:id="25" w:name="_Toc96347856"/>
      <w:r/>
      <w:bookmarkStart w:id="26" w:name="_Toc93909070"/>
      <w:r>
        <w:rPr>
          <w:rFonts w:hint="eastAsia" w:ascii="宋体" w:hAnsi="宋体" w:cs="宋体"/>
          <w:b/>
          <w:bCs/>
          <w:szCs w:val="44"/>
          <w:highlight w:val="none"/>
        </w:rPr>
        <w:t xml:space="preserve">六、其他补充事宜</w:t>
      </w:r>
      <w:bookmarkEnd w:id="25"/>
      <w:r/>
      <w:bookmarkEnd w:id="26"/>
      <w:r/>
      <w:r/>
    </w:p>
    <w:p>
      <w:pPr>
        <w:ind w:firstLine="420"/>
        <w:spacing w:line="360" w:lineRule="auto"/>
        <w:rPr>
          <w:rFonts w:hint="eastAsia" w:ascii="宋体" w:hAnsi="宋体" w:cs="宋体"/>
          <w:bCs/>
          <w:szCs w:val="21"/>
          <w:highlight w:val="none"/>
        </w:rPr>
      </w:pPr>
      <w:r/>
      <w:bookmarkStart w:id="27" w:name="_Toc80264702"/>
      <w:r/>
      <w:bookmarkStart w:id="28" w:name="_Toc80792694"/>
      <w:r/>
      <w:bookmarkStart w:id="29" w:name="_Toc93909071"/>
      <w:r/>
      <w:bookmarkStart w:id="30" w:name="_Toc96347857"/>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2、供应商诚信档案管理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（1）符合国家相关规定的财务状况报告；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（2）依法缴纳税收的证明材料；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（3）依法缴纳社会保障资金的证明材料；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供应商涉及以下情形的，不适用信用承诺：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（7）苏采云系统使用谷歌浏览器参与不见面开标。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（8）“苏采云”南京地区客服热线025-83633744、025-83633743。</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七、</w:t>
      </w:r>
      <w:bookmarkEnd w:id="27"/>
      <w:r/>
      <w:bookmarkEnd w:id="28"/>
      <w:r>
        <w:rPr>
          <w:rFonts w:hint="eastAsia" w:ascii="宋体" w:hAnsi="宋体" w:cs="宋体"/>
          <w:b/>
          <w:bCs/>
          <w:szCs w:val="44"/>
          <w:highlight w:val="none"/>
        </w:rPr>
        <w:t xml:space="preserve">对本次招标提出询问，请按以下方式联系。</w:t>
      </w:r>
      <w:bookmarkEnd w:id="29"/>
      <w:r/>
      <w:bookmarkEnd w:id="30"/>
      <w:r/>
      <w:r/>
    </w:p>
    <w:p>
      <w:pPr>
        <w:ind w:firstLine="525"/>
        <w:spacing w:line="360" w:lineRule="auto"/>
        <w:rPr>
          <w:rFonts w:hint="eastAsia" w:ascii="宋体" w:hAnsi="宋体" w:cs="宋体"/>
          <w:szCs w:val="21"/>
          <w:highlight w:val="none"/>
        </w:rPr>
      </w:pPr>
      <w:r/>
      <w:bookmarkStart w:id="31" w:name="_Toc28359085"/>
      <w:r>
        <w:rPr>
          <w:rFonts w:hint="eastAsia" w:ascii="宋体" w:hAnsi="宋体" w:cs="宋体"/>
          <w:szCs w:val="21"/>
          <w:highlight w:val="none"/>
        </w:rPr>
        <w:t xml:space="preserve">1．采购人信息</w:t>
      </w:r>
      <w:r/>
    </w:p>
    <w:p>
      <w:pPr>
        <w:ind w:firstLine="525"/>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南京市江宁区卫生健康委员会</w:t>
      </w:r>
      <w:r/>
    </w:p>
    <w:p>
      <w:pPr>
        <w:ind w:firstLine="525"/>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 址：</w:t>
      </w:r>
      <w:r>
        <w:rPr>
          <w:rFonts w:hint="eastAsia" w:ascii="宋体" w:hAnsi="宋体" w:eastAsia="宋体" w:cs="宋体"/>
          <w:szCs w:val="21"/>
          <w:highlight w:val="none"/>
          <w:lang w:eastAsia="zh-CN"/>
        </w:rPr>
        <w:t xml:space="preserve">南京市江宁区上元大街397号</w:t>
      </w:r>
      <w:r/>
    </w:p>
    <w:p>
      <w:pPr>
        <w:ind w:firstLine="525"/>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钱惠</w:t>
      </w:r>
      <w:r/>
    </w:p>
    <w:p>
      <w:pPr>
        <w:ind w:firstLine="525"/>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025-51191172</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名 称：江苏省招标中心有限公司</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地 址：南京市雨花台区宁双路19号C栋3楼305室</w:t>
      </w:r>
      <w:r/>
    </w:p>
    <w:p>
      <w:pPr>
        <w:ind w:firstLine="525"/>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史平华、张璐、黄锡芳</w:t>
      </w:r>
      <w:r/>
    </w:p>
    <w:p>
      <w:pPr>
        <w:ind w:firstLine="525"/>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15951799162</w:t>
      </w:r>
      <w:r>
        <w:rPr>
          <w:rFonts w:hint="eastAsia" w:ascii="宋体" w:hAnsi="宋体" w:cs="宋体"/>
          <w:szCs w:val="21"/>
          <w:highlight w:val="none"/>
        </w:rPr>
        <w:t xml:space="preserve">、</w:t>
      </w:r>
      <w:r>
        <w:rPr>
          <w:rFonts w:hint="eastAsia" w:ascii="宋体" w:hAnsi="宋体" w:cs="宋体"/>
          <w:color w:val="000000"/>
          <w:szCs w:val="21"/>
          <w:highlight w:val="none"/>
        </w:rPr>
        <w:t xml:space="preserve">15605215397</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525"/>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项目联系人：</w:t>
      </w:r>
      <w:r>
        <w:rPr>
          <w:rFonts w:hint="eastAsia" w:ascii="宋体" w:hAnsi="宋体" w:cs="宋体"/>
          <w:szCs w:val="21"/>
          <w:highlight w:val="none"/>
          <w:lang w:val="en-US" w:eastAsia="zh-CN"/>
        </w:rPr>
        <w:t xml:space="preserve">史平华</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张璐</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15951799162</w:t>
      </w:r>
      <w:r>
        <w:rPr>
          <w:rFonts w:hint="eastAsia" w:ascii="宋体" w:hAnsi="宋体" w:cs="宋体"/>
          <w:szCs w:val="21"/>
          <w:highlight w:val="none"/>
        </w:rPr>
        <w:t xml:space="preserve">、</w:t>
      </w:r>
      <w:r>
        <w:rPr>
          <w:rFonts w:hint="eastAsia" w:ascii="宋体" w:hAnsi="宋体" w:cs="宋体"/>
          <w:color w:val="000000"/>
          <w:szCs w:val="21"/>
          <w:highlight w:val="none"/>
        </w:rPr>
        <w:t xml:space="preserve">15605215397</w:t>
      </w:r>
      <w:r/>
    </w:p>
    <w:p>
      <w:pPr>
        <w:rPr>
          <w:rFonts w:hint="eastAsia" w:ascii="宋体" w:hAnsi="宋体" w:cs="宋体"/>
          <w:szCs w:val="21"/>
          <w:highlight w:val="none"/>
        </w:rPr>
      </w:pPr>
      <w:r>
        <w:rPr>
          <w:rFonts w:hint="eastAsia" w:ascii="宋体" w:hAnsi="宋体" w:cs="宋体"/>
          <w:szCs w:val="21"/>
          <w:highlight w:val="none"/>
        </w:rPr>
        <w:br w:type="page" w:clear="all"/>
      </w:r>
      <w:bookmarkEnd w:id="5"/>
      <w:r/>
      <w:bookmarkEnd w:id="31"/>
      <w:r/>
      <w:r/>
    </w:p>
    <w:p>
      <w:pPr>
        <w:pStyle w:val="866"/>
        <w:rPr>
          <w:highlight w:val="none"/>
        </w:rPr>
      </w:pPr>
      <w:r>
        <w:rPr>
          <w:highlight w:val="none"/>
        </w:rPr>
      </w:r>
      <w:r/>
    </w:p>
    <w:p>
      <w:pPr>
        <w:pStyle w:val="895"/>
        <w:rPr>
          <w:rFonts w:hint="eastAsia" w:ascii="宋体" w:hAnsi="宋体" w:cs="宋体"/>
          <w:highlight w:val="none"/>
        </w:rPr>
      </w:pPr>
      <w:r/>
      <w:bookmarkStart w:id="32" w:name="_Toc107246212"/>
      <w:r>
        <w:rPr>
          <w:rFonts w:hint="eastAsia" w:ascii="宋体" w:hAnsi="宋体" w:cs="宋体"/>
          <w:highlight w:val="none"/>
        </w:rPr>
        <w:t xml:space="preserve">第二章  投标人须知</w:t>
      </w:r>
      <w:bookmarkEnd w:id="6"/>
      <w:r/>
      <w:bookmarkEnd w:id="32"/>
      <w:r/>
      <w:r/>
    </w:p>
    <w:p>
      <w:pPr>
        <w:ind w:firstLine="569"/>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投标人须知前附表</w:t>
      </w:r>
      <w:r/>
    </w:p>
    <w:p>
      <w:pPr>
        <w:ind w:firstLine="372"/>
        <w:jc w:val="center"/>
        <w:rPr>
          <w:rFonts w:hint="eastAsia" w:ascii="宋体" w:hAnsi="宋体" w:cs="宋体"/>
          <w:highlight w:val="none"/>
        </w:rPr>
      </w:pPr>
      <w:r>
        <w:rPr>
          <w:rFonts w:hint="eastAsia" w:ascii="宋体" w:hAnsi="宋体" w:cs="宋体"/>
          <w:highlight w:val="none"/>
        </w:rPr>
        <w:t xml:space="preserve">本表是对《投标人须知》正文的具体补充和修改，如有矛盾，以本《前附表》为准。</w:t>
      </w:r>
      <w:r/>
    </w:p>
    <w:p>
      <w:pPr>
        <w:ind w:firstLine="372"/>
        <w:jc w:val="center"/>
        <w:rPr>
          <w:rFonts w:hint="eastAsia" w:ascii="宋体" w:hAnsi="宋体" w:cs="宋体"/>
          <w:highlight w:val="none"/>
        </w:rPr>
      </w:pPr>
      <w:r>
        <w:rPr>
          <w:rFonts w:hint="eastAsia" w:ascii="宋体" w:hAnsi="宋体" w:cs="宋体"/>
          <w:highlight w:val="none"/>
        </w:rPr>
        <w:t xml:space="preserve">标记“</w:t>
      </w:r>
      <w:r>
        <w:rPr>
          <w:rFonts w:hint="eastAsia" w:ascii="宋体" w:hAnsi="宋体" w:cs="宋体"/>
          <w:b/>
          <w:sz w:val="24"/>
          <w:highlight w:val="none"/>
        </w:rPr>
        <w:t xml:space="preserve">■</w:t>
      </w:r>
      <w:r>
        <w:rPr>
          <w:rFonts w:hint="eastAsia" w:ascii="宋体" w:hAnsi="宋体" w:cs="宋体"/>
          <w:highlight w:val="none"/>
        </w:rPr>
        <w:t xml:space="preserve">”的选项意为适用于本项目，标记“□”的选项意为不适用于本项目。</w:t>
      </w:r>
      <w:r/>
    </w:p>
    <w:tbl>
      <w:tblPr>
        <w:tblStyle w:val="832"/>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18"/>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序号</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条款号</w:t>
            </w:r>
            <w:r/>
          </w:p>
        </w:tc>
        <w:tc>
          <w:tcPr>
            <w:tcW w:w="2835" w:type="dxa"/>
            <w:vAlign w:val="center"/>
            <w:textDirection w:val="lrTb"/>
            <w:noWrap w:val="false"/>
          </w:tcPr>
          <w:p>
            <w:pPr>
              <w:pStyle w:val="1118"/>
              <w:ind w:firstLine="373"/>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条款名称</w:t>
            </w:r>
            <w:r/>
          </w:p>
        </w:tc>
        <w:tc>
          <w:tcPr>
            <w:tcW w:w="4982" w:type="dxa"/>
            <w:vAlign w:val="center"/>
            <w:textDirection w:val="lrTb"/>
            <w:noWrap w:val="false"/>
          </w:tcPr>
          <w:p>
            <w:pPr>
              <w:pStyle w:val="1118"/>
              <w:ind w:firstLine="373"/>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采购人</w:t>
            </w:r>
            <w:r/>
          </w:p>
        </w:tc>
        <w:tc>
          <w:tcPr>
            <w:tcW w:w="4982" w:type="dxa"/>
            <w:vAlign w:val="center"/>
            <w:textDirection w:val="lrTb"/>
            <w:noWrap w:val="false"/>
          </w:tcPr>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名  称：</w:t>
            </w:r>
            <w:r>
              <w:rPr>
                <w:rFonts w:hint="eastAsia" w:eastAsia="宋体" w:cs="宋体"/>
                <w:sz w:val="21"/>
                <w:szCs w:val="21"/>
                <w:highlight w:val="none"/>
                <w:lang w:val="en-US" w:eastAsia="zh-CN" w:bidi="ar-SA"/>
              </w:rPr>
              <w:t xml:space="preserve">南京市江宁区卫生健康委员会</w:t>
            </w:r>
            <w:r/>
          </w:p>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  址：</w:t>
            </w:r>
            <w:r>
              <w:rPr>
                <w:rFonts w:hint="eastAsia" w:ascii="宋体" w:hAnsi="宋体" w:eastAsia="宋体" w:cs="宋体"/>
                <w:szCs w:val="21"/>
                <w:highlight w:val="none"/>
                <w:lang w:eastAsia="zh-CN"/>
              </w:rPr>
              <w:t xml:space="preserve">南京市江宁区上元大街397号</w:t>
            </w:r>
            <w:r/>
          </w:p>
          <w:p>
            <w:pPr>
              <w:pStyle w:val="1115"/>
              <w:jc w:val="left"/>
              <w:spacing w:before="160" w:line="276"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eastAsia="宋体" w:cs="宋体"/>
                <w:sz w:val="21"/>
                <w:szCs w:val="21"/>
                <w:highlight w:val="none"/>
                <w:lang w:val="en-US" w:eastAsia="zh-CN" w:bidi="ar-SA"/>
              </w:rPr>
              <w:t xml:space="preserve">钱惠</w:t>
            </w:r>
            <w:r/>
          </w:p>
          <w:p>
            <w:pPr>
              <w:pStyle w:val="1115"/>
              <w:jc w:val="left"/>
              <w:spacing w:before="160" w:line="276"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  话：</w:t>
            </w:r>
            <w:r>
              <w:rPr>
                <w:rFonts w:hint="eastAsia" w:eastAsia="宋体" w:cs="宋体"/>
                <w:sz w:val="21"/>
                <w:szCs w:val="21"/>
                <w:highlight w:val="none"/>
                <w:lang w:val="en-US" w:eastAsia="zh-CN" w:bidi="ar-SA"/>
              </w:rPr>
              <w:t xml:space="preserve">025-51191172</w:t>
            </w:r>
            <w:r/>
          </w:p>
        </w:tc>
      </w:tr>
      <w:tr>
        <w:trPr>
          <w:jc w:val="center"/>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采购代理机构</w:t>
            </w:r>
            <w:r/>
          </w:p>
        </w:tc>
        <w:tc>
          <w:tcPr>
            <w:tcW w:w="4982" w:type="dxa"/>
            <w:vAlign w:val="center"/>
            <w:textDirection w:val="lrTb"/>
            <w:noWrap w:val="false"/>
          </w:tcPr>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名 称：江苏省招标中心有限公司</w:t>
            </w:r>
            <w:r/>
          </w:p>
          <w:p>
            <w:pPr>
              <w:pStyle w:val="1115"/>
              <w:jc w:val="left"/>
              <w:spacing w:before="160" w:line="276" w:lineRule="auto"/>
              <w:widowControl w:val="off"/>
              <w:rPr>
                <w:rFonts w:hint="eastAsia" w:ascii="宋体" w:hAnsi="宋体" w:cs="宋体"/>
                <w:szCs w:val="21"/>
                <w:highlight w:val="none"/>
              </w:rPr>
            </w:pPr>
            <w:r>
              <w:rPr>
                <w:rFonts w:hint="eastAsia" w:ascii="宋体" w:hAnsi="宋体" w:eastAsia="宋体" w:cs="宋体"/>
                <w:sz w:val="21"/>
                <w:szCs w:val="21"/>
                <w:highlight w:val="none"/>
                <w:lang w:val="en-US" w:eastAsia="zh-CN" w:bidi="ar-SA"/>
              </w:rPr>
              <w:t xml:space="preserve">地 址：南京市雨花台区宁双路19号C栋3楼305室</w:t>
            </w:r>
            <w:r/>
          </w:p>
          <w:p>
            <w:pPr>
              <w:pStyle w:val="1115"/>
              <w:jc w:val="left"/>
              <w:spacing w:before="160" w:line="276"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联系人：史平华、张璐、黄锡芳</w:t>
            </w:r>
            <w:r/>
          </w:p>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联系方式：15951799162、15605215397</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w:t>
            </w:r>
            <w:r>
              <w:rPr>
                <w:rFonts w:hint="eastAsia" w:ascii="宋体" w:hAnsi="宋体" w:eastAsia="宋体" w:cs="宋体"/>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■组织。</w:t>
            </w:r>
            <w:r/>
          </w:p>
          <w:p>
            <w:pPr>
              <w:pStyle w:val="866"/>
              <w:keepLines w:val="0"/>
              <w:keepNext w:val="0"/>
              <w:pageBreakBefore w:val="0"/>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本次服务涉及25家单位，采购人不集中组织勘察现场，各潜在供应商自行踏勘现场。</w:t>
            </w:r>
            <w:r/>
          </w:p>
          <w:p>
            <w:pPr>
              <w:pStyle w:val="866"/>
              <w:keepLines w:val="0"/>
              <w:keepNext w:val="0"/>
              <w:pageBreakBefore w:val="0"/>
              <w:spacing w:after="0" w:line="360" w:lineRule="auto"/>
              <w:widowControl w:val="off"/>
              <w:rPr>
                <w:rFonts w:hint="eastAsia" w:ascii="宋体" w:hAnsi="宋体" w:eastAsia="宋体" w:cs="宋体"/>
                <w:bCs/>
                <w:sz w:val="21"/>
                <w:szCs w:val="21"/>
                <w:highlight w:val="none"/>
                <w:lang w:val="en-US" w:eastAsia="zh-CN" w:bidi="ar-SA"/>
              </w:rPr>
            </w:pPr>
            <w:r>
              <w:rPr>
                <w:rFonts w:hint="eastAsia" w:cs="宋体"/>
                <w:sz w:val="21"/>
                <w:szCs w:val="21"/>
                <w:highlight w:val="none"/>
                <w:lang w:val="en-US" w:eastAsia="zh-CN"/>
              </w:rPr>
              <w:t xml:space="preserve">各潜在供应商应认真踏勘现场，中标</w:t>
            </w:r>
            <w:r>
              <w:rPr>
                <w:rFonts w:hint="eastAsia" w:cs="宋体"/>
                <w:sz w:val="21"/>
                <w:szCs w:val="21"/>
                <w:highlight w:val="none"/>
              </w:rPr>
              <w:t xml:space="preserve">后不得以不了解现场为由而提出索赔。</w:t>
            </w:r>
            <w:r>
              <w:rPr>
                <w:rFonts w:hint="eastAsia" w:ascii="宋体" w:hAnsi="宋体" w:eastAsia="宋体" w:cs="宋体"/>
                <w:color w:val="000000"/>
                <w:sz w:val="21"/>
                <w:szCs w:val="21"/>
                <w:highlight w:val="none"/>
              </w:rPr>
              <w:t xml:space="preserve">勘察现场所发生的费用由供应商自行承担</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25家单位勘察现场联系方式详见文件附件。</w:t>
            </w:r>
            <w:r/>
          </w:p>
          <w:p>
            <w:pPr>
              <w:jc w:val="both"/>
              <w:keepLines w:val="0"/>
              <w:keepNext w:val="0"/>
              <w:pageBreakBefore w:val="0"/>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请各潜在供应商参加现场勘察人员携带授权委托书原件（格式自拟）进行现场勘察。</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样品</w:t>
            </w:r>
            <w:r/>
          </w:p>
        </w:tc>
        <w:tc>
          <w:tcPr>
            <w:tcW w:w="4982" w:type="dxa"/>
            <w:vAlign w:val="center"/>
            <w:textDirection w:val="lrTb"/>
            <w:noWrap w:val="false"/>
          </w:tcPr>
          <w:p>
            <w:pPr>
              <w:pStyle w:val="866"/>
              <w:jc w:val="both"/>
              <w:spacing w:after="120"/>
              <w:widowControl w:val="off"/>
              <w:rPr>
                <w:rFonts w:ascii="Times New Roman" w:hAnsi="Times New Roman" w:eastAsia="宋体" w:cs="Times New Roman"/>
                <w:sz w:val="21"/>
                <w:szCs w:val="24"/>
                <w:highlight w:val="none"/>
                <w:lang w:val="en-US" w:eastAsia="zh-CN" w:bidi="ar-SA"/>
              </w:rPr>
            </w:pPr>
            <w:r>
              <w:rPr>
                <w:rFonts w:hint="eastAsia" w:ascii="宋体" w:hAnsi="宋体" w:eastAsia="宋体" w:cs="宋体"/>
                <w:bCs/>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w:t>
            </w:r>
            <w:r>
              <w:rPr>
                <w:rFonts w:hint="eastAsia" w:ascii="宋体" w:hAnsi="宋体" w:eastAsia="宋体" w:cs="宋体"/>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14.2</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w:t>
            </w:r>
            <w:r>
              <w:rPr>
                <w:rFonts w:hint="eastAsia" w:ascii="宋体" w:hAnsi="宋体" w:eastAsia="宋体" w:cs="宋体"/>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20.5</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b/>
                <w:sz w:val="21"/>
                <w:szCs w:val="21"/>
                <w:highlight w:val="none"/>
                <w:lang w:val="en-US" w:eastAsia="zh-CN" w:bidi="ar-SA"/>
              </w:rPr>
            </w:pPr>
            <w:r>
              <w:rPr>
                <w:rFonts w:hint="eastAsia" w:ascii="华文仿宋" w:hAnsi="华文仿宋" w:eastAsia="华文仿宋" w:cs="华文仿宋"/>
                <w:b/>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投标报价</w:t>
            </w:r>
            <w:r/>
          </w:p>
        </w:tc>
        <w:tc>
          <w:tcPr>
            <w:tcW w:w="4982" w:type="dxa"/>
            <w:vAlign w:val="center"/>
            <w:textDirection w:val="lrTb"/>
            <w:noWrap w:val="false"/>
          </w:tcPr>
          <w:p>
            <w:pPr>
              <w:pStyle w:val="1129"/>
              <w:contextualSpacing/>
              <w:ind w:firstLine="0"/>
              <w:jc w:val="left"/>
              <w:spacing w:line="360" w:lineRule="auto"/>
              <w:widowControl w:val="off"/>
              <w:rPr>
                <w:rFonts w:hint="eastAsia" w:ascii="Times New Roman" w:hAnsi="宋体" w:eastAsia="宋体" w:cs="宋体"/>
                <w:b/>
                <w:sz w:val="21"/>
                <w:szCs w:val="24"/>
                <w:highlight w:val="none"/>
                <w:lang w:val="en-US" w:eastAsia="zh-CN" w:bidi="ar-SA"/>
              </w:rPr>
            </w:pPr>
            <w:r>
              <w:rPr>
                <w:rFonts w:hint="eastAsia" w:ascii="Times New Roman" w:hAnsi="宋体" w:eastAsia="宋体" w:cs="宋体"/>
                <w:b/>
                <w:sz w:val="21"/>
                <w:szCs w:val="24"/>
                <w:highlight w:val="none"/>
                <w:lang w:val="en-US" w:eastAsia="zh-CN" w:bidi="ar-SA"/>
              </w:rPr>
              <w:t xml:space="preserve">投标报价的其他要求：本次报价包括污水处理托管运营所需的人工、材料（消毒剂、活性炭、安全防护用品等）、清淤（废机油、废活性炭等危废物处理费）、疏通（及时清理格栅和沉淀池、污泥池污泥，污水处理池不得漫溢，漂浮物、污泥等须按照环保要求妥善处置）、维修保养（</w:t>
            </w:r>
            <w:r>
              <w:rPr>
                <w:rFonts w:hint="eastAsia" w:hAnsi="宋体" w:cs="宋体"/>
                <w:b/>
                <w:sz w:val="21"/>
                <w:szCs w:val="24"/>
                <w:highlight w:val="none"/>
                <w:lang w:val="en-US" w:eastAsia="zh-CN" w:bidi="ar-SA"/>
              </w:rPr>
              <w:t xml:space="preserve">5</w:t>
            </w:r>
            <w:r>
              <w:rPr>
                <w:rFonts w:hint="eastAsia" w:ascii="Times New Roman" w:hAnsi="宋体" w:eastAsia="宋体" w:cs="宋体"/>
                <w:b/>
                <w:sz w:val="21"/>
                <w:szCs w:val="24"/>
                <w:highlight w:val="none"/>
                <w:lang w:val="en-US" w:eastAsia="zh-CN" w:bidi="ar-SA"/>
              </w:rPr>
              <w:t xml:space="preserve">000元以下的设备、零件、备配件等更换由中标单位承担，</w:t>
            </w:r>
            <w:r>
              <w:rPr>
                <w:rFonts w:hint="eastAsia" w:hAnsi="宋体" w:cs="宋体"/>
                <w:b/>
                <w:sz w:val="21"/>
                <w:szCs w:val="24"/>
                <w:highlight w:val="none"/>
                <w:lang w:val="en-US" w:eastAsia="zh-CN" w:bidi="ar-SA"/>
              </w:rPr>
              <w:t xml:space="preserve">5</w:t>
            </w:r>
            <w:r>
              <w:rPr>
                <w:rFonts w:hint="eastAsia" w:ascii="Times New Roman" w:hAnsi="宋体" w:eastAsia="宋体" w:cs="宋体"/>
                <w:b/>
                <w:sz w:val="21"/>
                <w:szCs w:val="24"/>
                <w:highlight w:val="none"/>
                <w:lang w:val="en-US" w:eastAsia="zh-CN" w:bidi="ar-SA"/>
              </w:rPr>
              <w:t xml:space="preserve">000元以上需提出申请由甲方采购或者经甲方同意由运维单位采购更换）、设备更新，管理成本、安全防护、税金、各类风险因素等所有一切可能发生的费用。所有的缺项、漏项视为供应商优惠，合同执行时不予调整。</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投标有效期</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23.1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投标文件份数</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Cs/>
                <w:sz w:val="20"/>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17</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24.1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18</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25.1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28.1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开标时间、地点</w:t>
            </w:r>
            <w:r/>
          </w:p>
        </w:tc>
        <w:tc>
          <w:tcPr>
            <w:tcW w:w="4982"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29.2.1</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信用查询</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30.1.1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评标委员会</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30.5.3</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核心产品</w:t>
            </w:r>
            <w:r>
              <w:rPr>
                <w:rFonts w:hint="eastAsia" w:ascii="宋体" w:hAnsi="宋体" w:eastAsia="宋体" w:cs="宋体"/>
                <w:sz w:val="21"/>
                <w:szCs w:val="21"/>
                <w:highlight w:val="none"/>
                <w:lang w:val="en-US" w:eastAsia="zh-CN" w:bidi="ar-SA"/>
              </w:rPr>
              <w:tab/>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■服务类，本项目不涉及核心产品。</w:t>
            </w:r>
            <w:r/>
          </w:p>
        </w:tc>
      </w:tr>
      <w:tr>
        <w:trPr>
          <w:jc w:val="center"/>
          <w:trHeight w:val="922"/>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23</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31.3</w:t>
            </w:r>
            <w:r/>
          </w:p>
        </w:tc>
        <w:tc>
          <w:tcPr>
            <w:tcW w:w="2835" w:type="dxa"/>
            <w:vAlign w:val="center"/>
            <w:textDirection w:val="lrTb"/>
            <w:noWrap w:val="false"/>
          </w:tcPr>
          <w:p>
            <w:pPr>
              <w:pStyle w:val="1118"/>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24</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31.4</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公告媒体</w:t>
            </w:r>
            <w:r/>
          </w:p>
        </w:tc>
        <w:tc>
          <w:tcPr>
            <w:tcW w:w="4982" w:type="dxa"/>
            <w:vAlign w:val="center"/>
            <w:textDirection w:val="lrTb"/>
            <w:noWrap w:val="false"/>
          </w:tcPr>
          <w:p>
            <w:pPr>
              <w:pStyle w:val="1118"/>
              <w:jc w:val="left"/>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25</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35.1</w:t>
            </w:r>
            <w:r/>
          </w:p>
        </w:tc>
        <w:tc>
          <w:tcPr>
            <w:tcW w:w="283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履约保证金</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w:t>
            </w:r>
            <w:r>
              <w:rPr>
                <w:rFonts w:hint="eastAsia" w:hAnsi="宋体" w:eastAsia="宋体" w:cs="宋体"/>
                <w:bCs/>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26</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供应商对采购文件的</w:t>
            </w:r>
            <w:r>
              <w:rPr>
                <w:rFonts w:hint="eastAsia" w:ascii="Times New Roman" w:hAnsi="宋体" w:eastAsia="宋体" w:cs="宋体"/>
                <w:sz w:val="21"/>
                <w:szCs w:val="24"/>
                <w:highlight w:val="none"/>
                <w:lang w:val="en-US" w:eastAsia="zh-CN" w:bidi="ar-SA"/>
              </w:rPr>
              <w:t xml:space="preserve">询问</w:t>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时间：递交投标文件截止时间前15日。</w:t>
            </w:r>
            <w:r/>
          </w:p>
          <w:p>
            <w:pPr>
              <w:pStyle w:val="873"/>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形式：以书面形式（盖章扫描件及WPS兼容格式文件发至</w:t>
            </w:r>
            <w:r>
              <w:rPr>
                <w:rFonts w:hint="eastAsia" w:hAnsi="宋体" w:eastAsia="宋体" w:cs="宋体"/>
                <w:bCs/>
                <w:sz w:val="21"/>
                <w:szCs w:val="21"/>
                <w:highlight w:val="none"/>
                <w:u w:val="single"/>
                <w:lang w:val="en-US" w:eastAsia="zh-CN" w:bidi="ar-SA"/>
              </w:rPr>
              <w:t xml:space="preserve">296963515@qq.com</w:t>
            </w:r>
            <w:r>
              <w:rPr>
                <w:rFonts w:hint="eastAsia" w:ascii="宋体" w:hAnsi="宋体" w:eastAsia="宋体" w:cs="宋体"/>
                <w:bCs/>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27</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质疑</w:t>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sz w:val="21"/>
                <w:szCs w:val="21"/>
                <w:highlight w:val="none"/>
                <w:lang w:val="en-US" w:eastAsia="zh-CN" w:bidi="ar-SA"/>
              </w:rPr>
              <w:t xml:space="preserve">296963515@qq.com</w:t>
            </w:r>
            <w:r>
              <w:rPr>
                <w:rFonts w:hint="eastAsia" w:ascii="宋体" w:hAnsi="宋体" w:eastAsia="宋体" w:cs="宋体"/>
                <w:bCs/>
                <w:sz w:val="21"/>
                <w:szCs w:val="21"/>
                <w:highlight w:val="none"/>
                <w:lang w:val="en-US" w:eastAsia="zh-CN" w:bidi="ar-SA"/>
              </w:rPr>
              <w:t xml:space="preserve">邮箱）通知，采购代理机构将以邮件形式进行答复。</w:t>
            </w:r>
            <w:r/>
          </w:p>
        </w:tc>
      </w:tr>
      <w:tr>
        <w:trPr>
          <w:jc w:val="center"/>
          <w:trHeight w:val="3394"/>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28</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38.1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招标代理服务费</w:t>
            </w:r>
            <w:r/>
          </w:p>
        </w:tc>
        <w:tc>
          <w:tcPr>
            <w:tcW w:w="4982" w:type="dxa"/>
            <w:vAlign w:val="center"/>
            <w:textDirection w:val="lrTb"/>
            <w:noWrap w:val="false"/>
          </w:tcPr>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本项目预算已包含代理服务费。</w:t>
            </w:r>
            <w:r>
              <w:rPr>
                <w:rFonts w:hint="eastAsia" w:ascii="Times New Roman" w:hAnsi="Times New Roman" w:eastAsia="宋体" w:cs="Microsoft New Tai Lue"/>
                <w:bCs/>
                <w:highlight w:val="none"/>
              </w:rPr>
              <w:t xml:space="preserve">根据采购人与采购代理机构的委托代理协议，代理服务费由</w:t>
            </w:r>
            <w:r>
              <w:rPr>
                <w:rFonts w:hint="eastAsia" w:ascii="Times New Roman" w:hAnsi="Times New Roman" w:cs="Microsoft New Tai Lue"/>
                <w:bCs/>
                <w:highlight w:val="none"/>
                <w:lang w:val="en-US" w:eastAsia="zh-CN"/>
              </w:rPr>
              <w:t xml:space="preserve">成交供应商</w:t>
            </w:r>
            <w:r>
              <w:rPr>
                <w:rFonts w:hint="eastAsia" w:ascii="Times New Roman" w:hAnsi="Times New Roman" w:eastAsia="宋体" w:cs="Microsoft New Tai Lue"/>
                <w:bCs/>
                <w:highlight w:val="none"/>
              </w:rPr>
              <w:t xml:space="preserve">支付。供应商报价应当包含代理服务费，该费用不单独计列，由供应商综合考虑并计入</w:t>
            </w:r>
            <w:r>
              <w:rPr>
                <w:rFonts w:hint="eastAsia" w:ascii="Times New Roman" w:hAnsi="Times New Roman" w:eastAsia="宋体" w:cs="Microsoft New Tai Lue"/>
                <w:bCs/>
                <w:highlight w:val="none"/>
                <w:lang w:val="en-US" w:eastAsia="zh-CN"/>
              </w:rPr>
              <w:t xml:space="preserve">响应</w:t>
            </w:r>
            <w:r>
              <w:rPr>
                <w:rFonts w:hint="eastAsia" w:ascii="Times New Roman" w:hAnsi="Times New Roman" w:eastAsia="宋体" w:cs="Microsoft New Tai Lue"/>
                <w:bCs/>
                <w:highlight w:val="none"/>
              </w:rPr>
              <w:t xml:space="preserve">总价。</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hAnsi="宋体" w:cs="Microsoft New Tai Lue"/>
                <w:bCs/>
                <w:sz w:val="21"/>
                <w:szCs w:val="21"/>
                <w:highlight w:val="none"/>
                <w:lang w:val="en-US" w:eastAsia="zh-CN"/>
              </w:rPr>
              <w:t xml:space="preserve">本项目代理服务费按计价格【2002】1980号文服务类的55%计取。</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中标</w:t>
            </w:r>
            <w:r>
              <w:rPr>
                <w:rFonts w:hint="eastAsia" w:ascii="Times New Roman" w:hAnsi="Times New Roman" w:eastAsia="宋体" w:cs="Microsoft New Tai Lue"/>
                <w:bCs/>
                <w:highlight w:val="none"/>
              </w:rPr>
              <w:t xml:space="preserve">供应商在领取</w:t>
            </w:r>
            <w:r>
              <w:rPr>
                <w:rFonts w:hint="eastAsia" w:ascii="Times New Roman" w:hAnsi="Times New Roman" w:eastAsia="宋体" w:cs="Microsoft New Tai Lue"/>
                <w:bCs/>
                <w:highlight w:val="none"/>
                <w:lang w:val="en-US" w:eastAsia="zh-CN"/>
              </w:rPr>
              <w:t xml:space="preserve">成交</w:t>
            </w:r>
            <w:r>
              <w:rPr>
                <w:rFonts w:hint="eastAsia" w:ascii="Times New Roman" w:hAnsi="Times New Roman" w:eastAsia="宋体" w:cs="Microsoft New Tai Lue"/>
                <w:bCs/>
                <w:highlight w:val="none"/>
              </w:rPr>
              <w:t xml:space="preserve">通知书前，一次性向采购代理机构支付。</w:t>
            </w:r>
            <w:r>
              <w:rPr>
                <w:rFonts w:hint="eastAsia" w:hAnsi="宋体" w:cs="Microsoft New Tai Lue"/>
                <w:bCs/>
                <w:sz w:val="21"/>
                <w:szCs w:val="21"/>
                <w:highlight w:val="none"/>
              </w:rPr>
              <w:t xml:space="preserve">采购代理机构在收到</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服务费后向</w:t>
            </w:r>
            <w:r>
              <w:rPr>
                <w:rFonts w:hint="eastAsia" w:hAnsi="宋体" w:cs="Microsoft New Tai Lue"/>
                <w:bCs/>
                <w:sz w:val="21"/>
                <w:szCs w:val="21"/>
                <w:highlight w:val="none"/>
                <w:lang w:val="en-US" w:eastAsia="zh-CN"/>
              </w:rPr>
              <w:t xml:space="preserve">成交供应商</w:t>
            </w:r>
            <w:r>
              <w:rPr>
                <w:rFonts w:hint="eastAsia" w:hAnsi="宋体" w:cs="Microsoft New Tai Lue"/>
                <w:bCs/>
                <w:sz w:val="21"/>
                <w:szCs w:val="21"/>
                <w:highlight w:val="none"/>
              </w:rPr>
              <w:t xml:space="preserve">开具等额的</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服务费发票</w:t>
            </w:r>
            <w:r>
              <w:rPr>
                <w:rFonts w:hint="eastAsia" w:hAnsi="宋体" w:cs="Microsoft New Tai Lue"/>
                <w:bCs/>
                <w:sz w:val="21"/>
                <w:szCs w:val="21"/>
                <w:highlight w:val="none"/>
                <w:lang w:eastAsia="zh-CN"/>
              </w:rPr>
              <w:t xml:space="preserve">。</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873"/>
              <w:jc w:val="both"/>
              <w:spacing w:line="360" w:lineRule="auto"/>
              <w:widowControl w:val="off"/>
              <w:rPr>
                <w:rFonts w:ascii="宋体" w:hAnsi="宋体" w:eastAsia="宋体" w:cs="宋体"/>
                <w:bCs/>
                <w:sz w:val="21"/>
                <w:szCs w:val="21"/>
                <w:highlight w:val="none"/>
                <w:lang w:val="en-US" w:eastAsia="zh-CN" w:bidi="ar-SA"/>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675" w:type="dxa"/>
            <w:vAlign w:val="center"/>
            <w:vMerge w:val="restart"/>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w:t>
            </w:r>
            <w:r/>
          </w:p>
        </w:tc>
        <w:tc>
          <w:tcPr>
            <w:tcW w:w="850" w:type="dxa"/>
            <w:vAlign w:val="center"/>
            <w:vMerge w:val="restart"/>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39.1</w:t>
            </w:r>
            <w:r/>
          </w:p>
        </w:tc>
        <w:tc>
          <w:tcPr>
            <w:tcW w:w="2835" w:type="dxa"/>
            <w:vAlign w:val="center"/>
            <w:vMerge w:val="restart"/>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其他规定</w:t>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0"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35" w:type="dxa"/>
            <w:vAlign w:val="center"/>
            <w:vMerge w:val="continue"/>
            <w:textDirection w:val="lrTb"/>
            <w:noWrap w:val="false"/>
          </w:tcPr>
          <w:p>
            <w:pPr>
              <w:pStyle w:val="1118"/>
              <w:ind w:firstLine="372"/>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标的对应的中小企业划分标准所属行业：其他未列明行业</w:t>
            </w:r>
            <w:r/>
          </w:p>
        </w:tc>
      </w:tr>
      <w:tr>
        <w:trPr>
          <w:jc w:val="center"/>
          <w:trHeight w:val="656"/>
        </w:trPr>
        <w:tc>
          <w:tcPr>
            <w:tcW w:w="675"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0"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35" w:type="dxa"/>
            <w:vAlign w:val="center"/>
            <w:vMerge w:val="continue"/>
            <w:textDirection w:val="lrTb"/>
            <w:noWrap w:val="false"/>
          </w:tcPr>
          <w:p>
            <w:pPr>
              <w:pStyle w:val="1118"/>
              <w:ind w:firstLine="372"/>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其他规定：</w:t>
            </w:r>
            <w:r>
              <w:rPr>
                <w:rFonts w:hint="eastAsia" w:ascii="宋体" w:hAnsi="宋体" w:eastAsia="宋体" w:cs="宋体"/>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highlight w:val="none"/>
        </w:rPr>
      </w:pPr>
      <w:r>
        <w:rPr>
          <w:rFonts w:hint="eastAsia" w:ascii="宋体" w:hAnsi="宋体" w:cs="宋体"/>
          <w:highlight w:val="none"/>
        </w:rPr>
      </w:r>
      <w:r/>
    </w:p>
    <w:p>
      <w:pPr>
        <w:pStyle w:val="873"/>
        <w:ind w:firstLine="1633"/>
        <w:spacing w:line="360" w:lineRule="auto"/>
        <w:rPr>
          <w:rFonts w:hint="eastAsia" w:hAnsi="宋体" w:cs="宋体"/>
          <w:b/>
          <w:bCs/>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spacing w:val="100"/>
          <w:sz w:val="72"/>
          <w:highlight w:val="none"/>
        </w:rPr>
      </w:r>
      <w:r/>
    </w:p>
    <w:p>
      <w:pPr>
        <w:pStyle w:val="895"/>
        <w:ind w:firstLine="569"/>
        <w:rPr>
          <w:rFonts w:hint="eastAsia" w:ascii="宋体" w:hAnsi="宋体" w:cs="宋体"/>
          <w:highlight w:val="none"/>
        </w:rPr>
      </w:pPr>
      <w:r/>
      <w:bookmarkStart w:id="33" w:name="_Toc103848526"/>
      <w:r/>
      <w:bookmarkStart w:id="34" w:name="_Toc104560837"/>
      <w:r/>
      <w:bookmarkStart w:id="35" w:name="_Toc100905199"/>
      <w:r/>
      <w:bookmarkStart w:id="36" w:name="_Toc107246213"/>
      <w:r>
        <w:rPr>
          <w:rFonts w:hint="eastAsia" w:ascii="宋体" w:hAnsi="宋体" w:cs="宋体"/>
          <w:highlight w:val="none"/>
        </w:rPr>
        <w:t xml:space="preserve">投标人须知</w:t>
      </w:r>
      <w:bookmarkEnd w:id="33"/>
      <w:r/>
      <w:bookmarkEnd w:id="34"/>
      <w:r/>
      <w:bookmarkEnd w:id="35"/>
      <w:r/>
      <w:bookmarkEnd w:id="36"/>
      <w:r/>
      <w:r/>
    </w:p>
    <w:p>
      <w:pPr>
        <w:pStyle w:val="822"/>
        <w:ind w:left="0" w:right="210" w:firstLine="373"/>
        <w:spacing w:line="360" w:lineRule="auto"/>
        <w:rPr>
          <w:rFonts w:hint="eastAsia" w:ascii="宋体" w:hAnsi="宋体" w:cs="宋体"/>
          <w:highlight w:val="none"/>
        </w:rPr>
      </w:pPr>
      <w:r/>
      <w:bookmarkStart w:id="37" w:name="_Toc80264706"/>
      <w:r/>
      <w:bookmarkStart w:id="38" w:name="_Toc107246214"/>
      <w:r>
        <w:rPr>
          <w:rFonts w:hint="eastAsia" w:ascii="宋体" w:hAnsi="宋体" w:cs="宋体"/>
          <w:highlight w:val="none"/>
        </w:rPr>
        <w:t xml:space="preserve">一．</w:t>
      </w:r>
      <w:bookmarkEnd w:id="37"/>
      <w:r>
        <w:rPr>
          <w:rFonts w:hint="eastAsia" w:ascii="宋体" w:hAnsi="宋体" w:cs="宋体"/>
          <w:highlight w:val="none"/>
        </w:rPr>
        <w:t xml:space="preserve">总则</w:t>
      </w:r>
      <w:bookmarkEnd w:id="38"/>
      <w:r/>
      <w:r/>
    </w:p>
    <w:p>
      <w:pPr>
        <w:pStyle w:val="822"/>
        <w:ind w:left="0" w:right="210" w:firstLine="373"/>
        <w:spacing w:line="360" w:lineRule="auto"/>
        <w:rPr>
          <w:rFonts w:hint="eastAsia" w:ascii="宋体" w:hAnsi="宋体" w:cs="宋体"/>
          <w:highlight w:val="none"/>
        </w:rPr>
      </w:pPr>
      <w:r/>
      <w:bookmarkStart w:id="39" w:name="_Toc103848528"/>
      <w:r/>
      <w:bookmarkStart w:id="40" w:name="_Toc96347862"/>
      <w:r/>
      <w:bookmarkStart w:id="41" w:name="_Toc100905201"/>
      <w:r/>
      <w:bookmarkStart w:id="42" w:name="_Toc104560839"/>
      <w:r/>
      <w:bookmarkStart w:id="43" w:name="_Toc107246215"/>
      <w:r>
        <w:rPr>
          <w:rFonts w:hint="eastAsia" w:ascii="宋体" w:hAnsi="宋体" w:cs="宋体"/>
          <w:highlight w:val="none"/>
        </w:rPr>
        <w:t xml:space="preserve">1.采购方式</w:t>
      </w:r>
      <w:bookmarkEnd w:id="39"/>
      <w:r/>
      <w:bookmarkEnd w:id="40"/>
      <w:r/>
      <w:bookmarkEnd w:id="41"/>
      <w:r/>
      <w:bookmarkEnd w:id="42"/>
      <w:r/>
      <w:bookmarkEnd w:id="4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p>
    <w:p>
      <w:pPr>
        <w:pStyle w:val="822"/>
        <w:ind w:left="0" w:right="210" w:firstLine="373"/>
        <w:spacing w:line="360" w:lineRule="auto"/>
        <w:rPr>
          <w:rFonts w:hint="eastAsia" w:ascii="宋体" w:hAnsi="宋体" w:cs="宋体"/>
          <w:highlight w:val="none"/>
        </w:rPr>
      </w:pPr>
      <w:r/>
      <w:bookmarkStart w:id="44" w:name="_Toc96347863"/>
      <w:r/>
      <w:bookmarkStart w:id="45" w:name="_Toc104560840"/>
      <w:r/>
      <w:bookmarkStart w:id="46" w:name="_Toc107246216"/>
      <w:r/>
      <w:bookmarkStart w:id="47" w:name="_Toc100905202"/>
      <w:r/>
      <w:bookmarkStart w:id="48" w:name="_Toc103848529"/>
      <w:r>
        <w:rPr>
          <w:rFonts w:hint="eastAsia" w:ascii="宋体" w:hAnsi="宋体" w:cs="宋体"/>
          <w:highlight w:val="none"/>
        </w:rPr>
        <w:t xml:space="preserve">2.定义</w:t>
      </w:r>
      <w:bookmarkEnd w:id="44"/>
      <w:r/>
      <w:bookmarkEnd w:id="45"/>
      <w:r/>
      <w:bookmarkEnd w:id="46"/>
      <w:r/>
      <w:bookmarkEnd w:id="47"/>
      <w:r/>
      <w:bookmarkEnd w:id="4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822"/>
        <w:ind w:left="0" w:right="210" w:firstLine="373"/>
        <w:spacing w:line="360" w:lineRule="auto"/>
        <w:rPr>
          <w:rFonts w:hint="eastAsia" w:ascii="宋体" w:hAnsi="宋体" w:cs="宋体"/>
          <w:highlight w:val="none"/>
        </w:rPr>
      </w:pPr>
      <w:r/>
      <w:bookmarkStart w:id="49" w:name="_Toc96347864"/>
      <w:r/>
      <w:bookmarkStart w:id="50" w:name="_Toc107246217"/>
      <w:r/>
      <w:bookmarkStart w:id="51" w:name="_Toc100905203"/>
      <w:r/>
      <w:bookmarkStart w:id="52" w:name="_Toc103848530"/>
      <w:r/>
      <w:bookmarkStart w:id="53" w:name="_Toc104560841"/>
      <w:r>
        <w:rPr>
          <w:rFonts w:hint="eastAsia" w:ascii="宋体" w:hAnsi="宋体" w:cs="宋体"/>
          <w:highlight w:val="none"/>
        </w:rPr>
        <w:t xml:space="preserve">3.适用法律</w:t>
      </w:r>
      <w:bookmarkEnd w:id="49"/>
      <w:r/>
      <w:bookmarkEnd w:id="50"/>
      <w:r/>
      <w:bookmarkEnd w:id="51"/>
      <w:r/>
      <w:bookmarkEnd w:id="52"/>
      <w:r/>
      <w:bookmarkEnd w:id="53"/>
      <w:r/>
      <w:r/>
    </w:p>
    <w:p>
      <w:pPr>
        <w:ind w:firstLine="420"/>
        <w:spacing w:line="360" w:lineRule="auto"/>
        <w:rPr>
          <w:rFonts w:hint="eastAsia" w:ascii="宋体" w:hAnsi="宋体" w:cs="宋体"/>
          <w:szCs w:val="21"/>
          <w:highlight w:val="none"/>
        </w:rPr>
      </w:pPr>
      <w:r/>
      <w:bookmarkStart w:id="54"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2"/>
        <w:ind w:left="0" w:right="210" w:firstLine="373"/>
        <w:spacing w:line="360" w:lineRule="auto"/>
        <w:rPr>
          <w:rFonts w:hint="eastAsia" w:ascii="宋体" w:hAnsi="宋体" w:cs="宋体"/>
          <w:highlight w:val="none"/>
        </w:rPr>
      </w:pPr>
      <w:r/>
      <w:bookmarkStart w:id="55" w:name="_Toc103848531"/>
      <w:r/>
      <w:bookmarkStart w:id="56" w:name="_Toc104560842"/>
      <w:r/>
      <w:bookmarkStart w:id="57" w:name="_Toc107246218"/>
      <w:r>
        <w:rPr>
          <w:rFonts w:hint="eastAsia" w:ascii="宋体" w:hAnsi="宋体" w:cs="宋体"/>
          <w:highlight w:val="none"/>
        </w:rPr>
        <w:t xml:space="preserve">4.</w:t>
      </w:r>
      <w:bookmarkEnd w:id="55"/>
      <w:r>
        <w:rPr>
          <w:rFonts w:hint="eastAsia" w:ascii="宋体" w:hAnsi="宋体" w:cs="宋体"/>
          <w:highlight w:val="none"/>
        </w:rPr>
        <w:t xml:space="preserve">政府采购政策（包括但不限于下列具体政策要求）</w:t>
      </w:r>
      <w:bookmarkEnd w:id="56"/>
      <w:r/>
      <w:bookmarkEnd w:id="57"/>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4.1.1中小企业定义：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4.1.1.1中小企业是</w:t>
      </w:r>
      <w:r>
        <w:rPr>
          <w:rFonts w:hint="eastAsia" w:ascii="宋体" w:hAnsi="宋体"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4.3信息安全产品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4.4未按要求提供相关材料的，不享受相关政策。</w:t>
      </w:r>
      <w:bookmarkEnd w:id="54"/>
      <w:r/>
      <w:r/>
    </w:p>
    <w:p>
      <w:pPr>
        <w:pStyle w:val="822"/>
        <w:ind w:left="0" w:right="210" w:firstLine="373"/>
        <w:spacing w:line="360" w:lineRule="auto"/>
        <w:rPr>
          <w:rFonts w:hint="eastAsia" w:ascii="宋体" w:hAnsi="宋体" w:cs="宋体"/>
          <w:highlight w:val="none"/>
        </w:rPr>
      </w:pPr>
      <w:r/>
      <w:bookmarkStart w:id="58" w:name="_Toc100905205"/>
      <w:r/>
      <w:bookmarkStart w:id="59" w:name="_Toc107246219"/>
      <w:r/>
      <w:bookmarkStart w:id="60" w:name="_Toc96347865"/>
      <w:r/>
      <w:bookmarkStart w:id="61" w:name="_Toc103848532"/>
      <w:r/>
      <w:bookmarkStart w:id="62" w:name="_Toc104560843"/>
      <w:r>
        <w:rPr>
          <w:rFonts w:hint="eastAsia" w:ascii="宋体" w:hAnsi="宋体" w:cs="宋体"/>
          <w:highlight w:val="none"/>
        </w:rPr>
        <w:t xml:space="preserve">5.相关费用</w:t>
      </w:r>
      <w:bookmarkEnd w:id="58"/>
      <w:r/>
      <w:bookmarkEnd w:id="59"/>
      <w:r/>
      <w:bookmarkEnd w:id="60"/>
      <w:r/>
      <w:bookmarkEnd w:id="61"/>
      <w:r/>
      <w:bookmarkEnd w:id="6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w:t>
      </w:r>
      <w:bookmarkStart w:id="63"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22"/>
        <w:ind w:left="0" w:right="210" w:firstLine="373"/>
        <w:spacing w:line="360" w:lineRule="auto"/>
        <w:rPr>
          <w:rFonts w:hint="eastAsia" w:ascii="宋体" w:hAnsi="宋体" w:cs="宋体"/>
          <w:highlight w:val="none"/>
        </w:rPr>
      </w:pPr>
      <w:r/>
      <w:bookmarkStart w:id="64" w:name="_Toc104560844"/>
      <w:r/>
      <w:bookmarkStart w:id="65" w:name="_Toc96347866"/>
      <w:r/>
      <w:bookmarkStart w:id="66" w:name="_Toc100905206"/>
      <w:r/>
      <w:bookmarkStart w:id="67" w:name="_Toc103848533"/>
      <w:r/>
      <w:bookmarkStart w:id="68" w:name="_Toc107246220"/>
      <w:r>
        <w:rPr>
          <w:rFonts w:hint="eastAsia" w:ascii="宋体" w:hAnsi="宋体" w:cs="宋体"/>
          <w:highlight w:val="none"/>
        </w:rPr>
        <w:t xml:space="preserve">6.保密</w:t>
      </w:r>
      <w:bookmarkEnd w:id="64"/>
      <w:r/>
      <w:bookmarkEnd w:id="65"/>
      <w:r/>
      <w:bookmarkEnd w:id="66"/>
      <w:r/>
      <w:bookmarkEnd w:id="67"/>
      <w:r/>
      <w:bookmarkEnd w:id="68"/>
      <w:r/>
      <w:r/>
    </w:p>
    <w:p>
      <w:pPr>
        <w:ind w:firstLine="420"/>
        <w:spacing w:line="360" w:lineRule="auto"/>
        <w:rPr>
          <w:rFonts w:hint="eastAsia" w:ascii="宋体" w:hAnsi="宋体" w:cs="宋体"/>
          <w:szCs w:val="21"/>
          <w:highlight w:val="none"/>
        </w:rPr>
      </w:pPr>
      <w:r/>
      <w:bookmarkStart w:id="69" w:name="_Toc96347867"/>
      <w:r/>
      <w:bookmarkStart w:id="70" w:name="_Toc10090520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2"/>
        <w:ind w:left="0" w:right="210" w:firstLine="373"/>
        <w:spacing w:line="360" w:lineRule="auto"/>
        <w:rPr>
          <w:rFonts w:hint="eastAsia" w:ascii="宋体" w:hAnsi="宋体" w:cs="宋体"/>
          <w:highlight w:val="none"/>
        </w:rPr>
      </w:pPr>
      <w:r/>
      <w:bookmarkStart w:id="71" w:name="_Toc107246221"/>
      <w:r/>
      <w:bookmarkStart w:id="72" w:name="_Toc103848534"/>
      <w:r/>
      <w:bookmarkStart w:id="73" w:name="_Toc104560845"/>
      <w:r>
        <w:rPr>
          <w:rFonts w:hint="eastAsia" w:ascii="宋体" w:hAnsi="宋体" w:cs="宋体"/>
          <w:highlight w:val="none"/>
        </w:rPr>
        <w:t xml:space="preserve">7.语言文字、计量单位</w:t>
      </w:r>
      <w:bookmarkEnd w:id="69"/>
      <w:r/>
      <w:bookmarkEnd w:id="70"/>
      <w:r/>
      <w:bookmarkEnd w:id="71"/>
      <w:r/>
      <w:bookmarkEnd w:id="72"/>
      <w:r/>
      <w:bookmarkEnd w:id="7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p>
    <w:p>
      <w:pPr>
        <w:pStyle w:val="822"/>
        <w:ind w:left="0" w:right="210" w:firstLine="373"/>
        <w:spacing w:line="360" w:lineRule="auto"/>
        <w:rPr>
          <w:rFonts w:hint="eastAsia" w:ascii="宋体" w:hAnsi="宋体" w:cs="宋体"/>
          <w:highlight w:val="none"/>
        </w:rPr>
      </w:pPr>
      <w:r/>
      <w:bookmarkStart w:id="74" w:name="_Toc104560846"/>
      <w:r/>
      <w:bookmarkStart w:id="75" w:name="_Toc96347868"/>
      <w:r/>
      <w:bookmarkStart w:id="76" w:name="_Toc100905208"/>
      <w:r/>
      <w:bookmarkStart w:id="77" w:name="_Toc103848535"/>
      <w:r/>
      <w:bookmarkStart w:id="78" w:name="_Toc107246222"/>
      <w:r>
        <w:rPr>
          <w:rFonts w:hint="eastAsia" w:ascii="宋体" w:hAnsi="宋体" w:cs="宋体"/>
          <w:highlight w:val="none"/>
        </w:rPr>
        <w:t xml:space="preserve">8.现场考察</w:t>
      </w:r>
      <w:bookmarkEnd w:id="74"/>
      <w:r/>
      <w:bookmarkEnd w:id="75"/>
      <w:r/>
      <w:bookmarkEnd w:id="76"/>
      <w:r/>
      <w:bookmarkEnd w:id="77"/>
      <w:r/>
      <w:bookmarkEnd w:id="7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p>
    <w:p>
      <w:pPr>
        <w:pStyle w:val="822"/>
        <w:ind w:left="0" w:right="210" w:firstLine="373"/>
        <w:spacing w:line="360" w:lineRule="auto"/>
        <w:rPr>
          <w:rFonts w:hint="eastAsia" w:ascii="宋体" w:hAnsi="宋体" w:cs="宋体"/>
          <w:highlight w:val="none"/>
        </w:rPr>
      </w:pPr>
      <w:r/>
      <w:bookmarkStart w:id="79" w:name="_Toc107246223"/>
      <w:r/>
      <w:bookmarkStart w:id="80" w:name="_Toc102117275"/>
      <w:r>
        <w:rPr>
          <w:rFonts w:hint="eastAsia" w:ascii="宋体" w:hAnsi="宋体" w:cs="宋体"/>
          <w:highlight w:val="none"/>
        </w:rPr>
        <w:t xml:space="preserve">9.开标前答疑会</w:t>
      </w:r>
      <w:bookmarkEnd w:id="79"/>
      <w:r/>
      <w:bookmarkEnd w:id="8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822"/>
        <w:ind w:left="0" w:right="210" w:firstLine="373"/>
        <w:spacing w:line="360" w:lineRule="auto"/>
        <w:rPr>
          <w:rFonts w:hint="eastAsia" w:ascii="宋体" w:hAnsi="宋体" w:cs="宋体"/>
          <w:highlight w:val="none"/>
        </w:rPr>
      </w:pPr>
      <w:r/>
      <w:bookmarkStart w:id="81" w:name="_Toc100905210"/>
      <w:r/>
      <w:bookmarkStart w:id="82" w:name="_Toc104560847"/>
      <w:r/>
      <w:bookmarkStart w:id="83" w:name="_Toc107246224"/>
      <w:r/>
      <w:bookmarkStart w:id="84" w:name="_Toc103848536"/>
      <w:r/>
      <w:bookmarkStart w:id="85" w:name="_Toc96347869"/>
      <w:r>
        <w:rPr>
          <w:rFonts w:hint="eastAsia" w:ascii="宋体" w:hAnsi="宋体" w:cs="宋体"/>
          <w:szCs w:val="21"/>
          <w:highlight w:val="none"/>
        </w:rPr>
        <w:t xml:space="preserve">10.联合体投标</w:t>
      </w:r>
      <w:bookmarkEnd w:id="81"/>
      <w:r/>
      <w:bookmarkEnd w:id="82"/>
      <w:r/>
      <w:bookmarkEnd w:id="83"/>
      <w:r/>
      <w:bookmarkEnd w:id="8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822"/>
        <w:ind w:left="0" w:right="210" w:firstLine="373"/>
        <w:spacing w:line="360" w:lineRule="auto"/>
        <w:rPr>
          <w:rFonts w:hint="eastAsia" w:ascii="宋体" w:hAnsi="宋体" w:cs="宋体"/>
          <w:highlight w:val="none"/>
        </w:rPr>
      </w:pPr>
      <w:r/>
      <w:bookmarkStart w:id="86" w:name="_Toc107246225"/>
      <w:r/>
      <w:bookmarkStart w:id="87" w:name="_Toc100905213"/>
      <w:r/>
      <w:bookmarkStart w:id="88" w:name="_Toc104560848"/>
      <w:r/>
      <w:bookmarkStart w:id="89" w:name="_Toc103848537"/>
      <w:r/>
      <w:bookmarkStart w:id="90" w:name="_Toc100905211"/>
      <w:r>
        <w:rPr>
          <w:rFonts w:hint="eastAsia" w:ascii="宋体" w:hAnsi="宋体" w:cs="宋体"/>
          <w:highlight w:val="none"/>
        </w:rPr>
        <w:t xml:space="preserve">11.分包</w:t>
      </w:r>
      <w:bookmarkEnd w:id="86"/>
      <w:r/>
      <w:bookmarkEnd w:id="87"/>
      <w:r/>
      <w:bookmarkEnd w:id="88"/>
      <w:r/>
      <w:bookmarkEnd w:id="89"/>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2"/>
        <w:ind w:left="0" w:right="210" w:firstLine="373"/>
        <w:spacing w:line="360" w:lineRule="auto"/>
        <w:rPr>
          <w:rFonts w:hint="eastAsia" w:ascii="宋体" w:hAnsi="宋体" w:cs="宋体"/>
          <w:highlight w:val="none"/>
        </w:rPr>
      </w:pPr>
      <w:r/>
      <w:bookmarkStart w:id="91" w:name="_Toc104560849"/>
      <w:r/>
      <w:bookmarkStart w:id="92" w:name="_Toc107246226"/>
      <w:r>
        <w:rPr>
          <w:rFonts w:hint="eastAsia" w:ascii="宋体" w:hAnsi="宋体" w:cs="宋体"/>
          <w:highlight w:val="none"/>
        </w:rPr>
        <w:t xml:space="preserve">12.样品</w:t>
      </w:r>
      <w:bookmarkEnd w:id="91"/>
      <w:r/>
      <w:bookmarkEnd w:id="9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5"/>
      <w:r/>
      <w:bookmarkEnd w:id="90"/>
      <w:r/>
      <w:r/>
    </w:p>
    <w:p>
      <w:pPr>
        <w:pStyle w:val="822"/>
        <w:ind w:left="0" w:right="210" w:firstLine="373"/>
        <w:spacing w:line="360" w:lineRule="auto"/>
        <w:rPr>
          <w:rFonts w:hint="eastAsia" w:ascii="宋体" w:hAnsi="宋体" w:cs="宋体"/>
          <w:highlight w:val="none"/>
        </w:rPr>
      </w:pPr>
      <w:r/>
      <w:bookmarkStart w:id="93" w:name="_Toc107246227"/>
      <w:r/>
      <w:bookmarkStart w:id="94" w:name="_Toc104560850"/>
      <w:r/>
      <w:bookmarkStart w:id="95" w:name="_Toc100905214"/>
      <w:r/>
      <w:bookmarkStart w:id="96" w:name="_Toc103848538"/>
      <w:r>
        <w:rPr>
          <w:rFonts w:hint="eastAsia" w:ascii="宋体" w:hAnsi="宋体" w:cs="宋体"/>
          <w:highlight w:val="none"/>
        </w:rPr>
        <w:t xml:space="preserve">13.采购进口产品</w:t>
      </w:r>
      <w:bookmarkEnd w:id="93"/>
      <w:r/>
      <w:bookmarkEnd w:id="94"/>
      <w:r/>
      <w:bookmarkEnd w:id="95"/>
      <w:r/>
      <w:bookmarkEnd w:id="9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highlight w:val="none"/>
        </w:rPr>
      </w:pPr>
      <w:r/>
      <w:bookmarkStart w:id="97" w:name="_Toc104560851"/>
      <w:r/>
      <w:bookmarkStart w:id="98" w:name="_Toc107246228"/>
      <w:r>
        <w:rPr>
          <w:rFonts w:hint="eastAsia" w:ascii="宋体" w:hAnsi="宋体" w:cs="宋体"/>
          <w:highlight w:val="none"/>
        </w:rPr>
        <w:t xml:space="preserve">14.采购项目预算及最高限价</w:t>
      </w:r>
      <w:bookmarkEnd w:id="97"/>
      <w:r/>
      <w:bookmarkEnd w:id="9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highlight w:val="none"/>
        </w:rPr>
      </w:pPr>
      <w:r/>
      <w:bookmarkStart w:id="99" w:name="_Toc104560852"/>
      <w:r/>
      <w:bookmarkStart w:id="100" w:name="_Toc107246229"/>
      <w:r>
        <w:rPr>
          <w:rFonts w:hint="eastAsia" w:ascii="宋体" w:hAnsi="宋体" w:cs="宋体"/>
          <w:highlight w:val="none"/>
        </w:rPr>
        <w:t xml:space="preserve">15.</w:t>
      </w:r>
      <w:r>
        <w:rPr>
          <w:rFonts w:hint="eastAsia" w:ascii="宋体" w:hAnsi="宋体" w:cs="宋体"/>
          <w:bCs w:val="0"/>
          <w:szCs w:val="21"/>
          <w:highlight w:val="none"/>
        </w:rPr>
        <w:t xml:space="preserve"> 供应商</w:t>
      </w:r>
      <w:r>
        <w:rPr>
          <w:rFonts w:hint="eastAsia" w:ascii="宋体" w:hAnsi="宋体" w:cs="宋体"/>
          <w:highlight w:val="none"/>
        </w:rPr>
        <w:t xml:space="preserve">资格条件</w:t>
      </w:r>
      <w:bookmarkEnd w:id="99"/>
      <w:r/>
      <w:bookmarkEnd w:id="10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highlight w:val="none"/>
        </w:rPr>
      </w:pPr>
      <w:r/>
      <w:bookmarkStart w:id="101" w:name="_Toc107246230"/>
      <w:r>
        <w:rPr>
          <w:rFonts w:hint="eastAsia" w:ascii="宋体" w:hAnsi="宋体" w:cs="宋体"/>
          <w:highlight w:val="none"/>
        </w:rPr>
        <w:t xml:space="preserve">二．招标文件</w:t>
      </w:r>
      <w:bookmarkEnd w:id="63"/>
      <w:r/>
      <w:bookmarkEnd w:id="101"/>
      <w:r/>
      <w:r/>
    </w:p>
    <w:p>
      <w:pPr>
        <w:pStyle w:val="822"/>
        <w:ind w:left="0" w:right="210" w:firstLine="373"/>
        <w:spacing w:line="360" w:lineRule="auto"/>
        <w:rPr>
          <w:rFonts w:hint="eastAsia" w:ascii="宋体" w:hAnsi="宋体" w:cs="宋体"/>
          <w:highlight w:val="none"/>
        </w:rPr>
      </w:pPr>
      <w:r/>
      <w:bookmarkStart w:id="102" w:name="_Toc103848540"/>
      <w:r/>
      <w:bookmarkStart w:id="103" w:name="_Toc104560854"/>
      <w:r/>
      <w:bookmarkStart w:id="104" w:name="_Toc107246231"/>
      <w:r/>
      <w:bookmarkStart w:id="105" w:name="_Toc100905217"/>
      <w:r/>
      <w:bookmarkStart w:id="106" w:name="_Toc96347871"/>
      <w:r>
        <w:rPr>
          <w:rFonts w:hint="eastAsia" w:ascii="宋体" w:hAnsi="宋体" w:cs="宋体"/>
          <w:highlight w:val="none"/>
        </w:rPr>
        <w:t xml:space="preserve">16.招标文件的构成</w:t>
      </w:r>
      <w:bookmarkEnd w:id="102"/>
      <w:r/>
      <w:bookmarkEnd w:id="103"/>
      <w:r/>
      <w:bookmarkEnd w:id="104"/>
      <w:r/>
      <w:bookmarkEnd w:id="105"/>
      <w:r/>
      <w:bookmarkEnd w:id="10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16.1招标文件各章节的内容如下：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第二章：投标人须知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07" w:name="_Toc96347872"/>
      <w:r>
        <w:rPr>
          <w:rFonts w:hint="eastAsia" w:ascii="宋体" w:hAnsi="宋体" w:cs="宋体"/>
          <w:szCs w:val="21"/>
          <w:highlight w:val="none"/>
        </w:rPr>
        <w:t xml:space="preserve">投标文件格式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7"/>
      <w:r/>
      <w:r/>
    </w:p>
    <w:p>
      <w:pPr>
        <w:pStyle w:val="822"/>
        <w:ind w:left="0" w:right="210" w:firstLine="373"/>
        <w:spacing w:line="360" w:lineRule="auto"/>
        <w:rPr>
          <w:rFonts w:hint="eastAsia" w:ascii="宋体" w:hAnsi="宋体" w:cs="宋体"/>
          <w:highlight w:val="none"/>
        </w:rPr>
      </w:pPr>
      <w:r/>
      <w:bookmarkStart w:id="108" w:name="_Toc104560855"/>
      <w:r/>
      <w:bookmarkStart w:id="109" w:name="_Toc96347873"/>
      <w:r/>
      <w:bookmarkStart w:id="110" w:name="_Toc100905218"/>
      <w:r/>
      <w:bookmarkStart w:id="111" w:name="_Toc107246232"/>
      <w:r/>
      <w:bookmarkStart w:id="112" w:name="_Toc103848541"/>
      <w:r>
        <w:rPr>
          <w:rFonts w:hint="eastAsia" w:ascii="宋体" w:hAnsi="宋体" w:cs="宋体"/>
          <w:highlight w:val="none"/>
        </w:rPr>
        <w:t xml:space="preserve">17.招标文件的澄清或者修改</w:t>
      </w:r>
      <w:bookmarkEnd w:id="108"/>
      <w:r/>
      <w:bookmarkEnd w:id="109"/>
      <w:r/>
      <w:bookmarkEnd w:id="110"/>
      <w:r/>
      <w:bookmarkEnd w:id="111"/>
      <w:r/>
      <w:bookmarkEnd w:id="112"/>
      <w:r/>
      <w:r/>
    </w:p>
    <w:p>
      <w:pPr>
        <w:ind w:firstLine="420"/>
        <w:spacing w:line="360" w:lineRule="auto"/>
        <w:rPr>
          <w:rFonts w:hint="eastAsia" w:ascii="宋体" w:hAnsi="宋体" w:cs="宋体"/>
          <w:szCs w:val="21"/>
          <w:highlight w:val="none"/>
        </w:rPr>
      </w:pPr>
      <w:r/>
      <w:bookmarkStart w:id="113"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3"/>
      <w:r/>
      <w:r/>
    </w:p>
    <w:p>
      <w:pPr>
        <w:pStyle w:val="822"/>
        <w:ind w:left="0" w:right="210" w:firstLine="373"/>
        <w:spacing w:line="360" w:lineRule="auto"/>
        <w:rPr>
          <w:rFonts w:hint="eastAsia" w:ascii="宋体" w:hAnsi="宋体" w:cs="宋体"/>
          <w:highlight w:val="none"/>
        </w:rPr>
      </w:pPr>
      <w:r/>
      <w:bookmarkStart w:id="114" w:name="_Toc107246233"/>
      <w:r/>
      <w:bookmarkStart w:id="115" w:name="_Toc104560856"/>
      <w:r/>
      <w:bookmarkStart w:id="116" w:name="_Toc91836558"/>
      <w:r/>
      <w:bookmarkStart w:id="117" w:name="_Toc80264708"/>
      <w:r>
        <w:rPr>
          <w:rFonts w:hint="eastAsia" w:ascii="宋体" w:hAnsi="宋体" w:cs="宋体"/>
          <w:highlight w:val="none"/>
        </w:rPr>
        <w:t xml:space="preserve">三．投标文件</w:t>
      </w:r>
      <w:bookmarkEnd w:id="114"/>
      <w:r/>
      <w:bookmarkEnd w:id="115"/>
      <w:r/>
      <w:bookmarkEnd w:id="116"/>
      <w:r/>
      <w:r/>
    </w:p>
    <w:p>
      <w:pPr>
        <w:pStyle w:val="822"/>
        <w:ind w:left="0" w:right="210" w:firstLine="373"/>
        <w:spacing w:line="360" w:lineRule="auto"/>
        <w:rPr>
          <w:rFonts w:hint="eastAsia" w:ascii="宋体" w:hAnsi="宋体" w:cs="宋体"/>
          <w:highlight w:val="none"/>
        </w:rPr>
      </w:pPr>
      <w:r/>
      <w:bookmarkStart w:id="118" w:name="_Toc107246234"/>
      <w:r/>
      <w:bookmarkStart w:id="119" w:name="_Toc104560857"/>
      <w:r/>
      <w:bookmarkStart w:id="120" w:name="_Toc103848543"/>
      <w:r/>
      <w:bookmarkStart w:id="121" w:name="_Toc96347875"/>
      <w:r/>
      <w:bookmarkStart w:id="122" w:name="_Toc100905221"/>
      <w:r>
        <w:rPr>
          <w:rFonts w:hint="eastAsia" w:ascii="宋体" w:hAnsi="宋体" w:cs="宋体"/>
          <w:highlight w:val="none"/>
        </w:rPr>
        <w:t xml:space="preserve">18.投标文件的组成</w:t>
      </w:r>
      <w:bookmarkEnd w:id="118"/>
      <w:r/>
      <w:bookmarkEnd w:id="119"/>
      <w:r/>
      <w:bookmarkEnd w:id="12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18.2</w:t>
      </w:r>
      <w:r>
        <w:rPr>
          <w:rFonts w:hint="eastAsia" w:ascii="宋体" w:hAnsi="宋体" w:cs="宋体"/>
          <w:b/>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（3-2）授权委托书（适用于自然人），格式见附件。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rPr>
          <w:rFonts w:hint="eastAsia" w:ascii="宋体" w:hAnsi="宋体" w:cs="宋体"/>
          <w:highlight w:val="none"/>
        </w:rPr>
        <w:t xml:space="preserve">如为南京市政府采购项目，则投标人应按照公告要求提供</w:t>
      </w:r>
      <w:r>
        <w:rPr>
          <w:rFonts w:hint="eastAsia" w:ascii="宋体" w:hAnsi="宋体" w:cs="宋体"/>
          <w:szCs w:val="21"/>
          <w:highlight w:val="none"/>
        </w:rPr>
        <w:t xml:space="preserve">）：</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（e）投标人是自然人的，应提供有效的自然人身份证明。</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（7-2）财务报表，格式见附件。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（9）公章授权书（如需），格式见附件。</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（1）技术条款偏离表，格式见附件。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eastAsia="宋体" w:cs="宋体"/>
          <w:szCs w:val="21"/>
          <w:highlight w:val="none"/>
        </w:rPr>
        <w:t xml:space="preserve">2）用于本项目产品技术参数证明文件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如需</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需求响应</w:t>
      </w:r>
      <w:r>
        <w:rPr>
          <w:rFonts w:hint="eastAsia" w:ascii="宋体" w:hAnsi="宋体" w:cs="宋体"/>
          <w:szCs w:val="21"/>
          <w:highlight w:val="none"/>
        </w:rPr>
        <w:t xml:space="preserve">方案。</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（4）投标人服务承诺。</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拟投入本项目人员情况表</w:t>
      </w:r>
      <w:r>
        <w:rPr>
          <w:rFonts w:hint="eastAsia" w:ascii="宋体" w:hAnsi="宋体" w:cs="宋体"/>
          <w:szCs w:val="21"/>
          <w:highlight w:val="none"/>
        </w:rPr>
        <w:t xml:space="preserve">。</w:t>
      </w:r>
      <w:r/>
    </w:p>
    <w:p>
      <w:pPr>
        <w:ind w:firstLine="315"/>
        <w:jc w:val="left"/>
        <w:spacing w:line="360" w:lineRule="auto"/>
        <w:rPr>
          <w:rFonts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业绩一览表</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18.4投标文件的其他部分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18.4.1投标文件的其他部分由投标人根据编制投标文件需要提供的其他相关文件组成。</w:t>
      </w:r>
      <w:r/>
    </w:p>
    <w:p>
      <w:pPr>
        <w:pStyle w:val="822"/>
        <w:ind w:left="0" w:right="210" w:firstLine="373"/>
        <w:spacing w:line="360" w:lineRule="auto"/>
        <w:rPr>
          <w:rFonts w:hint="eastAsia" w:ascii="宋体" w:hAnsi="宋体" w:cs="宋体"/>
          <w:szCs w:val="21"/>
          <w:highlight w:val="none"/>
        </w:rPr>
      </w:pPr>
      <w:r/>
      <w:bookmarkStart w:id="123" w:name="_Toc107246235"/>
      <w:r/>
      <w:bookmarkStart w:id="124" w:name="_Toc104560858"/>
      <w:r>
        <w:rPr>
          <w:rFonts w:hint="eastAsia" w:ascii="宋体" w:hAnsi="宋体" w:cs="宋体"/>
          <w:highlight w:val="none"/>
        </w:rPr>
        <w:t xml:space="preserve">19.投标文件编制的原则</w:t>
      </w:r>
      <w:bookmarkEnd w:id="123"/>
      <w:r/>
      <w:bookmarkEnd w:id="124"/>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投标人必须保证投标文件所提供的全部资料真实可靠。</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p>
    <w:p>
      <w:pPr>
        <w:pStyle w:val="822"/>
        <w:ind w:left="0" w:right="210" w:firstLine="373"/>
        <w:spacing w:line="360" w:lineRule="auto"/>
        <w:rPr>
          <w:rFonts w:hint="eastAsia" w:ascii="宋体" w:hAnsi="宋体" w:cs="宋体"/>
          <w:szCs w:val="21"/>
          <w:highlight w:val="none"/>
        </w:rPr>
      </w:pPr>
      <w:r/>
      <w:bookmarkStart w:id="125" w:name="_Toc107246236"/>
      <w:r>
        <w:rPr>
          <w:rFonts w:hint="eastAsia" w:ascii="宋体" w:hAnsi="宋体" w:cs="宋体"/>
          <w:highlight w:val="none"/>
        </w:rPr>
        <w:t xml:space="preserve">20.投标报价</w:t>
      </w:r>
      <w:bookmarkEnd w:id="125"/>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20.4投标人要按开标一览表、分项报价表的内容填写投标报价及其它事项。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21"/>
      <w:r/>
      <w:bookmarkEnd w:id="122"/>
      <w:r/>
      <w:r/>
    </w:p>
    <w:p>
      <w:pPr>
        <w:pStyle w:val="822"/>
        <w:ind w:left="0" w:right="210" w:firstLine="373"/>
        <w:spacing w:line="360" w:lineRule="auto"/>
        <w:rPr>
          <w:rFonts w:hint="eastAsia" w:ascii="宋体" w:hAnsi="宋体" w:cs="宋体"/>
          <w:highlight w:val="none"/>
        </w:rPr>
      </w:pPr>
      <w:r/>
      <w:bookmarkStart w:id="126" w:name="_Toc104560859"/>
      <w:r/>
      <w:bookmarkStart w:id="127" w:name="_Toc103848545"/>
      <w:r/>
      <w:bookmarkStart w:id="128" w:name="_Toc107246237"/>
      <w:r/>
      <w:bookmarkStart w:id="129" w:name="_Toc100905224"/>
      <w:r/>
      <w:bookmarkStart w:id="130" w:name="_Toc96347878"/>
      <w:r/>
      <w:bookmarkStart w:id="131" w:name="_Toc103848544"/>
      <w:r/>
      <w:bookmarkStart w:id="132" w:name="_Toc100905223"/>
      <w:r>
        <w:rPr>
          <w:rFonts w:hint="eastAsia" w:ascii="宋体" w:hAnsi="宋体" w:cs="宋体"/>
          <w:highlight w:val="none"/>
        </w:rPr>
        <w:t xml:space="preserve">21.投标有效期</w:t>
      </w:r>
      <w:bookmarkEnd w:id="126"/>
      <w:r/>
      <w:bookmarkEnd w:id="127"/>
      <w:r/>
      <w:bookmarkEnd w:id="128"/>
      <w:r/>
      <w:bookmarkEnd w:id="129"/>
      <w:r/>
      <w:r/>
    </w:p>
    <w:p>
      <w:pPr>
        <w:ind w:firstLine="420"/>
        <w:spacing w:line="360" w:lineRule="auto"/>
        <w:rPr>
          <w:rFonts w:hint="eastAsia"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22"/>
        <w:ind w:left="0" w:right="210" w:firstLine="373"/>
        <w:spacing w:line="360" w:lineRule="auto"/>
        <w:rPr>
          <w:rFonts w:hint="eastAsia" w:ascii="宋体" w:hAnsi="宋体" w:cs="宋体"/>
          <w:highlight w:val="none"/>
        </w:rPr>
      </w:pPr>
      <w:r/>
      <w:bookmarkStart w:id="133" w:name="_Toc104560860"/>
      <w:r/>
      <w:bookmarkStart w:id="134" w:name="_Toc107246238"/>
      <w:r>
        <w:rPr>
          <w:rFonts w:hint="eastAsia" w:ascii="宋体" w:hAnsi="宋体" w:cs="宋体"/>
          <w:highlight w:val="none"/>
        </w:rPr>
        <w:t xml:space="preserve">22.投标保证金</w:t>
      </w:r>
      <w:bookmarkEnd w:id="130"/>
      <w:r/>
      <w:bookmarkEnd w:id="131"/>
      <w:r/>
      <w:bookmarkEnd w:id="132"/>
      <w:r/>
      <w:bookmarkEnd w:id="133"/>
      <w:r/>
      <w:bookmarkEnd w:id="134"/>
      <w:r/>
      <w:r/>
    </w:p>
    <w:p>
      <w:pPr>
        <w:ind w:firstLine="420"/>
        <w:spacing w:line="360" w:lineRule="auto"/>
        <w:rPr>
          <w:rFonts w:hint="eastAsia" w:ascii="宋体" w:hAnsi="宋体" w:cs="宋体"/>
          <w:bCs/>
          <w:szCs w:val="21"/>
          <w:highlight w:val="none"/>
        </w:rPr>
      </w:pPr>
      <w:r/>
      <w:bookmarkStart w:id="135" w:name="_Toc420487862"/>
      <w:r/>
      <w:bookmarkStart w:id="136" w:name="_Toc466452044"/>
      <w:r/>
      <w:bookmarkStart w:id="137" w:name="_Toc519241651"/>
      <w:r/>
      <w:bookmarkStart w:id="138" w:name="_Toc420657357"/>
      <w:r/>
      <w:bookmarkStart w:id="139" w:name="_Toc68159552"/>
      <w:r/>
      <w:bookmarkStart w:id="140" w:name="_Toc96347879"/>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规定交纳投标保证金的，投标人应以支票、汇票、本票或金融机构、担保机构出具的保函等非现金形式，在</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★投标人未按规定缴纳投标保证金的或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eastAsia" w:ascii="宋体" w:hAnsi="宋体" w:cs="宋体"/>
          <w:szCs w:val="21"/>
          <w:highlight w:val="none"/>
        </w:rPr>
      </w:pPr>
      <w:r/>
      <w:bookmarkStart w:id="141" w:name="_Toc103848546"/>
      <w:r/>
      <w:bookmarkStart w:id="142" w:name="_Toc96347880"/>
      <w:r/>
      <w:bookmarkStart w:id="143" w:name="_Toc104560861"/>
      <w:r/>
      <w:bookmarkStart w:id="144" w:name="_Toc100905225"/>
      <w:r>
        <w:rPr>
          <w:rFonts w:hint="eastAsia" w:ascii="宋体" w:hAnsi="宋体" w:cs="宋体"/>
          <w:szCs w:val="21"/>
          <w:highlight w:val="none"/>
        </w:rPr>
        <w:t xml:space="preserve">（1）投标人在招标文件规定的投标有效期内撤销其投标文件；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（2）投标人在投标文件中提供虚假材料的；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（3）投标人在本次采购活动中存在恶意串通行为的；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822"/>
        <w:ind w:left="0" w:right="210" w:firstLine="373"/>
        <w:spacing w:line="360" w:lineRule="auto"/>
        <w:rPr>
          <w:rFonts w:hint="eastAsia" w:ascii="宋体" w:hAnsi="宋体" w:cs="宋体"/>
          <w:highlight w:val="none"/>
        </w:rPr>
      </w:pPr>
      <w:r/>
      <w:bookmarkStart w:id="145" w:name="_Toc107246239"/>
      <w:r>
        <w:rPr>
          <w:rFonts w:hint="eastAsia" w:ascii="宋体" w:hAnsi="宋体" w:cs="宋体"/>
          <w:highlight w:val="none"/>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szCs w:val="21"/>
          <w:highlight w:val="none"/>
        </w:rPr>
      </w:pPr>
      <w:r/>
      <w:bookmarkStart w:id="146" w:name="_Toc107246240"/>
      <w:r>
        <w:rPr>
          <w:rFonts w:ascii="Microsoft New Tai Lue" w:hAnsi="Microsoft New Tai Lue" w:cs="Microsoft New Tai Lue"/>
          <w:bCs/>
          <w:szCs w:val="21"/>
          <w:highlight w:val="none"/>
        </w:rPr>
        <w:t xml:space="preserve">23.1</w:t>
      </w:r>
      <w:r>
        <w:rPr>
          <w:rFonts w:ascii="Arial" w:hAnsi="Arial" w:cs="Arial"/>
          <w:szCs w:val="21"/>
          <w:highlight w:val="none"/>
        </w:rPr>
        <w:t xml:space="preserve">投标人应当按照《操作手册》规定，在招标公告规定的投标截止时间前制作并上传电子投标文件。</w:t>
      </w:r>
      <w:r>
        <w:rPr>
          <w:rFonts w:ascii="Arial" w:hAnsi="Arial" w:cs="Arial"/>
          <w:szCs w:val="21"/>
          <w:highlight w:val="none"/>
          <w:lang w:val="zh-CN"/>
        </w:rPr>
        <w:t xml:space="preserve">招标代理机构拒绝接收提交</w:t>
      </w:r>
      <w:r>
        <w:rPr>
          <w:rFonts w:ascii="Arial" w:hAnsi="Arial" w:cs="Arial"/>
          <w:szCs w:val="21"/>
          <w:highlight w:val="none"/>
        </w:rPr>
        <w:t xml:space="preserve">投标</w:t>
      </w:r>
      <w:r>
        <w:rPr>
          <w:rFonts w:ascii="Arial" w:hAnsi="Arial" w:cs="Arial"/>
          <w:szCs w:val="21"/>
          <w:highlight w:val="none"/>
          <w:lang w:val="zh-CN"/>
        </w:rPr>
        <w:t xml:space="preserve">文件截止时间后上传的任何电子</w:t>
      </w:r>
      <w:r>
        <w:rPr>
          <w:rFonts w:ascii="Arial" w:hAnsi="Arial" w:cs="Arial"/>
          <w:szCs w:val="21"/>
          <w:highlight w:val="none"/>
        </w:rPr>
        <w:t xml:space="preserve">投标</w:t>
      </w:r>
      <w:r>
        <w:rPr>
          <w:rFonts w:ascii="Arial" w:hAnsi="Arial" w:cs="Arial"/>
          <w:szCs w:val="21"/>
          <w:highlight w:val="none"/>
          <w:lang w:val="zh-CN"/>
        </w:rPr>
        <w:t xml:space="preserve">文件。</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ascii="Segoe UI Symbol" w:hAnsi="Segoe UI Symbol" w:cs="Segoe UI Symbol"/>
          <w:b/>
          <w:szCs w:val="21"/>
          <w:highlight w:val="none"/>
        </w:rPr>
        <w:t xml:space="preserve">★</w:t>
      </w:r>
      <w:r>
        <w:rPr>
          <w:rFonts w:hint="eastAsia" w:ascii="Microsoft New Tai Lue" w:hAnsi="Microsoft New Tai Lue" w:cs="Microsoft New Tai Lue"/>
          <w:b/>
          <w:bCs/>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23.3投标文件规定盖章的地方，应盖单位公章</w:t>
      </w:r>
      <w:r>
        <w:rPr>
          <w:rFonts w:hint="eastAsia" w:ascii="Microsoft New Tai Lue" w:hAnsi="Microsoft New Tai Lue" w:cs="Microsoft New Tai Lue"/>
          <w:bCs/>
          <w:szCs w:val="21"/>
          <w:highlight w:val="none"/>
        </w:rPr>
        <w:t xml:space="preserve">或电子公章</w:t>
      </w:r>
      <w:r>
        <w:rPr>
          <w:rFonts w:ascii="Microsoft New Tai Lue" w:hAnsi="Microsoft New Tai Lue" w:cs="Microsoft New Tai Lue"/>
          <w:bCs/>
          <w:szCs w:val="21"/>
          <w:highlight w:val="none"/>
        </w:rPr>
        <w:t xml:space="preserve">（文件中的单位盖章、印章、公章等处均仅指与</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名称全称相一致的标准公章</w:t>
      </w:r>
      <w:r>
        <w:rPr>
          <w:rFonts w:hint="eastAsia" w:ascii="Microsoft New Tai Lue" w:hAnsi="Microsoft New Tai Lue" w:cs="Microsoft New Tai Lue"/>
          <w:bCs/>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3.4</w:t>
      </w: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如投标过程中投标人使用其他形式的印章（</w:t>
      </w:r>
      <w:r>
        <w:rPr>
          <w:rFonts w:hint="eastAsia" w:ascii="Microsoft New Tai Lue" w:hAnsi="Microsoft New Tai Lue" w:cs="Microsoft New Tai Lue"/>
          <w:b/>
          <w:szCs w:val="21"/>
          <w:highlight w:val="none"/>
        </w:rPr>
        <w:t xml:space="preserve">如</w:t>
      </w:r>
      <w:r>
        <w:rPr>
          <w:rFonts w:ascii="Microsoft New Tai Lue" w:hAnsi="Microsoft New Tai Lue" w:cs="Microsoft New Tai Lue"/>
          <w:b/>
          <w:szCs w:val="21"/>
          <w:highlight w:val="none"/>
        </w:rPr>
        <w:t xml:space="preserve">带有“专用章”等字样的印章），须提供</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公章授权书</w:t>
      </w:r>
      <w:r>
        <w:rPr>
          <w:rFonts w:hint="eastAsia" w:ascii="Microsoft New Tai Lue" w:hAnsi="Microsoft New Tai Lue"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ascii="Microsoft New Tai Lue" w:hAnsi="Microsoft New Tai Lue" w:cs="Microsoft New Tai Lue"/>
          <w:b/>
          <w:szCs w:val="21"/>
          <w:highlight w:val="none"/>
        </w:rPr>
        <w:t xml:space="preserve">，明确</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针对本次项目，</w:t>
      </w:r>
      <w:r>
        <w:rPr>
          <w:rFonts w:hint="eastAsia" w:ascii="Microsoft New Tai Lue" w:hAnsi="Microsoft New Tai Lue" w:cs="Microsoft New Tai Lue"/>
          <w:b/>
          <w:szCs w:val="21"/>
          <w:highlight w:val="none"/>
        </w:rPr>
        <w:t xml:space="preserve">我单位</w:t>
      </w:r>
      <w:r>
        <w:rPr>
          <w:rFonts w:ascii="Microsoft New Tai Lue" w:hAnsi="Microsoft New Tai Lue" w:cs="Microsoft New Tai Lue"/>
          <w:b/>
          <w:szCs w:val="21"/>
          <w:highlight w:val="none"/>
        </w:rPr>
        <w:t xml:space="preserve">专用章作为直接参与投标时相关文件的签章，其效力等同于公章</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w:t>
      </w:r>
      <w:r>
        <w:rPr>
          <w:rFonts w:hint="eastAsia" w:ascii="Microsoft New Tai Lue" w:hAnsi="Microsoft New Tai Lue" w:cs="Microsoft New Tai Lue"/>
          <w:b/>
          <w:szCs w:val="21"/>
          <w:highlight w:val="none"/>
        </w:rPr>
        <w:t xml:space="preserve">“公章授权书”</w:t>
      </w:r>
      <w:r>
        <w:rPr>
          <w:rFonts w:ascii="Microsoft New Tai Lue" w:hAnsi="Microsoft New Tai Lue" w:cs="Microsoft New Tai Lue"/>
          <w:b/>
          <w:szCs w:val="21"/>
          <w:highlight w:val="none"/>
        </w:rPr>
        <w:t xml:space="preserve">须同时加盖投标人公章及</w:t>
      </w:r>
      <w:r>
        <w:rPr>
          <w:rFonts w:hint="eastAsia" w:ascii="Microsoft New Tai Lue" w:hAnsi="Microsoft New Tai Lue" w:cs="Microsoft New Tai Lue"/>
          <w:b/>
          <w:szCs w:val="21"/>
          <w:highlight w:val="none"/>
        </w:rPr>
        <w:t xml:space="preserve">本次投标使用的</w:t>
      </w:r>
      <w:r>
        <w:rPr>
          <w:rFonts w:ascii="Microsoft New Tai Lue" w:hAnsi="Microsoft New Tai Lue" w:cs="Microsoft New Tai Lue"/>
          <w:b/>
          <w:szCs w:val="21"/>
          <w:highlight w:val="none"/>
        </w:rPr>
        <w:t xml:space="preserve">专用章</w:t>
      </w:r>
      <w:r>
        <w:rPr>
          <w:rFonts w:hint="eastAsia" w:ascii="Microsoft New Tai Lue" w:hAnsi="Microsoft New Tai Lue" w:cs="Microsoft New Tai Lue"/>
          <w:b/>
          <w:szCs w:val="21"/>
          <w:highlight w:val="none"/>
        </w:rPr>
        <w:t xml:space="preserve">，否则不予认可</w:t>
      </w:r>
      <w:r>
        <w:rPr>
          <w:rFonts w:ascii="Microsoft New Tai Lue" w:hAnsi="Microsoft New Tai Lue" w:cs="Microsoft New Tai Lue"/>
          <w:b/>
          <w:szCs w:val="21"/>
          <w:highlight w:val="none"/>
        </w:rPr>
        <w:t xml:space="preserve">。</w:t>
      </w:r>
      <w:r/>
    </w:p>
    <w:p>
      <w:pPr>
        <w:ind w:firstLine="420"/>
        <w:spacing w:before="156" w:after="40" w:line="360" w:lineRule="auto"/>
        <w:rPr>
          <w:szCs w:val="21"/>
          <w:highlight w:val="none"/>
        </w:rPr>
      </w:pPr>
      <w:r>
        <w:rPr>
          <w:rFonts w:ascii="Microsoft New Tai Lue" w:hAnsi="Microsoft New Tai Lue" w:cs="Microsoft New Tai Lue"/>
          <w:bCs/>
          <w:szCs w:val="21"/>
          <w:highlight w:val="none"/>
        </w:rPr>
        <w:t xml:space="preserve">23.5除</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highlight w:val="none"/>
        </w:rPr>
        <w:t xml:space="preserve">方有效</w:t>
      </w:r>
      <w:r>
        <w:rPr>
          <w:rFonts w:ascii="Microsoft New Tai Lue" w:hAnsi="Microsoft New Tai Lue" w:cs="Microsoft New Tai Lue"/>
          <w:bCs/>
          <w:szCs w:val="21"/>
          <w:highlight w:val="none"/>
        </w:rPr>
        <w:t xml:space="preserve">。</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四．投标文件的递交</w:t>
      </w:r>
      <w:bookmarkEnd w:id="146"/>
      <w:r/>
      <w:r/>
    </w:p>
    <w:p>
      <w:pPr>
        <w:pStyle w:val="822"/>
        <w:ind w:left="0" w:right="210" w:firstLine="373"/>
        <w:spacing w:line="360" w:lineRule="auto"/>
        <w:rPr>
          <w:rFonts w:ascii="Microsoft New Tai Lue" w:hAnsi="Microsoft New Tai Lue" w:cs="Microsoft New Tai Lue"/>
          <w:szCs w:val="21"/>
          <w:highlight w:val="none"/>
        </w:rPr>
      </w:pPr>
      <w:r/>
      <w:bookmarkStart w:id="147" w:name="_Toc103848548"/>
      <w:r/>
      <w:bookmarkStart w:id="148" w:name="_Toc100905226"/>
      <w:r/>
      <w:bookmarkStart w:id="149" w:name="_Toc107246241"/>
      <w:r/>
      <w:bookmarkStart w:id="150" w:name="_Toc104560863"/>
      <w:r/>
      <w:bookmarkStart w:id="151" w:name="_Toc96347881"/>
      <w:r>
        <w:rPr>
          <w:rFonts w:hint="eastAsia" w:ascii="宋体" w:hAnsi="宋体" w:cs="宋体"/>
          <w:highlight w:val="none"/>
        </w:rPr>
        <w:t xml:space="preserve">24.</w:t>
      </w:r>
      <w:bookmarkEnd w:id="147"/>
      <w:r/>
      <w:bookmarkEnd w:id="148"/>
      <w:r/>
      <w:bookmarkEnd w:id="149"/>
      <w:r/>
      <w:bookmarkEnd w:id="150"/>
      <w:r/>
      <w:bookmarkEnd w:id="151"/>
      <w:r>
        <w:rPr>
          <w:rFonts w:hint="eastAsia" w:ascii="Microsoft New Tai Lue" w:hAnsi="Microsoft New Tai Lue" w:cs="Microsoft New Tai Lue"/>
          <w:bCs w:val="0"/>
          <w:szCs w:val="21"/>
          <w:highlight w:val="none"/>
        </w:rPr>
        <w:t xml:space="preserve">投标文件的递交</w:t>
      </w:r>
      <w:bookmarkStart w:id="152" w:name="_Toc38931614"/>
      <w:r/>
      <w:bookmarkStart w:id="153" w:name="_Toc103848549"/>
      <w:r/>
      <w:bookmarkStart w:id="154" w:name="_Toc100905227"/>
      <w:r/>
      <w:bookmarkStart w:id="155" w:name="_Toc5042"/>
      <w:r/>
      <w:bookmarkStart w:id="156" w:name="_Toc89586904"/>
      <w:r/>
      <w:bookmarkStart w:id="157" w:name="_Toc40202948"/>
      <w:r/>
      <w:bookmarkStart w:id="158" w:name="_Toc19963"/>
      <w:r/>
      <w:bookmarkStart w:id="159" w:name="_Toc46939510"/>
      <w:r/>
      <w:bookmarkStart w:id="160" w:name="_Toc469850063"/>
      <w:r/>
      <w:bookmarkStart w:id="161" w:name="_Toc48151397"/>
      <w:r/>
      <w:bookmarkStart w:id="162" w:name="_Toc91399404"/>
      <w:r/>
      <w:bookmarkStart w:id="163" w:name="_Toc97561941"/>
      <w:r/>
      <w:bookmarkStart w:id="164" w:name="_Toc46960670"/>
      <w:r/>
      <w:bookmarkStart w:id="165" w:name="_Toc4536"/>
      <w:r/>
      <w:bookmarkStart w:id="166" w:name="_Toc11952"/>
      <w:r/>
      <w:bookmarkStart w:id="167" w:name="_Toc11464"/>
      <w:r/>
      <w:bookmarkStart w:id="168" w:name="_Toc38931800"/>
      <w:r/>
      <w:bookmarkStart w:id="169" w:name="_Toc50528805"/>
      <w:r/>
      <w:bookmarkStart w:id="170" w:name="_Toc46219699"/>
      <w:r/>
      <w:bookmarkStart w:id="171" w:name="_Toc51928343"/>
      <w:r/>
      <w:bookmarkStart w:id="172" w:name="_Toc96347882"/>
      <w:r/>
      <w:bookmarkStart w:id="173" w:name="_Toc38933357"/>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szCs w:val="21"/>
          <w:highlight w:val="none"/>
          <w:lang w:val="zh-CN"/>
        </w:rPr>
        <w:t xml:space="preserve">招标代理机构拒绝接收提交</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文件截止时间后上传的任何电子</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w:t>
      </w:r>
      <w:r/>
    </w:p>
    <w:p>
      <w:pPr>
        <w:pStyle w:val="822"/>
        <w:ind w:left="0" w:right="210" w:firstLine="373"/>
        <w:spacing w:line="360" w:lineRule="auto"/>
        <w:rPr>
          <w:rFonts w:hint="eastAsia" w:ascii="宋体" w:hAnsi="宋体" w:cs="宋体"/>
          <w:highlight w:val="none"/>
        </w:rPr>
      </w:pPr>
      <w:r/>
      <w:bookmarkStart w:id="174" w:name="_Toc104560864"/>
      <w:r/>
      <w:bookmarkStart w:id="175" w:name="_Toc107246242"/>
      <w:r>
        <w:rPr>
          <w:rFonts w:hint="eastAsia" w:ascii="宋体" w:hAnsi="宋体" w:cs="宋体"/>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highlight w:val="none"/>
        </w:rPr>
        <w:t xml:space="preserve">投标文件解密</w:t>
      </w:r>
      <w:r/>
    </w:p>
    <w:p>
      <w:pPr>
        <w:ind w:firstLine="420"/>
        <w:spacing w:line="360" w:lineRule="auto"/>
        <w:rPr>
          <w:rFonts w:ascii="Microsoft New Tai Lue" w:hAnsi="Microsoft New Tai Lue" w:cs="Microsoft New Tai Lue"/>
          <w:bCs/>
          <w:szCs w:val="21"/>
          <w:highlight w:val="none"/>
          <w:lang w:val="zh-CN"/>
        </w:rPr>
      </w:pPr>
      <w:r/>
      <w:bookmarkStart w:id="176" w:name="_Toc96347883"/>
      <w:r>
        <w:rPr>
          <w:rFonts w:hint="eastAsia" w:ascii="Microsoft New Tai Lue" w:hAnsi="Microsoft New Tai Lue" w:cs="Microsoft New Tai Lue"/>
          <w:bCs/>
          <w:szCs w:val="21"/>
          <w:highlight w:val="none"/>
        </w:rPr>
        <w:t xml:space="preserve">25.1</w:t>
      </w:r>
      <w:r>
        <w:rPr>
          <w:rFonts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lang w:val="zh-CN"/>
        </w:rPr>
        <w:t xml:space="preserve">应当按照《操作手册》规定，在“苏采云”系统规定的时间内对</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文件进行解密。</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25.2</w:t>
      </w:r>
      <w:r>
        <w:rPr>
          <w:rFonts w:ascii="Microsoft New Tai Lue" w:hAnsi="Microsoft New Tai Lue"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822"/>
        <w:ind w:left="0" w:right="210" w:firstLine="373"/>
        <w:spacing w:line="360" w:lineRule="auto"/>
        <w:rPr>
          <w:rFonts w:hint="eastAsia" w:ascii="宋体" w:hAnsi="宋体" w:cs="宋体"/>
          <w:highlight w:val="none"/>
        </w:rPr>
      </w:pPr>
      <w:r/>
      <w:bookmarkStart w:id="177" w:name="_Toc103848550"/>
      <w:r/>
      <w:bookmarkStart w:id="178" w:name="_Toc100905228"/>
      <w:r/>
      <w:bookmarkStart w:id="179" w:name="_Toc104560865"/>
      <w:r/>
      <w:bookmarkStart w:id="180" w:name="_Toc107246243"/>
      <w:r>
        <w:rPr>
          <w:rFonts w:hint="eastAsia" w:ascii="宋体" w:hAnsi="宋体" w:cs="宋体"/>
          <w:highlight w:val="none"/>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szCs w:val="21"/>
          <w:highlight w:val="none"/>
          <w:lang w:val="zh-CN"/>
        </w:rPr>
      </w:pPr>
      <w:r/>
      <w:bookmarkStart w:id="181" w:name="_Toc80264714"/>
      <w:r>
        <w:rPr>
          <w:rFonts w:hint="eastAsia" w:ascii="Microsoft New Tai Lue" w:hAnsi="Microsoft New Tai Lue"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26.4 在投标截止时间至采购文件中规定的投标有效期满之间的这段时间内，投标人不得撤回其投标。</w:t>
      </w:r>
      <w:r/>
    </w:p>
    <w:p>
      <w:pPr>
        <w:pStyle w:val="822"/>
        <w:ind w:left="0" w:right="210" w:firstLine="373"/>
        <w:spacing w:line="360" w:lineRule="auto"/>
        <w:rPr>
          <w:rFonts w:hint="eastAsia" w:ascii="宋体" w:hAnsi="宋体" w:cs="宋体"/>
          <w:highlight w:val="none"/>
        </w:rPr>
      </w:pPr>
      <w:r/>
      <w:bookmarkStart w:id="182" w:name="_Toc103848551"/>
      <w:r/>
      <w:bookmarkStart w:id="183" w:name="_Toc104560866"/>
      <w:r/>
      <w:bookmarkStart w:id="184" w:name="_Toc107246244"/>
      <w:r>
        <w:rPr>
          <w:rFonts w:hint="eastAsia" w:ascii="宋体" w:hAnsi="宋体" w:cs="宋体"/>
          <w:highlight w:val="none"/>
        </w:rPr>
        <w:t xml:space="preserve">27.诚实信用</w:t>
      </w:r>
      <w:bookmarkEnd w:id="182"/>
      <w:r/>
      <w:bookmarkEnd w:id="183"/>
      <w:r/>
      <w:bookmarkEnd w:id="184"/>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p>
    <w:p>
      <w:pPr>
        <w:pStyle w:val="822"/>
        <w:ind w:left="0" w:right="210" w:firstLine="373"/>
        <w:spacing w:line="360" w:lineRule="auto"/>
        <w:rPr>
          <w:rFonts w:hint="eastAsia" w:ascii="宋体" w:hAnsi="宋体" w:cs="宋体"/>
          <w:highlight w:val="none"/>
        </w:rPr>
      </w:pPr>
      <w:r/>
      <w:bookmarkStart w:id="185" w:name="_Toc107246245"/>
      <w:r>
        <w:rPr>
          <w:rFonts w:hint="eastAsia" w:ascii="宋体" w:hAnsi="宋体" w:cs="宋体"/>
          <w:highlight w:val="none"/>
        </w:rPr>
        <w:t xml:space="preserve">五．开标和评标</w:t>
      </w:r>
      <w:bookmarkEnd w:id="185"/>
      <w:r/>
      <w:bookmarkStart w:id="186" w:name="_Toc96347885"/>
      <w:r/>
      <w:r/>
    </w:p>
    <w:p>
      <w:pPr>
        <w:pStyle w:val="822"/>
        <w:ind w:left="0" w:right="210" w:firstLine="373"/>
        <w:spacing w:line="360" w:lineRule="auto"/>
        <w:rPr>
          <w:rFonts w:hint="eastAsia" w:ascii="宋体" w:hAnsi="宋体" w:cs="宋体"/>
          <w:highlight w:val="none"/>
        </w:rPr>
      </w:pPr>
      <w:r/>
      <w:bookmarkStart w:id="187" w:name="_Toc100905230"/>
      <w:r/>
      <w:bookmarkStart w:id="188" w:name="_Toc103848553"/>
      <w:r/>
      <w:bookmarkStart w:id="189" w:name="_Toc107246246"/>
      <w:r/>
      <w:bookmarkStart w:id="190" w:name="_Toc104560868"/>
      <w:r>
        <w:rPr>
          <w:rFonts w:hint="eastAsia" w:ascii="宋体" w:hAnsi="宋体" w:cs="宋体"/>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szCs w:val="21"/>
          <w:highlight w:val="none"/>
        </w:rPr>
      </w:pPr>
      <w:r/>
      <w:bookmarkStart w:id="191" w:name="_Toc107246247"/>
      <w:r/>
      <w:bookmarkStart w:id="192" w:name="_Toc100905231"/>
      <w:r>
        <w:rPr>
          <w:rFonts w:hint="eastAsia" w:ascii="宋体" w:hAnsi="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28.3投标人不足3家的，不得开标。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28.6投标人未参加开标的，视同认可开标结果。</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29.资格性审查</w:t>
      </w:r>
      <w:bookmarkEnd w:id="191"/>
      <w:r/>
      <w:r/>
    </w:p>
    <w:p>
      <w:pPr>
        <w:ind w:firstLine="420"/>
        <w:spacing w:line="360" w:lineRule="auto"/>
        <w:rPr>
          <w:rFonts w:hint="eastAsia" w:ascii="宋体" w:hAnsi="宋体" w:cs="宋体"/>
          <w:bCs/>
          <w:szCs w:val="21"/>
          <w:highlight w:val="none"/>
        </w:rPr>
      </w:pPr>
      <w:r/>
      <w:bookmarkStart w:id="193" w:name="_Toc104560869"/>
      <w:r/>
      <w:bookmarkStart w:id="194" w:name="_Toc103848554"/>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p>
    <w:p>
      <w:pPr>
        <w:pStyle w:val="822"/>
        <w:ind w:left="0" w:right="210" w:firstLine="373"/>
        <w:spacing w:line="360" w:lineRule="auto"/>
        <w:rPr>
          <w:rFonts w:hint="eastAsia" w:ascii="宋体" w:hAnsi="宋体" w:cs="宋体"/>
          <w:highlight w:val="none"/>
        </w:rPr>
      </w:pPr>
      <w:r/>
      <w:bookmarkStart w:id="195" w:name="_Toc107246248"/>
      <w:r>
        <w:rPr>
          <w:rFonts w:hint="eastAsia" w:ascii="宋体" w:hAnsi="宋体" w:cs="宋体"/>
          <w:highlight w:val="none"/>
        </w:rPr>
        <w:t xml:space="preserve">30.评标</w:t>
      </w:r>
      <w:bookmarkEnd w:id="193"/>
      <w:r/>
      <w:bookmarkEnd w:id="194"/>
      <w:r/>
      <w:bookmarkEnd w:id="195"/>
      <w:r/>
      <w:r/>
    </w:p>
    <w:p>
      <w:pPr>
        <w:pStyle w:val="822"/>
        <w:ind w:left="0" w:right="210" w:firstLine="373"/>
        <w:spacing w:line="360" w:lineRule="auto"/>
        <w:rPr>
          <w:rFonts w:hint="eastAsia" w:ascii="宋体" w:hAnsi="宋体" w:cs="宋体"/>
          <w:highlight w:val="none"/>
        </w:rPr>
      </w:pPr>
      <w:r/>
      <w:bookmarkStart w:id="196" w:name="_Toc103848555"/>
      <w:r/>
      <w:bookmarkStart w:id="197" w:name="_Toc107246249"/>
      <w:r/>
      <w:bookmarkStart w:id="198" w:name="_Toc104560870"/>
      <w:r>
        <w:rPr>
          <w:rFonts w:hint="eastAsia" w:ascii="宋体" w:hAnsi="宋体" w:cs="宋体"/>
          <w:highlight w:val="none"/>
        </w:rPr>
        <w:t xml:space="preserve">30.1评标委员会</w:t>
      </w:r>
      <w:bookmarkEnd w:id="196"/>
      <w:r/>
      <w:bookmarkEnd w:id="197"/>
      <w:r/>
      <w:bookmarkEnd w:id="19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，负责具体评标事务，并独立履行职责。</w:t>
      </w:r>
      <w:r/>
    </w:p>
    <w:p>
      <w:pPr>
        <w:pStyle w:val="822"/>
        <w:ind w:left="0" w:right="210" w:firstLine="373"/>
        <w:spacing w:line="360" w:lineRule="auto"/>
        <w:rPr>
          <w:rFonts w:hint="eastAsia" w:ascii="宋体" w:hAnsi="宋体" w:cs="宋体"/>
          <w:highlight w:val="none"/>
        </w:rPr>
      </w:pPr>
      <w:r/>
      <w:bookmarkStart w:id="199" w:name="_Toc103848556"/>
      <w:r/>
      <w:bookmarkStart w:id="200" w:name="_Toc104560871"/>
      <w:r/>
      <w:bookmarkStart w:id="201" w:name="_Toc107246250"/>
      <w:r>
        <w:rPr>
          <w:rFonts w:hint="eastAsia" w:ascii="宋体" w:hAnsi="宋体" w:cs="宋体"/>
          <w:highlight w:val="none"/>
        </w:rPr>
        <w:t xml:space="preserve">30.2</w:t>
      </w:r>
      <w:bookmarkEnd w:id="199"/>
      <w:r/>
      <w:bookmarkEnd w:id="200"/>
      <w:r>
        <w:rPr>
          <w:rFonts w:hint="eastAsia" w:ascii="宋体" w:hAnsi="宋体" w:cs="宋体"/>
          <w:highlight w:val="none"/>
        </w:rPr>
        <w:t xml:space="preserve">符合性审查</w:t>
      </w:r>
      <w:bookmarkEnd w:id="20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szCs w:val="21"/>
          <w:highlight w:val="none"/>
        </w:rPr>
      </w:pPr>
      <w:r/>
      <w:bookmarkStart w:id="202" w:name="_Toc107246251"/>
      <w:r/>
      <w:bookmarkStart w:id="203" w:name="_Toc104560872"/>
      <w:r/>
      <w:bookmarkStart w:id="204" w:name="_Toc103848557"/>
      <w:r>
        <w:rPr>
          <w:rFonts w:hint="eastAsia" w:ascii="宋体" w:hAnsi="宋体" w:cs="宋体"/>
          <w:bCs/>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（2）投标人未按照招标文件要求上传电子投标文件的；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（3）同一投标人提交两个（含两个）以上不同的投标报价的；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（8）投标文件内容不全或不符合招标文件中规定的实质性要求的；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30.3投标文件澄清</w:t>
      </w:r>
      <w:bookmarkEnd w:id="202"/>
      <w:r/>
      <w:bookmarkEnd w:id="203"/>
      <w:r/>
      <w:bookmarkEnd w:id="20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30.3.3评标委员会不接受投标人主动提出的澄清、说明。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pStyle w:val="822"/>
        <w:ind w:left="0" w:right="210" w:firstLine="373"/>
        <w:spacing w:line="360" w:lineRule="auto"/>
        <w:rPr>
          <w:rFonts w:hint="eastAsia" w:ascii="宋体" w:hAnsi="宋体" w:cs="宋体"/>
          <w:highlight w:val="none"/>
        </w:rPr>
      </w:pPr>
      <w:r/>
      <w:bookmarkStart w:id="205" w:name="_Toc107246252"/>
      <w:r>
        <w:rPr>
          <w:rFonts w:hint="eastAsia" w:ascii="宋体" w:hAnsi="宋体" w:cs="宋体"/>
          <w:highlight w:val="none"/>
        </w:rPr>
        <w:t xml:space="preserve">30.4</w:t>
      </w:r>
      <w:bookmarkEnd w:id="205"/>
      <w:r>
        <w:rPr>
          <w:rFonts w:hint="eastAsia" w:ascii="宋体" w:hAnsi="宋体" w:cs="宋体"/>
          <w:highlight w:val="none"/>
        </w:rPr>
        <w:t xml:space="preserve">报价修正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822"/>
        <w:ind w:left="0" w:right="210" w:firstLine="373"/>
        <w:spacing w:line="360" w:lineRule="auto"/>
        <w:rPr>
          <w:rFonts w:hint="eastAsia" w:ascii="宋体" w:hAnsi="宋体" w:cs="宋体"/>
          <w:highlight w:val="none"/>
        </w:rPr>
      </w:pPr>
      <w:r/>
      <w:bookmarkStart w:id="206" w:name="_Toc103848558"/>
      <w:r/>
      <w:bookmarkStart w:id="207" w:name="_Toc104560873"/>
      <w:r/>
      <w:bookmarkStart w:id="208" w:name="_Toc107246253"/>
      <w:r>
        <w:rPr>
          <w:rFonts w:hint="eastAsia" w:ascii="宋体" w:hAnsi="宋体" w:cs="宋体"/>
          <w:highlight w:val="none"/>
        </w:rPr>
        <w:t xml:space="preserve">30.5同品牌多家投标人处理原则</w:t>
      </w:r>
      <w:bookmarkEnd w:id="206"/>
      <w:r/>
      <w:bookmarkEnd w:id="207"/>
      <w:r/>
      <w:bookmarkEnd w:id="208"/>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。多家投标人提供的核心产品品牌相同的，按前两款规定处理。</w:t>
      </w:r>
      <w:r/>
    </w:p>
    <w:p>
      <w:pPr>
        <w:pStyle w:val="822"/>
        <w:ind w:left="0" w:right="210" w:firstLine="373"/>
        <w:spacing w:line="360" w:lineRule="auto"/>
        <w:rPr>
          <w:rFonts w:hint="eastAsia" w:ascii="宋体" w:hAnsi="宋体" w:cs="宋体"/>
          <w:highlight w:val="none"/>
        </w:rPr>
      </w:pPr>
      <w:r/>
      <w:bookmarkStart w:id="209" w:name="_Toc103848559"/>
      <w:r/>
      <w:bookmarkStart w:id="210" w:name="_Toc107246254"/>
      <w:r/>
      <w:bookmarkStart w:id="211" w:name="_Toc104560874"/>
      <w:r>
        <w:rPr>
          <w:rFonts w:hint="eastAsia" w:ascii="宋体" w:hAnsi="宋体" w:cs="宋体"/>
          <w:highlight w:val="none"/>
        </w:rPr>
        <w:t xml:space="preserve">30.6比较与评价</w:t>
      </w:r>
      <w:bookmarkEnd w:id="209"/>
      <w:r/>
      <w:bookmarkEnd w:id="210"/>
      <w:r/>
      <w:bookmarkEnd w:id="211"/>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pStyle w:val="822"/>
        <w:ind w:left="0" w:right="210" w:firstLine="373"/>
        <w:spacing w:line="360" w:lineRule="auto"/>
        <w:rPr>
          <w:rFonts w:hint="eastAsia" w:ascii="宋体" w:hAnsi="宋体" w:cs="宋体"/>
          <w:highlight w:val="none"/>
        </w:rPr>
      </w:pPr>
      <w:r/>
      <w:bookmarkStart w:id="212" w:name="_Toc107246255"/>
      <w:r>
        <w:rPr>
          <w:rFonts w:hint="eastAsia" w:ascii="宋体" w:hAnsi="宋体" w:cs="宋体"/>
          <w:highlight w:val="none"/>
        </w:rPr>
        <w:t xml:space="preserve">30.7编写评标报告</w:t>
      </w:r>
      <w:bookmarkEnd w:id="21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pStyle w:val="822"/>
        <w:ind w:left="0" w:right="210" w:firstLine="373"/>
        <w:spacing w:line="360" w:lineRule="auto"/>
        <w:tabs>
          <w:tab w:val="left" w:pos="5882" w:leader="none"/>
        </w:tabs>
        <w:rPr>
          <w:rFonts w:hint="eastAsia" w:ascii="宋体" w:hAnsi="宋体" w:cs="宋体"/>
          <w:highlight w:val="none"/>
        </w:rPr>
      </w:pPr>
      <w:r/>
      <w:bookmarkStart w:id="213" w:name="_Toc103848561"/>
      <w:r/>
      <w:bookmarkStart w:id="214" w:name="_Toc107246256"/>
      <w:r/>
      <w:bookmarkStart w:id="215" w:name="_Toc104560876"/>
      <w:r>
        <w:rPr>
          <w:rFonts w:hint="eastAsia" w:ascii="宋体" w:hAnsi="宋体" w:cs="宋体"/>
          <w:highlight w:val="none"/>
        </w:rPr>
        <w:t xml:space="preserve">30.8评标过程的保密</w:t>
      </w:r>
      <w:bookmarkEnd w:id="213"/>
      <w:r/>
      <w:bookmarkEnd w:id="214"/>
      <w:r/>
      <w:bookmarkEnd w:id="215"/>
      <w:r>
        <w:rPr>
          <w:rFonts w:hint="eastAsia" w:ascii="宋体" w:hAnsi="宋体" w:cs="宋体"/>
          <w:highlight w:val="none"/>
        </w:rPr>
        <w:tab/>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822"/>
        <w:ind w:left="0" w:right="210" w:firstLine="373"/>
        <w:spacing w:line="360" w:lineRule="auto"/>
        <w:rPr>
          <w:rFonts w:hint="eastAsia" w:ascii="宋体" w:hAnsi="宋体" w:cs="宋体"/>
          <w:highlight w:val="none"/>
        </w:rPr>
      </w:pPr>
      <w:r/>
      <w:bookmarkStart w:id="216" w:name="_Toc107246257"/>
      <w:r>
        <w:rPr>
          <w:rFonts w:hint="eastAsia" w:ascii="宋体" w:hAnsi="宋体" w:cs="宋体"/>
          <w:highlight w:val="none"/>
        </w:rPr>
        <w:t xml:space="preserve">六．确定中标</w:t>
      </w:r>
      <w:bookmarkEnd w:id="216"/>
      <w:r/>
      <w:r/>
    </w:p>
    <w:p>
      <w:pPr>
        <w:pStyle w:val="822"/>
        <w:ind w:left="0" w:right="210" w:firstLine="373"/>
        <w:spacing w:line="360" w:lineRule="auto"/>
        <w:rPr>
          <w:rFonts w:hint="eastAsia" w:ascii="宋体" w:hAnsi="宋体" w:cs="宋体"/>
          <w:highlight w:val="none"/>
        </w:rPr>
      </w:pPr>
      <w:r/>
      <w:bookmarkStart w:id="217" w:name="_Toc104560878"/>
      <w:r/>
      <w:bookmarkStart w:id="218" w:name="_Toc103848563"/>
      <w:r/>
      <w:bookmarkStart w:id="219" w:name="_Toc107246258"/>
      <w:r>
        <w:rPr>
          <w:rFonts w:hint="eastAsia" w:ascii="宋体" w:hAnsi="宋体" w:cs="宋体"/>
          <w:highlight w:val="none"/>
        </w:rPr>
        <w:t xml:space="preserve">31.确定中标</w:t>
      </w:r>
      <w:bookmarkEnd w:id="217"/>
      <w:r/>
      <w:bookmarkEnd w:id="218"/>
      <w:r>
        <w:rPr>
          <w:rFonts w:hint="eastAsia" w:ascii="宋体" w:hAnsi="宋体" w:cs="宋体"/>
          <w:highlight w:val="none"/>
        </w:rPr>
        <w:t xml:space="preserve">人</w:t>
      </w:r>
      <w:bookmarkEnd w:id="21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highlight w:val="none"/>
          <w:lang w:val="zh-CN"/>
        </w:rPr>
      </w:pPr>
      <w:r/>
      <w:bookmarkStart w:id="220" w:name="_Toc104560879"/>
      <w:r/>
      <w:bookmarkStart w:id="221" w:name="_Toc103848564"/>
      <w:r/>
      <w:bookmarkStart w:id="222" w:name="_Toc107246259"/>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1.4评审结束后，中标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名单将省级以上财政部门指定的媒体上公告中标结果，中标公告期为1个工作日</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公告媒体</w:t>
      </w:r>
      <w:r>
        <w:rPr>
          <w:rFonts w:hint="eastAsia" w:ascii="Microsoft New Tai Lue" w:hAnsi="Microsoft New Tai Lue" w:cs="Microsoft New Tai Lue"/>
          <w:szCs w:val="21"/>
          <w:highlight w:val="none"/>
        </w:rPr>
        <w:t xml:space="preserve">见</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w:t>
      </w:r>
      <w:r>
        <w:rPr>
          <w:rFonts w:hint="eastAsia" w:ascii="Microsoft New Tai Lue" w:hAnsi="Microsoft New Tai Lue" w:cs="Microsoft New Tai Lue"/>
          <w:b/>
          <w:szCs w:val="21"/>
          <w:highlight w:val="none"/>
        </w:rPr>
        <w:t xml:space="preserve">前附表。</w:t>
      </w:r>
      <w:r>
        <w:rPr>
          <w:rFonts w:hint="eastAsia" w:ascii="Microsoft New Tai Lue" w:hAnsi="Microsoft New Tai Lue" w:cs="Microsoft New Tai Lue"/>
          <w:szCs w:val="21"/>
          <w:highlight w:val="none"/>
        </w:rPr>
        <w:t xml:space="preserve">公告的同时向中标人发出中标通知书。</w:t>
      </w:r>
      <w:r>
        <w:rPr>
          <w:rFonts w:hint="eastAsia" w:ascii="Microsoft New Tai Lue" w:hAnsi="Microsoft New Tai Lue" w:cs="Microsoft New Tai Lue"/>
          <w:szCs w:val="21"/>
          <w:highlight w:val="none"/>
          <w:lang w:val="zh-CN"/>
        </w:rPr>
        <w:t xml:space="preserve">中标人</w:t>
      </w:r>
      <w:r>
        <w:rPr>
          <w:rFonts w:hint="eastAsia" w:ascii="Microsoft New Tai Lue" w:hAnsi="Microsoft New Tai Lue" w:cs="Microsoft New Tai Lue"/>
          <w:szCs w:val="21"/>
          <w:highlight w:val="none"/>
        </w:rPr>
        <w:t xml:space="preserve">可</w:t>
      </w:r>
      <w:r>
        <w:rPr>
          <w:rFonts w:hint="eastAsia" w:ascii="Microsoft New Tai Lue" w:hAnsi="Microsoft New Tai Lue"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32.中标通知书</w:t>
      </w:r>
      <w:bookmarkEnd w:id="220"/>
      <w:r/>
      <w:bookmarkEnd w:id="221"/>
      <w:r/>
      <w:bookmarkEnd w:id="22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223" w:name="_Toc104560875"/>
      <w:r/>
      <w:bookmarkStart w:id="224" w:name="_Toc103848560"/>
      <w:r>
        <w:rPr>
          <w:rFonts w:hint="eastAsia" w:ascii="宋体" w:hAnsi="宋体" w:cs="宋体"/>
          <w:szCs w:val="21"/>
          <w:highlight w:val="none"/>
        </w:rPr>
        <w:t xml:space="preserve">中标通知书发出后，中标人无正当理由不得放弃中标，否则将依法承担法律责任。</w:t>
      </w:r>
      <w:r/>
    </w:p>
    <w:p>
      <w:pPr>
        <w:pStyle w:val="822"/>
        <w:ind w:left="0" w:right="210" w:firstLine="373"/>
        <w:spacing w:line="360" w:lineRule="auto"/>
        <w:rPr>
          <w:rFonts w:hint="eastAsia" w:ascii="宋体" w:hAnsi="宋体" w:cs="宋体"/>
          <w:highlight w:val="none"/>
        </w:rPr>
      </w:pPr>
      <w:r/>
      <w:bookmarkStart w:id="225" w:name="_Toc107246260"/>
      <w:r>
        <w:rPr>
          <w:rFonts w:hint="eastAsia" w:ascii="宋体" w:hAnsi="宋体" w:cs="宋体"/>
          <w:highlight w:val="none"/>
        </w:rPr>
        <w:t xml:space="preserve">33.废标</w:t>
      </w:r>
      <w:bookmarkEnd w:id="223"/>
      <w:r/>
      <w:bookmarkEnd w:id="224"/>
      <w:r/>
      <w:bookmarkEnd w:id="225"/>
      <w:r/>
      <w:r/>
    </w:p>
    <w:p>
      <w:pPr>
        <w:ind w:firstLine="316"/>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33.2废标后，采购人将废标理由通知所有投标人。</w:t>
      </w:r>
      <w:r/>
    </w:p>
    <w:p>
      <w:pPr>
        <w:pStyle w:val="822"/>
        <w:ind w:left="0" w:right="210" w:firstLine="373"/>
        <w:spacing w:line="360" w:lineRule="auto"/>
        <w:rPr>
          <w:rFonts w:hint="eastAsia" w:ascii="宋体" w:hAnsi="宋体" w:cs="宋体"/>
          <w:highlight w:val="none"/>
        </w:rPr>
      </w:pPr>
      <w:r/>
      <w:bookmarkStart w:id="226" w:name="_Toc103848565"/>
      <w:r/>
      <w:bookmarkStart w:id="227" w:name="_Toc107246261"/>
      <w:r/>
      <w:bookmarkStart w:id="228" w:name="_Toc104560880"/>
      <w:r/>
      <w:bookmarkStart w:id="229" w:name="_Toc16938553"/>
      <w:r/>
      <w:bookmarkStart w:id="230" w:name="_Toc513029237"/>
      <w:r/>
      <w:bookmarkStart w:id="231" w:name="_Toc20823309"/>
      <w:r>
        <w:rPr>
          <w:rFonts w:hint="eastAsia" w:ascii="宋体" w:hAnsi="宋体" w:cs="宋体"/>
          <w:highlight w:val="none"/>
        </w:rPr>
        <w:t xml:space="preserve">34.签订合同</w:t>
      </w:r>
      <w:bookmarkEnd w:id="226"/>
      <w:r/>
      <w:bookmarkEnd w:id="227"/>
      <w:r/>
      <w:bookmarkEnd w:id="228"/>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22"/>
        <w:ind w:left="0" w:right="210" w:firstLine="373"/>
        <w:spacing w:line="360" w:lineRule="auto"/>
        <w:rPr>
          <w:rFonts w:hint="eastAsia" w:ascii="宋体" w:hAnsi="宋体" w:cs="宋体"/>
          <w:szCs w:val="21"/>
          <w:highlight w:val="none"/>
        </w:rPr>
      </w:pPr>
      <w:r/>
      <w:bookmarkStart w:id="232" w:name="_Toc104560881"/>
      <w:r/>
      <w:bookmarkStart w:id="233" w:name="_Toc103848567"/>
      <w:r/>
      <w:bookmarkStart w:id="234" w:name="_Toc107246262"/>
      <w:r>
        <w:rPr>
          <w:rFonts w:hint="eastAsia" w:ascii="宋体" w:hAnsi="宋体" w:cs="宋体"/>
          <w:szCs w:val="21"/>
          <w:highlight w:val="none"/>
        </w:rPr>
        <w:t xml:space="preserve">35.履约保证金</w:t>
      </w:r>
      <w:bookmarkEnd w:id="232"/>
      <w:r/>
      <w:bookmarkEnd w:id="233"/>
      <w:r/>
      <w:bookmarkEnd w:id="23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229"/>
      <w:r/>
      <w:bookmarkEnd w:id="230"/>
      <w:r/>
      <w:bookmarkEnd w:id="231"/>
      <w:r/>
      <w:r/>
    </w:p>
    <w:p>
      <w:pPr>
        <w:pStyle w:val="822"/>
        <w:ind w:left="0" w:right="210" w:firstLine="373"/>
        <w:spacing w:line="360" w:lineRule="auto"/>
        <w:rPr>
          <w:rFonts w:hint="eastAsia" w:ascii="宋体" w:hAnsi="宋体" w:cs="宋体"/>
          <w:highlight w:val="none"/>
        </w:rPr>
      </w:pPr>
      <w:r/>
      <w:bookmarkStart w:id="235" w:name="_Toc107246263"/>
      <w:r>
        <w:rPr>
          <w:rFonts w:hint="eastAsia" w:ascii="宋体" w:hAnsi="宋体" w:cs="宋体"/>
          <w:highlight w:val="none"/>
        </w:rPr>
        <w:t xml:space="preserve">七．</w:t>
      </w:r>
      <w:bookmarkStart w:id="236" w:name="_Toc103848569"/>
      <w:r>
        <w:rPr>
          <w:rFonts w:hint="eastAsia" w:ascii="宋体" w:hAnsi="宋体" w:cs="宋体"/>
          <w:highlight w:val="none"/>
        </w:rPr>
        <w:t xml:space="preserve">询问与质疑</w:t>
      </w:r>
      <w:bookmarkEnd w:id="235"/>
      <w:r/>
      <w:bookmarkEnd w:id="236"/>
      <w:r/>
      <w:r/>
    </w:p>
    <w:p>
      <w:pPr>
        <w:pStyle w:val="822"/>
        <w:ind w:left="0" w:right="210" w:firstLine="373"/>
        <w:spacing w:line="360" w:lineRule="auto"/>
        <w:rPr>
          <w:rFonts w:hint="eastAsia" w:ascii="宋体" w:hAnsi="宋体" w:cs="宋体"/>
          <w:szCs w:val="21"/>
          <w:highlight w:val="none"/>
        </w:rPr>
      </w:pPr>
      <w:r/>
      <w:bookmarkStart w:id="237" w:name="_Toc102117305"/>
      <w:r/>
      <w:bookmarkStart w:id="238" w:name="_Toc107246264"/>
      <w:r/>
      <w:bookmarkStart w:id="239" w:name="_Toc104560883"/>
      <w:r>
        <w:rPr>
          <w:rFonts w:hint="eastAsia" w:ascii="宋体" w:hAnsi="宋体" w:cs="宋体"/>
          <w:szCs w:val="21"/>
          <w:highlight w:val="none"/>
        </w:rPr>
        <w:t xml:space="preserve">36.询问</w:t>
      </w:r>
      <w:bookmarkEnd w:id="237"/>
      <w:r/>
      <w:bookmarkEnd w:id="238"/>
      <w:r/>
      <w:bookmarkEnd w:id="23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822"/>
        <w:ind w:left="0" w:right="210" w:firstLine="373"/>
        <w:spacing w:line="360" w:lineRule="auto"/>
        <w:rPr>
          <w:rFonts w:hint="eastAsia" w:ascii="宋体" w:hAnsi="宋体" w:cs="宋体"/>
          <w:szCs w:val="21"/>
          <w:highlight w:val="none"/>
        </w:rPr>
      </w:pPr>
      <w:r/>
      <w:bookmarkStart w:id="240" w:name="_Toc104560884"/>
      <w:r/>
      <w:bookmarkStart w:id="241" w:name="_Toc107246265"/>
      <w:r/>
      <w:bookmarkStart w:id="242" w:name="_Toc102117306"/>
      <w:r>
        <w:rPr>
          <w:rFonts w:hint="eastAsia" w:ascii="宋体" w:hAnsi="宋体" w:cs="宋体"/>
          <w:szCs w:val="21"/>
          <w:highlight w:val="none"/>
        </w:rPr>
        <w:t xml:space="preserve">37.质疑</w:t>
      </w:r>
      <w:bookmarkEnd w:id="240"/>
      <w:r/>
      <w:bookmarkEnd w:id="241"/>
      <w:r/>
      <w:bookmarkEnd w:id="24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822"/>
        <w:ind w:left="0" w:right="210" w:firstLine="373"/>
        <w:spacing w:line="360" w:lineRule="auto"/>
        <w:rPr>
          <w:rFonts w:hint="eastAsia" w:ascii="宋体" w:hAnsi="宋体" w:cs="宋体"/>
          <w:highlight w:val="none"/>
        </w:rPr>
      </w:pPr>
      <w:r/>
      <w:bookmarkStart w:id="243" w:name="_Toc107246266"/>
      <w:r>
        <w:rPr>
          <w:rFonts w:hint="eastAsia" w:ascii="宋体" w:hAnsi="宋体" w:cs="宋体"/>
          <w:highlight w:val="none"/>
        </w:rPr>
        <w:t xml:space="preserve">八．其他</w:t>
      </w:r>
      <w:bookmarkEnd w:id="243"/>
      <w:r/>
      <w:r/>
    </w:p>
    <w:p>
      <w:pPr>
        <w:pStyle w:val="822"/>
        <w:ind w:left="0" w:right="210" w:firstLine="373"/>
        <w:spacing w:line="360" w:lineRule="auto"/>
        <w:rPr>
          <w:rFonts w:hint="eastAsia" w:ascii="宋体" w:hAnsi="宋体" w:cs="宋体"/>
          <w:szCs w:val="21"/>
          <w:highlight w:val="none"/>
        </w:rPr>
      </w:pPr>
      <w:r/>
      <w:bookmarkStart w:id="244" w:name="_Toc103848572"/>
      <w:r/>
      <w:bookmarkStart w:id="245" w:name="_Toc104560886"/>
      <w:r/>
      <w:bookmarkStart w:id="246" w:name="_Toc107246267"/>
      <w:r>
        <w:rPr>
          <w:rFonts w:hint="eastAsia" w:ascii="宋体" w:hAnsi="宋体" w:cs="宋体"/>
          <w:szCs w:val="21"/>
          <w:highlight w:val="none"/>
        </w:rPr>
        <w:t xml:space="preserve">38.招标代理服务费</w:t>
      </w:r>
      <w:bookmarkEnd w:id="244"/>
      <w:r/>
      <w:bookmarkEnd w:id="245"/>
      <w:r/>
      <w:bookmarkEnd w:id="246"/>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szCs w:val="21"/>
          <w:highlight w:val="none"/>
        </w:rPr>
      </w:pPr>
      <w:r/>
      <w:bookmarkStart w:id="247" w:name="_Toc104560887"/>
      <w:r/>
      <w:bookmarkStart w:id="248" w:name="_Toc107246268"/>
      <w:r/>
      <w:bookmarkStart w:id="249" w:name="_Toc103848573"/>
      <w:r>
        <w:rPr>
          <w:rFonts w:hint="eastAsia" w:ascii="宋体" w:hAnsi="宋体" w:cs="宋体"/>
          <w:szCs w:val="21"/>
          <w:highlight w:val="none"/>
        </w:rPr>
        <w:t xml:space="preserve">39.其他规定</w:t>
      </w:r>
      <w:bookmarkEnd w:id="247"/>
      <w:r/>
      <w:bookmarkEnd w:id="248"/>
      <w:r/>
      <w:bookmarkEnd w:id="24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r/>
    </w:p>
    <w:p>
      <w:pPr>
        <w:pStyle w:val="822"/>
        <w:ind w:left="0" w:right="210" w:firstLine="373"/>
        <w:spacing w:line="360" w:lineRule="auto"/>
        <w:rPr>
          <w:rFonts w:hint="eastAsia" w:ascii="宋体" w:hAnsi="宋体" w:cs="宋体"/>
          <w:szCs w:val="21"/>
          <w:highlight w:val="none"/>
        </w:rPr>
      </w:pPr>
      <w:r/>
      <w:bookmarkStart w:id="250" w:name="_Toc104560888"/>
      <w:r/>
      <w:bookmarkStart w:id="251" w:name="_Toc103848574"/>
      <w:r/>
      <w:bookmarkStart w:id="252" w:name="_Toc107246269"/>
      <w:r>
        <w:rPr>
          <w:rFonts w:hint="eastAsia" w:ascii="宋体" w:hAnsi="宋体" w:cs="宋体"/>
          <w:szCs w:val="21"/>
          <w:highlight w:val="none"/>
        </w:rPr>
        <w:t xml:space="preserve">40.文件解释权</w:t>
      </w:r>
      <w:bookmarkEnd w:id="250"/>
      <w:r/>
      <w:bookmarkEnd w:id="251"/>
      <w:r/>
      <w:bookmarkEnd w:id="25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40.1本招标文件的解释权归采购人（或采购代理机构）所有。</w:t>
      </w:r>
      <w:bookmarkEnd w:id="181"/>
      <w:r/>
      <w:r/>
    </w:p>
    <w:p>
      <w:pPr>
        <w:pStyle w:val="895"/>
        <w:numPr>
          <w:ilvl w:val="0"/>
          <w:numId w:val="2"/>
        </w:numPr>
        <w:ind w:firstLine="567"/>
        <w:rPr>
          <w:rFonts w:hint="eastAsia" w:ascii="宋体" w:hAnsi="宋体" w:cs="宋体"/>
          <w:highlight w:val="none"/>
        </w:rPr>
      </w:pPr>
      <w:r/>
      <w:bookmarkStart w:id="253" w:name="_Toc91836563"/>
      <w:r>
        <w:rPr>
          <w:rFonts w:hint="eastAsia" w:ascii="宋体" w:hAnsi="宋体" w:cs="宋体"/>
          <w:highlight w:val="none"/>
        </w:rPr>
        <w:br w:type="page" w:clear="all"/>
      </w:r>
      <w:bookmarkStart w:id="254" w:name="_Toc107246270"/>
      <w:r>
        <w:rPr>
          <w:rFonts w:hint="eastAsia" w:ascii="宋体" w:hAnsi="宋体" w:cs="宋体"/>
          <w:highlight w:val="none"/>
        </w:rPr>
        <w:t xml:space="preserve">政府采购合同条款</w:t>
      </w:r>
      <w:bookmarkEnd w:id="253"/>
      <w:r>
        <w:rPr>
          <w:rFonts w:hint="eastAsia" w:ascii="宋体" w:hAnsi="宋体" w:cs="宋体"/>
          <w:highlight w:val="none"/>
        </w:rPr>
        <w:t xml:space="preserve">及格式</w:t>
      </w:r>
      <w:bookmarkEnd w:id="254"/>
      <w:r/>
      <w:r/>
    </w:p>
    <w:p>
      <w:pPr>
        <w:ind w:firstLine="4209"/>
        <w:tabs>
          <w:tab w:val="left" w:pos="1770" w:leader="none"/>
        </w:tabs>
        <w:rPr>
          <w:rFonts w:eastAsia="黑体"/>
          <w:sz w:val="48"/>
          <w:szCs w:val="48"/>
          <w:highlight w:val="none"/>
        </w:rPr>
      </w:pPr>
      <w:r>
        <w:rPr>
          <w:rFonts w:eastAsia="黑体"/>
          <w:sz w:val="48"/>
          <w:szCs w:val="48"/>
          <w:highlight w:val="none"/>
        </w:rPr>
      </w:r>
      <w:r/>
    </w:p>
    <w:p>
      <w:pPr>
        <w:ind w:firstLine="1560"/>
        <w:tabs>
          <w:tab w:val="left" w:pos="1770" w:leader="none"/>
        </w:tabs>
        <w:rPr>
          <w:rFonts w:eastAsia="黑体"/>
          <w:sz w:val="48"/>
          <w:szCs w:val="48"/>
          <w:highlight w:val="none"/>
        </w:rPr>
      </w:pPr>
      <w:r>
        <w:rPr>
          <w:rFonts w:eastAsia="黑体"/>
          <w:sz w:val="48"/>
          <w:szCs w:val="48"/>
          <w:highlight w:val="none"/>
        </w:rPr>
      </w:r>
      <w:r/>
    </w:p>
    <w:p>
      <w:pPr>
        <w:ind w:firstLine="1560"/>
        <w:tabs>
          <w:tab w:val="left" w:pos="1770" w:leader="none"/>
        </w:tabs>
        <w:rPr>
          <w:rFonts w:eastAsia="黑体"/>
          <w:sz w:val="48"/>
          <w:szCs w:val="48"/>
          <w:highlight w:val="none"/>
        </w:rPr>
      </w:pPr>
      <w:r>
        <w:rPr>
          <w:rFonts w:eastAsia="黑体"/>
          <w:sz w:val="48"/>
          <w:szCs w:val="48"/>
          <w:highlight w:val="none"/>
        </w:rPr>
      </w:r>
      <w:r/>
    </w:p>
    <w:p>
      <w:pPr>
        <w:jc w:val="center"/>
        <w:tabs>
          <w:tab w:val="left" w:pos="1770" w:leader="none"/>
        </w:tabs>
        <w:rPr>
          <w:rFonts w:hint="eastAsia" w:eastAsia="黑体"/>
          <w:sz w:val="48"/>
          <w:szCs w:val="48"/>
          <w:highlight w:val="none"/>
          <w:lang w:eastAsia="zh-CN"/>
        </w:rPr>
      </w:pPr>
      <w:r>
        <w:rPr>
          <w:rFonts w:hint="eastAsia" w:eastAsia="黑体"/>
          <w:sz w:val="48"/>
          <w:szCs w:val="48"/>
          <w:highlight w:val="none"/>
          <w:lang w:eastAsia="zh-CN"/>
        </w:rPr>
        <w:t xml:space="preserve">南京市江宁区卫生健康委员会</w:t>
      </w:r>
      <w:r/>
    </w:p>
    <w:p>
      <w:pPr>
        <w:jc w:val="center"/>
        <w:tabs>
          <w:tab w:val="left" w:pos="1770" w:leader="none"/>
        </w:tabs>
        <w:rPr>
          <w:rFonts w:eastAsia="黑体"/>
          <w:sz w:val="48"/>
          <w:szCs w:val="48"/>
          <w:highlight w:val="none"/>
        </w:rPr>
      </w:pPr>
      <w:r>
        <w:rPr>
          <w:rFonts w:hint="eastAsia" w:eastAsia="黑体"/>
          <w:sz w:val="48"/>
          <w:szCs w:val="48"/>
          <w:highlight w:val="none"/>
        </w:rPr>
        <w:t xml:space="preserve">污水处理运维服务合同</w:t>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366"/>
        <w:keepLines w:val="0"/>
        <w:keepNext w:val="0"/>
        <w:pageBreakBefore w:val="0"/>
        <w:spacing w:line="480" w:lineRule="auto"/>
        <w:widowControl w:val="off"/>
        <w:tabs>
          <w:tab w:val="left" w:pos="1770" w:leader="none"/>
        </w:tabs>
        <w:rPr>
          <w:sz w:val="30"/>
          <w:szCs w:val="30"/>
          <w:highlight w:val="none"/>
        </w:rPr>
      </w:pPr>
      <w:r>
        <w:rPr>
          <w:rFonts w:hint="eastAsia" w:eastAsia="黑体"/>
          <w:sz w:val="30"/>
          <w:szCs w:val="30"/>
          <w:highlight w:val="none"/>
          <w:lang w:val="en-US" w:eastAsia="zh-CN"/>
        </w:rPr>
        <w:t xml:space="preserve">采购</w:t>
      </w:r>
      <w:r>
        <w:rPr>
          <w:rFonts w:hint="eastAsia" w:eastAsia="黑体"/>
          <w:sz w:val="30"/>
          <w:szCs w:val="30"/>
          <w:highlight w:val="none"/>
        </w:rPr>
        <w:t xml:space="preserve">单位：</w:t>
      </w:r>
      <w:r>
        <w:rPr>
          <w:rFonts w:hint="eastAsia"/>
          <w:sz w:val="30"/>
          <w:szCs w:val="30"/>
          <w:highlight w:val="none"/>
          <w:u w:val="single"/>
        </w:rPr>
        <w:t xml:space="preserve">    </w:t>
      </w:r>
      <w:r>
        <w:rPr>
          <w:rFonts w:hint="eastAsia"/>
          <w:sz w:val="30"/>
          <w:szCs w:val="30"/>
          <w:highlight w:val="none"/>
          <w:u w:val="single"/>
          <w:lang w:eastAsia="zh-CN"/>
        </w:rPr>
        <w:t xml:space="preserve">南京市江宁区卫生健康委员会</w:t>
      </w:r>
      <w:r>
        <w:rPr>
          <w:rFonts w:hint="eastAsia"/>
          <w:sz w:val="30"/>
          <w:szCs w:val="30"/>
          <w:highlight w:val="none"/>
          <w:u w:val="single"/>
        </w:rPr>
        <w:t xml:space="preserve">    </w:t>
      </w:r>
      <w:r/>
    </w:p>
    <w:p>
      <w:pPr>
        <w:ind w:firstLine="1366"/>
        <w:keepLines w:val="0"/>
        <w:keepNext w:val="0"/>
        <w:pageBreakBefore w:val="0"/>
        <w:spacing w:line="480" w:lineRule="auto"/>
        <w:widowControl w:val="off"/>
        <w:tabs>
          <w:tab w:val="left" w:pos="1770" w:leader="none"/>
        </w:tabs>
        <w:rPr>
          <w:rFonts w:hint="eastAsia"/>
          <w:sz w:val="30"/>
          <w:szCs w:val="30"/>
          <w:highlight w:val="none"/>
          <w:u w:val="single"/>
        </w:rPr>
      </w:pPr>
      <w:r>
        <w:rPr>
          <w:rFonts w:hint="eastAsia" w:eastAsia="黑体"/>
          <w:sz w:val="30"/>
          <w:szCs w:val="30"/>
          <w:highlight w:val="none"/>
          <w:lang w:val="en-US" w:eastAsia="zh-CN"/>
        </w:rPr>
        <w:t xml:space="preserve">服务</w:t>
      </w:r>
      <w:r>
        <w:rPr>
          <w:rFonts w:hint="eastAsia" w:eastAsia="黑体"/>
          <w:sz w:val="30"/>
          <w:szCs w:val="30"/>
          <w:highlight w:val="none"/>
        </w:rPr>
        <w:t xml:space="preserve">单位：</w:t>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sz w:val="30"/>
          <w:szCs w:val="30"/>
          <w:highlight w:val="none"/>
          <w:u w:val="single"/>
        </w:rPr>
        <w:t xml:space="preserve">    </w:t>
      </w:r>
      <w:r/>
    </w:p>
    <w:p>
      <w:pPr>
        <w:ind w:firstLine="1366"/>
        <w:keepLines w:val="0"/>
        <w:keepNext w:val="0"/>
        <w:pageBreakBefore w:val="0"/>
        <w:spacing w:line="480" w:lineRule="auto"/>
        <w:widowControl w:val="off"/>
        <w:tabs>
          <w:tab w:val="left" w:pos="1770" w:leader="none"/>
        </w:tabs>
        <w:rPr>
          <w:rFonts w:eastAsia="宋体"/>
          <w:sz w:val="30"/>
          <w:szCs w:val="30"/>
          <w:highlight w:val="none"/>
          <w:u w:val="single"/>
          <w:lang w:val="en-US" w:eastAsia="zh-CN"/>
        </w:rPr>
      </w:pPr>
      <w:r>
        <w:rPr>
          <w:rFonts w:hint="eastAsia" w:ascii="Times New Roman" w:hAnsi="Times New Roman" w:eastAsia="黑体" w:cs="Times New Roman"/>
          <w:sz w:val="30"/>
          <w:szCs w:val="30"/>
          <w:highlight w:val="none"/>
          <w:lang w:val="en-US" w:eastAsia="zh-CN"/>
        </w:rPr>
        <w:t xml:space="preserve">签订日期：</w:t>
      </w:r>
      <w:r>
        <w:rPr>
          <w:rFonts w:hint="eastAsia" w:ascii="Times New Roman" w:hAnsi="Times New Roman" w:eastAsia="黑体" w:cs="Times New Roman"/>
          <w:sz w:val="30"/>
          <w:szCs w:val="30"/>
          <w:highlight w:val="none"/>
          <w:u w:val="single"/>
          <w:lang w:val="en-US" w:eastAsia="zh-CN"/>
        </w:rPr>
        <w:t xml:space="preserve">                        </w:t>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rPr>
          <w:highlight w:val="none"/>
        </w:rPr>
      </w:pPr>
      <w:r>
        <w:rPr>
          <w:highlight w:val="none"/>
        </w:rPr>
        <w:br w:type="page" w:clear="all"/>
      </w:r>
      <w:r/>
    </w:p>
    <w:p>
      <w:pPr>
        <w:tabs>
          <w:tab w:val="left" w:pos="1770" w:leader="none"/>
        </w:tabs>
        <w:rPr>
          <w:highlight w:val="none"/>
        </w:rPr>
      </w:pPr>
      <w:r>
        <w:rPr>
          <w:highlight w:val="none"/>
        </w:rPr>
      </w:r>
      <w:r/>
    </w:p>
    <w:p>
      <w:pPr>
        <w:spacing w:line="360" w:lineRule="auto"/>
        <w:tabs>
          <w:tab w:val="left" w:pos="1770" w:leader="none"/>
        </w:tabs>
        <w:rPr>
          <w:rFonts w:hint="eastAsia" w:eastAsia="宋体"/>
          <w:szCs w:val="21"/>
          <w:highlight w:val="none"/>
          <w:lang w:eastAsia="zh-CN"/>
        </w:rPr>
      </w:pPr>
      <w:r>
        <w:rPr>
          <w:rFonts w:hint="eastAsia"/>
          <w:szCs w:val="21"/>
          <w:highlight w:val="none"/>
        </w:rPr>
        <w:t xml:space="preserve">甲方：</w:t>
      </w:r>
      <w:r>
        <w:rPr>
          <w:rFonts w:hint="eastAsia"/>
          <w:szCs w:val="21"/>
          <w:highlight w:val="none"/>
          <w:u w:val="single"/>
          <w:lang w:eastAsia="zh-CN"/>
        </w:rPr>
        <w:t xml:space="preserve">南京市江宁区卫生健康委员会</w:t>
      </w:r>
      <w:r/>
    </w:p>
    <w:p>
      <w:pPr>
        <w:spacing w:line="360" w:lineRule="auto"/>
        <w:tabs>
          <w:tab w:val="left" w:pos="1770" w:leader="none"/>
        </w:tabs>
        <w:rPr>
          <w:szCs w:val="21"/>
          <w:highlight w:val="none"/>
        </w:rPr>
      </w:pPr>
      <w:r>
        <w:rPr>
          <w:rFonts w:hint="eastAsia"/>
          <w:szCs w:val="21"/>
          <w:highlight w:val="none"/>
        </w:rPr>
        <w:t xml:space="preserve">乙方：</w:t>
      </w:r>
      <w:r>
        <w:rPr>
          <w:rFonts w:hint="eastAsia"/>
          <w:szCs w:val="21"/>
          <w:highlight w:val="none"/>
          <w:u w:val="single"/>
        </w:rPr>
        <w:t xml:space="preserve">             </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甲乙双方根据《中华人民共和国民法典》的有关规定，经</w:t>
      </w:r>
      <w:r>
        <w:rPr>
          <w:rFonts w:hint="eastAsia" w:ascii="宋体" w:hAnsi="宋体" w:eastAsia="宋体" w:cs="宋体"/>
          <w:szCs w:val="21"/>
          <w:highlight w:val="none"/>
          <w:lang w:val="en-US" w:eastAsia="zh-CN"/>
        </w:rPr>
        <w:t xml:space="preserve">公开招标</w:t>
      </w:r>
      <w:r>
        <w:rPr>
          <w:rFonts w:hint="eastAsia" w:ascii="宋体" w:hAnsi="宋体" w:eastAsia="宋体" w:cs="宋体"/>
          <w:szCs w:val="21"/>
          <w:highlight w:val="none"/>
        </w:rPr>
        <w:t xml:space="preserve">，就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一事达成协议，并根据环保方面的有关要求，订立具体条款如下：</w:t>
      </w:r>
      <w:r/>
    </w:p>
    <w:p>
      <w:pPr>
        <w:numPr>
          <w:ilvl w:val="0"/>
          <w:numId w:val="3"/>
        </w:numPr>
        <w:ind w:left="0" w:firstLine="422"/>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u w:val="single"/>
        </w:rPr>
      </w:pPr>
      <w:r>
        <w:rPr>
          <w:rFonts w:hint="eastAsia" w:ascii="宋体" w:hAnsi="宋体" w:eastAsia="宋体" w:cs="宋体"/>
          <w:b/>
          <w:szCs w:val="21"/>
          <w:highlight w:val="none"/>
        </w:rPr>
        <w:t xml:space="preserve">项目名称：</w:t>
      </w:r>
      <w:r>
        <w:rPr>
          <w:rFonts w:hint="eastAsia" w:ascii="宋体" w:hAnsi="宋体" w:eastAsia="宋体" w:cs="宋体"/>
          <w:szCs w:val="21"/>
          <w:highlight w:val="none"/>
          <w:u w:val="single"/>
        </w:rPr>
        <w:t xml:space="preserve">       </w:t>
      </w:r>
      <w:r/>
    </w:p>
    <w:p>
      <w:pPr>
        <w:numPr>
          <w:ilvl w:val="0"/>
          <w:numId w:val="3"/>
        </w:numPr>
        <w:ind w:left="0" w:firstLine="422"/>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项目地点：</w:t>
      </w:r>
      <w:r>
        <w:rPr>
          <w:rFonts w:hint="eastAsia" w:ascii="宋体" w:hAnsi="宋体" w:eastAsia="宋体" w:cs="宋体"/>
          <w:bCs/>
          <w:szCs w:val="21"/>
          <w:highlight w:val="none"/>
        </w:rPr>
        <w:t xml:space="preserve">江宁区卫健委下属</w:t>
      </w:r>
      <w:r>
        <w:rPr>
          <w:rFonts w:hint="eastAsia" w:ascii="宋体" w:hAnsi="宋体" w:eastAsia="宋体" w:cs="宋体"/>
          <w:bCs/>
          <w:szCs w:val="21"/>
          <w:highlight w:val="none"/>
          <w:lang w:val="en-US" w:eastAsia="zh-CN"/>
        </w:rPr>
        <w:t xml:space="preserve">23家</w:t>
      </w:r>
      <w:r>
        <w:rPr>
          <w:rFonts w:hint="eastAsia" w:ascii="宋体" w:hAnsi="宋体" w:eastAsia="宋体" w:cs="宋体"/>
          <w:bCs/>
          <w:szCs w:val="21"/>
          <w:highlight w:val="none"/>
        </w:rPr>
        <w:t xml:space="preserve">社区卫生服务中心和</w:t>
      </w:r>
      <w:r>
        <w:rPr>
          <w:rFonts w:hint="eastAsia" w:ascii="宋体" w:hAnsi="宋体" w:eastAsia="宋体" w:cs="宋体"/>
          <w:bCs/>
          <w:szCs w:val="21"/>
          <w:highlight w:val="none"/>
          <w:lang w:val="en-US" w:eastAsia="zh-CN"/>
        </w:rPr>
        <w:t xml:space="preserve">两家</w:t>
      </w:r>
      <w:r>
        <w:rPr>
          <w:rFonts w:hint="eastAsia" w:ascii="宋体" w:hAnsi="宋体" w:eastAsia="宋体" w:cs="宋体"/>
          <w:bCs/>
          <w:szCs w:val="21"/>
          <w:highlight w:val="none"/>
        </w:rPr>
        <w:t xml:space="preserve">公卫单位污水处理运维服务</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三、承包范围：</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出水水质：必须达到国家有关医疗机构水污染物处理排放相关标准以及上级各职能部门含环保、卫监、质检、感染等部门的相关要求，各类台帐需达到</w:t>
      </w:r>
      <w:r>
        <w:rPr>
          <w:rFonts w:hint="eastAsia" w:ascii="宋体" w:hAnsi="宋体" w:eastAsia="宋体" w:cs="宋体"/>
          <w:bCs/>
          <w:szCs w:val="21"/>
          <w:highlight w:val="none"/>
          <w:lang w:val="en-US" w:eastAsia="zh-CN"/>
        </w:rPr>
        <w:t xml:space="preserve">甲方</w:t>
      </w:r>
      <w:r>
        <w:rPr>
          <w:rFonts w:hint="eastAsia" w:ascii="宋体" w:hAnsi="宋体" w:eastAsia="宋体" w:cs="宋体"/>
          <w:bCs/>
          <w:szCs w:val="21"/>
          <w:highlight w:val="none"/>
        </w:rPr>
        <w:t xml:space="preserve">的检查和评审要求。</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承担污水处理站的日常管理、操作和运行维护工作，包括但不限于：设备运行管理和工作状况记录；水质监测与自检记录；设备日常维护保养及记录、交接班记录、各项检查与数据管理等工作；确保污水经处理后水质达标排放。</w:t>
      </w:r>
      <w:r/>
    </w:p>
    <w:p>
      <w:pPr>
        <w:numPr>
          <w:ilvl w:val="0"/>
          <w:numId w:val="4"/>
        </w:numPr>
        <w:ind w:left="0" w:firstLine="420"/>
        <w:jc w:val="left"/>
        <w:keepLines w:val="0"/>
        <w:keepNext w:val="0"/>
        <w:pageBreakBefore w:val="0"/>
        <w:spacing w:line="360" w:lineRule="auto"/>
        <w:widowControl w:val="off"/>
        <w:tabs>
          <w:tab w:val="left" w:pos="426" w:leader="none"/>
          <w:tab w:val="left" w:pos="709" w:leader="none"/>
        </w:tabs>
        <w:rPr>
          <w:rFonts w:hint="eastAsia" w:ascii="宋体" w:hAnsi="宋体" w:eastAsia="宋体" w:cs="宋体"/>
          <w:bCs w:val="0"/>
          <w:szCs w:val="21"/>
          <w:highlight w:val="none"/>
        </w:rPr>
      </w:pPr>
      <w:r>
        <w:rPr>
          <w:rFonts w:hint="eastAsia" w:ascii="宋体" w:hAnsi="宋体" w:eastAsia="宋体" w:cs="宋体"/>
          <w:szCs w:val="21"/>
          <w:highlight w:val="none"/>
        </w:rPr>
        <w:t xml:space="preserve">保证污水处理设施的安全运行；防止污水漫溢，及时清理栅渣、漂浮物和淤泥，</w:t>
      </w:r>
      <w:r>
        <w:rPr>
          <w:rFonts w:hint="eastAsia" w:ascii="宋体" w:hAnsi="宋体" w:eastAsia="宋体" w:cs="宋体"/>
          <w:bCs/>
          <w:szCs w:val="21"/>
          <w:highlight w:val="none"/>
        </w:rPr>
        <w:t xml:space="preserve">定期更换废气处理设施活性炭（包括活性炭的供应、拆装），做好台账交接记录，妥善处理好废渣和污泥的消毒、固废物处理等工作，维护好</w:t>
      </w:r>
      <w:r>
        <w:rPr>
          <w:rFonts w:hint="eastAsia" w:ascii="宋体" w:hAnsi="宋体" w:eastAsia="宋体" w:cs="宋体"/>
          <w:szCs w:val="21"/>
          <w:highlight w:val="none"/>
        </w:rPr>
        <w:t xml:space="preserve">污水处理站及周边环境的卫生</w:t>
      </w:r>
      <w:r>
        <w:rPr>
          <w:rFonts w:hint="eastAsia" w:ascii="宋体" w:hAnsi="宋体" w:eastAsia="宋体" w:cs="宋体"/>
          <w:bCs/>
          <w:szCs w:val="21"/>
          <w:highlight w:val="none"/>
        </w:rPr>
        <w:t xml:space="preserve">。</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负责消毒药剂的供应、贮存、保管、使用及相关废液处置工作，严格按照危险品使用管理规范执行。</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接受</w:t>
      </w:r>
      <w:r>
        <w:rPr>
          <w:rFonts w:hint="eastAsia" w:ascii="宋体" w:hAnsi="宋体" w:eastAsia="宋体" w:cs="宋体"/>
          <w:bCs/>
          <w:szCs w:val="21"/>
          <w:highlight w:val="none"/>
          <w:lang w:val="en-US" w:eastAsia="zh-CN"/>
        </w:rPr>
        <w:t xml:space="preserve">服务单位、采购人</w:t>
      </w:r>
      <w:r>
        <w:rPr>
          <w:rFonts w:hint="eastAsia" w:ascii="宋体" w:hAnsi="宋体" w:eastAsia="宋体" w:cs="宋体"/>
          <w:bCs/>
          <w:szCs w:val="21"/>
          <w:highlight w:val="none"/>
        </w:rPr>
        <w:t xml:space="preserve">、环保、疾控中心等管理部门的监督管理；配合</w:t>
      </w:r>
      <w:r>
        <w:rPr>
          <w:rFonts w:hint="eastAsia" w:ascii="宋体" w:hAnsi="宋体" w:eastAsia="宋体" w:cs="宋体"/>
          <w:bCs/>
          <w:szCs w:val="21"/>
          <w:highlight w:val="none"/>
          <w:lang w:val="en-US" w:eastAsia="zh-CN"/>
        </w:rPr>
        <w:t xml:space="preserve">服务单位</w:t>
      </w:r>
      <w:r>
        <w:rPr>
          <w:rFonts w:hint="eastAsia" w:ascii="宋体" w:hAnsi="宋体" w:eastAsia="宋体" w:cs="宋体"/>
          <w:bCs/>
          <w:szCs w:val="21"/>
          <w:highlight w:val="none"/>
        </w:rPr>
        <w:t xml:space="preserve">完成各项检查任务。</w:t>
      </w:r>
      <w:r/>
    </w:p>
    <w:p>
      <w:pPr>
        <w:numPr>
          <w:ilvl w:val="0"/>
          <w:numId w:val="4"/>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每</w:t>
      </w:r>
      <w:r>
        <w:rPr>
          <w:rFonts w:hint="eastAsia" w:ascii="宋体" w:hAnsi="宋体" w:cs="宋体"/>
          <w:szCs w:val="21"/>
          <w:highlight w:val="none"/>
          <w:lang w:val="en-US" w:eastAsia="zh-CN"/>
        </w:rPr>
        <w:t xml:space="preserve">周</w:t>
      </w:r>
      <w:r>
        <w:rPr>
          <w:rFonts w:hint="eastAsia" w:ascii="宋体" w:hAnsi="宋体" w:eastAsia="宋体" w:cs="宋体"/>
          <w:szCs w:val="21"/>
          <w:highlight w:val="none"/>
        </w:rPr>
        <w:t xml:space="preserve">自检余氯、PH</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次，并记录在规范表格。</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落实污水处理进、出水的检测与报告制度，保证出水水质符合相关要求。（包括上级各主管部门：环保、卫健、质检、水务、消防、应急、疾控等的要求，以及经院方认可的检测合格要求），各类台账须满足</w:t>
      </w:r>
      <w:r>
        <w:rPr>
          <w:rFonts w:hint="eastAsia" w:ascii="宋体" w:hAnsi="宋体" w:eastAsia="宋体" w:cs="宋体"/>
          <w:bCs/>
          <w:szCs w:val="21"/>
          <w:highlight w:val="none"/>
          <w:lang w:val="en-US" w:eastAsia="zh-CN"/>
        </w:rPr>
        <w:t xml:space="preserve">甲方</w:t>
      </w:r>
      <w:r>
        <w:rPr>
          <w:rFonts w:hint="eastAsia" w:ascii="宋体" w:hAnsi="宋体" w:eastAsia="宋体" w:cs="宋体"/>
          <w:bCs/>
          <w:szCs w:val="21"/>
          <w:highlight w:val="none"/>
        </w:rPr>
        <w:t xml:space="preserve">的要求。</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配合院方安全生产相关管理要求和规定。</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定期开展安全生产培训和污水处理相关应急演练。</w:t>
      </w:r>
      <w:r/>
    </w:p>
    <w:p>
      <w:pPr>
        <w:numPr>
          <w:ilvl w:val="0"/>
          <w:numId w:val="0"/>
        </w:numPr>
        <w:ind w:left="0" w:firstLine="420"/>
        <w:jc w:val="left"/>
        <w:keepLines w:val="0"/>
        <w:keepNext w:val="0"/>
        <w:pageBreakBefore w:val="0"/>
        <w:spacing w:line="360" w:lineRule="auto"/>
        <w:widowControl w:val="off"/>
        <w:tabs>
          <w:tab w:val="left" w:pos="78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10、乙方承担在管理过程中由于人员违规、设备故障、出水超标等引起的影响到</w:t>
      </w:r>
      <w:r>
        <w:rPr>
          <w:rFonts w:hint="eastAsia" w:ascii="宋体" w:hAnsi="宋体" w:eastAsia="宋体" w:cs="宋体"/>
          <w:bCs/>
          <w:szCs w:val="21"/>
          <w:highlight w:val="none"/>
          <w:lang w:val="en-US" w:eastAsia="zh-CN"/>
        </w:rPr>
        <w:t xml:space="preserve">服务单位</w:t>
      </w:r>
      <w:r>
        <w:rPr>
          <w:rFonts w:hint="eastAsia" w:ascii="宋体" w:hAnsi="宋体" w:eastAsia="宋体" w:cs="宋体"/>
          <w:bCs/>
          <w:szCs w:val="21"/>
          <w:highlight w:val="none"/>
        </w:rPr>
        <w:t xml:space="preserve">正常生产所造成的一切责任和损失由乙方承担，并负责整改直至出水达到排放标准。</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四、乙方须保证所供产品、服务质量合格，不得弄虚作假、不得提供假冒伪劣产品、不合格服务或任意提供合同外产品、服务。</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五、技术要求：</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出水水质：达到《医疗机构水污染物排放标准》GB18466-2005预处理标准以及上级各职能部门含环保、卫监、质检、感染等部门的相关要求。处理工艺：生物净化+次氯酸钠消毒。</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设备维护和保养：负责运营期内污水站设备的维护保养，保证设备正常运转。</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日常记录及保管：应满足运营要求，记录详细完整，可随时备查。</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每年需提供贰份合格的</w:t>
      </w:r>
      <w:r>
        <w:rPr>
          <w:rFonts w:hint="eastAsia" w:ascii="宋体" w:hAnsi="宋体" w:eastAsia="宋体" w:cs="宋体"/>
          <w:szCs w:val="21"/>
          <w:highlight w:val="none"/>
          <w:lang w:val="en-US" w:eastAsia="zh-CN"/>
        </w:rPr>
        <w:t xml:space="preserve">由不同的第三方检测机构出具的</w:t>
      </w:r>
      <w:r>
        <w:rPr>
          <w:rFonts w:hint="eastAsia" w:ascii="宋体" w:hAnsi="宋体" w:eastAsia="宋体" w:cs="宋体"/>
          <w:szCs w:val="21"/>
          <w:highlight w:val="none"/>
        </w:rPr>
        <w:t xml:space="preserve">水质检测报告</w:t>
      </w:r>
      <w:r>
        <w:rPr>
          <w:rFonts w:hint="eastAsia" w:ascii="Times New Roman" w:hAnsi="Times New Roman" w:eastAsia="宋体" w:cs="Times New Roman"/>
          <w:highlight w:val="none"/>
          <w:lang w:val="en-US" w:eastAsia="zh-CN"/>
        </w:rPr>
        <w:t xml:space="preserve">（包含但不限于志贺菌、沙门氏菌、大肠杆菌等的检测），并确保水质检测合格</w:t>
      </w:r>
      <w:r>
        <w:rPr>
          <w:rFonts w:hint="eastAsia" w:ascii="宋体" w:hAnsi="宋体" w:eastAsia="宋体" w:cs="宋体"/>
          <w:szCs w:val="21"/>
          <w:highlight w:val="none"/>
        </w:rPr>
        <w:t xml:space="preserve">。检测费由乙方负责。</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六、合同费用：</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元（大写：    ）含人工、材料（消毒剂、活性炭、应急物资、安全防护等）、清淤、疏通（</w:t>
      </w:r>
      <w:r>
        <w:rPr>
          <w:rFonts w:hint="eastAsia" w:ascii="宋体" w:hAnsi="宋体" w:eastAsia="宋体" w:cs="宋体"/>
          <w:bCs/>
          <w:szCs w:val="21"/>
          <w:highlight w:val="none"/>
        </w:rPr>
        <w:t xml:space="preserve">及时清理格栅和沉淀池、污泥池污泥，污水处理池不得漫溢，漂浮物、污泥等须按环保要求妥善处理）、维修保养乙方负责运营期内污水站设备的维修与保养更新，确保设备完好运行。</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包括：</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1、水泵、曝气机、消毒加药维修及配件更新、监控、采样收集、在线设备及后续加装设备的质保后的维保项目等；</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2、电控设备检修、配件更换等；</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3、进、排水管道及系统管道阀门的维修更换等。</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污水处理范围内的各种设备管道等需定期进行除锈刷漆防腐保养，每年不得少于2次。（其中：</w:t>
      </w:r>
      <w:r>
        <w:rPr>
          <w:rFonts w:hint="eastAsia" w:ascii="宋体" w:hAnsi="宋体" w:eastAsia="宋体" w:cs="宋体"/>
          <w:bCs/>
          <w:szCs w:val="21"/>
          <w:highlight w:val="none"/>
        </w:rPr>
        <w:t xml:space="preserve">所有污水站药剂由乙方提供。乙方必须保证药剂质量合格，污水处理达标排放，并提供消毒药剂供应厂商授权书、检测报告、留样，做好台账交接记录。</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szCs w:val="21"/>
          <w:highlight w:val="none"/>
        </w:rPr>
        <w:t xml:space="preserve">5、</w:t>
      </w:r>
      <w:r>
        <w:rPr>
          <w:rFonts w:hint="eastAsia" w:ascii="宋体" w:hAnsi="宋体" w:eastAsia="宋体" w:cs="宋体"/>
          <w:bCs/>
          <w:szCs w:val="21"/>
          <w:highlight w:val="none"/>
        </w:rPr>
        <w:t xml:space="preserve">乙方须承担医院污水处理日常工作所需要的工具、药剂等材料费用，包括但不限于：检测工具、检测材料、药剂、日常维修材料、安全防护用品、应急物资等。</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2、运行费用的支付与结算：</w:t>
      </w:r>
      <w:r>
        <w:rPr>
          <w:rFonts w:hint="eastAsia" w:ascii="宋体" w:hAnsi="宋体" w:eastAsia="宋体" w:cs="宋体"/>
          <w:szCs w:val="21"/>
          <w:highlight w:val="none"/>
        </w:rPr>
        <w:t xml:space="preserve">协议签定后根据甲方考核结果按</w:t>
      </w:r>
      <w:r>
        <w:rPr>
          <w:rFonts w:hint="eastAsia" w:ascii="宋体" w:hAnsi="宋体" w:cs="宋体"/>
          <w:szCs w:val="21"/>
          <w:highlight w:val="none"/>
          <w:lang w:val="en-US" w:eastAsia="zh-CN"/>
        </w:rPr>
        <w:t xml:space="preserve">季度</w:t>
      </w:r>
      <w:r>
        <w:rPr>
          <w:rFonts w:hint="eastAsia" w:ascii="宋体" w:hAnsi="宋体" w:eastAsia="宋体" w:cs="宋体"/>
          <w:szCs w:val="21"/>
          <w:highlight w:val="none"/>
        </w:rPr>
        <w:t xml:space="preserve">结算，乙方凭考核表（考核表附后）向甲方申请支付费用，甲方于</w:t>
      </w:r>
      <w:r>
        <w:rPr>
          <w:rFonts w:hint="eastAsia" w:ascii="宋体" w:hAnsi="宋体" w:cs="宋体"/>
          <w:szCs w:val="21"/>
          <w:highlight w:val="none"/>
          <w:lang w:val="en-US" w:eastAsia="zh-CN"/>
        </w:rPr>
        <w:t xml:space="preserve">下一季度首月</w:t>
      </w:r>
      <w:r>
        <w:rPr>
          <w:rFonts w:hint="eastAsia" w:ascii="宋体" w:hAnsi="宋体" w:eastAsia="宋体" w:cs="宋体"/>
          <w:szCs w:val="21"/>
          <w:highlight w:val="none"/>
        </w:rPr>
        <w:t xml:space="preserve">按时付款。支付经考核后的实际维保费用。</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负责运营期内污水站设备的维修与保养及更新，确保设备完好运行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托管期间的设备</w:t>
      </w:r>
      <w:r>
        <w:rPr>
          <w:rFonts w:hint="eastAsia" w:ascii="宋体" w:hAnsi="宋体" w:eastAsia="宋体" w:cs="宋体"/>
          <w:szCs w:val="21"/>
          <w:highlight w:val="none"/>
          <w:lang w:val="en-US" w:eastAsia="zh-CN"/>
        </w:rPr>
        <w:t xml:space="preserve">或配件的</w:t>
      </w:r>
      <w:r>
        <w:rPr>
          <w:rFonts w:hint="eastAsia" w:ascii="宋体" w:hAnsi="宋体" w:eastAsia="宋体" w:cs="宋体"/>
          <w:szCs w:val="21"/>
          <w:highlight w:val="none"/>
        </w:rPr>
        <w:t xml:space="preserve">更换费用由</w:t>
      </w:r>
      <w:r>
        <w:rPr>
          <w:rFonts w:hint="eastAsia" w:ascii="宋体" w:hAnsi="宋体" w:eastAsia="宋体" w:cs="宋体"/>
          <w:szCs w:val="21"/>
          <w:highlight w:val="none"/>
          <w:lang w:val="en-US" w:eastAsia="zh-CN"/>
        </w:rPr>
        <w:t xml:space="preserve">运维</w:t>
      </w:r>
      <w:r>
        <w:rPr>
          <w:rFonts w:hint="eastAsia" w:ascii="宋体" w:hAnsi="宋体" w:eastAsia="宋体" w:cs="宋体"/>
          <w:szCs w:val="21"/>
          <w:highlight w:val="none"/>
        </w:rPr>
        <w:t xml:space="preserve">单位承担（</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000 元以下设备由</w:t>
      </w:r>
      <w:r>
        <w:rPr>
          <w:rFonts w:hint="eastAsia" w:ascii="宋体" w:hAnsi="宋体" w:eastAsia="宋体" w:cs="宋体"/>
          <w:szCs w:val="21"/>
          <w:highlight w:val="none"/>
          <w:lang w:val="en-US" w:eastAsia="zh-CN"/>
        </w:rPr>
        <w:t xml:space="preserve">运维</w:t>
      </w:r>
      <w:r>
        <w:rPr>
          <w:rFonts w:hint="eastAsia" w:ascii="宋体" w:hAnsi="宋体" w:eastAsia="宋体" w:cs="宋体"/>
          <w:szCs w:val="21"/>
          <w:highlight w:val="none"/>
        </w:rPr>
        <w:t xml:space="preserve">单位承担，</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000 元以上设备需提出申请由</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采购</w:t>
      </w:r>
      <w:r>
        <w:rPr>
          <w:rFonts w:hint="eastAsia" w:ascii="宋体" w:hAnsi="宋体" w:eastAsia="宋体" w:cs="宋体"/>
          <w:szCs w:val="21"/>
          <w:highlight w:val="none"/>
          <w:lang w:val="en-US" w:eastAsia="zh-CN"/>
        </w:rPr>
        <w:t xml:space="preserve">或者经甲方同意由运维单位采购更换</w:t>
      </w:r>
      <w:r>
        <w:rPr>
          <w:rFonts w:hint="eastAsia" w:ascii="宋体" w:hAnsi="宋体" w:cs="宋体"/>
          <w:szCs w:val="21"/>
          <w:highlight w:val="none"/>
          <w:lang w:val="en-US" w:eastAsia="zh-CN"/>
        </w:rPr>
        <w:t xml:space="preserve">，</w:t>
      </w:r>
      <w:r>
        <w:rPr>
          <w:rFonts w:hint="eastAsia" w:cs="MS Mincho"/>
          <w:szCs w:val="21"/>
          <w:highlight w:val="none"/>
        </w:rPr>
        <w:t xml:space="preserve">乙方承诺只收取成本费</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具体内容</w:t>
      </w:r>
      <w:r>
        <w:rPr>
          <w:rFonts w:hint="eastAsia" w:ascii="宋体" w:hAnsi="宋体" w:eastAsia="宋体" w:cs="宋体"/>
          <w:szCs w:val="21"/>
          <w:highlight w:val="none"/>
        </w:rPr>
        <w:t xml:space="preserve">包括：</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（1）水泵、曝气机、加药维修及配件更新等；</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（2）电控设备检修、配件更换等.</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（3）进、排水管道及系统管道阀门的维修更换等。</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七、托管期限：</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1、合同周期为：</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两</w:t>
      </w:r>
      <w:r>
        <w:rPr>
          <w:rFonts w:hint="eastAsia" w:ascii="宋体" w:hAnsi="宋体" w:eastAsia="宋体" w:cs="宋体"/>
          <w:szCs w:val="21"/>
          <w:highlight w:val="none"/>
          <w:u w:val="single"/>
          <w:lang w:val="en-US" w:eastAsia="zh-CN"/>
        </w:rPr>
        <w:t xml:space="preserve">年 </w:t>
      </w:r>
      <w:r>
        <w:rPr>
          <w:rFonts w:hint="eastAsia" w:ascii="宋体" w:hAnsi="宋体" w:eastAsia="宋体" w:cs="宋体"/>
          <w:szCs w:val="21"/>
          <w:highlight w:val="none"/>
        </w:rPr>
        <w:t xml:space="preserve">。</w:t>
      </w:r>
      <w:r/>
    </w:p>
    <w:p>
      <w:pPr>
        <w:ind w:left="0" w:firstLine="420"/>
        <w:jc w:val="left"/>
        <w:keepLines w:val="0"/>
        <w:keepNext w:val="0"/>
        <w:pageBreakBefore w:val="0"/>
        <w:spacing w:line="360" w:lineRule="auto"/>
        <w:widowControl w:val="off"/>
        <w:tabs>
          <w:tab w:val="left" w:pos="48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本期</w:t>
      </w:r>
      <w:r>
        <w:rPr>
          <w:rFonts w:hint="eastAsia" w:ascii="宋体" w:hAnsi="宋体" w:eastAsia="宋体" w:cs="宋体"/>
          <w:szCs w:val="21"/>
          <w:highlight w:val="none"/>
        </w:rPr>
        <w:t xml:space="preserve">合同时间为：</w:t>
      </w:r>
      <w:r>
        <w:rPr>
          <w:rFonts w:hint="eastAsia" w:ascii="宋体" w:hAnsi="宋体" w:eastAsia="宋体" w:cs="宋体"/>
          <w:szCs w:val="21"/>
          <w:highlight w:val="none"/>
          <w:u w:val="single"/>
        </w:rPr>
        <w:t xml:space="preserve"> 202</w:t>
      </w:r>
      <w:r>
        <w:rPr>
          <w:rFonts w:hint="eastAsia" w:ascii="宋体" w:hAnsi="宋体" w:cs="宋体"/>
          <w:szCs w:val="21"/>
          <w:highlight w:val="none"/>
          <w:u w:val="singl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日起至 </w:t>
      </w:r>
      <w:r>
        <w:rPr>
          <w:rFonts w:hint="eastAsia" w:ascii="宋体" w:hAnsi="宋体" w:eastAsia="宋体" w:cs="宋体"/>
          <w:szCs w:val="21"/>
          <w:highlight w:val="none"/>
          <w:u w:val="single"/>
        </w:rPr>
        <w:t xml:space="preserve">202</w:t>
      </w:r>
      <w:r>
        <w:rPr>
          <w:rFonts w:hint="eastAsia" w:ascii="宋体" w:hAnsi="宋体" w:cs="宋体"/>
          <w:szCs w:val="21"/>
          <w:highlight w:val="none"/>
          <w:u w:val="single"/>
          <w:lang w:val="en-US" w:eastAsia="zh-CN"/>
        </w:rPr>
        <w:t xml:space="preserve">7</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日止。</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八、双方权力和义务：</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1、所有污水站药剂由乙方提供，乙方必须保证药剂质量合格，并提供消毒药剂供应厂商授权书</w:t>
      </w:r>
      <w:r>
        <w:rPr>
          <w:rFonts w:hint="eastAsia" w:ascii="宋体" w:hAnsi="宋体" w:eastAsia="宋体" w:cs="宋体"/>
          <w:bCs/>
          <w:szCs w:val="21"/>
          <w:highlight w:val="none"/>
        </w:rPr>
        <w:t xml:space="preserve">、检测报告、留样，做好台账交接记录</w:t>
      </w:r>
      <w:r>
        <w:rPr>
          <w:rFonts w:hint="eastAsia" w:ascii="宋体" w:hAnsi="宋体" w:eastAsia="宋体" w:cs="宋体"/>
          <w:szCs w:val="21"/>
          <w:highlight w:val="none"/>
        </w:rPr>
        <w:t xml:space="preserve">。乙方须每天详细记录消毒药剂使用量，每月请甲方项目负责人签字确认。</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2、乙方必须严格遵守甲方的各项管理规定。</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3、在托管过程中因乙方管理不善出现的火灾、人身伤亡等所有安全事故及其他财产损失由乙方自行承担。</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4、污水处理站房屋、设施、设备的产权为甲方所有，乙方必须保证其完整性、完好性。</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5、乙方派遣的托管人员应在甲方的统一领导下，接受甲方的监督管理。甲方可随时检查考核污水处理的运行状况和水质。对于不合格的问题提出整改意见，乙方应立即进行整改，直至符合要求。</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6、托管期间的设备维保费用由乙方承担，托管期满后乙方应保证设备完好且移交甲方后半年内设备可正常运行。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7、托管期间，巡检服务人做好运行记录</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应服从甲方管理。</w:t>
      </w:r>
      <w:r/>
    </w:p>
    <w:p>
      <w:pPr>
        <w:ind w:left="0" w:firstLine="422"/>
        <w:jc w:val="left"/>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九、甲乙双方须遵守《</w:t>
      </w:r>
      <w:r>
        <w:rPr>
          <w:rFonts w:hint="eastAsia" w:ascii="宋体" w:hAnsi="宋体" w:eastAsia="宋体" w:cs="宋体"/>
          <w:b/>
          <w:bCs/>
          <w:szCs w:val="21"/>
          <w:highlight w:val="none"/>
          <w:lang w:eastAsia="zh-CN"/>
        </w:rPr>
        <w:t xml:space="preserve">南京市江宁区卫生健康委员会</w:t>
      </w:r>
      <w:r>
        <w:rPr>
          <w:rFonts w:hint="eastAsia" w:ascii="宋体" w:hAnsi="宋体" w:eastAsia="宋体" w:cs="宋体"/>
          <w:b/>
          <w:bCs/>
          <w:szCs w:val="21"/>
          <w:highlight w:val="none"/>
        </w:rPr>
        <w:t xml:space="preserve">物资购销廉洁条例》，条例内容如下：</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为进一步加强医疗卫生行风建设，规范医疗卫生机构医药购销行为，有效防范商业贿赂行为，营造公平交易、诚实守信的购销环境，</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特制定本条例，以资医疗卫生机构医药购销双方共同遵守：</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1、合同双方按照《中华人民共和国民法典》及购销廉洁合约约定购销药品、医用设备、医用耗材及行政办公物资等。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2、甲方应当严格执行产品购销合同验收、入库制度，对采购产品及发票进行查验，不得违反有关规定合同外采购、违价采购或从非规定渠道采购。</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4、甲方严禁利用任何途径和方式，为乙方统计医师个人及临床科室有关产品用量信息，或为乙方统计提供便利。</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5、乙方不得以回扣、宴请等方式影响甲方工作人员采购或使用产品的选择权，不得在学术活动中提供旅游、超标准支付食宿费用。</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7、乙方承诺其公司法定代表人、实际控制人或者股东中无</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处级以上干部，且无医院处级以上干部配偶、子女、子女配偶、子女配偶的父母，或者与其同城生活来往密切、有借贷关系或照护关系的亲属等。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8、乙方如违反本廉洁条例，一经发现，甲方有权终止购销合同，并向上级主管部门报告。如乙方被列入商业贿赂不良记录，则严格按照国家相关规定处理。</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9、本廉洁条例在产品购销过程中，合同各方均需严格遵守。</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10、本条例由</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负责解释。</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11、本条例自即日起施行。</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十、违约责任：</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1、甲、乙双方要求解除合同协议，须提前一个月书面通知对方。</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2、因乙方在管理过程中，引起本污水处理系统出水超标，导致发生上级管理部门的一切处罚责任和费用</w:t>
      </w:r>
      <w:r>
        <w:rPr>
          <w:rFonts w:hint="eastAsia" w:ascii="宋体" w:hAnsi="宋体" w:eastAsia="宋体" w:cs="宋体"/>
          <w:szCs w:val="21"/>
          <w:highlight w:val="none"/>
          <w:lang w:val="en-US" w:eastAsia="zh-CN"/>
        </w:rPr>
        <w:t xml:space="preserve">以及对医院造成的损失</w:t>
      </w:r>
      <w:r>
        <w:rPr>
          <w:rFonts w:hint="eastAsia" w:ascii="宋体" w:hAnsi="宋体" w:eastAsia="宋体" w:cs="宋体"/>
          <w:szCs w:val="21"/>
          <w:highlight w:val="none"/>
        </w:rPr>
        <w:t xml:space="preserve">由乙方承担，并负责整改直至出水达到排放标准。</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3、乙方在管理过程中，因管理不善导致设备运行不正常，相关设备维修费由乙方负责；影响到甲方的正常工作，要承担相关的责任。</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4、乙方须服从甲方的业务考核，如果业务考核不达标，甲方有权按照污水处理维护运行的考核标准进行处罚。《考核标准》详见附件</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5、甲方未按时支付托管费用所造成的后果，乙方不承担责任。</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乙方提供的货物（服务）必须保证质量。如不符合质量要求，乙方应在接到甲方通知后24小时内负责更换调整直至符合质量要求。如乙方未按合同约定提供合格货物（服务），并拒不按甲方要求整改，或向甲方提供假冒伪劣货物的，乙方按本批次所购货物(服务）金额的10倍向甲方支付违约金。如果乙方在收到甲方通知后的10日内没有或拒不承担违约责任的，则甲方有权从尚未支付乙方的购货（服务）价款中扣回违约金，甲方有权因此解除本合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如果乙方没有按照合同规定时间交货（提供服务）的，每逾期一日，乙方应按逾期交付货物（提供服务）价款总值的1%计算，向甲方支付逾期交货（提供服务）违约金，但该违约金总额不超过合同（服务）总金额的30%。乙方延期交货10日以上的，则视为乙方不能交货（提供服务），甲方有权因此解除本合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 7 日内，仍未整改的。</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9、乙方发生下列违约行为，应按协议（合同）总额的30%计算向甲方支付违约金。</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（1）乙方未能对从系统中获得的甲方医疗信息和患者诊疗信息永久保密。</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（2）乙方在甲方提供维护的工程技术人员，未经甲方同意或未按甲方要求擅自修改甲方信息系统的数据文件，给甲方造成损失的。</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（3）乙方违反《</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物资购销廉洁条例》的规定。</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11、乙方若违反本协议（合同）第四款和第九款均视为对本协议（合同）的重大违约，甲方有权随时书面通知乙方立即终止本协议（合同）。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12、因乙方上述违约行为给甲方造成损失（包括甲方所有直接和间接损失），如果违约金不足以补偿该损失部分的，甲方有权继续要求乙方赔偿甲方所有实际损失。</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13、以上各项交付的违约金并不影响乙方履行本合同的各项义务。</w:t>
      </w:r>
      <w:r/>
    </w:p>
    <w:p>
      <w:pPr>
        <w:pStyle w:val="866"/>
        <w:ind w:left="0" w:firstLine="422"/>
        <w:jc w:val="left"/>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十二、安全责任约定：</w:t>
      </w:r>
      <w:r/>
    </w:p>
    <w:p>
      <w:pPr>
        <w:pStyle w:val="866"/>
        <w:ind w:left="0" w:firstLine="420"/>
        <w:jc w:val="left"/>
        <w:keepLines w:val="0"/>
        <w:keepNext w:val="0"/>
        <w:pageBreakBefore w:val="0"/>
        <w:spacing w:after="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十三、争议的解决</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1、因管理不善引发设备损坏而发生争议的，应当邀请国家认可的质量检测机构对设备进行鉴定。不属于管理原因的，鉴定费由甲方承担；属于因管理不善引发设备损坏的，鉴定费由乙方承担。</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2、因履行本合同或与本合同有关的争议，甲、乙双方应首先通过友好协商解决，如果协商不能解决争议，则采取以下第（1）种方式解决争议；</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（1）向甲方所在地有管辖权的人民法院提起诉讼；</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（2）向南京仲裁委员会按其仲裁规则申请仲裁。</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3、在诉讼期间，本合同应继续履行。</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十四条 合同生效及其他</w:t>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本合同自签订之日起生效。</w:t>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本合同一式四份，甲方三份，乙方一份，自双方签字之日起生效。</w:t>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本合同应按照中华人民共和国的现行法律进行解释。</w:t>
      </w:r>
      <w:r/>
    </w:p>
    <w:p>
      <w:pPr>
        <w:pStyle w:val="866"/>
        <w:ind w:left="0" w:firstLine="420"/>
        <w:jc w:val="left"/>
        <w:keepLines w:val="0"/>
        <w:keepNext w:val="0"/>
        <w:pageBreakBefore w:val="0"/>
        <w:spacing w:after="0" w:line="360" w:lineRule="auto"/>
        <w:widowControl w:val="off"/>
        <w:rPr>
          <w:rFonts w:hint="eastAsia" w:ascii="宋体" w:hAnsi="宋体" w:eastAsia="宋体" w:cs="宋体"/>
          <w:highlight w:val="none"/>
        </w:rPr>
      </w:pPr>
      <w:r>
        <w:rPr>
          <w:rFonts w:hint="eastAsia" w:ascii="宋体" w:hAnsi="宋体" w:eastAsia="宋体" w:cs="宋体"/>
          <w:szCs w:val="21"/>
          <w:highlight w:val="none"/>
        </w:rPr>
        <w:t xml:space="preserve">4、本项目招投标文件《</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污水站运维服务》具有同等法律效力。</w:t>
      </w:r>
      <w:r/>
    </w:p>
    <w:p>
      <w:pPr>
        <w:jc w:val="left"/>
        <w:spacing w:line="360" w:lineRule="auto"/>
        <w:rPr>
          <w:rFonts w:hint="eastAsia" w:ascii="宋体" w:hAnsi="宋体"/>
          <w:szCs w:val="21"/>
          <w:highlight w:val="none"/>
        </w:rPr>
      </w:pPr>
      <w:r>
        <w:rPr>
          <w:rFonts w:hint="eastAsia" w:ascii="宋体" w:hAnsi="宋体"/>
          <w:szCs w:val="21"/>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合同附件：</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          附件</w:t>
      </w:r>
      <w:r>
        <w:rPr>
          <w:rFonts w:hint="eastAsia" w:ascii="宋体" w:hAnsi="宋体"/>
          <w:szCs w:val="21"/>
          <w:highlight w:val="none"/>
          <w:lang w:val="en-US" w:eastAsia="zh-CN"/>
        </w:rPr>
        <w:t xml:space="preserve">1</w:t>
      </w:r>
      <w:r>
        <w:rPr>
          <w:rFonts w:hint="eastAsia" w:ascii="宋体" w:hAnsi="宋体"/>
          <w:szCs w:val="21"/>
          <w:highlight w:val="none"/>
        </w:rPr>
        <w:t xml:space="preserve"> 《污水处理运行考核标准》</w:t>
      </w:r>
      <w:r/>
    </w:p>
    <w:p>
      <w:pPr>
        <w:pStyle w:val="900"/>
        <w:rPr>
          <w:rFonts w:hint="eastAsia"/>
          <w:highlight w:val="none"/>
        </w:rPr>
      </w:pPr>
      <w:r>
        <w:rPr>
          <w:rFonts w:hint="eastAsia"/>
          <w:highlight w:val="none"/>
        </w:rPr>
      </w:r>
      <w:r/>
    </w:p>
    <w:tbl>
      <w:tblPr>
        <w:tblStyle w:val="901"/>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51"/>
        <w:gridCol w:w="4071"/>
      </w:tblGrid>
      <w:tr>
        <w:trPr>
          <w:jc w:val="center"/>
          <w:trHeight w:val="561"/>
        </w:trPr>
        <w:tc>
          <w:tcPr>
            <w:tcW w:w="445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甲方：</w:t>
            </w:r>
            <w:r>
              <w:rPr>
                <w:rFonts w:hint="eastAsia" w:ascii="宋体" w:hAnsi="宋体" w:eastAsia="宋体" w:cs="宋体"/>
                <w:b/>
                <w:bCs/>
                <w:sz w:val="21"/>
                <w:szCs w:val="21"/>
                <w:highlight w:val="none"/>
                <w:u w:val="single"/>
                <w:lang w:val="en-US" w:eastAsia="zh-CN" w:bidi="ar-SA"/>
              </w:rPr>
              <w:t xml:space="preserve">南京市江宁区卫生健康委员会</w:t>
            </w:r>
            <w:r>
              <w:rPr>
                <w:rFonts w:hint="eastAsia" w:ascii="宋体" w:hAnsi="宋体" w:eastAsia="宋体" w:cs="宋体"/>
                <w:b/>
                <w:bCs/>
                <w:sz w:val="21"/>
                <w:szCs w:val="21"/>
                <w:highlight w:val="none"/>
                <w:lang w:val="en-US" w:eastAsia="zh-CN" w:bidi="ar-SA"/>
              </w:rPr>
              <w:t xml:space="preserve">（盖章）</w:t>
            </w:r>
            <w:r/>
          </w:p>
        </w:tc>
        <w:tc>
          <w:tcPr>
            <w:tcW w:w="407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乙方：</w:t>
            </w:r>
            <w:r>
              <w:rPr>
                <w:rFonts w:hint="eastAsia" w:ascii="宋体" w:hAnsi="宋体" w:eastAsia="宋体" w:cs="宋体"/>
                <w:b/>
                <w:bCs/>
                <w:sz w:val="21"/>
                <w:szCs w:val="21"/>
                <w:highlight w:val="none"/>
                <w:u w:val="single"/>
                <w:lang w:val="en-US" w:eastAsia="zh-CN" w:bidi="ar-SA"/>
              </w:rPr>
              <w:t xml:space="preserve">                    </w:t>
            </w:r>
            <w:r>
              <w:rPr>
                <w:rFonts w:hint="eastAsia" w:ascii="宋体" w:hAnsi="宋体" w:eastAsia="宋体" w:cs="宋体"/>
                <w:b/>
                <w:bCs/>
                <w:sz w:val="21"/>
                <w:szCs w:val="21"/>
                <w:highlight w:val="none"/>
                <w:lang w:val="en-US" w:eastAsia="zh-CN" w:bidi="ar-SA"/>
              </w:rPr>
              <w:t xml:space="preserve">（盖章）</w:t>
            </w:r>
            <w:r/>
          </w:p>
        </w:tc>
      </w:tr>
      <w:tr>
        <w:trPr>
          <w:jc w:val="center"/>
          <w:trHeight w:val="561"/>
        </w:trPr>
        <w:tc>
          <w:tcPr>
            <w:tcW w:w="445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地址：</w:t>
            </w:r>
            <w:r/>
          </w:p>
        </w:tc>
        <w:tc>
          <w:tcPr>
            <w:tcW w:w="407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地址：</w:t>
            </w:r>
            <w:r/>
          </w:p>
        </w:tc>
      </w:tr>
      <w:tr>
        <w:trPr>
          <w:jc w:val="center"/>
          <w:trHeight w:val="561"/>
        </w:trPr>
        <w:tc>
          <w:tcPr>
            <w:tcW w:w="4451" w:type="dxa"/>
            <w:vAlign w:val="center"/>
            <w:textDirection w:val="lrTb"/>
            <w:noWrap w:val="false"/>
          </w:tcPr>
          <w:p>
            <w:pPr>
              <w:jc w:val="left"/>
              <w:keepLines w:val="0"/>
              <w:keepNext w:val="0"/>
              <w:pageBreakBefore w:val="0"/>
              <w:spacing w:line="240" w:lineRule="auto"/>
              <w:widowControl w:val="off"/>
              <w:tabs>
                <w:tab w:val="left" w:pos="420" w:leader="none"/>
              </w:tabs>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法定代表人或授权代表：</w:t>
            </w:r>
            <w:r/>
          </w:p>
        </w:tc>
        <w:tc>
          <w:tcPr>
            <w:tcW w:w="4071" w:type="dxa"/>
            <w:vAlign w:val="center"/>
            <w:textDirection w:val="lrTb"/>
            <w:noWrap w:val="false"/>
          </w:tcPr>
          <w:p>
            <w:pPr>
              <w:jc w:val="left"/>
              <w:keepLines w:val="0"/>
              <w:keepNext w:val="0"/>
              <w:pageBreakBefore w:val="0"/>
              <w:spacing w:line="240" w:lineRule="auto"/>
              <w:widowControl w:val="off"/>
              <w:tabs>
                <w:tab w:val="left" w:pos="420" w:leader="none"/>
              </w:tabs>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法定代表人或授权代表：</w:t>
            </w:r>
            <w:r/>
          </w:p>
        </w:tc>
      </w:tr>
      <w:tr>
        <w:trPr>
          <w:jc w:val="center"/>
          <w:trHeight w:val="561"/>
        </w:trPr>
        <w:tc>
          <w:tcPr>
            <w:tcW w:w="445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电话：</w:t>
            </w:r>
            <w:r/>
          </w:p>
        </w:tc>
        <w:tc>
          <w:tcPr>
            <w:tcW w:w="407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电话：</w:t>
            </w:r>
            <w:r/>
          </w:p>
        </w:tc>
      </w:tr>
      <w:tr>
        <w:trPr>
          <w:jc w:val="center"/>
          <w:trHeight w:val="561"/>
        </w:trPr>
        <w:tc>
          <w:tcPr>
            <w:tcW w:w="4451" w:type="dxa"/>
            <w:vAlign w:val="center"/>
            <w:textDirection w:val="lrTb"/>
            <w:noWrap w:val="false"/>
          </w:tcPr>
          <w:p>
            <w:pPr>
              <w:jc w:val="left"/>
              <w:keepLines w:val="0"/>
              <w:keepNext w:val="0"/>
              <w:pageBreakBefore w:val="0"/>
              <w:spacing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邮编：</w:t>
            </w:r>
            <w:r/>
          </w:p>
        </w:tc>
        <w:tc>
          <w:tcPr>
            <w:tcW w:w="4071" w:type="dxa"/>
            <w:vAlign w:val="center"/>
            <w:textDirection w:val="lrTb"/>
            <w:noWrap w:val="false"/>
          </w:tcPr>
          <w:p>
            <w:pPr>
              <w:jc w:val="left"/>
              <w:keepLines w:val="0"/>
              <w:keepNext w:val="0"/>
              <w:pageBreakBefore w:val="0"/>
              <w:spacing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邮编：</w:t>
            </w:r>
            <w:r/>
          </w:p>
        </w:tc>
      </w:tr>
      <w:tr>
        <w:trPr>
          <w:jc w:val="center"/>
          <w:trHeight w:val="561"/>
        </w:trPr>
        <w:tc>
          <w:tcPr>
            <w:tcW w:w="4451" w:type="dxa"/>
            <w:vAlign w:val="top"/>
            <w:textDirection w:val="lrTb"/>
            <w:noWrap w:val="false"/>
          </w:tcPr>
          <w:p>
            <w:pPr>
              <w:jc w:val="left"/>
              <w:keepLines w:val="0"/>
              <w:keepNext w:val="0"/>
              <w:pageBreakBefore w:val="0"/>
              <w:spacing w:line="240" w:lineRule="auto"/>
              <w:widowControl w:val="off"/>
              <w:rPr>
                <w:szCs w:val="18"/>
                <w:highlight w:val="none"/>
                <w:vertAlign w:val="baseline"/>
              </w:rPr>
            </w:pPr>
            <w:r>
              <w:rPr>
                <w:szCs w:val="18"/>
                <w:highlight w:val="none"/>
                <w:vertAlign w:val="baseline"/>
              </w:rPr>
            </w:r>
            <w:r/>
          </w:p>
        </w:tc>
        <w:tc>
          <w:tcPr>
            <w:tcW w:w="4071"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开户行：</w:t>
            </w:r>
            <w:r/>
          </w:p>
        </w:tc>
      </w:tr>
      <w:tr>
        <w:trPr>
          <w:jc w:val="center"/>
          <w:trHeight w:val="561"/>
        </w:trPr>
        <w:tc>
          <w:tcPr>
            <w:tcW w:w="4451" w:type="dxa"/>
            <w:vAlign w:val="top"/>
            <w:textDirection w:val="lrTb"/>
            <w:noWrap w:val="false"/>
          </w:tcPr>
          <w:p>
            <w:pPr>
              <w:pStyle w:val="866"/>
              <w:spacing w:line="360" w:lineRule="auto"/>
              <w:rPr>
                <w:szCs w:val="18"/>
                <w:highlight w:val="none"/>
                <w:vertAlign w:val="baseline"/>
              </w:rPr>
            </w:pPr>
            <w:r>
              <w:rPr>
                <w:szCs w:val="18"/>
                <w:highlight w:val="none"/>
                <w:vertAlign w:val="baseline"/>
              </w:rPr>
            </w:r>
            <w:r/>
          </w:p>
        </w:tc>
        <w:tc>
          <w:tcPr>
            <w:tcW w:w="4071"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账号：</w:t>
            </w:r>
            <w:r/>
          </w:p>
        </w:tc>
      </w:tr>
    </w:tbl>
    <w:p>
      <w:pPr>
        <w:pStyle w:val="866"/>
        <w:spacing w:line="360" w:lineRule="auto"/>
        <w:rPr>
          <w:szCs w:val="18"/>
          <w:highlight w:val="none"/>
        </w:rPr>
      </w:pPr>
      <w:r>
        <w:rPr>
          <w:szCs w:val="18"/>
          <w:highlight w:val="none"/>
        </w:rPr>
      </w:r>
      <w:r/>
    </w:p>
    <w:p>
      <w:pPr>
        <w:pStyle w:val="866"/>
        <w:spacing w:line="360" w:lineRule="auto"/>
        <w:rPr>
          <w:rFonts w:eastAsia="宋体"/>
          <w:szCs w:val="18"/>
          <w:highlight w:val="none"/>
          <w:lang w:val="en-US" w:eastAsia="zh-CN"/>
        </w:rPr>
      </w:pPr>
      <w:r>
        <w:rPr>
          <w:rFonts w:hint="eastAsia"/>
          <w:szCs w:val="18"/>
          <w:highlight w:val="none"/>
          <w:lang w:val="en-US" w:eastAsia="zh-CN"/>
        </w:rPr>
        <w:t xml:space="preserve">                                                    日期：2026年   月   日</w:t>
      </w:r>
      <w:r/>
    </w:p>
    <w:p>
      <w:pPr>
        <w:pStyle w:val="866"/>
        <w:spacing w:line="360" w:lineRule="auto"/>
        <w:rPr>
          <w:szCs w:val="18"/>
          <w:highlight w:val="none"/>
        </w:rPr>
      </w:pPr>
      <w:r>
        <w:rPr>
          <w:szCs w:val="18"/>
          <w:highlight w:val="none"/>
        </w:rPr>
      </w:r>
      <w:r/>
    </w:p>
    <w:tbl>
      <w:tblPr>
        <w:tblStyle w:val="901"/>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898"/>
        <w:gridCol w:w="4280"/>
      </w:tblGrid>
      <w:tr>
        <w:trPr>
          <w:jc w:val="center"/>
        </w:trPr>
        <w:tc>
          <w:tcPr>
            <w:tcW w:w="3898" w:type="dxa"/>
            <w:vAlign w:val="top"/>
            <w:textDirection w:val="lrTb"/>
            <w:noWrap w:val="false"/>
          </w:tcPr>
          <w:p>
            <w:pPr>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tc>
        <w:tc>
          <w:tcPr>
            <w:tcW w:w="4280" w:type="dxa"/>
            <w:vAlign w:val="top"/>
            <w:textDirection w:val="lrTb"/>
            <w:noWrap w:val="false"/>
          </w:tcPr>
          <w:p>
            <w:pPr>
              <w:jc w:val="both"/>
              <w:spacing w:line="360" w:lineRule="auto"/>
              <w:widowControl w:val="off"/>
              <w:tabs>
                <w:tab w:val="left" w:pos="42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W w:w="3898" w:type="dxa"/>
            <w:vAlign w:val="top"/>
            <w:textDirection w:val="lrTb"/>
            <w:noWrap w:val="false"/>
          </w:tcPr>
          <w:p>
            <w:pPr>
              <w:jc w:val="both"/>
              <w:spacing w:line="360" w:lineRule="auto"/>
              <w:widowControl w:val="off"/>
              <w:rPr>
                <w:rFonts w:ascii="宋体" w:hAnsi="宋体" w:eastAsia="宋体" w:cs="宋体"/>
                <w:b/>
                <w:bCs/>
                <w:sz w:val="21"/>
                <w:szCs w:val="21"/>
                <w:highlight w:val="none"/>
                <w:u w:val="single"/>
                <w:lang w:val="en-US" w:eastAsia="zh-CN" w:bidi="ar-SA"/>
              </w:rPr>
            </w:pPr>
            <w:r>
              <w:rPr>
                <w:rFonts w:ascii="宋体" w:hAnsi="宋体" w:eastAsia="宋体" w:cs="宋体"/>
                <w:b/>
                <w:bCs/>
                <w:sz w:val="21"/>
                <w:szCs w:val="21"/>
                <w:highlight w:val="none"/>
                <w:u w:val="single"/>
                <w:lang w:val="en-US" w:eastAsia="zh-CN" w:bidi="ar-SA"/>
              </w:rPr>
            </w:r>
            <w:r/>
          </w:p>
        </w:tc>
        <w:tc>
          <w:tcPr>
            <w:tcW w:w="4280" w:type="dxa"/>
            <w:vAlign w:val="top"/>
            <w:textDirection w:val="lrTb"/>
            <w:noWrap w:val="false"/>
          </w:tcPr>
          <w:p>
            <w:pPr>
              <w:jc w:val="both"/>
              <w:spacing w:line="360" w:lineRule="auto"/>
              <w:widowControl w:val="off"/>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r>
            <w:r/>
          </w:p>
        </w:tc>
      </w:tr>
    </w:tbl>
    <w:p>
      <w:pPr>
        <w:pStyle w:val="866"/>
        <w:spacing w:line="360" w:lineRule="auto"/>
        <w:rPr>
          <w:szCs w:val="18"/>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szCs w:val="18"/>
          <w:highlight w:val="none"/>
        </w:rPr>
      </w:r>
      <w:r/>
    </w:p>
    <w:p>
      <w:pPr>
        <w:pStyle w:val="895"/>
        <w:ind w:firstLine="569"/>
        <w:rPr>
          <w:rFonts w:hint="eastAsia" w:ascii="宋体" w:hAnsi="宋体" w:cs="宋体"/>
          <w:sz w:val="24"/>
          <w:highlight w:val="none"/>
          <w:lang w:val="zh-CN"/>
        </w:rPr>
      </w:pPr>
      <w:r/>
      <w:bookmarkStart w:id="255" w:name="_Toc107246271"/>
      <w:r/>
      <w:bookmarkStart w:id="256" w:name="_Toc91836564"/>
      <w:r>
        <w:rPr>
          <w:rFonts w:hint="eastAsia" w:ascii="宋体" w:hAnsi="宋体" w:cs="宋体"/>
          <w:highlight w:val="none"/>
        </w:rPr>
        <w:t xml:space="preserve">第四章 采购需求</w:t>
      </w:r>
      <w:bookmarkEnd w:id="255"/>
      <w:r/>
      <w:bookmarkEnd w:id="256"/>
      <w:r/>
      <w:r/>
    </w:p>
    <w:p>
      <w:pPr>
        <w:numPr>
          <w:ilvl w:val="0"/>
          <w:numId w:val="7"/>
        </w:numPr>
        <w:ind w:firstLine="422"/>
        <w:spacing w:line="360" w:lineRule="auto"/>
        <w:rPr>
          <w:rFonts w:hint="eastAsia" w:ascii="宋体" w:hAnsi="宋体" w:cs="宋体"/>
          <w:b/>
          <w:szCs w:val="21"/>
          <w:highlight w:val="none"/>
        </w:rPr>
        <w:outlineLvl w:val="0"/>
      </w:pPr>
      <w:r/>
      <w:bookmarkStart w:id="257" w:name="_Hlk93775766"/>
      <w:r>
        <w:rPr>
          <w:rFonts w:hint="eastAsia" w:ascii="宋体" w:hAnsi="宋体" w:cs="宋体"/>
          <w:b/>
          <w:szCs w:val="21"/>
          <w:highlight w:val="none"/>
        </w:rPr>
        <w:t xml:space="preserve">项目基本情况</w:t>
      </w:r>
      <w:r/>
    </w:p>
    <w:p>
      <w:pPr>
        <w:numPr>
          <w:ilvl w:val="0"/>
          <w:numId w:val="8"/>
        </w:numPr>
        <w:ind w:left="0" w:firstLine="420"/>
        <w:spacing w:line="360" w:lineRule="auto"/>
        <w:rPr>
          <w:rFonts w:ascii="方正仿宋简体" w:hAnsi="方正仿宋简体" w:eastAsia="方正仿宋简体" w:cs="方正仿宋简体"/>
          <w:sz w:val="30"/>
          <w:szCs w:val="30"/>
          <w:highlight w:val="none"/>
          <w:lang w:val="en-US" w:eastAsia="zh-CN"/>
        </w:rPr>
      </w:pPr>
      <w:r>
        <w:rPr>
          <w:rFonts w:hint="eastAsia" w:ascii="宋体" w:hAnsi="宋体" w:cs="宋体"/>
          <w:bCs/>
          <w:szCs w:val="21"/>
          <w:highlight w:val="none"/>
        </w:rPr>
        <w:t xml:space="preserve">项目名称：</w:t>
      </w:r>
      <w:r>
        <w:rPr>
          <w:rFonts w:hint="eastAsia" w:ascii="宋体" w:hAnsi="宋体" w:cs="宋体"/>
          <w:bCs/>
          <w:szCs w:val="21"/>
          <w:highlight w:val="none"/>
          <w:lang w:eastAsia="zh-CN"/>
        </w:rPr>
        <w:t xml:space="preserve">江宁区卫健委下属单位污水处理运维服务</w:t>
      </w:r>
      <w:r/>
    </w:p>
    <w:p>
      <w:pPr>
        <w:numPr>
          <w:ilvl w:val="0"/>
          <w:numId w:val="8"/>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项目简介：为保障</w:t>
      </w:r>
      <w:r>
        <w:rPr>
          <w:rFonts w:hint="eastAsia" w:ascii="宋体" w:hAnsi="宋体" w:cs="宋体"/>
          <w:bCs/>
          <w:szCs w:val="21"/>
          <w:highlight w:val="none"/>
          <w:lang w:eastAsia="zh-CN"/>
        </w:rPr>
        <w:t xml:space="preserve">南京市江宁区卫生健康委员会</w:t>
      </w:r>
      <w:r>
        <w:rPr>
          <w:rFonts w:hint="eastAsia" w:ascii="宋体" w:hAnsi="宋体" w:eastAsia="宋体" w:cs="宋体"/>
          <w:bCs/>
          <w:szCs w:val="21"/>
          <w:highlight w:val="none"/>
          <w:lang w:val="en-US" w:eastAsia="zh-CN"/>
        </w:rPr>
        <w:t xml:space="preserve">系统内23家社区卫生服务中心及两家公卫单位污水处理系统进行运维</w:t>
      </w:r>
      <w:r>
        <w:rPr>
          <w:rFonts w:hint="eastAsia" w:ascii="宋体" w:hAnsi="宋体" w:cs="宋体"/>
          <w:bCs/>
          <w:szCs w:val="21"/>
          <w:highlight w:val="none"/>
        </w:rPr>
        <w:t xml:space="preserve">污水处理站设施运行正常、废水达标排放，现需专业单位对污水处理站社会化运营托管项目进行维保（包含所有污水处理站消毒药剂的供应）。</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3、项目范围：</w:t>
      </w:r>
      <w:r>
        <w:rPr>
          <w:rFonts w:hint="eastAsia" w:ascii="宋体" w:hAnsi="宋体" w:eastAsia="宋体" w:cs="宋体"/>
          <w:bCs/>
          <w:szCs w:val="21"/>
          <w:highlight w:val="none"/>
          <w:lang w:val="en-US" w:eastAsia="zh-CN"/>
        </w:rPr>
        <w:t xml:space="preserve">系统内23家社区卫生服务中心及两家公卫单位污水处理系统进行运维。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4、执行标准：严格按照国家和环保部门有关医疗机构水污染物处理排放相关的法律法规要求执行。</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服务要求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承担污水处理站的日常管理、操作和运行维护工作，包括但不限于：设备运行管理和工作状况记录；水质监测与自检记录；设备日常维护保养及记录、交接班记录、各项检查与数据管理等工作；确保污水经处理后水质达标排放。</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保障污水处理设施的安全运行；防止污水漫溢，及时清理栅渣、漂浮物和淤泥，定期更换废气处理设施活性炭（包括活性炭的供应、拆装），做好台账交接记录，妥善处理好废渣和污泥的消毒、固废物处理等工作，维护好</w:t>
      </w:r>
      <w:r>
        <w:rPr>
          <w:rFonts w:hint="eastAsia" w:ascii="宋体" w:hAnsi="宋体" w:cs="宋体"/>
          <w:szCs w:val="21"/>
          <w:highlight w:val="none"/>
        </w:rPr>
        <w:t xml:space="preserve">污水处理站及周边环境的卫生</w:t>
      </w:r>
      <w:r>
        <w:rPr>
          <w:rFonts w:hint="eastAsia" w:ascii="宋体" w:hAnsi="宋体" w:cs="宋体"/>
          <w:bCs/>
          <w:szCs w:val="21"/>
          <w:highlight w:val="none"/>
        </w:rPr>
        <w:t xml:space="preserve">。</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负责消毒药剂的供应、贮存、保管、使用及相关废液处置工作，严格按照危险品使用管理规范执行。</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接受医院、环保、疾控中心等管理部门的监督管理；配合医院完成各项检查任务。</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承担在管理过程中由于人员违规、设备故障、出水超标等引起的影响到医院正常生产所造成的责任（包括罚款）。</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szCs w:val="21"/>
          <w:highlight w:val="none"/>
        </w:rPr>
        <w:t xml:space="preserve">每</w:t>
      </w:r>
      <w:r>
        <w:rPr>
          <w:rFonts w:hint="eastAsia" w:ascii="宋体" w:hAnsi="宋体" w:cs="宋体"/>
          <w:szCs w:val="21"/>
          <w:highlight w:val="none"/>
          <w:lang w:val="en-US" w:eastAsia="zh-CN"/>
        </w:rPr>
        <w:t xml:space="preserve">周</w:t>
      </w:r>
      <w:r>
        <w:rPr>
          <w:rFonts w:hint="eastAsia" w:ascii="宋体" w:hAnsi="宋体" w:cs="宋体"/>
          <w:szCs w:val="21"/>
          <w:highlight w:val="none"/>
        </w:rPr>
        <w:t xml:space="preserve">自检余氯、PH</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次，并记录在规范表格</w:t>
      </w:r>
      <w:r>
        <w:rPr>
          <w:rFonts w:hint="eastAsia" w:ascii="宋体" w:hAnsi="宋体" w:cs="宋体"/>
          <w:szCs w:val="21"/>
          <w:highlight w:val="none"/>
          <w:lang w:eastAsia="zh-CN"/>
        </w:rPr>
        <w:t xml:space="preserve">。</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投标人负责运营期内污水站设备的维修及保养及更新，确保设备完好运行。包括：</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水泵、曝气机、消毒加药维修及配件更新、监控、采样收集、在线设备及后续加装设备的质保后的维保项目等；</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电控设备检修、配件更换等；</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进、排水管道及系统管道阀门的维修更换等；</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污水处理范围内的各种设备管道等需定期进行除锈刷漆防腐保养，每年不得少于2次。</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投标人须承担日常工作所需要的工具、药剂等材料费用，包括但不限于：检测工具、检测材料、药剂、日常维修材料、安全防护用品、应急物资等。</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投标人须保证所供产品、服务质量合格，不得弄虚作假、不得提供假冒伪劣产品、不合格服务。</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出水水质：必须达到国家有关医疗机构水污染物处理排放相关标准以及上级各职能部门含环保、卫监、质检、感染等部门的相关要求，各类台帐需达到医院的检查和评审要求。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落实污水处理进、出水的检测与报告制度，保证出水水质符合相关要求。（包括上级各主管部门：环保、卫健、质检、水务、消防、应急、疾控等的要求，以及经院方认可的检测合格要求），各类台账须满足</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的要求。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设备维护和保养：负责运营期内污水站所有设备的维护保养，保证设备正常运转，污水达标排放。</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日常运维台账记录及保管：应满足环保相关法律法规要求，记录详细完整，可随时备查。</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配合</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安全生产相关管理要求和规定。</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定期开展安全生产培训和污水处理相关应急演练。</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配备项目经理专门负责该项目后续所有工作的对接和协调。</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须辅助</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做好水质在线监测、自行监测、排污许可证系统填写和环保相关平台的维护工作。</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投标人必须严格遵守院方的各项管理规定。</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投标人在运营维护过程中须确保劳动安全</w:t>
      </w:r>
      <w:r>
        <w:rPr>
          <w:rFonts w:hint="eastAsia" w:ascii="宋体" w:hAnsi="宋体" w:cs="宋体"/>
          <w:szCs w:val="21"/>
          <w:highlight w:val="none"/>
        </w:rPr>
        <w:t xml:space="preserve">、工业卫生和防疫安全、消防措施等原则</w:t>
      </w:r>
      <w:r>
        <w:rPr>
          <w:rFonts w:hint="eastAsia" w:ascii="宋体" w:hAnsi="宋体" w:cs="宋体"/>
          <w:bCs/>
          <w:szCs w:val="21"/>
          <w:highlight w:val="none"/>
        </w:rPr>
        <w:t xml:space="preserve">。</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在托管过程中因投标人管理不善出现的火灾、人身伤亡等所有安全事故及其他</w:t>
      </w:r>
      <w:r>
        <w:rPr>
          <w:rFonts w:hint="eastAsia" w:ascii="宋体" w:hAnsi="宋体" w:cs="宋体"/>
          <w:bCs/>
          <w:szCs w:val="21"/>
          <w:highlight w:val="none"/>
          <w:lang w:val="en-US" w:eastAsia="zh-CN"/>
        </w:rPr>
        <w:t xml:space="preserve">一切</w:t>
      </w:r>
      <w:r>
        <w:rPr>
          <w:rFonts w:hint="eastAsia" w:ascii="宋体" w:hAnsi="宋体" w:cs="宋体"/>
          <w:bCs/>
          <w:szCs w:val="21"/>
          <w:highlight w:val="none"/>
        </w:rPr>
        <w:t xml:space="preserve">损失由投标人自行承担。</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污水处理站房屋、设施、设备的产权为医院所有，投标人必须保证其完整性、完好性。</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投标人派遣的托管人员应在院方的统一领导下，接受管理部门的监督管理。院方可随时检查考核污水处理的运行状况和水质。对于不合格的问题提出整改意见，投标人应立即进行整改，直至符合要求。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托管期间的设备维保费用由投标人承担，托管期满后投标人应保证设备完好且移交院方后半年内设备可正常运行。</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供应商在运维过程中需提供信息化智能软件或APP，可以实时了解污水站内设备运行情况、药剂使用情况、出水排口水质情况等。</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托管期间，投标人提供巡检服务。现场</w:t>
      </w:r>
      <w:r>
        <w:rPr>
          <w:rFonts w:hint="eastAsia" w:ascii="宋体" w:hAnsi="宋体" w:cs="宋体"/>
          <w:bCs/>
          <w:szCs w:val="21"/>
          <w:highlight w:val="none"/>
          <w:lang w:val="en-US" w:eastAsia="zh-CN"/>
        </w:rPr>
        <w:t xml:space="preserve">巡检</w:t>
      </w:r>
      <w:r>
        <w:rPr>
          <w:rFonts w:hint="eastAsia" w:ascii="宋体" w:hAnsi="宋体" w:cs="宋体"/>
          <w:bCs/>
          <w:szCs w:val="21"/>
          <w:highlight w:val="none"/>
        </w:rPr>
        <w:t xml:space="preserve">人员做好运行记录。所有人员应服从院方管理。托管期间若出现违反院方管理等情况，院方有权从服务费中扣除相应金额予以处罚。</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因投标人在管理过程中，引起医院污水处理系统出水超标，所发生的</w:t>
      </w:r>
      <w:r>
        <w:rPr>
          <w:rFonts w:hint="eastAsia" w:ascii="宋体" w:hAnsi="宋体" w:cs="宋体"/>
          <w:bCs/>
          <w:szCs w:val="21"/>
          <w:highlight w:val="none"/>
          <w:lang w:val="en-US" w:eastAsia="zh-CN"/>
        </w:rPr>
        <w:t xml:space="preserve">上级管理</w:t>
      </w:r>
      <w:r>
        <w:rPr>
          <w:rFonts w:hint="eastAsia" w:ascii="宋体" w:hAnsi="宋体" w:cs="宋体"/>
          <w:bCs/>
          <w:szCs w:val="21"/>
          <w:highlight w:val="none"/>
        </w:rPr>
        <w:t xml:space="preserve">部门的一切</w:t>
      </w:r>
      <w:r>
        <w:rPr>
          <w:rFonts w:hint="eastAsia" w:ascii="宋体" w:hAnsi="宋体" w:cs="宋体"/>
          <w:bCs/>
          <w:szCs w:val="21"/>
          <w:highlight w:val="none"/>
          <w:lang w:val="en-US" w:eastAsia="zh-CN"/>
        </w:rPr>
        <w:t xml:space="preserve">处罚责任</w:t>
      </w:r>
      <w:r>
        <w:rPr>
          <w:rFonts w:hint="eastAsia"/>
          <w:szCs w:val="21"/>
          <w:highlight w:val="none"/>
        </w:rPr>
        <w:t xml:space="preserve">和费用</w:t>
      </w:r>
      <w:r>
        <w:rPr>
          <w:rFonts w:hint="eastAsia"/>
          <w:szCs w:val="21"/>
          <w:highlight w:val="none"/>
          <w:lang w:val="en-US" w:eastAsia="zh-CN"/>
        </w:rPr>
        <w:t xml:space="preserve">以及对医院造成的损失</w:t>
      </w:r>
      <w:r>
        <w:rPr>
          <w:rFonts w:hint="eastAsia" w:ascii="宋体" w:hAnsi="宋体" w:cs="宋体"/>
          <w:bCs/>
          <w:szCs w:val="21"/>
          <w:highlight w:val="none"/>
        </w:rPr>
        <w:t xml:space="preserve">由投标人承担，并负责整改直至出水达到排放标准。</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投标人在管理过程中，因管理不善导致设备运行不正常，相关设备维修费由投标人负责；影响到医院的正常工作，要承担相关的责任。</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投标人须服从</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的业务考核，如果业务考核不达标，</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有权按照污水处理维护运行的考核标准进行处罚。《考核标准》详见附件</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w:t>
      </w:r>
      <w:r/>
    </w:p>
    <w:p>
      <w:pPr>
        <w:numPr>
          <w:ilvl w:val="0"/>
          <w:numId w:val="9"/>
        </w:numPr>
        <w:ind w:firstLine="422"/>
        <w:spacing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★投标单位近三年未因水质超标或污染治理设施运行不正常被行政处罚的（须提供承诺函）。</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投标人在管理期间需保证水质达到或者优于国家标准，自行拟定运营管理计划，以及估算运营成本费用，同时</w:t>
      </w:r>
      <w:r>
        <w:rPr>
          <w:rFonts w:hint="eastAsia" w:ascii="宋体" w:hAnsi="宋体" w:cs="宋体"/>
          <w:b/>
          <w:szCs w:val="21"/>
          <w:highlight w:val="none"/>
        </w:rPr>
        <w:t xml:space="preserve">承诺</w:t>
      </w:r>
      <w:r>
        <w:rPr>
          <w:rFonts w:hint="eastAsia" w:ascii="宋体" w:hAnsi="宋体" w:cs="宋体"/>
          <w:bCs/>
          <w:szCs w:val="21"/>
          <w:highlight w:val="none"/>
        </w:rPr>
        <w:t xml:space="preserve">在托管运营期间因水质不达标而产生的一切</w:t>
      </w:r>
      <w:r>
        <w:rPr>
          <w:rFonts w:hint="eastAsia" w:ascii="宋体" w:hAnsi="宋体" w:cs="宋体"/>
          <w:bCs/>
          <w:szCs w:val="21"/>
          <w:highlight w:val="none"/>
          <w:lang w:val="en-US" w:eastAsia="zh-CN"/>
        </w:rPr>
        <w:t xml:space="preserve">处罚责任</w:t>
      </w:r>
      <w:r>
        <w:rPr>
          <w:rFonts w:hint="eastAsia"/>
          <w:szCs w:val="21"/>
          <w:highlight w:val="none"/>
        </w:rPr>
        <w:t xml:space="preserve">和费用</w:t>
      </w:r>
      <w:r>
        <w:rPr>
          <w:rFonts w:hint="eastAsia"/>
          <w:szCs w:val="21"/>
          <w:highlight w:val="none"/>
          <w:lang w:val="en-US" w:eastAsia="zh-CN"/>
        </w:rPr>
        <w:t xml:space="preserve">以及对医院造成的损失</w:t>
      </w:r>
      <w:r>
        <w:rPr>
          <w:rFonts w:hint="eastAsia" w:ascii="宋体" w:hAnsi="宋体" w:cs="宋体"/>
          <w:bCs/>
          <w:szCs w:val="21"/>
          <w:highlight w:val="none"/>
        </w:rPr>
        <w:t xml:space="preserve">全部由投标人自行承担。</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设备维护计划：制定全面的设备维护保养计划，包括设备的日常巡检、定期维护、大修等内容。根据设备的使用说明书和运行状况，合理确定维护周期和维护内容，确保设备处于良好运行状态。</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设备维修响应：在设备出现故障时，应在接到通知后2小时内响应，并在5小时内到达现场进行维修。对于一般故障，应在2个工作日内修复；对于重大故障，应制定详细的维修方案，及时向医院通报维修进度，并采取临时应急措施，确保污水处理站正常运行。</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安全生产管理：建立健全安全生产管理制度，明确安全生产责任，制定安全生产操作规程。对运营人员进行安全生产培训，配备必要的安全防护用品，确保运营过程中的人身安全和设备安全。定期组织安全生产检查和隐患排查，及时消除安全隐患。</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诉处理机制：建立24小时投诉处理机制，及时处理医院工作人员及周边居民的投诉。对于投诉事项，应在接到投诉后2小时内进行回复，并在2个工作日内解决问题。如因特殊情况无法按时解决，应向投诉人说明原因，并制定解决方案和时间表。</w:t>
      </w:r>
      <w:r/>
    </w:p>
    <w:p>
      <w:pPr>
        <w:numPr>
          <w:ilvl w:val="0"/>
          <w:numId w:val="9"/>
        </w:numPr>
        <w:ind w:firstLine="422"/>
        <w:spacing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该项目组织现场勘探。</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污水处理质控要求</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严格按照国家及地方相关标准、规范和操作规程，对污水处理站进行运行管理。制定详细的日常运营操作手册，涵盖各工艺环节的操作流程、控制参数、设备启停等内容。</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准确记录污水处理站的运行数据，包括进水水质水量、各处理单元运行参数、出水水质等，数据记录应真实、完整、准确。</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确保污水处理站出水水质稳定达到国家及地方规定的排放标准，如《医疗机构水污染物排放标准》（GB 18466 - 2005）等。定期对出水水质进行检测，检测频次不低于环保部门要求，检测报告需向医院及相关部门报备。</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当出现水质超标情况时，应立即启动应急预案，采取有效措施进行整改，并在规定时间内向医院及环保部门报告。分析超标原因，制定预防措施，避免类似情况再次发生。</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污水处理水质须严格按照国家和环保部门有关医疗机构水污染物处理排放相关的法律法规要求执行。如：符合《医疗机构水污染物排放标准》GB18466-2005的要求。</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污水站排口余氯范围2-8.0mg/l</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药剂投入量按：《医院污水处理工程技术规范》 HJ2029-2013 要求执行；</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因投标人的原因（如设备不能正常运行等所发生的环保部门的处罚费用）须由投标人自行承担,并负责整改直至符合环保要求,由此影响到院方的正常工作,要承担相关的经济责任。</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污水处理站废气处理机房废气排放须符合《恶臭污染物排放标准》GB14554-93的要求；污水站及废气机房周边无组织废气须符合《医疗机构水污染物排放标准》GB18466-2005表3的要求。</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污水处理站及废气机房设备应做好降噪处理，周边噪音应符合《工业企业厂界环境噪音排放标准》GB12348-2008的要求。</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运营团队要求</w:t>
      </w:r>
      <w:r/>
    </w:p>
    <w:p>
      <w:pPr>
        <w:numPr>
          <w:ilvl w:val="0"/>
          <w:numId w:val="12"/>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应具有同类项目工作经验1年及以上；</w:t>
      </w:r>
      <w:r/>
    </w:p>
    <w:p>
      <w:pPr>
        <w:numPr>
          <w:ilvl w:val="0"/>
          <w:numId w:val="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根据医院管理部门要求，做好设备养护、巡检、日常监测、疏通、清淤等其他工作；</w:t>
      </w:r>
      <w:r/>
    </w:p>
    <w:p>
      <w:pPr>
        <w:numPr>
          <w:ilvl w:val="0"/>
          <w:numId w:val="0"/>
        </w:num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制定完善的人员培训计划，定期对运营团队进行业务培训，确保其熟悉污水处理工艺、设备操作及相关法律法规，培训记录应存档备查</w:t>
      </w:r>
      <w:r>
        <w:rPr>
          <w:rFonts w:hint="eastAsia" w:ascii="宋体" w:hAnsi="宋体" w:cs="宋体"/>
          <w:bCs/>
          <w:szCs w:val="21"/>
          <w:highlight w:val="none"/>
          <w:lang w:eastAsia="zh-CN"/>
        </w:rPr>
        <w:t xml:space="preserve">；</w:t>
      </w:r>
      <w:r/>
    </w:p>
    <w:p>
      <w:pPr>
        <w:numPr>
          <w:ilvl w:val="0"/>
          <w:numId w:val="0"/>
        </w:numPr>
        <w:ind w:firstLine="434"/>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4.运维</w:t>
      </w:r>
      <w:r>
        <w:rPr>
          <w:rFonts w:hint="eastAsia" w:ascii="宋体" w:hAnsi="宋体" w:cs="宋体"/>
          <w:bCs/>
          <w:szCs w:val="21"/>
          <w:highlight w:val="none"/>
        </w:rPr>
        <w:t xml:space="preserve">人员须具有</w:t>
      </w:r>
      <w:r>
        <w:rPr>
          <w:rFonts w:hint="eastAsia" w:ascii="宋体" w:hAnsi="宋体" w:cs="宋体"/>
          <w:bCs/>
          <w:szCs w:val="21"/>
          <w:highlight w:val="none"/>
          <w:lang w:val="en-US" w:eastAsia="zh-CN"/>
        </w:rPr>
        <w:t xml:space="preserve">运维工程师证、下井作业证、电工证等</w:t>
      </w:r>
      <w:r>
        <w:rPr>
          <w:rFonts w:hint="eastAsia" w:ascii="宋体" w:hAnsi="宋体" w:cs="宋体"/>
          <w:bCs/>
          <w:szCs w:val="21"/>
          <w:highlight w:val="none"/>
          <w:lang w:eastAsia="zh-CN"/>
        </w:rPr>
        <w:t xml:space="preserve">。</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运营管理与维护方案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运营管理与维护方案是指供应商对本次污水处理站委托运营所提供的技术方案，具体应包括参与项目设施接收、运营期内的运营维护和期满移交所提交的运作实施方案等。</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运营管理与维护方案编制的总体要求是：在医院主管部门完成污水处理站投资建设的基础上，以采购文件规定的要求为技术蓝本，并作为供应商编制响应文件的技术管理方案和报价测算依据。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运营管理与维护方案须包含但不限于下列内容：</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1、对项目设施的接收方案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在医院及其调试单位通过环保验收后，完成全站项目设施接收的具体步骤和工作方案。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2、对项目设施的日常运行管理与维护方案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供应商应根据污水处理站技术工艺的特点并结合其他实际情况，编制运营期内对污水处理站项目设施的日常运行管理方案，该方案应至少包括以下基本内容：</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运营维护组织结构、人员组成与岗位配置描述等；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 各项内控管理制度、操作规章、人员资质及岗位资格要求等；</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 运营中拟采取的环境保护措施描述，其中应包括：降低噪音的措施；防治站内废水、污水、有毒、有害气体污染的措施；污水处理站场地绿化方案；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 运营维护过程中拟采取的劳动安全、工业卫生和安全、消防措施及其主要技术原则；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 为维持项目设施良好运行状况所建立的日常维护保养与检修制度，检修及维护方案；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 污水处理报告制度，保证出水水质符合环保相关要求，和上级各主管部门要求，包括：环保、卫监、质控、感染等。各类台账需达到医院的各项检查和评审要求。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3、对项目设施的成本优化方案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包括运营期内如何通过合理挖潜和实施运营创新，在确保达标排放的基础上进一步降低运行成本、持续提高运行质量、提升环境效益的措施计划和具体方案。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4、对项目设施的大修及更新改造方案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包括构筑物的修缮、材（物）料与设备零配件的更换、备品备件的库存、项目设施的更新改造方面的措施与计划及相关资金使用安排情况等；配合医院方设立更新资金及使用方面的建议方案。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5、运营期内各类紧急情况下的应急预案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包括就如何建立应对和处理突发事件如战争、自然灾害、疫情等的应急快速反应机制等方面的考虑。</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6、运营期满时项目设施无偿移交给医院方的移交方案</w:t>
      </w:r>
      <w:r/>
    </w:p>
    <w:p>
      <w:pPr>
        <w:ind w:firstLine="420"/>
        <w:spacing w:line="360" w:lineRule="auto"/>
        <w:rPr>
          <w:rFonts w:hint="eastAsia" w:ascii="宋体" w:hAnsi="宋体" w:cs="宋体"/>
          <w:b/>
          <w:szCs w:val="21"/>
          <w:highlight w:val="none"/>
        </w:rPr>
      </w:pPr>
      <w:r>
        <w:rPr>
          <w:rFonts w:hint="eastAsia" w:ascii="宋体" w:hAnsi="宋体" w:cs="宋体"/>
          <w:bCs/>
          <w:szCs w:val="21"/>
          <w:highlight w:val="none"/>
        </w:rPr>
        <w:t xml:space="preserve">供应商应根据本项目污水处理站工艺的特点和其他实际情况编制初步的项目移交方案，包括移交的时间、程序以及移交内容的安排，对移交时设施运行状态指标的保证性承诺和移交后的保证措施等。移交时供应商应保证移交设备的完好率，保证移交后半年内设备的正常运行。</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报价要求</w:t>
      </w:r>
      <w:r/>
    </w:p>
    <w:p>
      <w:pPr>
        <w:numPr>
          <w:ilvl w:val="0"/>
          <w:numId w:val="13"/>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报价前必须开展污水站现场实地调研和可行性评估。</w:t>
      </w:r>
      <w:r/>
    </w:p>
    <w:p>
      <w:pPr>
        <w:numPr>
          <w:ilvl w:val="0"/>
          <w:numId w:val="13"/>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报价按一年服务期计算，</w:t>
      </w:r>
      <w:r>
        <w:rPr>
          <w:rFonts w:hint="eastAsia" w:ascii="宋体" w:hAnsi="宋体" w:cs="宋体"/>
          <w:b w:val="0"/>
          <w:bCs/>
          <w:szCs w:val="21"/>
          <w:highlight w:val="none"/>
        </w:rPr>
        <w:t xml:space="preserve">本次报价包括污水处理托管运营所需的人工、材料（消毒剂、活性炭、安全防护用品等）、清淤（废机油、废活性炭等危废物处理费）、疏通（及时清理格栅和沉淀池、污泥池污泥，污水处理池不得漫溢</w:t>
      </w:r>
      <w:r>
        <w:rPr>
          <w:rFonts w:hint="eastAsia" w:ascii="宋体" w:hAnsi="宋体" w:cs="宋体"/>
          <w:b w:val="0"/>
          <w:bCs/>
          <w:color w:val="000000"/>
          <w:szCs w:val="21"/>
          <w:highlight w:val="none"/>
        </w:rPr>
        <w:t xml:space="preserve">，漂浮物、污泥等须按照环保要求妥善处置）、维修保养（</w:t>
      </w:r>
      <w:r>
        <w:rPr>
          <w:rFonts w:hint="eastAsia" w:ascii="宋体" w:hAnsi="宋体" w:cs="宋体"/>
          <w:bCs/>
          <w:szCs w:val="21"/>
          <w:highlight w:val="none"/>
          <w:lang w:val="en-US" w:eastAsia="zh-CN"/>
        </w:rPr>
        <w:t xml:space="preserve">5</w:t>
      </w:r>
      <w:r>
        <w:rPr>
          <w:rFonts w:hint="eastAsia" w:ascii="宋体" w:hAnsi="宋体" w:cs="宋体"/>
          <w:b w:val="0"/>
          <w:bCs/>
          <w:color w:val="000000"/>
          <w:szCs w:val="21"/>
          <w:highlight w:val="none"/>
        </w:rPr>
        <w:t xml:space="preserve">000元以下</w:t>
      </w:r>
      <w:r>
        <w:rPr>
          <w:rFonts w:hint="eastAsia" w:ascii="宋体" w:hAnsi="宋体" w:cs="宋体"/>
          <w:bCs/>
          <w:color w:val="000000"/>
          <w:sz w:val="21"/>
          <w:szCs w:val="21"/>
          <w:highlight w:val="none"/>
          <w:lang w:val="en-US" w:eastAsia="zh-CN"/>
        </w:rPr>
        <w:t xml:space="preserve">的设备、零件、备配件等</w:t>
      </w:r>
      <w:r>
        <w:rPr>
          <w:rFonts w:hint="eastAsia" w:ascii="宋体" w:hAnsi="宋体" w:cs="宋体"/>
          <w:bCs/>
          <w:sz w:val="21"/>
          <w:szCs w:val="21"/>
          <w:highlight w:val="none"/>
          <w:lang w:val="en-US" w:eastAsia="zh-CN"/>
        </w:rPr>
        <w:t xml:space="preserve">更换</w:t>
      </w:r>
      <w:r>
        <w:rPr>
          <w:rFonts w:hint="eastAsia" w:ascii="宋体" w:hAnsi="宋体" w:cs="宋体"/>
          <w:b w:val="0"/>
          <w:bCs/>
          <w:szCs w:val="21"/>
          <w:highlight w:val="none"/>
        </w:rPr>
        <w:t xml:space="preserve">由中标单位承担，</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lang w:val="en-US" w:eastAsia="zh-CN"/>
        </w:rPr>
        <w:t xml:space="preserve">000元以上设备需提出申请由甲方采购或者经甲方同意由运维单位采购更换</w:t>
      </w: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运维单位</w:t>
      </w:r>
      <w:r>
        <w:rPr>
          <w:rFonts w:hint="eastAsia" w:cs="MS Mincho"/>
          <w:szCs w:val="21"/>
          <w:highlight w:val="none"/>
        </w:rPr>
        <w:t xml:space="preserve">只收取成本费</w:t>
      </w:r>
      <w:r>
        <w:rPr>
          <w:rFonts w:hint="eastAsia" w:ascii="宋体" w:hAnsi="宋体" w:cs="宋体"/>
          <w:b w:val="0"/>
          <w:bCs/>
          <w:szCs w:val="21"/>
          <w:highlight w:val="none"/>
        </w:rPr>
        <w:t xml:space="preserve">）、设备更新，管理成本、安全防护、税金、</w:t>
      </w:r>
      <w:r>
        <w:rPr>
          <w:rFonts w:hint="eastAsia" w:ascii="宋体" w:hAnsi="宋体" w:cs="宋体"/>
          <w:b w:val="0"/>
          <w:bCs/>
          <w:szCs w:val="21"/>
          <w:highlight w:val="none"/>
          <w:lang w:val="en-US" w:eastAsia="zh-CN"/>
        </w:rPr>
        <w:t xml:space="preserve">各类风险因素</w:t>
      </w:r>
      <w:r>
        <w:rPr>
          <w:rFonts w:hint="eastAsia" w:ascii="宋体" w:hAnsi="宋体" w:cs="宋体"/>
          <w:b w:val="0"/>
          <w:bCs/>
          <w:szCs w:val="21"/>
          <w:highlight w:val="none"/>
        </w:rPr>
        <w:t xml:space="preserve">等所有一切可能发生的费用。所有的缺项、漏项视为供应商优惠，合同执行时不予调整。</w:t>
      </w:r>
      <w:r/>
    </w:p>
    <w:p>
      <w:pPr>
        <w:numPr>
          <w:ilvl w:val="0"/>
          <w:numId w:val="13"/>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本项目所有污水站消毒药剂均由投标人提供。投标人必须保证药剂质量合格，并提供消毒药剂供应厂商授权书，做好留样和相关记录。</w:t>
      </w:r>
      <w:bookmarkEnd w:id="257"/>
      <w:r/>
      <w:r/>
    </w:p>
    <w:p>
      <w:pPr>
        <w:pStyle w:val="873"/>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宋体" w:hAnsi="宋体" w:cs="宋体"/>
          <w:b/>
          <w:bCs/>
          <w:sz w:val="24"/>
          <w:highlight w:val="none"/>
          <w:lang w:val="en-US" w:eastAsia="zh-CN"/>
        </w:rPr>
        <w:t xml:space="preserve">七、</w:t>
      </w: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cs="Microsoft New Tai Lue"/>
          <w:b/>
          <w:bCs w:val="0"/>
          <w:sz w:val="21"/>
          <w:highlight w:val="none"/>
          <w:lang w:eastAsia="zh-CN"/>
        </w:rPr>
        <w:t xml:space="preserve">：</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873"/>
        <w:ind w:left="42" w:right="42" w:firstLine="420"/>
        <w:keepLines w:val="0"/>
        <w:keepNext w:val="0"/>
        <w:pageBreakBefore w:val="0"/>
        <w:spacing w:before="58" w:after="58" w:line="288" w:lineRule="auto"/>
        <w:widowControl w:val="off"/>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873"/>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sz w:val="24"/>
          <w:highlight w:val="none"/>
          <w:lang w:val="en-US" w:eastAsia="zh-CN"/>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6"/>
        <w:rPr>
          <w:highlight w:val="none"/>
        </w:rPr>
      </w:pPr>
      <w:r>
        <w:rPr>
          <w:highlight w:val="none"/>
        </w:rPr>
      </w:r>
      <w:r/>
    </w:p>
    <w:p>
      <w:pPr>
        <w:rPr>
          <w:rFonts w:hint="eastAsia" w:ascii="宋体" w:hAnsi="宋体" w:cs="宋体"/>
          <w:b/>
          <w:szCs w:val="21"/>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附件</w:t>
      </w: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：污水处理维护运行考核标准</w:t>
      </w:r>
      <w:r/>
    </w:p>
    <w:tbl>
      <w:tblPr>
        <w:tblStyle w:val="832"/>
        <w:tblW w:w="14265" w:type="dxa"/>
        <w:tblInd w:w="-15" w:type="dxa"/>
        <w:tblLayout w:type="autofit"/>
        <w:tblCellMar>
          <w:left w:w="108" w:type="dxa"/>
          <w:top w:w="0" w:type="dxa"/>
          <w:right w:w="108" w:type="dxa"/>
          <w:bottom w:w="0" w:type="dxa"/>
        </w:tblCellMar>
        <w:tblLook w:val="04A0" w:firstRow="1" w:lastRow="0" w:firstColumn="1" w:lastColumn="0" w:noHBand="0" w:noVBand="1"/>
      </w:tblPr>
      <w:tblGrid>
        <w:gridCol w:w="780"/>
        <w:gridCol w:w="5625"/>
        <w:gridCol w:w="1455"/>
        <w:gridCol w:w="6405"/>
      </w:tblGrid>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备注</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在岗人员应持证上岗</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随时抽查，发现一例无证上岗扣5分。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按要求参加环保部门培训</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没有达到环保部门培训要求，10分全部扣除。</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定期水质监测达到环保部门要求</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一次不合格扣10分。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要有完整的应急预案，定期开展应急演练，做好记录</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每位员工知晓。随时抽查考核，不合格一例扣2分。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设备维修保养及巡视记录齐全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记录漏记一次，扣2分。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设备运行正常</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随时抽查，有设备非正常运行现场，一次扣5分。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设备故障响应速度在2小时之内</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每超过1小时扣2分。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有规范的安全管理措施</w:t>
            </w:r>
            <w:r>
              <w:rPr>
                <w:rFonts w:hint="eastAsia" w:ascii="宋体" w:hAnsi="宋体" w:eastAsia="宋体" w:cs="宋体"/>
                <w:sz w:val="21"/>
                <w:szCs w:val="21"/>
                <w:highlight w:val="none"/>
                <w:lang w:val="en-US" w:eastAsia="zh-CN" w:bidi="ar"/>
              </w:rPr>
              <w:t xml:space="preserve">，包括危险药品的增加等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随时抽查，发现违反安全管理措施一次，扣10分。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固废物处置符合国家环保部门的要求</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违规一次扣10分。</w:t>
            </w:r>
            <w:r/>
          </w:p>
        </w:tc>
      </w:tr>
      <w:tr>
        <w:trPr>
          <w:trHeight w:val="705"/>
        </w:trPr>
        <w:tc>
          <w:tcPr>
            <w:gridSpan w:val="4"/>
            <w:tcBorders>
              <w:top w:val="single" w:color="000000" w:sz="4" w:space="0"/>
              <w:left w:val="single" w:color="000000" w:sz="4" w:space="0"/>
              <w:bottom w:val="single" w:color="000000" w:sz="4" w:space="0"/>
              <w:right w:val="single" w:color="000000" w:sz="4" w:space="0"/>
            </w:tcBorders>
            <w:tcW w:w="1426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得分≥90分为合格，每下降1分扣100元</w:t>
            </w:r>
            <w:r/>
          </w:p>
        </w:tc>
      </w:tr>
    </w:tbl>
    <w:p>
      <w:pPr>
        <w:rPr>
          <w:highlight w:val="none"/>
        </w:rPr>
      </w:pPr>
      <w:r>
        <w:rPr>
          <w:highlight w:val="none"/>
        </w:rPr>
      </w:r>
      <w:r/>
    </w:p>
    <w:p>
      <w:pPr>
        <w:rPr>
          <w:rFonts w:hint="eastAsia" w:ascii="宋体" w:hAnsi="宋体" w:cs="宋体"/>
          <w:highlight w:val="none"/>
        </w:rPr>
      </w:pPr>
      <w:r/>
      <w:bookmarkStart w:id="258" w:name="_Toc107246272"/>
      <w:r/>
      <w:r/>
    </w:p>
    <w:p>
      <w:pPr>
        <w:rPr>
          <w:rFonts w:hint="eastAsia" w:ascii="宋体" w:hAnsi="宋体" w:cs="宋体"/>
          <w:highlight w:val="none"/>
        </w:rPr>
        <w:sectPr>
          <w:footerReference w:type="default" r:id="rId14"/>
          <w:footnotePr/>
          <w:endnotePr/>
          <w:type w:val="nextPage"/>
          <w:pgSz w:w="16838" w:h="11906" w:orient="landscape"/>
          <w:pgMar w:top="1588" w:right="1440" w:bottom="1698" w:left="1440" w:header="851" w:footer="992" w:gutter="0"/>
          <w:cols w:num="1" w:sep="0" w:space="1701" w:equalWidth="1"/>
          <w:docGrid w:linePitch="360"/>
        </w:sectPr>
      </w:pPr>
      <w:r>
        <w:rPr>
          <w:rFonts w:hint="eastAsia" w:ascii="宋体" w:hAnsi="宋体" w:cs="宋体"/>
          <w:highlight w:val="none"/>
        </w:rPr>
      </w:r>
      <w:r/>
    </w:p>
    <w:p>
      <w:pPr>
        <w:pStyle w:val="895"/>
        <w:ind w:firstLine="569"/>
        <w:spacing w:line="480" w:lineRule="auto"/>
        <w:rPr>
          <w:rFonts w:hint="eastAsia" w:ascii="宋体" w:hAnsi="宋体" w:cs="宋体"/>
          <w:highlight w:val="none"/>
        </w:rPr>
      </w:pPr>
      <w:r>
        <w:rPr>
          <w:rFonts w:hint="eastAsia" w:ascii="宋体" w:hAnsi="宋体" w:cs="宋体"/>
          <w:highlight w:val="none"/>
        </w:rPr>
        <w:t xml:space="preserve">第五章 评标方法与评标标准</w:t>
      </w:r>
      <w:bookmarkEnd w:id="258"/>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一、评标方法</w:t>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二、评标标准</w:t>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本项目采用综合评分法确定中标候选人。评标委员会将按下列评分办法和标准进行评分，总分值为100分。</w:t>
      </w:r>
      <w:r/>
    </w:p>
    <w:tbl>
      <w:tblPr>
        <w:tblStyle w:val="832"/>
        <w:tblW w:w="9938"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82"/>
        <w:gridCol w:w="1187"/>
        <w:gridCol w:w="7381"/>
        <w:gridCol w:w="788"/>
      </w:tblGrid>
      <w:tr>
        <w:trPr>
          <w:jc w:val="center"/>
          <w:trHeight w:val="565"/>
        </w:trPr>
        <w:tc>
          <w:tcPr>
            <w:tcW w:w="5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序号</w:t>
            </w:r>
            <w:r/>
          </w:p>
        </w:tc>
        <w:tc>
          <w:tcPr>
            <w:tcW w:w="11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评分因素</w:t>
            </w:r>
            <w:r/>
          </w:p>
        </w:tc>
        <w:tc>
          <w:tcPr>
            <w:tcW w:w="738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评审标准</w:t>
            </w:r>
            <w:r/>
          </w:p>
        </w:tc>
        <w:tc>
          <w:tcPr>
            <w:tcW w:w="7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分值</w:t>
            </w:r>
            <w:r/>
          </w:p>
        </w:tc>
      </w:tr>
      <w:tr>
        <w:trPr>
          <w:jc w:val="center"/>
          <w:trHeight w:val="1077"/>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15</w:t>
            </w:r>
            <w:r>
              <w:rPr>
                <w:rFonts w:hint="eastAsia" w:ascii="宋体" w:hAnsi="宋体" w:eastAsia="宋体" w:cs="宋体"/>
                <w:sz w:val="21"/>
                <w:szCs w:val="21"/>
                <w:lang w:val="en-US" w:eastAsia="zh-CN"/>
              </w:rPr>
              <w:t xml:space="preserve">分）</w:t>
            </w:r>
            <w:r/>
          </w:p>
        </w:tc>
        <w:tc>
          <w:tcPr>
            <w:tcW w:w="7381" w:type="dxa"/>
            <w:vAlign w:val="center"/>
            <w:textDirection w:val="lrTb"/>
            <w:noWrap w:val="false"/>
          </w:tcPr>
          <w:p>
            <w:pPr>
              <w:jc w:val="left"/>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采用低价优先法计算，即满足磋商文件要求且投标价格低的投标报价为评标基准价，其价格分为满分。其他供应商的价格分按照下列公式计算（小数点保留</w:t>
            </w:r>
            <w:r>
              <w:rPr>
                <w:rFonts w:hint="eastAsia" w:ascii="宋体" w:hAnsi="宋体" w:cs="宋体"/>
                <w:sz w:val="21"/>
                <w:szCs w:val="21"/>
                <w:lang w:val="en-US" w:eastAsia="zh-CN"/>
              </w:rPr>
              <w:t xml:space="preserve">两</w:t>
            </w:r>
            <w:r>
              <w:rPr>
                <w:rFonts w:hint="eastAsia" w:ascii="宋体" w:hAnsi="宋体" w:eastAsia="宋体" w:cs="宋体"/>
                <w:sz w:val="21"/>
                <w:szCs w:val="21"/>
                <w:lang w:val="en-US" w:eastAsia="zh-CN"/>
              </w:rPr>
              <w:t xml:space="preserve">位）：投标报价得分=(评标基准价／投标报价)×</w:t>
            </w:r>
            <w:r>
              <w:rPr>
                <w:rFonts w:hint="eastAsia" w:ascii="宋体" w:hAnsi="宋体" w:cs="宋体"/>
                <w:sz w:val="21"/>
                <w:szCs w:val="21"/>
                <w:lang w:val="en-US" w:eastAsia="zh-CN"/>
              </w:rPr>
              <w:t xml:space="preserve">15</w:t>
            </w:r>
            <w:r/>
          </w:p>
        </w:tc>
        <w:tc>
          <w:tcPr>
            <w:tcW w:w="788" w:type="dxa"/>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15</w:t>
            </w:r>
            <w:r/>
          </w:p>
        </w:tc>
      </w:tr>
      <w:tr>
        <w:trPr>
          <w:jc w:val="center"/>
          <w:trHeight w:val="891"/>
        </w:trPr>
        <w:tc>
          <w:tcPr>
            <w:tcW w:w="582"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187"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bookmarkStart w:id="259" w:name="监理机构其他人员评分标准"/>
            <w:r>
              <w:rPr>
                <w:rFonts w:hint="eastAsia" w:ascii="宋体" w:hAnsi="宋体" w:eastAsia="宋体" w:cs="宋体"/>
                <w:sz w:val="21"/>
                <w:szCs w:val="21"/>
                <w:lang w:val="en-US" w:eastAsia="zh-CN"/>
              </w:rPr>
              <w:t xml:space="preserve">项目实</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施方案</w:t>
            </w:r>
            <w:bookmarkEnd w:id="259"/>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（54分）</w:t>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(1)供应商总体实施方案完善、健全得9分，比较完善、健全得7分，基本完善得5分，不完善、健全得3分，无得0分。</w:t>
            </w:r>
            <w:r/>
          </w:p>
        </w:tc>
        <w:tc>
          <w:tcPr>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r>
      <w:tr>
        <w:trPr>
          <w:jc w:val="center"/>
          <w:trHeight w:val="616"/>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(2)供应商提供的进度计划安排切实可行、安排合理得9分，比较可行、安排比较合理得7分，基本可行得5分，不可行、安排不合理得3分，无得0分。</w:t>
            </w:r>
            <w:r/>
          </w:p>
        </w:tc>
        <w:tc>
          <w:tcPr>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r>
      <w:tr>
        <w:trPr>
          <w:jc w:val="center"/>
          <w:trHeight w:val="929"/>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(3)供应商主要材料供应计划、劳动力计划合理能满足本项目要求得9分，比较合理能满足本项目要求得7分、基本能满足本项目要求得</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分，不能满足本项目要求得3分，无得0分。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715"/>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 供应商质量目标明确，工程质量保证体系完善、健全得9分，比较完善、健全得7分，基本完善、健全得5分，不完善、健全得3分，无得0分。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682"/>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(5)售后服务体系、质保期内保障措施内容全面，符合本项目需求得9分，内容比较全面，比较符合本项目需求得7分，基本完善、健全得5分，不完善、健全得3分，无得0分。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692"/>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 安全文明措施科学、合理、可行得9分，比较合理的7分，基本合理得5分，不合理得3分，无得0分。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90"/>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企业业绩</w:t>
            </w:r>
            <w:r/>
          </w:p>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val="en-US" w:eastAsia="zh-CN"/>
              </w:rPr>
              <w:t xml:space="preserve">分）</w:t>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投标人须提供企业2023年05月01日（含）以来承担过类似业绩得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分/个，共</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val="en-US" w:eastAsia="zh-CN"/>
              </w:rPr>
              <w:t xml:space="preserve">分；（提供中标通知书（成交通知书）、合同、发票、出水水质CMA检测报告；时间以合同时间为准；证明材料必须能反映相关数据和内容，否则视为未提供，证明文件复印件加盖公章）。</w:t>
            </w:r>
            <w:r/>
          </w:p>
        </w:tc>
        <w:tc>
          <w:tcPr>
            <w:tcW w:w="788" w:type="dxa"/>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r>
      <w:tr>
        <w:trPr>
          <w:jc w:val="center"/>
          <w:trHeight w:val="710"/>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shd w:val="clear" w:color="auto" w:fill="auto"/>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项目负责人（</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w:t>
            </w:r>
            <w:r/>
          </w:p>
        </w:tc>
        <w:tc>
          <w:tcPr>
            <w:shd w:val="clear" w:color="auto" w:fill="auto"/>
            <w:tcW w:w="73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项目负责人同时具有环境工程师及以上证书的得4分（提供人员证书并加盖公章）</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p>
        </w:tc>
      </w:tr>
      <w:tr>
        <w:trPr>
          <w:jc w:val="center"/>
          <w:trHeight w:val="858"/>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项目组人员（</w:t>
            </w:r>
            <w:r>
              <w:rPr>
                <w:rFonts w:hint="eastAsia" w:ascii="宋体" w:hAnsi="宋体" w:cs="宋体"/>
                <w:color w:val="auto"/>
                <w:sz w:val="21"/>
                <w:szCs w:val="21"/>
                <w:lang w:val="en-US" w:eastAsia="zh-CN"/>
              </w:rPr>
              <w:t xml:space="preserve">18</w:t>
            </w:r>
            <w:r>
              <w:rPr>
                <w:rFonts w:hint="eastAsia" w:ascii="宋体" w:hAnsi="宋体" w:eastAsia="宋体" w:cs="宋体"/>
                <w:color w:val="auto"/>
                <w:sz w:val="21"/>
                <w:szCs w:val="21"/>
                <w:lang w:val="en-US" w:eastAsia="zh-CN"/>
              </w:rPr>
              <w:t xml:space="preserve">分）</w:t>
            </w:r>
            <w:r/>
          </w:p>
        </w:tc>
        <w:tc>
          <w:tcPr>
            <w:tcW w:w="7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ff0000"/>
                <w:sz w:val="21"/>
                <w:szCs w:val="21"/>
                <w:lang w:val="en-US" w:eastAsia="zh-CN"/>
              </w:rPr>
              <w:t xml:space="preserve">（</w:t>
            </w:r>
            <w:r>
              <w:rPr>
                <w:rFonts w:hint="eastAsia" w:ascii="宋体" w:hAnsi="宋体" w:cs="宋体"/>
                <w:color w:val="ff0000"/>
                <w:sz w:val="21"/>
                <w:szCs w:val="21"/>
                <w:lang w:val="en-US" w:eastAsia="zh-CN"/>
              </w:rPr>
              <w:t xml:space="preserve">1）</w:t>
            </w:r>
            <w:r>
              <w:rPr>
                <w:rFonts w:hint="eastAsia" w:ascii="宋体" w:hAnsi="宋体" w:eastAsia="宋体" w:cs="宋体"/>
                <w:color w:val="ff0000"/>
                <w:sz w:val="21"/>
                <w:szCs w:val="21"/>
                <w:lang w:val="en-US" w:eastAsia="zh-CN"/>
              </w:rPr>
              <w:t xml:space="preserve">项目组具有安全员、施工员，1个得3分，共6分；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项目组具有电工2人；1人得3分，共6分；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项目组具有污水处理工</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人得2分，共</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项目组具有预算员1人得2分，共2分；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项目组具有资料员1人得2分，共2分</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bookmarkStart w:id="356" w:name="_GoBack"/>
            <w:r>
              <w:rPr>
                <w:rFonts w:hint="eastAsia" w:ascii="宋体" w:hAnsi="宋体" w:eastAsia="宋体" w:cs="宋体"/>
                <w:color w:val="auto"/>
                <w:sz w:val="21"/>
                <w:szCs w:val="21"/>
                <w:lang w:val="en-US" w:eastAsia="zh-CN"/>
              </w:rPr>
              <w:t xml:space="preserve">备注：同一人不可重复得分，提供人员证书并加盖公章。</w:t>
            </w:r>
            <w:bookmarkEnd w:id="356"/>
            <w:r/>
            <w:r/>
          </w:p>
        </w:tc>
        <w:tc>
          <w:tcPr>
            <w:tcW w:w="788" w:type="dxa"/>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r>
    </w:tbl>
    <w:p>
      <w:pPr>
        <w:ind w:firstLine="373"/>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260" w:name="_Toc91836565"/>
      <w:r>
        <w:rPr>
          <w:rFonts w:hint="eastAsia" w:ascii="宋体" w:hAnsi="宋体" w:cs="宋体"/>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jc w:val="left"/>
        <w:widowControl/>
        <w:rPr>
          <w:rFonts w:hint="eastAsia" w:ascii="宋体" w:hAnsi="宋体" w:cs="宋体"/>
          <w:b/>
          <w:bCs/>
          <w:sz w:val="32"/>
          <w:szCs w:val="32"/>
          <w:highlight w:val="none"/>
        </w:rPr>
      </w:pPr>
      <w:r/>
      <w:bookmarkStart w:id="261" w:name="_Toc107246273"/>
      <w:r>
        <w:rPr>
          <w:rFonts w:ascii="宋体" w:hAnsi="宋体" w:cs="宋体"/>
          <w:highlight w:val="none"/>
        </w:rPr>
        <w:br w:type="page" w:clear="all"/>
      </w:r>
      <w:r/>
    </w:p>
    <w:p>
      <w:pPr>
        <w:pStyle w:val="895"/>
        <w:ind w:firstLine="569"/>
        <w:rPr>
          <w:rFonts w:hint="eastAsia" w:ascii="宋体" w:hAnsi="宋体" w:cs="宋体"/>
          <w:highlight w:val="none"/>
        </w:rPr>
      </w:pPr>
      <w:r>
        <w:rPr>
          <w:rFonts w:hint="eastAsia" w:ascii="宋体" w:hAnsi="宋体" w:cs="宋体"/>
          <w:highlight w:val="none"/>
        </w:rPr>
        <w:t xml:space="preserve">第六章 </w:t>
      </w:r>
      <w:bookmarkEnd w:id="260"/>
      <w:r>
        <w:rPr>
          <w:rFonts w:hint="eastAsia" w:ascii="宋体" w:hAnsi="宋体" w:cs="宋体"/>
          <w:highlight w:val="none"/>
        </w:rPr>
        <w:t xml:space="preserve">投标文件格式</w:t>
      </w:r>
      <w:bookmarkEnd w:id="261"/>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注：请投标人按照以下文件的要求格式、内容，顺序制作投标文件，并请编制目录及页码，否则可能将影响对投标文件的评价。</w:t>
      </w:r>
      <w:r/>
    </w:p>
    <w:p>
      <w:pPr>
        <w:pStyle w:val="1120"/>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before="100" w:after="100" w:line="360" w:lineRule="auto"/>
        <w:rPr>
          <w:rFonts w:hint="eastAsia" w:ascii="宋体" w:hAnsi="宋体" w:cs="宋体"/>
          <w:sz w:val="24"/>
          <w:highlight w:val="none"/>
        </w:rPr>
      </w:pPr>
      <w:r/>
      <w:bookmarkStart w:id="262"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873"/>
        <w:jc w:val="center"/>
        <w:rPr>
          <w:rFonts w:hint="eastAsia" w:hAnsi="宋体" w:cs="宋体"/>
          <w:b/>
          <w:sz w:val="56"/>
          <w:szCs w:val="56"/>
          <w:highlight w:val="none"/>
        </w:rPr>
      </w:pPr>
      <w:r>
        <w:rPr>
          <w:rFonts w:hint="eastAsia" w:hAnsi="宋体" w:cs="宋体"/>
          <w:b/>
          <w:sz w:val="56"/>
          <w:szCs w:val="56"/>
          <w:highlight w:val="none"/>
        </w:rPr>
      </w:r>
      <w:r/>
    </w:p>
    <w:p>
      <w:pPr>
        <w:pStyle w:val="873"/>
        <w:jc w:val="center"/>
        <w:rPr>
          <w:rFonts w:hint="eastAsia" w:hAnsi="宋体" w:eastAsia="宋体" w:cs="宋体"/>
          <w:b/>
          <w:sz w:val="56"/>
          <w:szCs w:val="56"/>
          <w:highlight w:val="none"/>
          <w:lang w:eastAsia="zh-CN"/>
        </w:rPr>
      </w:pPr>
      <w:r>
        <w:rPr>
          <w:rFonts w:hint="eastAsia" w:hAnsi="宋体" w:cs="宋体"/>
          <w:b/>
          <w:sz w:val="56"/>
          <w:szCs w:val="56"/>
          <w:highlight w:val="none"/>
          <w:lang w:eastAsia="zh-CN"/>
        </w:rPr>
        <w:t xml:space="preserve">江宁区卫健委下属单位污水处理运维服务</w:t>
      </w:r>
      <w:r/>
    </w:p>
    <w:p>
      <w:pPr>
        <w:pStyle w:val="873"/>
        <w:jc w:val="center"/>
        <w:rPr>
          <w:rFonts w:hint="eastAsia" w:hAnsi="宋体" w:cs="宋体"/>
          <w:b/>
          <w:sz w:val="56"/>
          <w:szCs w:val="56"/>
          <w:highlight w:val="none"/>
        </w:rPr>
      </w:pPr>
      <w:r>
        <w:rPr>
          <w:rFonts w:hint="eastAsia" w:hAnsi="宋体" w:cs="宋体"/>
          <w:b/>
          <w:sz w:val="56"/>
          <w:szCs w:val="56"/>
          <w:highlight w:val="none"/>
        </w:rPr>
      </w:r>
      <w:r/>
    </w:p>
    <w:p>
      <w:pPr>
        <w:ind w:firstLine="372"/>
        <w:rPr>
          <w:rFonts w:hint="eastAsia" w:ascii="宋体" w:hAnsi="宋体" w:cs="宋体"/>
          <w:highlight w:val="none"/>
        </w:rPr>
      </w:pPr>
      <w:r>
        <w:rPr>
          <w:rFonts w:hint="eastAsia" w:ascii="宋体" w:hAnsi="宋体" w:cs="宋体"/>
          <w:highlight w:val="none"/>
        </w:rPr>
      </w:r>
      <w:r/>
    </w:p>
    <w:p>
      <w:pPr>
        <w:pStyle w:val="873"/>
        <w:ind w:firstLine="220"/>
        <w:jc w:val="center"/>
        <w:rPr>
          <w:rFonts w:hint="eastAsia" w:hAnsi="宋体" w:cs="宋体"/>
          <w:b/>
          <w:sz w:val="84"/>
          <w:szCs w:val="84"/>
          <w:highlight w:val="none"/>
        </w:rPr>
      </w:pPr>
      <w:r/>
      <w:bookmarkStart w:id="263" w:name="_Toc100905255"/>
      <w:r>
        <w:rPr>
          <w:rFonts w:hint="eastAsia" w:hAnsi="宋体" w:cs="宋体"/>
          <w:b/>
          <w:sz w:val="84"/>
          <w:szCs w:val="84"/>
          <w:highlight w:val="none"/>
        </w:rPr>
        <w:t xml:space="preserve">投 标 文 件</w:t>
      </w:r>
      <w:bookmarkEnd w:id="263"/>
      <w:r/>
      <w:r/>
    </w:p>
    <w:p>
      <w:pPr>
        <w:ind w:right="640" w:firstLine="78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right="640" w:firstLine="78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right="-200" w:firstLine="711"/>
        <w:spacing w:line="360" w:lineRule="auto"/>
        <w:rPr>
          <w:rFonts w:hint="eastAsia" w:ascii="宋体" w:hAnsi="宋体" w:eastAsia="宋体" w:cs="宋体"/>
          <w:b/>
          <w:sz w:val="40"/>
          <w:szCs w:val="40"/>
          <w:highlight w:val="none"/>
          <w:lang w:eastAsia="zh-CN"/>
        </w:rPr>
      </w:pPr>
      <w:r>
        <w:rPr>
          <w:rFonts w:hint="eastAsia" w:ascii="宋体" w:hAnsi="宋体" w:cs="宋体"/>
          <w:b/>
          <w:sz w:val="40"/>
          <w:szCs w:val="40"/>
          <w:highlight w:val="none"/>
        </w:rPr>
        <w:t xml:space="preserve">项目编号：</w:t>
      </w:r>
      <w:r>
        <w:rPr>
          <w:rFonts w:hint="eastAsia" w:ascii="宋体" w:hAnsi="宋体" w:cs="宋体"/>
          <w:b/>
          <w:sz w:val="40"/>
          <w:szCs w:val="40"/>
          <w:highlight w:val="none"/>
          <w:lang w:eastAsia="zh-CN"/>
        </w:rPr>
        <w:t xml:space="preserve">JSZC-320115-JITC-G2026-0208 </w:t>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569"/>
        <w:jc w:val="center"/>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873"/>
        <w:ind w:firstLine="569"/>
        <w:jc w:val="center"/>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873"/>
        <w:ind w:firstLine="569"/>
        <w:jc w:val="center"/>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ind w:firstLine="569"/>
        <w:jc w:val="center"/>
        <w:rPr>
          <w:rFonts w:hint="eastAsia" w:ascii="宋体" w:hAnsi="宋体" w:cs="宋体"/>
          <w:b/>
          <w:sz w:val="28"/>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sz w:val="32"/>
          <w:highlight w:val="none"/>
        </w:rPr>
        <w:t xml:space="preserve">目录</w:t>
      </w:r>
      <w:r/>
    </w:p>
    <w:p>
      <w:pPr>
        <w:pStyle w:val="873"/>
        <w:ind w:firstLine="373"/>
        <w:spacing w:line="300" w:lineRule="exact"/>
        <w:rPr>
          <w:rFonts w:hint="eastAsia" w:hAnsi="宋体" w:cs="宋体"/>
          <w:b/>
          <w:highlight w:val="none"/>
        </w:rPr>
      </w:pPr>
      <w:r>
        <w:rPr>
          <w:rFonts w:hint="eastAsia" w:hAnsi="宋体" w:cs="宋体"/>
          <w:b/>
          <w:highlight w:val="none"/>
        </w:rPr>
        <w:t xml:space="preserve">一、价格及商务部分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（2）法定代表人（非法人单位负责人）身份证明，格式见附件。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（3）法定代表人授权委托书（适用于法人/非法人），格式见附件。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（5）分项报价表</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如需</w:t>
      </w:r>
      <w:r>
        <w:rPr>
          <w:rFonts w:hint="eastAsia" w:ascii="宋体" w:hAnsi="宋体" w:cs="宋体"/>
          <w:szCs w:val="21"/>
          <w:highlight w:val="none"/>
          <w:lang w:eastAsia="zh-CN"/>
        </w:rPr>
        <w:t xml:space="preserve">）</w:t>
      </w:r>
      <w:r>
        <w:rPr>
          <w:rFonts w:hint="eastAsia" w:ascii="宋体" w:hAnsi="宋体" w:cs="宋体"/>
          <w:szCs w:val="21"/>
          <w:highlight w:val="none"/>
        </w:rPr>
        <w:t xml:space="preserve">，格式见附件。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（e）投标人是自然人的，应提供有效的自然人身份证明。</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（7-2）财务报表等证明文件。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（9）公章授权书（如需），格式见附件。</w:t>
      </w:r>
      <w:r/>
    </w:p>
    <w:p>
      <w:pPr>
        <w:pStyle w:val="873"/>
        <w:ind w:firstLine="373"/>
        <w:spacing w:line="300" w:lineRule="exact"/>
        <w:rPr>
          <w:rFonts w:hint="eastAsia" w:hAnsi="宋体" w:cs="宋体"/>
          <w:b/>
          <w:highlight w:val="none"/>
        </w:rPr>
      </w:pPr>
      <w:r>
        <w:rPr>
          <w:rFonts w:hint="eastAsia" w:hAnsi="宋体" w:cs="宋体"/>
          <w:b/>
          <w:highlight w:val="none"/>
        </w:rPr>
        <w:t xml:space="preserve">二、技术部分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（1）技术条款偏离表</w:t>
      </w:r>
      <w:r/>
    </w:p>
    <w:p>
      <w:pPr>
        <w:ind w:firstLine="372"/>
        <w:jc w:val="left"/>
        <w:spacing w:line="30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用于本项目产品技术参数证明文件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如需</w:t>
      </w:r>
      <w:r>
        <w:rPr>
          <w:rFonts w:hint="eastAsia" w:ascii="宋体" w:hAnsi="宋体" w:eastAsia="宋体" w:cs="宋体"/>
          <w:szCs w:val="21"/>
          <w:highlight w:val="none"/>
          <w:lang w:eastAsia="zh-CN"/>
        </w:rPr>
        <w:t xml:space="preserve">）</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）需求响应方案</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）投标人服务承诺</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（5）用于本项目人员表</w:t>
      </w:r>
      <w:r/>
    </w:p>
    <w:p>
      <w:pPr>
        <w:ind w:firstLine="372"/>
        <w:jc w:val="left"/>
        <w:spacing w:line="300" w:lineRule="exact"/>
        <w:rPr>
          <w:rFonts w:ascii="宋体" w:hAnsi="宋体" w:eastAsia="宋体" w:cs="宋体"/>
          <w:szCs w:val="21"/>
          <w:highlight w:val="none"/>
          <w:lang w:val="en-US" w:eastAsia="zh-CN"/>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业绩一览表</w:t>
      </w:r>
      <w:r/>
    </w:p>
    <w:p>
      <w:pPr>
        <w:pStyle w:val="873"/>
        <w:ind w:firstLine="373"/>
        <w:spacing w:line="300" w:lineRule="exact"/>
        <w:rPr>
          <w:rFonts w:hint="eastAsia" w:hAnsi="宋体" w:cs="宋体"/>
          <w:b/>
          <w:highlight w:val="none"/>
        </w:rPr>
      </w:pPr>
      <w:r>
        <w:rPr>
          <w:rFonts w:hint="eastAsia" w:hAnsi="宋体" w:cs="宋体"/>
          <w:b/>
          <w:highlight w:val="none"/>
        </w:rPr>
        <w:t xml:space="preserve">三、其他部分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（1）要求投标人提交的其他文件材料或证明材料</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（2）投标人认为需提供的其他文件或证明材料</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（3）提供符合政府采购政策的证明材料</w:t>
      </w:r>
      <w:r/>
    </w:p>
    <w:p>
      <w:pPr>
        <w:pStyle w:val="873"/>
        <w:ind w:firstLine="372"/>
        <w:jc w:val="center"/>
        <w:spacing w:line="300" w:lineRule="exact"/>
        <w:rPr>
          <w:rFonts w:hint="eastAsia" w:hAnsi="宋体" w:cs="宋体"/>
          <w:sz w:val="28"/>
          <w:szCs w:val="28"/>
          <w:highlight w:val="none"/>
        </w:rPr>
      </w:pPr>
      <w:r>
        <w:rPr>
          <w:rFonts w:hint="eastAsia" w:hAnsi="宋体" w:cs="宋体"/>
          <w:highlight w:val="none"/>
        </w:rPr>
        <w:br w:type="page" w:clear="all"/>
      </w:r>
      <w:r>
        <w:rPr>
          <w:rFonts w:hint="eastAsia" w:hAnsi="宋体" w:cs="宋体"/>
          <w:b/>
          <w:bCs/>
          <w:sz w:val="28"/>
          <w:szCs w:val="28"/>
          <w:highlight w:val="none"/>
        </w:rPr>
        <w:t xml:space="preserve">评标索引</w:t>
      </w:r>
      <w:r/>
    </w:p>
    <w:p>
      <w:pPr>
        <w:ind w:firstLine="426"/>
        <w:jc w:val="center"/>
        <w:rPr>
          <w:rFonts w:hint="eastAsia" w:ascii="宋体" w:hAnsi="宋体" w:cs="宋体"/>
          <w:b/>
          <w:sz w:val="24"/>
          <w:highlight w:val="none"/>
        </w:rPr>
      </w:pPr>
      <w:r>
        <w:rPr>
          <w:rFonts w:hint="eastAsia" w:ascii="宋体" w:hAnsi="宋体" w:cs="宋体"/>
          <w:b/>
          <w:sz w:val="24"/>
          <w:highlight w:val="none"/>
        </w:rPr>
        <w:t xml:space="preserve">（注：此表按照招标文件中评分办法逐项填写）</w:t>
      </w:r>
      <w:r/>
    </w:p>
    <w:p>
      <w:pPr>
        <w:pStyle w:val="870"/>
        <w:ind w:left="1260" w:firstLine="426"/>
        <w:rPr>
          <w:rFonts w:hint="eastAsia" w:hAnsi="宋体" w:cs="宋体"/>
          <w:highlight w:val="none"/>
        </w:rPr>
      </w:pPr>
      <w:r>
        <w:rPr>
          <w:rFonts w:hint="eastAsia" w:hAnsi="宋体" w:cs="宋体"/>
          <w:highlight w:val="none"/>
        </w:rPr>
      </w:r>
      <w:r/>
    </w:p>
    <w:tbl>
      <w:tblPr>
        <w:tblStyle w:val="832"/>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120"/>
              <w:ind w:left="420" w:firstLine="0"/>
              <w:jc w:val="both"/>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评审项目</w:t>
            </w:r>
            <w:r/>
          </w:p>
        </w:tc>
        <w:tc>
          <w:tcPr>
            <w:tcW w:w="3177" w:type="dxa"/>
            <w:vAlign w:val="center"/>
            <w:textDirection w:val="lrTb"/>
            <w:noWrap w:val="false"/>
          </w:tcPr>
          <w:p>
            <w:pPr>
              <w:pStyle w:val="1120"/>
              <w:ind w:firstLine="0"/>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评审要求</w:t>
            </w:r>
            <w:r/>
          </w:p>
        </w:tc>
        <w:tc>
          <w:tcPr>
            <w:tcW w:w="3513" w:type="dxa"/>
            <w:vAlign w:val="center"/>
            <w:textDirection w:val="lrTb"/>
            <w:noWrap w:val="false"/>
          </w:tcPr>
          <w:p>
            <w:pPr>
              <w:pStyle w:val="1120"/>
              <w:ind w:firstLine="0"/>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bookmarkEnd w:id="262"/>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bl>
    <w:p>
      <w:pPr>
        <w:ind w:firstLine="372"/>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ascii="宋体" w:hAnsi="宋体" w:cs="宋体"/>
          <w:sz w:val="28"/>
          <w:highlight w:val="none"/>
        </w:rPr>
        <w:br w:type="page" w:clear="all"/>
      </w:r>
      <w:r/>
    </w:p>
    <w:p>
      <w:pPr>
        <w:pStyle w:val="895"/>
        <w:ind w:left="601" w:firstLine="425"/>
        <w:spacing w:before="0"/>
        <w:rPr>
          <w:rFonts w:hint="eastAsia" w:ascii="宋体" w:hAnsi="宋体" w:cs="宋体"/>
          <w:sz w:val="28"/>
          <w:szCs w:val="24"/>
          <w:highlight w:val="none"/>
        </w:rPr>
      </w:pPr>
      <w:r>
        <w:rPr>
          <w:rFonts w:ascii="宋体" w:hAnsi="宋体" w:cs="宋体"/>
          <w:sz w:val="28"/>
          <w:szCs w:val="24"/>
          <w:highlight w:val="none"/>
        </w:rPr>
        <w:t xml:space="preserve">一、</w:t>
      </w:r>
      <w:bookmarkStart w:id="264" w:name="_Toc104560897"/>
      <w:r/>
      <w:bookmarkStart w:id="265" w:name="_Toc107246274"/>
      <w:r/>
      <w:bookmarkStart w:id="266" w:name="_Toc103848582"/>
      <w:r/>
      <w:bookmarkStart w:id="267" w:name="_Toc104560893"/>
      <w:r>
        <w:rPr>
          <w:rFonts w:hint="eastAsia" w:ascii="宋体" w:hAnsi="宋体" w:cs="宋体"/>
          <w:sz w:val="28"/>
          <w:szCs w:val="24"/>
          <w:highlight w:val="none"/>
        </w:rPr>
        <w:t xml:space="preserve">价格及商务部分</w:t>
      </w:r>
      <w:bookmarkEnd w:id="264"/>
      <w:r/>
      <w:bookmarkEnd w:id="265"/>
      <w:r/>
      <w:bookmarkEnd w:id="266"/>
      <w:r/>
      <w:r/>
    </w:p>
    <w:p>
      <w:pPr>
        <w:ind w:firstLine="372"/>
        <w:rPr>
          <w:rFonts w:hint="eastAsia" w:ascii="宋体" w:hAnsi="宋体" w:cs="宋体"/>
          <w:highlight w:val="none"/>
        </w:rPr>
      </w:pPr>
      <w:r>
        <w:rPr>
          <w:rFonts w:hint="eastAsia" w:ascii="宋体" w:hAnsi="宋体" w:cs="宋体"/>
          <w:highlight w:val="none"/>
        </w:rPr>
      </w:r>
      <w:r/>
    </w:p>
    <w:p>
      <w:pPr>
        <w:pStyle w:val="895"/>
        <w:spacing w:before="0" w:line="280" w:lineRule="exact"/>
        <w:rPr>
          <w:rFonts w:hint="eastAsia" w:ascii="宋体" w:hAnsi="宋体" w:cs="宋体"/>
          <w:sz w:val="28"/>
          <w:szCs w:val="24"/>
          <w:highlight w:val="none"/>
        </w:rPr>
      </w:pPr>
      <w:r/>
      <w:bookmarkStart w:id="268"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投标函</w:t>
      </w:r>
      <w:bookmarkEnd w:id="267"/>
      <w:r/>
      <w:bookmarkEnd w:id="268"/>
      <w:r/>
      <w:r/>
    </w:p>
    <w:p>
      <w:pPr>
        <w:ind w:firstLine="420"/>
        <w:spacing w:line="360" w:lineRule="exact"/>
        <w:rPr>
          <w:rFonts w:hint="eastAsia" w:ascii="宋体" w:hAnsi="宋体" w:cs="宋体"/>
          <w:szCs w:val="21"/>
          <w:highlight w:val="none"/>
        </w:rPr>
      </w:pPr>
      <w:r/>
      <w:bookmarkStart w:id="269" w:name="_Toc103848580"/>
      <w:r/>
      <w:bookmarkStart w:id="270" w:name="_Toc96347902"/>
      <w:r>
        <w:rPr>
          <w:rFonts w:hint="eastAsia" w:ascii="宋体" w:hAnsi="宋体" w:cs="宋体"/>
          <w:szCs w:val="21"/>
          <w:highlight w:val="none"/>
          <w:u w:val="single"/>
          <w:lang w:eastAsia="zh-CN"/>
        </w:rPr>
        <w:t xml:space="preserve">南京市江宁区卫生健康委员会</w:t>
      </w:r>
      <w:r>
        <w:rPr>
          <w:rFonts w:hint="eastAsia" w:ascii="宋体" w:hAnsi="宋体" w:cs="宋体"/>
          <w:szCs w:val="21"/>
          <w:highlight w:val="none"/>
        </w:rPr>
        <w:t xml:space="preserve">（采购人）：</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lang w:eastAsia="zh-CN"/>
        </w:rPr>
        <w:t xml:space="preserve">江宁区卫健委下属单位污水处理运维服务</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JSZC-320115-JITC-G2026-0208 </w:t>
      </w:r>
      <w:r>
        <w:rPr>
          <w:rFonts w:hint="eastAsia" w:ascii="宋体" w:hAnsi="宋体" w:cs="宋体"/>
          <w:szCs w:val="21"/>
          <w:highlight w:val="none"/>
          <w:u w:val="single"/>
        </w:rPr>
        <w:t xml:space="preserve">）</w:t>
      </w:r>
      <w:r>
        <w:rPr>
          <w:rFonts w:hint="eastAsia" w:ascii="宋体" w:hAnsi="宋体" w:cs="宋体"/>
          <w:szCs w:val="21"/>
          <w:highlight w:val="none"/>
        </w:rPr>
        <w:t xml:space="preserve">投标的有关活动，并对此项目进行投标。</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rPr>
        <w:t xml:space="preserve">为此：</w:t>
      </w:r>
      <w:r/>
    </w:p>
    <w:p>
      <w:pPr>
        <w:pStyle w:val="892"/>
        <w:ind w:firstLine="420"/>
        <w:jc w:val="left"/>
        <w:spacing w:after="0" w:line="360" w:lineRule="exact"/>
        <w:rPr>
          <w:rFonts w:hint="eastAsia" w:ascii="宋体" w:hAnsi="宋体" w:cs="宋体"/>
          <w:highlight w:val="none"/>
        </w:rPr>
      </w:pPr>
      <w:r>
        <w:rPr>
          <w:rFonts w:hint="eastAsia" w:ascii="宋体" w:hAnsi="宋体" w:cs="宋体"/>
          <w:highlight w:val="none"/>
        </w:rPr>
        <w:t xml:space="preserve">1、我方将按采购文件的规定履行全部责任和义务。</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2、我方已详细审查全部采购文件，我们完全理解并同意</w:t>
      </w:r>
      <w:r>
        <w:rPr>
          <w:rFonts w:hint="eastAsia" w:ascii="宋体" w:hAnsi="宋体" w:cs="宋体"/>
          <w:szCs w:val="21"/>
          <w:highlight w:val="none"/>
        </w:rPr>
        <w:t xml:space="preserve">放弃对采购文件提出质疑或争议的权利。</w:t>
      </w:r>
      <w:r/>
    </w:p>
    <w:p>
      <w:pPr>
        <w:pStyle w:val="892"/>
        <w:ind w:firstLine="420"/>
        <w:jc w:val="left"/>
        <w:spacing w:after="0" w:line="360" w:lineRule="exact"/>
        <w:rPr>
          <w:rFonts w:hint="eastAsia" w:ascii="宋体" w:hAnsi="宋体" w:cs="宋体"/>
          <w:highlight w:val="none"/>
        </w:rPr>
      </w:pPr>
      <w:r>
        <w:rPr>
          <w:rFonts w:hint="eastAsia" w:ascii="宋体" w:hAnsi="宋体" w:cs="宋体"/>
          <w:szCs w:val="21"/>
          <w:highlight w:val="none"/>
        </w:rPr>
        <w:t xml:space="preserve">3、本投标有效期为自投标日起</w:t>
      </w:r>
      <w:r>
        <w:rPr>
          <w:rFonts w:hint="eastAsia" w:ascii="宋体" w:hAnsi="宋体" w:cs="宋体"/>
          <w:szCs w:val="21"/>
          <w:highlight w:val="none"/>
          <w:u w:val="single"/>
        </w:rPr>
        <w:t xml:space="preserve">90日历天</w:t>
      </w:r>
      <w:r>
        <w:rPr>
          <w:rFonts w:hint="eastAsia" w:ascii="宋体" w:hAnsi="宋体" w:cs="宋体"/>
          <w:szCs w:val="21"/>
          <w:highlight w:val="none"/>
        </w:rPr>
        <w:t xml:space="preserve">。</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4、如果在规定的递交投标文件截止时间后，我方在投标有效期内撤销投标文件，投标保证金将不予退还。</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6、我方在法律和财务上独立、合法运作并独立于采购方，与采购人为本项目所委托的咨询单位或其附属机构没有直接或间接的任何关联。</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9、</w:t>
      </w:r>
      <w:r>
        <w:rPr>
          <w:rFonts w:hint="eastAsia" w:ascii="宋体" w:hAnsi="宋体" w:cs="宋体"/>
          <w:szCs w:val="21"/>
          <w:highlight w:val="none"/>
        </w:rPr>
        <w:t xml:space="preserve">与本投标有关的一切往来通讯请寄：</w:t>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固定电话：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法定代表人或其授权代表（签字或盖章）：</w:t>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pStyle w:val="866"/>
        <w:spacing w:before="1"/>
        <w:rPr>
          <w:rFonts w:hint="eastAsia" w:ascii="宋体" w:hAnsi="宋体" w:cs="宋体"/>
          <w:sz w:val="22"/>
          <w:highlight w:val="none"/>
        </w:rPr>
      </w:pPr>
      <w:r>
        <w:rPr>
          <w:rFonts w:hint="eastAsia" w:ascii="宋体" w:hAnsi="宋体" w:cs="宋体"/>
          <w:highlight w:val="none"/>
        </w:rPr>
        <w:br w:type="page" w:clear="all"/>
      </w:r>
      <w:r/>
    </w:p>
    <w:p>
      <w:pPr>
        <w:pStyle w:val="895"/>
        <w:ind w:firstLine="569"/>
        <w:spacing w:before="0"/>
        <w:rPr>
          <w:rFonts w:hint="eastAsia" w:ascii="宋体" w:hAnsi="宋体" w:cs="宋体"/>
          <w:bCs w:val="0"/>
          <w:sz w:val="24"/>
          <w:szCs w:val="24"/>
          <w:highlight w:val="none"/>
        </w:rPr>
      </w:pPr>
      <w:r/>
      <w:bookmarkStart w:id="271" w:name="_Toc104560898"/>
      <w:r/>
      <w:bookmarkStart w:id="272" w:name="_Toc103848583"/>
      <w:r/>
      <w:bookmarkStart w:id="273" w:name="_Toc107246276"/>
      <w:r>
        <w:rPr>
          <w:rFonts w:hint="eastAsia" w:ascii="宋体" w:hAnsi="宋体" w:cs="宋体"/>
          <w:bCs w:val="0"/>
          <w:sz w:val="24"/>
          <w:szCs w:val="24"/>
          <w:highlight w:val="none"/>
        </w:rPr>
        <w:t xml:space="preserve">（2）</w:t>
      </w:r>
      <w:bookmarkEnd w:id="271"/>
      <w:r/>
      <w:bookmarkEnd w:id="272"/>
      <w:r>
        <w:rPr>
          <w:rFonts w:hint="eastAsia" w:ascii="宋体" w:hAnsi="宋体" w:cs="宋体"/>
          <w:bCs w:val="0"/>
          <w:sz w:val="24"/>
          <w:szCs w:val="24"/>
          <w:highlight w:val="none"/>
        </w:rPr>
        <w:t xml:space="preserve">法定代表人（非法人单位负责人）身份证明</w:t>
      </w:r>
      <w:bookmarkEnd w:id="273"/>
      <w:r/>
      <w:r/>
    </w:p>
    <w:p>
      <w:pPr>
        <w:pStyle w:val="866"/>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66"/>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66"/>
        <w:ind w:firstLine="420"/>
        <w:tabs>
          <w:tab w:val="left" w:pos="4228" w:leader="none"/>
        </w:tabs>
        <w:rPr>
          <w:rFonts w:hint="eastAsia" w:ascii="宋体" w:hAnsi="宋体" w:cs="宋体"/>
          <w:highlight w:val="none"/>
        </w:rPr>
      </w:pPr>
      <w:r>
        <w:rPr>
          <w:rFonts w:hint="eastAsia" w:ascii="宋体" w:hAnsi="宋体" w:cs="宋体"/>
          <w:highlight w:val="none"/>
        </w:rPr>
        <w:t xml:space="preserve">投标人名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ab/>
      </w:r>
      <w:r/>
    </w:p>
    <w:p>
      <w:pPr>
        <w:pStyle w:val="866"/>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ab/>
      </w:r>
      <w:r/>
    </w:p>
    <w:p>
      <w:pPr>
        <w:pStyle w:val="866"/>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投标人</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866"/>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866"/>
        <w:ind w:left="1260" w:firstLine="354"/>
        <w:rPr>
          <w:rFonts w:hint="eastAsia" w:ascii="宋体" w:hAnsi="宋体" w:cs="宋体"/>
          <w:sz w:val="20"/>
          <w:highlight w:val="none"/>
        </w:rPr>
      </w:pPr>
      <w:r>
        <w:rPr>
          <w:rFonts w:hint="eastAsia" w:ascii="宋体" w:hAnsi="宋体" w:cs="宋体"/>
          <w:sz w:val="20"/>
          <w:highlight w:val="none"/>
        </w:rPr>
      </w:r>
      <w:r/>
    </w:p>
    <w:p>
      <w:pPr>
        <w:pStyle w:val="866"/>
        <w:ind w:left="1260" w:firstLine="478"/>
        <w:spacing w:before="10"/>
        <w:rPr>
          <w:rFonts w:hint="eastAsia" w:ascii="宋体" w:hAnsi="宋体" w:cs="宋体"/>
          <w:sz w:val="27"/>
          <w:highlight w:val="none"/>
        </w:rPr>
      </w:pPr>
      <w:r>
        <w:rPr>
          <w:rFonts w:hint="eastAsia" w:ascii="宋体" w:hAnsi="宋体" w:cs="宋体"/>
          <w:sz w:val="27"/>
          <w:highlight w:val="none"/>
        </w:rPr>
      </w:r>
      <w:r/>
    </w:p>
    <w:p>
      <w:pPr>
        <w:ind w:firstLine="372"/>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ind w:firstLine="372"/>
        <w:spacing w:line="480" w:lineRule="auto"/>
        <w:rPr>
          <w:rFonts w:hint="eastAsia" w:ascii="宋体" w:hAnsi="宋体" w:cs="宋体"/>
          <w:highlight w:val="none"/>
        </w:rPr>
      </w:pPr>
      <w:r>
        <w:rPr>
          <w:rFonts w:hint="eastAsia" w:ascii="宋体" w:hAnsi="宋体" w:cs="宋体"/>
          <w:highlight w:val="none"/>
        </w:rPr>
      </w:r>
      <w:r/>
    </w:p>
    <w:tbl>
      <w:tblPr>
        <w:tblStyle w:val="83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6"/>
              <w:jc w:val="center"/>
              <w:spacing w:after="120" w:line="300" w:lineRule="exact"/>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66"/>
        <w:ind w:firstLine="354"/>
        <w:rPr>
          <w:rFonts w:hint="eastAsia" w:ascii="宋体" w:hAnsi="宋体" w:cs="宋体"/>
          <w:sz w:val="20"/>
          <w:highlight w:val="none"/>
        </w:rPr>
      </w:pPr>
      <w:r>
        <w:rPr>
          <w:rFonts w:hint="eastAsia" w:ascii="宋体" w:hAnsi="宋体" w:cs="宋体"/>
          <w:sz w:val="20"/>
          <w:highlight w:val="none"/>
        </w:rPr>
      </w:r>
      <w:r/>
    </w:p>
    <w:p>
      <w:pPr>
        <w:pStyle w:val="866"/>
        <w:ind w:firstLine="354"/>
        <w:rPr>
          <w:rFonts w:hint="eastAsia" w:ascii="宋体" w:hAnsi="宋体" w:cs="宋体"/>
          <w:sz w:val="20"/>
          <w:highlight w:val="none"/>
        </w:rPr>
      </w:pPr>
      <w:r>
        <w:rPr>
          <w:rFonts w:hint="eastAsia" w:ascii="宋体" w:hAnsi="宋体" w:cs="宋体"/>
          <w:sz w:val="20"/>
          <w:highlight w:val="none"/>
        </w:rPr>
      </w:r>
      <w:r/>
    </w:p>
    <w:p>
      <w:pPr>
        <w:pStyle w:val="866"/>
        <w:ind w:left="1260" w:firstLine="354"/>
        <w:rPr>
          <w:rFonts w:hint="eastAsia" w:ascii="宋体" w:hAnsi="宋体" w:cs="宋体"/>
          <w:sz w:val="20"/>
          <w:highlight w:val="none"/>
        </w:rPr>
      </w:pPr>
      <w:r>
        <w:rPr>
          <w:rFonts w:hint="eastAsia" w:ascii="宋体" w:hAnsi="宋体" w:cs="宋体"/>
          <w:sz w:val="20"/>
          <w:highlight w:val="none"/>
        </w:rPr>
      </w:r>
      <w:r/>
    </w:p>
    <w:p>
      <w:pPr>
        <w:pStyle w:val="866"/>
        <w:ind w:left="1260" w:firstLine="389"/>
        <w:spacing w:before="1"/>
        <w:rPr>
          <w:rFonts w:hint="eastAsia" w:ascii="宋体" w:hAnsi="宋体" w:cs="宋体"/>
          <w:sz w:val="22"/>
          <w:highlight w:val="none"/>
        </w:rPr>
      </w:pPr>
      <w:r>
        <w:rPr>
          <w:rFonts w:hint="eastAsia" w:ascii="宋体" w:hAnsi="宋体" w:cs="宋体"/>
          <w:sz w:val="22"/>
          <w:highlight w:val="none"/>
        </w:rPr>
      </w:r>
      <w:r/>
    </w:p>
    <w:p>
      <w:pPr>
        <w:pStyle w:val="866"/>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投标人名称（公章）</w:t>
      </w:r>
      <w:r>
        <w:rPr>
          <w:rFonts w:hint="eastAsia" w:ascii="宋体" w:hAnsi="宋体" w:cs="宋体"/>
          <w:highlight w:val="none"/>
        </w:rPr>
        <w:t xml:space="preserve">：</w:t>
      </w:r>
      <w:r>
        <w:rPr>
          <w:rFonts w:hint="eastAsia" w:ascii="宋体" w:hAnsi="宋体" w:cs="宋体"/>
          <w:highlight w:val="none"/>
          <w:u w:val="single"/>
        </w:rPr>
        <w:tab/>
      </w:r>
      <w:r/>
    </w:p>
    <w:p>
      <w:pPr>
        <w:pStyle w:val="892"/>
        <w:ind w:firstLine="372"/>
        <w:jc w:val="righ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rPr>
          <w:highlight w:val="none"/>
        </w:rPr>
      </w:pPr>
      <w:r>
        <w:rPr>
          <w:highlight w:val="none"/>
        </w:rPr>
      </w:r>
      <w:r/>
    </w:p>
    <w:p>
      <w:pPr>
        <w:pStyle w:val="895"/>
        <w:ind w:firstLine="426"/>
        <w:spacing w:before="0"/>
        <w:rPr>
          <w:rFonts w:hint="eastAsia" w:ascii="宋体" w:hAnsi="宋体" w:cs="宋体"/>
          <w:bCs w:val="0"/>
          <w:sz w:val="24"/>
          <w:szCs w:val="24"/>
          <w:highlight w:val="none"/>
        </w:rPr>
      </w:pPr>
      <w:r>
        <w:rPr>
          <w:rFonts w:hint="eastAsia" w:ascii="宋体" w:hAnsi="宋体" w:cs="宋体"/>
          <w:sz w:val="24"/>
          <w:szCs w:val="24"/>
          <w:highlight w:val="none"/>
        </w:rPr>
        <w:br w:type="page" w:clear="all"/>
      </w:r>
      <w:bookmarkStart w:id="274" w:name="_Toc107246277"/>
      <w:r/>
      <w:bookmarkStart w:id="275" w:name="_Toc103848584"/>
      <w:r/>
      <w:bookmarkStart w:id="276" w:name="_Toc104560899"/>
      <w:r>
        <w:rPr>
          <w:rFonts w:hint="eastAsia" w:ascii="宋体" w:hAnsi="宋体" w:cs="宋体"/>
          <w:bCs w:val="0"/>
          <w:sz w:val="24"/>
          <w:szCs w:val="24"/>
          <w:highlight w:val="none"/>
        </w:rPr>
        <w:t xml:space="preserve">（3）法定代表人授权委托书</w:t>
      </w:r>
      <w:bookmarkEnd w:id="274"/>
      <w:r/>
      <w:bookmarkEnd w:id="275"/>
      <w:r/>
      <w:bookmarkEnd w:id="276"/>
      <w:r>
        <w:rPr>
          <w:rFonts w:hint="eastAsia" w:ascii="宋体" w:hAnsi="宋体" w:cs="宋体"/>
          <w:bCs w:val="0"/>
          <w:sz w:val="24"/>
          <w:szCs w:val="24"/>
          <w:highlight w:val="none"/>
        </w:rPr>
        <w:t xml:space="preserve">（适用于法人/非法人）</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lang w:eastAsia="zh-CN"/>
        </w:rPr>
        <w:t xml:space="preserve">江宁区卫健委下属单位污水处理运维服务</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JSZC-320115-JITC-G2026-0208 </w:t>
      </w:r>
      <w:r>
        <w:rPr>
          <w:rFonts w:hint="eastAsia" w:ascii="宋体" w:hAnsi="宋体" w:cs="宋体"/>
          <w:szCs w:val="21"/>
          <w:highlight w:val="none"/>
          <w:u w:val="single"/>
        </w:rPr>
        <w:t xml:space="preserve">）</w:t>
      </w:r>
      <w:r>
        <w:rPr>
          <w:rFonts w:hint="eastAsia" w:ascii="宋体" w:hAnsi="宋体" w:cs="宋体"/>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投标人名称（公章）：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p>
    <w:p>
      <w:pPr>
        <w:pStyle w:val="892"/>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892"/>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83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6"/>
              <w:jc w:val="center"/>
              <w:spacing w:after="120" w:line="300" w:lineRule="exact"/>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ind w:firstLine="372"/>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832"/>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6"/>
              <w:jc w:val="center"/>
              <w:spacing w:after="120" w:line="300" w:lineRule="exact"/>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9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89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9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2.若投标文件中签字之处均为法定代表人本人签署，则可不提供本《授权委托书》，但须提供《法定代表人（非法人单位负责人）身份证明》。</w:t>
      </w:r>
      <w:bookmarkStart w:id="277" w:name="_Toc104560895"/>
      <w:r/>
      <w:bookmarkStart w:id="278" w:name="_Toc107246279"/>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95"/>
        <w:ind w:firstLine="426"/>
        <w:spacing w:before="0"/>
        <w:rPr>
          <w:rFonts w:hint="eastAsia" w:ascii="宋体" w:hAnsi="宋体" w:cs="宋体"/>
          <w:bCs w:val="0"/>
          <w:sz w:val="21"/>
          <w:szCs w:val="24"/>
          <w:highlight w:val="none"/>
        </w:rPr>
      </w:pPr>
      <w:r/>
      <w:bookmarkStart w:id="279" w:name="_Toc107246278"/>
      <w:r/>
      <w:bookmarkStart w:id="280" w:name="_Toc104560900"/>
      <w:r/>
      <w:bookmarkStart w:id="281" w:name="_Toc103848585"/>
      <w:r>
        <w:rPr>
          <w:rFonts w:hint="eastAsia" w:ascii="宋体" w:hAnsi="宋体" w:cs="宋体"/>
          <w:bCs w:val="0"/>
          <w:sz w:val="24"/>
          <w:szCs w:val="24"/>
          <w:highlight w:val="none"/>
        </w:rPr>
        <w:t xml:space="preserve">（3-2）授权委托书（适用于自然人投标）</w:t>
      </w:r>
      <w:bookmarkEnd w:id="279"/>
      <w:r/>
      <w:bookmarkEnd w:id="280"/>
      <w:r/>
      <w:bookmarkEnd w:id="281"/>
      <w:r/>
      <w:r/>
    </w:p>
    <w:p>
      <w:pPr>
        <w:ind w:firstLine="372"/>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lang w:eastAsia="zh-CN"/>
        </w:rPr>
        <w:t xml:space="preserve">江宁区卫健委下属单位污水处理运维服务</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JSZC-320115-JITC-G2026-0208 </w:t>
      </w:r>
      <w:r>
        <w:rPr>
          <w:rFonts w:hint="eastAsia" w:ascii="宋体" w:hAnsi="宋体" w:cs="宋体"/>
          <w:szCs w:val="21"/>
          <w:highlight w:val="none"/>
          <w:u w:val="single"/>
        </w:rPr>
        <w:t xml:space="preserve">）</w:t>
      </w:r>
      <w:r>
        <w:rPr>
          <w:rFonts w:hint="eastAsia" w:ascii="宋体" w:hAnsi="宋体" w:cs="宋体"/>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p>
    <w:p>
      <w:pPr>
        <w:pStyle w:val="892"/>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892"/>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83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6"/>
              <w:jc w:val="center"/>
              <w:spacing w:after="120"/>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92"/>
        <w:ind w:firstLine="372"/>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832"/>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6"/>
              <w:jc w:val="center"/>
              <w:spacing w:after="120"/>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92"/>
        <w:ind w:firstLine="373"/>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95"/>
        <w:numPr>
          <w:ilvl w:val="0"/>
          <w:numId w:val="14"/>
        </w:numPr>
        <w:ind w:firstLine="426"/>
        <w:rPr>
          <w:rFonts w:hint="eastAsia" w:ascii="宋体" w:hAnsi="宋体" w:cs="宋体"/>
          <w:bCs w:val="0"/>
          <w:sz w:val="24"/>
          <w:szCs w:val="24"/>
          <w:highlight w:val="none"/>
        </w:rPr>
      </w:pPr>
      <w:r>
        <w:rPr>
          <w:rFonts w:hint="eastAsia" w:ascii="宋体" w:hAnsi="宋体" w:cs="宋体"/>
          <w:bCs w:val="0"/>
          <w:sz w:val="24"/>
          <w:szCs w:val="24"/>
          <w:highlight w:val="none"/>
        </w:rPr>
        <w:t xml:space="preserve">开标一览表</w:t>
      </w:r>
      <w:bookmarkEnd w:id="269"/>
      <w:r/>
      <w:bookmarkEnd w:id="277"/>
      <w:r/>
      <w:bookmarkEnd w:id="278"/>
      <w:r/>
      <w:r/>
    </w:p>
    <w:p>
      <w:pPr>
        <w:ind w:firstLine="372"/>
        <w:rPr>
          <w:rFonts w:hint="eastAsia" w:ascii="宋体" w:hAnsi="宋体" w:cs="宋体"/>
          <w:highlight w:val="none"/>
        </w:rPr>
      </w:pPr>
      <w:r>
        <w:rPr>
          <w:rFonts w:hint="eastAsia" w:ascii="宋体" w:hAnsi="宋体" w:cs="宋体"/>
          <w:highlight w:val="none"/>
        </w:rPr>
      </w:r>
      <w:r/>
    </w:p>
    <w:p>
      <w:pPr>
        <w:ind w:left="-120" w:firstLine="21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u w:val="single"/>
          <w:lang w:eastAsia="zh-CN"/>
        </w:rPr>
        <w:t xml:space="preserve">江宁区卫健委下属单位污水处理运维服务</w:t>
      </w:r>
      <w:r/>
    </w:p>
    <w:p>
      <w:pPr>
        <w:ind w:left="-120" w:firstLine="210"/>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项目编号：</w:t>
      </w:r>
      <w:bookmarkStart w:id="282" w:name="_Toc103848581"/>
      <w:r>
        <w:rPr>
          <w:rFonts w:hint="eastAsia" w:ascii="宋体" w:hAnsi="宋体" w:cs="宋体"/>
          <w:szCs w:val="21"/>
          <w:highlight w:val="none"/>
          <w:u w:val="single"/>
          <w:lang w:eastAsia="zh-CN"/>
        </w:rPr>
        <w:t xml:space="preserve">JSZC-320115-JITC-G2026-0208 </w:t>
      </w:r>
      <w:r/>
    </w:p>
    <w:p>
      <w:pPr>
        <w:ind w:left="-120" w:firstLine="210"/>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tbl>
      <w:tblPr>
        <w:tblStyle w:val="83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140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cs="宋体"/>
                <w:sz w:val="24"/>
                <w:szCs w:val="24"/>
                <w:highlight w:val="none"/>
                <w:lang w:val="en-US" w:eastAsia="zh-CN" w:bidi="ar-SA"/>
              </w:rPr>
              <w:t xml:space="preserve">（两年）</w:t>
            </w:r>
            <w:r>
              <w:rPr>
                <w:rFonts w:hint="eastAsia" w:ascii="宋体" w:hAnsi="宋体" w:eastAsia="宋体" w:cs="宋体"/>
                <w:sz w:val="24"/>
                <w:szCs w:val="24"/>
                <w:highlight w:val="none"/>
                <w:lang w:val="en-US" w:eastAsia="zh-CN" w:bidi="ar-SA"/>
              </w:rPr>
              <w:t xml:space="preserve">：</w:t>
            </w:r>
            <w:r/>
          </w:p>
        </w:tc>
        <w:tc>
          <w:tcPr>
            <w:tcW w:w="3593"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小写：    </w:t>
            </w:r>
            <w:r>
              <w:rPr>
                <w:rFonts w:hint="eastAsia" w:ascii="宋体" w:hAnsi="宋体" w:cs="宋体"/>
                <w:sz w:val="24"/>
                <w:szCs w:val="24"/>
                <w:highlight w:val="none"/>
                <w:lang w:val="en-US" w:eastAsia="zh-CN" w:bidi="ar-SA"/>
              </w:rPr>
              <w:t xml:space="preserve"> </w:t>
            </w:r>
            <w:r/>
          </w:p>
          <w:p>
            <w:pPr>
              <w:jc w:val="left"/>
              <w:spacing w:line="360" w:lineRule="auto"/>
              <w:widowControl/>
              <w:rPr>
                <w:rFonts w:ascii="Times New Roman" w:hAnsi="Times New Roman" w:eastAsia="宋体" w:cs="Times New Roman"/>
                <w:sz w:val="21"/>
                <w:szCs w:val="24"/>
                <w:highlight w:val="none"/>
                <w:lang w:val="en-US" w:eastAsia="zh-CN" w:bidi="ar-SA"/>
              </w:rPr>
            </w:pPr>
            <w:r>
              <w:rPr>
                <w:rFonts w:hint="eastAsia" w:ascii="宋体" w:hAnsi="宋体" w:eastAsia="宋体" w:cs="宋体"/>
                <w:sz w:val="24"/>
                <w:szCs w:val="24"/>
                <w:highlight w:val="none"/>
                <w:lang w:val="en-US" w:eastAsia="zh-CN" w:bidi="ar-SA"/>
              </w:rPr>
              <w:t xml:space="preserve">大写：    </w:t>
            </w:r>
            <w:r>
              <w:rPr>
                <w:rFonts w:hint="eastAsia" w:ascii="宋体" w:hAnsi="宋体" w:cs="宋体"/>
                <w:sz w:val="24"/>
                <w:szCs w:val="24"/>
                <w:highlight w:val="none"/>
                <w:lang w:val="en-US" w:eastAsia="zh-CN" w:bidi="ar-SA"/>
              </w:rPr>
              <w:t xml:space="preserve"> </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付款方式：</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响应招标文件</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服务地点：</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响应招标文件</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服务期：</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响应招标文件</w:t>
            </w:r>
            <w:r/>
          </w:p>
        </w:tc>
      </w:tr>
      <w:tr>
        <w:trPr>
          <w:jc w:val="center"/>
          <w:trHeight w:val="1238"/>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备注</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cs="Times New Roman"/>
                <w:sz w:val="21"/>
                <w:szCs w:val="21"/>
                <w:highlight w:val="none"/>
                <w:lang w:val="en-US" w:eastAsia="zh-CN" w:bidi="ar-SA"/>
              </w:rPr>
              <w:t xml:space="preserve"> </w:t>
            </w:r>
            <w:r/>
          </w:p>
        </w:tc>
      </w:tr>
    </w:tbl>
    <w:p>
      <w:pPr>
        <w:ind w:firstLine="422"/>
        <w:spacing w:line="360" w:lineRule="auto"/>
        <w:tabs>
          <w:tab w:val="left" w:pos="6045" w:leader="none"/>
        </w:tabs>
        <w:rPr>
          <w:rFonts w:hint="eastAsia" w:ascii="宋体" w:hAnsi="宋体" w:cs="宋体"/>
          <w:b/>
          <w:highlight w:val="none"/>
        </w:rPr>
      </w:pPr>
      <w:r/>
      <w:bookmarkStart w:id="283" w:name="_Toc104560896"/>
      <w:r/>
      <w:r/>
    </w:p>
    <w:p>
      <w:pPr>
        <w:ind w:firstLine="372"/>
        <w:jc w:val="center"/>
        <w:spacing w:line="360" w:lineRule="auto"/>
        <w:tabs>
          <w:tab w:val="left" w:pos="6045" w:leader="none"/>
        </w:tabs>
        <w:rPr>
          <w:rFonts w:hint="eastAsia" w:ascii="宋体" w:hAnsi="宋体" w:cs="宋体"/>
          <w:highlight w:val="none"/>
          <w:u w:val="single"/>
        </w:rPr>
      </w:pPr>
      <w:r>
        <w:rPr>
          <w:rFonts w:hint="eastAsia" w:ascii="宋体" w:hAnsi="宋体" w:cs="宋体"/>
          <w:highlight w:val="none"/>
        </w:rPr>
        <w:t xml:space="preserve">  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pStyle w:val="895"/>
        <w:ind w:firstLine="426"/>
        <w:spacing w:before="0"/>
        <w:rPr>
          <w:rFonts w:hint="eastAsia" w:ascii="宋体" w:hAnsi="宋体" w:eastAsia="宋体" w:cs="宋体"/>
          <w:sz w:val="24"/>
          <w:szCs w:val="24"/>
          <w:highlight w:val="none"/>
          <w:lang w:eastAsia="zh-CN"/>
        </w:rPr>
      </w:pPr>
      <w:r>
        <w:rPr>
          <w:rStyle w:val="1132"/>
          <w:rFonts w:hAnsi="宋体"/>
          <w:highlight w:val="none"/>
        </w:rPr>
        <w:br w:type="page" w:clear="all"/>
      </w:r>
      <w:bookmarkEnd w:id="282"/>
      <w:r/>
      <w:bookmarkEnd w:id="283"/>
      <w:r>
        <w:rPr>
          <w:rFonts w:hint="eastAsia" w:ascii="宋体" w:hAnsi="宋体" w:cs="宋体"/>
          <w:bCs w:val="0"/>
          <w:sz w:val="24"/>
          <w:szCs w:val="24"/>
          <w:highlight w:val="none"/>
        </w:rPr>
        <w:t xml:space="preserve">（5）</w:t>
      </w:r>
      <w:r>
        <w:rPr>
          <w:rFonts w:hint="eastAsia" w:ascii="宋体" w:hAnsi="宋体" w:cs="宋体"/>
          <w:bCs w:val="0"/>
          <w:sz w:val="24"/>
          <w:szCs w:val="24"/>
          <w:highlight w:val="none"/>
          <w:lang w:val="en-US" w:eastAsia="zh-CN"/>
        </w:rPr>
        <w:t xml:space="preserve">分项报价</w:t>
      </w:r>
      <w:r>
        <w:rPr>
          <w:rFonts w:hint="eastAsia" w:ascii="宋体" w:hAnsi="宋体" w:cs="宋体"/>
          <w:bCs w:val="0"/>
          <w:sz w:val="24"/>
          <w:szCs w:val="24"/>
          <w:highlight w:val="none"/>
        </w:rPr>
        <w:t xml:space="preserve">表</w:t>
      </w: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如需</w:t>
      </w:r>
      <w:r>
        <w:rPr>
          <w:rFonts w:hint="eastAsia" w:ascii="宋体" w:hAnsi="宋体" w:cs="宋体"/>
          <w:bCs w:val="0"/>
          <w:sz w:val="24"/>
          <w:szCs w:val="24"/>
          <w:highlight w:val="none"/>
          <w:lang w:eastAsia="zh-CN"/>
        </w:rPr>
        <w:t xml:space="preserve">）</w:t>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p>
    <w:p>
      <w:pPr>
        <w:pStyle w:val="1122"/>
        <w:ind w:firstLine="420"/>
        <w:rPr>
          <w:rFonts w:hint="eastAsia" w:hAnsi="宋体" w:eastAsia="宋体" w:cs="宋体"/>
          <w:sz w:val="21"/>
          <w:szCs w:val="21"/>
          <w:highlight w:val="none"/>
          <w:u w:val="singl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p>
      <w:pPr>
        <w:pStyle w:val="892"/>
        <w:ind w:firstLine="373"/>
        <w:jc w:val="center"/>
        <w:spacing w:line="360" w:lineRule="exact"/>
        <w:rPr>
          <w:rFonts w:ascii="宋体" w:hAnsi="宋体" w:eastAsia="宋体" w:cs="宋体"/>
          <w:b/>
          <w:bCs/>
          <w:highlight w:val="none"/>
          <w:lang w:val="en-US" w:eastAsia="zh-CN"/>
        </w:rPr>
      </w:pPr>
      <w:r>
        <w:rPr>
          <w:rFonts w:hint="eastAsia" w:ascii="宋体" w:hAnsi="宋体" w:cs="宋体"/>
          <w:b/>
          <w:bCs/>
          <w:highlight w:val="none"/>
          <w:lang w:val="en-US" w:eastAsia="zh-CN"/>
        </w:rPr>
        <w:t xml:space="preserve">格式自拟</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szCs w:val="21"/>
          <w:highlight w:val="none"/>
          <w:u w:val="single"/>
        </w:rPr>
      </w:pPr>
      <w:r>
        <w:rPr>
          <w:rFonts w:hint="eastAsia" w:ascii="宋体" w:hAnsi="宋体" w:cs="宋体"/>
          <w:highlight w:val="none"/>
        </w:rPr>
        <w:t xml:space="preserve"> 投标人名称（公章）：</w:t>
      </w:r>
      <w:r/>
    </w:p>
    <w:p>
      <w:pPr>
        <w:pStyle w:val="892"/>
        <w:ind w:firstLine="373"/>
        <w:spacing w:line="360" w:lineRule="exact"/>
        <w:rPr>
          <w:rFonts w:hint="eastAsia" w:ascii="宋体" w:hAnsi="宋体" w:cs="宋体"/>
          <w:b/>
          <w:bCs/>
          <w:highlight w:val="none"/>
        </w:rPr>
      </w:pPr>
      <w:r>
        <w:rPr>
          <w:rFonts w:hint="eastAsia" w:ascii="宋体" w:hAnsi="宋体" w:cs="宋体"/>
          <w:bCs/>
          <w:highlight w:val="none"/>
        </w:rPr>
        <w:t xml:space="preserve">                                 日期：______年______月______日</w:t>
      </w:r>
      <w:r/>
    </w:p>
    <w:p>
      <w:pPr>
        <w:rPr>
          <w:rStyle w:val="1132"/>
          <w:rFonts w:hint="eastAsia" w:hAnsi="宋体"/>
          <w:highlight w:val="none"/>
        </w:rPr>
      </w:pPr>
      <w:r>
        <w:rPr>
          <w:rStyle w:val="1132"/>
          <w:rFonts w:hAnsi="宋体"/>
          <w:highlight w:val="none"/>
        </w:rPr>
        <w:br w:type="page" w:clear="all"/>
      </w:r>
      <w:r/>
    </w:p>
    <w:p>
      <w:pPr>
        <w:ind w:firstLine="372"/>
        <w:rPr>
          <w:highlight w:val="none"/>
        </w:rPr>
      </w:pPr>
      <w:r/>
      <w:bookmarkStart w:id="284" w:name="_Toc107246281"/>
      <w:r/>
      <w:bookmarkStart w:id="285" w:name="_Toc104560901"/>
      <w:r/>
      <w:bookmarkStart w:id="286" w:name="_Toc103848586"/>
      <w:r/>
      <w:bookmarkStart w:id="287" w:name="_Toc102117319"/>
      <w:r/>
      <w:r/>
    </w:p>
    <w:p>
      <w:pPr>
        <w:pStyle w:val="895"/>
        <w:ind w:firstLine="426"/>
        <w:spacing w:before="0"/>
        <w:rPr>
          <w:rFonts w:hint="eastAsia" w:ascii="宋体" w:hAnsi="宋体" w:cs="宋体"/>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6</w:t>
      </w:r>
      <w:r>
        <w:rPr>
          <w:rFonts w:hint="eastAsia" w:ascii="宋体" w:hAnsi="宋体" w:cs="宋体"/>
          <w:bCs w:val="0"/>
          <w:sz w:val="24"/>
          <w:szCs w:val="24"/>
          <w:highlight w:val="none"/>
        </w:rPr>
        <w:t xml:space="preserve">）商务条款偏离表</w:t>
      </w:r>
      <w:bookmarkEnd w:id="284"/>
      <w:r/>
      <w:bookmarkEnd w:id="285"/>
      <w:r/>
      <w:bookmarkEnd w:id="286"/>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p>
    <w:p>
      <w:pPr>
        <w:pStyle w:val="1122"/>
        <w:ind w:firstLine="420"/>
        <w:rPr>
          <w:rFonts w:hint="eastAsia" w:hAnsi="宋体" w:eastAsia="宋体" w:cs="宋体"/>
          <w:sz w:val="21"/>
          <w:szCs w:val="21"/>
          <w:highlight w:val="none"/>
          <w:u w:val="singl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tbl>
      <w:tblPr>
        <w:tblStyle w:val="8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招标文件的商务条款</w:t>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是否偏离</w:t>
            </w:r>
            <w:r/>
          </w:p>
        </w:tc>
        <w:tc>
          <w:tcPr>
            <w:tcW w:w="1342" w:type="dxa"/>
            <w:vAlign w:val="center"/>
            <w:textDirection w:val="lrTb"/>
            <w:noWrap w:val="false"/>
          </w:tcPr>
          <w:p>
            <w:pPr>
              <w:pStyle w:val="1122"/>
              <w:ind w:firstLine="0"/>
              <w:jc w:val="center"/>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w:t>
            </w:r>
            <w:r>
              <w:rPr>
                <w:rFonts w:hint="eastAsia" w:hAnsi="宋体" w:cs="宋体"/>
                <w:sz w:val="21"/>
                <w:szCs w:val="21"/>
                <w:highlight w:val="none"/>
                <w:lang w:val="en-US" w:eastAsia="zh-CN" w:bidi="ar-SA"/>
              </w:rPr>
              <w:t xml:space="preserve">商务响应条款</w:t>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1"/>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9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14"/>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2"/>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07"/>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投标人须根据招标文件商务条款要求填写此表，作为投标文件的组成部分。</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sz w:val="22"/>
          <w:szCs w:val="22"/>
          <w:highlight w:val="none"/>
        </w:rPr>
      </w:pPr>
      <w:r/>
      <w:bookmarkStart w:id="288" w:name="_Toc103848587"/>
      <w:r/>
      <w:bookmarkStart w:id="289" w:name="_Toc104560902"/>
      <w:r/>
      <w:r/>
    </w:p>
    <w:p>
      <w:pPr>
        <w:ind w:firstLine="372"/>
        <w:rPr>
          <w:rFonts w:hint="eastAsia" w:ascii="宋体" w:hAnsi="宋体" w:cs="宋体"/>
          <w:highlight w:val="none"/>
        </w:rPr>
      </w:pPr>
      <w:r>
        <w:rPr>
          <w:rFonts w:hint="eastAsia" w:ascii="宋体" w:hAnsi="宋体" w:cs="宋体"/>
          <w:highlight w:val="none"/>
        </w:rPr>
        <w:br w:type="page" w:clear="all"/>
      </w:r>
      <w:r/>
    </w:p>
    <w:p>
      <w:pPr>
        <w:pStyle w:val="895"/>
        <w:spacing w:line="240" w:lineRule="atLeast"/>
        <w:rPr>
          <w:rFonts w:hint="eastAsia" w:ascii="宋体" w:hAnsi="宋体" w:cs="宋体"/>
          <w:bCs w:val="0"/>
          <w:sz w:val="24"/>
          <w:szCs w:val="24"/>
          <w:highlight w:val="none"/>
        </w:rPr>
      </w:pPr>
      <w:r/>
      <w:bookmarkStart w:id="290" w:name="_Toc107246282"/>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）投标人具备投标资格的证明文件</w:t>
      </w:r>
      <w:bookmarkEnd w:id="288"/>
      <w:r/>
      <w:bookmarkEnd w:id="289"/>
      <w:r/>
      <w:bookmarkEnd w:id="290"/>
      <w:r/>
      <w:r/>
    </w:p>
    <w:p>
      <w:pPr>
        <w:pStyle w:val="895"/>
        <w:ind w:firstLine="426"/>
        <w:spacing w:line="240" w:lineRule="atLeast"/>
        <w:rPr>
          <w:rFonts w:hint="eastAsia" w:ascii="宋体" w:hAnsi="宋体" w:cs="宋体"/>
          <w:bCs w:val="0"/>
          <w:sz w:val="24"/>
          <w:szCs w:val="24"/>
          <w:highlight w:val="none"/>
        </w:rPr>
      </w:pPr>
      <w:r/>
      <w:bookmarkStart w:id="291" w:name="_Toc104560903"/>
      <w:r/>
      <w:bookmarkStart w:id="292" w:name="_Toc107246283"/>
      <w:r/>
      <w:bookmarkStart w:id="293" w:name="_Toc103848588"/>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-1-1）营业执照复印件</w:t>
      </w:r>
      <w:bookmarkEnd w:id="287"/>
      <w:r>
        <w:rPr>
          <w:rFonts w:hint="eastAsia" w:ascii="宋体" w:hAnsi="宋体" w:cs="宋体"/>
          <w:bCs w:val="0"/>
          <w:sz w:val="24"/>
          <w:szCs w:val="24"/>
          <w:highlight w:val="none"/>
        </w:rPr>
        <w:t xml:space="preserve">或自然人的身份证明复印件</w:t>
      </w:r>
      <w:bookmarkEnd w:id="291"/>
      <w:r/>
      <w:bookmarkEnd w:id="292"/>
      <w:r/>
      <w:bookmarkEnd w:id="293"/>
      <w:r/>
      <w:r/>
    </w:p>
    <w:p>
      <w:pPr>
        <w:ind w:firstLine="373"/>
        <w:spacing w:line="360" w:lineRule="auto"/>
        <w:rPr>
          <w:rFonts w:hint="eastAsia" w:ascii="宋体" w:hAnsi="宋体" w:cs="宋体"/>
          <w:b/>
          <w:bCs/>
          <w:highlight w:val="none"/>
        </w:rPr>
      </w:pPr>
      <w:r/>
      <w:bookmarkStart w:id="294" w:name="_Hlk33717720"/>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注：投标人提供营业执照副本（或具有同等法律效力的证照）复印件。复印件应能清晰显示投标人名称。</w:t>
      </w:r>
      <w:bookmarkEnd w:id="294"/>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bookmarkStart w:id="295" w:name="_Toc103848589"/>
      <w:r/>
      <w:bookmarkStart w:id="296" w:name="_Toc102117320"/>
      <w:r>
        <w:rPr>
          <w:rFonts w:hint="eastAsia" w:ascii="宋体" w:hAnsi="宋体" w:cs="宋体"/>
          <w:highlight w:val="none"/>
        </w:rPr>
        <w:br w:type="page" w:clear="all"/>
      </w:r>
      <w:bookmarkStart w:id="297" w:name="_Toc104560904"/>
      <w:r/>
      <w:bookmarkStart w:id="298" w:name="_Toc107246284"/>
      <w:r/>
      <w:r/>
    </w:p>
    <w:p>
      <w:pPr>
        <w:pStyle w:val="895"/>
        <w:ind w:firstLine="426"/>
        <w:spacing w:line="240" w:lineRule="atLeast"/>
        <w:rPr>
          <w:rFonts w:hint="eastAsia" w:ascii="宋体" w:hAnsi="宋体" w:cs="宋体"/>
          <w:b w:val="0"/>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-1-2）工商变更登记文件（如需）</w:t>
      </w:r>
      <w:bookmarkEnd w:id="295"/>
      <w:r/>
      <w:bookmarkEnd w:id="296"/>
      <w:r/>
      <w:bookmarkEnd w:id="297"/>
      <w:r/>
      <w:bookmarkEnd w:id="298"/>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投标人</w:t>
      </w:r>
      <w:r>
        <w:rPr>
          <w:rFonts w:hint="eastAsia" w:ascii="宋体" w:hAnsi="宋体" w:cs="宋体"/>
          <w:b/>
          <w:bCs/>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highlight w:val="none"/>
        </w:rPr>
      </w:pPr>
      <w:r>
        <w:rPr>
          <w:rFonts w:hint="eastAsia" w:ascii="宋体" w:hAnsi="宋体" w:cs="宋体"/>
          <w:highlight w:val="none"/>
        </w:rPr>
        <w:br w:type="page" w:clear="all"/>
      </w:r>
      <w:bookmarkStart w:id="299" w:name="_Toc102117321"/>
      <w:r/>
      <w:bookmarkStart w:id="300" w:name="_Toc103848590"/>
      <w:r/>
      <w:bookmarkStart w:id="301" w:name="_Toc107246285"/>
      <w:r/>
      <w:bookmarkStart w:id="302" w:name="_Toc104560905"/>
      <w:r>
        <w:rPr>
          <w:rFonts w:hint="eastAsia" w:ascii="宋体" w:hAnsi="宋体" w:cs="宋体"/>
          <w:b/>
          <w:highlight w:val="none"/>
        </w:rPr>
        <w:t xml:space="preserve">说明：根据《关于在政府采购活动中推行信用承诺制的通知》（宁财购通〔2021〕5 号）的规定，适用信用承诺的供应商，对于下列</w:t>
      </w:r>
      <w:r>
        <w:rPr>
          <w:rFonts w:hint="eastAsia" w:ascii="宋体" w:hAnsi="宋体" w:cs="宋体"/>
          <w:b/>
          <w:highlight w:val="none"/>
          <w:lang w:val="en-US" w:eastAsia="zh-CN"/>
        </w:rPr>
        <w:t xml:space="preserve">7</w:t>
      </w:r>
      <w:r>
        <w:rPr>
          <w:rFonts w:hint="eastAsia" w:ascii="宋体" w:hAnsi="宋体" w:cs="宋体"/>
          <w:b/>
          <w:highlight w:val="none"/>
        </w:rPr>
        <w:t xml:space="preserve">-2至</w:t>
      </w:r>
      <w:r>
        <w:rPr>
          <w:rFonts w:hint="eastAsia" w:ascii="宋体" w:hAnsi="宋体" w:cs="宋体"/>
          <w:b/>
          <w:highlight w:val="none"/>
          <w:lang w:val="en-US" w:eastAsia="zh-CN"/>
        </w:rPr>
        <w:t xml:space="preserve">7</w:t>
      </w:r>
      <w:r>
        <w:rPr>
          <w:rFonts w:hint="eastAsia" w:ascii="宋体" w:hAnsi="宋体" w:cs="宋体"/>
          <w:b/>
          <w:highlight w:val="none"/>
        </w:rPr>
        <w:t xml:space="preserve">-6款证明材料可使用《南京市政府采购供应商信用记录表暨信用承诺书》替代。</w:t>
      </w:r>
      <w:r/>
    </w:p>
    <w:p>
      <w:pPr>
        <w:pStyle w:val="895"/>
        <w:ind w:firstLine="426"/>
        <w:spacing w:line="240" w:lineRule="atLeast"/>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-2）财务报表</w:t>
      </w:r>
      <w:bookmarkEnd w:id="299"/>
      <w:r/>
      <w:bookmarkEnd w:id="300"/>
      <w:r/>
      <w:bookmarkEnd w:id="301"/>
      <w:r/>
      <w:bookmarkEnd w:id="302"/>
      <w:r>
        <w:rPr>
          <w:rFonts w:hint="eastAsia" w:ascii="宋体" w:hAnsi="宋体" w:cs="宋体"/>
          <w:bCs w:val="0"/>
          <w:sz w:val="24"/>
          <w:szCs w:val="24"/>
          <w:highlight w:val="none"/>
        </w:rPr>
        <w:t xml:space="preserve">等证明文件</w:t>
      </w:r>
      <w:r/>
    </w:p>
    <w:p>
      <w:pPr>
        <w:pStyle w:val="895"/>
        <w:ind w:firstLine="373"/>
        <w:jc w:val="left"/>
        <w:rPr>
          <w:rFonts w:hint="eastAsia" w:ascii="宋体" w:hAnsi="宋体" w:cs="宋体"/>
          <w:bCs w:val="0"/>
          <w:sz w:val="24"/>
          <w:szCs w:val="24"/>
          <w:highlight w:val="none"/>
        </w:rPr>
      </w:pPr>
      <w:r/>
      <w:bookmarkStart w:id="303" w:name="_Toc102117322"/>
      <w:r/>
      <w:bookmarkStart w:id="304" w:name="_Toc104560908"/>
      <w:r/>
      <w:bookmarkStart w:id="305" w:name="_Toc103848593"/>
      <w:r>
        <w:rPr>
          <w:rFonts w:hint="eastAsia" w:ascii="宋体" w:hAnsi="宋体" w:eastAsia="宋体" w:cs="宋体"/>
          <w:bCs w:val="0"/>
          <w:sz w:val="21"/>
          <w:szCs w:val="21"/>
          <w:highlight w:val="none"/>
        </w:rPr>
        <w:t xml:space="preserve">具有良好的商业信誉和健全的财务会计制度，提供</w:t>
      </w:r>
      <w:r>
        <w:rPr>
          <w:rFonts w:hint="eastAsia" w:ascii="宋体" w:hAnsi="宋体" w:eastAsia="宋体" w:cs="宋体"/>
          <w:bCs w:val="0"/>
          <w:sz w:val="21"/>
          <w:szCs w:val="21"/>
          <w:highlight w:val="none"/>
          <w:lang w:val="en-US" w:eastAsia="zh-CN"/>
        </w:rPr>
        <w:t xml:space="preserve">2023</w:t>
      </w:r>
      <w:r>
        <w:rPr>
          <w:rFonts w:hint="eastAsia" w:ascii="宋体" w:hAnsi="宋体" w:eastAsia="宋体" w:cs="宋体"/>
          <w:bCs w:val="0"/>
          <w:sz w:val="21"/>
          <w:szCs w:val="21"/>
          <w:highlight w:val="none"/>
        </w:rPr>
        <w:t xml:space="preserve">年度</w:t>
      </w:r>
      <w:r>
        <w:rPr>
          <w:rFonts w:hint="eastAsia" w:ascii="宋体" w:hAnsi="宋体" w:eastAsia="宋体" w:cs="宋体"/>
          <w:bCs w:val="0"/>
          <w:sz w:val="21"/>
          <w:szCs w:val="21"/>
          <w:highlight w:val="none"/>
          <w:lang w:val="en-US" w:eastAsia="zh-CN"/>
        </w:rPr>
        <w:t xml:space="preserve">或2024年度</w:t>
      </w:r>
      <w:r>
        <w:rPr>
          <w:rFonts w:hint="eastAsia" w:ascii="宋体" w:hAnsi="宋体" w:eastAsia="宋体" w:cs="宋体"/>
          <w:bCs w:val="0"/>
          <w:sz w:val="21"/>
          <w:szCs w:val="21"/>
          <w:highlight w:val="none"/>
        </w:rPr>
        <w:t xml:space="preserve">财务报表复印件（如为新成立的公司，应提供公司成立之后的财务报表）或投标截止时间前3个月内，由其基本开户银行出具的资信证明</w:t>
      </w:r>
      <w:r>
        <w:rPr>
          <w:rFonts w:hint="eastAsia" w:ascii="宋体" w:hAnsi="宋体" w:cs="宋体"/>
          <w:bCs w:val="0"/>
          <w:sz w:val="21"/>
          <w:szCs w:val="21"/>
          <w:highlight w:val="none"/>
        </w:rPr>
        <w:t xml:space="preserve">；</w:t>
      </w:r>
      <w:r>
        <w:rPr>
          <w:rFonts w:hint="eastAsia" w:ascii="宋体" w:hAnsi="宋体" w:cs="宋体"/>
          <w:bCs w:val="0"/>
          <w:sz w:val="21"/>
          <w:szCs w:val="21"/>
          <w:highlight w:val="none"/>
        </w:rPr>
        <w:br w:type="page" w:clear="all"/>
      </w:r>
      <w:bookmarkStart w:id="306" w:name="_Toc107246286"/>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-3）具有履行合同所必需的设备和专业技术能力的相关证明材料或承诺函（提供承诺函原件）</w:t>
      </w:r>
      <w:bookmarkEnd w:id="303"/>
      <w:r/>
      <w:bookmarkEnd w:id="304"/>
      <w:r/>
      <w:bookmarkEnd w:id="305"/>
      <w:r/>
      <w:bookmarkEnd w:id="306"/>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ind w:firstLine="782"/>
        <w:jc w:val="center"/>
        <w:spacing w:before="120" w:after="120"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782"/>
        <w:jc w:val="center"/>
        <w:spacing w:before="120" w:after="120"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779"/>
        <w:jc w:val="center"/>
        <w:spacing w:before="120" w:after="120" w:line="360" w:lineRule="auto"/>
        <w:rPr>
          <w:rFonts w:hint="eastAsia" w:ascii="宋体" w:hAnsi="宋体" w:cs="宋体"/>
          <w:highlight w:val="none"/>
        </w:rPr>
      </w:pPr>
      <w:r>
        <w:rPr>
          <w:rFonts w:hint="eastAsia" w:ascii="宋体" w:hAnsi="宋体" w:cs="宋体"/>
          <w:sz w:val="44"/>
          <w:szCs w:val="44"/>
          <w:highlight w:val="none"/>
        </w:rPr>
        <w:t xml:space="preserve">承 诺 函</w:t>
      </w:r>
      <w:r/>
    </w:p>
    <w:p>
      <w:pPr>
        <w:ind w:firstLine="389"/>
        <w:jc w:val="left"/>
        <w:spacing w:before="120" w:after="120" w:line="360" w:lineRule="auto"/>
        <w:rPr>
          <w:rFonts w:hint="eastAsia" w:ascii="宋体" w:hAnsi="宋体" w:cs="宋体"/>
          <w:sz w:val="22"/>
          <w:highlight w:val="none"/>
        </w:rPr>
      </w:pPr>
      <w:r>
        <w:rPr>
          <w:rFonts w:hint="eastAsia" w:ascii="宋体" w:hAnsi="宋体" w:cs="宋体"/>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highlight w:val="none"/>
        </w:rPr>
      </w:pPr>
      <w:r>
        <w:rPr>
          <w:rFonts w:hint="eastAsia" w:ascii="宋体" w:hAnsi="宋体" w:cs="宋体"/>
          <w:highlight w:val="none"/>
        </w:rPr>
      </w:r>
      <w:r/>
    </w:p>
    <w:p>
      <w:pPr>
        <w:ind w:firstLine="372"/>
        <w:jc w:val="left"/>
        <w:spacing w:before="120" w:after="120" w:line="360" w:lineRule="auto"/>
        <w:rPr>
          <w:rFonts w:hint="eastAsia" w:ascii="宋体" w:hAnsi="宋体" w:cs="宋体"/>
          <w:highlight w:val="none"/>
        </w:rPr>
      </w:pPr>
      <w:r>
        <w:rPr>
          <w:rFonts w:hint="eastAsia" w:ascii="宋体" w:hAnsi="宋体" w:cs="宋体"/>
          <w:highlight w:val="none"/>
        </w:rPr>
      </w:r>
      <w:r/>
    </w:p>
    <w:p>
      <w:pPr>
        <w:pStyle w:val="870"/>
        <w:ind w:left="1260" w:firstLine="426"/>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pStyle w:val="870"/>
        <w:ind w:left="1260" w:firstLine="426"/>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ind w:firstLine="372"/>
        <w:spacing w:line="276"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 xml:space="preserve">投标人名称（公章）：______________________</w:t>
      </w:r>
      <w:r/>
    </w:p>
    <w:p>
      <w:pPr>
        <w:ind w:firstLine="372"/>
        <w:spacing w:line="276" w:lineRule="auto"/>
        <w:rPr>
          <w:rFonts w:hint="eastAsia" w:ascii="宋体" w:hAnsi="宋体" w:cs="宋体"/>
          <w:szCs w:val="21"/>
          <w:highlight w:val="none"/>
          <w:u w:val="single"/>
        </w:rPr>
      </w:pPr>
      <w:r>
        <w:rPr>
          <w:rFonts w:hint="eastAsia" w:ascii="宋体" w:hAnsi="宋体" w:cs="宋体"/>
          <w:szCs w:val="21"/>
          <w:highlight w:val="none"/>
          <w:u w:val="single"/>
        </w:rPr>
      </w:r>
      <w:r/>
    </w:p>
    <w:p>
      <w:pPr>
        <w:ind w:firstLine="372"/>
        <w:spacing w:line="276" w:lineRule="auto"/>
        <w:rPr>
          <w:rFonts w:hint="eastAsia" w:ascii="宋体" w:hAnsi="宋体" w:cs="宋体"/>
          <w:highlight w:val="none"/>
        </w:rPr>
      </w:pPr>
      <w:r>
        <w:rPr>
          <w:rFonts w:hint="eastAsia" w:ascii="宋体" w:hAnsi="宋体" w:cs="宋体"/>
          <w:bCs/>
          <w:highlight w:val="none"/>
        </w:rPr>
        <w:t xml:space="preserve">                                    日期：______年</w:t>
      </w:r>
      <w:r>
        <w:rPr>
          <w:rFonts w:hint="eastAsia" w:ascii="宋体" w:hAnsi="宋体" w:cs="宋体"/>
          <w:bCs/>
          <w:highlight w:val="none"/>
          <w:u w:val="single"/>
        </w:rPr>
        <w:tab/>
      </w:r>
      <w:r>
        <w:rPr>
          <w:rFonts w:hint="eastAsia" w:ascii="宋体" w:hAnsi="宋体" w:cs="宋体"/>
          <w:bCs/>
          <w:highlight w:val="none"/>
          <w:u w:val="single"/>
        </w:rPr>
        <w:tab/>
      </w:r>
      <w:r>
        <w:rPr>
          <w:rFonts w:hint="eastAsia" w:ascii="宋体" w:hAnsi="宋体" w:cs="宋体"/>
          <w:bCs/>
          <w:highlight w:val="none"/>
        </w:rPr>
        <w:t xml:space="preserve">月</w:t>
      </w:r>
      <w:r>
        <w:rPr>
          <w:rFonts w:hint="eastAsia" w:ascii="宋体" w:hAnsi="宋体" w:cs="宋体"/>
          <w:bCs/>
          <w:highlight w:val="none"/>
          <w:u w:val="single"/>
        </w:rPr>
        <w:tab/>
      </w:r>
      <w:r>
        <w:rPr>
          <w:rFonts w:hint="eastAsia" w:ascii="宋体" w:hAnsi="宋体" w:cs="宋体"/>
          <w:bCs/>
          <w:highlight w:val="none"/>
          <w:u w:val="single"/>
        </w:rPr>
        <w:tab/>
      </w:r>
      <w:r>
        <w:rPr>
          <w:rFonts w:hint="eastAsia" w:ascii="宋体" w:hAnsi="宋体" w:cs="宋体"/>
          <w:bCs/>
          <w:highlight w:val="none"/>
        </w:rPr>
        <w:t xml:space="preserve">日</w:t>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pStyle w:val="895"/>
        <w:ind w:firstLine="426"/>
        <w:spacing w:line="240" w:lineRule="atLeast"/>
        <w:rPr>
          <w:rFonts w:hint="eastAsia" w:ascii="宋体" w:hAnsi="宋体" w:cs="宋体"/>
          <w:b w:val="0"/>
          <w:highlight w:val="none"/>
        </w:rPr>
      </w:pPr>
      <w:r/>
      <w:bookmarkStart w:id="307" w:name="_Toc102117323"/>
      <w:r/>
      <w:bookmarkStart w:id="308" w:name="_Toc103848591"/>
      <w:r>
        <w:rPr>
          <w:rFonts w:hint="eastAsia" w:ascii="宋体" w:hAnsi="宋体" w:cs="宋体"/>
          <w:bCs w:val="0"/>
          <w:sz w:val="24"/>
          <w:szCs w:val="24"/>
          <w:highlight w:val="none"/>
        </w:rPr>
        <w:br w:type="page" w:clear="all"/>
      </w:r>
      <w:bookmarkStart w:id="309" w:name="_Toc104560906"/>
      <w:r/>
      <w:bookmarkStart w:id="310" w:name="_Toc107246287"/>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-4）依法缴纳税收的相关材料</w:t>
      </w:r>
      <w:bookmarkEnd w:id="307"/>
      <w:r/>
      <w:bookmarkEnd w:id="308"/>
      <w:r/>
      <w:bookmarkEnd w:id="309"/>
      <w:r/>
      <w:bookmarkEnd w:id="310"/>
      <w:r/>
      <w:r/>
    </w:p>
    <w:p>
      <w:pPr>
        <w:ind w:firstLine="373"/>
        <w:jc w:val="left"/>
        <w:spacing w:line="360" w:lineRule="auto"/>
        <w:rPr>
          <w:rFonts w:hint="eastAsia" w:ascii="宋体" w:hAnsi="宋体" w:cs="宋体"/>
          <w:b/>
          <w:bCs/>
          <w:highlight w:val="none"/>
        </w:rPr>
      </w:pPr>
      <w:r>
        <w:rPr>
          <w:rFonts w:hint="eastAsia" w:ascii="宋体" w:hAnsi="宋体" w:cs="宋体"/>
          <w:b/>
          <w:bCs/>
          <w:highlight w:val="none"/>
        </w:rPr>
        <w:t xml:space="preserve">注：根据招标公告的要求提供本次采购活动前6个月内（即</w:t>
      </w:r>
      <w:r>
        <w:rPr>
          <w:rFonts w:hint="eastAsia" w:ascii="宋体" w:hAnsi="宋体" w:cs="宋体"/>
          <w:b/>
          <w:bCs/>
          <w:highlight w:val="none"/>
          <w:u w:val="single"/>
        </w:rPr>
        <w:t xml:space="preserve">2024年</w:t>
      </w:r>
      <w:r>
        <w:rPr>
          <w:rFonts w:hint="eastAsia" w:ascii="宋体" w:hAnsi="宋体" w:cs="宋体"/>
          <w:b/>
          <w:bCs/>
          <w:highlight w:val="none"/>
          <w:u w:val="single"/>
          <w:lang w:val="en-US" w:eastAsia="zh-CN"/>
        </w:rPr>
        <w:t xml:space="preserve">11</w:t>
      </w:r>
      <w:r>
        <w:rPr>
          <w:rFonts w:hint="eastAsia" w:ascii="宋体" w:hAnsi="宋体" w:cs="宋体"/>
          <w:b/>
          <w:bCs/>
          <w:highlight w:val="none"/>
          <w:u w:val="single"/>
        </w:rPr>
        <w:t xml:space="preserve">月（含）以来</w:t>
      </w:r>
      <w:r>
        <w:rPr>
          <w:rFonts w:hint="eastAsia" w:ascii="宋体" w:hAnsi="宋体" w:cs="宋体"/>
          <w:b/>
          <w:bCs/>
          <w:highlight w:val="none"/>
        </w:rPr>
        <w:t xml:space="preserve">），至少1个月缴纳税收的凭证复印件，依法享受免缴、缓缴的，提供证明材料复印件。</w:t>
      </w:r>
      <w:r/>
    </w:p>
    <w:p>
      <w:pPr>
        <w:pStyle w:val="895"/>
        <w:spacing w:line="240" w:lineRule="atLeast"/>
        <w:rPr>
          <w:rFonts w:hint="eastAsia" w:ascii="宋体" w:hAnsi="宋体" w:cs="宋体"/>
          <w:bCs w:val="0"/>
          <w:sz w:val="24"/>
          <w:szCs w:val="24"/>
          <w:highlight w:val="none"/>
        </w:rPr>
      </w:pPr>
      <w:r>
        <w:rPr>
          <w:rFonts w:hint="eastAsia" w:ascii="宋体" w:hAnsi="宋体" w:cs="宋体"/>
          <w:b w:val="0"/>
          <w:sz w:val="24"/>
          <w:highlight w:val="none"/>
        </w:rPr>
        <w:br w:type="page" w:clear="all"/>
      </w:r>
      <w:bookmarkStart w:id="311" w:name="_Toc102117324"/>
      <w:r/>
      <w:bookmarkStart w:id="312" w:name="_Toc104560907"/>
      <w:r/>
      <w:bookmarkStart w:id="313" w:name="_Toc103848592"/>
      <w:r/>
      <w:bookmarkStart w:id="314" w:name="_Toc107246288"/>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-5）依法缴纳社会保障资金的相关材料</w:t>
      </w:r>
      <w:bookmarkEnd w:id="311"/>
      <w:r/>
      <w:bookmarkEnd w:id="312"/>
      <w:r/>
      <w:bookmarkEnd w:id="313"/>
      <w:r/>
      <w:bookmarkEnd w:id="314"/>
      <w:r/>
      <w:r/>
    </w:p>
    <w:p>
      <w:pPr>
        <w:ind w:firstLine="373"/>
        <w:jc w:val="left"/>
        <w:spacing w:line="360" w:lineRule="auto"/>
        <w:rPr>
          <w:rFonts w:hint="eastAsia" w:ascii="宋体" w:hAnsi="宋体" w:cs="宋体"/>
          <w:b/>
          <w:bCs/>
          <w:highlight w:val="none"/>
        </w:rPr>
      </w:pPr>
      <w:r>
        <w:rPr>
          <w:rFonts w:hint="eastAsia" w:ascii="宋体" w:hAnsi="宋体" w:cs="宋体"/>
          <w:b/>
          <w:bCs/>
          <w:highlight w:val="none"/>
        </w:rPr>
        <w:t xml:space="preserve">注：根据招标公告的要求提供本次采购活动前6个月内（</w:t>
      </w:r>
      <w:r>
        <w:rPr>
          <w:rFonts w:hint="eastAsia" w:ascii="宋体" w:hAnsi="宋体" w:cs="宋体"/>
          <w:b/>
          <w:bCs/>
          <w:highlight w:val="none"/>
          <w:u w:val="single"/>
        </w:rPr>
        <w:t xml:space="preserve">2024年</w:t>
      </w:r>
      <w:r>
        <w:rPr>
          <w:rFonts w:hint="eastAsia" w:ascii="宋体" w:hAnsi="宋体" w:cs="宋体"/>
          <w:b/>
          <w:bCs/>
          <w:highlight w:val="none"/>
          <w:u w:val="single"/>
          <w:lang w:val="en-US" w:eastAsia="zh-CN"/>
        </w:rPr>
        <w:t xml:space="preserve">11</w:t>
      </w:r>
      <w:r>
        <w:rPr>
          <w:rFonts w:hint="eastAsia" w:ascii="宋体" w:hAnsi="宋体" w:cs="宋体"/>
          <w:b/>
          <w:bCs/>
          <w:highlight w:val="none"/>
          <w:u w:val="single"/>
        </w:rPr>
        <w:t xml:space="preserve">月（含）以来</w:t>
      </w:r>
      <w:r>
        <w:rPr>
          <w:rFonts w:hint="eastAsia" w:ascii="宋体" w:hAnsi="宋体" w:cs="宋体"/>
          <w:b/>
          <w:bCs/>
          <w:highlight w:val="none"/>
        </w:rPr>
        <w:t xml:space="preserve">），至少1个月缴纳社会保险的凭证复印件，依法享受免缴、缓缴的，提供证明材料复印件。</w:t>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pStyle w:val="895"/>
        <w:ind w:firstLine="566"/>
        <w:spacing w:line="240" w:lineRule="atLeast"/>
        <w:rPr>
          <w:rFonts w:hint="eastAsia" w:ascii="宋体" w:hAnsi="宋体" w:cs="宋体"/>
          <w:b w:val="0"/>
          <w:sz w:val="24"/>
          <w:highlight w:val="none"/>
        </w:rPr>
      </w:pPr>
      <w:r>
        <w:rPr>
          <w:rFonts w:hint="eastAsia" w:ascii="宋体" w:hAnsi="宋体" w:cs="宋体"/>
          <w:b w:val="0"/>
          <w:bCs w:val="0"/>
          <w:highlight w:val="none"/>
        </w:rPr>
        <w:br w:type="page" w:clear="all"/>
      </w:r>
      <w:bookmarkStart w:id="315" w:name="_Toc103848594"/>
      <w:r/>
      <w:bookmarkStart w:id="316" w:name="_Toc107246289"/>
      <w:r/>
      <w:bookmarkStart w:id="317" w:name="_Toc104560909"/>
      <w:r/>
      <w:bookmarkStart w:id="318" w:name="_Toc102117325"/>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-6）没有重大违法记录的书面声明</w:t>
      </w:r>
      <w:bookmarkEnd w:id="315"/>
      <w:r/>
      <w:bookmarkEnd w:id="316"/>
      <w:r/>
      <w:bookmarkEnd w:id="317"/>
      <w:r/>
      <w:bookmarkEnd w:id="318"/>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779"/>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ind w:firstLine="496"/>
        <w:rPr>
          <w:rFonts w:hint="eastAsia" w:ascii="宋体" w:hAnsi="宋体" w:cs="宋体"/>
          <w:sz w:val="28"/>
          <w:szCs w:val="28"/>
          <w:highlight w:val="none"/>
        </w:rPr>
      </w:pPr>
      <w:r>
        <w:rPr>
          <w:rFonts w:hint="eastAsia" w:ascii="宋体" w:hAnsi="宋体" w:cs="宋体"/>
          <w:sz w:val="28"/>
          <w:szCs w:val="28"/>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备注：</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372"/>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95"/>
        <w:ind w:firstLine="566"/>
        <w:spacing w:line="240" w:lineRule="atLeast"/>
        <w:rPr>
          <w:rFonts w:hint="eastAsia" w:ascii="宋体" w:hAnsi="宋体" w:cs="宋体"/>
          <w:bCs w:val="0"/>
          <w:sz w:val="24"/>
          <w:szCs w:val="24"/>
          <w:highlight w:val="none"/>
        </w:rPr>
      </w:pPr>
      <w:r>
        <w:rPr>
          <w:rFonts w:hint="eastAsia" w:ascii="宋体" w:hAnsi="宋体" w:cs="宋体"/>
          <w:b w:val="0"/>
          <w:highlight w:val="none"/>
        </w:rPr>
        <w:br w:type="page" w:clear="all"/>
      </w:r>
      <w:bookmarkStart w:id="319" w:name="_Toc104560910"/>
      <w:r/>
      <w:bookmarkStart w:id="320" w:name="_Toc107246290"/>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-7） 信用中国查询</w:t>
      </w:r>
      <w:r/>
    </w:p>
    <w:p>
      <w:pPr>
        <w:ind w:firstLine="420"/>
        <w:spacing w:line="360" w:lineRule="auto"/>
        <w:rPr>
          <w:rFonts w:hint="eastAsia" w:ascii="宋体" w:hAnsi="宋体" w:cs="宋体"/>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95"/>
        <w:ind w:firstLine="426"/>
        <w:spacing w:line="240" w:lineRule="atLeast"/>
        <w:rPr>
          <w:rFonts w:hint="eastAsia" w:ascii="宋体" w:hAnsi="宋体" w:cs="宋体"/>
          <w:b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-8）承诺函</w:t>
      </w:r>
      <w:bookmarkEnd w:id="319"/>
      <w:r/>
      <w:bookmarkEnd w:id="320"/>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（一）本单位郑重承诺满足以下要求：</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1.投标人单位负责人为同一人或者存在直接控股、管理关系的不同投标人，不得同时参加本项目的采购活动。</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2.凡为采购项目提供整体设计、规范编制或者项目管理、监理、检测等服务的投标人，不得再参加本项目的采购活动。</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2.被税务部门列入重大税收违法失信主体；</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22"/>
        <w:ind w:firstLine="400"/>
        <w:rPr>
          <w:rFonts w:hint="eastAsia" w:hAnsi="宋体" w:cs="宋体"/>
          <w:highlight w:val="none"/>
        </w:rPr>
      </w:pPr>
      <w:r>
        <w:rPr>
          <w:rFonts w:hint="eastAsia" w:hAnsi="宋体" w:cs="宋体"/>
          <w:highlight w:val="none"/>
        </w:rPr>
      </w:r>
      <w:r/>
    </w:p>
    <w:p>
      <w:pPr>
        <w:pStyle w:val="1122"/>
        <w:ind w:firstLine="400"/>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bookmarkStart w:id="321" w:name="_Toc102117326"/>
      <w:r/>
      <w:bookmarkStart w:id="322" w:name="_Toc103848596"/>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日</w:t>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br w:type="page" w:clear="all"/>
      </w:r>
      <w:bookmarkStart w:id="323" w:name="_Toc104560911"/>
      <w:r/>
      <w:bookmarkStart w:id="324" w:name="_Toc107246291"/>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-9）</w:t>
      </w:r>
      <w:bookmarkEnd w:id="321"/>
      <w:r>
        <w:rPr>
          <w:rFonts w:hint="eastAsia" w:ascii="宋体" w:hAnsi="宋体" w:cs="宋体"/>
          <w:bCs w:val="0"/>
          <w:sz w:val="24"/>
          <w:szCs w:val="24"/>
          <w:highlight w:val="none"/>
        </w:rPr>
        <w:t xml:space="preserve">招标文件要求的其它实质性资格资信证明文件</w:t>
      </w:r>
      <w:bookmarkEnd w:id="323"/>
      <w:r/>
      <w:bookmarkEnd w:id="324"/>
      <w:r/>
      <w:r/>
    </w:p>
    <w:p>
      <w:pPr>
        <w:spacing w:line="360" w:lineRule="auto"/>
        <w:rPr>
          <w:rFonts w:hint="eastAsia" w:ascii="宋体" w:hAnsi="宋体" w:cs="宋体"/>
          <w:bCs/>
          <w:szCs w:val="21"/>
          <w:highlight w:val="none"/>
        </w:rPr>
      </w:pPr>
      <w:r/>
      <w:bookmarkStart w:id="325" w:name="_Toc107246292"/>
      <w:r>
        <w:rPr>
          <w:rFonts w:hint="eastAsia" w:ascii="宋体" w:hAnsi="宋体" w:cs="宋体"/>
          <w:bCs/>
          <w:szCs w:val="21"/>
          <w:highlight w:val="none"/>
        </w:rPr>
        <w:t xml:space="preserve">如药剂中包含危化品的，投标人承诺危化品运输、存储、使用等各个环节符合国家规定，具备相应许可证（如有）。如因投标人违规运输、存储、使用危化品等行为造成事故或损失的，投标人应承担由此产生的一切责任</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提供承诺函</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jc w:val="center"/>
        <w:spacing w:line="360" w:lineRule="auto"/>
        <w:rPr>
          <w:rFonts w:hint="eastAsia" w:ascii="宋体" w:hAnsi="宋体" w:cs="宋体"/>
          <w:b/>
          <w:bCs w:val="0"/>
          <w:sz w:val="32"/>
          <w:szCs w:val="32"/>
          <w:highlight w:val="none"/>
          <w:lang w:val="en-US" w:eastAsia="zh-CN"/>
        </w:rPr>
      </w:pPr>
      <w:r>
        <w:rPr>
          <w:rFonts w:hint="eastAsia" w:ascii="宋体" w:hAnsi="宋体" w:cs="宋体"/>
          <w:b/>
          <w:bCs w:val="0"/>
          <w:sz w:val="32"/>
          <w:szCs w:val="32"/>
          <w:highlight w:val="none"/>
          <w:lang w:val="en-US" w:eastAsia="zh-CN"/>
        </w:rPr>
        <w:t xml:space="preserve">承诺函</w:t>
      </w:r>
      <w:r/>
    </w:p>
    <w:p>
      <w:pPr>
        <w:ind w:firstLine="0"/>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南京市江宁区卫生健康委员会：</w:t>
      </w:r>
      <w:r/>
    </w:p>
    <w:p>
      <w:pPr>
        <w:ind w:firstLine="420"/>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我司承诺：</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如药剂中包含危化品的，投标人承诺危化品运输、存储、使用等各个环节符合国家规定，具备相应许可证（如有）。如因投标人违规运输、存储、使用危化品等行为造成事故或损失的，投标人应承担由此产生的一切责任。</w:t>
      </w:r>
      <w:r/>
    </w:p>
    <w:p>
      <w:pPr>
        <w:ind w:firstLine="420"/>
        <w:jc w:val="right"/>
        <w:spacing w:line="360" w:lineRule="auto"/>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供应商名称：</w:t>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p>
    <w:p>
      <w:pPr>
        <w:ind w:firstLine="420"/>
        <w:jc w:val="right"/>
        <w:spacing w:line="360" w:lineRule="auto"/>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日期：2026年  月  日</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br w:type="page" w:clear="all"/>
      </w:r>
      <w:bookmarkEnd w:id="325"/>
      <w:r/>
      <w:bookmarkStart w:id="326" w:name="_Toc104560912"/>
      <w:r/>
      <w:bookmarkStart w:id="327" w:name="_Toc107246293"/>
      <w:r/>
      <w:r/>
    </w:p>
    <w:p>
      <w:pPr>
        <w:pStyle w:val="895"/>
        <w:ind w:firstLine="426"/>
        <w:jc w:val="center"/>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8</w:t>
      </w:r>
      <w:r>
        <w:rPr>
          <w:rFonts w:hint="eastAsia" w:ascii="宋体" w:hAnsi="宋体" w:cs="宋体"/>
          <w:bCs w:val="0"/>
          <w:sz w:val="24"/>
          <w:szCs w:val="24"/>
          <w:highlight w:val="none"/>
        </w:rPr>
        <w:t xml:space="preserve">）《南京市政府采购供应商信用记录表暨信用承诺书》</w:t>
      </w:r>
      <w:r/>
    </w:p>
    <w:p>
      <w:pPr>
        <w:ind w:firstLine="373"/>
        <w:rPr>
          <w:rFonts w:hint="eastAsia" w:ascii="宋体" w:hAnsi="宋体" w:cs="宋体"/>
          <w:b/>
          <w:bCs/>
          <w:highlight w:val="none"/>
        </w:rPr>
      </w:pPr>
      <w:r>
        <w:rPr>
          <w:rFonts w:hint="eastAsia" w:ascii="宋体" w:hAnsi="宋体"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60"/>
        <w:ind w:left="1240" w:firstLine="372"/>
        <w:rPr>
          <w:rFonts w:hint="eastAsia" w:ascii="宋体" w:hAnsi="宋体" w:cs="宋体"/>
          <w:highlight w:val="none"/>
        </w:rPr>
      </w:pPr>
      <w:r>
        <w:rPr>
          <w:rFonts w:hint="eastAsia" w:ascii="宋体" w:hAnsi="宋体" w:cs="宋体"/>
          <w:highlight w:val="none"/>
        </w:rPr>
      </w:r>
      <w:r/>
    </w:p>
    <w:p>
      <w:pPr>
        <w:ind w:firstLine="779"/>
        <w:jc w:val="center"/>
        <w:spacing w:line="500" w:lineRule="exact"/>
        <w:rPr>
          <w:rFonts w:hint="eastAsia" w:ascii="宋体" w:hAnsi="宋体" w:cs="宋体"/>
          <w:bCs/>
          <w:sz w:val="44"/>
          <w:szCs w:val="44"/>
          <w:highlight w:val="none"/>
        </w:rPr>
      </w:pPr>
      <w:r>
        <w:rPr>
          <w:rFonts w:hint="eastAsia" w:ascii="宋体" w:hAnsi="宋体" w:cs="宋体"/>
          <w:bCs/>
          <w:sz w:val="44"/>
          <w:szCs w:val="44"/>
          <w:highlight w:val="none"/>
        </w:rPr>
        <w:t xml:space="preserve">南京市政府采购供应商信用记录表</w:t>
      </w:r>
      <w:r/>
    </w:p>
    <w:p>
      <w:pPr>
        <w:ind w:firstLine="779"/>
        <w:jc w:val="center"/>
        <w:spacing w:line="500" w:lineRule="exact"/>
        <w:rPr>
          <w:rFonts w:hint="eastAsia" w:ascii="宋体" w:hAnsi="宋体" w:cs="宋体"/>
          <w:sz w:val="44"/>
          <w:szCs w:val="44"/>
          <w:highlight w:val="none"/>
        </w:rPr>
      </w:pPr>
      <w:r>
        <w:rPr>
          <w:rFonts w:hint="eastAsia" w:ascii="宋体" w:hAnsi="宋体" w:cs="宋体"/>
          <w:bCs/>
          <w:sz w:val="44"/>
          <w:szCs w:val="44"/>
          <w:highlight w:val="none"/>
        </w:rPr>
        <w:t xml:space="preserve">暨信用承诺书（格式）</w:t>
      </w:r>
      <w:r/>
    </w:p>
    <w:p>
      <w:pPr>
        <w:ind w:firstLine="372"/>
        <w:jc w:val="right"/>
        <w:spacing w:line="500" w:lineRule="exact"/>
        <w:rPr>
          <w:rFonts w:hint="eastAsia" w:ascii="宋体" w:hAnsi="宋体" w:cs="宋体"/>
          <w:b/>
          <w:bCs/>
          <w:highlight w:val="none"/>
        </w:rPr>
      </w:pPr>
      <w:r>
        <w:rPr>
          <w:rFonts w:hint="eastAsia" w:ascii="宋体" w:hAnsi="宋体" w:cs="宋体"/>
          <w:bCs/>
          <w:highlight w:val="none"/>
        </w:rPr>
        <w:t xml:space="preserve">年  月   日</w:t>
      </w:r>
      <w:r/>
    </w:p>
    <w:tbl>
      <w:tblPr>
        <w:tblStyle w:val="832"/>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星级</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sz w:val="21"/>
                <w:szCs w:val="24"/>
                <w:highlight w:val="none"/>
                <w:lang w:val="en-US" w:eastAsia="zh-CN" w:bidi="ar-SA"/>
              </w:rPr>
              <w:t xml:space="preserve">政府采购法</w:t>
            </w:r>
            <w:r>
              <w:rPr>
                <w:rFonts w:hint="eastAsia" w:ascii="宋体" w:hAnsi="宋体" w:eastAsia="宋体" w:cs="宋体"/>
                <w:bCs/>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年    月     日</w:t>
            </w:r>
            <w:r/>
          </w:p>
        </w:tc>
      </w:tr>
    </w:tbl>
    <w:p>
      <w:pPr>
        <w:ind w:firstLine="372"/>
        <w:spacing w:line="360" w:lineRule="auto"/>
        <w:rPr>
          <w:rFonts w:hint="eastAsia" w:ascii="宋体" w:hAnsi="宋体" w:cs="宋体"/>
          <w:bCs/>
          <w:highlight w:val="none"/>
        </w:rPr>
      </w:pPr>
      <w:r>
        <w:rPr>
          <w:rFonts w:hint="eastAsia" w:ascii="宋体" w:hAnsi="宋体"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2、供应商申请网上注册的，应当按以下程序进行： </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60"/>
        <w:ind w:firstLine="372"/>
        <w:spacing w:line="360" w:lineRule="auto"/>
        <w:rPr>
          <w:rFonts w:hint="eastAsia" w:ascii="宋体" w:hAnsi="宋体" w:cs="宋体"/>
          <w:highlight w:val="none"/>
        </w:rPr>
      </w:pPr>
      <w:r>
        <w:rPr>
          <w:rFonts w:hint="eastAsia" w:ascii="宋体" w:hAnsi="宋体"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highlight w:val="none"/>
        </w:rPr>
      </w:pPr>
      <w:r>
        <w:rPr>
          <w:rFonts w:hint="eastAsia" w:ascii="宋体" w:hAnsi="宋体" w:cs="宋体"/>
          <w:highlight w:val="none"/>
        </w:rPr>
        <w:br w:type="page" w:clear="all"/>
      </w:r>
      <w:bookmarkEnd w:id="322"/>
      <w:r/>
      <w:bookmarkEnd w:id="326"/>
      <w:r/>
      <w:bookmarkEnd w:id="327"/>
      <w:r/>
      <w:r/>
    </w:p>
    <w:p>
      <w:pPr>
        <w:pStyle w:val="895"/>
        <w:ind w:firstLine="426"/>
        <w:rPr>
          <w:rFonts w:hint="eastAsia" w:ascii="宋体" w:hAnsi="宋体" w:cs="宋体"/>
          <w:b w:val="0"/>
          <w:sz w:val="24"/>
          <w:szCs w:val="24"/>
          <w:highlight w:val="none"/>
        </w:rPr>
      </w:pPr>
      <w:r/>
      <w:bookmarkStart w:id="328" w:name="_Toc104560915"/>
      <w:r/>
      <w:bookmarkStart w:id="329" w:name="_Toc102117330"/>
      <w:r/>
      <w:bookmarkStart w:id="330" w:name="_Toc103848598"/>
      <w:r/>
      <w:bookmarkStart w:id="331" w:name="_Toc107246296"/>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）公章授权书（如需）</w:t>
      </w:r>
      <w:bookmarkEnd w:id="328"/>
      <w:r/>
      <w:bookmarkEnd w:id="329"/>
      <w:r/>
      <w:bookmarkEnd w:id="330"/>
      <w:r/>
      <w:bookmarkEnd w:id="331"/>
      <w:r/>
      <w:r/>
    </w:p>
    <w:p>
      <w:pPr>
        <w:pStyle w:val="1122"/>
        <w:ind w:firstLine="0"/>
        <w:rPr>
          <w:rFonts w:hint="eastAsia" w:hAnsi="宋体" w:cs="宋体"/>
          <w:b/>
          <w:sz w:val="21"/>
          <w:szCs w:val="21"/>
          <w:highlight w:val="none"/>
        </w:rPr>
      </w:pPr>
      <w:r>
        <w:rPr>
          <w:rFonts w:hint="eastAsia" w:hAnsi="宋体" w:cs="宋体"/>
          <w:b/>
          <w:sz w:val="21"/>
          <w:szCs w:val="21"/>
          <w:highlight w:val="none"/>
        </w:rPr>
      </w:r>
      <w:r/>
    </w:p>
    <w:p>
      <w:pPr>
        <w:pStyle w:val="1122"/>
        <w:ind w:firstLine="0"/>
        <w:rPr>
          <w:rFonts w:hint="eastAsia" w:hAnsi="宋体" w:cs="宋体"/>
          <w:sz w:val="21"/>
          <w:szCs w:val="21"/>
          <w:highlight w:val="none"/>
        </w:rPr>
      </w:pPr>
      <w:r>
        <w:rPr>
          <w:rFonts w:hint="eastAsia" w:hAnsi="宋体" w:cs="宋体"/>
          <w:sz w:val="21"/>
          <w:szCs w:val="21"/>
          <w:highlight w:val="none"/>
        </w:rPr>
        <w:t xml:space="preserve">______________________（采购人）</w:t>
      </w:r>
      <w:r/>
    </w:p>
    <w:p>
      <w:pPr>
        <w:pStyle w:val="1122"/>
        <w:ind w:firstLine="420"/>
        <w:rPr>
          <w:rFonts w:hint="eastAsia"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(投标人名称)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lang w:eastAsia="zh-CN"/>
        </w:rPr>
        <w:t xml:space="preserve">江宁区卫健委下属单位污水处理运维服务</w:t>
      </w:r>
      <w:r>
        <w:rPr>
          <w:rFonts w:hint="eastAsia" w:hAnsi="宋体" w:cs="宋体"/>
          <w:sz w:val="21"/>
          <w:szCs w:val="21"/>
          <w:highlight w:val="none"/>
          <w:u w:val="single"/>
        </w:rPr>
        <w:t xml:space="preserve">（项目名称）（项目编号：</w:t>
      </w:r>
      <w:r>
        <w:rPr>
          <w:rFonts w:hint="eastAsia" w:hAnsi="宋体" w:cs="宋体"/>
          <w:sz w:val="21"/>
          <w:szCs w:val="21"/>
          <w:highlight w:val="none"/>
          <w:u w:val="single"/>
          <w:lang w:eastAsia="zh-CN"/>
        </w:rPr>
        <w:t xml:space="preserve">JSZC-320115-JITC-G2026-0208 </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p>
    <w:p>
      <w:pPr>
        <w:pStyle w:val="1122"/>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所签署的投标文件、澄清等，我单位承认并同意具备与我单位公章签署等同的法律效力。</w:t>
      </w:r>
      <w:r/>
    </w:p>
    <w:p>
      <w:pPr>
        <w:pStyle w:val="1122"/>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p>
    <w:p>
      <w:pPr>
        <w:pStyle w:val="1122"/>
        <w:ind w:right="840" w:firstLine="0"/>
        <w:rPr>
          <w:rFonts w:hint="eastAsia" w:hAnsi="宋体" w:cs="宋体"/>
          <w:sz w:val="21"/>
          <w:szCs w:val="21"/>
          <w:highlight w:val="none"/>
        </w:rPr>
      </w:pPr>
      <w:r>
        <w:rPr>
          <w:rFonts w:hint="eastAsia" w:hAnsi="宋体" w:cs="宋体"/>
          <w:sz w:val="21"/>
          <w:szCs w:val="21"/>
          <w:highlight w:val="none"/>
        </w:rPr>
      </w:r>
      <w:r/>
    </w:p>
    <w:p>
      <w:pPr>
        <w:pStyle w:val="1122"/>
        <w:ind w:right="840" w:firstLine="199"/>
        <w:rPr>
          <w:rFonts w:hint="eastAsia" w:hAnsi="宋体" w:cs="宋体"/>
          <w:sz w:val="21"/>
          <w:szCs w:val="21"/>
          <w:highlight w:val="none"/>
        </w:rPr>
      </w:pPr>
      <w:r>
        <w:rPr>
          <w:rFonts w:hint="eastAsia" w:hAnsi="宋体" w:cs="宋体"/>
          <w:sz w:val="21"/>
          <w:szCs w:val="21"/>
          <w:highlight w:val="none"/>
        </w:rPr>
        <w:t xml:space="preserve">其他形式的印章名称：______________</w:t>
      </w:r>
      <w:r/>
    </w:p>
    <w:p>
      <w:pPr>
        <w:pStyle w:val="1122"/>
        <w:ind w:right="420" w:firstLine="190"/>
        <w:rPr>
          <w:rFonts w:hint="eastAsia" w:hAnsi="宋体" w:cs="宋体"/>
          <w:sz w:val="21"/>
          <w:szCs w:val="21"/>
          <w:highlight w:val="none"/>
        </w:rPr>
      </w:pPr>
      <w:r>
        <w:rPr>
          <w:rFonts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sz w:val="21"/>
          <w:szCs w:val="21"/>
          <w:highlight w:val="none"/>
        </w:rPr>
        <w:t xml:space="preserve">印章样式：</w:t>
      </w:r>
      <w:r/>
    </w:p>
    <w:p>
      <w:pPr>
        <w:pStyle w:val="1122"/>
        <w:ind w:right="420" w:firstLine="4819"/>
        <w:rPr>
          <w:rFonts w:hint="eastAsia" w:hAnsi="宋体" w:cs="宋体"/>
          <w:sz w:val="21"/>
          <w:szCs w:val="21"/>
          <w:highlight w:val="none"/>
        </w:rPr>
      </w:pPr>
      <w:r>
        <w:rPr>
          <w:rFonts w:hint="eastAsia" w:hAnsi="宋体" w:cs="宋体"/>
          <w:sz w:val="21"/>
          <w:szCs w:val="21"/>
          <w:highlight w:val="none"/>
        </w:rPr>
      </w:r>
      <w:r/>
    </w:p>
    <w:p>
      <w:pPr>
        <w:pStyle w:val="112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22"/>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22"/>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22"/>
        <w:ind w:right="420" w:firstLine="3150"/>
        <w:jc w:val="left"/>
        <w:spacing w:line="276" w:lineRule="auto"/>
        <w:rPr>
          <w:rFonts w:hint="eastAsia" w:hAnsi="宋体" w:cs="宋体"/>
          <w:sz w:val="21"/>
          <w:szCs w:val="21"/>
          <w:highlight w:val="none"/>
          <w:u w:val="single"/>
        </w:rPr>
      </w:pPr>
      <w:r>
        <w:rPr>
          <w:rFonts w:hint="eastAsia" w:hAnsi="宋体" w:cs="宋体"/>
          <w:sz w:val="21"/>
          <w:szCs w:val="21"/>
          <w:highlight w:val="none"/>
        </w:rPr>
        <w:t xml:space="preserve">投标人名称（公章）：</w:t>
      </w:r>
      <w:r/>
    </w:p>
    <w:p>
      <w:pPr>
        <w:pStyle w:val="112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ind w:firstLine="3158"/>
        <w:jc w:val="left"/>
        <w:spacing w:line="276" w:lineRule="auto"/>
        <w:rPr>
          <w:rFonts w:hint="eastAsia" w:ascii="宋体" w:hAnsi="宋体" w:cs="宋体"/>
          <w:bCs/>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highlight w:val="none"/>
        </w:rPr>
        <w:t xml:space="preserve">日期：______年______月______日</w:t>
      </w:r>
      <w:r/>
    </w:p>
    <w:p>
      <w:pPr>
        <w:pStyle w:val="895"/>
        <w:ind w:left="601" w:firstLine="498"/>
        <w:spacing w:before="0"/>
        <w:rPr>
          <w:rFonts w:hint="eastAsia" w:ascii="宋体" w:hAnsi="宋体" w:cs="宋体"/>
          <w:sz w:val="28"/>
          <w:szCs w:val="24"/>
          <w:highlight w:val="none"/>
        </w:rPr>
      </w:pPr>
      <w:r/>
      <w:bookmarkStart w:id="332" w:name="_Toc104560916"/>
      <w:r/>
      <w:bookmarkStart w:id="333" w:name="_Toc103848599"/>
      <w:r/>
      <w:bookmarkStart w:id="334" w:name="_Toc107246299"/>
      <w:r>
        <w:rPr>
          <w:rFonts w:ascii="宋体" w:hAnsi="宋体" w:cs="宋体"/>
          <w:sz w:val="28"/>
          <w:szCs w:val="24"/>
          <w:highlight w:val="none"/>
        </w:rPr>
        <w:t xml:space="preserve">二、</w:t>
      </w:r>
      <w:r>
        <w:rPr>
          <w:rFonts w:hint="eastAsia" w:ascii="宋体" w:hAnsi="宋体" w:cs="宋体"/>
          <w:sz w:val="28"/>
          <w:szCs w:val="24"/>
          <w:highlight w:val="none"/>
        </w:rPr>
        <w:t xml:space="preserve">技术部分</w:t>
      </w:r>
      <w:bookmarkEnd w:id="332"/>
      <w:r/>
      <w:bookmarkEnd w:id="333"/>
      <w:r/>
      <w:bookmarkEnd w:id="334"/>
      <w:r/>
      <w:r/>
    </w:p>
    <w:p>
      <w:pPr>
        <w:pStyle w:val="895"/>
        <w:ind w:firstLine="426"/>
        <w:spacing w:before="0"/>
        <w:rPr>
          <w:rFonts w:hint="eastAsia" w:ascii="宋体" w:hAnsi="宋体" w:cs="宋体"/>
          <w:bCs w:val="0"/>
          <w:sz w:val="24"/>
          <w:szCs w:val="24"/>
          <w:highlight w:val="none"/>
        </w:rPr>
      </w:pPr>
      <w:r/>
      <w:bookmarkStart w:id="335" w:name="_Toc104560918"/>
      <w:r/>
      <w:bookmarkStart w:id="336" w:name="_Toc103848601"/>
      <w:r/>
      <w:bookmarkStart w:id="337" w:name="_Toc107246301"/>
      <w:r>
        <w:rPr>
          <w:rFonts w:hint="eastAsia" w:ascii="宋体" w:hAnsi="宋体" w:cs="宋体"/>
          <w:bCs w:val="0"/>
          <w:sz w:val="24"/>
          <w:szCs w:val="24"/>
          <w:highlight w:val="none"/>
        </w:rPr>
        <w:t xml:space="preserve">（1）技术条款偏离表</w:t>
      </w:r>
      <w:bookmarkEnd w:id="335"/>
      <w:r/>
      <w:bookmarkEnd w:id="336"/>
      <w:r/>
      <w:bookmarkEnd w:id="337"/>
      <w:r/>
      <w:r/>
    </w:p>
    <w:p>
      <w:pPr>
        <w:pStyle w:val="1122"/>
        <w:ind w:firstLine="420"/>
        <w:rPr>
          <w:rFonts w:hint="eastAsia" w:hAnsi="宋体" w:cs="宋体"/>
          <w:sz w:val="21"/>
          <w:szCs w:val="21"/>
          <w:highlight w:val="none"/>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tbl>
      <w:tblPr>
        <w:tblStyle w:val="8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招标文件的技术条款</w:t>
            </w:r>
            <w:r/>
          </w:p>
        </w:tc>
        <w:tc>
          <w:tcPr>
            <w:tcW w:w="854" w:type="dxa"/>
            <w:vAlign w:val="top"/>
            <w:textDirection w:val="lrTb"/>
            <w:noWrap w:val="false"/>
          </w:tcPr>
          <w:p>
            <w:pPr>
              <w:pStyle w:val="1122"/>
              <w:ind w:firstLine="0"/>
              <w:jc w:val="center"/>
              <w:spacing w:line="48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是否偏离</w:t>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投标文件的技术响应情况</w:t>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1"/>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9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14"/>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2"/>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07"/>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投标人须根据招标文件商务条款要求填写此表，作为投标文件的组成部分。</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92"/>
        <w:ind w:firstLine="373"/>
        <w:spacing w:line="360" w:lineRule="exact"/>
        <w:rPr>
          <w:rFonts w:hint="eastAsia" w:hAnsi="宋体" w:cs="宋体"/>
          <w:szCs w:val="21"/>
          <w:highlight w:val="none"/>
        </w:rPr>
      </w:pPr>
      <w:r>
        <w:rPr>
          <w:rFonts w:hint="eastAsia" w:ascii="宋体" w:hAnsi="宋体" w:cs="宋体"/>
          <w:b/>
          <w:bCs/>
          <w:highlight w:val="none"/>
        </w:rPr>
        <w:t xml:space="preserve">3. 偏离包括正、负偏离，正偏离指投标人的响应优于招标文件要求，负偏离指投标人的响应低于招标文件要求。</w:t>
      </w:r>
      <w:r/>
    </w:p>
    <w:p>
      <w:pPr>
        <w:pStyle w:val="866"/>
        <w:ind w:firstLine="372"/>
        <w:rPr>
          <w:rFonts w:hint="eastAsia" w:ascii="宋体" w:hAnsi="宋体" w:cs="宋体"/>
          <w:highlight w:val="none"/>
        </w:rPr>
      </w:pPr>
      <w:r>
        <w:rPr>
          <w:rFonts w:hint="eastAsia" w:ascii="宋体" w:hAnsi="宋体" w:cs="宋体"/>
          <w:bCs/>
          <w:sz w:val="24"/>
          <w:highlight w:val="none"/>
        </w:rPr>
        <w:br w:type="page" w:clear="all"/>
      </w:r>
      <w:r/>
    </w:p>
    <w:p>
      <w:pPr>
        <w:pStyle w:val="895"/>
        <w:ind w:firstLine="426"/>
        <w:spacing w:before="0"/>
        <w:rPr>
          <w:rFonts w:hint="eastAsia" w:ascii="宋体" w:hAnsi="宋体" w:eastAsia="宋体" w:cs="宋体"/>
          <w:bCs w:val="0"/>
          <w:sz w:val="24"/>
          <w:szCs w:val="24"/>
          <w:highlight w:val="none"/>
          <w:lang w:eastAsia="zh-CN"/>
        </w:rPr>
      </w:pPr>
      <w:r>
        <w:rPr>
          <w:rFonts w:hint="eastAsia" w:ascii="宋体" w:hAnsi="宋体" w:cs="宋体"/>
          <w:bCs w:val="0"/>
          <w:sz w:val="24"/>
          <w:szCs w:val="24"/>
          <w:highlight w:val="none"/>
        </w:rPr>
        <w:t xml:space="preserve">（2）</w:t>
      </w:r>
      <w:r>
        <w:rPr>
          <w:rFonts w:hint="eastAsia" w:ascii="宋体" w:hAnsi="宋体" w:cs="宋体"/>
          <w:bCs w:val="0"/>
          <w:sz w:val="24"/>
          <w:szCs w:val="24"/>
          <w:highlight w:val="none"/>
          <w:lang w:val="en-US" w:eastAsia="zh-CN"/>
        </w:rPr>
        <w:t xml:space="preserve">采购需求中★项要求的证明材料</w:t>
      </w: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如需</w:t>
      </w:r>
      <w:r>
        <w:rPr>
          <w:rFonts w:hint="eastAsia" w:ascii="宋体" w:hAnsi="宋体" w:cs="宋体"/>
          <w:bCs w:val="0"/>
          <w:sz w:val="24"/>
          <w:szCs w:val="24"/>
          <w:highlight w:val="none"/>
          <w:lang w:eastAsia="zh-CN"/>
        </w:rPr>
        <w:t xml:space="preserve">）</w:t>
      </w:r>
      <w:r/>
    </w:p>
    <w:p>
      <w:pPr>
        <w:jc w:val="center"/>
        <w:spacing w:after="156" w:line="439" w:lineRule="atLeast"/>
        <w:rPr>
          <w:rFonts w:hint="default" w:ascii="宋体" w:hAnsi="宋体" w:eastAsia="宋体" w:cs="宋体"/>
          <w:bCs/>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val="en-US" w:eastAsia="zh-CN"/>
        </w:rPr>
        <w:t xml:space="preserve">格式自拟</w:t>
      </w:r>
      <w:r/>
    </w:p>
    <w:p>
      <w:pPr>
        <w:rPr>
          <w:highlight w:val="none"/>
        </w:rPr>
      </w:pPr>
      <w:r>
        <w:rPr>
          <w:highlight w:val="none"/>
        </w:rPr>
        <w:br w:type="page" w:clear="all"/>
      </w:r>
      <w:r/>
    </w:p>
    <w:p>
      <w:pPr>
        <w:pStyle w:val="860"/>
        <w:rPr>
          <w:highlight w:val="none"/>
        </w:rPr>
      </w:pPr>
      <w:r>
        <w:rPr>
          <w:highlight w:val="none"/>
        </w:rPr>
      </w:r>
      <w:r/>
    </w:p>
    <w:p>
      <w:pPr>
        <w:pStyle w:val="895"/>
        <w:ind w:left="114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（3）需求响应方案</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 格式自拟。</w:t>
      </w:r>
      <w:r/>
    </w:p>
    <w:p>
      <w:pPr>
        <w:pStyle w:val="1122"/>
        <w:ind w:firstLine="400"/>
        <w:rPr>
          <w:rFonts w:hint="eastAsia" w:hAnsi="宋体" w:cs="宋体"/>
          <w:highlight w:val="none"/>
        </w:rPr>
      </w:pPr>
      <w:r>
        <w:rPr>
          <w:rFonts w:hint="eastAsia" w:hAnsi="宋体" w:cs="宋体"/>
          <w:highlight w:val="none"/>
        </w:rPr>
      </w:r>
      <w:r/>
    </w:p>
    <w:p>
      <w:pPr>
        <w:pStyle w:val="1122"/>
        <w:ind w:firstLine="400"/>
        <w:rPr>
          <w:rFonts w:hint="eastAsia" w:hAnsi="宋体" w:cs="宋体"/>
          <w:highlight w:val="none"/>
        </w:rPr>
      </w:pPr>
      <w:r>
        <w:rPr>
          <w:rFonts w:hint="eastAsia" w:hAnsi="宋体" w:cs="宋体"/>
          <w:highlight w:val="none"/>
        </w:rPr>
      </w:r>
      <w:r/>
    </w:p>
    <w:p>
      <w:pPr>
        <w:pStyle w:val="895"/>
        <w:ind w:firstLine="569"/>
        <w:spacing w:before="0" w:line="480" w:lineRule="auto"/>
        <w:rPr>
          <w:rFonts w:hint="eastAsia" w:ascii="宋体" w:hAnsi="宋体" w:cs="宋体"/>
          <w:highlight w:val="none"/>
        </w:rPr>
      </w:pPr>
      <w:r>
        <w:rPr>
          <w:rFonts w:hint="eastAsia" w:ascii="宋体" w:hAnsi="宋体" w:cs="宋体"/>
          <w:highlight w:val="none"/>
        </w:rPr>
        <w:br w:type="page" w:clear="all"/>
      </w:r>
      <w:bookmarkStart w:id="338" w:name="_Toc107246302"/>
      <w:r/>
      <w:bookmarkStart w:id="339" w:name="_Toc104560919"/>
      <w:r/>
      <w:bookmarkStart w:id="340" w:name="_Toc103848602"/>
      <w:r>
        <w:rPr>
          <w:rFonts w:hint="eastAsia" w:ascii="宋体" w:hAnsi="宋体" w:cs="宋体"/>
          <w:bCs w:val="0"/>
          <w:sz w:val="24"/>
          <w:szCs w:val="24"/>
          <w:highlight w:val="none"/>
        </w:rPr>
        <w:t xml:space="preserve">（4）投标人服务承诺</w:t>
      </w:r>
      <w:bookmarkEnd w:id="338"/>
      <w:r/>
      <w:bookmarkEnd w:id="339"/>
      <w:r/>
      <w:bookmarkEnd w:id="340"/>
      <w:r/>
      <w:r/>
    </w:p>
    <w:p>
      <w:pPr>
        <w:pStyle w:val="866"/>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承诺函</w:t>
      </w:r>
      <w:r/>
    </w:p>
    <w:p>
      <w:pPr>
        <w:pStyle w:val="866"/>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南京市江宁区卫生健康委员会：</w:t>
      </w:r>
      <w:r/>
    </w:p>
    <w:p>
      <w:pPr>
        <w:pStyle w:val="866"/>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我司郑重承诺：</w:t>
      </w:r>
      <w:r/>
    </w:p>
    <w:p>
      <w:pPr>
        <w:pStyle w:val="866"/>
        <w:numPr>
          <w:ilvl w:val="0"/>
          <w:numId w:val="15"/>
        </w:numPr>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近三年未因水质超标或污染治理设施运行不正常被行政处罚；</w:t>
      </w:r>
      <w:r/>
    </w:p>
    <w:p>
      <w:pPr>
        <w:pStyle w:val="866"/>
        <w:numPr>
          <w:ilvl w:val="0"/>
          <w:numId w:val="15"/>
        </w:numPr>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管理期间需保证水质达到或者优于国家标准，自行拟定运营管理计划，以及估算运营成本费用，同时承诺在托管运营期间因水质不达标而产生的一切处罚责任和费用以及对医院造成的损失全部由投标人自行承担；</w:t>
      </w:r>
      <w:r/>
    </w:p>
    <w:p>
      <w:pPr>
        <w:pStyle w:val="866"/>
        <w:numPr>
          <w:ilvl w:val="0"/>
          <w:numId w:val="15"/>
        </w:numPr>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...(如有)</w:t>
      </w:r>
      <w:r/>
    </w:p>
    <w:p>
      <w:pPr>
        <w:pStyle w:val="866"/>
        <w:numPr>
          <w:ilvl w:val="0"/>
          <w:numId w:val="0"/>
        </w:numPr>
        <w:jc w:val="righ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供应商名称：</w:t>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u w:val="single"/>
          <w:lang w:val="en-US" w:eastAsia="zh-CN"/>
        </w:rPr>
        <w:tab/>
      </w:r>
      <w:r/>
    </w:p>
    <w:p>
      <w:pPr>
        <w:pStyle w:val="866"/>
        <w:numPr>
          <w:ilvl w:val="0"/>
          <w:numId w:val="0"/>
        </w:numPr>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w:t>
      </w:r>
      <w:r/>
    </w:p>
    <w:p>
      <w:pPr>
        <w:pStyle w:val="1122"/>
        <w:ind w:firstLine="400"/>
        <w:rPr>
          <w:rFonts w:hint="eastAsia" w:ascii="宋体" w:hAnsi="宋体" w:cs="宋体"/>
          <w:highlight w:val="none"/>
        </w:rPr>
      </w:pPr>
      <w:r>
        <w:rPr>
          <w:rFonts w:hint="eastAsia" w:ascii="宋体" w:hAnsi="宋体" w:cs="宋体"/>
          <w:bCs w:val="0"/>
          <w:sz w:val="24"/>
          <w:szCs w:val="24"/>
          <w:highlight w:val="none"/>
        </w:rPr>
        <w:br w:type="page" w:clear="all"/>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5</w:t>
      </w:r>
      <w:r>
        <w:rPr>
          <w:rFonts w:hint="eastAsia" w:ascii="宋体" w:hAnsi="宋体" w:cs="宋体"/>
          <w:bCs w:val="0"/>
          <w:sz w:val="24"/>
          <w:szCs w:val="24"/>
          <w:highlight w:val="none"/>
        </w:rPr>
        <w:t xml:space="preserve">）拟投入本项目人员情况表</w:t>
      </w:r>
      <w:r/>
    </w:p>
    <w:p>
      <w:pPr>
        <w:pStyle w:val="1122"/>
        <w:ind w:firstLine="420"/>
        <w:rPr>
          <w:rFonts w:hint="eastAsia" w:hAnsi="宋体" w:cs="宋体"/>
          <w:sz w:val="21"/>
          <w:szCs w:val="21"/>
          <w:highlight w:val="none"/>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tbl>
      <w:tblPr>
        <w:tblStyle w:val="832"/>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1488"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岗位</w:t>
            </w:r>
            <w:r/>
          </w:p>
        </w:tc>
        <w:tc>
          <w:tcPr>
            <w:tcW w:w="1627"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姓名</w:t>
            </w:r>
            <w:r/>
          </w:p>
        </w:tc>
        <w:tc>
          <w:tcPr>
            <w:tcW w:w="915"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年龄</w:t>
            </w:r>
            <w:r/>
          </w:p>
        </w:tc>
        <w:tc>
          <w:tcPr>
            <w:tcW w:w="1698"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职称/证书</w:t>
            </w:r>
            <w:r/>
          </w:p>
        </w:tc>
        <w:tc>
          <w:tcPr>
            <w:tcW w:w="1564"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895"/>
        <w:spacing w:before="0"/>
        <w:rPr>
          <w:rFonts w:ascii="宋体" w:hAnsi="宋体" w:cs="宋体"/>
          <w:bCs w:val="0"/>
          <w:sz w:val="24"/>
          <w:szCs w:val="24"/>
        </w:rPr>
      </w:pPr>
      <w:r>
        <w:rPr>
          <w:rFonts w:hint="eastAsia" w:ascii="宋体" w:hAnsi="宋体" w:cs="宋体"/>
          <w:highlight w:val="none"/>
        </w:rPr>
        <w:br w:type="page" w:clear="all"/>
      </w: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）业绩一览表</w:t>
      </w:r>
      <w:r/>
    </w:p>
    <w:p>
      <w:pPr>
        <w:jc w:val="left"/>
        <w:rPr>
          <w:rFonts w:ascii="宋体" w:hAnsi="宋体" w:cs="宋体"/>
          <w:b/>
          <w:sz w:val="32"/>
          <w:szCs w:val="32"/>
        </w:rPr>
      </w:pPr>
      <w:r>
        <w:rPr>
          <w:rFonts w:hint="eastAsia" w:ascii="宋体" w:hAnsi="宋体" w:cs="宋体"/>
          <w:sz w:val="24"/>
          <w:lang w:val="zh-CN"/>
        </w:rPr>
        <w:t xml:space="preserve">项目名称：                                </w:t>
      </w:r>
      <w:r>
        <w:rPr>
          <w:rFonts w:hint="eastAsia" w:ascii="宋体" w:hAnsi="宋体" w:cs="宋体"/>
          <w:sz w:val="24"/>
        </w:rPr>
        <w:t xml:space="preserve">         </w:t>
      </w:r>
      <w:r>
        <w:rPr>
          <w:rFonts w:hint="eastAsia" w:ascii="宋体" w:hAnsi="宋体" w:cs="宋体"/>
          <w:sz w:val="24"/>
          <w:lang w:val="zh-CN"/>
        </w:rPr>
        <w:t xml:space="preserve"> 项目编号：</w:t>
      </w:r>
      <w:r/>
    </w:p>
    <w:tbl>
      <w:tblPr>
        <w:tblStyle w:val="832"/>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W w:w="18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项目名称</w:t>
            </w:r>
            <w:r/>
          </w:p>
        </w:tc>
        <w:tc>
          <w:tcPr>
            <w:tcW w:w="179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合同签订日期</w:t>
            </w:r>
            <w:r/>
          </w:p>
        </w:tc>
        <w:tc>
          <w:tcPr>
            <w:tcW w:w="141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采购人名称</w:t>
            </w:r>
            <w:r/>
          </w:p>
        </w:tc>
        <w:tc>
          <w:tcPr>
            <w:tcW w:w="136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合同金额</w:t>
            </w:r>
            <w:r/>
          </w:p>
          <w:p>
            <w:pPr>
              <w:jc w:val="center"/>
              <w:rPr>
                <w:rFonts w:ascii="宋体" w:hAnsi="宋体" w:cs="宋体"/>
                <w:b/>
                <w:szCs w:val="21"/>
              </w:rPr>
            </w:pPr>
            <w:r>
              <w:rPr>
                <w:rFonts w:hint="eastAsia" w:ascii="宋体" w:hAnsi="宋体" w:cs="宋体"/>
                <w:b/>
                <w:szCs w:val="21"/>
              </w:rPr>
              <w:t xml:space="preserve">（万元）</w:t>
            </w:r>
            <w:r/>
          </w:p>
        </w:tc>
        <w:tc>
          <w:tcPr>
            <w:tcW w:w="136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240" w:lineRule="atLeast"/>
        <w:rPr>
          <w:rFonts w:ascii="宋体" w:hAnsi="宋体" w:cs="宋体"/>
        </w:rPr>
      </w:pPr>
      <w:r>
        <w:rPr>
          <w:rFonts w:ascii="宋体" w:hAnsi="宋体" w:cs="宋体"/>
        </w:rPr>
      </w:r>
      <w:r/>
    </w:p>
    <w:p>
      <w:pPr>
        <w:spacing w:before="65" w:line="227" w:lineRule="auto"/>
        <w:rPr>
          <w:rFonts w:ascii="宋体" w:hAnsi="宋体" w:cs="宋体"/>
          <w:sz w:val="20"/>
          <w:szCs w:val="20"/>
        </w:rPr>
      </w:pPr>
      <w:r>
        <w:rPr>
          <w:rFonts w:hint="eastAsia" w:ascii="宋体" w:hAnsi="宋体" w:cs="宋体"/>
          <w:spacing w:val="8"/>
          <w:sz w:val="20"/>
          <w:szCs w:val="20"/>
          <w:lang w:val="en-US" w:eastAsia="zh-CN"/>
        </w:rPr>
        <w:t xml:space="preserve">投标人</w:t>
      </w:r>
      <w:r>
        <w:rPr>
          <w:rFonts w:hint="eastAsia" w:ascii="宋体" w:hAnsi="宋体" w:cs="宋体"/>
          <w:spacing w:val="8"/>
          <w:sz w:val="20"/>
          <w:szCs w:val="20"/>
        </w:rPr>
        <w:t xml:space="preserve">名称（公章</w:t>
      </w:r>
      <w:r>
        <w:rPr>
          <w:rFonts w:hint="eastAsia" w:ascii="宋体" w:hAnsi="宋体" w:cs="宋体"/>
          <w:spacing w:val="1"/>
          <w:sz w:val="20"/>
          <w:szCs w:val="20"/>
        </w:rPr>
        <w:t xml:space="preserve">）：</w:t>
      </w:r>
      <w:r/>
    </w:p>
    <w:p>
      <w:pPr>
        <w:jc w:val="left"/>
        <w:spacing w:before="156"/>
        <w:rPr>
          <w:rFonts w:ascii="宋体" w:hAnsi="宋体" w:cs="宋体"/>
          <w:szCs w:val="21"/>
        </w:rPr>
      </w:pPr>
      <w:r>
        <w:rPr>
          <w:rFonts w:hint="eastAsia" w:ascii="宋体" w:hAnsi="宋体" w:cs="宋体"/>
          <w:szCs w:val="21"/>
        </w:rPr>
        <w:t xml:space="preserve">法定代表人（单位负责人）</w:t>
      </w:r>
      <w:r/>
    </w:p>
    <w:p>
      <w:pPr>
        <w:jc w:val="left"/>
        <w:rPr>
          <w:rFonts w:ascii="宋体" w:hAnsi="宋体" w:cs="宋体"/>
          <w:sz w:val="20"/>
          <w:szCs w:val="20"/>
        </w:rPr>
      </w:pPr>
      <w:r>
        <w:rPr>
          <w:rFonts w:hint="eastAsia" w:ascii="宋体" w:hAnsi="宋体" w:cs="宋体"/>
          <w:szCs w:val="21"/>
        </w:rPr>
        <w:t xml:space="preserve">或其授权代表（签字或盖章）：</w:t>
      </w:r>
      <w:r/>
    </w:p>
    <w:p>
      <w:pPr>
        <w:spacing w:before="162" w:line="408" w:lineRule="exact"/>
        <w:rPr>
          <w:rFonts w:ascii="宋体" w:hAnsi="宋体" w:cs="宋体"/>
          <w:b/>
        </w:rPr>
      </w:pPr>
      <w:r>
        <w:rPr>
          <w:rFonts w:hint="eastAsia" w:ascii="宋体" w:hAnsi="宋体" w:cs="宋体"/>
          <w:spacing w:val="-9"/>
          <w:position w:val="15"/>
          <w:sz w:val="20"/>
          <w:szCs w:val="20"/>
        </w:rPr>
        <w:t xml:space="preserve">日   期：</w:t>
      </w:r>
      <w:r/>
    </w:p>
    <w:p>
      <w:pPr>
        <w:ind w:firstLine="372"/>
        <w:rPr>
          <w:rFonts w:hint="eastAsia" w:ascii="宋体" w:hAnsi="宋体" w:cs="宋体"/>
          <w:highlight w:val="none"/>
        </w:rPr>
      </w:pPr>
      <w:r>
        <w:rPr>
          <w:rFonts w:hint="eastAsia" w:ascii="宋体" w:hAnsi="宋体" w:cs="宋体"/>
          <w:highlight w:val="none"/>
        </w:rPr>
        <w:br w:type="page" w:clear="all"/>
      </w:r>
      <w:bookmarkEnd w:id="270"/>
      <w:r/>
      <w:r/>
    </w:p>
    <w:p>
      <w:pPr>
        <w:ind w:firstLine="372"/>
        <w:rPr>
          <w:rFonts w:hint="eastAsia" w:ascii="宋体" w:hAnsi="宋体" w:cs="宋体"/>
          <w:highlight w:val="none"/>
        </w:rPr>
      </w:pPr>
      <w:r>
        <w:rPr>
          <w:rFonts w:hint="eastAsia" w:ascii="宋体" w:hAnsi="宋体" w:cs="宋体"/>
          <w:highlight w:val="none"/>
        </w:rPr>
      </w:r>
      <w:r/>
    </w:p>
    <w:p>
      <w:pPr>
        <w:ind w:firstLine="372"/>
        <w:rPr>
          <w:highlight w:val="none"/>
        </w:rPr>
      </w:pPr>
      <w:r/>
      <w:bookmarkStart w:id="341" w:name="_Toc104560922"/>
      <w:r/>
      <w:bookmarkStart w:id="342" w:name="_Toc107246305"/>
      <w:r/>
      <w:bookmarkStart w:id="343" w:name="_Toc103848605"/>
      <w:r/>
      <w:bookmarkStart w:id="344" w:name="_Toc100905289"/>
      <w:r/>
      <w:bookmarkStart w:id="345" w:name="_Toc96347904"/>
      <w:r/>
      <w:r/>
    </w:p>
    <w:p>
      <w:pPr>
        <w:pStyle w:val="895"/>
        <w:ind w:firstLine="498"/>
        <w:spacing w:before="0"/>
        <w:rPr>
          <w:rFonts w:hint="eastAsia" w:ascii="宋体" w:hAnsi="宋体" w:cs="宋体"/>
          <w:highlight w:val="none"/>
        </w:rPr>
      </w:pPr>
      <w:r>
        <w:rPr>
          <w:rFonts w:hint="eastAsia" w:ascii="宋体" w:hAnsi="宋体" w:cs="宋体"/>
          <w:sz w:val="28"/>
          <w:szCs w:val="24"/>
          <w:highlight w:val="none"/>
        </w:rPr>
        <w:t xml:space="preserve">三、其他部分</w:t>
      </w:r>
      <w:bookmarkEnd w:id="341"/>
      <w:r/>
      <w:bookmarkEnd w:id="342"/>
      <w:r/>
      <w:bookmarkEnd w:id="343"/>
      <w:r/>
      <w:r/>
    </w:p>
    <w:p>
      <w:pPr>
        <w:pStyle w:val="895"/>
        <w:ind w:firstLine="426"/>
        <w:spacing w:before="0"/>
        <w:rPr>
          <w:rFonts w:hint="eastAsia" w:ascii="宋体" w:hAnsi="宋体" w:cs="宋体"/>
          <w:bCs w:val="0"/>
          <w:sz w:val="24"/>
          <w:szCs w:val="24"/>
          <w:highlight w:val="none"/>
        </w:rPr>
      </w:pPr>
      <w:r/>
      <w:bookmarkStart w:id="346" w:name="_Toc103848608"/>
      <w:r/>
      <w:bookmarkStart w:id="347" w:name="_Toc107246308"/>
      <w:r/>
      <w:bookmarkStart w:id="348" w:name="_Toc104560925"/>
      <w:r/>
      <w:bookmarkStart w:id="349" w:name="_Toc100905295"/>
      <w:r/>
      <w:bookmarkStart w:id="350" w:name="_Toc104560924"/>
      <w:r/>
      <w:bookmarkStart w:id="351" w:name="_Toc103848607"/>
      <w:r/>
      <w:bookmarkStart w:id="352" w:name="_Toc107246307"/>
      <w:r/>
      <w:bookmarkStart w:id="353" w:name="_Toc103848606"/>
      <w:r/>
      <w:bookmarkStart w:id="354" w:name="_Toc107246306"/>
      <w:r/>
      <w:bookmarkStart w:id="355" w:name="_Toc104560923"/>
      <w:r>
        <w:rPr>
          <w:rFonts w:hint="eastAsia" w:ascii="宋体" w:hAnsi="宋体" w:cs="宋体"/>
          <w:bCs w:val="0"/>
          <w:sz w:val="24"/>
          <w:szCs w:val="24"/>
          <w:highlight w:val="none"/>
        </w:rPr>
        <w:t xml:space="preserve">（1）要求投标人提交的其他文件材料或证明材料</w:t>
      </w:r>
      <w:bookmarkEnd w:id="346"/>
      <w:r/>
      <w:bookmarkEnd w:id="347"/>
      <w:r/>
      <w:bookmarkEnd w:id="348"/>
      <w:r/>
      <w:r/>
    </w:p>
    <w:p>
      <w:pPr>
        <w:pStyle w:val="870"/>
        <w:ind w:left="1260" w:firstLine="426"/>
        <w:rPr>
          <w:rFonts w:hint="eastAsia" w:hAnsi="宋体" w:cs="宋体"/>
          <w:highlight w:val="none"/>
        </w:rPr>
      </w:pPr>
      <w:r>
        <w:rPr>
          <w:rFonts w:hint="eastAsia" w:hAnsi="宋体" w:cs="宋体"/>
          <w:highlight w:val="none"/>
        </w:rPr>
      </w:r>
      <w:r/>
    </w:p>
    <w:p>
      <w:pPr>
        <w:pStyle w:val="870"/>
        <w:ind w:left="1260" w:firstLine="426"/>
        <w:rPr>
          <w:rFonts w:hint="eastAsia" w:hAnsi="宋体" w:cs="宋体"/>
          <w:highlight w:val="none"/>
        </w:rPr>
      </w:pPr>
      <w:r>
        <w:rPr>
          <w:rFonts w:hint="eastAsia" w:hAnsi="宋体" w:cs="宋体"/>
          <w:highlight w:val="none"/>
        </w:rPr>
        <w:br w:type="page" w:clear="all"/>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（2）投标人认为需提供的其他</w:t>
      </w:r>
      <w:bookmarkEnd w:id="349"/>
      <w:r>
        <w:rPr>
          <w:rFonts w:hint="eastAsia" w:ascii="宋体" w:hAnsi="宋体" w:cs="宋体"/>
          <w:bCs w:val="0"/>
          <w:sz w:val="24"/>
          <w:szCs w:val="24"/>
          <w:highlight w:val="none"/>
        </w:rPr>
        <w:t xml:space="preserve">文件或证明材料</w:t>
      </w:r>
      <w:bookmarkEnd w:id="350"/>
      <w:r/>
      <w:bookmarkEnd w:id="351"/>
      <w:r/>
      <w:bookmarkEnd w:id="352"/>
      <w:r/>
      <w:r/>
    </w:p>
    <w:p>
      <w:pPr>
        <w:ind w:firstLine="372"/>
        <w:rPr>
          <w:rFonts w:hint="eastAsia" w:ascii="宋体" w:hAnsi="宋体" w:cs="宋体"/>
          <w:highlight w:val="none"/>
        </w:rPr>
      </w:pPr>
      <w:r>
        <w:rPr>
          <w:rFonts w:hint="eastAsia" w:ascii="宋体" w:hAnsi="宋体" w:cs="宋体"/>
          <w:highlight w:val="none"/>
        </w:rPr>
        <w:br w:type="page" w:clear="all"/>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344"/>
      <w:r/>
      <w:bookmarkEnd w:id="353"/>
      <w:r/>
      <w:bookmarkEnd w:id="354"/>
      <w:r/>
      <w:bookmarkEnd w:id="355"/>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p>
    <w:p>
      <w:pPr>
        <w:ind w:right="-23" w:firstLine="379"/>
        <w:jc w:val="center"/>
        <w:rPr>
          <w:rFonts w:hint="eastAsia" w:ascii="宋体" w:hAnsi="宋体" w:cs="宋体"/>
          <w:spacing w:val="2"/>
          <w:position w:val="-3"/>
          <w:szCs w:val="21"/>
          <w:highlight w:val="none"/>
        </w:rPr>
      </w:pPr>
      <w:r>
        <w:rPr>
          <w:rFonts w:hint="eastAsia" w:ascii="宋体" w:hAnsi="宋体" w:cs="宋体"/>
          <w:spacing w:val="2"/>
          <w:position w:val="-3"/>
          <w:szCs w:val="21"/>
          <w:highlight w:val="none"/>
        </w:rPr>
      </w:r>
      <w:r/>
    </w:p>
    <w:p>
      <w:pPr>
        <w:pStyle w:val="1122"/>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中小企业声明函（服务）</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position w:val="-2"/>
          <w:szCs w:val="21"/>
          <w:highlight w:val="none"/>
          <w:u w:val="single"/>
          <w:lang w:eastAsia="zh-CN"/>
        </w:rPr>
        <w:t xml:space="preserve">南京市江宁区卫生健康委员会</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lang w:eastAsia="zh-CN"/>
        </w:rPr>
        <w:t xml:space="preserve">江宁区卫健委下属单位污水处理运维服务</w:t>
      </w:r>
      <w:r>
        <w:rPr>
          <w:rFonts w:hint="eastAsia" w:ascii="宋体" w:hAnsi="宋体" w:cs="宋体"/>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其他未列明行业</w:t>
      </w:r>
      <w:r>
        <w:rPr>
          <w:rFonts w:hint="eastAsia" w:ascii="宋体" w:hAnsi="宋体" w:cs="宋体"/>
          <w:position w:val="-2"/>
          <w:szCs w:val="21"/>
          <w:highlight w:val="none"/>
        </w:rPr>
        <w:t xml:space="preserve">行业；</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其他未列明行业</w:t>
      </w:r>
      <w:r>
        <w:rPr>
          <w:rFonts w:hint="eastAsia" w:ascii="宋体" w:hAnsi="宋体" w:cs="宋体"/>
          <w:position w:val="-2"/>
          <w:szCs w:val="21"/>
          <w:highlight w:val="none"/>
        </w:rPr>
        <w:t xml:space="preserve">行业；</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400" w:firstLine="3780"/>
        <w:spacing w:line="360" w:lineRule="auto"/>
        <w:rPr>
          <w:rFonts w:hint="eastAsia" w:ascii="宋体" w:hAnsi="宋体" w:cs="宋体"/>
          <w:szCs w:val="21"/>
          <w:highlight w:val="none"/>
          <w:u w:val="single"/>
        </w:rPr>
      </w:pPr>
      <w:r>
        <w:rPr>
          <w:rFonts w:hint="eastAsia" w:ascii="宋体" w:hAnsi="宋体" w:cs="宋体"/>
          <w:position w:val="-2"/>
          <w:szCs w:val="21"/>
          <w:highlight w:val="none"/>
        </w:rPr>
        <w:t xml:space="preserve">企</w:t>
      </w:r>
      <w:r>
        <w:rPr>
          <w:rFonts w:hint="eastAsia" w:ascii="宋体" w:hAnsi="宋体" w:cs="宋体"/>
          <w:spacing w:val="3"/>
          <w:position w:val="-2"/>
          <w:szCs w:val="21"/>
          <w:highlight w:val="none"/>
        </w:rPr>
        <w:t xml:space="preserve">业</w:t>
      </w:r>
      <w:r>
        <w:rPr>
          <w:rFonts w:hint="eastAsia" w:ascii="宋体" w:hAnsi="宋体" w:cs="宋体"/>
          <w:position w:val="-2"/>
          <w:szCs w:val="21"/>
          <w:highlight w:val="none"/>
        </w:rPr>
        <w:t xml:space="preserve">名称</w:t>
      </w:r>
      <w:r>
        <w:rPr>
          <w:rFonts w:hint="eastAsia" w:ascii="宋体" w:hAnsi="宋体" w:cs="宋体"/>
          <w:spacing w:val="3"/>
          <w:position w:val="-2"/>
          <w:szCs w:val="21"/>
          <w:highlight w:val="none"/>
        </w:rPr>
        <w:t xml:space="preserve">（</w:t>
      </w:r>
      <w:r>
        <w:rPr>
          <w:rFonts w:hint="eastAsia" w:ascii="宋体" w:hAnsi="宋体" w:cs="宋体"/>
          <w:position w:val="-2"/>
          <w:szCs w:val="21"/>
          <w:highlight w:val="none"/>
        </w:rPr>
        <w:t xml:space="preserve">盖章</w:t>
      </w:r>
      <w:r>
        <w:rPr>
          <w:rFonts w:hint="eastAsia" w:ascii="宋体" w:hAnsi="宋体" w:cs="宋体"/>
          <w:spacing w:val="-158"/>
          <w:position w:val="-2"/>
          <w:szCs w:val="21"/>
          <w:highlight w:val="none"/>
        </w:rPr>
        <w:t xml:space="preserve">）</w:t>
      </w:r>
      <w:r>
        <w:rPr>
          <w:rFonts w:hint="eastAsia" w:ascii="宋体" w:hAnsi="宋体" w:cs="宋体"/>
          <w:position w:val="-2"/>
          <w:szCs w:val="21"/>
          <w:highlight w:val="none"/>
        </w:rPr>
        <w:t xml:space="preserve">  ： </w:t>
      </w:r>
      <w:r/>
    </w:p>
    <w:p>
      <w:pPr>
        <w:ind w:right="420"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ind w:right="420" w:firstLine="420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right="-20" w:firstLine="372"/>
        <w:spacing w:line="360" w:lineRule="auto"/>
        <w:rPr>
          <w:rFonts w:hint="eastAsia" w:ascii="宋体" w:hAnsi="宋体" w:cs="宋体"/>
          <w:position w:val="-2"/>
          <w:szCs w:val="21"/>
          <w:highlight w:val="none"/>
        </w:rPr>
      </w:pP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szCs w:val="21"/>
          <w:highlight w:val="none"/>
        </w:rPr>
      </w:pPr>
      <w:r>
        <w:rPr>
          <w:rFonts w:hint="eastAsia" w:ascii="宋体" w:hAnsi="宋体" w:cs="宋体"/>
          <w:b/>
          <w:szCs w:val="21"/>
          <w:highlight w:val="none"/>
        </w:rPr>
        <w:t xml:space="preserve">注：</w:t>
      </w:r>
      <w:r/>
    </w:p>
    <w:p>
      <w:pPr>
        <w:ind w:firstLine="373"/>
        <w:rPr>
          <w:rFonts w:hint="eastAsia" w:ascii="宋体" w:hAnsi="宋体" w:cs="宋体"/>
          <w:b/>
          <w:szCs w:val="21"/>
          <w:highlight w:val="none"/>
        </w:rPr>
      </w:pPr>
      <w:r>
        <w:rPr>
          <w:rFonts w:hint="eastAsia" w:ascii="宋体" w:hAnsi="宋体" w:cs="宋体"/>
          <w:b/>
          <w:szCs w:val="21"/>
          <w:highlight w:val="none"/>
        </w:rPr>
        <w:t xml:space="preserve">1. 本项目中小微企业划分标准为：</w:t>
      </w:r>
      <w:r>
        <w:rPr>
          <w:rFonts w:hint="eastAsia" w:ascii="宋体" w:hAnsi="宋体" w:cs="宋体"/>
          <w:b/>
          <w:szCs w:val="21"/>
          <w:highlight w:val="none"/>
          <w:u w:val="single"/>
        </w:rPr>
        <w:t xml:space="preserve">从业人员300人以下的为中小微型企业。其中，从业人员100人及以上的为中型企业；从业人员10人及以上的为小型企业；从业人员10人以下的为微型企业。</w:t>
      </w:r>
      <w:r/>
    </w:p>
    <w:p>
      <w:pPr>
        <w:ind w:firstLine="373"/>
        <w:rPr>
          <w:rFonts w:hint="eastAsia" w:ascii="宋体" w:hAnsi="宋体" w:cs="宋体"/>
          <w:highlight w:val="none"/>
        </w:rPr>
      </w:pPr>
      <w:r>
        <w:rPr>
          <w:rFonts w:hint="eastAsia" w:ascii="宋体" w:hAnsi="宋体" w:cs="宋体"/>
          <w:b/>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highlight w:val="none"/>
        </w:rPr>
        <w:br w:type="page" w:clear="all"/>
      </w:r>
      <w:r/>
    </w:p>
    <w:p>
      <w:pPr>
        <w:ind w:firstLine="372"/>
        <w:rPr>
          <w:rFonts w:hint="eastAsia" w:ascii="宋体" w:hAnsi="宋体" w:cs="宋体"/>
          <w:highlight w:val="none"/>
        </w:rPr>
      </w:pPr>
      <w:r>
        <w:rPr>
          <w:rFonts w:hint="eastAsia" w:ascii="宋体" w:hAnsi="宋体" w:cs="宋体"/>
          <w:highlight w:val="none"/>
        </w:rPr>
      </w:r>
      <w:r/>
    </w:p>
    <w:p>
      <w:pPr>
        <w:pStyle w:val="1122"/>
        <w:ind w:firstLine="482"/>
        <w:jc w:val="center"/>
        <w:rPr>
          <w:rFonts w:hint="eastAsia" w:hAnsi="宋体" w:cs="宋体"/>
          <w:b/>
          <w:sz w:val="24"/>
          <w:szCs w:val="24"/>
          <w:highlight w:val="none"/>
        </w:rPr>
      </w:pPr>
      <w:r>
        <w:rPr>
          <w:rFonts w:hint="eastAsia" w:hAnsi="宋体" w:cs="宋体"/>
          <w:b/>
          <w:sz w:val="24"/>
          <w:szCs w:val="24"/>
          <w:highlight w:val="none"/>
        </w:rPr>
        <w:t xml:space="preserve">监狱企业证明</w:t>
      </w:r>
      <w:r/>
    </w:p>
    <w:p>
      <w:pPr>
        <w:pStyle w:val="1122"/>
        <w:ind w:firstLine="482"/>
        <w:jc w:val="center"/>
        <w:spacing w:line="276" w:lineRule="auto"/>
        <w:rPr>
          <w:rFonts w:hint="eastAsia" w:hAnsi="宋体" w:cs="宋体"/>
          <w:b/>
          <w:sz w:val="24"/>
          <w:szCs w:val="24"/>
          <w:highlight w:val="none"/>
        </w:rPr>
      </w:pPr>
      <w:r>
        <w:rPr>
          <w:rFonts w:hint="eastAsia" w:hAnsi="宋体" w:cs="宋体"/>
          <w:b/>
          <w:sz w:val="24"/>
          <w:szCs w:val="24"/>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22"/>
        <w:ind w:firstLine="400"/>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pStyle w:val="1122"/>
        <w:ind w:firstLine="198"/>
        <w:jc w:val="center"/>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p>
    <w:p>
      <w:pPr>
        <w:ind w:firstLine="554"/>
        <w:spacing w:line="276" w:lineRule="auto"/>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122"/>
        <w:ind w:firstLine="42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122"/>
        <w:ind w:firstLine="420"/>
        <w:rPr>
          <w:rFonts w:hint="eastAsia" w:hAnsi="宋体" w:cs="宋体"/>
          <w:sz w:val="21"/>
          <w:szCs w:val="21"/>
          <w:highlight w:val="none"/>
        </w:rPr>
      </w:pPr>
      <w:r>
        <w:rPr>
          <w:rFonts w:hint="eastAsia" w:hAnsi="宋体" w:cs="宋体"/>
          <w:sz w:val="21"/>
          <w:szCs w:val="21"/>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r>
      <w:r/>
    </w:p>
    <w:p>
      <w:pPr>
        <w:pStyle w:val="1122"/>
        <w:ind w:firstLine="3769"/>
        <w:rPr>
          <w:rFonts w:hint="eastAsia" w:hAnsi="宋体" w:cs="宋体"/>
          <w:sz w:val="21"/>
          <w:szCs w:val="21"/>
          <w:highlight w:val="none"/>
        </w:rPr>
      </w:pPr>
      <w:r>
        <w:rPr>
          <w:rFonts w:hint="eastAsia" w:hAnsi="宋体" w:cs="宋体"/>
          <w:sz w:val="21"/>
          <w:szCs w:val="21"/>
          <w:highlight w:val="none"/>
        </w:rPr>
        <w:t xml:space="preserve">单位名称（盖章）：____________</w:t>
      </w:r>
      <w:r/>
    </w:p>
    <w:p>
      <w:pPr>
        <w:ind w:firstLine="37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年</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345"/>
      <w:r/>
      <w:r/>
    </w:p>
    <w:p>
      <w:pPr>
        <w:ind w:right="420" w:firstLine="3780"/>
        <w:spacing w:line="360" w:lineRule="auto"/>
        <w:rPr>
          <w:rFonts w:hint="eastAsia" w:ascii="宋体" w:hAnsi="宋体" w:cs="宋体"/>
          <w:szCs w:val="21"/>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szCs w:val="21"/>
          <w:highlight w:val="none"/>
        </w:rPr>
      </w:r>
      <w:r/>
    </w:p>
    <w:p>
      <w:pPr>
        <w:ind w:right="0" w:firstLine="0"/>
        <w:jc w:val="left"/>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附件</w:t>
      </w:r>
      <w:r/>
    </w:p>
    <w:tbl>
      <w:tblPr>
        <w:tblStyle w:val="832"/>
        <w:tblW w:w="1398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80"/>
        <w:gridCol w:w="5292"/>
        <w:gridCol w:w="3579"/>
        <w:gridCol w:w="1821"/>
        <w:gridCol w:w="2516"/>
      </w:tblGrid>
      <w:tr>
        <w:trPr>
          <w:trHeight w:val="428"/>
        </w:trPr>
        <w:tc>
          <w:tcPr>
            <w:gridSpan w:val="5"/>
            <w:tcW w:w="13988"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现场勘察联系表</w:t>
            </w:r>
            <w:r/>
          </w:p>
        </w:tc>
      </w:tr>
      <w:tr>
        <w:trPr>
          <w:trHeight w:val="484"/>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序号</w:t>
            </w:r>
            <w:r/>
          </w:p>
        </w:tc>
        <w:tc>
          <w:tcPr>
            <w:tcW w:w="5292"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单位</w:t>
            </w:r>
            <w:r/>
          </w:p>
        </w:tc>
        <w:tc>
          <w:tcPr>
            <w:tcW w:w="3579"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地址</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联系人</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联系方式</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tcW w:w="5292" w:type="dxa"/>
            <w:vAlign w:val="center"/>
            <w:textDirection w:val="lrTb"/>
            <w:noWrap/>
          </w:tcPr>
          <w:p>
            <w:pPr>
              <w:jc w:val="left"/>
              <w:keepLines w:val="0"/>
              <w:keepNext w:val="0"/>
              <w:spacing w:line="240" w:lineRule="auto"/>
              <w:widowControl/>
              <w:rPr>
                <w:rFonts w:hint="default"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南京市江宁区疾病预防控制中心</w:t>
            </w:r>
            <w:r>
              <w:rPr>
                <w:rFonts w:hint="eastAsia" w:ascii="宋体" w:hAnsi="宋体" w:cs="宋体"/>
                <w:color w:val="000000"/>
                <w:sz w:val="24"/>
                <w:szCs w:val="24"/>
                <w:lang w:val="en-US" w:eastAsia="zh-CN" w:bidi="ar"/>
              </w:rPr>
              <w:t xml:space="preserve">（含体检中心）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江宁区天印大道671号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汤群</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13915951702</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南京市江宁区妇幼保健计划生育服务中心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江宁区东山街道上元大街415号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谢绍瑾</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13814110730</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南京市江宁区横溪街道陶吴社区卫生服务中心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江宁区横溪街道陶吴集镇金宁路38号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巫其进</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18051969066</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南京市江宁区东山街道上坊社区卫生服务中心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江宁区东山街道远泰路28号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贡小清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15150666783</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5</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南京市江宁区汤山街道社区卫生服务中心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江宁区汤山街道作厂路15号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侯杰</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13951983783</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南京市江宁区汤山街道上峰社区卫生服务中心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江宁区汤山街道上峰集镇红塔路1号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马燕鸣</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17368700130</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7</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南京市江宁区湖熟街道龙都社区卫生服务中心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江宁区湖熟街道东阳路2号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刘林</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13621594918</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8</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南京市江宁区湖熟街道社区卫生服务中心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江宁区湖熟街道灵顺南路120号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许斌</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15895912141</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9</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南京市江宁区谷里街道社区卫生服务中心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江宁区谷里街道邻里大道3号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刘志华</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18963612087</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10</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南京市江宁区横溪街道社区卫生服务中心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江宁区横溪街道新宁丹路东侧</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蒋小平</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18952013005</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11</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南京市江宁区禄口街道社区卫生服务中心</w:t>
            </w:r>
            <w:r/>
          </w:p>
        </w:tc>
        <w:tc>
          <w:tcPr>
            <w:tcW w:w="3579" w:type="dxa"/>
            <w:vAlign w:val="center"/>
            <w:textDirection w:val="lrTb"/>
            <w:noWrap w:val="false"/>
          </w:tcPr>
          <w:p>
            <w:pPr>
              <w:jc w:val="left"/>
              <w:keepLines w:val="0"/>
              <w:keepNext w:val="0"/>
              <w:spacing w:line="240" w:lineRule="auto"/>
              <w:widowControl/>
              <w:rPr>
                <w:color w:val="000000"/>
                <w:sz w:val="20"/>
                <w:szCs w:val="20"/>
              </w:rPr>
              <w:suppressLineNumbers w:val="0"/>
            </w:pPr>
            <w:r>
              <w:rPr>
                <w:rFonts w:hint="eastAsia" w:ascii="宋体" w:hAnsi="宋体" w:eastAsia="宋体" w:cs="宋体"/>
                <w:color w:val="000000"/>
                <w:sz w:val="22"/>
                <w:szCs w:val="22"/>
                <w:lang w:val="en-US" w:eastAsia="zh-CN" w:bidi="ar"/>
              </w:rPr>
              <w:t xml:space="preserve">江宁区禄口街道茅亭路</w:t>
            </w:r>
            <w:r>
              <w:rPr>
                <w:rFonts w:ascii="Arial" w:hAnsi="Arial" w:eastAsia="宋体" w:cs="Arial"/>
                <w:color w:val="333333"/>
                <w:sz w:val="20"/>
                <w:szCs w:val="20"/>
                <w:lang w:val="en-US" w:eastAsia="zh-CN" w:bidi="ar"/>
              </w:rPr>
              <w:t xml:space="preserve">218</w:t>
            </w:r>
            <w:r>
              <w:rPr>
                <w:rFonts w:hint="eastAsia" w:ascii="宋体" w:hAnsi="宋体" w:eastAsia="宋体" w:cs="宋体"/>
                <w:color w:val="333333"/>
                <w:sz w:val="20"/>
                <w:szCs w:val="20"/>
                <w:lang w:val="en-US" w:eastAsia="zh-CN" w:bidi="ar"/>
              </w:rPr>
              <w:t xml:space="preserve">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周正</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15365055721</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12</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南京市江宁区江宁街道陆郎社区卫生服务中心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江宁区陆郎府东南路11号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周健瑜</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15105176590</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13</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南京市江宁区秣陵街道百家湖社区卫生服务中心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江宁区前庄路266号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高小飞</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13584071777</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14</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南京市江宁区秣陵街道社区卫生服务中心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江宁区秣陵街道秣欣路2号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张学虎</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13770997414</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15</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南京市江宁区淳化街道土桥社区卫生服务中心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江宁区淳化街道土桥桂园西路170号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许伦超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18652018148</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16</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南京市江宁区麒麟街道社区卫生服务中心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江宁区开城路111号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刘亚龙</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13776575613</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17</w:t>
            </w:r>
            <w:r/>
          </w:p>
        </w:tc>
        <w:tc>
          <w:tcPr>
            <w:tcW w:w="5292" w:type="dxa"/>
            <w:vAlign w:val="center"/>
            <w:textDirection w:val="lrTb"/>
            <w:noWrap/>
          </w:tcPr>
          <w:p>
            <w:pPr>
              <w:jc w:val="left"/>
              <w:keepLines w:val="0"/>
              <w:keepNext w:val="0"/>
              <w:spacing w:line="240" w:lineRule="auto"/>
              <w:widowControl/>
              <w:rPr>
                <w:rFonts w:ascii="宋体" w:hAnsi="宋体" w:eastAsia="宋体" w:cs="宋体"/>
                <w:color w:val="000000"/>
                <w:sz w:val="24"/>
                <w:szCs w:val="24"/>
              </w:rPr>
              <w:suppressLineNumbers w:val="0"/>
            </w:pPr>
            <w:r>
              <w:rPr>
                <w:rFonts w:ascii="宋体" w:hAnsi="宋体" w:eastAsia="宋体" w:cs="宋体"/>
                <w:color w:val="000000"/>
                <w:sz w:val="24"/>
                <w:szCs w:val="24"/>
                <w:lang w:val="en-US" w:eastAsia="zh-CN" w:bidi="ar"/>
              </w:rPr>
              <w:t xml:space="preserve">南京市江宁区秣陵街道东善桥社区卫生服务中心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江宁区秣陵街道东善桥集镇康宁巷49号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马明华</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13851761069</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18</w:t>
            </w:r>
            <w:r/>
          </w:p>
        </w:tc>
        <w:tc>
          <w:tcPr>
            <w:tcW w:w="5292" w:type="dxa"/>
            <w:vAlign w:val="center"/>
            <w:textDirection w:val="lrTb"/>
            <w:noWrap/>
          </w:tcPr>
          <w:p>
            <w:pPr>
              <w:jc w:val="left"/>
              <w:keepLines w:val="0"/>
              <w:keepNext w:val="0"/>
              <w:spacing w:line="240" w:lineRule="auto"/>
              <w:widowControl/>
              <w:rPr>
                <w:rFonts w:ascii="宋体" w:hAnsi="宋体" w:eastAsia="宋体" w:cs="宋体"/>
                <w:color w:val="000000"/>
                <w:sz w:val="24"/>
                <w:szCs w:val="24"/>
              </w:rPr>
              <w:suppressLineNumbers w:val="0"/>
            </w:pPr>
            <w:r>
              <w:rPr>
                <w:rFonts w:ascii="宋体" w:hAnsi="宋体" w:eastAsia="宋体" w:cs="宋体"/>
                <w:color w:val="000000"/>
                <w:sz w:val="24"/>
                <w:szCs w:val="24"/>
                <w:lang w:val="en-US" w:eastAsia="zh-CN" w:bidi="ar"/>
              </w:rPr>
              <w:t xml:space="preserve">南京市江宁区湖熟街道周岗社区卫生服务中心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江宁区周岗社区齐尚路189号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何其飞</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13276673555</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19</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南京市江宁区江宁街道铜井社区卫生服务中心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江宁区江宁街道福兴街126号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朱鸣</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18994076655</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20</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南京市江宁区禄口街道铜山社区卫生服务中心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江宁区禄口街道铜岭路145号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陆振</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15850624959</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21</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南京市江宁区东山街道社区卫生服务中心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江宁区东山街道宏运大道1928号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邱荣超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15365038817</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22</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南京市江宁区江宁街道社区卫生服务中心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江宁区江宁街道瑜桥街130号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丁涵</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18994131852</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23</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南京市江宁区横溪街道丹阳社区卫生服务中心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江宁区秦城街江宁医疗集团丹阳医院</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费明清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18061238078</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24</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南京市江宁区淳化街道方山社区卫生服务中心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江宁区天元东路6号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贡征</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18952016611</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25</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南京市江宁区淳化街道社区卫生服务中心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江宁区淳化街道临川街</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许杨</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13770981882</w:t>
            </w:r>
            <w:r/>
          </w:p>
        </w:tc>
      </w:tr>
    </w:tbl>
    <w:p>
      <w:r/>
      <w:r/>
    </w:p>
    <w:sectPr>
      <w:footnotePr/>
      <w:endnotePr/>
      <w:type w:val="nextPage"/>
      <w:pgSz w:w="16838" w:h="11906" w:orient="landscape"/>
      <w:pgMar w:top="1587" w:right="1440" w:bottom="144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MS Mincho">
    <w:panose1 w:val="020206030504050903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r/>
  </w:p>
  <w:p>
    <w:pPr>
      <w:pStyle w:val="9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13</w:t>
    </w:r>
    <w:r>
      <w:rPr>
        <w:b/>
        <w:sz w:val="24"/>
        <w:szCs w:val="24"/>
      </w:rPr>
      <w:fldChar w:fldCharType="end"/>
    </w:r>
    <w:r/>
  </w:p>
  <w:p>
    <w:pPr>
      <w:pStyle w:val="91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21"/>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江宁区卫健委下属单位污水处理运维服务</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tabs>
          <w:tab w:val="left" w:pos="780" w:leader="none"/>
        </w:tabs>
      </w:pPr>
      <w:rPr>
        <w:rFonts w:ascii="Times New Roman" w:hAnsi="Times New Roman" w:cs="Times New Roman"/>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tab"/>
      <w:lvlText w:val="%1、"/>
      <w:lvlJc w:val="left"/>
      <w:pPr>
        <w:ind w:left="780" w:hanging="360"/>
        <w:tabs>
          <w:tab w:val="left" w:pos="78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2"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360" w:hanging="360"/>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720" w:hanging="720"/>
      </w:pPr>
      <w:rPr>
        <w:rFonts w:ascii="宋体" w:hAnsi="宋体" w:eastAsia="宋体" w:cs="宋体"/>
        <w:sz w:val="20"/>
        <w:szCs w:val="2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3"/>
  </w:num>
  <w:num w:numId="13">
    <w:abstractNumId w:val="3"/>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150"/>
    <w:uiPriority w:val="0"/>
    <w:qFormat/>
    <w:pPr>
      <w:jc w:val="both"/>
      <w:widowControl w:val="off"/>
    </w:pPr>
    <w:rPr>
      <w:rFonts w:hint="default" w:ascii="Times New Roman" w:hAnsi="Times New Roman" w:eastAsia="宋体" w:cs="Times New Roman"/>
      <w:sz w:val="21"/>
      <w:szCs w:val="24"/>
      <w:lang w:eastAsia="zh-CN"/>
    </w:rPr>
  </w:style>
  <w:style w:type="paragraph" w:styleId="822">
    <w:name w:val="Heading 1"/>
    <w:basedOn w:val="821"/>
    <w:next w:val="821"/>
    <w:link w:val="909"/>
    <w:uiPriority w:val="0"/>
    <w:qFormat/>
    <w:pPr>
      <w:ind w:left="100" w:right="100"/>
      <w:keepLines/>
      <w:keepNext/>
      <w:spacing w:before="120" w:after="120"/>
      <w:outlineLvl w:val="0"/>
    </w:pPr>
    <w:rPr>
      <w:b/>
      <w:bCs/>
      <w:szCs w:val="44"/>
    </w:rPr>
  </w:style>
  <w:style w:type="paragraph" w:styleId="823">
    <w:name w:val="Heading 2"/>
    <w:basedOn w:val="821"/>
    <w:next w:val="821"/>
    <w:link w:val="910"/>
    <w:uiPriority w:val="0"/>
    <w:qFormat/>
    <w:pPr>
      <w:keepLines/>
      <w:keepNext/>
      <w:spacing w:before="260" w:after="260" w:line="416" w:lineRule="auto"/>
      <w:outlineLvl w:val="1"/>
    </w:pPr>
    <w:rPr>
      <w:rFonts w:ascii="等线 Light" w:hAnsi="等线 Light" w:eastAsia="等线 Light"/>
      <w:b/>
      <w:bCs/>
      <w:sz w:val="32"/>
      <w:szCs w:val="32"/>
    </w:rPr>
  </w:style>
  <w:style w:type="paragraph" w:styleId="824">
    <w:name w:val="Heading 3"/>
    <w:basedOn w:val="821"/>
    <w:next w:val="821"/>
    <w:link w:val="911"/>
    <w:uiPriority w:val="9"/>
    <w:qFormat/>
    <w:pPr>
      <w:keepLines/>
      <w:keepNext/>
      <w:spacing w:before="260" w:after="260" w:line="416" w:lineRule="auto"/>
      <w:outlineLvl w:val="2"/>
    </w:pPr>
    <w:rPr>
      <w:b/>
      <w:bCs/>
      <w:sz w:val="32"/>
      <w:szCs w:val="32"/>
    </w:rPr>
  </w:style>
  <w:style w:type="paragraph" w:styleId="825">
    <w:name w:val="Heading 4"/>
    <w:basedOn w:val="821"/>
    <w:next w:val="821"/>
    <w:link w:val="912"/>
    <w:uiPriority w:val="0"/>
    <w:qFormat/>
    <w:pPr>
      <w:keepLines/>
      <w:keepNext/>
      <w:spacing w:before="280" w:after="290" w:line="376" w:lineRule="auto"/>
      <w:outlineLvl w:val="3"/>
    </w:pPr>
    <w:rPr>
      <w:rFonts w:ascii="等线 Light" w:hAnsi="等线 Light" w:eastAsia="等线 Light"/>
      <w:b/>
      <w:bCs/>
      <w:sz w:val="28"/>
      <w:szCs w:val="28"/>
    </w:rPr>
  </w:style>
  <w:style w:type="paragraph" w:styleId="826">
    <w:name w:val="Heading 5"/>
    <w:basedOn w:val="821"/>
    <w:next w:val="821"/>
    <w:link w:val="913"/>
    <w:uiPriority w:val="9"/>
    <w:unhideWhenUsed/>
    <w:qFormat/>
    <w:pPr>
      <w:keepLines/>
      <w:keepNext/>
      <w:spacing w:before="320" w:after="200"/>
      <w:outlineLvl w:val="4"/>
    </w:pPr>
    <w:rPr>
      <w:rFonts w:ascii="Arial" w:hAnsi="Arial" w:eastAsia="Arial" w:cs="Arial"/>
      <w:b/>
      <w:bCs/>
      <w:sz w:val="24"/>
    </w:rPr>
  </w:style>
  <w:style w:type="paragraph" w:styleId="827">
    <w:name w:val="Heading 6"/>
    <w:basedOn w:val="821"/>
    <w:next w:val="821"/>
    <w:link w:val="914"/>
    <w:uiPriority w:val="0"/>
    <w:qFormat/>
    <w:pPr>
      <w:keepLines/>
      <w:keepNext/>
      <w:spacing w:before="240" w:after="64" w:line="320" w:lineRule="auto"/>
      <w:outlineLvl w:val="5"/>
    </w:pPr>
    <w:rPr>
      <w:rFonts w:ascii="等线 Light" w:hAnsi="等线 Light" w:eastAsia="等线 Light"/>
      <w:b/>
      <w:bCs/>
      <w:sz w:val="24"/>
    </w:rPr>
  </w:style>
  <w:style w:type="paragraph" w:styleId="828">
    <w:name w:val="Heading 7"/>
    <w:basedOn w:val="821"/>
    <w:next w:val="821"/>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916"/>
    <w:uiPriority w:val="0"/>
    <w:qFormat/>
    <w:pPr>
      <w:keepLines/>
      <w:keepNext/>
      <w:spacing w:before="240" w:after="64" w:line="320" w:lineRule="auto"/>
      <w:outlineLvl w:val="7"/>
    </w:pPr>
    <w:rPr>
      <w:rFonts w:ascii="等线 Light" w:hAnsi="等线 Light" w:eastAsia="等线 Light"/>
      <w:sz w:val="24"/>
    </w:rPr>
  </w:style>
  <w:style w:type="paragraph" w:styleId="830">
    <w:name w:val="Heading 9"/>
    <w:basedOn w:val="821"/>
    <w:next w:val="821"/>
    <w:link w:val="917"/>
    <w:uiPriority w:val="9"/>
    <w:unhideWhenUsed/>
    <w:qFormat/>
    <w:pPr>
      <w:keepLines/>
      <w:keepNext/>
      <w:spacing w:before="320" w:after="200"/>
      <w:outlineLvl w:val="8"/>
    </w:pPr>
    <w:rPr>
      <w:rFonts w:ascii="Arial" w:hAnsi="Arial" w:eastAsia="Arial" w:cs="Arial"/>
      <w:i/>
      <w:iCs/>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toc 7"/>
    <w:basedOn w:val="821"/>
    <w:next w:val="821"/>
    <w:uiPriority w:val="39"/>
    <w:unhideWhenUsed/>
    <w:qFormat/>
    <w:pPr>
      <w:ind w:left="1701" w:right="0" w:firstLine="0"/>
      <w:spacing w:after="57"/>
    </w:pPr>
  </w:style>
  <w:style w:type="paragraph" w:styleId="834">
    <w:name w:val="Caption"/>
    <w:basedOn w:val="821"/>
    <w:next w:val="8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5">
    <w:name w:val="annotation text"/>
    <w:basedOn w:val="821"/>
    <w:uiPriority w:val="99"/>
    <w:semiHidden/>
    <w:unhideWhenUsed/>
    <w:qFormat/>
    <w:pPr>
      <w:jc w:val="left"/>
    </w:pPr>
  </w:style>
  <w:style w:type="paragraph" w:styleId="836">
    <w:name w:val="toc 5"/>
    <w:basedOn w:val="821"/>
    <w:next w:val="821"/>
    <w:uiPriority w:val="39"/>
    <w:unhideWhenUsed/>
    <w:qFormat/>
    <w:pPr>
      <w:ind w:left="1134" w:right="0" w:firstLine="0"/>
      <w:spacing w:after="57"/>
    </w:pPr>
  </w:style>
  <w:style w:type="paragraph" w:styleId="837">
    <w:name w:val="toc 3"/>
    <w:basedOn w:val="821"/>
    <w:next w:val="821"/>
    <w:uiPriority w:val="39"/>
    <w:unhideWhenUsed/>
    <w:qFormat/>
    <w:pPr>
      <w:ind w:left="567" w:right="0" w:firstLine="0"/>
      <w:spacing w:after="57"/>
    </w:pPr>
  </w:style>
  <w:style w:type="paragraph" w:styleId="838">
    <w:name w:val="Plain Text"/>
    <w:basedOn w:val="821"/>
    <w:uiPriority w:val="0"/>
    <w:qFormat/>
    <w:rPr>
      <w:rFonts w:ascii="宋体" w:hAnsi="Courier New" w:cs="Courier New"/>
      <w:szCs w:val="21"/>
    </w:rPr>
  </w:style>
  <w:style w:type="paragraph" w:styleId="839">
    <w:name w:val="toc 8"/>
    <w:basedOn w:val="821"/>
    <w:next w:val="821"/>
    <w:uiPriority w:val="39"/>
    <w:unhideWhenUsed/>
    <w:qFormat/>
    <w:pPr>
      <w:ind w:left="1984" w:right="0" w:firstLine="0"/>
      <w:spacing w:after="57"/>
    </w:pPr>
  </w:style>
  <w:style w:type="paragraph" w:styleId="840">
    <w:name w:val="endnote text"/>
    <w:basedOn w:val="821"/>
    <w:uiPriority w:val="99"/>
    <w:semiHidden/>
    <w:unhideWhenUsed/>
    <w:qFormat/>
    <w:pPr>
      <w:spacing w:after="0" w:line="240" w:lineRule="auto"/>
    </w:pPr>
    <w:rPr>
      <w:sz w:val="20"/>
    </w:rPr>
  </w:style>
  <w:style w:type="paragraph" w:styleId="841">
    <w:name w:val="Footer"/>
    <w:basedOn w:val="821"/>
    <w:uiPriority w:val="99"/>
    <w:unhideWhenUsed/>
    <w:qFormat/>
    <w:pPr>
      <w:spacing w:after="0" w:line="240" w:lineRule="auto"/>
      <w:tabs>
        <w:tab w:val="center" w:pos="7143" w:leader="none"/>
        <w:tab w:val="right" w:pos="14287" w:leader="none"/>
      </w:tabs>
    </w:pPr>
  </w:style>
  <w:style w:type="paragraph" w:styleId="842">
    <w:name w:val="Header"/>
    <w:basedOn w:val="821"/>
    <w:uiPriority w:val="99"/>
    <w:unhideWhenUsed/>
    <w:qFormat/>
    <w:pPr>
      <w:spacing w:after="0" w:line="240" w:lineRule="auto"/>
      <w:tabs>
        <w:tab w:val="center" w:pos="7143" w:leader="none"/>
        <w:tab w:val="right" w:pos="14287" w:leader="none"/>
      </w:tabs>
    </w:pPr>
  </w:style>
  <w:style w:type="paragraph" w:styleId="843">
    <w:name w:val="toc 1"/>
    <w:basedOn w:val="821"/>
    <w:next w:val="821"/>
    <w:uiPriority w:val="39"/>
    <w:unhideWhenUsed/>
    <w:qFormat/>
    <w:pPr>
      <w:ind w:left="0" w:right="0" w:firstLine="0"/>
      <w:spacing w:after="57"/>
    </w:pPr>
  </w:style>
  <w:style w:type="paragraph" w:styleId="844">
    <w:name w:val="toc 4"/>
    <w:basedOn w:val="821"/>
    <w:next w:val="821"/>
    <w:uiPriority w:val="39"/>
    <w:unhideWhenUsed/>
    <w:qFormat/>
    <w:pPr>
      <w:ind w:left="850" w:right="0" w:firstLine="0"/>
      <w:spacing w:after="57"/>
    </w:pPr>
  </w:style>
  <w:style w:type="paragraph" w:styleId="845">
    <w:name w:val="Subtitle"/>
    <w:basedOn w:val="821"/>
    <w:next w:val="821"/>
    <w:uiPriority w:val="11"/>
    <w:qFormat/>
    <w:pPr>
      <w:spacing w:before="200" w:after="200"/>
    </w:pPr>
    <w:rPr>
      <w:sz w:val="24"/>
      <w:szCs w:val="24"/>
    </w:rPr>
  </w:style>
  <w:style w:type="paragraph" w:styleId="846">
    <w:name w:val="footnote text"/>
    <w:basedOn w:val="821"/>
    <w:uiPriority w:val="99"/>
    <w:semiHidden/>
    <w:unhideWhenUsed/>
    <w:qFormat/>
    <w:pPr>
      <w:spacing w:after="40" w:line="240" w:lineRule="auto"/>
    </w:pPr>
    <w:rPr>
      <w:sz w:val="18"/>
    </w:rPr>
  </w:style>
  <w:style w:type="paragraph" w:styleId="847">
    <w:name w:val="toc 6"/>
    <w:basedOn w:val="821"/>
    <w:next w:val="821"/>
    <w:uiPriority w:val="39"/>
    <w:unhideWhenUsed/>
    <w:qFormat/>
    <w:pPr>
      <w:ind w:left="1417" w:right="0" w:firstLine="0"/>
      <w:spacing w:after="57"/>
    </w:pPr>
  </w:style>
  <w:style w:type="paragraph" w:styleId="848">
    <w:name w:val="table of figures"/>
    <w:basedOn w:val="821"/>
    <w:next w:val="821"/>
    <w:uiPriority w:val="99"/>
    <w:unhideWhenUsed/>
    <w:qFormat/>
    <w:pPr>
      <w:spacing w:after="0" w:afterAutospacing="0"/>
    </w:pPr>
  </w:style>
  <w:style w:type="paragraph" w:styleId="849">
    <w:name w:val="toc 2"/>
    <w:basedOn w:val="821"/>
    <w:next w:val="821"/>
    <w:uiPriority w:val="39"/>
    <w:unhideWhenUsed/>
    <w:qFormat/>
    <w:pPr>
      <w:ind w:left="283" w:right="0" w:firstLine="0"/>
      <w:spacing w:after="57"/>
    </w:pPr>
  </w:style>
  <w:style w:type="paragraph" w:styleId="850">
    <w:name w:val="toc 9"/>
    <w:basedOn w:val="821"/>
    <w:next w:val="821"/>
    <w:uiPriority w:val="39"/>
    <w:unhideWhenUsed/>
    <w:qFormat/>
    <w:pPr>
      <w:ind w:left="2268" w:right="0" w:firstLine="0"/>
      <w:spacing w:after="57"/>
    </w:pPr>
  </w:style>
  <w:style w:type="paragraph" w:styleId="851">
    <w:name w:val="Title"/>
    <w:basedOn w:val="821"/>
    <w:next w:val="821"/>
    <w:uiPriority w:val="10"/>
    <w:qFormat/>
    <w:pPr>
      <w:contextualSpacing/>
      <w:spacing w:before="300" w:after="200"/>
    </w:pPr>
    <w:rPr>
      <w:sz w:val="48"/>
      <w:szCs w:val="48"/>
    </w:rPr>
  </w:style>
  <w:style w:type="table" w:styleId="8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footnote reference"/>
    <w:uiPriority w:val="99"/>
    <w:unhideWhenUsed/>
    <w:qFormat/>
    <w:rPr>
      <w:vertAlign w:val="superscript"/>
    </w:rPr>
  </w:style>
  <w:style w:type="character" w:styleId="856" w:customStyle="1">
    <w:name w:val="默认段落字体1"/>
    <w:link w:val="821"/>
    <w:uiPriority w:val="1"/>
    <w:unhideWhenUsed/>
    <w:qFormat/>
  </w:style>
  <w:style w:type="table" w:styleId="857" w:customStyle="1">
    <w:name w:val="普通表格1"/>
    <w:uiPriority w:val="99"/>
    <w:unhideWhenUsed/>
    <w:qFormat/>
    <w:tblPr/>
  </w:style>
  <w:style w:type="paragraph" w:styleId="858" w:customStyle="1">
    <w:name w:val="列表 31"/>
    <w:basedOn w:val="821"/>
    <w:uiPriority w:val="0"/>
    <w:qFormat/>
    <w:pPr>
      <w:contextualSpacing/>
      <w:ind w:left="100" w:hanging="200"/>
      <w:jc w:val="left"/>
      <w:widowControl/>
    </w:pPr>
    <w:rPr>
      <w:sz w:val="20"/>
      <w:szCs w:val="20"/>
    </w:rPr>
  </w:style>
  <w:style w:type="paragraph" w:styleId="859" w:customStyle="1">
    <w:name w:val="目录 711"/>
    <w:basedOn w:val="821"/>
    <w:next w:val="821"/>
    <w:uiPriority w:val="39"/>
    <w:unhideWhenUsed/>
    <w:qFormat/>
    <w:pPr>
      <w:ind w:left="1701"/>
      <w:spacing w:after="57"/>
    </w:pPr>
  </w:style>
  <w:style w:type="paragraph" w:styleId="860" w:customStyle="1">
    <w:name w:val="正文缩进11"/>
    <w:basedOn w:val="821"/>
    <w:next w:val="821"/>
    <w:link w:val="861"/>
    <w:uiPriority w:val="99"/>
    <w:qFormat/>
    <w:pPr>
      <w:ind w:firstLine="420"/>
    </w:pPr>
    <w:rPr>
      <w:szCs w:val="20"/>
    </w:rPr>
  </w:style>
  <w:style w:type="character" w:styleId="861" w:customStyle="1">
    <w:name w:val="正文缩进 字符"/>
    <w:link w:val="860"/>
    <w:uiPriority w:val="0"/>
    <w:qFormat/>
    <w:rPr>
      <w:sz w:val="21"/>
    </w:rPr>
  </w:style>
  <w:style w:type="paragraph" w:styleId="862" w:customStyle="1">
    <w:name w:val="文档结构图1"/>
    <w:basedOn w:val="821"/>
    <w:link w:val="863"/>
    <w:uiPriority w:val="0"/>
    <w:qFormat/>
    <w:pPr>
      <w:shd w:val="clear" w:color="auto" w:fill="000080"/>
    </w:pPr>
  </w:style>
  <w:style w:type="character" w:styleId="863" w:customStyle="1">
    <w:name w:val="文档结构图 字符"/>
    <w:link w:val="862"/>
    <w:uiPriority w:val="0"/>
    <w:qFormat/>
    <w:rPr>
      <w:sz w:val="21"/>
      <w:szCs w:val="24"/>
      <w:shd w:val="clear" w:color="auto" w:fill="000080"/>
    </w:rPr>
  </w:style>
  <w:style w:type="paragraph" w:styleId="864" w:customStyle="1">
    <w:name w:val="批注文字1"/>
    <w:basedOn w:val="821"/>
    <w:link w:val="865"/>
    <w:uiPriority w:val="0"/>
    <w:qFormat/>
    <w:pPr>
      <w:jc w:val="left"/>
    </w:pPr>
  </w:style>
  <w:style w:type="character" w:styleId="865" w:customStyle="1">
    <w:name w:val="批注文字 字符"/>
    <w:link w:val="864"/>
    <w:uiPriority w:val="0"/>
    <w:qFormat/>
    <w:rPr>
      <w:sz w:val="21"/>
      <w:szCs w:val="24"/>
    </w:rPr>
  </w:style>
  <w:style w:type="paragraph" w:styleId="866" w:customStyle="1">
    <w:name w:val="正文文本111"/>
    <w:basedOn w:val="821"/>
    <w:link w:val="867"/>
    <w:uiPriority w:val="1"/>
    <w:qFormat/>
    <w:pPr>
      <w:spacing w:after="120"/>
    </w:pPr>
  </w:style>
  <w:style w:type="character" w:styleId="867" w:customStyle="1">
    <w:name w:val="正文文本 字符"/>
    <w:link w:val="866"/>
    <w:uiPriority w:val="1"/>
    <w:qFormat/>
    <w:rPr>
      <w:sz w:val="21"/>
      <w:szCs w:val="24"/>
    </w:rPr>
  </w:style>
  <w:style w:type="paragraph" w:styleId="868" w:customStyle="1">
    <w:name w:val="正文文本缩进1"/>
    <w:basedOn w:val="821"/>
    <w:next w:val="869"/>
    <w:uiPriority w:val="0"/>
    <w:qFormat/>
    <w:pPr>
      <w:ind w:left="420"/>
      <w:spacing w:after="120"/>
    </w:pPr>
  </w:style>
  <w:style w:type="paragraph" w:styleId="869" w:customStyle="1">
    <w:name w:val="寄信人地址1"/>
    <w:basedOn w:val="821"/>
    <w:uiPriority w:val="0"/>
    <w:qFormat/>
    <w:rPr>
      <w:rFonts w:ascii="Arial" w:hAnsi="Arial"/>
    </w:rPr>
  </w:style>
  <w:style w:type="paragraph" w:styleId="870" w:customStyle="1">
    <w:name w:val="索引 41"/>
    <w:basedOn w:val="821"/>
    <w:next w:val="821"/>
    <w:uiPriority w:val="99"/>
    <w:unhideWhenUsed/>
    <w:qFormat/>
    <w:pPr>
      <w:ind w:left="600"/>
    </w:pPr>
    <w:rPr>
      <w:rFonts w:ascii="宋体"/>
      <w:b/>
      <w:position w:val="-10"/>
      <w:sz w:val="24"/>
      <w:szCs w:val="20"/>
    </w:rPr>
  </w:style>
  <w:style w:type="paragraph" w:styleId="871" w:customStyle="1">
    <w:name w:val="目录 511"/>
    <w:basedOn w:val="821"/>
    <w:next w:val="821"/>
    <w:uiPriority w:val="39"/>
    <w:unhideWhenUsed/>
    <w:qFormat/>
    <w:pPr>
      <w:ind w:left="1134"/>
      <w:spacing w:after="57"/>
    </w:pPr>
  </w:style>
  <w:style w:type="paragraph" w:styleId="872" w:customStyle="1">
    <w:name w:val="目录 311"/>
    <w:basedOn w:val="821"/>
    <w:next w:val="821"/>
    <w:uiPriority w:val="39"/>
    <w:unhideWhenUsed/>
    <w:qFormat/>
    <w:pPr>
      <w:ind w:left="567"/>
      <w:spacing w:after="57"/>
    </w:pPr>
  </w:style>
  <w:style w:type="paragraph" w:styleId="873" w:customStyle="1">
    <w:name w:val="纯文本11"/>
    <w:basedOn w:val="821"/>
    <w:link w:val="874"/>
    <w:uiPriority w:val="0"/>
    <w:qFormat/>
    <w:rPr>
      <w:rFonts w:ascii="宋体" w:hAnsi="Courier New" w:cs="Courier New"/>
      <w:szCs w:val="21"/>
    </w:rPr>
  </w:style>
  <w:style w:type="character" w:styleId="874" w:customStyle="1">
    <w:name w:val="纯文本 字符"/>
    <w:link w:val="873"/>
    <w:uiPriority w:val="0"/>
    <w:qFormat/>
    <w:rPr>
      <w:rFonts w:ascii="宋体" w:hAnsi="Courier New" w:cs="Courier New"/>
      <w:sz w:val="21"/>
      <w:szCs w:val="21"/>
    </w:rPr>
  </w:style>
  <w:style w:type="paragraph" w:styleId="875" w:customStyle="1">
    <w:name w:val="目录 811"/>
    <w:basedOn w:val="821"/>
    <w:next w:val="821"/>
    <w:uiPriority w:val="39"/>
    <w:unhideWhenUsed/>
    <w:qFormat/>
    <w:pPr>
      <w:ind w:left="1984"/>
      <w:spacing w:after="57"/>
    </w:pPr>
  </w:style>
  <w:style w:type="paragraph" w:styleId="876" w:customStyle="1">
    <w:name w:val="日期1"/>
    <w:basedOn w:val="821"/>
    <w:next w:val="821"/>
    <w:link w:val="877"/>
    <w:uiPriority w:val="0"/>
    <w:qFormat/>
    <w:rPr>
      <w:sz w:val="24"/>
      <w:szCs w:val="20"/>
    </w:rPr>
  </w:style>
  <w:style w:type="character" w:styleId="877" w:customStyle="1">
    <w:name w:val="日期 字符"/>
    <w:link w:val="876"/>
    <w:uiPriority w:val="0"/>
    <w:qFormat/>
    <w:rPr>
      <w:sz w:val="24"/>
    </w:rPr>
  </w:style>
  <w:style w:type="paragraph" w:styleId="878" w:customStyle="1">
    <w:name w:val="尾注文本1"/>
    <w:basedOn w:val="821"/>
    <w:link w:val="879"/>
    <w:uiPriority w:val="99"/>
    <w:unhideWhenUsed/>
    <w:qFormat/>
    <w:rPr>
      <w:sz w:val="20"/>
    </w:rPr>
  </w:style>
  <w:style w:type="character" w:styleId="879" w:customStyle="1">
    <w:name w:val="尾注文本 字符"/>
    <w:link w:val="878"/>
    <w:uiPriority w:val="99"/>
    <w:qFormat/>
    <w:rPr>
      <w:sz w:val="20"/>
    </w:rPr>
  </w:style>
  <w:style w:type="paragraph" w:styleId="880" w:customStyle="1">
    <w:name w:val="批注框文本1"/>
    <w:basedOn w:val="821"/>
    <w:link w:val="881"/>
    <w:uiPriority w:val="0"/>
    <w:qFormat/>
    <w:rPr>
      <w:sz w:val="18"/>
      <w:szCs w:val="18"/>
    </w:rPr>
  </w:style>
  <w:style w:type="character" w:styleId="881" w:customStyle="1">
    <w:name w:val="批注框文本 字符"/>
    <w:link w:val="880"/>
    <w:uiPriority w:val="0"/>
    <w:qFormat/>
    <w:rPr>
      <w:sz w:val="18"/>
      <w:szCs w:val="18"/>
    </w:rPr>
  </w:style>
  <w:style w:type="paragraph" w:styleId="882" w:customStyle="1">
    <w:name w:val="目录 111"/>
    <w:basedOn w:val="821"/>
    <w:next w:val="821"/>
    <w:uiPriority w:val="39"/>
    <w:unhideWhenUsed/>
    <w:qFormat/>
    <w:pPr>
      <w:spacing w:after="57"/>
    </w:pPr>
  </w:style>
  <w:style w:type="paragraph" w:styleId="883" w:customStyle="1">
    <w:name w:val="目录 411"/>
    <w:basedOn w:val="821"/>
    <w:next w:val="821"/>
    <w:uiPriority w:val="39"/>
    <w:unhideWhenUsed/>
    <w:qFormat/>
    <w:pPr>
      <w:ind w:left="850"/>
      <w:spacing w:after="57"/>
    </w:pPr>
  </w:style>
  <w:style w:type="paragraph" w:styleId="884" w:customStyle="1">
    <w:name w:val="副标题1"/>
    <w:basedOn w:val="821"/>
    <w:next w:val="821"/>
    <w:link w:val="885"/>
    <w:uiPriority w:val="11"/>
    <w:qFormat/>
    <w:pPr>
      <w:spacing w:before="200" w:after="200"/>
    </w:pPr>
    <w:rPr>
      <w:sz w:val="24"/>
    </w:rPr>
  </w:style>
  <w:style w:type="character" w:styleId="885" w:customStyle="1">
    <w:name w:val="副标题 字符"/>
    <w:basedOn w:val="856"/>
    <w:link w:val="884"/>
    <w:uiPriority w:val="11"/>
    <w:qFormat/>
    <w:rPr>
      <w:sz w:val="24"/>
      <w:szCs w:val="24"/>
    </w:rPr>
  </w:style>
  <w:style w:type="paragraph" w:styleId="886" w:customStyle="1">
    <w:name w:val="脚注文本1"/>
    <w:basedOn w:val="821"/>
    <w:link w:val="887"/>
    <w:uiPriority w:val="99"/>
    <w:unhideWhenUsed/>
    <w:qFormat/>
    <w:pPr>
      <w:spacing w:after="40"/>
    </w:pPr>
    <w:rPr>
      <w:sz w:val="18"/>
    </w:rPr>
  </w:style>
  <w:style w:type="character" w:styleId="887" w:customStyle="1">
    <w:name w:val="脚注文本 字符"/>
    <w:link w:val="886"/>
    <w:uiPriority w:val="99"/>
    <w:qFormat/>
    <w:rPr>
      <w:sz w:val="18"/>
    </w:rPr>
  </w:style>
  <w:style w:type="paragraph" w:styleId="888" w:customStyle="1">
    <w:name w:val="目录 611"/>
    <w:basedOn w:val="821"/>
    <w:next w:val="821"/>
    <w:uiPriority w:val="39"/>
    <w:unhideWhenUsed/>
    <w:qFormat/>
    <w:pPr>
      <w:ind w:left="1417"/>
      <w:spacing w:after="57"/>
    </w:pPr>
  </w:style>
  <w:style w:type="paragraph" w:styleId="889" w:customStyle="1">
    <w:name w:val="图表目录1"/>
    <w:basedOn w:val="821"/>
    <w:next w:val="821"/>
    <w:uiPriority w:val="99"/>
    <w:unhideWhenUsed/>
    <w:qFormat/>
  </w:style>
  <w:style w:type="paragraph" w:styleId="890" w:customStyle="1">
    <w:name w:val="目录 211"/>
    <w:basedOn w:val="821"/>
    <w:next w:val="821"/>
    <w:uiPriority w:val="99"/>
    <w:semiHidden/>
    <w:qFormat/>
    <w:pPr>
      <w:ind w:left="420"/>
    </w:pPr>
    <w:rPr>
      <w:rFonts w:eastAsia="楷体_GB2312"/>
      <w:sz w:val="26"/>
      <w:szCs w:val="26"/>
    </w:rPr>
  </w:style>
  <w:style w:type="paragraph" w:styleId="891" w:customStyle="1">
    <w:name w:val="目录 911"/>
    <w:basedOn w:val="821"/>
    <w:next w:val="821"/>
    <w:uiPriority w:val="39"/>
    <w:unhideWhenUsed/>
    <w:qFormat/>
    <w:pPr>
      <w:ind w:left="2268"/>
      <w:spacing w:after="57"/>
    </w:pPr>
  </w:style>
  <w:style w:type="paragraph" w:styleId="892" w:customStyle="1">
    <w:name w:val="正文文本 21"/>
    <w:basedOn w:val="821"/>
    <w:link w:val="893"/>
    <w:uiPriority w:val="0"/>
    <w:qFormat/>
    <w:pPr>
      <w:spacing w:after="120" w:line="480" w:lineRule="auto"/>
    </w:pPr>
    <w:rPr>
      <w:rFonts w:ascii="Calibri" w:hAnsi="Calibri"/>
    </w:rPr>
  </w:style>
  <w:style w:type="character" w:styleId="893" w:customStyle="1">
    <w:name w:val="正文文本 2 字符"/>
    <w:link w:val="892"/>
    <w:uiPriority w:val="0"/>
    <w:qFormat/>
    <w:rPr>
      <w:rFonts w:ascii="Calibri" w:hAnsi="Calibri"/>
      <w:sz w:val="21"/>
      <w:szCs w:val="24"/>
    </w:rPr>
  </w:style>
  <w:style w:type="paragraph" w:styleId="894" w:customStyle="1">
    <w:name w:val="普通(网站)1"/>
    <w:basedOn w:val="821"/>
    <w:uiPriority w:val="99"/>
    <w:qFormat/>
    <w:pPr>
      <w:jc w:val="left"/>
      <w:spacing w:before="100" w:beforeAutospacing="1" w:after="100" w:afterAutospacing="1"/>
      <w:widowControl/>
    </w:pPr>
    <w:rPr>
      <w:sz w:val="24"/>
    </w:rPr>
  </w:style>
  <w:style w:type="paragraph" w:styleId="895" w:customStyle="1">
    <w:name w:val="标题1"/>
    <w:basedOn w:val="821"/>
    <w:next w:val="821"/>
    <w:link w:val="896"/>
    <w:uiPriority w:val="0"/>
    <w:qFormat/>
    <w:pPr>
      <w:jc w:val="center"/>
      <w:spacing w:before="240" w:after="60" w:line="360" w:lineRule="auto"/>
      <w:outlineLvl w:val="0"/>
    </w:pPr>
    <w:rPr>
      <w:rFonts w:ascii="等线 Light" w:hAnsi="等线 Light"/>
      <w:b/>
      <w:bCs/>
      <w:sz w:val="32"/>
      <w:szCs w:val="32"/>
    </w:rPr>
  </w:style>
  <w:style w:type="character" w:styleId="896" w:customStyle="1">
    <w:name w:val="标题 字符"/>
    <w:link w:val="895"/>
    <w:uiPriority w:val="0"/>
    <w:qFormat/>
    <w:rPr>
      <w:rFonts w:ascii="等线 Light" w:hAnsi="等线 Light" w:eastAsia="宋体" w:cs="Times New Roman"/>
      <w:b/>
      <w:bCs/>
      <w:sz w:val="32"/>
      <w:szCs w:val="32"/>
    </w:rPr>
  </w:style>
  <w:style w:type="paragraph" w:styleId="897" w:customStyle="1">
    <w:name w:val="批注主题1"/>
    <w:basedOn w:val="864"/>
    <w:next w:val="864"/>
    <w:link w:val="898"/>
    <w:uiPriority w:val="0"/>
    <w:qFormat/>
    <w:rPr>
      <w:b/>
      <w:bCs/>
    </w:rPr>
  </w:style>
  <w:style w:type="character" w:styleId="898" w:customStyle="1">
    <w:name w:val="批注主题 字符"/>
    <w:link w:val="897"/>
    <w:uiPriority w:val="0"/>
    <w:qFormat/>
    <w:rPr>
      <w:b/>
      <w:bCs/>
      <w:sz w:val="21"/>
      <w:szCs w:val="24"/>
    </w:rPr>
  </w:style>
  <w:style w:type="paragraph" w:styleId="899" w:customStyle="1">
    <w:name w:val="正文首行缩进1"/>
    <w:basedOn w:val="866"/>
    <w:next w:val="900"/>
    <w:uiPriority w:val="0"/>
    <w:qFormat/>
    <w:pPr>
      <w:ind w:firstLine="420"/>
      <w:spacing w:line="360" w:lineRule="auto"/>
    </w:pPr>
    <w:rPr>
      <w:szCs w:val="21"/>
    </w:rPr>
  </w:style>
  <w:style w:type="paragraph" w:styleId="900" w:customStyle="1">
    <w:name w:val="正文首行缩进 21"/>
    <w:basedOn w:val="868"/>
    <w:next w:val="821"/>
    <w:uiPriority w:val="0"/>
    <w:qFormat/>
    <w:pPr>
      <w:ind w:firstLine="420"/>
    </w:pPr>
  </w:style>
  <w:style w:type="table" w:styleId="901" w:customStyle="1">
    <w:name w:val="网格型1"/>
    <w:basedOn w:val="857"/>
    <w:uiPriority w:val="0"/>
    <w:qFormat/>
    <w:pPr>
      <w:jc w:val="both"/>
      <w:widowControl w:val="off"/>
    </w:pPr>
    <w:tblPr/>
  </w:style>
  <w:style w:type="character" w:styleId="902" w:customStyle="1">
    <w:name w:val="要点1"/>
    <w:link w:val="821"/>
    <w:uiPriority w:val="0"/>
    <w:qFormat/>
    <w:rPr>
      <w:b/>
      <w:bCs/>
    </w:rPr>
  </w:style>
  <w:style w:type="character" w:styleId="903" w:customStyle="1">
    <w:name w:val="尾注引用1"/>
    <w:basedOn w:val="856"/>
    <w:link w:val="821"/>
    <w:uiPriority w:val="99"/>
    <w:unhideWhenUsed/>
    <w:qFormat/>
    <w:rPr>
      <w:vertAlign w:val="superscript"/>
    </w:rPr>
  </w:style>
  <w:style w:type="character" w:styleId="904" w:customStyle="1">
    <w:name w:val="页码1"/>
    <w:link w:val="821"/>
    <w:uiPriority w:val="0"/>
    <w:qFormat/>
  </w:style>
  <w:style w:type="character" w:styleId="905" w:customStyle="1">
    <w:name w:val="强调1"/>
    <w:link w:val="821"/>
    <w:uiPriority w:val="0"/>
    <w:qFormat/>
    <w:rPr>
      <w:i/>
      <w:iCs/>
    </w:rPr>
  </w:style>
  <w:style w:type="character" w:styleId="906" w:customStyle="1">
    <w:name w:val="超链接1"/>
    <w:link w:val="821"/>
    <w:uiPriority w:val="99"/>
    <w:qFormat/>
    <w:rPr>
      <w:color w:val="000000"/>
      <w:u w:val="none"/>
    </w:rPr>
  </w:style>
  <w:style w:type="character" w:styleId="907" w:customStyle="1">
    <w:name w:val="批注引用1"/>
    <w:link w:val="821"/>
    <w:uiPriority w:val="0"/>
    <w:qFormat/>
    <w:rPr>
      <w:sz w:val="21"/>
      <w:szCs w:val="21"/>
    </w:rPr>
  </w:style>
  <w:style w:type="character" w:styleId="908" w:customStyle="1">
    <w:name w:val="脚注引用1"/>
    <w:basedOn w:val="856"/>
    <w:link w:val="821"/>
    <w:uiPriority w:val="99"/>
    <w:unhideWhenUsed/>
    <w:qFormat/>
    <w:rPr>
      <w:vertAlign w:val="superscript"/>
    </w:rPr>
  </w:style>
  <w:style w:type="character" w:styleId="909" w:customStyle="1">
    <w:name w:val="标题 1 字符"/>
    <w:link w:val="822"/>
    <w:uiPriority w:val="0"/>
    <w:qFormat/>
    <w:rPr>
      <w:b/>
      <w:bCs/>
      <w:sz w:val="21"/>
      <w:szCs w:val="44"/>
    </w:rPr>
  </w:style>
  <w:style w:type="character" w:styleId="910" w:customStyle="1">
    <w:name w:val="标题 2 字符"/>
    <w:link w:val="823"/>
    <w:uiPriority w:val="0"/>
    <w:semiHidden/>
    <w:qFormat/>
    <w:rPr>
      <w:rFonts w:ascii="等线 Light" w:hAnsi="等线 Light" w:eastAsia="等线 Light" w:cs="Times New Roman"/>
      <w:b/>
      <w:bCs/>
      <w:sz w:val="32"/>
      <w:szCs w:val="32"/>
    </w:rPr>
  </w:style>
  <w:style w:type="character" w:styleId="911" w:customStyle="1">
    <w:name w:val="标题 3 字符"/>
    <w:link w:val="824"/>
    <w:uiPriority w:val="9"/>
    <w:qFormat/>
    <w:rPr>
      <w:rFonts w:eastAsia="宋体"/>
      <w:b/>
      <w:bCs/>
      <w:sz w:val="32"/>
      <w:szCs w:val="32"/>
      <w:lang w:val="en-US" w:eastAsia="zh-CN" w:bidi="ar-SA"/>
    </w:rPr>
  </w:style>
  <w:style w:type="character" w:styleId="912" w:customStyle="1">
    <w:name w:val="标题 4 字符"/>
    <w:link w:val="825"/>
    <w:uiPriority w:val="0"/>
    <w:semiHidden/>
    <w:qFormat/>
    <w:rPr>
      <w:rFonts w:ascii="等线 Light" w:hAnsi="等线 Light" w:eastAsia="等线 Light" w:cs="Times New Roman"/>
      <w:b/>
      <w:bCs/>
      <w:sz w:val="28"/>
      <w:szCs w:val="28"/>
    </w:rPr>
  </w:style>
  <w:style w:type="character" w:styleId="913" w:customStyle="1">
    <w:name w:val="标题 5 字符"/>
    <w:basedOn w:val="856"/>
    <w:link w:val="826"/>
    <w:uiPriority w:val="9"/>
    <w:qFormat/>
    <w:rPr>
      <w:rFonts w:ascii="Arial" w:hAnsi="Arial" w:eastAsia="Arial" w:cs="Arial"/>
      <w:b/>
      <w:bCs/>
      <w:sz w:val="24"/>
      <w:szCs w:val="24"/>
    </w:rPr>
  </w:style>
  <w:style w:type="character" w:styleId="914" w:customStyle="1">
    <w:name w:val="标题 6 字符"/>
    <w:link w:val="827"/>
    <w:uiPriority w:val="0"/>
    <w:qFormat/>
    <w:rPr>
      <w:rFonts w:ascii="等线 Light" w:hAnsi="等线 Light" w:eastAsia="等线 Light" w:cs="Times New Roman"/>
      <w:b/>
      <w:bCs/>
      <w:sz w:val="24"/>
      <w:szCs w:val="24"/>
    </w:rPr>
  </w:style>
  <w:style w:type="character" w:styleId="915" w:customStyle="1">
    <w:name w:val="标题 7 字符"/>
    <w:basedOn w:val="856"/>
    <w:link w:val="828"/>
    <w:uiPriority w:val="9"/>
    <w:qFormat/>
    <w:rPr>
      <w:rFonts w:ascii="Arial" w:hAnsi="Arial" w:eastAsia="Arial" w:cs="Arial"/>
      <w:b/>
      <w:bCs/>
      <w:i/>
      <w:iCs/>
      <w:sz w:val="22"/>
      <w:szCs w:val="22"/>
    </w:rPr>
  </w:style>
  <w:style w:type="character" w:styleId="916" w:customStyle="1">
    <w:name w:val="标题 8 字符"/>
    <w:link w:val="829"/>
    <w:uiPriority w:val="0"/>
    <w:semiHidden/>
    <w:qFormat/>
    <w:rPr>
      <w:rFonts w:ascii="等线 Light" w:hAnsi="等线 Light" w:eastAsia="等线 Light" w:cs="Times New Roman"/>
      <w:sz w:val="24"/>
      <w:szCs w:val="24"/>
    </w:rPr>
  </w:style>
  <w:style w:type="character" w:styleId="917" w:customStyle="1">
    <w:name w:val="标题 9 字符"/>
    <w:basedOn w:val="856"/>
    <w:link w:val="830"/>
    <w:uiPriority w:val="9"/>
    <w:qFormat/>
    <w:rPr>
      <w:rFonts w:ascii="Arial" w:hAnsi="Arial" w:eastAsia="Arial" w:cs="Arial"/>
      <w:i/>
      <w:iCs/>
      <w:sz w:val="21"/>
      <w:szCs w:val="21"/>
    </w:rPr>
  </w:style>
  <w:style w:type="paragraph" w:styleId="918" w:customStyle="1">
    <w:name w:val="Caption1"/>
    <w:basedOn w:val="821"/>
    <w:next w:val="821"/>
    <w:uiPriority w:val="35"/>
    <w:unhideWhenUsed/>
    <w:qFormat/>
    <w:pPr>
      <w:spacing w:line="276" w:lineRule="auto"/>
    </w:pPr>
    <w:rPr>
      <w:b/>
      <w:bCs/>
      <w:color w:val="4472c4"/>
      <w:sz w:val="18"/>
      <w:szCs w:val="18"/>
    </w:rPr>
  </w:style>
  <w:style w:type="paragraph" w:styleId="919" w:customStyle="1">
    <w:name w:val="Footer1"/>
    <w:basedOn w:val="821"/>
    <w:link w:val="920"/>
    <w:uiPriority w:val="99"/>
    <w:qFormat/>
    <w:pPr>
      <w:jc w:val="left"/>
      <w:tabs>
        <w:tab w:val="center" w:pos="4153" w:leader="none"/>
        <w:tab w:val="right" w:pos="8306" w:leader="none"/>
      </w:tabs>
    </w:pPr>
    <w:rPr>
      <w:sz w:val="18"/>
      <w:szCs w:val="18"/>
    </w:rPr>
  </w:style>
  <w:style w:type="character" w:styleId="920" w:customStyle="1">
    <w:name w:val="页脚 字符"/>
    <w:link w:val="919"/>
    <w:uiPriority w:val="99"/>
    <w:qFormat/>
    <w:rPr>
      <w:sz w:val="18"/>
      <w:szCs w:val="18"/>
    </w:rPr>
  </w:style>
  <w:style w:type="paragraph" w:styleId="921" w:customStyle="1">
    <w:name w:val="Header1"/>
    <w:basedOn w:val="821"/>
    <w:link w:val="922"/>
    <w:uiPriority w:val="99"/>
    <w:qFormat/>
    <w:pPr>
      <w:jc w:val="center"/>
      <w:tabs>
        <w:tab w:val="center" w:pos="4153" w:leader="none"/>
        <w:tab w:val="right" w:pos="8306" w:leader="none"/>
      </w:tabs>
      <w:pBdr>
        <w:bottom w:val="single" w:color="000000" w:sz="6" w:space="1"/>
      </w:pBdr>
    </w:pPr>
    <w:rPr>
      <w:sz w:val="18"/>
      <w:szCs w:val="18"/>
    </w:rPr>
  </w:style>
  <w:style w:type="character" w:styleId="922" w:customStyle="1">
    <w:name w:val="页眉 字符"/>
    <w:link w:val="921"/>
    <w:uiPriority w:val="99"/>
    <w:qFormat/>
    <w:rPr>
      <w:sz w:val="18"/>
      <w:szCs w:val="18"/>
    </w:rPr>
  </w:style>
  <w:style w:type="character" w:styleId="923" w:customStyle="1">
    <w:name w:val="Heading 5 Char"/>
    <w:basedOn w:val="856"/>
    <w:link w:val="821"/>
    <w:uiPriority w:val="9"/>
    <w:qFormat/>
    <w:rPr>
      <w:rFonts w:ascii="Arial" w:hAnsi="Arial" w:eastAsia="Arial" w:cs="Arial"/>
      <w:b/>
      <w:bCs/>
      <w:sz w:val="24"/>
      <w:szCs w:val="24"/>
    </w:rPr>
  </w:style>
  <w:style w:type="character" w:styleId="924" w:customStyle="1">
    <w:name w:val="Heading 7 Char"/>
    <w:basedOn w:val="856"/>
    <w:link w:val="821"/>
    <w:uiPriority w:val="9"/>
    <w:qFormat/>
    <w:rPr>
      <w:rFonts w:ascii="Arial" w:hAnsi="Arial" w:eastAsia="Arial" w:cs="Arial"/>
      <w:b/>
      <w:bCs/>
      <w:i/>
      <w:iCs/>
      <w:sz w:val="22"/>
      <w:szCs w:val="22"/>
    </w:rPr>
  </w:style>
  <w:style w:type="character" w:styleId="925" w:customStyle="1">
    <w:name w:val="Heading 9 Char"/>
    <w:basedOn w:val="856"/>
    <w:link w:val="821"/>
    <w:uiPriority w:val="9"/>
    <w:qFormat/>
    <w:rPr>
      <w:rFonts w:ascii="Arial" w:hAnsi="Arial" w:eastAsia="Arial" w:cs="Arial"/>
      <w:i/>
      <w:iCs/>
      <w:sz w:val="21"/>
      <w:szCs w:val="21"/>
    </w:rPr>
  </w:style>
  <w:style w:type="character" w:styleId="926" w:customStyle="1">
    <w:name w:val="Subtitle Char"/>
    <w:basedOn w:val="856"/>
    <w:link w:val="821"/>
    <w:uiPriority w:val="11"/>
    <w:qFormat/>
    <w:rPr>
      <w:sz w:val="24"/>
      <w:szCs w:val="24"/>
    </w:rPr>
  </w:style>
  <w:style w:type="character" w:styleId="927" w:customStyle="1">
    <w:name w:val="Quote Char"/>
    <w:link w:val="821"/>
    <w:uiPriority w:val="29"/>
    <w:qFormat/>
    <w:rPr>
      <w:i/>
    </w:rPr>
  </w:style>
  <w:style w:type="character" w:styleId="928" w:customStyle="1">
    <w:name w:val="Intense Quote Char"/>
    <w:link w:val="821"/>
    <w:uiPriority w:val="30"/>
    <w:qFormat/>
    <w:rPr>
      <w:i/>
    </w:rPr>
  </w:style>
  <w:style w:type="table" w:styleId="929" w:customStyle="1">
    <w:name w:val="Plain Table 1"/>
    <w:basedOn w:val="857"/>
    <w:uiPriority w:val="59"/>
    <w:qFormat/>
    <w:pPr>
      <w:spacing w:after="0" w:line="240" w:lineRule="auto"/>
    </w:pPr>
    <w:tblPr/>
  </w:style>
  <w:style w:type="table" w:styleId="930" w:customStyle="1">
    <w:name w:val="Plain Table 2"/>
    <w:basedOn w:val="857"/>
    <w:uiPriority w:val="59"/>
    <w:qFormat/>
    <w:pPr>
      <w:spacing w:after="0" w:line="240" w:lineRule="auto"/>
    </w:pPr>
    <w:tblPr/>
  </w:style>
  <w:style w:type="table" w:styleId="931" w:customStyle="1">
    <w:name w:val="Plain Table 3"/>
    <w:basedOn w:val="857"/>
    <w:uiPriority w:val="99"/>
    <w:qFormat/>
    <w:pPr>
      <w:spacing w:after="0" w:line="240" w:lineRule="auto"/>
    </w:pPr>
    <w:tblPr/>
  </w:style>
  <w:style w:type="table" w:styleId="932" w:customStyle="1">
    <w:name w:val="Plain Table 4"/>
    <w:basedOn w:val="857"/>
    <w:uiPriority w:val="99"/>
    <w:qFormat/>
    <w:pPr>
      <w:spacing w:after="0" w:line="240" w:lineRule="auto"/>
    </w:pPr>
    <w:tblPr/>
  </w:style>
  <w:style w:type="table" w:styleId="933" w:customStyle="1">
    <w:name w:val="Plain Table 5"/>
    <w:basedOn w:val="857"/>
    <w:uiPriority w:val="99"/>
    <w:qFormat/>
    <w:pPr>
      <w:spacing w:after="0" w:line="240" w:lineRule="auto"/>
    </w:pPr>
    <w:tblPr/>
  </w:style>
  <w:style w:type="table" w:styleId="934" w:customStyle="1">
    <w:name w:val="Grid Table 1 Light"/>
    <w:basedOn w:val="857"/>
    <w:uiPriority w:val="99"/>
    <w:qFormat/>
    <w:pPr>
      <w:spacing w:after="0" w:line="240" w:lineRule="auto"/>
    </w:pPr>
    <w:tblPr/>
  </w:style>
  <w:style w:type="table" w:styleId="935" w:customStyle="1">
    <w:name w:val="Grid Table 2"/>
    <w:basedOn w:val="857"/>
    <w:uiPriority w:val="99"/>
    <w:qFormat/>
    <w:pPr>
      <w:spacing w:after="0" w:line="240" w:lineRule="auto"/>
    </w:pPr>
    <w:tblPr/>
  </w:style>
  <w:style w:type="table" w:styleId="936" w:customStyle="1">
    <w:name w:val="Grid Table 3"/>
    <w:basedOn w:val="857"/>
    <w:uiPriority w:val="99"/>
    <w:qFormat/>
    <w:pPr>
      <w:spacing w:after="0" w:line="240" w:lineRule="auto"/>
    </w:pPr>
    <w:tblPr/>
  </w:style>
  <w:style w:type="table" w:styleId="937" w:customStyle="1">
    <w:name w:val="Grid Table 4"/>
    <w:basedOn w:val="857"/>
    <w:uiPriority w:val="59"/>
    <w:qFormat/>
    <w:pPr>
      <w:spacing w:after="0" w:line="240" w:lineRule="auto"/>
    </w:pPr>
    <w:tblPr/>
  </w:style>
  <w:style w:type="table" w:styleId="938" w:customStyle="1">
    <w:name w:val="Grid Table 5 Dark"/>
    <w:basedOn w:val="857"/>
    <w:uiPriority w:val="99"/>
    <w:qFormat/>
    <w:pPr>
      <w:spacing w:after="0" w:line="240" w:lineRule="auto"/>
    </w:pPr>
    <w:tblPr/>
  </w:style>
  <w:style w:type="table" w:styleId="939" w:customStyle="1">
    <w:name w:val="Grid Table 6 Colorful"/>
    <w:basedOn w:val="857"/>
    <w:uiPriority w:val="99"/>
    <w:qFormat/>
    <w:pPr>
      <w:spacing w:after="0" w:line="240" w:lineRule="auto"/>
    </w:pPr>
    <w:tblPr/>
  </w:style>
  <w:style w:type="table" w:styleId="940" w:customStyle="1">
    <w:name w:val="Grid Table 7 Colorful"/>
    <w:basedOn w:val="857"/>
    <w:uiPriority w:val="99"/>
    <w:qFormat/>
    <w:pPr>
      <w:spacing w:after="0" w:line="240" w:lineRule="auto"/>
    </w:pPr>
    <w:tblPr/>
  </w:style>
  <w:style w:type="table" w:styleId="941" w:customStyle="1">
    <w:name w:val="List Table 1 Light"/>
    <w:basedOn w:val="857"/>
    <w:uiPriority w:val="99"/>
    <w:qFormat/>
    <w:pPr>
      <w:spacing w:after="0" w:line="240" w:lineRule="auto"/>
    </w:pPr>
    <w:tblPr/>
  </w:style>
  <w:style w:type="table" w:styleId="942" w:customStyle="1">
    <w:name w:val="List Table 2"/>
    <w:basedOn w:val="857"/>
    <w:uiPriority w:val="99"/>
    <w:qFormat/>
    <w:pPr>
      <w:spacing w:after="0" w:line="240" w:lineRule="auto"/>
    </w:pPr>
    <w:tblPr/>
  </w:style>
  <w:style w:type="table" w:styleId="943" w:customStyle="1">
    <w:name w:val="List Table 3"/>
    <w:basedOn w:val="857"/>
    <w:uiPriority w:val="99"/>
    <w:qFormat/>
    <w:pPr>
      <w:spacing w:after="0" w:line="240" w:lineRule="auto"/>
    </w:pPr>
    <w:tblPr/>
  </w:style>
  <w:style w:type="table" w:styleId="944" w:customStyle="1">
    <w:name w:val="List Table 4"/>
    <w:basedOn w:val="857"/>
    <w:uiPriority w:val="99"/>
    <w:qFormat/>
    <w:pPr>
      <w:spacing w:after="0" w:line="240" w:lineRule="auto"/>
    </w:pPr>
    <w:tblPr/>
  </w:style>
  <w:style w:type="table" w:styleId="945" w:customStyle="1">
    <w:name w:val="List Table 5 Dark"/>
    <w:basedOn w:val="857"/>
    <w:uiPriority w:val="99"/>
    <w:qFormat/>
    <w:pPr>
      <w:spacing w:after="0" w:line="240" w:lineRule="auto"/>
    </w:pPr>
    <w:tblPr/>
  </w:style>
  <w:style w:type="table" w:styleId="946" w:customStyle="1">
    <w:name w:val="List Table 6 Colorful"/>
    <w:basedOn w:val="857"/>
    <w:uiPriority w:val="99"/>
    <w:qFormat/>
    <w:pPr>
      <w:spacing w:after="0" w:line="240" w:lineRule="auto"/>
    </w:pPr>
    <w:tblPr/>
  </w:style>
  <w:style w:type="table" w:styleId="947" w:customStyle="1">
    <w:name w:val="List Table 7 Colorful"/>
    <w:basedOn w:val="857"/>
    <w:uiPriority w:val="99"/>
    <w:qFormat/>
    <w:pPr>
      <w:spacing w:after="0" w:line="240" w:lineRule="auto"/>
    </w:pPr>
    <w:tblPr/>
  </w:style>
  <w:style w:type="character" w:styleId="948" w:customStyle="1">
    <w:name w:val="Footnote Text Char"/>
    <w:link w:val="821"/>
    <w:uiPriority w:val="99"/>
    <w:qFormat/>
    <w:rPr>
      <w:sz w:val="18"/>
    </w:rPr>
  </w:style>
  <w:style w:type="character" w:styleId="949" w:customStyle="1">
    <w:name w:val="Endnote Text Char"/>
    <w:link w:val="821"/>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首行缩进"/>
    <w:basedOn w:val="821"/>
    <w:uiPriority w:val="0"/>
    <w:qFormat/>
    <w:pPr>
      <w:spacing w:line="360" w:lineRule="auto"/>
    </w:pPr>
  </w:style>
  <w:style w:type="paragraph" w:styleId="952" w:customStyle="1">
    <w:name w:val="正文文本1"/>
    <w:basedOn w:val="953"/>
    <w:next w:val="821"/>
    <w:uiPriority w:val="0"/>
    <w:qFormat/>
    <w:pPr>
      <w:spacing w:after="120"/>
    </w:pPr>
    <w:rPr>
      <w:sz w:val="28"/>
    </w:rPr>
  </w:style>
  <w:style w:type="paragraph" w:styleId="953"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54" w:customStyle="1">
    <w:name w:val="Heading 1 Char"/>
    <w:basedOn w:val="856"/>
    <w:link w:val="821"/>
    <w:uiPriority w:val="9"/>
    <w:qFormat/>
    <w:rPr>
      <w:rFonts w:ascii="Arial" w:hAnsi="Arial" w:eastAsia="Arial" w:cs="Arial"/>
      <w:sz w:val="40"/>
      <w:szCs w:val="40"/>
    </w:rPr>
  </w:style>
  <w:style w:type="character" w:styleId="955" w:customStyle="1">
    <w:name w:val="Heading 2 Char"/>
    <w:basedOn w:val="856"/>
    <w:link w:val="821"/>
    <w:uiPriority w:val="9"/>
    <w:qFormat/>
    <w:rPr>
      <w:rFonts w:ascii="Arial" w:hAnsi="Arial" w:eastAsia="Arial" w:cs="Arial"/>
      <w:sz w:val="34"/>
    </w:rPr>
  </w:style>
  <w:style w:type="character" w:styleId="956" w:customStyle="1">
    <w:name w:val="Heading 3 Char"/>
    <w:basedOn w:val="856"/>
    <w:link w:val="821"/>
    <w:uiPriority w:val="9"/>
    <w:qFormat/>
    <w:rPr>
      <w:rFonts w:ascii="Arial" w:hAnsi="Arial" w:eastAsia="Arial" w:cs="Arial"/>
      <w:sz w:val="30"/>
      <w:szCs w:val="30"/>
    </w:rPr>
  </w:style>
  <w:style w:type="character" w:styleId="957" w:customStyle="1">
    <w:name w:val="Heading 4 Char"/>
    <w:basedOn w:val="856"/>
    <w:link w:val="821"/>
    <w:uiPriority w:val="9"/>
    <w:qFormat/>
    <w:rPr>
      <w:rFonts w:ascii="Arial" w:hAnsi="Arial" w:eastAsia="Arial" w:cs="Arial"/>
      <w:b/>
      <w:bCs/>
      <w:sz w:val="26"/>
      <w:szCs w:val="26"/>
    </w:rPr>
  </w:style>
  <w:style w:type="character" w:styleId="958" w:customStyle="1">
    <w:name w:val="Heading 6 Char"/>
    <w:basedOn w:val="856"/>
    <w:link w:val="821"/>
    <w:uiPriority w:val="9"/>
    <w:qFormat/>
    <w:rPr>
      <w:rFonts w:ascii="Arial" w:hAnsi="Arial" w:eastAsia="Arial" w:cs="Arial"/>
      <w:b/>
      <w:bCs/>
      <w:sz w:val="22"/>
      <w:szCs w:val="22"/>
    </w:rPr>
  </w:style>
  <w:style w:type="character" w:styleId="959" w:customStyle="1">
    <w:name w:val="Heading 8 Char"/>
    <w:basedOn w:val="856"/>
    <w:link w:val="821"/>
    <w:uiPriority w:val="9"/>
    <w:qFormat/>
    <w:rPr>
      <w:rFonts w:ascii="Arial" w:hAnsi="Arial" w:eastAsia="Arial" w:cs="Arial"/>
      <w:i/>
      <w:iCs/>
      <w:sz w:val="22"/>
      <w:szCs w:val="22"/>
    </w:rPr>
  </w:style>
  <w:style w:type="character" w:styleId="960" w:customStyle="1">
    <w:name w:val="Title Char"/>
    <w:basedOn w:val="856"/>
    <w:link w:val="821"/>
    <w:uiPriority w:val="10"/>
    <w:qFormat/>
    <w:rPr>
      <w:sz w:val="48"/>
      <w:szCs w:val="48"/>
    </w:rPr>
  </w:style>
  <w:style w:type="paragraph" w:styleId="961">
    <w:name w:val="Quote"/>
    <w:basedOn w:val="821"/>
    <w:next w:val="821"/>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821"/>
    <w:next w:val="821"/>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basedOn w:val="856"/>
    <w:link w:val="821"/>
    <w:uiPriority w:val="99"/>
    <w:qFormat/>
  </w:style>
  <w:style w:type="character" w:styleId="966" w:customStyle="1">
    <w:name w:val="Footer Char"/>
    <w:basedOn w:val="856"/>
    <w:link w:val="821"/>
    <w:uiPriority w:val="99"/>
    <w:qFormat/>
  </w:style>
  <w:style w:type="character" w:styleId="967" w:customStyle="1">
    <w:name w:val="Caption Char"/>
    <w:link w:val="821"/>
    <w:uiPriority w:val="99"/>
    <w:qFormat/>
  </w:style>
  <w:style w:type="table" w:styleId="968" w:customStyle="1">
    <w:name w:val="Table Grid Light"/>
    <w:basedOn w:val="857"/>
    <w:uiPriority w:val="59"/>
    <w:qFormat/>
    <w:tblPr/>
  </w:style>
  <w:style w:type="table" w:styleId="969" w:customStyle="1">
    <w:name w:val="无格式表格 11"/>
    <w:basedOn w:val="857"/>
    <w:uiPriority w:val="59"/>
    <w:qFormat/>
    <w:tblPr/>
  </w:style>
  <w:style w:type="table" w:styleId="970" w:customStyle="1">
    <w:name w:val="无格式表格 21"/>
    <w:basedOn w:val="857"/>
    <w:uiPriority w:val="59"/>
    <w:qFormat/>
    <w:tblPr/>
  </w:style>
  <w:style w:type="table" w:styleId="971" w:customStyle="1">
    <w:name w:val="无格式表格 31"/>
    <w:basedOn w:val="857"/>
    <w:uiPriority w:val="99"/>
    <w:qFormat/>
    <w:tblPr/>
  </w:style>
  <w:style w:type="table" w:styleId="972" w:customStyle="1">
    <w:name w:val="无格式表格 41"/>
    <w:basedOn w:val="857"/>
    <w:uiPriority w:val="99"/>
    <w:qFormat/>
    <w:tblPr/>
  </w:style>
  <w:style w:type="table" w:styleId="973" w:customStyle="1">
    <w:name w:val="无格式表格 51"/>
    <w:basedOn w:val="857"/>
    <w:uiPriority w:val="99"/>
    <w:qFormat/>
    <w:tblPr/>
  </w:style>
  <w:style w:type="table" w:styleId="974" w:customStyle="1">
    <w:name w:val="网格表 1 浅色1"/>
    <w:basedOn w:val="857"/>
    <w:uiPriority w:val="99"/>
    <w:qFormat/>
    <w:tblPr/>
  </w:style>
  <w:style w:type="table" w:styleId="975" w:customStyle="1">
    <w:name w:val="Grid Table 1 Light - Accent 1"/>
    <w:basedOn w:val="857"/>
    <w:uiPriority w:val="99"/>
    <w:qFormat/>
    <w:tblPr/>
  </w:style>
  <w:style w:type="table" w:styleId="976" w:customStyle="1">
    <w:name w:val="Grid Table 1 Light - Accent 2"/>
    <w:basedOn w:val="857"/>
    <w:uiPriority w:val="99"/>
    <w:qFormat/>
    <w:tblPr/>
  </w:style>
  <w:style w:type="table" w:styleId="977" w:customStyle="1">
    <w:name w:val="Grid Table 1 Light - Accent 3"/>
    <w:basedOn w:val="857"/>
    <w:uiPriority w:val="99"/>
    <w:qFormat/>
    <w:tblPr/>
  </w:style>
  <w:style w:type="table" w:styleId="978" w:customStyle="1">
    <w:name w:val="Grid Table 1 Light - Accent 4"/>
    <w:basedOn w:val="857"/>
    <w:uiPriority w:val="99"/>
    <w:qFormat/>
    <w:tblPr/>
  </w:style>
  <w:style w:type="table" w:styleId="979" w:customStyle="1">
    <w:name w:val="Grid Table 1 Light - Accent 5"/>
    <w:basedOn w:val="857"/>
    <w:uiPriority w:val="99"/>
    <w:qFormat/>
    <w:tblPr/>
  </w:style>
  <w:style w:type="table" w:styleId="980" w:customStyle="1">
    <w:name w:val="Grid Table 1 Light - Accent 6"/>
    <w:basedOn w:val="857"/>
    <w:uiPriority w:val="99"/>
    <w:qFormat/>
    <w:tblPr/>
  </w:style>
  <w:style w:type="table" w:styleId="981" w:customStyle="1">
    <w:name w:val="网格表 21"/>
    <w:basedOn w:val="857"/>
    <w:uiPriority w:val="99"/>
    <w:qFormat/>
    <w:tblPr/>
  </w:style>
  <w:style w:type="table" w:styleId="982" w:customStyle="1">
    <w:name w:val="Grid Table 2 - Accent 1"/>
    <w:basedOn w:val="857"/>
    <w:uiPriority w:val="99"/>
    <w:qFormat/>
    <w:tblPr/>
  </w:style>
  <w:style w:type="table" w:styleId="983" w:customStyle="1">
    <w:name w:val="Grid Table 2 - Accent 2"/>
    <w:basedOn w:val="857"/>
    <w:uiPriority w:val="99"/>
    <w:qFormat/>
    <w:tblPr/>
  </w:style>
  <w:style w:type="table" w:styleId="984" w:customStyle="1">
    <w:name w:val="Grid Table 2 - Accent 3"/>
    <w:basedOn w:val="857"/>
    <w:uiPriority w:val="99"/>
    <w:qFormat/>
    <w:tblPr/>
  </w:style>
  <w:style w:type="table" w:styleId="985" w:customStyle="1">
    <w:name w:val="Grid Table 2 - Accent 4"/>
    <w:basedOn w:val="857"/>
    <w:uiPriority w:val="99"/>
    <w:qFormat/>
    <w:tblPr/>
  </w:style>
  <w:style w:type="table" w:styleId="986" w:customStyle="1">
    <w:name w:val="Grid Table 2 - Accent 5"/>
    <w:basedOn w:val="857"/>
    <w:uiPriority w:val="99"/>
    <w:qFormat/>
    <w:tblPr/>
  </w:style>
  <w:style w:type="table" w:styleId="987" w:customStyle="1">
    <w:name w:val="Grid Table 2 - Accent 6"/>
    <w:basedOn w:val="857"/>
    <w:uiPriority w:val="99"/>
    <w:qFormat/>
    <w:tblPr/>
  </w:style>
  <w:style w:type="table" w:styleId="988" w:customStyle="1">
    <w:name w:val="网格表 31"/>
    <w:basedOn w:val="857"/>
    <w:uiPriority w:val="99"/>
    <w:qFormat/>
    <w:tblPr/>
  </w:style>
  <w:style w:type="table" w:styleId="989" w:customStyle="1">
    <w:name w:val="Grid Table 3 - Accent 1"/>
    <w:basedOn w:val="857"/>
    <w:uiPriority w:val="99"/>
    <w:qFormat/>
    <w:tblPr/>
  </w:style>
  <w:style w:type="table" w:styleId="990" w:customStyle="1">
    <w:name w:val="Grid Table 3 - Accent 2"/>
    <w:basedOn w:val="857"/>
    <w:uiPriority w:val="99"/>
    <w:qFormat/>
    <w:tblPr/>
  </w:style>
  <w:style w:type="table" w:styleId="991" w:customStyle="1">
    <w:name w:val="Grid Table 3 - Accent 3"/>
    <w:basedOn w:val="857"/>
    <w:uiPriority w:val="99"/>
    <w:qFormat/>
    <w:tblPr/>
  </w:style>
  <w:style w:type="table" w:styleId="992" w:customStyle="1">
    <w:name w:val="Grid Table 3 - Accent 4"/>
    <w:basedOn w:val="857"/>
    <w:uiPriority w:val="99"/>
    <w:qFormat/>
    <w:tblPr/>
  </w:style>
  <w:style w:type="table" w:styleId="993" w:customStyle="1">
    <w:name w:val="Grid Table 3 - Accent 5"/>
    <w:basedOn w:val="857"/>
    <w:uiPriority w:val="99"/>
    <w:qFormat/>
    <w:tblPr/>
  </w:style>
  <w:style w:type="table" w:styleId="994" w:customStyle="1">
    <w:name w:val="Grid Table 3 - Accent 6"/>
    <w:basedOn w:val="857"/>
    <w:uiPriority w:val="99"/>
    <w:qFormat/>
    <w:tblPr/>
  </w:style>
  <w:style w:type="table" w:styleId="995" w:customStyle="1">
    <w:name w:val="网格表 41"/>
    <w:basedOn w:val="857"/>
    <w:uiPriority w:val="59"/>
    <w:qFormat/>
    <w:tblPr/>
  </w:style>
  <w:style w:type="table" w:styleId="996" w:customStyle="1">
    <w:name w:val="Grid Table 4 - Accent 1"/>
    <w:basedOn w:val="857"/>
    <w:uiPriority w:val="59"/>
    <w:qFormat/>
    <w:tblPr/>
  </w:style>
  <w:style w:type="table" w:styleId="997" w:customStyle="1">
    <w:name w:val="Grid Table 4 - Accent 2"/>
    <w:basedOn w:val="857"/>
    <w:uiPriority w:val="59"/>
    <w:qFormat/>
    <w:tblPr/>
  </w:style>
  <w:style w:type="table" w:styleId="998" w:customStyle="1">
    <w:name w:val="Grid Table 4 - Accent 3"/>
    <w:basedOn w:val="857"/>
    <w:uiPriority w:val="59"/>
    <w:qFormat/>
    <w:tblPr/>
  </w:style>
  <w:style w:type="table" w:styleId="999" w:customStyle="1">
    <w:name w:val="Grid Table 4 - Accent 4"/>
    <w:basedOn w:val="857"/>
    <w:uiPriority w:val="59"/>
    <w:qFormat/>
    <w:tblPr/>
  </w:style>
  <w:style w:type="table" w:styleId="1000" w:customStyle="1">
    <w:name w:val="Grid Table 4 - Accent 5"/>
    <w:basedOn w:val="857"/>
    <w:uiPriority w:val="59"/>
    <w:qFormat/>
    <w:tblPr/>
  </w:style>
  <w:style w:type="table" w:styleId="1001" w:customStyle="1">
    <w:name w:val="Grid Table 4 - Accent 6"/>
    <w:basedOn w:val="857"/>
    <w:uiPriority w:val="59"/>
    <w:qFormat/>
    <w:tblPr/>
  </w:style>
  <w:style w:type="table" w:styleId="1002" w:customStyle="1">
    <w:name w:val="网格表 5 深色1"/>
    <w:basedOn w:val="857"/>
    <w:uiPriority w:val="99"/>
    <w:qFormat/>
    <w:tblPr/>
  </w:style>
  <w:style w:type="table" w:styleId="1003" w:customStyle="1">
    <w:name w:val="Grid Table 5 Dark- Accent 1"/>
    <w:basedOn w:val="857"/>
    <w:uiPriority w:val="99"/>
    <w:qFormat/>
    <w:tblPr/>
  </w:style>
  <w:style w:type="table" w:styleId="1004" w:customStyle="1">
    <w:name w:val="Grid Table 5 Dark - Accent 2"/>
    <w:basedOn w:val="857"/>
    <w:uiPriority w:val="99"/>
    <w:qFormat/>
    <w:tblPr/>
  </w:style>
  <w:style w:type="table" w:styleId="1005" w:customStyle="1">
    <w:name w:val="Grid Table 5 Dark - Accent 3"/>
    <w:basedOn w:val="857"/>
    <w:uiPriority w:val="99"/>
    <w:qFormat/>
    <w:tblPr/>
  </w:style>
  <w:style w:type="table" w:styleId="1006" w:customStyle="1">
    <w:name w:val="Grid Table 5 Dark- Accent 4"/>
    <w:basedOn w:val="857"/>
    <w:uiPriority w:val="99"/>
    <w:qFormat/>
    <w:tblPr/>
  </w:style>
  <w:style w:type="table" w:styleId="1007" w:customStyle="1">
    <w:name w:val="Grid Table 5 Dark - Accent 5"/>
    <w:basedOn w:val="857"/>
    <w:uiPriority w:val="99"/>
    <w:qFormat/>
    <w:tblPr/>
  </w:style>
  <w:style w:type="table" w:styleId="1008" w:customStyle="1">
    <w:name w:val="Grid Table 5 Dark - Accent 6"/>
    <w:basedOn w:val="857"/>
    <w:uiPriority w:val="99"/>
    <w:qFormat/>
    <w:tblPr/>
  </w:style>
  <w:style w:type="table" w:styleId="1009" w:customStyle="1">
    <w:name w:val="网格表 6 彩色1"/>
    <w:basedOn w:val="857"/>
    <w:uiPriority w:val="99"/>
    <w:qFormat/>
    <w:tblPr/>
  </w:style>
  <w:style w:type="table" w:styleId="1010" w:customStyle="1">
    <w:name w:val="Grid Table 6 Colorful - Accent 1"/>
    <w:basedOn w:val="857"/>
    <w:uiPriority w:val="99"/>
    <w:qFormat/>
    <w:tblPr/>
  </w:style>
  <w:style w:type="table" w:styleId="1011" w:customStyle="1">
    <w:name w:val="Grid Table 6 Colorful - Accent 2"/>
    <w:basedOn w:val="857"/>
    <w:uiPriority w:val="99"/>
    <w:qFormat/>
    <w:tblPr/>
  </w:style>
  <w:style w:type="table" w:styleId="1012" w:customStyle="1">
    <w:name w:val="Grid Table 6 Colorful - Accent 3"/>
    <w:basedOn w:val="857"/>
    <w:uiPriority w:val="99"/>
    <w:qFormat/>
    <w:tblPr/>
  </w:style>
  <w:style w:type="table" w:styleId="1013" w:customStyle="1">
    <w:name w:val="Grid Table 6 Colorful - Accent 4"/>
    <w:basedOn w:val="857"/>
    <w:uiPriority w:val="99"/>
    <w:qFormat/>
    <w:tblPr/>
  </w:style>
  <w:style w:type="table" w:styleId="1014" w:customStyle="1">
    <w:name w:val="Grid Table 6 Colorful - Accent 5"/>
    <w:basedOn w:val="857"/>
    <w:uiPriority w:val="99"/>
    <w:qFormat/>
    <w:tblPr/>
  </w:style>
  <w:style w:type="table" w:styleId="1015" w:customStyle="1">
    <w:name w:val="Grid Table 6 Colorful - Accent 6"/>
    <w:basedOn w:val="857"/>
    <w:uiPriority w:val="99"/>
    <w:qFormat/>
    <w:tblPr/>
  </w:style>
  <w:style w:type="table" w:styleId="1016" w:customStyle="1">
    <w:name w:val="网格表 7 彩色1"/>
    <w:basedOn w:val="857"/>
    <w:uiPriority w:val="99"/>
    <w:qFormat/>
    <w:tblPr/>
  </w:style>
  <w:style w:type="table" w:styleId="1017" w:customStyle="1">
    <w:name w:val="Grid Table 7 Colorful - Accent 1"/>
    <w:basedOn w:val="857"/>
    <w:uiPriority w:val="99"/>
    <w:qFormat/>
    <w:tblPr/>
  </w:style>
  <w:style w:type="table" w:styleId="1018" w:customStyle="1">
    <w:name w:val="Grid Table 7 Colorful - Accent 2"/>
    <w:basedOn w:val="857"/>
    <w:uiPriority w:val="99"/>
    <w:qFormat/>
    <w:tblPr/>
  </w:style>
  <w:style w:type="table" w:styleId="1019" w:customStyle="1">
    <w:name w:val="Grid Table 7 Colorful - Accent 3"/>
    <w:basedOn w:val="857"/>
    <w:uiPriority w:val="99"/>
    <w:qFormat/>
    <w:tblPr/>
  </w:style>
  <w:style w:type="table" w:styleId="1020" w:customStyle="1">
    <w:name w:val="Grid Table 7 Colorful - Accent 4"/>
    <w:basedOn w:val="857"/>
    <w:uiPriority w:val="99"/>
    <w:qFormat/>
    <w:tblPr/>
  </w:style>
  <w:style w:type="table" w:styleId="1021" w:customStyle="1">
    <w:name w:val="Grid Table 7 Colorful - Accent 5"/>
    <w:basedOn w:val="857"/>
    <w:uiPriority w:val="99"/>
    <w:qFormat/>
    <w:tblPr/>
  </w:style>
  <w:style w:type="table" w:styleId="1022" w:customStyle="1">
    <w:name w:val="Grid Table 7 Colorful - Accent 6"/>
    <w:basedOn w:val="857"/>
    <w:uiPriority w:val="99"/>
    <w:qFormat/>
    <w:tblPr/>
  </w:style>
  <w:style w:type="table" w:styleId="1023" w:customStyle="1">
    <w:name w:val="清单表 1 浅色1"/>
    <w:basedOn w:val="857"/>
    <w:uiPriority w:val="99"/>
    <w:qFormat/>
    <w:tblPr/>
  </w:style>
  <w:style w:type="table" w:styleId="1024" w:customStyle="1">
    <w:name w:val="List Table 1 Light - Accent 1"/>
    <w:basedOn w:val="857"/>
    <w:uiPriority w:val="99"/>
    <w:qFormat/>
    <w:tblPr/>
  </w:style>
  <w:style w:type="table" w:styleId="1025" w:customStyle="1">
    <w:name w:val="List Table 1 Light - Accent 2"/>
    <w:basedOn w:val="857"/>
    <w:uiPriority w:val="99"/>
    <w:qFormat/>
    <w:tblPr/>
  </w:style>
  <w:style w:type="table" w:styleId="1026" w:customStyle="1">
    <w:name w:val="List Table 1 Light - Accent 3"/>
    <w:basedOn w:val="857"/>
    <w:uiPriority w:val="99"/>
    <w:qFormat/>
    <w:tblPr/>
  </w:style>
  <w:style w:type="table" w:styleId="1027" w:customStyle="1">
    <w:name w:val="List Table 1 Light - Accent 4"/>
    <w:basedOn w:val="857"/>
    <w:uiPriority w:val="99"/>
    <w:qFormat/>
    <w:tblPr/>
  </w:style>
  <w:style w:type="table" w:styleId="1028" w:customStyle="1">
    <w:name w:val="List Table 1 Light - Accent 5"/>
    <w:basedOn w:val="857"/>
    <w:uiPriority w:val="99"/>
    <w:qFormat/>
    <w:tblPr/>
  </w:style>
  <w:style w:type="table" w:styleId="1029" w:customStyle="1">
    <w:name w:val="List Table 1 Light - Accent 6"/>
    <w:basedOn w:val="857"/>
    <w:uiPriority w:val="99"/>
    <w:qFormat/>
    <w:tblPr/>
  </w:style>
  <w:style w:type="table" w:styleId="1030" w:customStyle="1">
    <w:name w:val="清单表 21"/>
    <w:basedOn w:val="857"/>
    <w:uiPriority w:val="99"/>
    <w:qFormat/>
    <w:tblPr/>
  </w:style>
  <w:style w:type="table" w:styleId="1031" w:customStyle="1">
    <w:name w:val="List Table 2 - Accent 1"/>
    <w:basedOn w:val="857"/>
    <w:uiPriority w:val="99"/>
    <w:qFormat/>
    <w:tblPr/>
  </w:style>
  <w:style w:type="table" w:styleId="1032" w:customStyle="1">
    <w:name w:val="List Table 2 - Accent 2"/>
    <w:basedOn w:val="857"/>
    <w:uiPriority w:val="99"/>
    <w:qFormat/>
    <w:tblPr/>
  </w:style>
  <w:style w:type="table" w:styleId="1033" w:customStyle="1">
    <w:name w:val="List Table 2 - Accent 3"/>
    <w:basedOn w:val="857"/>
    <w:uiPriority w:val="99"/>
    <w:qFormat/>
    <w:tblPr/>
  </w:style>
  <w:style w:type="table" w:styleId="1034" w:customStyle="1">
    <w:name w:val="List Table 2 - Accent 4"/>
    <w:basedOn w:val="857"/>
    <w:uiPriority w:val="99"/>
    <w:qFormat/>
    <w:tblPr/>
  </w:style>
  <w:style w:type="table" w:styleId="1035" w:customStyle="1">
    <w:name w:val="List Table 2 - Accent 5"/>
    <w:basedOn w:val="857"/>
    <w:uiPriority w:val="99"/>
    <w:qFormat/>
    <w:tblPr/>
  </w:style>
  <w:style w:type="table" w:styleId="1036" w:customStyle="1">
    <w:name w:val="List Table 2 - Accent 6"/>
    <w:basedOn w:val="857"/>
    <w:uiPriority w:val="99"/>
    <w:qFormat/>
    <w:tblPr/>
  </w:style>
  <w:style w:type="table" w:styleId="1037" w:customStyle="1">
    <w:name w:val="清单表 31"/>
    <w:basedOn w:val="857"/>
    <w:uiPriority w:val="99"/>
    <w:qFormat/>
    <w:tblPr/>
  </w:style>
  <w:style w:type="table" w:styleId="1038" w:customStyle="1">
    <w:name w:val="List Table 3 - Accent 1"/>
    <w:basedOn w:val="857"/>
    <w:uiPriority w:val="99"/>
    <w:qFormat/>
    <w:tblPr/>
  </w:style>
  <w:style w:type="table" w:styleId="1039" w:customStyle="1">
    <w:name w:val="List Table 3 - Accent 2"/>
    <w:basedOn w:val="857"/>
    <w:uiPriority w:val="99"/>
    <w:qFormat/>
    <w:tblPr/>
  </w:style>
  <w:style w:type="table" w:styleId="1040" w:customStyle="1">
    <w:name w:val="List Table 3 - Accent 3"/>
    <w:basedOn w:val="857"/>
    <w:uiPriority w:val="99"/>
    <w:qFormat/>
    <w:tblPr/>
  </w:style>
  <w:style w:type="table" w:styleId="1041" w:customStyle="1">
    <w:name w:val="List Table 3 - Accent 4"/>
    <w:basedOn w:val="857"/>
    <w:uiPriority w:val="99"/>
    <w:qFormat/>
    <w:tblPr/>
  </w:style>
  <w:style w:type="table" w:styleId="1042" w:customStyle="1">
    <w:name w:val="List Table 3 - Accent 5"/>
    <w:basedOn w:val="857"/>
    <w:uiPriority w:val="99"/>
    <w:qFormat/>
    <w:tblPr/>
  </w:style>
  <w:style w:type="table" w:styleId="1043" w:customStyle="1">
    <w:name w:val="List Table 3 - Accent 6"/>
    <w:basedOn w:val="857"/>
    <w:uiPriority w:val="99"/>
    <w:qFormat/>
    <w:tblPr/>
  </w:style>
  <w:style w:type="table" w:styleId="1044" w:customStyle="1">
    <w:name w:val="清单表 41"/>
    <w:basedOn w:val="857"/>
    <w:uiPriority w:val="99"/>
    <w:qFormat/>
    <w:tblPr/>
  </w:style>
  <w:style w:type="table" w:styleId="1045" w:customStyle="1">
    <w:name w:val="List Table 4 - Accent 1"/>
    <w:basedOn w:val="857"/>
    <w:uiPriority w:val="99"/>
    <w:qFormat/>
    <w:tblPr/>
  </w:style>
  <w:style w:type="table" w:styleId="1046" w:customStyle="1">
    <w:name w:val="List Table 4 - Accent 2"/>
    <w:basedOn w:val="857"/>
    <w:uiPriority w:val="99"/>
    <w:qFormat/>
    <w:tblPr/>
  </w:style>
  <w:style w:type="table" w:styleId="1047" w:customStyle="1">
    <w:name w:val="List Table 4 - Accent 3"/>
    <w:basedOn w:val="857"/>
    <w:uiPriority w:val="99"/>
    <w:qFormat/>
    <w:tblPr/>
  </w:style>
  <w:style w:type="table" w:styleId="1048" w:customStyle="1">
    <w:name w:val="List Table 4 - Accent 4"/>
    <w:basedOn w:val="857"/>
    <w:uiPriority w:val="99"/>
    <w:qFormat/>
    <w:tblPr/>
  </w:style>
  <w:style w:type="table" w:styleId="1049" w:customStyle="1">
    <w:name w:val="List Table 4 - Accent 5"/>
    <w:basedOn w:val="857"/>
    <w:uiPriority w:val="99"/>
    <w:qFormat/>
    <w:tblPr/>
  </w:style>
  <w:style w:type="table" w:styleId="1050" w:customStyle="1">
    <w:name w:val="List Table 4 - Accent 6"/>
    <w:basedOn w:val="857"/>
    <w:uiPriority w:val="99"/>
    <w:qFormat/>
    <w:tblPr/>
  </w:style>
  <w:style w:type="table" w:styleId="1051" w:customStyle="1">
    <w:name w:val="清单表 5 深色1"/>
    <w:basedOn w:val="857"/>
    <w:uiPriority w:val="99"/>
    <w:qFormat/>
    <w:tblPr/>
  </w:style>
  <w:style w:type="table" w:styleId="1052" w:customStyle="1">
    <w:name w:val="List Table 5 Dark - Accent 1"/>
    <w:basedOn w:val="857"/>
    <w:uiPriority w:val="99"/>
    <w:qFormat/>
    <w:tblPr/>
  </w:style>
  <w:style w:type="table" w:styleId="1053" w:customStyle="1">
    <w:name w:val="List Table 5 Dark - Accent 2"/>
    <w:basedOn w:val="857"/>
    <w:uiPriority w:val="99"/>
    <w:qFormat/>
    <w:tblPr/>
  </w:style>
  <w:style w:type="table" w:styleId="1054" w:customStyle="1">
    <w:name w:val="List Table 5 Dark - Accent 3"/>
    <w:basedOn w:val="857"/>
    <w:uiPriority w:val="99"/>
    <w:qFormat/>
    <w:tblPr/>
  </w:style>
  <w:style w:type="table" w:styleId="1055" w:customStyle="1">
    <w:name w:val="List Table 5 Dark - Accent 4"/>
    <w:basedOn w:val="857"/>
    <w:uiPriority w:val="99"/>
    <w:qFormat/>
    <w:tblPr/>
  </w:style>
  <w:style w:type="table" w:styleId="1056" w:customStyle="1">
    <w:name w:val="List Table 5 Dark - Accent 5"/>
    <w:basedOn w:val="857"/>
    <w:uiPriority w:val="99"/>
    <w:qFormat/>
    <w:tblPr/>
  </w:style>
  <w:style w:type="table" w:styleId="1057" w:customStyle="1">
    <w:name w:val="List Table 5 Dark - Accent 6"/>
    <w:basedOn w:val="857"/>
    <w:uiPriority w:val="99"/>
    <w:qFormat/>
    <w:tblPr/>
  </w:style>
  <w:style w:type="table" w:styleId="1058" w:customStyle="1">
    <w:name w:val="清单表 6 彩色1"/>
    <w:basedOn w:val="857"/>
    <w:uiPriority w:val="99"/>
    <w:qFormat/>
    <w:tblPr/>
  </w:style>
  <w:style w:type="table" w:styleId="1059" w:customStyle="1">
    <w:name w:val="List Table 6 Colorful - Accent 1"/>
    <w:basedOn w:val="857"/>
    <w:uiPriority w:val="99"/>
    <w:qFormat/>
    <w:tblPr/>
  </w:style>
  <w:style w:type="table" w:styleId="1060" w:customStyle="1">
    <w:name w:val="List Table 6 Colorful - Accent 2"/>
    <w:basedOn w:val="857"/>
    <w:uiPriority w:val="99"/>
    <w:qFormat/>
    <w:tblPr/>
  </w:style>
  <w:style w:type="table" w:styleId="1061" w:customStyle="1">
    <w:name w:val="List Table 6 Colorful - Accent 3"/>
    <w:basedOn w:val="857"/>
    <w:uiPriority w:val="99"/>
    <w:qFormat/>
    <w:tblPr/>
  </w:style>
  <w:style w:type="table" w:styleId="1062" w:customStyle="1">
    <w:name w:val="List Table 6 Colorful - Accent 4"/>
    <w:basedOn w:val="857"/>
    <w:uiPriority w:val="99"/>
    <w:qFormat/>
    <w:tblPr/>
  </w:style>
  <w:style w:type="table" w:styleId="1063" w:customStyle="1">
    <w:name w:val="List Table 6 Colorful - Accent 5"/>
    <w:basedOn w:val="857"/>
    <w:uiPriority w:val="99"/>
    <w:qFormat/>
    <w:tblPr/>
  </w:style>
  <w:style w:type="table" w:styleId="1064" w:customStyle="1">
    <w:name w:val="List Table 6 Colorful - Accent 6"/>
    <w:basedOn w:val="857"/>
    <w:uiPriority w:val="99"/>
    <w:qFormat/>
    <w:tblPr/>
  </w:style>
  <w:style w:type="table" w:styleId="1065" w:customStyle="1">
    <w:name w:val="清单表 7 彩色1"/>
    <w:basedOn w:val="857"/>
    <w:uiPriority w:val="99"/>
    <w:qFormat/>
    <w:tblPr/>
  </w:style>
  <w:style w:type="table" w:styleId="1066" w:customStyle="1">
    <w:name w:val="List Table 7 Colorful - Accent 1"/>
    <w:basedOn w:val="857"/>
    <w:uiPriority w:val="99"/>
    <w:qFormat/>
    <w:tblPr/>
  </w:style>
  <w:style w:type="table" w:styleId="1067" w:customStyle="1">
    <w:name w:val="List Table 7 Colorful - Accent 2"/>
    <w:basedOn w:val="857"/>
    <w:uiPriority w:val="99"/>
    <w:qFormat/>
    <w:tblPr/>
  </w:style>
  <w:style w:type="table" w:styleId="1068" w:customStyle="1">
    <w:name w:val="List Table 7 Colorful - Accent 3"/>
    <w:basedOn w:val="857"/>
    <w:uiPriority w:val="99"/>
    <w:qFormat/>
    <w:tblPr/>
  </w:style>
  <w:style w:type="table" w:styleId="1069" w:customStyle="1">
    <w:name w:val="List Table 7 Colorful - Accent 4"/>
    <w:basedOn w:val="857"/>
    <w:uiPriority w:val="99"/>
    <w:qFormat/>
    <w:tblPr/>
  </w:style>
  <w:style w:type="table" w:styleId="1070" w:customStyle="1">
    <w:name w:val="List Table 7 Colorful - Accent 5"/>
    <w:basedOn w:val="857"/>
    <w:uiPriority w:val="99"/>
    <w:qFormat/>
    <w:tblPr/>
  </w:style>
  <w:style w:type="table" w:styleId="1071" w:customStyle="1">
    <w:name w:val="List Table 7 Colorful - Accent 6"/>
    <w:basedOn w:val="857"/>
    <w:uiPriority w:val="99"/>
    <w:qFormat/>
    <w:tblPr/>
  </w:style>
  <w:style w:type="table" w:styleId="1072" w:customStyle="1">
    <w:name w:val="Lined - Accent"/>
    <w:basedOn w:val="857"/>
    <w:uiPriority w:val="99"/>
    <w:qFormat/>
    <w:rPr>
      <w:color w:val="404040"/>
    </w:rPr>
    <w:tblPr/>
  </w:style>
  <w:style w:type="table" w:styleId="1073" w:customStyle="1">
    <w:name w:val="Lined - Accent 1"/>
    <w:basedOn w:val="857"/>
    <w:uiPriority w:val="99"/>
    <w:qFormat/>
    <w:rPr>
      <w:color w:val="404040"/>
    </w:rPr>
    <w:tblPr/>
  </w:style>
  <w:style w:type="table" w:styleId="1074" w:customStyle="1">
    <w:name w:val="Lined - Accent 2"/>
    <w:basedOn w:val="857"/>
    <w:uiPriority w:val="99"/>
    <w:qFormat/>
    <w:rPr>
      <w:color w:val="404040"/>
    </w:rPr>
    <w:tblPr/>
  </w:style>
  <w:style w:type="table" w:styleId="1075" w:customStyle="1">
    <w:name w:val="Lined - Accent 3"/>
    <w:basedOn w:val="857"/>
    <w:uiPriority w:val="99"/>
    <w:qFormat/>
    <w:rPr>
      <w:color w:val="404040"/>
    </w:rPr>
    <w:tblPr/>
  </w:style>
  <w:style w:type="table" w:styleId="1076" w:customStyle="1">
    <w:name w:val="Lined - Accent 4"/>
    <w:basedOn w:val="857"/>
    <w:uiPriority w:val="99"/>
    <w:qFormat/>
    <w:rPr>
      <w:color w:val="404040"/>
    </w:rPr>
    <w:tblPr/>
  </w:style>
  <w:style w:type="table" w:styleId="1077" w:customStyle="1">
    <w:name w:val="Lined - Accent 5"/>
    <w:basedOn w:val="857"/>
    <w:uiPriority w:val="99"/>
    <w:qFormat/>
    <w:rPr>
      <w:color w:val="404040"/>
    </w:rPr>
    <w:tblPr/>
  </w:style>
  <w:style w:type="table" w:styleId="1078" w:customStyle="1">
    <w:name w:val="Lined - Accent 6"/>
    <w:basedOn w:val="857"/>
    <w:uiPriority w:val="99"/>
    <w:qFormat/>
    <w:rPr>
      <w:color w:val="404040"/>
    </w:rPr>
    <w:tblPr/>
  </w:style>
  <w:style w:type="table" w:styleId="1079" w:customStyle="1">
    <w:name w:val="Bordered &amp; Lined - Accent"/>
    <w:basedOn w:val="857"/>
    <w:uiPriority w:val="99"/>
    <w:qFormat/>
    <w:rPr>
      <w:color w:val="404040"/>
    </w:rPr>
    <w:tblPr/>
  </w:style>
  <w:style w:type="table" w:styleId="1080" w:customStyle="1">
    <w:name w:val="Bordered &amp; Lined - Accent 1"/>
    <w:basedOn w:val="857"/>
    <w:uiPriority w:val="99"/>
    <w:qFormat/>
    <w:rPr>
      <w:color w:val="404040"/>
    </w:rPr>
    <w:tblPr/>
  </w:style>
  <w:style w:type="table" w:styleId="1081" w:customStyle="1">
    <w:name w:val="Bordered &amp; Lined - Accent 2"/>
    <w:basedOn w:val="857"/>
    <w:uiPriority w:val="99"/>
    <w:qFormat/>
    <w:rPr>
      <w:color w:val="404040"/>
    </w:rPr>
    <w:tblPr/>
  </w:style>
  <w:style w:type="table" w:styleId="1082" w:customStyle="1">
    <w:name w:val="Bordered &amp; Lined - Accent 3"/>
    <w:basedOn w:val="857"/>
    <w:uiPriority w:val="99"/>
    <w:qFormat/>
    <w:rPr>
      <w:color w:val="404040"/>
    </w:rPr>
    <w:tblPr/>
  </w:style>
  <w:style w:type="table" w:styleId="1083" w:customStyle="1">
    <w:name w:val="Bordered &amp; Lined - Accent 4"/>
    <w:basedOn w:val="857"/>
    <w:uiPriority w:val="99"/>
    <w:qFormat/>
    <w:rPr>
      <w:color w:val="404040"/>
    </w:rPr>
    <w:tblPr/>
  </w:style>
  <w:style w:type="table" w:styleId="1084" w:customStyle="1">
    <w:name w:val="Bordered &amp; Lined - Accent 5"/>
    <w:basedOn w:val="857"/>
    <w:uiPriority w:val="99"/>
    <w:qFormat/>
    <w:rPr>
      <w:color w:val="404040"/>
    </w:rPr>
    <w:tblPr/>
  </w:style>
  <w:style w:type="table" w:styleId="1085" w:customStyle="1">
    <w:name w:val="Bordered &amp; Lined - Accent 6"/>
    <w:basedOn w:val="857"/>
    <w:uiPriority w:val="99"/>
    <w:qFormat/>
    <w:rPr>
      <w:color w:val="404040"/>
    </w:rPr>
    <w:tblPr/>
  </w:style>
  <w:style w:type="table" w:styleId="1086" w:customStyle="1">
    <w:name w:val="Bordered"/>
    <w:basedOn w:val="857"/>
    <w:uiPriority w:val="99"/>
    <w:qFormat/>
    <w:tblPr/>
  </w:style>
  <w:style w:type="table" w:styleId="1087" w:customStyle="1">
    <w:name w:val="Bordered - Accent 1"/>
    <w:basedOn w:val="857"/>
    <w:uiPriority w:val="99"/>
    <w:qFormat/>
    <w:tblPr/>
  </w:style>
  <w:style w:type="table" w:styleId="1088" w:customStyle="1">
    <w:name w:val="Bordered - Accent 2"/>
    <w:basedOn w:val="857"/>
    <w:uiPriority w:val="99"/>
    <w:qFormat/>
    <w:tblPr/>
  </w:style>
  <w:style w:type="table" w:styleId="1089" w:customStyle="1">
    <w:name w:val="Bordered - Accent 3"/>
    <w:basedOn w:val="857"/>
    <w:uiPriority w:val="99"/>
    <w:qFormat/>
    <w:tblPr/>
  </w:style>
  <w:style w:type="table" w:styleId="1090" w:customStyle="1">
    <w:name w:val="Bordered - Accent 4"/>
    <w:basedOn w:val="857"/>
    <w:uiPriority w:val="99"/>
    <w:qFormat/>
    <w:tblPr/>
  </w:style>
  <w:style w:type="table" w:styleId="1091" w:customStyle="1">
    <w:name w:val="Bordered - Accent 5"/>
    <w:basedOn w:val="857"/>
    <w:uiPriority w:val="99"/>
    <w:qFormat/>
    <w:tblPr/>
  </w:style>
  <w:style w:type="table" w:styleId="1092" w:customStyle="1">
    <w:name w:val="Bordered - Accent 6"/>
    <w:basedOn w:val="857"/>
    <w:uiPriority w:val="99"/>
    <w:qFormat/>
    <w:tblPr/>
  </w:style>
  <w:style w:type="paragraph" w:styleId="1093" w:customStyle="1">
    <w:name w:val="TOC 标题1"/>
    <w:uiPriority w:val="39"/>
    <w:unhideWhenUsed/>
    <w:qFormat/>
    <w:rPr>
      <w:rFonts w:hint="default" w:ascii="Times New Roman" w:hAnsi="Times New Roman" w:eastAsia="宋体" w:cs="Times New Roman"/>
      <w:lang w:eastAsia="zh-CN"/>
    </w:rPr>
  </w:style>
  <w:style w:type="paragraph" w:styleId="1094" w:customStyle="1">
    <w:name w:val="正文文本11"/>
    <w:basedOn w:val="821"/>
    <w:uiPriority w:val="99"/>
    <w:qFormat/>
    <w:rPr>
      <w:rFonts w:ascii="楷体_GB2312" w:hAnsi="宋体" w:eastAsia="楷体_GB2312"/>
      <w:sz w:val="28"/>
      <w:szCs w:val="28"/>
    </w:rPr>
  </w:style>
  <w:style w:type="paragraph" w:styleId="1095" w:customStyle="1">
    <w:name w:val="目录 71"/>
    <w:basedOn w:val="821"/>
    <w:next w:val="821"/>
    <w:uiPriority w:val="39"/>
    <w:unhideWhenUsed/>
    <w:qFormat/>
    <w:pPr>
      <w:ind w:left="2520"/>
    </w:pPr>
    <w:rPr>
      <w:rFonts w:ascii="等线" w:hAnsi="等线" w:eastAsia="等线"/>
      <w:szCs w:val="22"/>
    </w:rPr>
  </w:style>
  <w:style w:type="paragraph" w:styleId="1096" w:customStyle="1">
    <w:name w:val="目录 51"/>
    <w:basedOn w:val="821"/>
    <w:next w:val="821"/>
    <w:uiPriority w:val="39"/>
    <w:unhideWhenUsed/>
    <w:qFormat/>
    <w:pPr>
      <w:ind w:left="1680"/>
    </w:pPr>
    <w:rPr>
      <w:rFonts w:ascii="等线" w:hAnsi="等线" w:eastAsia="等线"/>
      <w:szCs w:val="22"/>
    </w:rPr>
  </w:style>
  <w:style w:type="paragraph" w:styleId="1097" w:customStyle="1">
    <w:name w:val="目录 31"/>
    <w:basedOn w:val="821"/>
    <w:next w:val="821"/>
    <w:uiPriority w:val="39"/>
    <w:unhideWhenUsed/>
    <w:qFormat/>
    <w:pPr>
      <w:ind w:left="440"/>
      <w:jc w:val="left"/>
      <w:spacing w:after="100" w:line="259" w:lineRule="auto"/>
      <w:widowControl/>
    </w:pPr>
    <w:rPr>
      <w:rFonts w:ascii="等线" w:hAnsi="等线" w:eastAsia="等线"/>
      <w:sz w:val="22"/>
      <w:szCs w:val="22"/>
    </w:rPr>
  </w:style>
  <w:style w:type="paragraph" w:styleId="1098" w:customStyle="1">
    <w:name w:val="目录 81"/>
    <w:basedOn w:val="821"/>
    <w:next w:val="821"/>
    <w:uiPriority w:val="39"/>
    <w:unhideWhenUsed/>
    <w:qFormat/>
    <w:pPr>
      <w:ind w:left="2940"/>
    </w:pPr>
    <w:rPr>
      <w:rFonts w:ascii="等线" w:hAnsi="等线" w:eastAsia="等线"/>
      <w:szCs w:val="22"/>
    </w:rPr>
  </w:style>
  <w:style w:type="paragraph" w:styleId="1099" w:customStyle="1">
    <w:name w:val="目录 11"/>
    <w:basedOn w:val="821"/>
    <w:next w:val="821"/>
    <w:uiPriority w:val="39"/>
    <w:qFormat/>
    <w:rPr>
      <w:rFonts w:ascii="仿宋_GB2312" w:eastAsia="仿宋_GB2312"/>
      <w:sz w:val="24"/>
    </w:rPr>
  </w:style>
  <w:style w:type="paragraph" w:styleId="1100" w:customStyle="1">
    <w:name w:val="目录 41"/>
    <w:basedOn w:val="821"/>
    <w:next w:val="821"/>
    <w:uiPriority w:val="39"/>
    <w:unhideWhenUsed/>
    <w:qFormat/>
    <w:pPr>
      <w:ind w:left="1260"/>
    </w:pPr>
    <w:rPr>
      <w:rFonts w:ascii="等线" w:hAnsi="等线" w:eastAsia="等线"/>
      <w:szCs w:val="22"/>
    </w:rPr>
  </w:style>
  <w:style w:type="paragraph" w:styleId="1101" w:customStyle="1">
    <w:name w:val="目录 61"/>
    <w:basedOn w:val="821"/>
    <w:next w:val="821"/>
    <w:uiPriority w:val="39"/>
    <w:unhideWhenUsed/>
    <w:qFormat/>
    <w:pPr>
      <w:ind w:left="2100"/>
    </w:pPr>
    <w:rPr>
      <w:rFonts w:ascii="等线" w:hAnsi="等线" w:eastAsia="等线"/>
      <w:szCs w:val="22"/>
    </w:rPr>
  </w:style>
  <w:style w:type="paragraph" w:styleId="1102" w:customStyle="1">
    <w:name w:val="目录 21"/>
    <w:basedOn w:val="821"/>
    <w:next w:val="821"/>
    <w:uiPriority w:val="39"/>
    <w:unhideWhenUsed/>
    <w:qFormat/>
    <w:pPr>
      <w:ind w:left="220"/>
      <w:jc w:val="left"/>
      <w:spacing w:after="100" w:line="259" w:lineRule="auto"/>
      <w:widowControl/>
    </w:pPr>
    <w:rPr>
      <w:rFonts w:ascii="等线" w:hAnsi="等线" w:eastAsia="等线"/>
      <w:sz w:val="22"/>
      <w:szCs w:val="22"/>
    </w:rPr>
  </w:style>
  <w:style w:type="paragraph" w:styleId="1103" w:customStyle="1">
    <w:name w:val="目录 91"/>
    <w:basedOn w:val="821"/>
    <w:next w:val="821"/>
    <w:uiPriority w:val="39"/>
    <w:unhideWhenUsed/>
    <w:qFormat/>
    <w:pPr>
      <w:ind w:left="3360"/>
    </w:pPr>
    <w:rPr>
      <w:rFonts w:ascii="等线" w:hAnsi="等线" w:eastAsia="等线"/>
      <w:szCs w:val="22"/>
    </w:rPr>
  </w:style>
  <w:style w:type="character" w:styleId="1104" w:customStyle="1">
    <w:name w:val="p0 Char"/>
    <w:link w:val="1105"/>
    <w:uiPriority w:val="0"/>
    <w:qFormat/>
    <w:rPr>
      <w:rFonts w:eastAsia="宋体"/>
      <w:sz w:val="21"/>
      <w:szCs w:val="21"/>
      <w:lang w:val="en-US" w:eastAsia="zh-CN" w:bidi="ar-SA"/>
    </w:rPr>
  </w:style>
  <w:style w:type="paragraph" w:styleId="1105" w:customStyle="1">
    <w:name w:val="p0"/>
    <w:basedOn w:val="821"/>
    <w:link w:val="1104"/>
    <w:uiPriority w:val="0"/>
    <w:qFormat/>
    <w:pPr>
      <w:widowControl/>
    </w:pPr>
    <w:rPr>
      <w:szCs w:val="21"/>
    </w:rPr>
  </w:style>
  <w:style w:type="character" w:styleId="1106" w:customStyle="1">
    <w:name w:val="标题 2 Char Char Char"/>
    <w:link w:val="821"/>
    <w:uiPriority w:val="0"/>
    <w:qFormat/>
    <w:rPr>
      <w:rFonts w:ascii="Arial" w:hAnsi="Arial" w:eastAsia="黑体"/>
      <w:b/>
      <w:bCs/>
      <w:sz w:val="32"/>
      <w:szCs w:val="32"/>
      <w:lang w:val="en-US" w:eastAsia="zh-CN" w:bidi="ar-SA"/>
    </w:rPr>
  </w:style>
  <w:style w:type="character" w:styleId="1107" w:customStyle="1">
    <w:name w:val="NormalCharacter1"/>
    <w:link w:val="821"/>
    <w:uiPriority w:val="0"/>
    <w:semiHidden/>
    <w:qFormat/>
  </w:style>
  <w:style w:type="paragraph" w:styleId="1108" w:customStyle="1">
    <w:name w:val="标题 21"/>
    <w:basedOn w:val="821"/>
    <w:next w:val="821"/>
    <w:uiPriority w:val="0"/>
    <w:qFormat/>
    <w:pPr>
      <w:jc w:val="center"/>
      <w:keepNext/>
      <w:widowControl/>
    </w:pPr>
    <w:rPr>
      <w:rFonts w:ascii="楷体_GB2312" w:eastAsia="楷体_GB2312"/>
      <w:sz w:val="18"/>
      <w:szCs w:val="20"/>
    </w:rPr>
  </w:style>
  <w:style w:type="paragraph" w:styleId="1109" w:customStyle="1">
    <w:name w:val="TOC 标题11"/>
    <w:basedOn w:val="822"/>
    <w:next w:val="82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10">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111" w:customStyle="1">
    <w:name w:val="样式1"/>
    <w:basedOn w:val="822"/>
    <w:link w:val="1112"/>
    <w:uiPriority w:val="0"/>
    <w:qFormat/>
    <w:pPr>
      <w:ind w:left="210" w:right="210"/>
    </w:pPr>
  </w:style>
  <w:style w:type="character" w:styleId="1112" w:customStyle="1">
    <w:name w:val="样式1 字符"/>
    <w:link w:val="1111"/>
    <w:uiPriority w:val="0"/>
    <w:qFormat/>
  </w:style>
  <w:style w:type="paragraph" w:styleId="1113" w:customStyle="1">
    <w:name w:val="标题 211"/>
    <w:basedOn w:val="82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14" w:customStyle="1">
    <w:name w:val="列出段落1"/>
    <w:basedOn w:val="821"/>
    <w:uiPriority w:val="1"/>
    <w:qFormat/>
    <w:pPr>
      <w:ind w:left="400" w:firstLine="420"/>
      <w:jc w:val="left"/>
    </w:pPr>
    <w:rPr>
      <w:rFonts w:ascii="宋体" w:hAnsi="宋体" w:cs="宋体"/>
      <w:sz w:val="22"/>
      <w:szCs w:val="22"/>
      <w:lang w:val="zh-CN" w:bidi="zh-CN"/>
    </w:rPr>
  </w:style>
  <w:style w:type="paragraph" w:styleId="1115" w:customStyle="1">
    <w:name w:val="Table Paragraph"/>
    <w:basedOn w:val="821"/>
    <w:uiPriority w:val="1"/>
    <w:qFormat/>
    <w:pPr>
      <w:jc w:val="left"/>
    </w:pPr>
    <w:rPr>
      <w:rFonts w:ascii="宋体" w:hAnsi="宋体" w:cs="宋体"/>
      <w:sz w:val="22"/>
      <w:szCs w:val="22"/>
      <w:lang w:val="zh-CN" w:bidi="zh-CN"/>
    </w:rPr>
  </w:style>
  <w:style w:type="character" w:styleId="1116" w:customStyle="1">
    <w:name w:val="ask-title2"/>
    <w:link w:val="821"/>
    <w:uiPriority w:val="0"/>
    <w:qFormat/>
  </w:style>
  <w:style w:type="paragraph" w:styleId="1117" w:customStyle="1">
    <w:name w:val="列出段落2"/>
    <w:basedOn w:val="821"/>
    <w:uiPriority w:val="99"/>
    <w:unhideWhenUsed/>
    <w:qFormat/>
    <w:pPr>
      <w:ind w:firstLine="420"/>
      <w:jc w:val="left"/>
    </w:pPr>
    <w:rPr>
      <w:rFonts w:ascii="宋体"/>
      <w:sz w:val="20"/>
      <w:szCs w:val="20"/>
    </w:rPr>
  </w:style>
  <w:style w:type="paragraph" w:styleId="1118" w:customStyle="1">
    <w:name w:val="纯文本1"/>
    <w:basedOn w:val="821"/>
    <w:uiPriority w:val="0"/>
    <w:qFormat/>
    <w:rPr>
      <w:rFonts w:ascii="宋体" w:hAnsi="Courier New"/>
      <w:sz w:val="20"/>
      <w:szCs w:val="21"/>
    </w:rPr>
  </w:style>
  <w:style w:type="character" w:styleId="1119" w:customStyle="1">
    <w:name w:val="纯文本 Char2"/>
    <w:link w:val="821"/>
    <w:uiPriority w:val="0"/>
    <w:qFormat/>
    <w:rPr>
      <w:rFonts w:ascii="宋体" w:hAnsi="Courier New"/>
      <w:sz w:val="21"/>
    </w:rPr>
  </w:style>
  <w:style w:type="paragraph" w:styleId="1120" w:customStyle="1">
    <w:name w:val="列出段落11"/>
    <w:basedOn w:val="821"/>
    <w:uiPriority w:val="0"/>
    <w:qFormat/>
    <w:pPr>
      <w:ind w:firstLine="420"/>
      <w:spacing w:line="0" w:lineRule="atLeast"/>
    </w:pPr>
    <w:rPr>
      <w:rFonts w:eastAsia="微软雅黑"/>
      <w:sz w:val="20"/>
      <w:szCs w:val="20"/>
    </w:rPr>
  </w:style>
  <w:style w:type="character" w:styleId="1121" w:customStyle="1">
    <w:name w:val="纯文本 Char"/>
    <w:link w:val="1122"/>
    <w:uiPriority w:val="0"/>
    <w:qFormat/>
    <w:rPr>
      <w:rFonts w:ascii="宋体" w:hAnsi="Courier New"/>
    </w:rPr>
  </w:style>
  <w:style w:type="paragraph" w:styleId="1122" w:customStyle="1">
    <w:name w:val="纯文本2"/>
    <w:basedOn w:val="821"/>
    <w:link w:val="1121"/>
    <w:uiPriority w:val="0"/>
    <w:qFormat/>
    <w:pPr>
      <w:ind w:firstLine="200"/>
      <w:spacing w:line="360" w:lineRule="auto"/>
    </w:pPr>
    <w:rPr>
      <w:rFonts w:ascii="宋体" w:hAnsi="Courier New"/>
      <w:sz w:val="20"/>
      <w:szCs w:val="20"/>
    </w:rPr>
  </w:style>
  <w:style w:type="character" w:styleId="1123" w:customStyle="1">
    <w:name w:val="页脚 Char"/>
    <w:link w:val="821"/>
    <w:uiPriority w:val="0"/>
    <w:qFormat/>
    <w:rPr>
      <w:sz w:val="18"/>
      <w:szCs w:val="18"/>
    </w:rPr>
  </w:style>
  <w:style w:type="paragraph" w:styleId="1124" w:customStyle="1">
    <w:name w:val="_Style 83"/>
    <w:basedOn w:val="821"/>
    <w:next w:val="1114"/>
    <w:uiPriority w:val="99"/>
    <w:qFormat/>
    <w:pPr>
      <w:ind w:firstLine="420"/>
    </w:pPr>
  </w:style>
  <w:style w:type="character" w:styleId="1125">
    <w:name w:val="Placeholder Text"/>
    <w:basedOn w:val="856"/>
    <w:link w:val="821"/>
    <w:uiPriority w:val="99"/>
    <w:unhideWhenUsed/>
    <w:qFormat/>
    <w:rPr>
      <w:color w:val="808080"/>
    </w:rPr>
  </w:style>
  <w:style w:type="paragraph" w:styleId="1126" w:customStyle="1">
    <w:name w:val="pf0"/>
    <w:basedOn w:val="821"/>
    <w:uiPriority w:val="0"/>
    <w:qFormat/>
    <w:pPr>
      <w:jc w:val="left"/>
      <w:spacing w:before="100" w:beforeAutospacing="1" w:after="100" w:afterAutospacing="1"/>
      <w:widowControl/>
    </w:pPr>
    <w:rPr>
      <w:rFonts w:ascii="宋体" w:hAnsi="宋体" w:cs="宋体"/>
      <w:sz w:val="24"/>
    </w:rPr>
  </w:style>
  <w:style w:type="character" w:styleId="1127" w:customStyle="1">
    <w:name w:val="cf01"/>
    <w:basedOn w:val="856"/>
    <w:link w:val="821"/>
    <w:uiPriority w:val="0"/>
    <w:qFormat/>
    <w:rPr>
      <w:rFonts w:hint="eastAsia" w:ascii="Microsoft YaHei UI" w:hAnsi="Microsoft YaHei UI" w:eastAsia="Microsoft YaHei UI"/>
      <w:sz w:val="18"/>
      <w:szCs w:val="18"/>
    </w:rPr>
  </w:style>
  <w:style w:type="character" w:styleId="1128" w:customStyle="1">
    <w:name w:val="cf11"/>
    <w:basedOn w:val="856"/>
    <w:link w:val="821"/>
    <w:uiPriority w:val="0"/>
    <w:qFormat/>
    <w:rPr>
      <w:rFonts w:hint="eastAsia" w:ascii="Microsoft YaHei UI" w:hAnsi="Microsoft YaHei UI" w:eastAsia="Microsoft YaHei UI"/>
      <w:sz w:val="18"/>
      <w:szCs w:val="18"/>
    </w:rPr>
  </w:style>
  <w:style w:type="paragraph" w:styleId="1129">
    <w:name w:val="List Paragraph"/>
    <w:basedOn w:val="821"/>
    <w:uiPriority w:val="1"/>
    <w:qFormat/>
    <w:pPr>
      <w:ind w:firstLine="420"/>
    </w:pPr>
  </w:style>
  <w:style w:type="paragraph" w:styleId="1130" w:customStyle="1">
    <w:name w:val="标题1，章节第一层"/>
    <w:basedOn w:val="821"/>
    <w:next w:val="821"/>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31" w:customStyle="1">
    <w:name w:val="标准文本"/>
    <w:basedOn w:val="821"/>
    <w:uiPriority w:val="0"/>
    <w:qFormat/>
    <w:pPr>
      <w:ind w:firstLine="480"/>
      <w:spacing w:line="360" w:lineRule="auto"/>
    </w:pPr>
    <w:rPr>
      <w:rFonts w:ascii="Calibri" w:hAnsi="Calibri" w:eastAsia="Calibri" w:cs="宋体"/>
      <w:sz w:val="24"/>
      <w:lang w:val="zh-CN"/>
    </w:rPr>
  </w:style>
  <w:style w:type="character" w:styleId="1132" w:customStyle="1">
    <w:name w:val="标准文本 Char Char"/>
    <w:link w:val="821"/>
    <w:uiPriority w:val="0"/>
    <w:qFormat/>
    <w:rPr>
      <w:rFonts w:eastAsia="宋体" w:cs="宋体"/>
      <w:sz w:val="24"/>
      <w:szCs w:val="24"/>
      <w:lang w:val="en-US" w:eastAsia="zh-CN" w:bidi="ar-SA"/>
    </w:rPr>
  </w:style>
  <w:style w:type="character" w:styleId="1133" w:customStyle="1">
    <w:name w:val="标准小四 Char Char"/>
    <w:link w:val="821"/>
    <w:uiPriority w:val="0"/>
    <w:qFormat/>
    <w:rPr>
      <w:rFonts w:ascii="Arial" w:hAnsi="Arial" w:eastAsia="宋体"/>
      <w:sz w:val="24"/>
      <w:szCs w:val="21"/>
      <w:lang w:val="en-US" w:eastAsia="zh-CN" w:bidi="ar-SA"/>
    </w:rPr>
  </w:style>
  <w:style w:type="character" w:styleId="1134" w:customStyle="1">
    <w:name w:val="标准文本 Char"/>
    <w:link w:val="821"/>
    <w:uiPriority w:val="0"/>
    <w:qFormat/>
    <w:rPr>
      <w:rFonts w:eastAsia="宋体" w:cs="宋体"/>
      <w:sz w:val="24"/>
      <w:szCs w:val="24"/>
      <w:lang w:val="en-US" w:eastAsia="zh-CN" w:bidi="ar-SA"/>
    </w:rPr>
  </w:style>
  <w:style w:type="character" w:styleId="1135" w:customStyle="1">
    <w:name w:val="未处理的提及1"/>
    <w:basedOn w:val="856"/>
    <w:link w:val="821"/>
    <w:uiPriority w:val="99"/>
    <w:unhideWhenUsed/>
    <w:qFormat/>
    <w:rPr>
      <w:color w:val="605e5c"/>
      <w:shd w:val="clear" w:color="auto" w:fill="e1dfdd"/>
    </w:rPr>
  </w:style>
  <w:style w:type="paragraph" w:styleId="1136" w:customStyle="1">
    <w:name w:val="列出段落3"/>
    <w:basedOn w:val="821"/>
    <w:uiPriority w:val="99"/>
    <w:qFormat/>
    <w:pPr>
      <w:ind w:firstLine="420"/>
    </w:pPr>
  </w:style>
  <w:style w:type="paragraph" w:styleId="1137" w:customStyle="1">
    <w:name w:val="Normal_8_0"/>
    <w:uiPriority w:val="0"/>
    <w:qFormat/>
    <w:rPr>
      <w:rFonts w:hint="default" w:ascii="Times New Roman" w:hAnsi="Times New Roman" w:eastAsia="Times New Roman" w:cs="Times New Roman"/>
      <w:sz w:val="24"/>
      <w:szCs w:val="24"/>
      <w:lang w:eastAsia="zh-CN"/>
    </w:rPr>
  </w:style>
  <w:style w:type="character" w:styleId="1138" w:customStyle="1">
    <w:name w:val="默认段落字体12"/>
    <w:link w:val="821"/>
    <w:uiPriority w:val="1"/>
    <w:unhideWhenUsed/>
    <w:qFormat/>
    <w:rPr>
      <w:rFonts w:ascii="Times New Roman" w:hAnsi="Times New Roman" w:eastAsia="宋体" w:cs="Times New Roman"/>
      <w:sz w:val="21"/>
      <w:szCs w:val="24"/>
      <w:lang w:val="en-US" w:eastAsia="zh-CN" w:bidi="ar-SA"/>
    </w:rPr>
  </w:style>
  <w:style w:type="character" w:styleId="1139" w:customStyle="1">
    <w:name w:val="font41"/>
    <w:basedOn w:val="856"/>
    <w:link w:val="821"/>
    <w:uiPriority w:val="0"/>
    <w:qFormat/>
    <w:rPr>
      <w:rFonts w:ascii="方正仿宋_GBK" w:hAnsi="方正仿宋_GBK" w:eastAsia="方正仿宋_GBK" w:cs="方正仿宋_GBK"/>
      <w:b/>
      <w:bCs/>
      <w:color w:val="000000"/>
      <w:sz w:val="22"/>
      <w:szCs w:val="22"/>
      <w:u w:val="none"/>
    </w:rPr>
  </w:style>
  <w:style w:type="character" w:styleId="1140" w:customStyle="1">
    <w:name w:val="font31"/>
    <w:basedOn w:val="856"/>
    <w:link w:val="821"/>
    <w:uiPriority w:val="0"/>
    <w:qFormat/>
    <w:rPr>
      <w:rFonts w:ascii="方正仿宋_GBK" w:hAnsi="方正仿宋_GBK" w:eastAsia="方正仿宋_GBK" w:cs="方正仿宋_GBK"/>
      <w:color w:val="000000"/>
      <w:sz w:val="22"/>
      <w:szCs w:val="22"/>
      <w:u w:val="none"/>
    </w:rPr>
  </w:style>
  <w:style w:type="character" w:styleId="1141" w:customStyle="1">
    <w:name w:val="不明显参考1"/>
    <w:link w:val="821"/>
    <w:uiPriority w:val="31"/>
    <w:qFormat/>
    <w:rPr>
      <w:smallCaps/>
    </w:rPr>
  </w:style>
  <w:style w:type="paragraph" w:styleId="1142" w:customStyle="1">
    <w:name w:val="Normal_5_0"/>
    <w:uiPriority w:val="0"/>
    <w:qFormat/>
    <w:rPr>
      <w:rFonts w:hint="default" w:ascii="Times New Roman" w:hAnsi="Times New Roman" w:eastAsia="Times New Roman" w:cs="Times New Roman"/>
      <w:sz w:val="24"/>
      <w:szCs w:val="24"/>
      <w:lang w:eastAsia="zh-CN"/>
    </w:rPr>
  </w:style>
  <w:style w:type="character" w:styleId="1143" w:customStyle="1">
    <w:name w:val="默认段落字体11"/>
    <w:link w:val="821"/>
    <w:uiPriority w:val="1"/>
    <w:unhideWhenUsed/>
    <w:qFormat/>
  </w:style>
  <w:style w:type="paragraph" w:styleId="1144" w:customStyle="1">
    <w:name w:val="Normal_17"/>
    <w:uiPriority w:val="0"/>
    <w:qFormat/>
    <w:rPr>
      <w:rFonts w:hint="default" w:ascii="Times New Roman" w:hAnsi="Times New Roman" w:eastAsia="Times New Roman" w:cs="Times New Roman"/>
      <w:sz w:val="24"/>
      <w:szCs w:val="24"/>
      <w:lang w:eastAsia="zh-CN"/>
    </w:rPr>
  </w:style>
  <w:style w:type="paragraph" w:styleId="1145" w:customStyle="1">
    <w:name w:val="Normal_0_3"/>
    <w:uiPriority w:val="0"/>
    <w:qFormat/>
    <w:rPr>
      <w:rFonts w:hint="default" w:ascii="Times New Roman" w:hAnsi="Times New Roman" w:eastAsia="Times New Roman" w:cs="Times New Roman"/>
      <w:sz w:val="24"/>
      <w:szCs w:val="24"/>
      <w:lang w:eastAsia="zh-CN"/>
    </w:rPr>
  </w:style>
  <w:style w:type="paragraph" w:styleId="1146" w:customStyle="1">
    <w:name w:val="Normal_23"/>
    <w:uiPriority w:val="0"/>
    <w:qFormat/>
    <w:rPr>
      <w:rFonts w:hint="default" w:ascii="Times New Roman" w:hAnsi="Times New Roman" w:eastAsia="Times New Roman" w:cs="Times New Roman"/>
      <w:sz w:val="24"/>
      <w:szCs w:val="24"/>
      <w:lang w:eastAsia="zh-CN"/>
    </w:rPr>
  </w:style>
  <w:style w:type="paragraph" w:styleId="1147" w:customStyle="1">
    <w:name w:val="修订1"/>
    <w:uiPriority w:val="99"/>
    <w:unhideWhenUsed/>
    <w:qFormat/>
    <w:rPr>
      <w:rFonts w:hint="default" w:ascii="Times New Roman" w:hAnsi="Times New Roman" w:eastAsia="宋体" w:cs="Times New Roman"/>
      <w:sz w:val="21"/>
      <w:szCs w:val="24"/>
      <w:lang w:eastAsia="zh-CN"/>
    </w:rPr>
  </w:style>
  <w:style w:type="paragraph" w:styleId="1148" w:customStyle="1">
    <w:name w:val="列表段落1"/>
    <w:basedOn w:val="821"/>
    <w:uiPriority w:val="99"/>
    <w:qFormat/>
    <w:pPr>
      <w:ind w:firstLine="420"/>
    </w:pPr>
  </w:style>
  <w:style w:type="character" w:styleId="1149" w:customStyle="1">
    <w:name w:val="font21"/>
    <w:basedOn w:val="856"/>
    <w:link w:val="821"/>
    <w:uiPriority w:val="0"/>
    <w:qFormat/>
    <w:rPr>
      <w:rFonts w:hint="eastAsia" w:ascii="等线" w:hAnsi="等线" w:eastAsia="等线" w:cs="等线"/>
      <w:color w:val="000000"/>
      <w:sz w:val="21"/>
      <w:szCs w:val="21"/>
      <w:u w:val="none"/>
    </w:rPr>
  </w:style>
  <w:style w:type="character" w:styleId="1150" w:customStyle="1">
    <w:name w:val="font11"/>
    <w:basedOn w:val="856"/>
    <w:link w:val="821"/>
    <w:uiPriority w:val="0"/>
    <w:qFormat/>
    <w:rPr>
      <w:rFonts w:hint="eastAsia" w:ascii="宋体" w:hAnsi="宋体" w:eastAsia="宋体" w:cs="宋体"/>
      <w:color w:val="000000"/>
      <w:sz w:val="21"/>
      <w:szCs w:val="21"/>
      <w:u w:val="none"/>
    </w:rPr>
  </w:style>
  <w:style w:type="paragraph" w:styleId="1151" w:customStyle="1">
    <w:name w:val="null3"/>
    <w:uiPriority w:val="0"/>
    <w:qFormat/>
    <w:rPr>
      <w:rFonts w:hint="default" w:ascii="等线" w:hAnsi="等线" w:eastAsia="宋体" w:cs="Arial"/>
      <w:lang w:eastAsia="en-US"/>
    </w:rPr>
  </w:style>
  <w:style w:type="paragraph" w:styleId="1152" w:customStyle="1">
    <w:name w:val="Plain Text1"/>
    <w:basedOn w:val="821"/>
    <w:uiPriority w:val="0"/>
    <w:qFormat/>
    <w:pPr>
      <w:jc w:val="left"/>
      <w:widowControl/>
    </w:pPr>
    <w:rPr>
      <w:rFonts w:ascii="宋体" w:hAnsi="Courier New" w:eastAsia="楷体_GB2312"/>
      <w:sz w:val="26"/>
      <w:szCs w:val="20"/>
    </w:rPr>
  </w:style>
  <w:style w:type="paragraph" w:styleId="1153" w:customStyle="1">
    <w:name w:val="标题 41"/>
    <w:basedOn w:val="821"/>
    <w:next w:val="1154"/>
    <w:uiPriority w:val="0"/>
    <w:qFormat/>
    <w:pPr>
      <w:keepNext/>
      <w:spacing w:before="240" w:after="60"/>
      <w:outlineLvl w:val="3"/>
    </w:pPr>
    <w:rPr>
      <w:b/>
      <w:bCs/>
      <w:sz w:val="28"/>
      <w:szCs w:val="28"/>
    </w:rPr>
  </w:style>
  <w:style w:type="paragraph" w:styleId="1154" w:customStyle="1">
    <w:name w:val="正文缩进1"/>
    <w:basedOn w:val="821"/>
    <w:uiPriority w:val="99"/>
    <w:unhideWhenUsed/>
    <w:qFormat/>
    <w:pPr>
      <w:ind w:firstLine="420"/>
      <w:jc w:val="left"/>
    </w:pPr>
    <w:rPr>
      <w:sz w:val="24"/>
    </w:rPr>
  </w:style>
  <w:style w:type="paragraph" w:styleId="1155" w:customStyle="1">
    <w:name w:val="Revision"/>
    <w:uiPriority w:val="99"/>
    <w:unhideWhenUsed/>
    <w:qFormat/>
    <w:rPr>
      <w:rFonts w:hint="default" w:ascii="Times New Roman" w:hAnsi="Times New Roman" w:eastAsia="宋体" w:cs="Times New Roman"/>
      <w:sz w:val="21"/>
      <w:szCs w:val="24"/>
      <w:lang w:eastAsia="zh-CN"/>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17</cp:revision>
  <dcterms:created xsi:type="dcterms:W3CDTF">2023-10-16T02:18:00Z</dcterms:created>
  <dcterms:modified xsi:type="dcterms:W3CDTF">2026-07-06T02:45:59Z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7413AA1A4F404FDB887786C4B6E10680_13</vt:lpwstr>
  </property>
  <property fmtid="{D5CDD505-2E9C-101B-9397-08002B2CF9AE}" pid="4" name="KSOTemplateDocerSaveRecord">
    <vt:lpwstr>eyJoZGlkIjoiZDJkOTgxMDBiZjk5ZWM3OGRmOWNkZWM4NzVkOTU5NWEiLCJ1c2VySWQiOiIxNTYwNDAxOTY1In0=</vt:lpwstr>
  </property>
</Properties>
</file>