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rPr>
      </w:pPr>
      <w:r>
        <w:rPr>
          <w:rFonts w:hint="eastAsia" w:ascii="楷体" w:hAnsi="楷体" w:eastAsia="楷体"/>
          <w:b/>
          <w:sz w:val="72"/>
          <w:szCs w:val="72"/>
        </w:rPr>
      </w:r>
      <w:r/>
    </w:p>
    <w:p>
      <w:pPr>
        <w:jc w:val="left"/>
        <w:spacing w:line="1040" w:lineRule="exact"/>
        <w:tabs>
          <w:tab w:val="left" w:pos="7251" w:leader="none"/>
        </w:tabs>
        <w:rPr>
          <w:rFonts w:hint="eastAsia" w:ascii="黑体" w:hAnsi="黑体" w:eastAsia="黑体"/>
          <w:b/>
          <w:sz w:val="72"/>
          <w:szCs w:val="72"/>
        </w:rPr>
      </w:pPr>
      <w:r>
        <w:rPr>
          <w:rFonts w:hint="eastAsia" w:ascii="黑体" w:hAnsi="黑体" w:eastAsia="黑体"/>
          <w:b/>
          <w:sz w:val="72"/>
          <w:szCs w:val="72"/>
        </w:rPr>
      </w:r>
      <w:r>
        <w:tab/>
      </w:r>
      <w:r/>
    </w:p>
    <w:p>
      <w:pPr>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hint="eastAsia" w:ascii="黑体" w:hAnsi="黑体" w:eastAsia="黑体"/>
          <w:b/>
          <w:sz w:val="72"/>
        </w:rPr>
      </w:pPr>
      <w:r>
        <w:rPr>
          <w:rFonts w:hint="eastAsia" w:ascii="黑体" w:hAnsi="黑体" w:eastAsia="黑体"/>
          <w:b/>
          <w:sz w:val="7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left="5411" w:hanging="3975"/>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垃圾中转站设施设备、公厕新建及改造项目</w:t>
      </w:r>
      <w:r/>
    </w:p>
    <w:p>
      <w:pPr>
        <w:ind w:left="5405" w:hanging="2891"/>
        <w:spacing w:line="760" w:lineRule="exact"/>
        <w:rPr>
          <w:rFonts w:hint="eastAsia" w:ascii="黑体" w:hAnsi="黑体" w:eastAsia="黑体"/>
          <w:b/>
          <w:sz w:val="36"/>
          <w:lang w:val="en-US" w:eastAsia="zh-CN"/>
        </w:rPr>
      </w:pPr>
      <w:r>
        <w:rPr>
          <w:rFonts w:hint="eastAsia" w:ascii="黑体" w:hAnsi="黑体" w:eastAsia="黑体"/>
          <w:b/>
          <w:sz w:val="36"/>
          <w:szCs w:val="36"/>
          <w:lang w:eastAsia="zh-CN"/>
        </w:rPr>
        <w:t xml:space="preserve">（地埋水平压缩式设备采购）</w:t>
      </w:r>
      <w:r>
        <w:rPr>
          <w:rFonts w:hint="eastAsia" w:ascii="黑体" w:hAnsi="黑体" w:eastAsia="黑体"/>
          <w:b/>
          <w:sz w:val="36"/>
          <w:lang w:val="en-US" w:eastAsia="zh-CN"/>
        </w:rPr>
        <w:t xml:space="preserve"> </w:t>
      </w:r>
      <w:r/>
    </w:p>
    <w:p>
      <w:pPr>
        <w:spacing w:line="760" w:lineRule="exact"/>
        <w:rPr>
          <w:rFonts w:hint="eastAsia" w:ascii="黑体" w:hAnsi="黑体" w:eastAsia="黑体"/>
          <w:b/>
          <w:sz w:val="36"/>
        </w:rPr>
      </w:pPr>
      <w:r>
        <w:rPr>
          <w:rFonts w:hint="eastAsia" w:ascii="黑体" w:hAnsi="黑体" w:eastAsia="黑体"/>
          <w:b/>
          <w:sz w:val="36"/>
        </w:rPr>
      </w:r>
      <w:r/>
    </w:p>
    <w:p>
      <w:pPr>
        <w:ind w:firstLine="1579"/>
        <w:spacing w:line="760" w:lineRule="exact"/>
        <w:rPr>
          <w:rFonts w:hint="eastAsia" w:ascii="黑体" w:hAnsi="黑体" w:eastAsia="黑体"/>
          <w:b/>
          <w:sz w:val="36"/>
          <w:lang w:val="en-US" w:eastAsia="zh-CN"/>
        </w:rPr>
      </w:pPr>
      <w:r>
        <w:rPr>
          <w:rFonts w:hint="eastAsia" w:ascii="黑体" w:hAnsi="黑体" w:eastAsia="黑体"/>
          <w:b/>
          <w:sz w:val="36"/>
        </w:rPr>
        <w:t xml:space="preserve">项目编号:</w:t>
      </w:r>
      <w:r>
        <w:rPr>
          <w:rFonts w:hint="eastAsia" w:ascii="黑体" w:hAnsi="黑体" w:eastAsia="黑体"/>
          <w:b/>
          <w:sz w:val="36"/>
          <w:lang w:val="en-US" w:eastAsia="zh-CN"/>
        </w:rPr>
        <w:t xml:space="preserve">JSZC-320812-YSJS-G2026-0012</w:t>
      </w:r>
      <w:r/>
    </w:p>
    <w:p>
      <w:pPr>
        <w:ind w:left="-359" w:firstLine="360"/>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rPr>
      </w:pPr>
      <w:r>
        <w:rPr>
          <w:rFonts w:hint="eastAsia"/>
        </w:rPr>
      </w:r>
      <w:r/>
    </w:p>
    <w:p>
      <w:pPr>
        <w:rPr>
          <w:rFonts w:hint="eastAsia"/>
        </w:rPr>
      </w:pPr>
      <w:r>
        <w:rPr>
          <w:rFonts w:hint="eastAsia"/>
        </w:rPr>
      </w:r>
      <w:r/>
    </w:p>
    <w:p>
      <w:pPr>
        <w:rPr>
          <w:rFonts w:hint="eastAsia" w:ascii="黑体" w:hAnsi="黑体" w:eastAsia="黑体"/>
          <w:b/>
          <w:sz w:val="32"/>
        </w:rPr>
      </w:pPr>
      <w:r>
        <w:rPr>
          <w:rFonts w:hint="eastAsia" w:ascii="黑体" w:hAnsi="黑体" w:eastAsia="黑体"/>
          <w:b/>
          <w:sz w:val="32"/>
        </w:rPr>
      </w:r>
      <w:r/>
    </w:p>
    <w:p>
      <w:pPr>
        <w:jc w:val="center"/>
        <w:spacing w:line="600" w:lineRule="exact"/>
        <w:tabs>
          <w:tab w:val="center" w:pos="5215" w:leader="none"/>
        </w:tabs>
        <w:rPr>
          <w:rFonts w:hint="eastAsia" w:ascii="黑体" w:hAnsi="黑体" w:eastAsia="黑体"/>
          <w:b/>
          <w:sz w:val="36"/>
          <w:szCs w:val="36"/>
          <w:lang w:eastAsia="zh-CN"/>
        </w:rPr>
      </w:pPr>
      <w:r>
        <w:rPr>
          <w:rFonts w:hint="eastAsia" w:ascii="黑体" w:hAnsi="黑体" w:eastAsia="黑体"/>
          <w:b/>
          <w:sz w:val="36"/>
          <w:szCs w:val="36"/>
          <w:lang w:eastAsia="zh-CN"/>
        </w:rPr>
        <w:t xml:space="preserve">江苏永实工程项目管理有限公司</w:t>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〇</w:t>
      </w: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七</w:t>
      </w:r>
      <w:r>
        <w:rPr>
          <w:rFonts w:hint="eastAsia" w:ascii="黑体" w:hAnsi="黑体" w:eastAsia="黑体"/>
          <w:b/>
          <w:sz w:val="36"/>
          <w:szCs w:val="36"/>
        </w:rPr>
        <w:t xml:space="preserve">月</w:t>
      </w:r>
      <w:r/>
    </w:p>
    <w:p>
      <w:pPr>
        <w:rPr>
          <w:rFonts w:hint="eastAsia" w:ascii="宋体" w:hAnsi="宋体"/>
          <w:sz w:val="24"/>
        </w:rPr>
      </w:pPr>
      <w:r>
        <w:rPr>
          <w:rFonts w:hint="eastAsia" w:ascii="宋体" w:hAnsi="宋体"/>
          <w:sz w:val="24"/>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t xml:space="preserve">受淮安市清江浦区环卫事业管理服务中心的委托，</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就</w:t>
      </w:r>
      <w:r>
        <w:rPr>
          <w:rFonts w:hint="eastAsia" w:ascii="仿宋" w:hAnsi="仿宋" w:eastAsia="仿宋"/>
          <w:sz w:val="28"/>
          <w:szCs w:val="28"/>
          <w:lang w:eastAsia="zh-CN"/>
        </w:rPr>
        <w:t xml:space="preserve">垃圾中转站设施设备、公厕新建及改造项目（地埋水平压缩式设备采购）</w:t>
      </w:r>
      <w:r>
        <w:rPr>
          <w:rFonts w:hint="eastAsia" w:ascii="仿宋" w:hAnsi="仿宋" w:eastAsia="仿宋"/>
          <w:sz w:val="28"/>
          <w:szCs w:val="28"/>
        </w:rPr>
        <w:t xml:space="preserve">进行公开招标采购，现邀请符合条件的供应商参加投标。</w: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6319520" cy="1167130"/>
                <wp:effectExtent l="5080" t="4445" r="19050" b="9525"/>
                <wp:wrapNone/>
                <wp:docPr id="1" name="矩形 1"/>
                <wp:cNvGraphicFramePr/>
                <a:graphic xmlns:a="http://schemas.openxmlformats.org/drawingml/2006/main">
                  <a:graphicData uri="http://schemas.microsoft.com/office/word/2010/wordprocessingShape">
                    <wps:wsp>
                      <wps:cNvPr id="0" name=""/>
                      <wps:cNvSpPr/>
                      <wps:spPr bwMode="auto">
                        <a:xfrm>
                          <a:off x="0" y="0"/>
                          <a:ext cx="6319520" cy="1167130"/>
                        </a:xfrm>
                        <a:prstGeom prst="rect">
                          <a:avLst/>
                        </a:prstGeom>
                        <a:solidFill>
                          <a:srgbClr val="FFFFFF"/>
                        </a:solidFill>
                        <a:ln>
                          <a:solidFill>
                            <a:srgbClr val="000000"/>
                          </a:solidFill>
                        </a:ln>
                      </wps:spPr>
                      <wps:txbx>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垃圾中转站设施设备、公厕新建及改造项目（地埋水平压缩式设备采购）</w:t>
                            </w:r>
                            <w:r>
                              <w:rPr>
                                <w:rFonts w:hint="eastAsia" w:ascii="仿宋" w:hAnsi="仿宋" w:eastAsia="仿宋"/>
                                <w:sz w:val="28"/>
                                <w:szCs w:val="28"/>
                              </w:rPr>
                              <w:t xml:space="preserve">的潜在供应商应在淮安市政府采购网自行免费下载招标文件，并于</w:t>
                            </w:r>
                            <w:r>
                              <w:rPr>
                                <w:rFonts w:hint="eastAsia" w:ascii="仿宋" w:hAnsi="仿宋" w:eastAsia="仿宋"/>
                                <w:sz w:val="28"/>
                                <w:szCs w:val="28"/>
                                <w:lang w:eastAsia="zh-CN"/>
                              </w:rPr>
                              <w:t xml:space="preserve">2026年</w:t>
                            </w:r>
                            <w:r>
                              <w:rPr>
                                <w:rFonts w:hint="eastAsia" w:ascii="仿宋" w:hAnsi="仿宋" w:eastAsia="仿宋"/>
                                <w:sz w:val="28"/>
                                <w:szCs w:val="28"/>
                                <w:lang w:val="en-US" w:eastAsia="zh-CN"/>
                              </w:rPr>
                              <w:t xml:space="preserve">8月24</w:t>
                            </w:r>
                            <w:r>
                              <w:rPr>
                                <w:rFonts w:hint="eastAsia" w:ascii="仿宋" w:hAnsi="仿宋" w:eastAsia="仿宋"/>
                                <w:sz w:val="28"/>
                                <w:szCs w:val="28"/>
                                <w:lang w:eastAsia="zh-CN"/>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lang w:eastAsia="zh-CN"/>
                              </w:rPr>
                              <w:t xml:space="preserve">分</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97.6pt;height:91.9pt;mso-wrap-distance-left:9.0pt;mso-wrap-distance-top:0.0pt;mso-wrap-distance-right:9.0pt;mso-wrap-distance-bottom:0.0pt;visibility:visible;" fillcolor="#FFFFFF" strokecolor="#000000">
                <v:textbox inset="0,0,0,0">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垃圾中转站设施设备、公厕新建及改造项目（地埋水平压缩式设备采购）</w:t>
                      </w:r>
                      <w:r>
                        <w:rPr>
                          <w:rFonts w:hint="eastAsia" w:ascii="仿宋" w:hAnsi="仿宋" w:eastAsia="仿宋"/>
                          <w:sz w:val="28"/>
                          <w:szCs w:val="28"/>
                        </w:rPr>
                        <w:t xml:space="preserve">的潜在供应商应在淮安市政府采购网自行免费下载招标文件，并于</w:t>
                      </w:r>
                      <w:r>
                        <w:rPr>
                          <w:rFonts w:hint="eastAsia" w:ascii="仿宋" w:hAnsi="仿宋" w:eastAsia="仿宋"/>
                          <w:sz w:val="28"/>
                          <w:szCs w:val="28"/>
                          <w:lang w:eastAsia="zh-CN"/>
                        </w:rPr>
                        <w:t xml:space="preserve">2026年</w:t>
                      </w:r>
                      <w:r>
                        <w:rPr>
                          <w:rFonts w:hint="eastAsia" w:ascii="仿宋" w:hAnsi="仿宋" w:eastAsia="仿宋"/>
                          <w:sz w:val="28"/>
                          <w:szCs w:val="28"/>
                          <w:lang w:val="en-US" w:eastAsia="zh-CN"/>
                        </w:rPr>
                        <w:t xml:space="preserve">8月24</w:t>
                      </w:r>
                      <w:r>
                        <w:rPr>
                          <w:rFonts w:hint="eastAsia" w:ascii="仿宋" w:hAnsi="仿宋" w:eastAsia="仿宋"/>
                          <w:sz w:val="28"/>
                          <w:szCs w:val="28"/>
                          <w:lang w:eastAsia="zh-CN"/>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lang w:eastAsia="zh-CN"/>
                        </w:rPr>
                        <w:t xml:space="preserve">分</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t xml:space="preserve">一、项目基本情况</w:t>
      </w:r>
      <w:r/>
    </w:p>
    <w:p>
      <w:pPr>
        <w:ind w:firstLine="280"/>
        <w:spacing w:line="520" w:lineRule="exact"/>
        <w:rPr>
          <w:rFonts w:hint="eastAsia" w:ascii="仿宋" w:hAnsi="仿宋" w:eastAsia="仿宋"/>
          <w:sz w:val="28"/>
          <w:szCs w:val="28"/>
          <w:lang w:eastAsia="zh-CN"/>
        </w:rPr>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JSZC-320812-YSJS-G2026-0012</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垃圾中转站设施设备、公厕新建及改造项目（地埋水平压缩式设备采购）</w:t>
      </w:r>
      <w:r>
        <w:rPr>
          <w:rFonts w:hint="eastAsia" w:ascii="仿宋" w:hAnsi="仿宋" w:eastAsia="仿宋"/>
          <w:sz w:val="28"/>
          <w:szCs w:val="28"/>
        </w:rPr>
        <w:t xml:space="preserve"> </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720</w:t>
      </w:r>
      <w:r>
        <w:rPr>
          <w:rFonts w:hint="eastAsia" w:ascii="仿宋" w:hAnsi="仿宋" w:eastAsia="仿宋"/>
          <w:sz w:val="28"/>
          <w:szCs w:val="28"/>
        </w:rPr>
        <w:t xml:space="preserve">万元</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720</w:t>
      </w:r>
      <w:r>
        <w:rPr>
          <w:rFonts w:hint="eastAsia" w:ascii="仿宋" w:hAnsi="仿宋" w:eastAsia="仿宋"/>
          <w:sz w:val="28"/>
          <w:szCs w:val="28"/>
        </w:rPr>
        <w:t xml:space="preserve">万元</w:t>
      </w:r>
      <w:r/>
    </w:p>
    <w:p>
      <w:pPr>
        <w:ind w:firstLine="280"/>
        <w:spacing w:line="520" w:lineRule="exact"/>
        <w:rPr>
          <w:rFonts w:hint="eastAsia" w:ascii="仿宋" w:hAnsi="仿宋" w:eastAsia="仿宋"/>
          <w:color w:val="auto"/>
          <w:sz w:val="28"/>
          <w:szCs w:val="28"/>
        </w:rPr>
      </w:pPr>
      <w:r>
        <w:rPr>
          <w:rFonts w:hint="eastAsia" w:ascii="仿宋" w:hAnsi="仿宋" w:eastAsia="仿宋"/>
          <w:sz w:val="28"/>
          <w:szCs w:val="28"/>
        </w:rPr>
        <w:t xml:space="preserve">（五）采购需求:地埋水平压缩式12立方中转站设备16套，详细内容</w:t>
      </w:r>
      <w:r>
        <w:rPr>
          <w:rFonts w:hint="eastAsia" w:ascii="仿宋" w:hAnsi="仿宋" w:eastAsia="仿宋"/>
          <w:color w:val="auto"/>
          <w:sz w:val="28"/>
          <w:szCs w:val="28"/>
        </w:rPr>
        <w:t xml:space="preserve">见本招标文件第五章。</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（六）合同履行期限:合同签订后，中标供应商接到采购人供货通知15日内供货安装调试到位并交付采购人使用。（供货数量以采购人通知为准，实行分批供货，不一次性完成全部交付。） </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（七）本项目不接受联合体投标。</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（八）本项目采购标的对应的中小企业划分标准所属行业为</w:t>
      </w:r>
      <w:r>
        <w:rPr>
          <w:rFonts w:hint="eastAsia" w:ascii="仿宋" w:hAnsi="仿宋" w:eastAsia="仿宋"/>
          <w:color w:val="auto"/>
          <w:sz w:val="28"/>
          <w:szCs w:val="28"/>
          <w:u w:val="single"/>
        </w:rPr>
        <w:t xml:space="preserve">工业</w:t>
      </w:r>
      <w:r>
        <w:rPr>
          <w:rFonts w:hint="eastAsia" w:ascii="仿宋" w:hAnsi="仿宋" w:eastAsia="仿宋"/>
          <w:color w:val="auto"/>
          <w:sz w:val="28"/>
          <w:szCs w:val="28"/>
        </w:rPr>
        <w:t xml:space="preserve">。</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二、申请人的资格要求:</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（一）符合《中华人民共和国政府采购法》第二十二条规定；</w:t>
      </w:r>
      <w:r/>
    </w:p>
    <w:p>
      <w:pPr>
        <w:ind w:firstLine="28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（二）落实政府采购政策需满足的资格要求:</w:t>
      </w: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lang w:val="zh-CN"/>
        </w:rPr>
        <w:t xml:space="preserve">以下第</w:t>
      </w:r>
      <w:r>
        <w:rPr>
          <w:rFonts w:hint="eastAsia" w:ascii="仿宋" w:hAnsi="仿宋" w:eastAsia="仿宋"/>
          <w:color w:val="auto"/>
          <w:sz w:val="28"/>
          <w:szCs w:val="28"/>
          <w:u w:val="single"/>
        </w:rPr>
        <w:t xml:space="preserve"> 1 </w:t>
      </w:r>
      <w:r>
        <w:rPr>
          <w:rFonts w:hint="eastAsia" w:ascii="仿宋" w:hAnsi="仿宋" w:eastAsia="仿宋"/>
          <w:color w:val="auto"/>
          <w:sz w:val="28"/>
          <w:szCs w:val="28"/>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zh-CN"/>
        </w:rPr>
        <w:t xml:space="preserve">1</w:t>
      </w:r>
      <w:r>
        <w:rPr>
          <w:rFonts w:hint="eastAsia" w:ascii="仿宋" w:hAnsi="仿宋" w:eastAsia="仿宋"/>
          <w:color w:val="auto"/>
          <w:sz w:val="28"/>
          <w:szCs w:val="28"/>
        </w:rPr>
        <w:t xml:space="preserve">.</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color w:val="auto"/>
          <w:sz w:val="28"/>
          <w:szCs w:val="28"/>
          <w:lang w:val="zh-CN"/>
        </w:rPr>
        <w:t xml:space="preserve">（1）本项目要求供应商以联合体形式参加，中小企业合同</w:t>
      </w:r>
      <w:r>
        <w:rPr>
          <w:rFonts w:hint="eastAsia" w:ascii="仿宋" w:hAnsi="仿宋" w:eastAsia="仿宋"/>
          <w:sz w:val="28"/>
          <w:szCs w:val="28"/>
          <w:lang w:val="zh-CN"/>
        </w:rPr>
        <w:t xml:space="preserve">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对小微企业报价给予扣除，用扣除后的价格参加评审，具体详见第二章“供应商须知”第33.1项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spacing w:line="520" w:lineRule="exact"/>
        <w:rPr>
          <w:rFonts w:hint="eastAsia" w:ascii="仿宋" w:hAnsi="仿宋" w:eastAsia="仿宋"/>
          <w:sz w:val="28"/>
          <w:szCs w:val="28"/>
        </w:rPr>
      </w:pPr>
      <w:r>
        <w:rPr>
          <w:rFonts w:hint="eastAsia" w:ascii="仿宋" w:hAnsi="仿宋" w:eastAsia="仿宋"/>
          <w:sz w:val="28"/>
          <w:szCs w:val="28"/>
        </w:rPr>
        <w:t xml:space="preserve">（三）本项目的特定资格要求:无。</w:t>
      </w:r>
      <w:r/>
    </w:p>
    <w:p>
      <w:pPr>
        <w:spacing w:line="520" w:lineRule="exact"/>
        <w:rPr>
          <w:rFonts w:hint="eastAsia" w:ascii="仿宋" w:hAnsi="仿宋" w:eastAsia="仿宋"/>
          <w:sz w:val="28"/>
          <w:szCs w:val="28"/>
        </w:rPr>
      </w:pPr>
      <w:r>
        <w:rPr>
          <w:rFonts w:hint="eastAsia" w:ascii="仿宋" w:hAnsi="仿宋" w:eastAsia="仿宋" w:cs="宋体"/>
          <w:sz w:val="28"/>
          <w:szCs w:val="28"/>
        </w:rPr>
        <w:t xml:space="preserve">（四）拒绝下述条件的供应商参加本次采购活动: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w:t>
      </w:r>
      <w:r>
        <w:rPr>
          <w:rFonts w:ascii="仿宋" w:hAnsi="仿宋" w:eastAsia="仿宋"/>
          <w:sz w:val="28"/>
          <w:szCs w:val="28"/>
        </w:rPr>
        <w:t xml:space="preserve">单位负责人为同一人或者存在直接控股、管理关系的不同供应商，不得</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p>
    <w:p>
      <w:pPr>
        <w:ind w:firstLine="560"/>
        <w:spacing w:line="520" w:lineRule="exact"/>
        <w:rPr>
          <w:rFonts w:hint="eastAsia"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为采购项目提供整体设计、规范编制或者项目管理、监理、检测等服务的供应商，不得再参加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3.供应商被“信用中国”网站、“中国政府采购网”列入失信被执行人、重大税收违法案件当事人名单、政府采购严重违法失信行为记录名单。</w:t>
      </w:r>
      <w:r/>
    </w:p>
    <w:p>
      <w:pPr>
        <w:spacing w:line="520" w:lineRule="exact"/>
        <w:rPr>
          <w:rFonts w:hint="eastAsia"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时间:自招标公告发布之日起五个工作日。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方式：在“淮安市政府采购网”自行免费下载招标文件。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652"/>
        <w:spacing w:line="520" w:lineRule="exact"/>
        <w:rPr>
          <w:rFonts w:hint="eastAsia" w:ascii="仿宋" w:hAnsi="仿宋" w:eastAsia="仿宋"/>
          <w:sz w:val="28"/>
          <w:szCs w:val="28"/>
        </w:rPr>
      </w:pPr>
      <w:r>
        <w:rPr>
          <w:rFonts w:hint="eastAsia" w:ascii="仿宋" w:hAnsi="仿宋" w:eastAsia="仿宋"/>
          <w:sz w:val="28"/>
          <w:szCs w:val="28"/>
        </w:rPr>
        <w:t xml:space="preserve">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8月24</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时</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w:t>
      </w:r>
      <w:r/>
    </w:p>
    <w:p>
      <w:pPr>
        <w:ind w:firstLine="652"/>
        <w:spacing w:line="520" w:lineRule="exact"/>
        <w:rPr>
          <w:rFonts w:hint="eastAsia" w:ascii="仿宋" w:hAnsi="仿宋" w:eastAsia="仿宋"/>
          <w:sz w:val="28"/>
          <w:szCs w:val="28"/>
        </w:rPr>
      </w:pPr>
      <w:r>
        <w:rPr>
          <w:rFonts w:hint="eastAsia" w:ascii="仿宋" w:hAnsi="仿宋" w:eastAsia="仿宋"/>
          <w:sz w:val="28"/>
          <w:szCs w:val="28"/>
        </w:rPr>
        <w:t xml:space="preserve">投标文件上传地址：“苏采云”政府采购交易系统网上开标大厅。</w:t>
      </w:r>
      <w:r/>
    </w:p>
    <w:p>
      <w:pPr>
        <w:ind w:firstLine="652"/>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开标地点：淮安市北京北路99号清江浦区公共资源交易中心不见面开标室</w:t>
      </w:r>
      <w:r/>
    </w:p>
    <w:p>
      <w:pPr>
        <w:spacing w:line="520" w:lineRule="exact"/>
        <w:rPr>
          <w:rFonts w:hint="eastAsia"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自本公告发布之日起五个工作日。</w:t>
      </w:r>
      <w:r/>
    </w:p>
    <w:p>
      <w:pPr>
        <w:spacing w:line="520" w:lineRule="exact"/>
        <w:rPr>
          <w:rFonts w:hint="eastAsia"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spacing w:line="520" w:lineRule="exact"/>
        <w:rPr>
          <w:rFonts w:hint="eastAsia"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1.采购人联系方式</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名    称：淮安市清江浦区环卫事业管理服务中心</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地    址: 淮安市清江浦区健康西路81号</w:t>
      </w:r>
      <w:r/>
    </w:p>
    <w:p>
      <w:pPr>
        <w:ind w:firstLine="565"/>
        <w:spacing w:line="520" w:lineRule="exact"/>
        <w:rPr>
          <w:rFonts w:hint="eastAsia" w:ascii="仿宋" w:hAnsi="仿宋" w:eastAsia="仿宋" w:cs="仿宋"/>
          <w:bCs/>
          <w:sz w:val="28"/>
          <w:szCs w:val="28"/>
        </w:rPr>
      </w:pPr>
      <w:r>
        <w:rPr>
          <w:rFonts w:hint="eastAsia" w:ascii="仿宋" w:hAnsi="仿宋" w:eastAsia="仿宋"/>
          <w:sz w:val="28"/>
          <w:szCs w:val="28"/>
        </w:rPr>
        <w:t xml:space="preserve">联系方式:戴科长      联系电话：</w:t>
      </w:r>
      <w:r>
        <w:rPr>
          <w:rFonts w:hint="eastAsia" w:ascii="仿宋" w:hAnsi="仿宋" w:eastAsia="仿宋" w:cs="仿宋"/>
          <w:bCs/>
          <w:sz w:val="28"/>
          <w:szCs w:val="28"/>
        </w:rPr>
        <w:t xml:space="preserve">13952308339</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lang w:eastAsia="zh-CN"/>
        </w:rPr>
        <w:t xml:space="preserve">江苏永实工程项目管理有限公司</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地    址:</w:t>
      </w:r>
      <w:r>
        <w:rPr>
          <w:rFonts w:hint="eastAsia" w:ascii="仿宋" w:hAnsi="仿宋" w:eastAsia="仿宋"/>
          <w:sz w:val="28"/>
          <w:szCs w:val="28"/>
          <w:lang w:val="en-US" w:eastAsia="zh-CN"/>
        </w:rPr>
        <w:t xml:space="preserve">淮安市经济技术开发区留学生创业园1号楼211室</w:t>
      </w:r>
      <w:r/>
    </w:p>
    <w:p>
      <w:pPr>
        <w:ind w:firstLine="565"/>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张维</w:t>
      </w:r>
      <w:r>
        <w:rPr>
          <w:rFonts w:hint="eastAsia" w:ascii="仿宋" w:hAnsi="仿宋" w:eastAsia="仿宋"/>
          <w:sz w:val="28"/>
          <w:szCs w:val="28"/>
        </w:rPr>
        <w:t xml:space="preserve">      联系电话：</w:t>
      </w:r>
      <w:r>
        <w:rPr>
          <w:rFonts w:hint="eastAsia" w:ascii="仿宋" w:hAnsi="仿宋" w:eastAsia="仿宋" w:cs="仿宋"/>
          <w:bCs/>
          <w:sz w:val="28"/>
          <w:szCs w:val="28"/>
          <w:lang w:val="en-US" w:eastAsia="zh-CN"/>
        </w:rPr>
        <w:t xml:space="preserve">18936389198</w:t>
      </w:r>
      <w:r/>
    </w:p>
    <w:p>
      <w:pPr>
        <w:spacing w:line="520" w:lineRule="exact"/>
        <w:rPr>
          <w:rFonts w:hint="eastAsia"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在“淮安市政府采购网”发布的更正公告。</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本项目不收取投标保证金。</w:t>
      </w:r>
      <w:r/>
    </w:p>
    <w:p>
      <w:pPr>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sz w:val="28"/>
          <w:szCs w:val="28"/>
        </w:rPr>
        <w:t xml:space="preserve"> </w:t>
      </w:r>
      <w:r>
        <w:rPr>
          <w:rFonts w:hint="eastAsia" w:ascii="仿宋" w:hAnsi="仿宋" w:eastAsia="仿宋"/>
          <w:b/>
          <w:sz w:val="36"/>
          <w:szCs w:val="36"/>
        </w:rPr>
        <w:t xml:space="preserve">第二章  供应商须知</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1.1本招标文件仅适用于本次投标邀请中所述项目的采购。</w:t>
      </w:r>
      <w:r/>
    </w:p>
    <w:p>
      <w:pPr>
        <w:spacing w:line="520" w:lineRule="exact"/>
        <w:rPr>
          <w:rFonts w:hint="eastAsia" w:ascii="仿宋" w:hAnsi="仿宋" w:eastAsia="仿宋"/>
          <w:sz w:val="28"/>
          <w:szCs w:val="28"/>
        </w:rPr>
      </w:pPr>
      <w:r>
        <w:rPr>
          <w:rFonts w:hint="eastAsia" w:ascii="仿宋" w:hAnsi="仿宋" w:eastAsia="仿宋"/>
          <w:sz w:val="28"/>
          <w:szCs w:val="28"/>
        </w:rPr>
        <w:t xml:space="preserve">2.合格的供应商</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满足第一章投标邀请中供应商资格要求的规定。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4.1 供应商应自行承担所有与参加投标有关的费用。不论投标的结果如何，</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（以下简称采购代理机构）和</w:t>
      </w:r>
      <w:r>
        <w:rPr>
          <w:rFonts w:hint="eastAsia" w:ascii="仿宋" w:hAnsi="仿宋" w:eastAsia="仿宋" w:cs="仿宋"/>
          <w:sz w:val="28"/>
          <w:szCs w:val="28"/>
        </w:rPr>
        <w:t xml:space="preserve">淮安市清江浦区环卫事业管理服务中心</w:t>
      </w:r>
      <w:r>
        <w:rPr>
          <w:rFonts w:hint="eastAsia" w:ascii="仿宋" w:hAnsi="仿宋" w:eastAsia="仿宋"/>
          <w:sz w:val="28"/>
          <w:szCs w:val="28"/>
        </w:rPr>
        <w:t xml:space="preserve">（以下简称采购人）在任何情况下均无义务和责任承担这些费用。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4.2 </w:t>
      </w: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招标代理费按照苏政采协〔2024〕20号收费标准执行</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此费用须包含在投标报价中，但无须单独列项计取，</w:t>
      </w:r>
      <w:r>
        <w:rPr>
          <w:rFonts w:hint="eastAsia" w:ascii="仿宋" w:hAnsi="仿宋" w:eastAsia="仿宋"/>
          <w:sz w:val="28"/>
          <w:szCs w:val="28"/>
        </w:rPr>
        <w:t xml:space="preserve">供应商在报价时综合考虑，由中标供应商在领取成交通知书前向代理机构一次性付清。</w:t>
      </w:r>
      <w:r/>
    </w:p>
    <w:p>
      <w:pPr>
        <w:spacing w:line="520" w:lineRule="exact"/>
        <w:rPr>
          <w:rFonts w:hint="eastAsia" w:ascii="仿宋" w:hAnsi="仿宋" w:eastAsia="仿宋"/>
          <w:sz w:val="28"/>
          <w:szCs w:val="28"/>
        </w:rPr>
      </w:pPr>
      <w:r>
        <w:rPr>
          <w:rFonts w:hint="eastAsia" w:ascii="仿宋" w:hAnsi="仿宋" w:eastAsia="仿宋"/>
          <w:sz w:val="28"/>
          <w:szCs w:val="28"/>
        </w:rPr>
        <w:t xml:space="preserve">5、招标文件的约束力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5.1供应商一旦参加本项目采购活动，即被认为接受了本招标文件的规定和约束。</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lang w:val="en-US" w:eastAsia="zh-CN"/>
        </w:rPr>
        <w:t xml:space="preserve">招标</w:t>
      </w:r>
      <w:r>
        <w:rPr>
          <w:rFonts w:hint="eastAsia" w:ascii="仿宋" w:hAnsi="仿宋" w:eastAsia="仿宋"/>
          <w:sz w:val="28"/>
          <w:szCs w:val="28"/>
        </w:rPr>
        <w:t xml:space="preserve">文件构成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6.1</w:t>
      </w:r>
      <w:r>
        <w:rPr>
          <w:rFonts w:hint="eastAsia" w:ascii="仿宋" w:hAnsi="仿宋" w:eastAsia="仿宋"/>
          <w:sz w:val="28"/>
          <w:szCs w:val="28"/>
        </w:rPr>
        <w:t xml:space="preserve">招标文件由以下部分组成: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 投标邀请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 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 </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项目采购需求</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投标文件</w:t>
      </w:r>
      <w:r>
        <w:rPr>
          <w:rFonts w:hint="eastAsia" w:ascii="仿宋" w:hAnsi="仿宋" w:eastAsia="仿宋"/>
          <w:sz w:val="28"/>
          <w:szCs w:val="28"/>
          <w:lang w:val="en-US"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招标文件中所有的事项、格式、条款和规范等要求。按招标文件要求和规定编制响应文件，并保证所提供的全部资料的真实性，以使其响应文件对招标文件作出实质性响应，否则其风险由供应商自行承担。</w:t>
      </w:r>
      <w:r/>
    </w:p>
    <w:p>
      <w:pPr>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7.1在投标截止时间十五日前，</w:t>
      </w:r>
      <w:r>
        <w:rPr>
          <w:rFonts w:hint="eastAsia" w:ascii="仿宋" w:hAnsi="仿宋" w:eastAsia="仿宋"/>
          <w:sz w:val="28"/>
          <w:szCs w:val="28"/>
        </w:rPr>
        <w:t xml:space="preserve">采购代理机构</w:t>
      </w:r>
      <w:r>
        <w:rPr>
          <w:rFonts w:hint="eastAsia" w:ascii="仿宋" w:hAnsi="仿宋" w:eastAsia="仿宋" w:cs="仿宋"/>
          <w:sz w:val="28"/>
          <w:szCs w:val="28"/>
        </w:rPr>
        <w:t xml:space="preserve">可主动或在解答供应商提出的澄清问题时对招标文件用更正公告的方式进行修正。</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7.2对招标文件的更正将在淮安市政府采购网进行公告，更正公告将作为招标文件的组成部分，对所有参加本次投标的供应商都具有约束力。</w:t>
      </w:r>
      <w:r/>
    </w:p>
    <w:p>
      <w:pPr>
        <w:ind w:firstLine="560"/>
        <w:spacing w:line="520" w:lineRule="exact"/>
        <w:rPr>
          <w:rFonts w:hint="eastAsia" w:ascii="仿宋" w:hAnsi="仿宋" w:eastAsia="仿宋"/>
          <w:sz w:val="28"/>
          <w:szCs w:val="28"/>
        </w:rPr>
      </w:pPr>
      <w:r>
        <w:rPr>
          <w:rFonts w:hint="eastAsia" w:ascii="仿宋" w:hAnsi="仿宋" w:eastAsia="仿宋" w:cs="仿宋"/>
          <w:sz w:val="28"/>
          <w:szCs w:val="28"/>
        </w:rPr>
        <w:t xml:space="preserve">7.3为使供应商有足够的时间按招标文件的更正要求修正投标文件，</w:t>
      </w:r>
      <w:r>
        <w:rPr>
          <w:rFonts w:hint="eastAsia" w:ascii="仿宋" w:hAnsi="仿宋" w:eastAsia="仿宋"/>
          <w:sz w:val="28"/>
          <w:szCs w:val="28"/>
        </w:rPr>
        <w:t xml:space="preserve">采购代理机构</w:t>
      </w:r>
      <w:r>
        <w:rPr>
          <w:rFonts w:hint="eastAsia" w:ascii="仿宋" w:hAnsi="仿宋" w:eastAsia="仿宋" w:cs="仿宋"/>
          <w:sz w:val="28"/>
          <w:szCs w:val="28"/>
        </w:rPr>
        <w:t xml:space="preserve">有权按照相关法定的要求推迟投标截止时间和开标日期。</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hint="eastAsia" w:ascii="仿宋" w:hAnsi="仿宋" w:eastAsia="仿宋"/>
          <w:sz w:val="28"/>
          <w:szCs w:val="28"/>
        </w:rPr>
      </w:pPr>
      <w:r/>
      <w:bookmarkStart w:id="0" w:name="_Toc462564073"/>
      <w:r/>
      <w:bookmarkStart w:id="1" w:name="_Toc513029214"/>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8.1 供应商提交的投标文件以及供应商与采购人就有关投标的所有来往通知、函件和文件均应使用简体中文。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hint="eastAsia"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9.1 供应商编写的投标文件应包括资格证明文件、符合性证明文件、投标分项报价表、技术要求响应及偏离表、其他证明文件、投标函、开标一览表等部分。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请供应商根据本招标文件的要求在指定模块中上传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10.证明供应商及投标标的符合招标文件规定的文件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10.1 供应商应按照招标文件要求提交证明文件，证明其及投标标的符合招标文件规定。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hint="eastAsia"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 供应商应按照招标文件规定格式填报投标分项报价表。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12.1 供应商需对招标文件中的技术要求与商务要求逐项作出响应或偏离，并说明原因。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 供应商可在投标文件中提供认为需要的其他技术文件或说明。</w:t>
      </w:r>
      <w:r/>
    </w:p>
    <w:p>
      <w:pPr>
        <w:spacing w:line="520" w:lineRule="exact"/>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13.1 供应商需根据招标文件要求提供有关售后服务的管理制度，售后服务机构的分布情况，售后服务人员的数量、素质、技术水平及售后服务的反应能力等。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 供应商需根据招标文件要求提供培训计划。</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13.3 供应商需根据招标文件要求提供所投标的的主要组成部分、功能设计、实现思路及关键技术等。</w:t>
      </w:r>
      <w:r/>
    </w:p>
    <w:p>
      <w:pPr>
        <w:spacing w:line="520" w:lineRule="exact"/>
        <w:rPr>
          <w:rFonts w:hint="eastAsia"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14.1 供应商应按照招标文件中提供的格式完整、正确填写投标函、开标一览表。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sz w:val="28"/>
          <w:szCs w:val="28"/>
        </w:rPr>
      </w:pPr>
      <w:r/>
      <w:bookmarkStart w:id="6" w:name="_Toc14577360"/>
      <w:r/>
      <w:bookmarkStart w:id="7" w:name="_Toc49090511"/>
      <w:r>
        <w:rPr>
          <w:rFonts w:hint="eastAsia" w:ascii="仿宋" w:hAnsi="仿宋" w:eastAsia="仿宋"/>
          <w:sz w:val="28"/>
          <w:szCs w:val="28"/>
        </w:rPr>
        <w:t xml:space="preserve">15.投标有效期</w:t>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15.1 投标有效期为采购人规定的开标之日后九十（90）天。投标有效期比规定短的将被视为未实质性响应招标文件而予以拒绝。</w:t>
      </w:r>
      <w:r/>
    </w:p>
    <w:p>
      <w:pPr>
        <w:spacing w:line="520" w:lineRule="exact"/>
        <w:rPr>
          <w:rFonts w:hint="eastAsia"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bCs/>
          <w:sz w:val="28"/>
          <w:szCs w:val="28"/>
        </w:rPr>
        <w:t xml:space="preserve">17.</w:t>
      </w:r>
      <w:r>
        <w:rPr>
          <w:rFonts w:hint="eastAsia" w:ascii="仿宋" w:hAnsi="仿宋" w:eastAsia="仿宋" w:cs="Times New Roman"/>
          <w:sz w:val="28"/>
          <w:szCs w:val="28"/>
          <w:lang w:val="en-US" w:eastAsia="zh-CN"/>
        </w:rPr>
        <w:t xml:space="preserve">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18.1 供应商应当按照《操作手册》规定，在投标截止时间前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 供应商上传的电子投标文件内容不清楚或不清晰的（含扫描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供应商</w:t>
      </w:r>
      <w:r>
        <w:rPr>
          <w:rFonts w:hint="eastAsia" w:ascii="仿宋" w:hAnsi="仿宋" w:eastAsia="仿宋" w:cs="宋体"/>
          <w:bCs/>
          <w:sz w:val="28"/>
          <w:szCs w:val="28"/>
          <w:lang w:val="zh-CN"/>
        </w:rPr>
        <w:t xml:space="preserve">自负。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18.3 供应商上传电子投标文件的时间不得迟于投标邀请中规定的截止时间。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18.4 代理公司</w:t>
      </w:r>
      <w:r>
        <w:rPr>
          <w:rFonts w:hint="eastAsia" w:ascii="仿宋" w:hAnsi="仿宋" w:eastAsia="仿宋" w:cs="Times New Roman"/>
          <w:sz w:val="28"/>
          <w:szCs w:val="28"/>
          <w:lang w:val="en-US" w:eastAsia="zh-CN"/>
        </w:rPr>
        <w:t xml:space="preserve">可以按照规定</w:t>
      </w:r>
      <w:r>
        <w:rPr>
          <w:rFonts w:hint="eastAsia" w:ascii="仿宋" w:hAnsi="仿宋" w:eastAsia="仿宋"/>
          <w:sz w:val="28"/>
          <w:szCs w:val="28"/>
        </w:rPr>
        <w:t xml:space="preserve">，通过修改招标文件有权酌情延长投标文件接收截止时间。在此情况下，供应商的所有权利和义务以及供应商受制约的截止日期均应以延长后新的截止日期为准。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 供应商在上传电子投标文件后可以对其修改或撤回，但这种修改和撤回，必须在规定的开标时间之前，具体操作方法见《操作手册》。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20.2 供应商不得在开标时间以后修改电子投标文件。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20.3 供应商不得在提交电子投标文件截止时间起至投标有效期满前撤回电子投标文件。</w:t>
      </w:r>
      <w:r/>
    </w:p>
    <w:p>
      <w:p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五、开标及评标</w:t>
      </w:r>
      <w:bookmarkEnd w:id="8"/>
      <w:r/>
      <w:r/>
    </w:p>
    <w:p>
      <w:pPr>
        <w:spacing w:line="520" w:lineRule="exact"/>
        <w:rPr>
          <w:rFonts w:hint="eastAsia" w:ascii="仿宋" w:hAnsi="仿宋" w:eastAsia="仿宋"/>
          <w:sz w:val="28"/>
          <w:szCs w:val="28"/>
        </w:rPr>
      </w:pPr>
      <w:r>
        <w:rPr>
          <w:rFonts w:hint="eastAsia" w:ascii="仿宋" w:hAnsi="仿宋" w:eastAsia="仿宋"/>
          <w:sz w:val="28"/>
          <w:szCs w:val="28"/>
        </w:rPr>
        <w:t xml:space="preserve">21.开标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 代理公司将在招标公告中规定的时间和地点组织开标。供应商应当按照《操作手册》规定，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 开标仪式由代理公司组织。苏采云系统将自动对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并宣布各供应商名称和投标价格。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21.3 供应商在开标过程中涉及到的投标文件解密、开标结果确认等工作，应按照《操作手册》规定执行。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21.4 供应商如果对开标过程和开标记录有疑义，应当根据《操作手册》规定提出，如苏采云系统中《开标记录表》宣布后5分钟内未提出的，视同认可开标结果。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sz w:val="28"/>
          <w:szCs w:val="28"/>
        </w:rPr>
      </w:pPr>
      <w:r/>
      <w:bookmarkStart w:id="9" w:name="_Toc513029231"/>
      <w:r/>
      <w:bookmarkStart w:id="10" w:name="_Toc16938547"/>
      <w:r/>
      <w:bookmarkStart w:id="11" w:name="_Toc20823303"/>
      <w:r>
        <w:rPr>
          <w:rFonts w:hint="eastAsia" w:ascii="仿宋" w:hAnsi="仿宋" w:eastAsia="仿宋"/>
          <w:sz w:val="28"/>
          <w:szCs w:val="28"/>
        </w:rPr>
        <w:t xml:space="preserve">22.评标委员会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 开标后，代理公司将立即组织评标委员会（以下简称评委会）进行评标。</w:t>
      </w:r>
      <w:r/>
    </w:p>
    <w:p>
      <w:pPr>
        <w:spacing w:line="520" w:lineRule="exact"/>
        <w:rPr>
          <w:rFonts w:hint="eastAsia"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  22.3 评委会独立工作，负责评审所有投标文件并确定中标</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p>
    <w:p>
      <w:pPr>
        <w:spacing w:line="520" w:lineRule="exact"/>
        <w:rPr>
          <w:rFonts w:hint="eastAsia"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凡是与审查、澄清、评价和比较投标的有关资料以及授标建议等，采购人、评委、代理公司均不得向供应商或与评标无关的其他人员透露。</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23.2 在评标过程中，供应商不得以任何行为影响评标过程，否则其投标文件将被作为无效投标文件。</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代理公司和评标委员会不向未中标的供应商解释未中标原因，也不公布评标过程中的相关细节。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采用综合评分法的项目，未中标的供应商可于中标结果公告期限届满之日起通过苏采云系统查看自己的评审得分及排序情况。</w:t>
      </w:r>
      <w:r/>
    </w:p>
    <w:p>
      <w:pPr>
        <w:spacing w:line="520" w:lineRule="exact"/>
        <w:rPr>
          <w:rFonts w:hint="eastAsia" w:ascii="仿宋" w:hAnsi="仿宋" w:eastAsia="仿宋"/>
          <w:sz w:val="28"/>
          <w:szCs w:val="28"/>
        </w:rPr>
      </w:pPr>
      <w:r/>
      <w:bookmarkStart w:id="12" w:name="_Toc20823304"/>
      <w:r/>
      <w:bookmarkStart w:id="13" w:name="_Toc513029232"/>
      <w:r/>
      <w:bookmarkStart w:id="14" w:name="_Toc16938548"/>
      <w:r>
        <w:rPr>
          <w:rFonts w:hint="eastAsia" w:ascii="仿宋" w:hAnsi="仿宋" w:eastAsia="仿宋"/>
          <w:sz w:val="28"/>
          <w:szCs w:val="28"/>
        </w:rPr>
        <w:t xml:space="preserve">24．投标文件的澄清</w:t>
      </w:r>
      <w:bookmarkEnd w:id="12"/>
      <w:r/>
      <w:bookmarkEnd w:id="13"/>
      <w:r/>
      <w:bookmarkEnd w:id="14"/>
      <w:r/>
      <w:r/>
    </w:p>
    <w:p>
      <w:pPr>
        <w:ind w:firstLine="560"/>
        <w:spacing w:line="520" w:lineRule="exact"/>
        <w:rPr>
          <w:rFonts w:hint="eastAsia" w:ascii="仿宋" w:hAnsi="仿宋" w:eastAsia="仿宋"/>
          <w:sz w:val="28"/>
          <w:szCs w:val="28"/>
        </w:rPr>
      </w:pPr>
      <w:r/>
      <w:bookmarkStart w:id="15" w:name="_Toc513029233"/>
      <w:r/>
      <w:bookmarkStart w:id="16" w:name="_Toc16938549"/>
      <w:r/>
      <w:bookmarkStart w:id="17" w:name="_Toc20823305"/>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评标期间，评委会对投标文件中含义不明确、同类问题表述不一致或者有明显文字和计算错误的内容，有权要求供应商作出必要的澄清、说明或者补正。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供应商的澄清、说明或者补正不得超出投标文件的范围或者改变投标文件的实质性内容。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w:t>
      </w:r>
      <w:r>
        <w:rPr>
          <w:rFonts w:hint="eastAsia" w:ascii="仿宋" w:hAnsi="仿宋" w:eastAsia="仿宋"/>
          <w:sz w:val="28"/>
          <w:szCs w:val="28"/>
        </w:rPr>
        <w:t xml:space="preserve">供应商</w:t>
      </w:r>
      <w:r>
        <w:rPr>
          <w:rFonts w:ascii="仿宋" w:hAnsi="仿宋" w:eastAsia="仿宋"/>
          <w:sz w:val="28"/>
          <w:szCs w:val="28"/>
        </w:rPr>
        <w:t xml:space="preserve">都做澄清要求</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 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24.3 接到评委会澄清、说明和补正要求的供应商如未按规定做出澄清、说明和补正，其风险由供应商自行承担。</w:t>
      </w:r>
      <w:r/>
    </w:p>
    <w:p>
      <w:pPr>
        <w:spacing w:line="520" w:lineRule="exact"/>
        <w:rPr>
          <w:rFonts w:hint="eastAsia"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采购人在进行资格性审查的同时，将在“信用中国”网站（www.creditchina.gov.cn）查询供应商的信用记录，以确定供应商是否具备投标资格,查询结果留存并归档。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25.1.3 未通过资格审查或符合性审查的供应商，代理公司将在苏采云系统中告知未通过资格审查或符合性审查的原因，评审结束后，代理公司将不再告知未通过资格审查或符合性审查的原因。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如果投标文件实质上没有响应招标文件的要求，评委会将予以拒绝，供应商不得通过修改或撤销不合要求的偏离或保留而使其投标成为实质性响应的投标。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苏采云系统告知供应商</w:t>
      </w:r>
      <w:r>
        <w:rPr>
          <w:rFonts w:ascii="仿宋" w:hAnsi="仿宋" w:eastAsia="仿宋"/>
          <w:sz w:val="28"/>
          <w:szCs w:val="28"/>
        </w:rPr>
        <w:t xml:space="preserve">，</w:t>
      </w:r>
      <w:r>
        <w:rPr>
          <w:rFonts w:hint="eastAsia" w:ascii="仿宋" w:hAnsi="仿宋" w:eastAsia="仿宋"/>
          <w:sz w:val="28"/>
          <w:szCs w:val="28"/>
        </w:rPr>
        <w:t xml:space="preserve">调整后的价格应对供应商具有约束力。如果供应商不接受修正后的价格，则其投标将被拒绝。</w:t>
      </w:r>
      <w:r/>
    </w:p>
    <w:p>
      <w:pPr>
        <w:ind w:firstLine="560"/>
        <w:spacing w:line="520" w:lineRule="exact"/>
        <w:rPr>
          <w:rFonts w:hint="eastAsia" w:ascii="仿宋" w:hAnsi="仿宋" w:eastAsia="仿宋"/>
          <w:sz w:val="28"/>
          <w:szCs w:val="28"/>
        </w:rPr>
      </w:pPr>
      <w:r/>
      <w:bookmarkStart w:id="18" w:name="_Toc20823306"/>
      <w:r/>
      <w:bookmarkStart w:id="19" w:name="_Toc16938550"/>
      <w:r/>
      <w:bookmarkStart w:id="20" w:name="_Toc513029234"/>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w:t>
      </w:r>
      <w:r>
        <w:rPr>
          <w:rFonts w:hint="eastAsia" w:ascii="仿宋" w:hAnsi="仿宋" w:eastAsia="仿宋"/>
          <w:sz w:val="28"/>
          <w:szCs w:val="28"/>
        </w:rPr>
        <w:t xml:space="preserve">供应商</w:t>
      </w:r>
      <w:r>
        <w:rPr>
          <w:rFonts w:ascii="仿宋" w:hAnsi="仿宋" w:eastAsia="仿宋"/>
          <w:sz w:val="28"/>
          <w:szCs w:val="28"/>
        </w:rPr>
        <w:t xml:space="preserve">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w:t>
      </w:r>
      <w:r>
        <w:rPr>
          <w:rFonts w:hint="eastAsia" w:ascii="仿宋" w:hAnsi="仿宋" w:eastAsia="仿宋"/>
          <w:sz w:val="28"/>
          <w:szCs w:val="28"/>
        </w:rPr>
        <w:t xml:space="preserve">供应商</w:t>
      </w:r>
      <w:r>
        <w:rPr>
          <w:rFonts w:ascii="仿宋" w:hAnsi="仿宋" w:eastAsia="仿宋"/>
          <w:sz w:val="28"/>
          <w:szCs w:val="28"/>
        </w:rPr>
        <w:t xml:space="preserve">，其他投标无效。</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w:t>
      </w:r>
      <w:r>
        <w:rPr>
          <w:rFonts w:hint="eastAsia" w:ascii="仿宋" w:hAnsi="仿宋" w:eastAsia="仿宋"/>
          <w:sz w:val="28"/>
          <w:szCs w:val="28"/>
        </w:rPr>
        <w:t xml:space="preserve">供应商</w:t>
      </w:r>
      <w:r>
        <w:rPr>
          <w:rFonts w:ascii="仿宋" w:hAnsi="仿宋" w:eastAsia="仿宋"/>
          <w:sz w:val="28"/>
          <w:szCs w:val="28"/>
        </w:rPr>
        <w:t xml:space="preserve">参加同一合同项下投标的，按一家</w:t>
      </w:r>
      <w:r>
        <w:rPr>
          <w:rFonts w:hint="eastAsia" w:ascii="仿宋" w:hAnsi="仿宋" w:eastAsia="仿宋"/>
          <w:sz w:val="28"/>
          <w:szCs w:val="28"/>
        </w:rPr>
        <w:t xml:space="preserve">供应商</w:t>
      </w:r>
      <w:r>
        <w:rPr>
          <w:rFonts w:ascii="仿宋" w:hAnsi="仿宋" w:eastAsia="仿宋"/>
          <w:sz w:val="28"/>
          <w:szCs w:val="28"/>
        </w:rPr>
        <w:t xml:space="preserve">计算，评审后得分最高的同品牌</w:t>
      </w:r>
      <w:r>
        <w:rPr>
          <w:rFonts w:hint="eastAsia" w:ascii="仿宋" w:hAnsi="仿宋" w:eastAsia="仿宋"/>
          <w:sz w:val="28"/>
          <w:szCs w:val="28"/>
        </w:rPr>
        <w:t xml:space="preserve">供应商</w:t>
      </w:r>
      <w:r>
        <w:rPr>
          <w:rFonts w:ascii="仿宋" w:hAnsi="仿宋" w:eastAsia="仿宋"/>
          <w:sz w:val="28"/>
          <w:szCs w:val="28"/>
        </w:rPr>
        <w:t xml:space="preserve">获得</w:t>
      </w:r>
      <w:r>
        <w:rPr>
          <w:rFonts w:hint="eastAsia" w:ascii="仿宋" w:hAnsi="仿宋" w:eastAsia="仿宋"/>
          <w:sz w:val="28"/>
          <w:szCs w:val="28"/>
        </w:rPr>
        <w:t xml:space="preserve">中标供应商</w:t>
      </w:r>
      <w:r>
        <w:rPr>
          <w:rFonts w:ascii="仿宋" w:hAnsi="仿宋" w:eastAsia="仿宋"/>
          <w:sz w:val="28"/>
          <w:szCs w:val="28"/>
        </w:rPr>
        <w:t xml:space="preserve">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w:t>
      </w:r>
      <w:r>
        <w:rPr>
          <w:rFonts w:hint="eastAsia" w:ascii="仿宋" w:hAnsi="仿宋" w:eastAsia="仿宋"/>
          <w:sz w:val="28"/>
          <w:szCs w:val="28"/>
        </w:rPr>
        <w:t xml:space="preserve">供应商</w:t>
      </w:r>
      <w:r>
        <w:rPr>
          <w:rFonts w:ascii="仿宋" w:hAnsi="仿宋" w:eastAsia="仿宋"/>
          <w:sz w:val="28"/>
          <w:szCs w:val="28"/>
        </w:rPr>
        <w:t xml:space="preserve">不作为中标候选人。</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w:t>
      </w:r>
      <w:r>
        <w:rPr>
          <w:rFonts w:hint="eastAsia" w:ascii="仿宋" w:hAnsi="仿宋" w:eastAsia="仿宋"/>
          <w:sz w:val="28"/>
          <w:szCs w:val="28"/>
        </w:rPr>
        <w:t xml:space="preserve">供应商</w:t>
      </w:r>
      <w:r>
        <w:rPr>
          <w:rFonts w:ascii="仿宋" w:hAnsi="仿宋" w:eastAsia="仿宋"/>
          <w:sz w:val="28"/>
          <w:szCs w:val="28"/>
        </w:rPr>
        <w:t xml:space="preserve">提供的核心产品品牌相同的，按前两款规定处理。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25.7 供应商在开、评标全过程中应保持通讯畅通，及时登录苏采云系统查阅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并安排专人与代理公司及评标委员会联系。</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p>
    <w:p>
      <w:pPr>
        <w:ind w:firstLine="560"/>
        <w:spacing w:line="520" w:lineRule="exact"/>
        <w:rPr>
          <w:rFonts w:hint="eastAsia" w:ascii="仿宋" w:hAnsi="仿宋" w:eastAsia="仿宋"/>
          <w:sz w:val="28"/>
          <w:szCs w:val="28"/>
        </w:rPr>
      </w:pPr>
      <w:r/>
      <w:bookmarkStart w:id="21" w:name="_Toc20823307"/>
      <w:r/>
      <w:bookmarkStart w:id="22" w:name="_Toc16938551"/>
      <w:r/>
      <w:bookmarkStart w:id="23" w:name="_Toc513029235"/>
      <w:r>
        <w:rPr>
          <w:rFonts w:hint="eastAsia" w:ascii="仿宋" w:hAnsi="仿宋" w:eastAsia="仿宋"/>
          <w:sz w:val="28"/>
          <w:szCs w:val="28"/>
        </w:rPr>
        <w:t xml:space="preserve">26.1无效投标条款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供应商在苏采云系统规定的时间内未成功解密电子投标文件的。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供应商未按照招标文件要求上传电子投标文件的。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同一供应商提交两个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供应商不具备招标文件中规定资格要求的。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供应商的报价超过了采购预算或最高限价的。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不符合招标文件中规定的实质性要求和条件的。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评审</w:t>
      </w:r>
      <w:r>
        <w:rPr>
          <w:rFonts w:hint="eastAsia" w:ascii="仿宋" w:hAnsi="仿宋" w:eastAsia="仿宋"/>
          <w:sz w:val="28"/>
          <w:szCs w:val="28"/>
        </w:rPr>
        <w:t xml:space="preserve">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w:t>
      </w:r>
      <w:r>
        <w:rPr>
          <w:rFonts w:hint="eastAsia" w:ascii="仿宋" w:hAnsi="仿宋" w:eastAsia="仿宋"/>
          <w:sz w:val="28"/>
          <w:szCs w:val="28"/>
          <w:lang w:val="en-US" w:eastAsia="zh-CN"/>
        </w:rPr>
        <w:t xml:space="preserve">评审</w:t>
      </w:r>
      <w:r>
        <w:rPr>
          <w:rFonts w:hint="eastAsia" w:ascii="仿宋" w:hAnsi="仿宋" w:eastAsia="仿宋"/>
          <w:sz w:val="28"/>
          <w:szCs w:val="28"/>
        </w:rPr>
        <w:t xml:space="preserve">小组应当将其作为无效响应文件处理。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投标文件未按照招标文件要求加盖CA电子公章的；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其他法律、法规及本招标文件规定的属无效投标的情形。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 废标条款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26.2.1 符合专业条件的供应商或者对招标文件作实质响应的供应商不足三家的。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26.2.2 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26.2.3 因重大变故，采购任务取消的。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 投标截止时间结束后参加投标的供应商不足三家的处理：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 如出现投标截止时间结束后参加投标的供应商或者在评标期间对招标文件做出实质响应的供应商不足三家情况，按政府采购相关规定执行。</w:t>
      </w:r>
      <w:bookmarkEnd w:id="21"/>
      <w:r/>
      <w:bookmarkEnd w:id="22"/>
      <w:r/>
      <w:bookmarkEnd w:id="23"/>
      <w:r/>
      <w:r/>
    </w:p>
    <w:p>
      <w:pPr>
        <w:spacing w:line="520" w:lineRule="exact"/>
        <w:rPr>
          <w:rFonts w:hint="eastAsia" w:ascii="仿宋" w:hAnsi="仿宋" w:eastAsia="仿宋"/>
          <w:b/>
          <w:sz w:val="32"/>
          <w:szCs w:val="32"/>
        </w:rPr>
      </w:pPr>
      <w:r/>
      <w:bookmarkStart w:id="24" w:name="_Toc120614219"/>
      <w:r>
        <w:rPr>
          <w:rFonts w:hint="eastAsia" w:ascii="仿宋" w:hAnsi="仿宋" w:eastAsia="仿宋"/>
          <w:b/>
          <w:sz w:val="32"/>
          <w:szCs w:val="32"/>
        </w:rPr>
        <w:t xml:space="preserve">六、定标</w:t>
      </w:r>
      <w:bookmarkEnd w:id="24"/>
      <w:r/>
      <w:r/>
    </w:p>
    <w:p>
      <w:pPr>
        <w:spacing w:line="520" w:lineRule="exact"/>
        <w:rPr>
          <w:rFonts w:hint="eastAsia" w:ascii="仿宋" w:hAnsi="仿宋" w:eastAsia="仿宋"/>
          <w:sz w:val="28"/>
          <w:szCs w:val="28"/>
        </w:rPr>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rPr>
        <w:t xml:space="preserve">7.确定</w:t>
      </w:r>
      <w:bookmarkEnd w:id="26"/>
      <w:r/>
      <w:bookmarkEnd w:id="27"/>
      <w:r>
        <w:rPr>
          <w:rFonts w:hint="eastAsia" w:ascii="仿宋" w:hAnsi="仿宋" w:eastAsia="仿宋"/>
          <w:sz w:val="28"/>
          <w:szCs w:val="28"/>
        </w:rPr>
        <w:t xml:space="preserve">中标单位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采购人应根据评委会推荐的中标候选人确定中标供应商。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 代理公司将在“江苏省政府采购网”、“淮安市政府采购网”发布中标公告，公告期限为1个工作日。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 若有充分证据证明，中标供应商出现下列情况之一的，一经查实，将被取消中标资格：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27.4.1 提供虚假材料谋取中标的。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27.4.2 向采购人、代理公司行贿或者提供其他不正当利益的。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27.4.4 与采购人或者其他供应商恶意串通的。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27.4.5 采取不正当手段诋毁、排挤其他供应商的。</w:t>
      </w:r>
      <w:r/>
    </w:p>
    <w:p>
      <w:pPr>
        <w:ind w:firstLine="560"/>
        <w:spacing w:line="520" w:lineRule="exact"/>
        <w:rPr>
          <w:rFonts w:hint="eastAsia" w:ascii="仿宋" w:hAnsi="仿宋" w:eastAsia="仿宋"/>
          <w:sz w:val="28"/>
          <w:szCs w:val="28"/>
        </w:rPr>
      </w:pPr>
      <w:r/>
      <w:bookmarkStart w:id="28"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视为供应商</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27.5.1不同供应商的投标文件由同一单位或者个人编制；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27.5.2不同供应商委托同一单位或者个人办理投标事宜；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27.5.3 不同供应商的投标文件载明的项目管理成员或者联系人员为同一人；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27.5.4不同供应商的投标文件异常一致或者投标报价呈规律性差异；</w:t>
      </w:r>
      <w:r/>
    </w:p>
    <w:p>
      <w:pPr>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28.1 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28.2 上述应知其权益受到损害之日是指: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28.3 质疑供应商是指直接参加本次投标活动的供应商，未参加投标活动的供应商或在投标活动中自身权益未受到损害的供应商所提出的质疑不予受理。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28.4 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28.5 质疑函应当包括以下主要内容，附上相关证明材料。否则，采购人不予受理。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olor w:val="auto"/>
          <w:sz w:val="28"/>
          <w:szCs w:val="28"/>
        </w:rPr>
      </w:pPr>
      <w:r>
        <w:rPr>
          <w:rFonts w:hint="eastAsia" w:ascii="仿宋" w:hAnsi="仿宋" w:eastAsia="仿宋"/>
          <w:sz w:val="28"/>
          <w:szCs w:val="28"/>
        </w:rPr>
        <w:t xml:space="preserve">28.6 采购人收到质疑函后，将对质疑的形式和内容进行审查，如质疑函内容、格式不符合规定，采购人将告知质疑人进行补正。质疑人应当在法定质疑</w:t>
      </w:r>
      <w:r>
        <w:rPr>
          <w:rFonts w:hint="eastAsia" w:ascii="仿宋" w:hAnsi="仿宋" w:eastAsia="仿宋"/>
          <w:color w:val="auto"/>
          <w:sz w:val="28"/>
          <w:szCs w:val="28"/>
        </w:rPr>
        <w:t xml:space="preserve">期限内进行补正并重新提交质疑函，拒不补正或者超过法定期限后未重新提交质疑函的，为无效质疑，采购人有权不予受理。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28.7 对于内容、格式符合规定的质疑函，采购人将在七个工作日内以书面形式作出答复，但质疑答复的内容不涉及商业秘密。</w:t>
      </w:r>
      <w:r/>
    </w:p>
    <w:p>
      <w:pPr>
        <w:ind w:firstLine="560"/>
        <w:spacing w:line="520" w:lineRule="exact"/>
        <w:rPr>
          <w:rFonts w:hint="eastAsia" w:ascii="仿宋" w:hAnsi="仿宋" w:eastAsia="仿宋"/>
          <w:sz w:val="28"/>
          <w:szCs w:val="28"/>
        </w:rPr>
      </w:pPr>
      <w:r>
        <w:rPr>
          <w:rFonts w:hint="eastAsia" w:ascii="仿宋" w:hAnsi="仿宋" w:eastAsia="仿宋"/>
          <w:color w:val="auto"/>
          <w:sz w:val="28"/>
          <w:szCs w:val="28"/>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w:t>
      </w:r>
      <w:r>
        <w:rPr>
          <w:rFonts w:hint="eastAsia" w:ascii="仿宋" w:hAnsi="仿宋" w:eastAsia="仿宋"/>
          <w:sz w:val="28"/>
          <w:szCs w:val="28"/>
        </w:rPr>
        <w:t xml:space="preserve">应的行政处罚。</w:t>
      </w:r>
      <w:r/>
    </w:p>
    <w:p>
      <w:pPr>
        <w:spacing w:line="520" w:lineRule="exact"/>
        <w:rPr>
          <w:rFonts w:hint="eastAsia" w:ascii="仿宋" w:hAnsi="仿宋" w:eastAsia="仿宋"/>
          <w:sz w:val="28"/>
          <w:szCs w:val="28"/>
        </w:rPr>
      </w:pPr>
      <w:r>
        <w:rPr>
          <w:rFonts w:hint="eastAsia" w:ascii="仿宋" w:hAnsi="仿宋" w:eastAsia="仿宋"/>
          <w:sz w:val="28"/>
          <w:szCs w:val="28"/>
        </w:rPr>
        <w:t xml:space="preserve">29.中标通知书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spacing w:line="520" w:lineRule="exact"/>
        <w:rPr>
          <w:rFonts w:hint="eastAsia" w:ascii="仿宋" w:hAnsi="仿宋" w:eastAsia="仿宋"/>
          <w:b/>
          <w:sz w:val="32"/>
          <w:szCs w:val="32"/>
        </w:rPr>
      </w:pPr>
      <w:r/>
      <w:bookmarkStart w:id="29" w:name="_Toc20823308"/>
      <w:r/>
      <w:bookmarkStart w:id="30" w:name="_Toc513029236"/>
      <w:r/>
      <w:bookmarkStart w:id="31" w:name="_Toc120614220"/>
      <w:r/>
      <w:bookmarkStart w:id="32" w:name="_Toc16938552"/>
      <w:r>
        <w:rPr>
          <w:rFonts w:hint="eastAsia" w:ascii="仿宋" w:hAnsi="仿宋" w:eastAsia="仿宋"/>
          <w:b/>
          <w:sz w:val="32"/>
          <w:szCs w:val="32"/>
        </w:rPr>
        <w:t xml:space="preserve">七、授予合同</w:t>
      </w:r>
      <w:bookmarkEnd w:id="29"/>
      <w:r/>
      <w:bookmarkEnd w:id="30"/>
      <w:r/>
      <w:bookmarkEnd w:id="31"/>
      <w:r/>
      <w:bookmarkEnd w:id="32"/>
      <w:r/>
      <w:r/>
    </w:p>
    <w:p>
      <w:pPr>
        <w:spacing w:line="520" w:lineRule="exact"/>
        <w:rPr>
          <w:rFonts w:hint="eastAsia" w:ascii="仿宋" w:hAnsi="仿宋" w:eastAsia="仿宋"/>
          <w:sz w:val="28"/>
          <w:szCs w:val="28"/>
        </w:rPr>
      </w:pPr>
      <w:r/>
      <w:bookmarkStart w:id="33" w:name="_Toc20823309"/>
      <w:r/>
      <w:bookmarkStart w:id="34" w:name="_Toc16938553"/>
      <w:r/>
      <w:bookmarkStart w:id="35" w:name="_Toc513029237"/>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30.l 中标供应商应当在中标通知书发出之日起三十日内，按照招标文件确定的事项与采购人签订政府采购合同。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30.2 招标文件、中标供应商的投标文件及招标过程中有关澄清、承诺文件均应作为合同附件。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932"/>
        <w:spacing w:line="520" w:lineRule="exact"/>
        <w:rPr>
          <w:rFonts w:hint="eastAsia" w:ascii="仿宋" w:hAnsi="仿宋" w:eastAsia="仿宋"/>
          <w:sz w:val="28"/>
          <w:szCs w:val="28"/>
        </w:rPr>
      </w:pPr>
      <w:r>
        <w:rPr>
          <w:rFonts w:hint="eastAsia" w:ascii="仿宋" w:hAnsi="仿宋" w:eastAsia="仿宋"/>
          <w:sz w:val="28"/>
          <w:szCs w:val="28"/>
        </w:rPr>
        <w:t xml:space="preserve">32.履约保证金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本项目不收取履约保证金。</w:t>
      </w:r>
      <w:bookmarkEnd w:id="33"/>
      <w:r/>
      <w:bookmarkEnd w:id="34"/>
      <w:r/>
      <w:bookmarkEnd w:id="35"/>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 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 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 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（1）供应商须按照招标文件的要求提供相应的《企业声明函》，详见招标文件第六章示范格式。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rPr>
        <w:t xml:space="preserve">34. 节能、环保政策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34.2 节能产品（本项目不涉及）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34.3 环保产品（本项目不涉及）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35．政府绿色采购</w:t>
      </w:r>
      <w:r/>
    </w:p>
    <w:p>
      <w:pPr>
        <w:ind w:firstLine="280"/>
        <w:spacing w:line="520" w:lineRule="exact"/>
        <w:rPr>
          <w:rFonts w:hint="eastAsia" w:ascii="仿宋" w:hAnsi="仿宋" w:eastAsia="仿宋"/>
          <w:bCs/>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48"/>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35.2 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,在供货、安装过程中能到做到低碳物流、环保节约、提高资源利用率；涉及设备运维参考《绿色数据中心政府采购需求标准（试行）》（财库【2023】7号文）执行。</w:t>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36. 履约资金扶持政策</w:t>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36.1 政府采购合同信用融资是为支持中小企业发展，缓解中小企业融资难题推出的一项融资服务举措，中标供应商可凭政府采购合同办理融资贷款。该贷款无需抵押、担保，按照双方自愿的原则提供便捷、优惠的贷款服务。详情请见江苏政府采购网“政采贷”专栏。</w:t>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36.2有融资贷款需求的中标供应商，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37.</w:t>
      </w:r>
      <w:r>
        <w:rPr>
          <w:rFonts w:hint="eastAsia" w:ascii="仿宋" w:hAnsi="仿宋" w:eastAsia="仿宋" w:cs="仿宋"/>
          <w:b/>
          <w:bCs/>
          <w:sz w:val="28"/>
          <w:szCs w:val="28"/>
          <w:highlight w:val="none"/>
        </w:rPr>
        <w:t xml:space="preserve">采购本国产品的支持政策</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3 投标人需按照招标文件的要求提供《关于符合本国产品标准的声明函》（以下简称《声明函》，详见第六章“示范格式六”），如不提供将不享受本国产品价格评审优惠。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4 投标人需在《声明函》中逐一、准确填写产品名称、厂名、生产厂址三项信息，三项信息中任意一项未填写的视为该项产品不符合本国产品标准，不享受本国产品价格评审优惠。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注：本项目对采购本国产品给予政策支持；适用本国产品标准的货物具体是指《政</w:t>
      </w:r>
      <w:r>
        <w:rPr>
          <w:rFonts w:hint="eastAsia" w:ascii="仿宋" w:hAnsi="仿宋" w:eastAsia="仿宋" w:cs="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p>
    <w:p>
      <w:pPr>
        <w:pStyle w:val="707"/>
        <w:ind w:firstLine="560"/>
        <w:spacing w:line="360" w:lineRule="auto"/>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一、评委会根据招标文件中规定的评标标准对供应商进行综合评审，最终按综合评审得分由高到低的顺序推荐出3名中标候选人。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三、评委会将依据下列评标标准进行评标，本评标标准的总分为100分。按评审后得分由高到低顺序排列。得分相同的，按投标报价由低到高顺序排列。得分且投标报价相同的，按技术指标优劣顺序排列。</w:t>
      </w:r>
      <w:r/>
    </w:p>
    <w:p>
      <w:pPr>
        <w:ind w:firstLine="560"/>
        <w:spacing w:line="520" w:lineRule="exact"/>
        <w:rPr>
          <w:rFonts w:hint="eastAsia" w:ascii="仿宋" w:hAnsi="仿宋" w:eastAsia="仿宋"/>
          <w:sz w:val="28"/>
        </w:rPr>
      </w:pPr>
      <w:r>
        <w:rPr>
          <w:rFonts w:hint="eastAsia" w:ascii="仿宋" w:hAnsi="仿宋" w:eastAsia="仿宋"/>
          <w:sz w:val="28"/>
          <w:lang w:val="en-US" w:eastAsia="zh-CN"/>
        </w:rPr>
        <w:t xml:space="preserve">四</w:t>
      </w:r>
      <w:r>
        <w:rPr>
          <w:rFonts w:hint="eastAsia" w:ascii="仿宋" w:hAnsi="仿宋" w:eastAsia="仿宋"/>
          <w:sz w:val="28"/>
        </w:rPr>
        <w:t xml:space="preserve">、具体标准:</w:t>
      </w:r>
      <w:r/>
    </w:p>
    <w:tbl>
      <w:tblPr>
        <w:tblStyle w:val="696"/>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1125"/>
        <w:gridCol w:w="6328"/>
        <w:gridCol w:w="788"/>
      </w:tblGrid>
      <w:tr>
        <w:trPr>
          <w:jc w:val="center"/>
          <w:trHeight w:val="1123"/>
        </w:trPr>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类别</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评审项</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评审规则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分值</w:t>
            </w:r>
            <w:r/>
          </w:p>
        </w:tc>
      </w:tr>
      <w:tr>
        <w:trPr>
          <w:jc w:val="center"/>
          <w:trHeight w:val="1588"/>
        </w:trPr>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价格部分</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指标</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满足招标文件要求且报价最低的供应商价格为评标基准价，其价格分为满分。其他供应商的价格分按照下列公式计算（小数点保留两位）:</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报价得分＝（评标基准价/投标报价）×30分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w:t>
            </w:r>
            <w:r/>
          </w:p>
        </w:tc>
      </w:tr>
      <w:tr>
        <w:trPr>
          <w:jc w:val="center"/>
          <w:trHeight w:val="502"/>
        </w:trPr>
        <w:tc>
          <w:tcPr>
            <w:tcBorders>
              <w:top w:val="single" w:color="auto" w:sz="4" w:space="0"/>
              <w:left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设备的技术性能情况</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参数</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所投</w:t>
            </w:r>
            <w:r>
              <w:rPr>
                <w:rFonts w:hint="eastAsia" w:ascii="仿宋" w:hAnsi="仿宋" w:eastAsia="仿宋" w:cs="仿宋"/>
                <w:color w:val="000000"/>
                <w:sz w:val="24"/>
                <w:szCs w:val="24"/>
                <w:lang w:val="en-US" w:eastAsia="zh-CN"/>
              </w:rPr>
              <w:t xml:space="preserve">地埋水平压缩式</w:t>
            </w:r>
            <w:r>
              <w:rPr>
                <w:rFonts w:hint="eastAsia" w:ascii="仿宋" w:hAnsi="仿宋" w:eastAsia="仿宋" w:cs="仿宋"/>
                <w:color w:val="000000"/>
                <w:sz w:val="24"/>
                <w:szCs w:val="24"/>
              </w:rPr>
              <w:t xml:space="preserve">设备技术参数全部满足第五章项目采购需求中“技术参数要求”得</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分;加★的技术指标为重点指标，每满足一项得1</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未提供不得分;其他技术指标每满足一项得0.5分，未提供不得分。(投标人需提供根据招标文件中的技术参数制定偏离情况表，所有标★重要参数，投标人均须提供具备省级或国家级认可CMA资质检测机构出具的有效检测报告原件扫描件加盖投标人电子签章，检测报告中不体现或未提供检测报告的视为不满足参数要求</w:t>
            </w:r>
            <w:r>
              <w:rPr>
                <w:rFonts w:hint="eastAsia" w:ascii="仿宋" w:hAnsi="仿宋" w:eastAsia="仿宋" w:cs="仿宋"/>
                <w:color w:val="000000"/>
                <w:sz w:val="24"/>
                <w:szCs w:val="24"/>
                <w:lang w:val="en-US" w:eastAsia="zh-CN"/>
              </w:rPr>
              <w:t xml:space="preserve">的不得分</w:t>
            </w:r>
            <w:r>
              <w:rPr>
                <w:rFonts w:hint="eastAsia" w:ascii="仿宋" w:hAnsi="仿宋" w:eastAsia="仿宋" w:cs="仿宋"/>
                <w:color w:val="00000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30</w:t>
            </w:r>
            <w:r/>
          </w:p>
        </w:tc>
      </w:tr>
      <w:tr>
        <w:trPr>
          <w:jc w:val="center"/>
          <w:trHeight w:val="1035"/>
        </w:trPr>
        <w:tc>
          <w:tcPr>
            <w:tcBorders>
              <w:top w:val="single" w:color="auto" w:sz="4" w:space="0"/>
              <w:left w:val="single" w:color="auto" w:sz="4" w:space="0"/>
              <w:right w:val="single" w:color="auto" w:sz="4" w:space="0"/>
            </w:tcBorders>
            <w:tcW w:w="1341" w:type="dxa"/>
            <w:vAlign w:val="center"/>
            <w:vMerge w:val="restart"/>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方案部分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生产工艺</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根据供应商所投产品生产工艺情况及标准化程度的响应情况由专家进行打分。</w:t>
            </w:r>
            <w:r/>
          </w:p>
          <w:p>
            <w:p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完整列明地埋水平压缩设备从原材料进厂检验、钣金下料、焊接成型、喷砂防腐、液压总成装配、电控接线、整机试压、成品入库全工序；每道工序标注加工标准、专用工装设备、工序质控要点，无关键工序缺失；具备优于采购需求的优化工艺：主动提出高于采购文件要求的强化工艺（如加厚防腐涂层、双层防渗结构、降噪优化、液压部件耐磨升级等），并列明具体量化参数；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方案工艺情况有具体内容、标准化程度符合项目实际，列明本项目地埋压缩设备关键生产工序，仅缺失少量辅助工序文字描述，得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仅简单罗列工序名称，无工序操作、质量管控、参数细节描述</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工艺、标准化内容大量套用通用环卫设备模板，与本项目基坑、埋地、处理量等专属需求匹配度低，仅勉强满足基础制作要求</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没有内容不得分。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功能性部件及设备整体性</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根据供应商对投标产品主要功能性部件及设备整体性能详细描述，提供的相关技术资料由专家进行打分。</w:t>
            </w:r>
            <w:r/>
          </w:p>
          <w:p>
            <w:pPr>
              <w:numPr>
                <w:ilvl w:val="0"/>
                <w:numId w:val="4"/>
              </w:numPr>
              <w:rPr>
                <w:rFonts w:hint="eastAsia" w:ascii="仿宋" w:hAnsi="仿宋" w:eastAsia="仿宋" w:cs="仿宋"/>
                <w:color w:val="auto"/>
                <w:sz w:val="24"/>
                <w:szCs w:val="24"/>
              </w:rPr>
            </w:pPr>
            <w:r>
              <w:rPr>
                <w:rFonts w:hint="eastAsia" w:ascii="仿宋" w:hAnsi="仿宋" w:eastAsia="仿宋" w:cs="仿宋"/>
                <w:color w:val="000000"/>
                <w:sz w:val="24"/>
                <w:szCs w:val="24"/>
                <w:lang w:val="en-US" w:eastAsia="zh-CN"/>
              </w:rPr>
              <w:t xml:space="preserve">完整拆解描述地埋水平压缩设备全部关键功能部件：压缩主机、液压动力单元、举升卸料机构、污水防渗系统、电控控制柜、称重感应、安全防护组件等，逐一列明部件品牌、型号、材质、规格参数，无核心部件遗漏，结合项目垃圾日处理量、基坑埋地环境、转运频次、污水排放条件、运维操作需求针对性匹配部件配置，所有性能参数、部件规格均适配项目现场，无通用模板套话，</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numPr>
                <w:ilvl w:val="0"/>
                <w:numId w:val="4"/>
              </w:numPr>
              <w:rPr>
                <w:rFonts w:hint="eastAsia" w:ascii="仿宋" w:hAnsi="仿宋" w:eastAsia="仿宋" w:cs="仿宋"/>
                <w:color w:val="000000"/>
                <w:sz w:val="24"/>
                <w:szCs w:val="24"/>
              </w:rPr>
            </w:pPr>
            <w:r>
              <w:rPr>
                <w:rFonts w:hint="eastAsia" w:ascii="仿宋" w:hAnsi="仿宋" w:eastAsia="仿宋" w:cs="仿宋"/>
                <w:color w:val="auto"/>
                <w:sz w:val="24"/>
                <w:szCs w:val="24"/>
              </w:rPr>
              <w:t xml:space="preserve">列明压缩主机、液压、电控、卸料机构等主要部件，标注基础型号与参数，仅少量次要辅助部件未展开描述，无关键部件缺失</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部件规格、整机性能参数全部达到采购需求最低标准，适配项目现场使用条件，但无任何高于采购要求的优化性能、升级配置。得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numPr>
                <w:ilvl w:val="0"/>
                <w:numId w:val="4"/>
              </w:numPr>
              <w:rPr>
                <w:rFonts w:hint="eastAsia" w:ascii="仿宋" w:hAnsi="仿宋" w:eastAsia="仿宋" w:cs="仿宋"/>
                <w:color w:val="000000"/>
                <w:sz w:val="24"/>
                <w:szCs w:val="24"/>
              </w:rPr>
            </w:pPr>
            <w:r>
              <w:rPr>
                <w:rFonts w:hint="eastAsia" w:ascii="仿宋" w:hAnsi="仿宋" w:eastAsia="仿宋" w:cs="仿宋"/>
                <w:color w:val="auto"/>
                <w:sz w:val="24"/>
                <w:szCs w:val="24"/>
              </w:rPr>
              <w:t xml:space="preserve">部件配置、性能描述大量套用通用环卫设备模板，未结合本项目基坑、处理量、埋地工况针对性说明，仅勉强满足基础使用需求</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p>
          <w:p>
            <w:pPr>
              <w:numPr>
                <w:ilvl w:val="0"/>
                <w:numId w:val="4"/>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没有内容不得分。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组织实施方案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5"/>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完整包含项目前期对接、场地勘测、生产排产、设备运输、现场吊装、基坑适配安装、管路铺设、整机调试、试运行、验收移交、售后交接全阶段实施计划，无任一关键实施环节缺失；各阶段明确工期节点、责任人、人员配置清单；得4分。</w:t>
            </w:r>
            <w:r/>
          </w:p>
          <w:p>
            <w:pPr>
              <w:numPr>
                <w:ilvl w:val="0"/>
                <w:numId w:val="5"/>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覆盖生产、运输、现场安装、调试、验收主要实施环节，仅缺失少量辅助配套流程，关键实施节点、责任人清晰</w:t>
            </w:r>
            <w:r>
              <w:rPr>
                <w:rFonts w:hint="eastAsia" w:ascii="仿宋" w:hAnsi="仿宋" w:eastAsia="仿宋" w:cs="仿宋"/>
                <w:color w:val="000000"/>
                <w:sz w:val="24"/>
                <w:szCs w:val="24"/>
                <w:lang w:val="en-US" w:eastAsia="zh-CN"/>
              </w:rPr>
              <w:t xml:space="preserve">；得2分。</w:t>
            </w:r>
            <w:r/>
          </w:p>
          <w:p>
            <w:pPr>
              <w:numPr>
                <w:ilvl w:val="0"/>
                <w:numId w:val="5"/>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仅简单罗列施工步骤，无分阶段工期、人员、设备配置，缺少质量、安全、工期任一基础保障方案；</w:t>
            </w:r>
            <w:r>
              <w:rPr>
                <w:rFonts w:hint="eastAsia" w:ascii="仿宋" w:hAnsi="仿宋" w:eastAsia="仿宋" w:cs="仿宋"/>
                <w:color w:val="000000"/>
                <w:sz w:val="24"/>
                <w:szCs w:val="24"/>
                <w:lang w:val="en-US" w:eastAsia="zh-CN"/>
              </w:rPr>
              <w:t xml:space="preserve">得1分。</w:t>
            </w:r>
            <w:r/>
          </w:p>
          <w:p>
            <w:p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送货安装及调试方案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6"/>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完整覆盖工厂备货、专车运输、现场吊装、基坑定位、设备就位、管路对接、防渗密封施工、液压/电控接线、空载调试、满载试压、72小时连续试运行、现场清理全流程，分阶段列明工期节点、专职人员、配套机具清单；得4分</w:t>
            </w:r>
            <w:r/>
          </w:p>
          <w:p>
            <w:pPr>
              <w:numPr>
                <w:ilvl w:val="0"/>
                <w:numId w:val="6"/>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覆盖备货、运输、现场安装、整机调试、验收关键环节，仅缺失少量辅助流程，各环节有基础工期、人员安排</w:t>
            </w:r>
            <w:r>
              <w:rPr>
                <w:rFonts w:hint="eastAsia" w:ascii="仿宋" w:hAnsi="仿宋" w:eastAsia="仿宋" w:cs="仿宋"/>
                <w:color w:val="000000"/>
                <w:sz w:val="24"/>
                <w:szCs w:val="24"/>
                <w:lang w:val="en-US" w:eastAsia="zh-CN"/>
              </w:rPr>
              <w:t xml:space="preserve">；得2分。</w:t>
            </w:r>
            <w:r/>
          </w:p>
          <w:p>
            <w:pPr>
              <w:numPr>
                <w:ilvl w:val="0"/>
                <w:numId w:val="6"/>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仅简单罗列送货、安装、调试步骤，无分阶段工期、人员、机具配置，缺少安全/防护任一基础保障措施；</w:t>
            </w:r>
            <w:r>
              <w:rPr>
                <w:rFonts w:hint="eastAsia" w:ascii="仿宋" w:hAnsi="仿宋" w:eastAsia="仿宋" w:cs="仿宋"/>
                <w:color w:val="000000"/>
                <w:sz w:val="24"/>
                <w:szCs w:val="24"/>
                <w:lang w:val="en-US" w:eastAsia="zh-CN"/>
              </w:rPr>
              <w:t xml:space="preserve">得1分。</w:t>
            </w:r>
            <w:r/>
          </w:p>
          <w:p>
            <w:pPr>
              <w:numPr>
                <w:ilvl w:val="0"/>
                <w:numId w:val="6"/>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培训方案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7"/>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针对本项目地埋水平压缩式设备埋地防渗、地下污水收集、智能电控、基坑配套运维等专属特性定制课程，结合中转站日常清运、同步运维场景设计实操演练，无通用环卫设备模板套话，针对项目使用难点增设专项教学内容；得3分。</w:t>
            </w:r>
            <w:r/>
          </w:p>
          <w:p>
            <w:pPr>
              <w:numPr>
                <w:ilvl w:val="0"/>
                <w:numId w:val="7"/>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明确整体培训时长、授课人员、基础实操环节安排，有简易课时划分，具备基础考核要求</w:t>
            </w:r>
            <w:r>
              <w:rPr>
                <w:rFonts w:hint="eastAsia" w:ascii="仿宋" w:hAnsi="仿宋" w:eastAsia="仿宋" w:cs="仿宋"/>
                <w:color w:val="000000"/>
                <w:sz w:val="24"/>
                <w:szCs w:val="24"/>
                <w:lang w:val="en-US" w:eastAsia="zh-CN"/>
              </w:rPr>
              <w:t xml:space="preserve">；得2分。</w:t>
            </w:r>
            <w:r/>
          </w:p>
          <w:p>
            <w:pPr>
              <w:numPr>
                <w:ilvl w:val="0"/>
                <w:numId w:val="7"/>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仅笼统表述提供培训，无完整课程体系、无量化授课安排、无配套教学资料</w:t>
            </w:r>
            <w:r>
              <w:rPr>
                <w:rFonts w:hint="eastAsia" w:ascii="仿宋" w:hAnsi="仿宋" w:eastAsia="仿宋" w:cs="仿宋"/>
                <w:color w:val="000000"/>
                <w:sz w:val="24"/>
                <w:szCs w:val="24"/>
                <w:lang w:val="en-US" w:eastAsia="zh-CN"/>
              </w:rPr>
              <w:t xml:space="preserve">；得1分。</w:t>
            </w:r>
            <w:r/>
          </w:p>
          <w:p>
            <w:pPr>
              <w:numPr>
                <w:ilvl w:val="0"/>
                <w:numId w:val="7"/>
              </w:numP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质量控制方案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8"/>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覆盖原材料进厂检验、钣金加工、焊接防腐、液压电控装配、整机试压、出厂检测、运输防护、现场安装、基坑防渗施工、整机调试、竣工验收全环节，每个工序列明量化质控标准、检测工具、检测频次、合格判定阈值；得5分。</w:t>
            </w:r>
            <w:r/>
          </w:p>
          <w:p>
            <w:pPr>
              <w:numPr>
                <w:ilvl w:val="0"/>
                <w:numId w:val="8"/>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覆盖原材料检验、设备生产、出厂检测、现场安装调试主要流程，仅缺</w:t>
            </w:r>
            <w:r>
              <w:rPr>
                <w:rFonts w:hint="eastAsia" w:ascii="仿宋" w:hAnsi="仿宋" w:eastAsia="仿宋" w:cs="仿宋"/>
                <w:color w:val="000000"/>
                <w:sz w:val="24"/>
                <w:szCs w:val="24"/>
                <w:lang w:val="en-US" w:eastAsia="zh-CN"/>
              </w:rPr>
              <w:t xml:space="preserve">少部分</w:t>
            </w:r>
            <w:r>
              <w:rPr>
                <w:rFonts w:hint="default" w:ascii="仿宋" w:hAnsi="仿宋" w:eastAsia="仿宋" w:cs="仿宋"/>
                <w:color w:val="000000"/>
                <w:sz w:val="24"/>
                <w:szCs w:val="24"/>
                <w:lang w:val="en-US" w:eastAsia="zh-CN"/>
              </w:rPr>
              <w:t xml:space="preserve">细分管控内容，各工序具备基础检测标准</w:t>
            </w:r>
            <w:r>
              <w:rPr>
                <w:rFonts w:hint="eastAsia" w:ascii="仿宋" w:hAnsi="仿宋" w:eastAsia="仿宋" w:cs="仿宋"/>
                <w:color w:val="000000"/>
                <w:sz w:val="24"/>
                <w:szCs w:val="24"/>
                <w:lang w:val="en-US" w:eastAsia="zh-CN"/>
              </w:rPr>
              <w:t xml:space="preserve">；得3分。</w:t>
            </w:r>
            <w:r/>
          </w:p>
          <w:p>
            <w:pPr>
              <w:numPr>
                <w:ilvl w:val="0"/>
                <w:numId w:val="8"/>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仅简单说明生产、安装质量管控思路，无检测频次、合格阈值、专项风险防控等实质性量化内容</w:t>
            </w:r>
            <w:r>
              <w:rPr>
                <w:rFonts w:hint="eastAsia" w:ascii="仿宋" w:hAnsi="仿宋" w:eastAsia="仿宋" w:cs="仿宋"/>
                <w:color w:val="000000"/>
                <w:sz w:val="24"/>
                <w:szCs w:val="24"/>
                <w:lang w:val="en-US" w:eastAsia="zh-CN"/>
              </w:rPr>
              <w:t xml:space="preserve">；得1分。</w:t>
            </w:r>
            <w:r/>
          </w:p>
          <w:p>
            <w:pPr>
              <w:numPr>
                <w:ilvl w:val="0"/>
                <w:numId w:val="0"/>
              </w:numP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未提供不得分</w:t>
            </w:r>
            <w:r>
              <w:rPr>
                <w:rFonts w:hint="eastAsia" w:ascii="仿宋" w:hAnsi="仿宋" w:eastAsia="仿宋" w:cs="仿宋"/>
                <w:color w:val="000000"/>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numPr>
                <w:ilvl w:val="0"/>
                <w:numId w:val="0"/>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应急方案</w:t>
            </w:r>
            <w:r/>
          </w:p>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9"/>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针对本项目地埋式压缩设备基坑埋地、地下储污、密闭液压舱、户外潮湿电控等独有风险单独制定专项应急处置流程；结合垃圾中转站人流、异味、污水污染、周边居民敏感环境定制扰民投诉、污水外泄专项应急预案，无通用模板套话；得4分。</w:t>
            </w:r>
            <w:r/>
          </w:p>
          <w:p>
            <w:pPr>
              <w:numPr>
                <w:ilvl w:val="0"/>
                <w:numId w:val="9"/>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应急方案适配本项目基础风险，达到采购文件最低应急保障标准，无高于采购需求的备用设备、驻场抢修、年度演练等增值应急保障条款</w:t>
            </w:r>
            <w:r>
              <w:rPr>
                <w:rFonts w:hint="eastAsia" w:ascii="仿宋" w:hAnsi="仿宋" w:eastAsia="仿宋" w:cs="仿宋"/>
                <w:color w:val="000000"/>
                <w:sz w:val="24"/>
                <w:szCs w:val="24"/>
                <w:lang w:val="en-US" w:eastAsia="zh-CN"/>
              </w:rPr>
              <w:t xml:space="preserve">；得2分。</w:t>
            </w:r>
            <w:r/>
          </w:p>
          <w:p>
            <w:pPr>
              <w:numPr>
                <w:ilvl w:val="0"/>
                <w:numId w:val="9"/>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仅笼统提及设立应急方案，无场景细分、处置流程、物资人员配置等实质性落地内容</w:t>
            </w:r>
            <w:r>
              <w:rPr>
                <w:rFonts w:hint="eastAsia" w:ascii="仿宋" w:hAnsi="仿宋" w:eastAsia="仿宋" w:cs="仿宋"/>
                <w:color w:val="000000"/>
                <w:sz w:val="24"/>
                <w:szCs w:val="24"/>
                <w:lang w:val="en-US" w:eastAsia="zh-CN"/>
              </w:rPr>
              <w:t xml:space="preserve">；得1分</w:t>
            </w:r>
            <w:r/>
          </w:p>
          <w:p>
            <w:pPr>
              <w:numPr>
                <w:ilvl w:val="0"/>
                <w:numId w:val="9"/>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根据投标人书面承诺的售后质保期限进行评分，不重复计分，以承诺的最高质保期限对应分值计分，</w:t>
            </w:r>
            <w:r>
              <w:rPr>
                <w:rFonts w:hint="eastAsia" w:ascii="仿宋" w:hAnsi="仿宋" w:eastAsia="仿宋" w:cs="仿宋"/>
                <w:color w:val="000000"/>
                <w:sz w:val="24"/>
                <w:szCs w:val="24"/>
                <w:lang w:val="en-US" w:eastAsia="zh-CN"/>
              </w:rPr>
              <w:t xml:space="preserve">最高得2</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承诺售后质保期为</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年的，得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承诺售后质保期为</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年的，得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 xml:space="preserve">注：货物须提供不少于</w:t>
            </w:r>
            <w:r>
              <w:rPr>
                <w:rFonts w:hint="eastAsia" w:ascii="仿宋" w:hAnsi="仿宋" w:eastAsia="仿宋" w:cs="仿宋"/>
                <w:b w:val="0"/>
                <w:bCs w:val="0"/>
                <w:color w:val="000000"/>
                <w:sz w:val="24"/>
                <w:szCs w:val="24"/>
                <w:lang w:val="en-US" w:eastAsia="zh-CN"/>
              </w:rPr>
              <w:t xml:space="preserve">3</w:t>
            </w:r>
            <w:r>
              <w:rPr>
                <w:rFonts w:hint="eastAsia" w:ascii="仿宋" w:hAnsi="仿宋" w:eastAsia="仿宋" w:cs="仿宋"/>
                <w:b w:val="0"/>
                <w:bCs w:val="0"/>
                <w:color w:val="000000"/>
                <w:sz w:val="24"/>
                <w:szCs w:val="24"/>
              </w:rPr>
              <w:t xml:space="preserve">年的售后质保期，该要求为最低强制性标准，未满足者按无效响应处理。投标人需提供书面质保承诺函（</w:t>
            </w:r>
            <w:r>
              <w:rPr>
                <w:rFonts w:hint="eastAsia" w:ascii="仿宋" w:hAnsi="仿宋" w:eastAsia="仿宋" w:cs="仿宋"/>
                <w:b w:val="0"/>
                <w:bCs w:val="0"/>
                <w:color w:val="000000"/>
                <w:sz w:val="24"/>
                <w:szCs w:val="24"/>
              </w:rPr>
              <w:t xml:space="preserve">格式</w:t>
            </w:r>
            <w:r>
              <w:rPr>
                <w:rFonts w:hint="eastAsia" w:ascii="仿宋" w:hAnsi="仿宋" w:eastAsia="仿宋" w:cs="仿宋"/>
                <w:b w:val="0"/>
                <w:bCs w:val="0"/>
                <w:color w:val="000000"/>
                <w:sz w:val="24"/>
                <w:szCs w:val="24"/>
              </w:rPr>
              <w:t xml:space="preserve">自拟</w:t>
            </w:r>
            <w:r>
              <w:rPr>
                <w:rFonts w:hint="eastAsia" w:ascii="仿宋" w:hAnsi="仿宋" w:eastAsia="仿宋" w:cs="仿宋"/>
                <w:b w:val="0"/>
                <w:bCs w:val="0"/>
                <w:color w:val="000000"/>
                <w:sz w:val="24"/>
                <w:szCs w:val="24"/>
              </w:rPr>
              <w:t xml:space="preserve">，</w:t>
            </w:r>
            <w:r>
              <w:rPr>
                <w:rFonts w:hint="eastAsia" w:ascii="仿宋" w:hAnsi="仿宋" w:eastAsia="仿宋" w:cs="仿宋"/>
                <w:b w:val="0"/>
                <w:bCs w:val="0"/>
                <w:color w:val="000000"/>
                <w:sz w:val="24"/>
                <w:szCs w:val="24"/>
              </w:rPr>
              <w:t xml:space="preserve">加盖</w:t>
            </w:r>
            <w:r>
              <w:rPr>
                <w:rFonts w:hint="eastAsia" w:ascii="仿宋" w:hAnsi="仿宋" w:eastAsia="仿宋" w:cs="仿宋"/>
                <w:b w:val="0"/>
                <w:bCs w:val="0"/>
                <w:color w:val="000000"/>
                <w:sz w:val="24"/>
                <w:szCs w:val="24"/>
                <w:lang w:val="en-US" w:eastAsia="zh-CN"/>
              </w:rPr>
              <w:t xml:space="preserve">电子签</w:t>
            </w:r>
            <w:r>
              <w:rPr>
                <w:rFonts w:hint="eastAsia" w:ascii="仿宋" w:hAnsi="仿宋" w:eastAsia="仿宋" w:cs="仿宋"/>
                <w:b w:val="0"/>
                <w:bCs w:val="0"/>
                <w:color w:val="000000"/>
                <w:sz w:val="24"/>
                <w:szCs w:val="24"/>
              </w:rPr>
              <w:t xml:space="preserve">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r/>
          </w:p>
        </w:tc>
      </w:tr>
      <w:tr>
        <w:trPr>
          <w:jc w:val="center"/>
          <w:trHeight w:val="931"/>
        </w:trPr>
        <w:tc>
          <w:tcPr>
            <w:tcBorders>
              <w:left w:val="single" w:color="auto" w:sz="4" w:space="0"/>
              <w:right w:val="single" w:color="auto" w:sz="4" w:space="0"/>
            </w:tcBorders>
            <w:tcW w:w="1341"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商务部分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类似</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业绩</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投标供应商自202</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年7月1日以来（以合同签订时间为准）承担过类似垃圾压缩机采购项目的业绩，每个有效业绩得1分；最高得3分。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w:t>
            </w:r>
            <w:r>
              <w:rPr>
                <w:rFonts w:hint="eastAsia" w:ascii="仿宋" w:hAnsi="仿宋" w:eastAsia="仿宋" w:cs="仿宋"/>
                <w:color w:val="000000"/>
                <w:sz w:val="24"/>
                <w:szCs w:val="24"/>
                <w:lang w:val="en-US" w:eastAsia="zh-CN"/>
              </w:rPr>
              <w:t xml:space="preserve">同时</w:t>
            </w:r>
            <w:r>
              <w:rPr>
                <w:rFonts w:hint="eastAsia" w:ascii="仿宋" w:hAnsi="仿宋" w:eastAsia="仿宋" w:cs="仿宋"/>
                <w:color w:val="000000"/>
                <w:sz w:val="24"/>
                <w:szCs w:val="24"/>
              </w:rPr>
              <w:t xml:space="preserve">提供业绩合同和中标通知书扫描件加盖单位公章，否则不得分。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r>
      <w:tr>
        <w:trPr>
          <w:jc w:val="center"/>
          <w:trHeight w:val="530"/>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管理</w:t>
            </w:r>
            <w:r/>
          </w:p>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体系</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投标人具有质量管理体系认证、环境管理体系认证、职业健康安全管理体系认证,每提供一项得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分，最高得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提供以上证书扫描件加盖</w:t>
            </w:r>
            <w:r>
              <w:rPr>
                <w:rFonts w:hint="eastAsia" w:ascii="仿宋" w:hAnsi="仿宋" w:eastAsia="仿宋" w:cs="仿宋"/>
                <w:color w:val="000000"/>
                <w:sz w:val="24"/>
                <w:szCs w:val="24"/>
                <w:lang w:val="en-US" w:eastAsia="zh-CN"/>
              </w:rPr>
              <w:t xml:space="preserve">电子签</w:t>
            </w:r>
            <w:r>
              <w:rPr>
                <w:rFonts w:hint="eastAsia" w:ascii="仿宋" w:hAnsi="仿宋" w:eastAsia="仿宋" w:cs="仿宋"/>
                <w:color w:val="000000"/>
                <w:sz w:val="24"/>
                <w:szCs w:val="24"/>
              </w:rPr>
              <w:t xml:space="preserve">章，并要求</w:t>
            </w:r>
            <w:r>
              <w:rPr>
                <w:rFonts w:hint="eastAsia" w:ascii="仿宋" w:hAnsi="仿宋" w:eastAsia="仿宋" w:cs="仿宋"/>
                <w:color w:val="000000"/>
                <w:sz w:val="24"/>
                <w:szCs w:val="24"/>
                <w:lang w:val="en-US" w:eastAsia="zh-CN"/>
              </w:rPr>
              <w:t xml:space="preserve">在</w:t>
            </w:r>
            <w:r>
              <w:rPr>
                <w:rFonts w:hint="eastAsia" w:ascii="仿宋" w:hAnsi="仿宋" w:eastAsia="仿宋" w:cs="仿宋"/>
                <w:color w:val="000000"/>
                <w:sz w:val="24"/>
                <w:szCs w:val="24"/>
              </w:rPr>
              <w:t xml:space="preserve">认证查询系统内查询到相关证书信息提供截图证明，否则不得分。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p>
        </w:tc>
      </w:tr>
      <w:tr>
        <w:trPr>
          <w:jc w:val="center"/>
          <w:trHeight w:val="1484"/>
        </w:trPr>
        <w:tc>
          <w:tcPr>
            <w:tcBorders>
              <w:left w:val="single" w:color="auto" w:sz="4" w:space="0"/>
              <w:right w:val="single" w:color="auto" w:sz="4" w:space="0"/>
            </w:tcBorders>
            <w:tcW w:w="1341" w:type="dxa"/>
            <w:vAlign w:val="center"/>
            <w:vMerge w:val="continue"/>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left w:val="single" w:color="auto" w:sz="4" w:space="0"/>
              <w:right w:val="single" w:color="auto" w:sz="4" w:space="0"/>
            </w:tcBorders>
            <w:tcW w:w="1125"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人员证书</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现场安装人员证书：安装人员须具备低压电工证、熔化焊接与热切割证等对应专业上岗证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每提供一人得1分，最高得3分。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提供人员证书及承诺书，承诺书具体内容详见示范格式四加盖电子签章</w:t>
            </w:r>
            <w:r>
              <w:rPr>
                <w:rFonts w:hint="eastAsia" w:ascii="仿宋" w:hAnsi="仿宋" w:eastAsia="仿宋" w:cs="仿宋"/>
                <w:color w:val="000000"/>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p>
        </w:tc>
      </w:tr>
    </w:tbl>
    <w:p>
      <w:r/>
      <w:r/>
    </w:p>
    <w:p>
      <w:pPr>
        <w:pStyle w:val="704"/>
        <w:rPr>
          <w:rFonts w:hint="eastAsia" w:ascii="仿宋" w:hAnsi="仿宋" w:eastAsia="仿宋"/>
          <w:sz w:val="28"/>
        </w:rPr>
      </w:pPr>
      <w:r>
        <w:rPr>
          <w:rFonts w:hint="eastAsia" w:ascii="仿宋" w:hAnsi="仿宋" w:eastAsia="仿宋"/>
          <w:sz w:val="28"/>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pStyle w:val="697"/>
        <w:rPr>
          <w:rFonts w:hint="eastAsia" w:ascii="仿宋" w:hAnsi="仿宋" w:eastAsia="仿宋"/>
          <w:b/>
          <w:sz w:val="36"/>
          <w:szCs w:val="36"/>
        </w:rPr>
      </w:pPr>
      <w:r>
        <w:rPr>
          <w:rFonts w:hint="eastAsia" w:ascii="仿宋" w:hAnsi="仿宋" w:eastAsia="仿宋"/>
          <w:b/>
          <w:sz w:val="36"/>
          <w:szCs w:val="36"/>
        </w:rPr>
      </w:r>
      <w:r/>
    </w:p>
    <w:p>
      <w:pPr>
        <w:pStyle w:val="697"/>
        <w:rPr>
          <w:rFonts w:hint="eastAsia" w:ascii="仿宋" w:hAnsi="仿宋" w:eastAsia="仿宋"/>
          <w:b/>
          <w:sz w:val="36"/>
          <w:szCs w:val="36"/>
        </w:rPr>
      </w:pPr>
      <w:r>
        <w:rPr>
          <w:rFonts w:hint="eastAsia" w:ascii="仿宋" w:hAnsi="仿宋" w:eastAsia="仿宋"/>
          <w:b/>
          <w:sz w:val="36"/>
          <w:szCs w:val="36"/>
        </w:rPr>
      </w:r>
      <w:r/>
    </w:p>
    <w:p>
      <w:pPr>
        <w:pStyle w:val="697"/>
        <w:rPr>
          <w:rFonts w:hint="eastAsia" w:ascii="仿宋" w:hAnsi="仿宋" w:eastAsia="仿宋"/>
          <w:b/>
          <w:sz w:val="36"/>
          <w:szCs w:val="36"/>
        </w:rPr>
      </w:pPr>
      <w:r>
        <w:rPr>
          <w:rFonts w:hint="eastAsia" w:ascii="仿宋" w:hAnsi="仿宋" w:eastAsia="仿宋"/>
          <w:b/>
          <w:sz w:val="36"/>
          <w:szCs w:val="36"/>
        </w:rPr>
      </w:r>
      <w:r/>
    </w:p>
    <w:p>
      <w:pPr>
        <w:pStyle w:val="697"/>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bCs/>
          <w:sz w:val="36"/>
          <w:szCs w:val="36"/>
        </w:rPr>
      </w:pPr>
      <w:r>
        <w:rPr>
          <w:rFonts w:hint="eastAsia" w:ascii="仿宋" w:hAnsi="仿宋" w:eastAsia="仿宋"/>
          <w:b/>
          <w:sz w:val="36"/>
          <w:szCs w:val="36"/>
        </w:rPr>
        <w:t xml:space="preserve">第四章  合同格式及条款</w:t>
      </w:r>
      <w:r/>
    </w:p>
    <w:p>
      <w:pPr>
        <w:ind w:firstLine="560"/>
        <w:spacing w:line="360" w:lineRule="auto"/>
        <w:tabs>
          <w:tab w:val="left" w:pos="180" w:leader="none"/>
        </w:tabs>
        <w:rPr>
          <w:rFonts w:hint="eastAsia" w:ascii="仿宋" w:hAnsi="仿宋" w:eastAsia="仿宋" w:cs="仿宋"/>
          <w:sz w:val="32"/>
        </w:rPr>
      </w:pPr>
      <w:r>
        <w:rPr>
          <w:rFonts w:hint="eastAsia" w:ascii="仿宋" w:hAnsi="仿宋" w:eastAsia="仿宋" w:cs="仿宋"/>
          <w:bCs/>
          <w:sz w:val="28"/>
          <w:szCs w:val="28"/>
        </w:rPr>
        <w:t xml:space="preserve">注：以下为采购人提出中标后签订本项目合同的条款，供应商必须实质性响应，中标供应商不得提出实质性的修改，关于专用条款将由采购人与中标供应商结合本项目具体情况协商后签订。</w:t>
      </w:r>
      <w:r/>
    </w:p>
    <w:p>
      <w:pPr>
        <w:pStyle w:val="707"/>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一、设备采购合同</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甲方：</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乙方： </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一、采购清单详见下表</w:t>
      </w:r>
      <w:r/>
    </w:p>
    <w:tbl>
      <w:tblPr>
        <w:tblStyle w:val="696"/>
        <w:tblW w:w="4979" w:type="pct"/>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791"/>
        <w:gridCol w:w="1269"/>
        <w:gridCol w:w="790"/>
        <w:gridCol w:w="774"/>
        <w:gridCol w:w="1516"/>
        <w:gridCol w:w="1609"/>
        <w:gridCol w:w="1889"/>
      </w:tblGrid>
      <w:tr>
        <w:trPr>
          <w:cantSplit/>
          <w:jc w:val="center"/>
          <w:trHeight w:val="616" w:hRule="exact"/>
        </w:trPr>
        <w:tc>
          <w:tcPr>
            <w:tcBorders>
              <w:top w:val="single" w:color="auto" w:sz="4"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bookmarkStart w:id="36" w:name="_Hlk37262289"/>
            <w:r>
              <w:rPr>
                <w:rFonts w:hint="eastAsia" w:ascii="仿宋" w:hAnsi="仿宋" w:eastAsia="仿宋" w:cs="仿宋"/>
                <w:color w:val="auto"/>
                <w:sz w:val="24"/>
              </w:rPr>
              <w:t xml:space="preserve">设备名称</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品牌</w:t>
            </w:r>
            <w:r/>
          </w:p>
        </w:tc>
        <w:tc>
          <w:tcPr>
            <w:tcBorders>
              <w:top w:val="single" w:color="auto" w:sz="4"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规格型号</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产地</w:t>
            </w:r>
            <w:r/>
          </w:p>
        </w:tc>
        <w:tc>
          <w:tcPr>
            <w:tcBorders>
              <w:top w:val="single" w:color="auto" w:sz="4"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数量</w:t>
            </w:r>
            <w:r/>
          </w:p>
        </w:tc>
        <w:tc>
          <w:tcPr>
            <w:tcBorders>
              <w:top w:val="single" w:color="auto" w:sz="4"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单价（元）</w:t>
            </w:r>
            <w:r/>
          </w:p>
        </w:tc>
        <w:tc>
          <w:tcPr>
            <w:tcBorders>
              <w:top w:val="single" w:color="auto" w:sz="4"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合计（元）</w:t>
            </w:r>
            <w:r/>
          </w:p>
        </w:tc>
        <w:tc>
          <w:tcPr>
            <w:tcBorders>
              <w:top w:val="single" w:color="auto" w:sz="4" w:space="0"/>
              <w:left w:val="single" w:color="auto" w:sz="4" w:space="0"/>
              <w:bottom w:val="single" w:color="auto" w:sz="2"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备注</w:t>
            </w:r>
            <w:bookmarkEnd w:id="36"/>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4"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4"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详见附件</w:t>
            </w:r>
            <w:r/>
          </w:p>
        </w:tc>
      </w:tr>
    </w:tbl>
    <w:p>
      <w:pPr>
        <w:ind w:firstLine="560"/>
        <w:spacing w:line="520" w:lineRule="exact"/>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注：上述价格含设备制造、包装、仓储、运输、安装及验收合格之前及保修期内备品、备件发生的所有含税费用，以及包装拆除物的清理费用。</w:t>
      </w:r>
      <w:r/>
    </w:p>
    <w:p>
      <w:pPr>
        <w:ind w:firstLine="560"/>
        <w:spacing w:line="520" w:lineRule="exact"/>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二、付款方式</w:t>
      </w:r>
      <w:r/>
    </w:p>
    <w:p>
      <w:pPr>
        <w:pStyle w:val="707"/>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分批次完成设备安装验收，每批次验收合格后，依据合格台数一次性付清该批次货款。</w:t>
      </w:r>
      <w:r/>
    </w:p>
    <w:p>
      <w:pPr>
        <w:pStyle w:val="707"/>
        <w:ind w:firstLine="560"/>
        <w:spacing w:line="52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注：付款时乙方须提供正规发票（因发票问题而导致无法正常付款的，责任由乙方承担）。</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三、交货时间及交货地点</w:t>
      </w:r>
      <w:r/>
    </w:p>
    <w:p>
      <w:pPr>
        <w:ind w:firstLine="560"/>
        <w:spacing w:line="360" w:lineRule="auto"/>
        <w:tabs>
          <w:tab w:val="left" w:pos="420" w:leader="none"/>
        </w:tabs>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交货时间：合同签订后，中标供应商接到采购人供货通知15日内供货安装调试到位并交付采购人使用。</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供货数量以采购人通知为准，实行分批供货，不一次性完成全部交付。）</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交货地点：甲方指定地点。</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四、乙方保证向甲方提供的设备满足中国国家标准及相关行业标准。</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乙方保证所供设备是全新、未使用过的原包装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事故和纠纷，乙方承担全部的法律和经济责任。</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六、设备安装后，乙方应配合甲方按厂方技术参数、国家标准等进行质量验收。若有歧义，甲方有权委托中国有资格的单位对该设备进行质量检测，费用由乙方承担。</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sz w:val="28"/>
          <w:szCs w:val="28"/>
        </w:rPr>
        <w:t xml:space="preserve">七、乙方所供设备如验收不合格，根据甲方的要求，乙方必须无条件换货或</w:t>
      </w:r>
      <w:r>
        <w:rPr>
          <w:rFonts w:hint="eastAsia" w:ascii="仿宋" w:hAnsi="仿宋" w:eastAsia="仿宋" w:cs="仿宋"/>
          <w:color w:val="auto"/>
          <w:sz w:val="28"/>
          <w:szCs w:val="28"/>
        </w:rPr>
        <w:t xml:space="preserve">退货，由此引起的一切损失由乙方承担。</w:t>
      </w:r>
      <w:r/>
    </w:p>
    <w:p>
      <w:pPr>
        <w:ind w:firstLine="560"/>
        <w:spacing w:line="360" w:lineRule="auto"/>
        <w:tabs>
          <w:tab w:val="left" w:pos="420" w:leader="none"/>
        </w:tabs>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十、服务条款</w:t>
      </w:r>
      <w:r/>
    </w:p>
    <w:p>
      <w:pPr>
        <w:pStyle w:val="773"/>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1.乙方免费提前为甲方提供设备安装图纸，并充分协助甲方做好准备工作（如必要的话）。</w:t>
      </w:r>
      <w:r/>
    </w:p>
    <w:p>
      <w:pPr>
        <w:pStyle w:val="773"/>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2.设备安装时，乙方负责设备的免费安装和调试，乙方必须事先与甲方联系，否则引起的一切责任由乙方承担。</w:t>
      </w:r>
      <w:r/>
    </w:p>
    <w:p>
      <w:pPr>
        <w:pStyle w:val="773"/>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3.设备安装、调试结束后，甲方对设备试用后进行验收（时间由甲、乙双方商定），乙方免费派工程师到达现场协助验收工作。保修期自甲方验收合格之日算起，保修期外故</w:t>
      </w:r>
      <w:bookmarkStart w:id="42" w:name="_GoBack"/>
      <w:r/>
      <w:bookmarkEnd w:id="42"/>
      <w:r>
        <w:rPr>
          <w:rFonts w:hint="eastAsia" w:ascii="仿宋" w:hAnsi="仿宋" w:eastAsia="仿宋" w:cs="仿宋"/>
          <w:color w:val="auto"/>
          <w:sz w:val="28"/>
          <w:szCs w:val="28"/>
        </w:rPr>
        <w:t xml:space="preserve">障待修复后只收配件费，免收上门费、人工费。</w:t>
      </w:r>
      <w:r/>
    </w:p>
    <w:p>
      <w:pPr>
        <w:pStyle w:val="773"/>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4.上述设备免费保修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年，保修期自设备验收合格之起计算，保修期外乙方对本设备终身负责维修。</w:t>
      </w:r>
      <w:r/>
    </w:p>
    <w:p>
      <w:pPr>
        <w:pStyle w:val="773"/>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5.如设备发生故障，乙方在接到甲方报修电话后2小时之内响应，8小时内到达甲方现场（若无维修站点，24小时内到达现场），48小时内修复，否则甲方可自行采取必要的措施，由此产生的风险和费用由乙方承担。如有特殊情况，乙方应立即电话通知甲方不能响应的原因，在获得甲方同意后，才可推迟响应时间。</w:t>
      </w:r>
      <w:r/>
    </w:p>
    <w:p>
      <w:pPr>
        <w:pStyle w:val="773"/>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6.保修期内每年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次定期维护，并经甲方签字确认，留档备查。</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color w:val="auto"/>
          <w:sz w:val="28"/>
          <w:szCs w:val="28"/>
        </w:rPr>
        <w:t xml:space="preserve">7.无论在保修期内还是保修期外，乙方必须上门维修，</w:t>
      </w:r>
      <w:r>
        <w:rPr>
          <w:rFonts w:hint="eastAsia" w:ascii="仿宋" w:hAnsi="仿宋" w:eastAsia="仿宋" w:cs="仿宋"/>
          <w:sz w:val="28"/>
          <w:szCs w:val="28"/>
        </w:rPr>
        <w:t xml:space="preserve">乙方工程师至甲方维修本设备，必须事先与甲方取得联系，并做相应登记，否则引起的一切责任由乙方负责。</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8.乙方需在交货后五个工作日内免费提供全套资料并加盖公章，含产品合格证、操作手册等，如技术资料不全，甲方有权不支付货款或退货，因此产生的损失由乙方自行承担。</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9.技术培训：在安装过程中或安装结束后，乙方工程师或有关人员有义务对甲方操作人员进行现场维修、保养、操作培训并提供快捷操作指南，解答甲方人员提出的问题。必要时提供正规培训班培训，确保操作人员掌握完成日常工作所需的基本操作方法为止。</w:t>
      </w:r>
      <w:r/>
    </w:p>
    <w:p>
      <w:pPr>
        <w:ind w:left="600" w:hanging="182"/>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十一、违约责任</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1.自本协议生效之日起，双方应严格依约履行。若任何一方违反本协议规定，应赔偿由此给其他方造成的损失。</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如果乙方没有按照合同规定时间交货的，每逾期一日，保修期延长十天，人力不可抗因素除外。乙方延期交货10日以上的，则视为乙方不能交货，甲方有权因此解除本合同，并要求乙方承担合同总金额10%的违约金。</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3.乙方其他违约行为</w:t>
      </w:r>
      <w:r>
        <w:rPr>
          <w:rFonts w:hint="eastAsia" w:ascii="仿宋" w:hAnsi="仿宋" w:eastAsia="仿宋" w:cs="仿宋"/>
          <w:sz w:val="28"/>
          <w:szCs w:val="28"/>
          <w:lang w:val="en-US" w:eastAsia="zh-CN"/>
        </w:rPr>
        <w:t xml:space="preserve">造成严重不良后果</w:t>
      </w:r>
      <w:r>
        <w:rPr>
          <w:rFonts w:hint="eastAsia" w:ascii="仿宋" w:hAnsi="仿宋" w:eastAsia="仿宋" w:cs="仿宋"/>
          <w:sz w:val="28"/>
          <w:szCs w:val="28"/>
        </w:rPr>
        <w:t xml:space="preserve">的，乙方按</w:t>
      </w:r>
      <w:r>
        <w:rPr>
          <w:rFonts w:hint="eastAsia" w:ascii="仿宋" w:hAnsi="仿宋" w:eastAsia="仿宋" w:cs="仿宋"/>
          <w:sz w:val="28"/>
          <w:szCs w:val="28"/>
          <w:lang w:val="en-US" w:eastAsia="zh-CN"/>
        </w:rPr>
        <w:t xml:space="preserve">合同</w:t>
      </w:r>
      <w:r>
        <w:rPr>
          <w:rFonts w:hint="eastAsia" w:ascii="仿宋" w:hAnsi="仿宋" w:eastAsia="仿宋" w:cs="仿宋"/>
          <w:sz w:val="28"/>
          <w:szCs w:val="28"/>
        </w:rPr>
        <w:t xml:space="preserve">期内甲方向乙方购货总额的10%计算，向甲方支付违约金。如果乙方违约，在收到甲方通知后的10日内没有或拒不承担违约责任的，则甲方有权从尚未支付乙方的购货价款中扣回违约金。</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4.乙方若违反本协议第六和第十任一条均视为对本协议的重大违约，甲方随时有权书面通知乙方立即终止本协议。</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5.因乙方的违约行为给甲方造成损失的（包括所有直接和间接损失），如果违约金不足以补偿该损失部分的，甲方有权继续要求乙方赔偿甲方所有实际损失。</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6.乙方对本合同所约定的设备价格负责，如果产生与设备价值、成本相关的任何法律纠纷由乙方承担。</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7.乙方保证提供的商品、服务不存在任何法律纠纷，甲方在使用该商品或服务以及其中的任何一部分时，不侵犯任何的专利权、商标权、工业设计权或其他知识产权，如收到来自第三方的侵权诉讼或索赔，所有责任及由此造成的损失由乙方承担。</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8.以上各项交付的违约金并不影响乙方继续履行本协议的其他各项义务。</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9.乙方应保证甲方在使用、接受本合同货物和服务或其任何一部分时不受第三方提出侵犯其专利权、版权、商标权和工业设计权等知识产权的起诉。一旦出现侵权，由乙方负全部责任。</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十二、双方应本着友好协商的原则，解决与本合同有关的一切争议。如一方不愿协商或协商开始后30日内无法解决，应提交甲方所在地人民法院裁决。</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十三、其他</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1.本合同经甲、乙双方加盖电子签章后生效。如有变动，必须经甲方、乙方协商一致后，方可更改。</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2.本合同未尽事宜，遵照《</w:t>
      </w:r>
      <w:r>
        <w:rPr>
          <w:rFonts w:hint="eastAsia" w:ascii="仿宋" w:hAnsi="仿宋" w:eastAsia="仿宋" w:cs="仿宋"/>
          <w:sz w:val="28"/>
          <w:szCs w:val="28"/>
          <w:lang w:val="en-US" w:eastAsia="zh-CN"/>
        </w:rPr>
        <w:t xml:space="preserve">中华人民共和国</w:t>
      </w:r>
      <w:r>
        <w:rPr>
          <w:rFonts w:hint="eastAsia" w:ascii="仿宋" w:hAnsi="仿宋" w:eastAsia="仿宋" w:cs="仿宋"/>
          <w:sz w:val="28"/>
          <w:szCs w:val="28"/>
        </w:rPr>
        <w:t xml:space="preserve">民法典》、《政府采购法》有关条文执行。</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十四、组成本合同的文件包括</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1.合同格式及条款；</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2.招标文件和乙方的投标文件；</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3.中标通知书；</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4.上述合同文件内容互为补充。如有不明确或有歧义之处，由甲乙双方协商确定；协商不成的，按照本合同第十二条约定的争议解决方式处理。</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十五、合同签署地点：淮安。</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甲    方:                          乙    方:</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单位盖章:                          单位盖章:</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代表签字:                          代表签字:</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签定日期:                          签定日期:</w:t>
      </w:r>
      <w:r/>
    </w:p>
    <w:p>
      <w:pPr>
        <w:jc w:val="center"/>
        <w:spacing w:line="520" w:lineRule="exact"/>
        <w:tabs>
          <w:tab w:val="left" w:pos="180" w:leader="none"/>
        </w:tabs>
        <w:rPr>
          <w:rFonts w:hint="eastAsia" w:ascii="仿宋" w:hAnsi="仿宋" w:eastAsia="仿宋" w:cs="仿宋"/>
          <w:b/>
          <w:bCs/>
          <w:sz w:val="32"/>
          <w:szCs w:val="32"/>
        </w:rPr>
      </w:pPr>
      <w:r>
        <w:rPr>
          <w:rFonts w:hint="eastAsia" w:ascii="仿宋" w:hAnsi="仿宋" w:eastAsia="仿宋" w:cs="仿宋"/>
          <w:b/>
          <w:bCs/>
          <w:sz w:val="32"/>
          <w:szCs w:val="32"/>
        </w:rPr>
        <w:t xml:space="preserve">二、合同通用条款</w:t>
      </w:r>
      <w:r/>
    </w:p>
    <w:p>
      <w:pPr>
        <w:spacing w:line="520" w:lineRule="exact"/>
        <w:rPr>
          <w:rFonts w:hint="eastAsia" w:ascii="仿宋" w:hAnsi="仿宋" w:eastAsia="仿宋"/>
          <w:sz w:val="28"/>
        </w:rPr>
      </w:pPr>
      <w:r>
        <w:rPr>
          <w:rFonts w:hint="eastAsia" w:ascii="仿宋" w:hAnsi="仿宋" w:eastAsia="仿宋"/>
          <w:sz w:val="28"/>
        </w:rPr>
        <w:t xml:space="preserve">1.定义</w:t>
      </w:r>
      <w:r/>
    </w:p>
    <w:p>
      <w:pPr>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（6）“乙方”系指根据合同规定提供货物（含软件及相关服务）和服务的供应商。</w:t>
      </w:r>
      <w:r/>
    </w:p>
    <w:p>
      <w:pPr>
        <w:spacing w:line="520" w:lineRule="exact"/>
        <w:rPr>
          <w:rFonts w:hint="eastAsia"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3.专利权</w:t>
      </w:r>
      <w:r/>
    </w:p>
    <w:p>
      <w:pPr>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rPr>
      </w:pPr>
      <w:r>
        <w:rPr>
          <w:rFonts w:hint="eastAsia" w:ascii="仿宋" w:hAnsi="仿宋" w:eastAsia="仿宋"/>
          <w:sz w:val="28"/>
        </w:rPr>
        <w:t xml:space="preserve">4.包装要求</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hint="eastAsia" w:ascii="仿宋" w:hAnsi="仿宋" w:eastAsia="仿宋"/>
          <w:sz w:val="28"/>
        </w:rPr>
      </w:pPr>
      <w:r>
        <w:rPr>
          <w:rFonts w:hint="eastAsia" w:ascii="仿宋" w:hAnsi="仿宋" w:eastAsia="仿宋"/>
          <w:sz w:val="28"/>
        </w:rPr>
        <w:t xml:space="preserve">5.装运标志</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rPr>
      </w:pPr>
      <w:r>
        <w:rPr>
          <w:rFonts w:hint="eastAsia" w:ascii="仿宋" w:hAnsi="仿宋" w:eastAsia="仿宋"/>
          <w:sz w:val="28"/>
        </w:rPr>
        <w:t xml:space="preserve">6.付款方式</w:t>
      </w:r>
      <w:r/>
    </w:p>
    <w:p>
      <w:pPr>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rPr>
      </w:pPr>
      <w:r>
        <w:rPr>
          <w:rFonts w:hint="eastAsia" w:ascii="仿宋" w:hAnsi="仿宋" w:eastAsia="仿宋"/>
          <w:sz w:val="28"/>
        </w:rPr>
        <w:t xml:space="preserve">（1）发票；</w:t>
      </w:r>
      <w:r/>
    </w:p>
    <w:p>
      <w:pPr>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hint="eastAsia" w:ascii="仿宋" w:hAnsi="仿宋" w:eastAsia="仿宋"/>
          <w:sz w:val="28"/>
        </w:rPr>
      </w:pPr>
      <w:r>
        <w:rPr>
          <w:rFonts w:hint="eastAsia" w:ascii="仿宋" w:hAnsi="仿宋" w:eastAsia="仿宋"/>
          <w:sz w:val="28"/>
        </w:rPr>
        <w:t xml:space="preserve">7.伴随服务</w:t>
      </w:r>
      <w:r/>
    </w:p>
    <w:p>
      <w:pPr>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hint="eastAsia" w:ascii="仿宋" w:hAnsi="仿宋" w:eastAsia="仿宋"/>
          <w:sz w:val="28"/>
        </w:rPr>
      </w:pPr>
      <w:r>
        <w:rPr>
          <w:rFonts w:hint="eastAsia" w:ascii="仿宋" w:hAnsi="仿宋" w:eastAsia="仿宋"/>
          <w:sz w:val="28"/>
        </w:rPr>
        <w:t xml:space="preserve">8.质量保证</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spacing w:line="520" w:lineRule="exact"/>
        <w:rPr>
          <w:rFonts w:hint="eastAsia" w:ascii="仿宋" w:hAnsi="仿宋" w:eastAsia="仿宋"/>
          <w:sz w:val="28"/>
        </w:rPr>
      </w:pPr>
      <w:r>
        <w:rPr>
          <w:rFonts w:hint="eastAsia" w:ascii="仿宋" w:hAnsi="仿宋" w:eastAsia="仿宋"/>
          <w:sz w:val="28"/>
        </w:rPr>
        <w:t xml:space="preserve">9.检验及安装</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hint="eastAsia" w:ascii="仿宋" w:hAnsi="仿宋" w:eastAsia="仿宋"/>
          <w:sz w:val="28"/>
        </w:rPr>
      </w:pPr>
      <w:r>
        <w:rPr>
          <w:rFonts w:hint="eastAsia" w:ascii="仿宋" w:hAnsi="仿宋" w:eastAsia="仿宋"/>
          <w:sz w:val="28"/>
        </w:rPr>
        <w:t xml:space="preserve">10.索赔</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sz w:val="28"/>
        </w:rPr>
      </w:pPr>
      <w:r>
        <w:rPr>
          <w:rFonts w:hint="eastAsia" w:ascii="仿宋" w:hAnsi="仿宋" w:eastAsia="仿宋"/>
          <w:sz w:val="28"/>
        </w:rPr>
        <w:t xml:space="preserve">11.拖延交货</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rPr>
        <w:t xml:space="preserve">1</w:t>
      </w:r>
      <w:r>
        <w:rPr>
          <w:rFonts w:hint="eastAsia" w:ascii="仿宋" w:hAnsi="仿宋" w:eastAsia="仿宋"/>
          <w:sz w:val="28"/>
          <w:lang w:val="en-US" w:eastAsia="zh-CN"/>
        </w:rPr>
        <w:t xml:space="preserve">2</w:t>
      </w:r>
      <w:r>
        <w:rPr>
          <w:rFonts w:hint="eastAsia" w:ascii="仿宋" w:hAnsi="仿宋" w:eastAsia="仿宋"/>
          <w:sz w:val="28"/>
        </w:rPr>
        <w:t xml:space="preserve">.不可抗力</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2</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2</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.税费</w:t>
      </w:r>
      <w:r/>
    </w:p>
    <w:p>
      <w:pPr>
        <w:ind w:firstLine="567"/>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.1中国政府根据现行税法规定对甲方征收的与本合同有关的一切税费，均由甲方负担。</w:t>
      </w:r>
      <w:r/>
    </w:p>
    <w:p>
      <w:pPr>
        <w:ind w:firstLine="567"/>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.2中国政府根据现行税法规定对乙方征收的与本合同有关的一切税费均由乙方负担。</w:t>
      </w:r>
      <w:r/>
    </w:p>
    <w:p>
      <w:pPr>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.仲裁</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.违约终止合同</w:t>
      </w:r>
      <w:r/>
    </w:p>
    <w:p>
      <w:pPr>
        <w:pStyle w:val="976"/>
        <w:ind w:firstLine="560"/>
        <w:spacing w:line="520" w:lineRule="exact"/>
        <w:rPr>
          <w:rFonts w:hint="eastAsia" w:hAnsi="仿宋"/>
          <w:color w:val="auto"/>
          <w:sz w:val="28"/>
          <w:szCs w:val="28"/>
        </w:rPr>
      </w:pPr>
      <w:r>
        <w:rPr>
          <w:rFonts w:hint="eastAsia" w:hAnsi="仿宋"/>
          <w:color w:val="auto"/>
          <w:sz w:val="28"/>
          <w:szCs w:val="28"/>
        </w:rPr>
        <w:t xml:space="preserve">1</w:t>
      </w:r>
      <w:r>
        <w:rPr>
          <w:rFonts w:hint="eastAsia" w:hAnsi="仿宋"/>
          <w:color w:val="auto"/>
          <w:sz w:val="28"/>
          <w:szCs w:val="28"/>
          <w:lang w:val="en-US" w:eastAsia="zh-CN"/>
        </w:rPr>
        <w:t xml:space="preserve">5</w:t>
      </w:r>
      <w:r>
        <w:rPr>
          <w:rFonts w:hAnsi="仿宋"/>
          <w:color w:val="auto"/>
          <w:sz w:val="28"/>
          <w:szCs w:val="28"/>
        </w:rPr>
        <w:t xml:space="preserve">.</w:t>
      </w:r>
      <w:r>
        <w:rPr>
          <w:rFonts w:hint="eastAsia" w:hAnsi="仿宋"/>
          <w:color w:val="auto"/>
          <w:sz w:val="28"/>
          <w:szCs w:val="28"/>
        </w:rPr>
        <w:t xml:space="preserve">1</w:t>
      </w:r>
      <w:r>
        <w:rPr>
          <w:rFonts w:hAnsi="仿宋"/>
          <w:color w:val="auto"/>
          <w:sz w:val="28"/>
          <w:szCs w:val="28"/>
        </w:rPr>
        <w:t xml:space="preserve"> </w:t>
      </w:r>
      <w:r>
        <w:rPr>
          <w:rFonts w:hint="eastAsia" w:hAnsi="仿宋"/>
          <w:color w:val="auto"/>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rPr>
        <w:t xml:space="preserve"> </w:t>
      </w:r>
      <w:r/>
    </w:p>
    <w:p>
      <w:pPr>
        <w:pStyle w:val="976"/>
        <w:ind w:firstLine="560"/>
        <w:spacing w:line="520" w:lineRule="exact"/>
        <w:rPr>
          <w:rFonts w:hint="eastAsia" w:hAnsi="仿宋"/>
          <w:color w:val="auto"/>
          <w:sz w:val="28"/>
          <w:szCs w:val="28"/>
        </w:rPr>
      </w:pPr>
      <w:r>
        <w:rPr>
          <w:rFonts w:hint="eastAsia" w:hAnsi="仿宋"/>
          <w:color w:val="auto"/>
          <w:sz w:val="28"/>
          <w:szCs w:val="28"/>
        </w:rPr>
        <w:t xml:space="preserve">（1）如果乙方未能在合同规定的期限或甲方同意延期的限期内提供全部或部分货物（含软件及相关服务）；</w:t>
      </w:r>
      <w:r>
        <w:rPr>
          <w:rFonts w:hAnsi="仿宋"/>
          <w:color w:val="auto"/>
          <w:sz w:val="28"/>
          <w:szCs w:val="28"/>
        </w:rPr>
        <w:t xml:space="preserve"> </w:t>
      </w:r>
      <w:r/>
    </w:p>
    <w:p>
      <w:pPr>
        <w:pStyle w:val="976"/>
        <w:ind w:firstLine="560"/>
        <w:spacing w:line="520" w:lineRule="exact"/>
        <w:rPr>
          <w:rFonts w:hint="eastAsia" w:hAnsi="仿宋"/>
          <w:color w:val="auto"/>
          <w:sz w:val="28"/>
          <w:szCs w:val="28"/>
        </w:rPr>
      </w:pPr>
      <w:r>
        <w:rPr>
          <w:rFonts w:hint="eastAsia" w:hAnsi="仿宋"/>
          <w:color w:val="auto"/>
          <w:sz w:val="28"/>
          <w:szCs w:val="28"/>
        </w:rPr>
        <w:t xml:space="preserve">（</w:t>
      </w:r>
      <w:r>
        <w:rPr>
          <w:rFonts w:hAnsi="仿宋"/>
          <w:color w:val="auto"/>
          <w:sz w:val="28"/>
          <w:szCs w:val="28"/>
        </w:rPr>
        <w:t xml:space="preserve">2</w:t>
      </w:r>
      <w:r>
        <w:rPr>
          <w:rFonts w:hint="eastAsia" w:hAnsi="仿宋"/>
          <w:color w:val="auto"/>
          <w:sz w:val="28"/>
          <w:szCs w:val="28"/>
        </w:rPr>
        <w:t xml:space="preserve">）如果乙方未能履行合同规定的其它义务。</w:t>
      </w:r>
      <w:r>
        <w:rPr>
          <w:rFonts w:hAnsi="仿宋"/>
          <w:color w:val="auto"/>
          <w:sz w:val="28"/>
          <w:szCs w:val="28"/>
        </w:rPr>
        <w:t xml:space="preserve"> </w:t>
      </w:r>
      <w:r/>
    </w:p>
    <w:p>
      <w:pPr>
        <w:pStyle w:val="976"/>
        <w:ind w:firstLine="560"/>
        <w:spacing w:line="520" w:lineRule="exact"/>
        <w:rPr>
          <w:rFonts w:hint="eastAsia" w:hAnsi="仿宋"/>
          <w:color w:val="auto"/>
          <w:sz w:val="28"/>
          <w:szCs w:val="28"/>
        </w:rPr>
      </w:pPr>
      <w:r>
        <w:rPr>
          <w:rFonts w:hint="eastAsia" w:hAnsi="仿宋"/>
          <w:color w:val="auto"/>
          <w:sz w:val="28"/>
          <w:szCs w:val="28"/>
        </w:rPr>
        <w:t xml:space="preserve">1</w:t>
      </w:r>
      <w:r>
        <w:rPr>
          <w:rFonts w:hint="eastAsia" w:hAnsi="仿宋"/>
          <w:color w:val="auto"/>
          <w:sz w:val="28"/>
          <w:szCs w:val="28"/>
          <w:lang w:val="en-US" w:eastAsia="zh-CN"/>
        </w:rPr>
        <w:t xml:space="preserve">5</w:t>
      </w:r>
      <w:r>
        <w:rPr>
          <w:rFonts w:hAnsi="仿宋"/>
          <w:color w:val="auto"/>
          <w:sz w:val="28"/>
          <w:szCs w:val="28"/>
        </w:rPr>
        <w:t xml:space="preserve">.2 </w:t>
      </w:r>
      <w:r>
        <w:rPr>
          <w:rFonts w:hint="eastAsia" w:hAnsi="仿宋"/>
          <w:color w:val="auto"/>
          <w:sz w:val="28"/>
          <w:szCs w:val="28"/>
        </w:rPr>
        <w:t xml:space="preserve">在甲方根据第1</w:t>
      </w:r>
      <w:r>
        <w:rPr>
          <w:rFonts w:hint="eastAsia" w:hAnsi="仿宋"/>
          <w:color w:val="auto"/>
          <w:sz w:val="28"/>
          <w:szCs w:val="28"/>
          <w:lang w:val="en-US" w:eastAsia="zh-CN"/>
        </w:rPr>
        <w:t xml:space="preserve">6</w:t>
      </w:r>
      <w:r>
        <w:rPr>
          <w:rFonts w:hAnsi="仿宋"/>
          <w:color w:val="auto"/>
          <w:sz w:val="28"/>
          <w:szCs w:val="28"/>
        </w:rPr>
        <w:t xml:space="preserve">.</w:t>
      </w:r>
      <w:r>
        <w:rPr>
          <w:rFonts w:hint="eastAsia" w:hAnsi="仿宋"/>
          <w:color w:val="auto"/>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32"/>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6</w:t>
      </w:r>
      <w:r>
        <w:rPr>
          <w:rFonts w:hint="eastAsia" w:ascii="仿宋" w:hAnsi="仿宋" w:eastAsia="仿宋"/>
          <w:sz w:val="28"/>
        </w:rPr>
        <w:t xml:space="preserve">.破产中止合同</w:t>
      </w:r>
      <w:r/>
    </w:p>
    <w:p>
      <w:pPr>
        <w:pStyle w:val="932"/>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w:t>
      </w:r>
      <w:r>
        <w:rPr>
          <w:rFonts w:hint="eastAsia" w:ascii="仿宋" w:hAnsi="仿宋" w:eastAsia="仿宋"/>
          <w:sz w:val="28"/>
          <w:szCs w:val="24"/>
          <w:lang w:val="en-US" w:eastAsia="zh-CN"/>
        </w:rPr>
        <w:t xml:space="preserve">6</w:t>
      </w:r>
      <w:r>
        <w:rPr>
          <w:rFonts w:hint="eastAsia" w:ascii="仿宋" w:hAnsi="仿宋" w:eastAsia="仿宋"/>
          <w:sz w:val="28"/>
          <w:szCs w:val="24"/>
        </w:rPr>
        <w:t xml:space="preserve">.1如果乙方破产或无清偿能力，甲方可在任何时候以书面形式通知乙方中止合同而不给乙方补偿。该中止合同将不损害或影响甲方和使用方已经采取或将要采取的任何行动或补救措施的权力。</w:t>
      </w:r>
      <w:r/>
    </w:p>
    <w:p>
      <w:pPr>
        <w:pStyle w:val="932"/>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7</w:t>
      </w:r>
      <w:r>
        <w:rPr>
          <w:rFonts w:hint="eastAsia" w:ascii="仿宋" w:hAnsi="仿宋" w:eastAsia="仿宋"/>
          <w:sz w:val="28"/>
        </w:rPr>
        <w:t xml:space="preserve">.转让</w:t>
      </w:r>
      <w:r/>
    </w:p>
    <w:p>
      <w:pPr>
        <w:pStyle w:val="932"/>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w:t>
      </w:r>
      <w:r>
        <w:rPr>
          <w:rFonts w:hint="eastAsia" w:ascii="仿宋" w:hAnsi="仿宋" w:eastAsia="仿宋"/>
          <w:sz w:val="28"/>
          <w:szCs w:val="24"/>
          <w:lang w:val="en-US" w:eastAsia="zh-CN"/>
        </w:rPr>
        <w:t xml:space="preserve">7</w:t>
      </w:r>
      <w:r>
        <w:rPr>
          <w:rFonts w:hint="eastAsia" w:ascii="仿宋" w:hAnsi="仿宋" w:eastAsia="仿宋"/>
          <w:sz w:val="28"/>
          <w:szCs w:val="24"/>
        </w:rPr>
        <w:t xml:space="preserve">.1 除甲方事先书面同意外，乙方不得部分转让或全部转让其应履行的合同义务。</w:t>
      </w:r>
      <w:r/>
    </w:p>
    <w:p>
      <w:pPr>
        <w:pStyle w:val="932"/>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.合同生效及其它</w:t>
      </w:r>
      <w:r/>
    </w:p>
    <w:p>
      <w:pPr>
        <w:spacing w:line="520" w:lineRule="exact"/>
        <w:rPr>
          <w:rFonts w:hint="eastAsia" w:ascii="仿宋" w:hAnsi="仿宋" w:eastAsia="仿宋"/>
          <w:b/>
          <w:sz w:val="28"/>
          <w:szCs w:val="28"/>
        </w:rPr>
      </w:pPr>
      <w:r>
        <w:rPr>
          <w:rFonts w:hint="eastAsia" w:ascii="仿宋" w:hAnsi="仿宋" w:eastAsia="仿宋"/>
        </w:rPr>
        <w:t xml:space="preserve">   </w:t>
      </w:r>
      <w:r>
        <w:rPr>
          <w:rFonts w:hint="eastAsia" w:ascii="仿宋" w:hAnsi="仿宋" w:eastAsia="仿宋"/>
          <w:sz w:val="28"/>
          <w:szCs w:val="28"/>
        </w:rPr>
        <w:t xml:space="preserve">  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932"/>
        <w:ind w:firstLine="560"/>
        <w:spacing w:line="520" w:lineRule="exact"/>
        <w:rPr>
          <w:rFonts w:hint="eastAsia" w:ascii="仿宋" w:hAnsi="仿宋" w:eastAsia="仿宋"/>
          <w:sz w:val="28"/>
          <w:szCs w:val="24"/>
        </w:rPr>
      </w:pPr>
      <w:r>
        <w:rPr>
          <w:rFonts w:hint="eastAsia" w:ascii="仿宋" w:hAnsi="仿宋" w:eastAsia="仿宋"/>
          <w:sz w:val="28"/>
          <w:szCs w:val="24"/>
        </w:rPr>
        <w:t xml:space="preserve">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932"/>
        <w:spacing w:line="520" w:lineRule="exact"/>
        <w:rPr>
          <w:rFonts w:hint="eastAsia"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.3合同货物交付使用后所发生的合同纠纷，甲方与乙方进行处理。</w:t>
      </w:r>
      <w:r/>
    </w:p>
    <w:p>
      <w:pPr>
        <w:pStyle w:val="932"/>
        <w:spacing w:line="520" w:lineRule="exact"/>
        <w:rPr>
          <w:rFonts w:hint="eastAsia"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.5本合同应按照中华人民共和国的现行法律进行解释。</w:t>
      </w:r>
      <w:r/>
    </w:p>
    <w:p>
      <w:pPr>
        <w:pStyle w:val="932"/>
        <w:jc w:val="center"/>
        <w:spacing w:line="520" w:lineRule="exact"/>
        <w:rPr>
          <w:rFonts w:hint="eastAsia" w:ascii="仿宋" w:hAnsi="仿宋" w:eastAsia="仿宋" w:cs="仿宋"/>
          <w:b/>
          <w:bCs/>
          <w:sz w:val="28"/>
          <w:szCs w:val="28"/>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numPr>
          <w:ilvl w:val="0"/>
          <w:numId w:val="10"/>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招标设备组成</w:t>
      </w:r>
      <w:r/>
    </w:p>
    <w:tbl>
      <w:tblPr>
        <w:tblStyle w:val="696"/>
        <w:tblW w:w="4417" w:type="pct"/>
        <w:tblInd w:w="5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280"/>
        <w:gridCol w:w="2102"/>
        <w:gridCol w:w="1150"/>
        <w:gridCol w:w="1463"/>
      </w:tblGrid>
      <w:tr>
        <w:trPr/>
        <w:tc>
          <w:tcPr>
            <w:tcBorders>
              <w:top w:val="single" w:color="auto" w:sz="4" w:space="0"/>
              <w:left w:val="single" w:color="auto" w:sz="4" w:space="0"/>
              <w:bottom w:val="single" w:color="auto" w:sz="4" w:space="0"/>
              <w:right w:val="single" w:color="auto" w:sz="4" w:space="0"/>
            </w:tcBorders>
            <w:tcW w:w="457"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Borders>
              <w:top w:val="single" w:color="auto" w:sz="4" w:space="0"/>
              <w:left w:val="single" w:color="auto" w:sz="4" w:space="0"/>
              <w:bottom w:val="single" w:color="auto" w:sz="4" w:space="0"/>
              <w:right w:val="single" w:color="auto" w:sz="4" w:space="0"/>
            </w:tcBorders>
            <w:tcW w:w="1863"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技术规格要求</w:t>
            </w:r>
            <w:r/>
          </w:p>
        </w:tc>
        <w:tc>
          <w:tcPr>
            <w:tcBorders>
              <w:top w:val="single" w:color="auto" w:sz="4" w:space="0"/>
              <w:left w:val="single" w:color="auto" w:sz="4" w:space="0"/>
              <w:bottom w:val="single" w:color="auto" w:sz="4" w:space="0"/>
              <w:right w:val="single" w:color="auto" w:sz="4" w:space="0"/>
            </w:tcBorders>
            <w:tcW w:w="653"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w:t>
            </w:r>
            <w:r/>
          </w:p>
        </w:tc>
        <w:tc>
          <w:tcPr>
            <w:tcBorders>
              <w:top w:val="single" w:color="auto" w:sz="4" w:space="0"/>
              <w:left w:val="single" w:color="auto" w:sz="4" w:space="0"/>
              <w:bottom w:val="single" w:color="auto" w:sz="4" w:space="0"/>
              <w:right w:val="single" w:color="auto" w:sz="4" w:space="0"/>
            </w:tcBorders>
            <w:tcW w:w="831"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942"/>
        </w:trPr>
        <w:tc>
          <w:tcPr>
            <w:tcBorders>
              <w:top w:val="single" w:color="auto" w:sz="4" w:space="0"/>
              <w:left w:val="single" w:color="auto" w:sz="4" w:space="0"/>
              <w:bottom w:val="single" w:color="auto" w:sz="4" w:space="0"/>
              <w:right w:val="single" w:color="auto" w:sz="4" w:space="0"/>
            </w:tcBorders>
            <w:tcW w:w="457"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1</w:t>
            </w:r>
            <w:r/>
          </w:p>
        </w:tc>
        <w:tc>
          <w:tcPr>
            <w:tcBorders>
              <w:top w:val="single" w:color="auto" w:sz="4" w:space="0"/>
              <w:left w:val="single" w:color="auto" w:sz="4" w:space="0"/>
              <w:bottom w:val="single" w:color="auto" w:sz="4" w:space="0"/>
              <w:right w:val="single" w:color="auto" w:sz="4" w:space="0"/>
            </w:tcBorders>
            <w:tcW w:w="1863"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地下水平式垃圾压缩机</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详见如下参数</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16</w:t>
            </w:r>
            <w:r/>
          </w:p>
        </w:tc>
        <w:tc>
          <w:tcPr>
            <w:tcBorders>
              <w:top w:val="single" w:color="auto" w:sz="4" w:space="0"/>
              <w:left w:val="single" w:color="auto" w:sz="4" w:space="0"/>
              <w:right w:val="single" w:color="auto" w:sz="4" w:space="0"/>
            </w:tcBorders>
            <w:tcW w:w="831" w:type="pct"/>
            <w:vAlign w:val="center"/>
            <w:textDirection w:val="lrTb"/>
            <w:noWrap w:val="false"/>
          </w:tcPr>
          <w:p>
            <w:pPr>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配备16台高压冲洗机</w:t>
            </w:r>
            <w:r/>
          </w:p>
        </w:tc>
      </w:tr>
    </w:tbl>
    <w:p>
      <w:pPr>
        <w:numPr>
          <w:ilvl w:val="0"/>
          <w:numId w:val="10"/>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技术参数</w:t>
      </w:r>
      <w:r/>
    </w:p>
    <w:tbl>
      <w:tblPr>
        <w:tblStyle w:val="696"/>
        <w:tblW w:w="87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750"/>
        <w:gridCol w:w="2299"/>
        <w:gridCol w:w="1414"/>
        <w:gridCol w:w="3465"/>
      </w:tblGrid>
      <w:tr>
        <w:trPr>
          <w:jc w:val="center"/>
          <w:trHeight w:val="397"/>
        </w:trPr>
        <w:tc>
          <w:tcPr>
            <w:gridSpan w:val="3"/>
            <w:tcBorders>
              <w:top w:val="single" w:color="auto" w:sz="12" w:space="0"/>
              <w:bottom w:val="single" w:color="auto" w:sz="6" w:space="0"/>
            </w:tcBorders>
            <w:tcW w:w="3889" w:type="dxa"/>
            <w:vAlign w:val="center"/>
            <w:textDirection w:val="lrTb"/>
            <w:noWrap w:val="false"/>
          </w:tcPr>
          <w:p>
            <w:pPr>
              <w:ind w:left="720"/>
              <w:rPr>
                <w:rFonts w:hint="eastAsia" w:ascii="仿宋" w:hAnsi="仿宋" w:eastAsia="仿宋" w:cs="仿宋"/>
                <w:sz w:val="28"/>
                <w:szCs w:val="28"/>
              </w:rPr>
            </w:pPr>
            <w:r>
              <w:rPr>
                <w:rFonts w:hint="eastAsia" w:ascii="仿宋" w:hAnsi="仿宋" w:eastAsia="仿宋" w:cs="仿宋"/>
                <w:sz w:val="28"/>
                <w:szCs w:val="28"/>
              </w:rPr>
              <w:t xml:space="preserve">项         目</w:t>
            </w:r>
            <w:r/>
          </w:p>
        </w:tc>
        <w:tc>
          <w:tcPr>
            <w:tcBorders>
              <w:top w:val="single" w:color="auto" w:sz="12" w:space="0"/>
              <w:bottom w:val="single" w:color="auto" w:sz="6" w:space="0"/>
            </w:tcBorders>
            <w:tcW w:w="1414" w:type="dxa"/>
            <w:vAlign w:val="center"/>
            <w:textDirection w:val="lrTb"/>
            <w:noWrap w:val="false"/>
          </w:tcPr>
          <w:p>
            <w:pPr>
              <w:ind w:left="14" w:hanging="16"/>
              <w:jc w:val="center"/>
              <w:rPr>
                <w:rFonts w:hint="eastAsia" w:ascii="仿宋" w:hAnsi="仿宋" w:eastAsia="仿宋" w:cs="仿宋"/>
                <w:sz w:val="28"/>
                <w:szCs w:val="28"/>
              </w:rPr>
            </w:pPr>
            <w:r>
              <w:rPr>
                <w:rFonts w:hint="eastAsia" w:ascii="仿宋" w:hAnsi="仿宋" w:eastAsia="仿宋" w:cs="仿宋"/>
                <w:sz w:val="28"/>
                <w:szCs w:val="28"/>
              </w:rPr>
              <w:t xml:space="preserve">单   位</w:t>
            </w:r>
            <w:r/>
          </w:p>
        </w:tc>
        <w:tc>
          <w:tcPr>
            <w:tcBorders>
              <w:top w:val="single" w:color="auto" w:sz="12"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参    数</w:t>
            </w:r>
            <w:r/>
          </w:p>
        </w:tc>
      </w:tr>
      <w:tr>
        <w:trPr>
          <w:cantSplit/>
          <w:jc w:val="center"/>
          <w:trHeight w:val="390"/>
        </w:trPr>
        <w:tc>
          <w:tcPr>
            <w:gridSpan w:val="3"/>
            <w:tcBorders>
              <w:top w:val="single" w:color="auto" w:sz="6" w:space="0"/>
              <w:bottom w:val="single" w:color="auto" w:sz="4"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lang w:eastAsia="zh-CN"/>
              </w:rPr>
              <w:t xml:space="preserve">★</w:t>
            </w:r>
            <w:r>
              <w:rPr>
                <w:rFonts w:hint="eastAsia" w:ascii="仿宋" w:hAnsi="仿宋" w:eastAsia="仿宋" w:cs="仿宋"/>
                <w:sz w:val="28"/>
                <w:szCs w:val="28"/>
              </w:rPr>
              <w:t xml:space="preserve">整机重量</w:t>
            </w:r>
            <w:r/>
          </w:p>
        </w:tc>
        <w:tc>
          <w:tcPr>
            <w:tcBorders>
              <w:top w:val="single" w:color="auto" w:sz="6"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≥28</w:t>
            </w:r>
            <w:r/>
          </w:p>
        </w:tc>
      </w:tr>
      <w:tr>
        <w:trPr>
          <w:cantSplit/>
          <w:jc w:val="center"/>
          <w:trHeight w:val="390"/>
        </w:trPr>
        <w:tc>
          <w:tcPr>
            <w:gridSpan w:val="3"/>
            <w:tcBorders>
              <w:top w:val="single" w:color="auto" w:sz="4" w:space="0"/>
            </w:tcBorders>
            <w:tcW w:w="3889" w:type="dxa"/>
            <w:vAlign w:val="center"/>
            <w:vMerge w:val="restart"/>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液压系统额定压力</w:t>
            </w:r>
            <w:r/>
          </w:p>
        </w:tc>
        <w:tc>
          <w:tcPr>
            <w:tcBorders>
              <w:top w:val="single" w:color="auto" w:sz="4" w:space="0"/>
            </w:tcBorders>
            <w:tcW w:w="1414" w:type="dxa"/>
            <w:vAlign w:val="center"/>
            <w:vMerge w:val="restart"/>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Mpa</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小泵压力：≥17.5（二级≥8）</w:t>
            </w:r>
            <w:r/>
          </w:p>
        </w:tc>
      </w:tr>
      <w:tr>
        <w:trPr>
          <w:cantSplit/>
          <w:jc w:val="center"/>
          <w:trHeight w:val="390"/>
        </w:trPr>
        <w:tc>
          <w:tcPr>
            <w:gridSpan w:val="3"/>
            <w:tcW w:w="3889" w:type="dxa"/>
            <w:vAlign w:val="center"/>
            <w:vMerge w:val="continue"/>
            <w:textDirection w:val="lrTb"/>
            <w:noWrap w:val="false"/>
          </w:tcPr>
          <w:p>
            <w:pPr>
              <w:ind w:firstLine="311"/>
              <w:rPr>
                <w:rFonts w:hint="eastAsia" w:ascii="仿宋" w:hAnsi="仿宋" w:eastAsia="仿宋" w:cs="仿宋"/>
                <w:sz w:val="28"/>
                <w:szCs w:val="28"/>
              </w:rPr>
            </w:pPr>
            <w:r>
              <w:rPr>
                <w:rFonts w:hint="eastAsia" w:ascii="仿宋" w:hAnsi="仿宋" w:eastAsia="仿宋" w:cs="仿宋"/>
                <w:sz w:val="28"/>
                <w:szCs w:val="28"/>
              </w:rPr>
            </w:r>
            <w:r/>
          </w:p>
        </w:tc>
        <w:tc>
          <w:tcPr>
            <w:tcW w:w="1414"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大泵压力：≥8</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外形尺寸（长宽高）</w:t>
            </w:r>
            <w:r/>
          </w:p>
        </w:tc>
        <w:tc>
          <w:tcPr>
            <w:tcBorders>
              <w:top w:val="single" w:color="auto" w:sz="6" w:space="0"/>
              <w:bottom w:val="single" w:color="auto" w:sz="6" w:space="0"/>
            </w:tcBorders>
            <w:tcW w:w="1414" w:type="dxa"/>
            <w:vAlign w:val="center"/>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8600×3500×4500（±20）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垃圾块成型尺寸（长宽高）</w:t>
            </w:r>
            <w:r/>
          </w:p>
        </w:tc>
        <w:tc>
          <w:tcPr>
            <w:tcBorders>
              <w:top w:val="single" w:color="auto" w:sz="6" w:space="0"/>
              <w:bottom w:val="single" w:color="auto" w:sz="6" w:space="0"/>
            </w:tcBorders>
            <w:tcW w:w="1414" w:type="dxa"/>
            <w:vAlign w:val="center"/>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3500×2000×1300（±20）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料斗下口尺寸（宽长）</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1760×1080（±20）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sz w:val="28"/>
                <w:szCs w:val="28"/>
              </w:rPr>
              <w:t xml:space="preserve">垃圾收集</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无压盖，在压缩垃圾时可同时接受收集车倾倒垃圾，效率高</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整块垃圾重量（约）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＞8</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配套电机功率</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kW</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≤18.5</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单机日处理垃圾量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t/day</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≥100</w:t>
            </w:r>
            <w:r/>
          </w:p>
        </w:tc>
      </w:tr>
      <w:tr>
        <w:trPr>
          <w:jc w:val="center"/>
          <w:trHeight w:val="390"/>
        </w:trPr>
        <w:tc>
          <w:tcPr>
            <w:tcBorders>
              <w:top w:val="single" w:color="auto" w:sz="6" w:space="0"/>
              <w:right w:val="single" w:color="auto" w:sz="4" w:space="0"/>
            </w:tcBorders>
            <w:tcW w:w="840" w:type="dxa"/>
            <w:vAlign w:val="center"/>
            <w:vMerge w:val="restart"/>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t xml:space="preserve">前门</w:t>
            </w:r>
            <w:r/>
          </w:p>
        </w:tc>
        <w:tc>
          <w:tcPr>
            <w:gridSpan w:val="2"/>
            <w:tcBorders>
              <w:top w:val="single" w:color="auto" w:sz="6" w:space="0"/>
              <w:left w:val="single" w:color="auto" w:sz="4"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重量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≥1.5</w:t>
            </w:r>
            <w:r/>
          </w:p>
        </w:tc>
      </w:tr>
      <w:tr>
        <w:trPr>
          <w:jc w:val="center"/>
          <w:trHeight w:val="390"/>
        </w:trPr>
        <w:tc>
          <w:tcPr>
            <w:tcBorders>
              <w:bottom w:val="single" w:color="auto" w:sz="6" w:space="0"/>
              <w:right w:val="single" w:color="auto" w:sz="4" w:space="0"/>
            </w:tcBorders>
            <w:tcW w:w="840" w:type="dxa"/>
            <w:vAlign w:val="center"/>
            <w:vMerge w:val="continue"/>
            <w:textDirection w:val="tbRlV"/>
            <w:noWrap w:val="false"/>
          </w:tcPr>
          <w:p>
            <w:pPr>
              <w:ind w:firstLine="311"/>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left w:val="single" w:color="auto" w:sz="4" w:space="0"/>
              <w:bottom w:val="single" w:color="auto" w:sz="6" w:space="0"/>
            </w:tcBorders>
            <w:tcW w:w="304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开启方式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双油缸顶升</w:t>
            </w:r>
            <w:r/>
          </w:p>
        </w:tc>
      </w:tr>
      <w:tr>
        <w:trPr>
          <w:cantSplit/>
          <w:jc w:val="center"/>
          <w:trHeight w:val="390"/>
        </w:trPr>
        <w:tc>
          <w:tcPr>
            <w:tcBorders>
              <w:top w:val="single" w:color="auto" w:sz="6" w:space="0"/>
              <w:bottom w:val="single" w:color="auto" w:sz="6" w:space="0"/>
            </w:tcBorders>
            <w:tcW w:w="840" w:type="dxa"/>
            <w:vAlign w:val="center"/>
            <w:vMerge w:val="restart"/>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t xml:space="preserve">推压装置</w:t>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一主二副油缸布局</w:t>
            </w:r>
            <w:r/>
          </w:p>
        </w:tc>
      </w:tr>
      <w:tr>
        <w:trPr>
          <w:cantSplit/>
          <w:jc w:val="center"/>
          <w:trHeight w:val="390"/>
        </w:trPr>
        <w:tc>
          <w:tcPr>
            <w:tcBorders>
              <w:top w:val="single" w:color="auto" w:sz="6" w:space="0"/>
              <w:bottom w:val="single" w:color="auto" w:sz="6" w:space="0"/>
            </w:tcBorders>
            <w:tcW w:w="840" w:type="dxa"/>
            <w:vAlign w:val="center"/>
            <w:vMerge w:val="continue"/>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额定压缩力</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≥1050</w:t>
            </w:r>
            <w:r/>
          </w:p>
        </w:tc>
      </w:tr>
      <w:tr>
        <w:trPr>
          <w:cantSplit/>
          <w:jc w:val="center"/>
          <w:trHeight w:val="48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额定推出力</w:t>
            </w:r>
            <w:r/>
          </w:p>
        </w:tc>
        <w:tc>
          <w:tcPr>
            <w:tcBorders>
              <w:top w:val="single" w:color="auto" w:sz="6"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 </w:t>
            </w:r>
            <w:r/>
          </w:p>
        </w:tc>
        <w:tc>
          <w:tcPr>
            <w:tcBorders>
              <w:top w:val="single" w:color="auto" w:sz="6"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≥520</w:t>
            </w:r>
            <w:r/>
          </w:p>
        </w:tc>
      </w:tr>
      <w:tr>
        <w:trPr>
          <w:cantSplit/>
          <w:jc w:val="center"/>
          <w:trHeight w:val="30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right w:val="single" w:color="auto" w:sz="4" w:space="0"/>
            </w:tcBorders>
            <w:tcW w:w="750" w:type="dxa"/>
            <w:vAlign w:val="center"/>
            <w:vMerge w:val="restart"/>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推压速度</w:t>
            </w:r>
            <w:r/>
          </w:p>
        </w:tc>
        <w:tc>
          <w:tcPr>
            <w:tcBorders>
              <w:top w:val="single" w:color="auto" w:sz="4" w:space="0"/>
              <w:left w:val="single" w:color="auto" w:sz="4" w:space="0"/>
              <w:bottom w:val="single" w:color="auto" w:sz="4" w:space="0"/>
            </w:tcBorders>
            <w:tcW w:w="229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空载（一级∕二级）</w:t>
            </w:r>
            <w:r/>
          </w:p>
        </w:tc>
        <w:tc>
          <w:tcPr>
            <w:tcBorders>
              <w:top w:val="single" w:color="auto" w:sz="4"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≥2.0/≥4.0</w:t>
            </w:r>
            <w:r/>
          </w:p>
        </w:tc>
      </w:tr>
      <w:tr>
        <w:trPr>
          <w:cantSplit/>
          <w:jc w:val="center"/>
          <w:trHeight w:val="315"/>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auto" w:sz="4" w:space="0"/>
              <w:right w:val="single" w:color="auto" w:sz="4" w:space="0"/>
            </w:tcBorders>
            <w:tcW w:w="750" w:type="dxa"/>
            <w:vAlign w:val="center"/>
            <w:vMerge w:val="continue"/>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tcBorders>
            <w:tcW w:w="229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工作</w:t>
            </w:r>
            <w:r/>
          </w:p>
        </w:tc>
        <w:tc>
          <w:tcPr>
            <w:tcBorders>
              <w:top w:val="single" w:color="auto" w:sz="4"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≥0.77</w:t>
            </w:r>
            <w:r/>
          </w:p>
        </w:tc>
      </w:tr>
      <w:tr>
        <w:trPr>
          <w:cantSplit/>
          <w:jc w:val="center"/>
          <w:trHeight w:val="39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推压行程</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5050（±20）</w:t>
            </w:r>
            <w:r/>
          </w:p>
        </w:tc>
      </w:tr>
      <w:tr>
        <w:trPr>
          <w:cantSplit/>
          <w:jc w:val="center"/>
          <w:trHeight w:val="390"/>
        </w:trPr>
        <w:tc>
          <w:tcPr>
            <w:tcBorders>
              <w:top w:val="single" w:color="auto" w:sz="6" w:space="0"/>
            </w:tcBorders>
            <w:tcW w:w="840" w:type="dxa"/>
            <w:vAlign w:val="center"/>
            <w:vMerge w:val="restart"/>
            <w:textDirection w:val="tbRlV"/>
            <w:noWrap w:val="false"/>
          </w:tcPr>
          <w:p>
            <w:pPr>
              <w:ind w:right="113" w:firstLine="145"/>
              <w:jc w:val="center"/>
              <w:rPr>
                <w:rFonts w:hint="eastAsia" w:ascii="仿宋" w:hAnsi="仿宋" w:eastAsia="仿宋" w:cs="仿宋"/>
                <w:sz w:val="28"/>
                <w:szCs w:val="28"/>
              </w:rPr>
            </w:pPr>
            <w:r>
              <w:rPr>
                <w:rFonts w:hint="eastAsia" w:ascii="仿宋" w:hAnsi="仿宋" w:eastAsia="仿宋" w:cs="仿宋"/>
                <w:sz w:val="28"/>
                <w:szCs w:val="28"/>
              </w:rPr>
              <w:t xml:space="preserve">提升装置</w:t>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提升方式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四根立柱内举升油缸同步顶升</w:t>
            </w:r>
            <w:r/>
          </w:p>
        </w:tc>
      </w:tr>
      <w:tr>
        <w:trPr>
          <w:cantSplit/>
          <w:jc w:val="center"/>
          <w:trHeight w:val="390"/>
        </w:trPr>
        <w:tc>
          <w:tcPr>
            <w:tcBorders>
              <w:top w:val="single" w:color="auto" w:sz="6" w:space="0"/>
            </w:tcBorders>
            <w:tcW w:w="840" w:type="dxa"/>
            <w:vAlign w:val="center"/>
            <w:vMerge w:val="continue"/>
            <w:textDirection w:val="tbRlV"/>
            <w:noWrap w:val="false"/>
          </w:tcPr>
          <w:p>
            <w:pPr>
              <w:ind w:right="113"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额定提升力</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 </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≥390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提升行程</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2920（±20）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提升速度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≥2.20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下降速度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≥4.6</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垃圾箱套入车厢的最大距离</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≥160</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推板下边伸出箱体最大距离</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≥200</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箱体装车面离地最大高度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≥1480</w:t>
            </w:r>
            <w:r/>
          </w:p>
        </w:tc>
      </w:tr>
    </w:tbl>
    <w:p>
      <w:pPr>
        <w:numPr>
          <w:ilvl w:val="0"/>
          <w:numId w:val="0"/>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注：为证明投标产品为成熟可靠产品且能满足本项目现有配套设计，★重要参数投标单位需在标书内提供本项目公告日期前省级或国家级认可的检测单位出具的标有CMA标志的检测报告作为佐证，中标后需提供原件备查。</w:t>
      </w:r>
      <w:r/>
    </w:p>
    <w:p>
      <w:pPr>
        <w:numPr>
          <w:ilvl w:val="0"/>
          <w:numId w:val="0"/>
        </w:num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其他要求</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地下水平式垃圾压缩机</w:t>
      </w:r>
      <w:r>
        <w:rPr>
          <w:rFonts w:hint="eastAsia" w:ascii="仿宋" w:hAnsi="仿宋" w:eastAsia="仿宋" w:cs="仿宋"/>
          <w:sz w:val="28"/>
          <w:szCs w:val="28"/>
        </w:rPr>
        <w:t xml:space="preserve">由受圾箱总成、提升装置、液压装置、电控装置、污水收集装置、冲洗装置组成。</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2、垃圾压缩机主要零配件品牌要求为国内知名品牌产品</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3、箱体侧面加强筋采用120mm*60mm长1600mm的方管，采用厚度6mm的钢板折弯而成；箱体底板厚度≥12mm，侧板和顶板厚度≥10mm。</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4、操作系统安全性能强，采用24V安全电压操作。</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5、压缩机工作噪声符合相应国家标准。</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6、液压系统在额定油压下液压系统无外渗漏油现象。</w:t>
      </w:r>
      <w:r/>
    </w:p>
    <w:p>
      <w:pPr>
        <w:spacing w:line="360" w:lineRule="auto"/>
        <w:tabs>
          <w:tab w:val="left" w:pos="0" w:leader="none"/>
        </w:tabs>
        <w:rPr>
          <w:rFonts w:hint="eastAsia" w:ascii="仿宋" w:hAnsi="仿宋" w:eastAsia="仿宋" w:cs="仿宋"/>
          <w:sz w:val="28"/>
          <w:szCs w:val="28"/>
        </w:rPr>
      </w:pPr>
      <w:r/>
      <w:bookmarkStart w:id="37" w:name="_Hlk45954568"/>
      <w:r>
        <w:rPr>
          <w:rFonts w:hint="eastAsia" w:ascii="仿宋" w:hAnsi="仿宋" w:eastAsia="仿宋" w:cs="仿宋"/>
          <w:sz w:val="28"/>
          <w:szCs w:val="28"/>
        </w:rPr>
        <w:t xml:space="preserve">7、中标单位负责设备的运输、安装、调试及操作人员培训。</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8、压缩设备质量保修期</w:t>
      </w:r>
      <w:r>
        <w:rPr>
          <w:rFonts w:hint="eastAsia" w:ascii="仿宋" w:hAnsi="仿宋" w:eastAsia="仿宋" w:cs="仿宋"/>
          <w:sz w:val="28"/>
          <w:szCs w:val="28"/>
          <w:lang w:val="en-US" w:eastAsia="zh-CN"/>
        </w:rPr>
        <w:t xml:space="preserve">至</w:t>
      </w:r>
      <w:r>
        <w:rPr>
          <w:rFonts w:hint="eastAsia" w:ascii="仿宋" w:hAnsi="仿宋" w:eastAsia="仿宋" w:cs="仿宋"/>
          <w:sz w:val="28"/>
          <w:szCs w:val="28"/>
          <w:highlight w:val="none"/>
          <w:lang w:val="en-US" w:eastAsia="zh-CN"/>
        </w:rPr>
        <w:t xml:space="preserve">少三</w:t>
      </w:r>
      <w:r>
        <w:rPr>
          <w:rFonts w:hint="eastAsia" w:ascii="仿宋" w:hAnsi="仿宋" w:eastAsia="仿宋" w:cs="仿宋"/>
          <w:sz w:val="28"/>
          <w:szCs w:val="28"/>
          <w:highlight w:val="none"/>
        </w:rPr>
        <w:t xml:space="preserve">年，</w:t>
      </w:r>
      <w:r>
        <w:rPr>
          <w:rFonts w:hint="eastAsia" w:ascii="仿宋" w:hAnsi="仿宋" w:eastAsia="仿宋" w:cs="仿宋"/>
          <w:sz w:val="28"/>
          <w:szCs w:val="28"/>
        </w:rPr>
        <w:t xml:space="preserve">实行终身维护；质量保证期内出现质量问题，中标单位负责免费</w:t>
      </w:r>
      <w:r>
        <w:rPr>
          <w:rFonts w:hint="eastAsia" w:ascii="仿宋" w:hAnsi="仿宋" w:eastAsia="仿宋" w:cs="仿宋"/>
          <w:sz w:val="28"/>
          <w:szCs w:val="28"/>
        </w:rPr>
        <w:t xml:space="preserve">维</w:t>
      </w:r>
      <w:r>
        <w:rPr>
          <w:rFonts w:hint="eastAsia" w:ascii="仿宋" w:hAnsi="仿宋" w:eastAsia="仿宋" w:cs="仿宋"/>
          <w:sz w:val="28"/>
          <w:szCs w:val="28"/>
        </w:rPr>
        <w:t xml:space="preserve">修。</w:t>
      </w:r>
      <w:bookmarkEnd w:id="37"/>
      <w:r/>
      <w:r/>
    </w:p>
    <w:p>
      <w:pPr>
        <w:rPr>
          <w:rFonts w:hint="eastAsia" w:ascii="仿宋" w:hAnsi="仿宋" w:eastAsia="仿宋" w:cs="仿宋"/>
          <w:sz w:val="28"/>
          <w:szCs w:val="28"/>
        </w:rPr>
      </w:pPr>
      <w:r>
        <w:rPr>
          <w:rFonts w:hint="eastAsia" w:ascii="仿宋" w:hAnsi="仿宋" w:eastAsia="仿宋" w:cs="仿宋"/>
          <w:sz w:val="28"/>
          <w:szCs w:val="28"/>
        </w:rPr>
      </w:r>
      <w:r/>
    </w:p>
    <w:p>
      <w:pPr>
        <w:jc w:val="center"/>
        <w:spacing w:line="400" w:lineRule="exact"/>
        <w:rPr>
          <w:rFonts w:hint="eastAsia" w:ascii="黑体" w:hAnsi="黑体" w:eastAsia="黑体"/>
          <w:b/>
          <w:bCs/>
          <w:sz w:val="36"/>
        </w:rPr>
      </w:pPr>
      <w:r>
        <w:rPr>
          <w:rFonts w:hint="eastAsia" w:ascii="黑体" w:hAnsi="黑体" w:eastAsia="黑体"/>
          <w:b/>
          <w:bCs/>
          <w:sz w:val="36"/>
        </w:rPr>
        <w:br w:type="page" w:clear="all"/>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t xml:space="preserve">第六章  投标文件</w:t>
      </w:r>
      <w:r/>
    </w:p>
    <w:p>
      <w:pPr>
        <w:pStyle w:val="932"/>
        <w:rPr>
          <w:rFonts w:hint="eastAsia" w:ascii="黑体" w:hAnsi="黑体" w:eastAsia="黑体"/>
          <w:sz w:val="44"/>
          <w:szCs w:val="44"/>
        </w:rPr>
      </w:pPr>
      <w:r>
        <w:rPr>
          <w:rFonts w:hint="eastAsia" w:ascii="黑体" w:hAnsi="黑体" w:eastAsia="黑体"/>
          <w:sz w:val="44"/>
          <w:szCs w:val="44"/>
        </w:rPr>
      </w:r>
      <w:r/>
    </w:p>
    <w:p>
      <w:pPr>
        <w:pStyle w:val="932"/>
        <w:rPr>
          <w:rFonts w:hint="eastAsia" w:ascii="黑体" w:hAnsi="黑体" w:eastAsia="黑体"/>
          <w:sz w:val="32"/>
        </w:rPr>
      </w:pPr>
      <w:r>
        <w:rPr>
          <w:rFonts w:hint="eastAsia" w:ascii="黑体" w:hAnsi="黑体" w:eastAsia="黑体"/>
          <w:sz w:val="32"/>
        </w:rPr>
      </w:r>
      <w:r/>
    </w:p>
    <w:p>
      <w:pPr>
        <w:pStyle w:val="932"/>
        <w:rPr>
          <w:rFonts w:hint="eastAsia" w:ascii="黑体" w:hAnsi="黑体" w:eastAsia="黑体"/>
          <w:sz w:val="32"/>
        </w:rPr>
      </w:pPr>
      <w:r>
        <w:rPr>
          <w:rFonts w:hint="eastAsia" w:ascii="黑体" w:hAnsi="黑体" w:eastAsia="黑体"/>
          <w:sz w:val="32"/>
        </w:rPr>
      </w:r>
      <w:r/>
    </w:p>
    <w:p>
      <w:pPr>
        <w:pStyle w:val="932"/>
        <w:rPr>
          <w:rFonts w:hint="eastAsia" w:ascii="黑体" w:hAnsi="黑体" w:eastAsia="黑体"/>
          <w:sz w:val="32"/>
        </w:rPr>
      </w:pPr>
      <w:r>
        <w:rPr>
          <w:rFonts w:hint="eastAsia" w:ascii="黑体" w:hAnsi="黑体" w:eastAsia="黑体"/>
          <w:sz w:val="32"/>
        </w:rPr>
      </w:r>
      <w:r/>
    </w:p>
    <w:p>
      <w:pPr>
        <w:pStyle w:val="932"/>
        <w:rPr>
          <w:rFonts w:hint="eastAsia" w:ascii="黑体" w:hAnsi="黑体" w:eastAsia="黑体"/>
          <w:sz w:val="32"/>
        </w:rPr>
      </w:pPr>
      <w:r>
        <w:rPr>
          <w:rFonts w:hint="eastAsia" w:ascii="黑体" w:hAnsi="黑体" w:eastAsia="黑体"/>
          <w:sz w:val="32"/>
        </w:rPr>
      </w:r>
      <w:r/>
    </w:p>
    <w:p>
      <w:pPr>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932"/>
        <w:rPr>
          <w:rFonts w:hint="eastAsia" w:ascii="黑体" w:hAnsi="黑体" w:eastAsia="黑体"/>
          <w:sz w:val="32"/>
        </w:rPr>
      </w:pPr>
      <w:r>
        <w:rPr>
          <w:rFonts w:hint="eastAsia" w:ascii="黑体" w:hAnsi="黑体" w:eastAsia="黑体"/>
          <w:sz w:val="32"/>
        </w:rPr>
      </w:r>
      <w:r/>
    </w:p>
    <w:p>
      <w:pPr>
        <w:pStyle w:val="932"/>
        <w:ind w:firstLine="1066"/>
        <w:rPr>
          <w:rFonts w:hint="eastAsia" w:ascii="黑体" w:hAnsi="黑体" w:eastAsia="黑体"/>
          <w:b/>
          <w:sz w:val="36"/>
          <w:szCs w:val="24"/>
        </w:rPr>
      </w:pPr>
      <w:r>
        <w:rPr>
          <w:rFonts w:hint="eastAsia" w:ascii="黑体" w:hAnsi="黑体" w:eastAsia="黑体"/>
          <w:b/>
          <w:sz w:val="36"/>
          <w:szCs w:val="24"/>
        </w:rPr>
      </w:r>
      <w:r/>
    </w:p>
    <w:p>
      <w:pPr>
        <w:pStyle w:val="932"/>
        <w:ind w:firstLine="1066"/>
        <w:rPr>
          <w:rFonts w:hint="eastAsia" w:ascii="黑体" w:hAnsi="黑体" w:eastAsia="黑体"/>
          <w:b/>
          <w:sz w:val="36"/>
          <w:szCs w:val="24"/>
        </w:rPr>
      </w:pPr>
      <w:r>
        <w:rPr>
          <w:rFonts w:hint="eastAsia" w:ascii="黑体" w:hAnsi="黑体" w:eastAsia="黑体"/>
          <w:b/>
          <w:sz w:val="36"/>
          <w:szCs w:val="24"/>
        </w:rPr>
      </w:r>
      <w:r/>
    </w:p>
    <w:p>
      <w:pPr>
        <w:pStyle w:val="932"/>
        <w:ind w:firstLine="1066"/>
        <w:rPr>
          <w:rFonts w:hint="eastAsia" w:ascii="黑体" w:hAnsi="黑体" w:eastAsia="黑体"/>
          <w:b/>
          <w:sz w:val="36"/>
          <w:szCs w:val="24"/>
        </w:rPr>
      </w:pPr>
      <w:r>
        <w:rPr>
          <w:rFonts w:hint="eastAsia" w:ascii="黑体" w:hAnsi="黑体" w:eastAsia="黑体"/>
          <w:b/>
          <w:sz w:val="36"/>
          <w:szCs w:val="24"/>
        </w:rPr>
      </w:r>
      <w:r/>
    </w:p>
    <w:p>
      <w:pPr>
        <w:pStyle w:val="932"/>
        <w:ind w:firstLine="1066"/>
        <w:rPr>
          <w:rFonts w:hint="eastAsia" w:ascii="黑体" w:hAnsi="黑体" w:eastAsia="黑体"/>
          <w:b/>
          <w:sz w:val="36"/>
          <w:szCs w:val="24"/>
        </w:rPr>
      </w:pPr>
      <w:r>
        <w:rPr>
          <w:rFonts w:hint="eastAsia" w:ascii="黑体" w:hAnsi="黑体" w:eastAsia="黑体"/>
          <w:b/>
          <w:sz w:val="36"/>
          <w:szCs w:val="24"/>
        </w:rPr>
      </w:r>
      <w:r/>
    </w:p>
    <w:p>
      <w:pPr>
        <w:pStyle w:val="932"/>
        <w:ind w:firstLine="1066"/>
        <w:rPr>
          <w:rFonts w:hint="eastAsia"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066"/>
        <w:spacing w:line="400" w:lineRule="exact"/>
        <w:rPr>
          <w:rFonts w:hint="eastAsia" w:ascii="黑体" w:hAnsi="黑体" w:eastAsia="黑体"/>
          <w:b/>
          <w:bCs/>
          <w:sz w:val="32"/>
        </w:rPr>
      </w:pPr>
      <w:r>
        <w:rPr>
          <w:rFonts w:hint="eastAsia" w:ascii="黑体" w:hAnsi="黑体" w:eastAsia="黑体"/>
          <w:b/>
          <w:bCs/>
          <w:sz w:val="36"/>
        </w:rPr>
        <w:t xml:space="preserve">投 标 人:</w:t>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2891"/>
        <w:rPr>
          <w:rFonts w:hint="eastAsia" w:ascii="黑体" w:hAnsi="黑体" w:eastAsia="黑体"/>
          <w:b/>
          <w:sz w:val="32"/>
        </w:rPr>
      </w:pPr>
      <w:r>
        <w:rPr>
          <w:rFonts w:hint="eastAsia" w:ascii="黑体" w:hAnsi="黑体" w:eastAsia="黑体"/>
          <w:b/>
          <w:sz w:val="36"/>
          <w:szCs w:val="24"/>
        </w:rPr>
        <w:t xml:space="preserve">二</w:t>
      </w:r>
      <w:r>
        <w:rPr>
          <w:rFonts w:hint="eastAsia" w:ascii="黑体" w:hAnsi="黑体" w:eastAsia="黑体"/>
          <w:b/>
          <w:sz w:val="36"/>
          <w:szCs w:val="24"/>
          <w:lang w:val="en-US" w:eastAsia="zh-CN"/>
        </w:rPr>
        <w:t xml:space="preserve">〇</w:t>
      </w:r>
      <w:r>
        <w:rPr>
          <w:rFonts w:hint="eastAsia" w:ascii="黑体" w:hAnsi="黑体" w:eastAsia="黑体"/>
          <w:b/>
          <w:sz w:val="36"/>
          <w:szCs w:val="24"/>
        </w:rPr>
        <w:t xml:space="preserve">二</w:t>
      </w:r>
      <w:r>
        <w:rPr>
          <w:rFonts w:hint="eastAsia" w:ascii="黑体" w:hAnsi="黑体" w:eastAsia="黑体"/>
          <w:b/>
          <w:sz w:val="36"/>
          <w:szCs w:val="24"/>
          <w:lang w:val="en-US" w:eastAsia="zh-CN"/>
        </w:rPr>
        <w:t xml:space="preserve">六</w:t>
      </w:r>
      <w:r>
        <w:rPr>
          <w:rFonts w:hint="eastAsia" w:ascii="黑体" w:hAnsi="黑体" w:eastAsia="黑体"/>
          <w:b/>
          <w:sz w:val="36"/>
          <w:szCs w:val="24"/>
        </w:rPr>
        <w:t xml:space="preserve">年    月    日</w:t>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932"/>
        <w:jc w:val="center"/>
        <w:spacing w:line="640" w:lineRule="exact"/>
        <w:rPr>
          <w:rFonts w:hint="eastAsia" w:ascii="仿宋" w:hAnsi="仿宋" w:eastAsia="仿宋"/>
          <w:b/>
          <w:sz w:val="32"/>
          <w:szCs w:val="32"/>
        </w:rPr>
      </w:pPr>
      <w:r>
        <w:rPr>
          <w:rFonts w:hint="eastAsia" w:ascii="仿宋" w:hAnsi="仿宋" w:eastAsia="仿宋"/>
          <w:b/>
          <w:sz w:val="32"/>
          <w:szCs w:val="32"/>
        </w:rPr>
        <w:t xml:space="preserve">一、投标函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sz w:val="28"/>
        </w:rPr>
        <w:t xml:space="preserve">致:</w:t>
      </w:r>
      <w:r>
        <w:rPr>
          <w:rFonts w:hint="eastAsia" w:ascii="仿宋" w:hAnsi="仿宋" w:eastAsia="仿宋" w:cs="仿宋"/>
          <w:color w:val="000000"/>
          <w:sz w:val="28"/>
        </w:rPr>
        <w:t xml:space="preserve">淮安市清江浦区环卫事业管理服务中心</w:t>
      </w:r>
      <w:r/>
    </w:p>
    <w:p>
      <w:pPr>
        <w:pStyle w:val="983"/>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（供应商单位名称），全权处理本次项目投标的有关事宜。</w:t>
      </w:r>
      <w:r/>
    </w:p>
    <w:p>
      <w:pPr>
        <w:ind w:firstLine="560"/>
        <w:spacing w:line="640" w:lineRule="exact"/>
        <w:rPr>
          <w:rFonts w:hint="eastAsia" w:ascii="仿宋" w:hAnsi="仿宋" w:eastAsia="仿宋"/>
          <w:sz w:val="28"/>
          <w:szCs w:val="28"/>
        </w:rPr>
      </w:pPr>
      <w:r>
        <w:rPr>
          <w:rFonts w:hint="eastAsia" w:ascii="仿宋" w:hAnsi="仿宋" w:eastAsia="仿宋"/>
          <w:sz w:val="28"/>
        </w:rPr>
        <w:t xml:space="preserve">1、</w:t>
      </w:r>
      <w:r>
        <w:rPr>
          <w:rFonts w:hint="eastAsia" w:ascii="仿宋" w:hAnsi="仿宋" w:eastAsia="仿宋"/>
          <w:sz w:val="28"/>
          <w:szCs w:val="28"/>
        </w:rPr>
        <w:t xml:space="preserve">我公司没有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8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3、我们接受招标文件的所有的条款和规定。</w:t>
      </w:r>
      <w:r/>
    </w:p>
    <w:p>
      <w:pPr>
        <w:pStyle w:val="98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8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83"/>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8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83"/>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83"/>
        <w:ind w:right="560" w:firstLine="4200"/>
        <w:spacing w:before="0" w:after="0" w:line="640" w:lineRule="exact"/>
        <w:rPr>
          <w:rFonts w:hint="eastAsia" w:ascii="仿宋" w:hAnsi="仿宋" w:eastAsia="仿宋"/>
          <w:sz w:val="28"/>
          <w:u w:val="single"/>
        </w:rPr>
      </w:pPr>
      <w:r>
        <w:rPr>
          <w:rFonts w:hint="eastAsia" w:ascii="仿宋" w:hAnsi="仿宋" w:eastAsia="仿宋"/>
          <w:sz w:val="28"/>
        </w:rPr>
        <w:t xml:space="preserve">供应商名称（电子签章）:</w:t>
      </w:r>
      <w:r>
        <w:rPr>
          <w:rFonts w:hint="eastAsia" w:ascii="仿宋" w:hAnsi="仿宋" w:eastAsia="仿宋"/>
          <w:sz w:val="28"/>
          <w:u w:val="single"/>
        </w:rPr>
        <w:t xml:space="preserve">             </w:t>
      </w:r>
      <w:r/>
    </w:p>
    <w:p>
      <w:pPr>
        <w:pStyle w:val="983"/>
        <w:ind w:right="560" w:firstLine="4200"/>
        <w:spacing w:before="0" w:after="0" w:line="6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p>
    <w:p>
      <w:pPr>
        <w:ind w:right="560" w:firstLine="420"/>
        <w:jc w:val="center"/>
        <w:spacing w:line="640" w:lineRule="exact"/>
        <w:rPr>
          <w:rFonts w:hint="eastAsia"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32"/>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jc w:val="center"/>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Style w:val="69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58"/>
      </w:tblGrid>
      <w:tr>
        <w:trPr>
          <w:cantSplit/>
          <w:trHeight w:val="1398" w:hRule="exact"/>
        </w:trPr>
        <w:tc>
          <w:tcPr>
            <w:tcW w:w="1004" w:type="pct"/>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p>
        </w:tc>
        <w:tc>
          <w:tcPr>
            <w:tcW w:w="3995" w:type="pct"/>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004" w:type="pct"/>
            <w:vAlign w:val="center"/>
            <w:textDirection w:val="lrTb"/>
            <w:noWrap w:val="false"/>
          </w:tcPr>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3995" w:type="pct"/>
            <w:vAlign w:val="center"/>
            <w:textDirection w:val="lrTb"/>
            <w:noWrap w:val="false"/>
          </w:tcPr>
          <w:p>
            <w:pPr>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2261"/>
        </w:trPr>
        <w:tc>
          <w:tcPr>
            <w:tcW w:w="1004" w:type="pct"/>
            <w:vAlign w:val="center"/>
            <w:textDirection w:val="lrTb"/>
            <w:noWrap w:val="false"/>
          </w:tcPr>
          <w:p>
            <w:pPr>
              <w:ind w:firstLine="140"/>
              <w:jc w:val="center"/>
              <w:rPr>
                <w:rFonts w:hint="eastAsia" w:ascii="仿宋" w:hAnsi="仿宋" w:eastAsia="仿宋"/>
                <w:sz w:val="28"/>
                <w:szCs w:val="28"/>
              </w:rPr>
            </w:pPr>
            <w:r>
              <w:rPr>
                <w:rFonts w:hint="eastAsia" w:ascii="仿宋" w:hAnsi="仿宋" w:eastAsia="仿宋"/>
                <w:sz w:val="28"/>
                <w:szCs w:val="28"/>
              </w:rPr>
              <w:t xml:space="preserve">供货时间</w:t>
            </w:r>
            <w:r/>
          </w:p>
        </w:tc>
        <w:tc>
          <w:tcPr>
            <w:tcW w:w="3995" w:type="pct"/>
            <w:vAlign w:val="center"/>
            <w:textDirection w:val="lrTb"/>
            <w:noWrap w:val="false"/>
          </w:tcPr>
          <w:p>
            <w:pPr>
              <w:ind w:firstLine="140"/>
              <w:jc w:val="center"/>
              <w:rPr>
                <w:rFonts w:hint="eastAsia" w:ascii="仿宋" w:hAnsi="仿宋" w:eastAsia="仿宋"/>
                <w:sz w:val="28"/>
                <w:szCs w:val="28"/>
              </w:rPr>
            </w:pPr>
            <w:r>
              <w:rPr>
                <w:rFonts w:hint="eastAsia" w:ascii="仿宋" w:hAnsi="仿宋" w:eastAsia="仿宋"/>
                <w:sz w:val="28"/>
                <w:szCs w:val="28"/>
              </w:rPr>
              <w:t xml:space="preserve">按招标文件要求执行。</w:t>
            </w:r>
            <w:r/>
          </w:p>
        </w:tc>
      </w:tr>
    </w:tbl>
    <w:p>
      <w:pPr>
        <w:ind w:firstLine="411"/>
        <w:spacing w:line="440" w:lineRule="exact"/>
        <w:rPr>
          <w:rFonts w:hint="eastAsia" w:ascii="仿宋" w:hAnsi="仿宋" w:eastAsia="仿宋"/>
          <w:sz w:val="28"/>
          <w:szCs w:val="28"/>
        </w:rPr>
      </w:pPr>
      <w:r/>
      <w:bookmarkStart w:id="38" w:name="_Toc157775459"/>
      <w:r/>
      <w:bookmarkEnd w:id="38"/>
      <w:r/>
      <w:bookmarkStart w:id="39" w:name="_Toc136924766"/>
      <w:r/>
      <w:bookmarkEnd w:id="39"/>
      <w:r/>
      <w:r/>
    </w:p>
    <w:p>
      <w:pPr>
        <w:ind w:firstLine="411"/>
        <w:spacing w:line="440" w:lineRule="exact"/>
        <w:rPr>
          <w:rFonts w:hint="eastAsia" w:ascii="仿宋" w:hAnsi="仿宋" w:eastAsia="仿宋"/>
          <w:sz w:val="28"/>
          <w:szCs w:val="28"/>
        </w:rPr>
      </w:pPr>
      <w:r>
        <w:rPr>
          <w:rFonts w:hint="eastAsia" w:ascii="仿宋" w:hAnsi="仿宋" w:eastAsia="仿宋"/>
          <w:sz w:val="28"/>
          <w:szCs w:val="28"/>
        </w:rPr>
      </w:r>
      <w:r/>
    </w:p>
    <w:p>
      <w:pPr>
        <w:pStyle w:val="932"/>
        <w:ind w:firstLine="2875"/>
        <w:rPr>
          <w:rFonts w:hint="eastAsia" w:hAnsi="宋体"/>
          <w:b/>
          <w:sz w:val="32"/>
          <w:szCs w:val="32"/>
        </w:rPr>
      </w:pPr>
      <w:r/>
      <w:bookmarkStart w:id="40" w:name="_Toc157775468"/>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jc w:val="both"/>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t xml:space="preserve">三、投标报价明细表</w:t>
      </w:r>
      <w:r/>
    </w:p>
    <w:p>
      <w:pPr>
        <w:pStyle w:val="932"/>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69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388"/>
        <w:gridCol w:w="894"/>
        <w:gridCol w:w="1398"/>
        <w:gridCol w:w="1390"/>
        <w:gridCol w:w="1075"/>
        <w:gridCol w:w="920"/>
        <w:gridCol w:w="930"/>
        <w:gridCol w:w="921"/>
      </w:tblGrid>
      <w:tr>
        <w:trPr>
          <w:trHeight w:val="544"/>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生产厂家</w:t>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83"/>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96"/>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24"/>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58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8"/>
            <w:tcMar>
              <w:left w:w="108" w:type="dxa"/>
              <w:top w:w="0" w:type="dxa"/>
              <w:right w:w="108" w:type="dxa"/>
              <w:bottom w:w="0" w:type="dxa"/>
            </w:tcMar>
            <w:tcW w:w="4537" w:type="pct"/>
            <w:vAlign w:val="center"/>
            <w:textDirection w:val="lrTb"/>
            <w:noWrap w:val="false"/>
          </w:tcPr>
          <w:p>
            <w:pPr>
              <w:pStyle w:val="932"/>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投标总报价（人民币：元）</w:t>
            </w:r>
            <w:r/>
          </w:p>
        </w:tc>
        <w:tc>
          <w:tcPr>
            <w:tcMar>
              <w:left w:w="108" w:type="dxa"/>
              <w:top w:w="0" w:type="dxa"/>
              <w:right w:w="108" w:type="dxa"/>
              <w:bottom w:w="0" w:type="dxa"/>
            </w:tcMar>
            <w:tcW w:w="462" w:type="pct"/>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932"/>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932"/>
        <w:ind w:firstLine="411"/>
        <w:spacing w:line="440" w:lineRule="exact"/>
        <w:rPr>
          <w:rFonts w:hint="eastAsia"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32"/>
        <w:ind w:firstLine="691"/>
        <w:spacing w:line="440" w:lineRule="exact"/>
        <w:rPr>
          <w:rFonts w:hint="eastAsia" w:ascii="仿宋" w:hAnsi="仿宋" w:eastAsia="仿宋"/>
          <w:sz w:val="28"/>
          <w:szCs w:val="24"/>
        </w:rPr>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p>
    <w:p>
      <w:pPr>
        <w:pStyle w:val="932"/>
        <w:ind w:firstLine="411"/>
        <w:spacing w:line="440" w:lineRule="exact"/>
        <w:rPr>
          <w:rFonts w:hint="eastAsia" w:ascii="仿宋" w:hAnsi="仿宋" w:eastAsia="仿宋"/>
          <w:sz w:val="28"/>
          <w:szCs w:val="24"/>
        </w:rPr>
      </w:pPr>
      <w:r>
        <w:rPr>
          <w:rFonts w:ascii="仿宋" w:hAnsi="仿宋" w:eastAsia="仿宋"/>
          <w:sz w:val="28"/>
          <w:szCs w:val="24"/>
        </w:rPr>
        <w:t xml:space="preserve"> </w:t>
      </w:r>
      <w:r/>
    </w:p>
    <w:p>
      <w:pPr>
        <w:pStyle w:val="932"/>
        <w:ind w:firstLine="411"/>
        <w:spacing w:line="440" w:lineRule="exact"/>
        <w:rPr>
          <w:rFonts w:hint="eastAsia" w:ascii="仿宋" w:hAnsi="仿宋" w:eastAsia="仿宋"/>
          <w:sz w:val="28"/>
          <w:szCs w:val="24"/>
        </w:rPr>
      </w:pPr>
      <w:r>
        <w:rPr>
          <w:rFonts w:ascii="仿宋" w:hAnsi="仿宋" w:eastAsia="仿宋"/>
          <w:sz w:val="28"/>
          <w:szCs w:val="24"/>
        </w:rPr>
        <w:t xml:space="preserve"> </w:t>
      </w:r>
      <w:r/>
    </w:p>
    <w:p>
      <w:pPr>
        <w:pStyle w:val="932"/>
        <w:jc w:val="center"/>
        <w:spacing w:line="440" w:lineRule="exact"/>
        <w:rPr>
          <w:rFonts w:hint="eastAsia" w:ascii="仿宋" w:hAnsi="仿宋" w:eastAsia="仿宋"/>
          <w:b/>
          <w:sz w:val="32"/>
        </w:rPr>
      </w:pPr>
      <w:r>
        <w:rPr>
          <w:rFonts w:hint="eastAsia" w:ascii="仿宋" w:hAnsi="仿宋" w:eastAsia="仿宋"/>
          <w:b/>
          <w:sz w:val="32"/>
        </w:rPr>
      </w:r>
      <w:r/>
    </w:p>
    <w:p>
      <w:pPr>
        <w:pStyle w:val="932"/>
        <w:jc w:val="center"/>
        <w:spacing w:line="440" w:lineRule="exact"/>
        <w:rPr>
          <w:rFonts w:hint="eastAsia"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9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 w:type="dxa"/>
          <w:top w:w="0" w:type="dxa"/>
          <w:right w:w="3" w:type="dxa"/>
          <w:bottom w:w="0" w:type="dxa"/>
        </w:tblCellMar>
        <w:tblLook w:val="04A0" w:firstRow="1" w:lastRow="0" w:firstColumn="1" w:lastColumn="0" w:noHBand="0" w:noVBand="1"/>
      </w:tblPr>
      <w:tblGrid>
        <w:gridCol w:w="1196"/>
        <w:gridCol w:w="3581"/>
        <w:gridCol w:w="2594"/>
        <w:gridCol w:w="1194"/>
        <w:gridCol w:w="1187"/>
      </w:tblGrid>
      <w:tr>
        <w:trPr>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项目采购需求中主要技术</w:t>
            </w:r>
            <w:r/>
          </w:p>
          <w:p>
            <w:pPr>
              <w:jc w:val="center"/>
              <w:rPr>
                <w:rFonts w:hint="eastAsia" w:ascii="仿宋" w:hAnsi="仿宋" w:eastAsia="仿宋" w:cs="Arial"/>
                <w:sz w:val="24"/>
              </w:rPr>
            </w:pPr>
            <w:r>
              <w:rPr>
                <w:rFonts w:hint="eastAsia" w:ascii="仿宋" w:hAnsi="仿宋" w:eastAsia="仿宋" w:cs="Arial"/>
                <w:sz w:val="24"/>
              </w:rPr>
              <w:t xml:space="preserve">条款描述</w:t>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p>
        </w:tc>
        <w:tc>
          <w:tcPr>
            <w:tcW w:w="612" w:type="pct"/>
            <w:vAlign w:val="center"/>
            <w:textDirection w:val="lrTb"/>
            <w:noWrap w:val="false"/>
          </w:tcPr>
          <w:p>
            <w:pPr>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spacing w:line="440" w:lineRule="exact"/>
        <w:rPr>
          <w:rFonts w:hint="eastAsia" w:ascii="仿宋" w:hAnsi="仿宋" w:eastAsia="仿宋"/>
          <w:sz w:val="28"/>
          <w:szCs w:val="28"/>
        </w:rPr>
      </w:pPr>
      <w:r>
        <w:rPr>
          <w:rFonts w:hint="eastAsia" w:ascii="仿宋" w:hAnsi="仿宋" w:eastAsia="仿宋"/>
          <w:sz w:val="28"/>
          <w:szCs w:val="28"/>
        </w:rPr>
        <w:t xml:space="preserve">（2）供应商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sz w:val="32"/>
        </w:rPr>
      </w:pPr>
      <w:r>
        <w:rPr>
          <w:rFonts w:hint="eastAsia" w:ascii="宋体" w:hAnsi="宋体"/>
          <w:bCs/>
          <w:sz w:val="32"/>
        </w:rPr>
      </w:r>
      <w:r/>
    </w:p>
    <w:p>
      <w:pPr>
        <w:pStyle w:val="930"/>
        <w:ind w:left="0" w:right="34" w:firstLine="2715"/>
        <w:spacing w:before="120" w:line="520" w:lineRule="exact"/>
        <w:rPr>
          <w:rFonts w:hint="eastAsia" w:ascii="宋体" w:hAnsi="宋体"/>
          <w:b/>
          <w:sz w:val="32"/>
          <w:szCs w:val="32"/>
        </w:rPr>
      </w:pPr>
      <w:r>
        <w:rPr>
          <w:rFonts w:hint="eastAsia" w:ascii="宋体" w:hAnsi="宋体"/>
          <w:b/>
          <w:sz w:val="32"/>
          <w:szCs w:val="32"/>
        </w:rPr>
      </w:r>
      <w:bookmarkEnd w:id="40"/>
      <w:r/>
      <w:r/>
    </w:p>
    <w:p>
      <w:pPr>
        <w:pStyle w:val="93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3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3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3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32"/>
        <w:jc w:val="center"/>
        <w:spacing w:line="520" w:lineRule="exact"/>
        <w:rPr>
          <w:rFonts w:hint="eastAsia" w:ascii="仿宋" w:hAnsi="仿宋" w:eastAsia="仿宋"/>
          <w:b/>
          <w:bCs/>
          <w:sz w:val="32"/>
          <w:szCs w:val="32"/>
        </w:rPr>
      </w:pP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供应商必须提供的资格证明文件</w:t>
      </w:r>
      <w:r/>
    </w:p>
    <w:p>
      <w:pPr>
        <w:pStyle w:val="932"/>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（1）供应商</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（2）供应商提供授权委托书（格式详见示范格式二）和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lang w:val="en-US" w:eastAsia="zh-CN"/>
        </w:rPr>
        <w:t xml:space="preserve">2</w:t>
      </w:r>
      <w:r>
        <w:rPr>
          <w:rFonts w:hint="eastAsia" w:ascii="仿宋" w:hAnsi="仿宋" w:eastAsia="仿宋"/>
          <w:sz w:val="28"/>
        </w:rPr>
        <w:t xml:space="preserve">、供应商符合《</w:t>
      </w:r>
      <w:r>
        <w:rPr>
          <w:rFonts w:hint="eastAsia" w:ascii="仿宋" w:hAnsi="仿宋" w:eastAsia="仿宋"/>
          <w:sz w:val="28"/>
          <w:szCs w:val="28"/>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szCs w:val="28"/>
        </w:rPr>
        <w:t xml:space="preserve">提供承诺书</w:t>
      </w:r>
      <w:r>
        <w:rPr>
          <w:rFonts w:hint="eastAsia" w:ascii="仿宋" w:hAnsi="仿宋" w:eastAsia="仿宋"/>
          <w:sz w:val="28"/>
        </w:rPr>
        <w:t xml:space="preserve">上传至电子标文件中，并进行电子签章</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en-US" w:eastAsia="zh-CN"/>
        </w:rPr>
        <w:t xml:space="preserve">3</w:t>
      </w:r>
      <w:r>
        <w:rPr>
          <w:rFonts w:hint="eastAsia" w:ascii="仿宋" w:hAnsi="仿宋" w:eastAsia="仿宋"/>
          <w:sz w:val="28"/>
          <w:lang w:val="zh-CN"/>
        </w:rPr>
        <w:t xml:space="preserve">、</w:t>
      </w:r>
      <w:r>
        <w:rPr>
          <w:rFonts w:hint="eastAsia" w:ascii="仿宋" w:hAnsi="仿宋" w:eastAsia="仿宋"/>
          <w:sz w:val="28"/>
          <w:szCs w:val="28"/>
        </w:rPr>
        <w:t xml:space="preserve">落实政府采购政策需满足的资格要求（提供下列任一项材料即可）:</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157"/>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cs="Arial"/>
          <w:b/>
          <w:bCs/>
          <w:sz w:val="32"/>
        </w:rPr>
      </w:pPr>
      <w:r>
        <w:rPr>
          <w:rFonts w:hint="eastAsia" w:ascii="宋体" w:hAnsi="宋体" w:cs="Arial"/>
          <w:b/>
          <w:bCs/>
          <w:sz w:val="32"/>
        </w:rPr>
      </w:r>
      <w:r/>
    </w:p>
    <w:p>
      <w:pPr>
        <w:ind w:firstLine="1428"/>
        <w:jc w:val="left"/>
        <w:spacing w:line="520" w:lineRule="exact"/>
        <w:widowControl/>
        <w:rPr>
          <w:rFonts w:hint="eastAsia" w:ascii="宋体" w:hAnsi="宋体"/>
          <w:b/>
          <w:sz w:val="36"/>
        </w:rPr>
      </w:pPr>
      <w:r>
        <w:rPr>
          <w:rFonts w:ascii="宋体" w:hAnsi="宋体"/>
          <w:b/>
          <w:sz w:val="36"/>
        </w:rPr>
        <w:br w:type="page" w:clear="all"/>
      </w:r>
      <w:bookmarkStart w:id="41" w:name="_Toc157775454"/>
      <w:r/>
      <w:r/>
    </w:p>
    <w:p>
      <w:pPr>
        <w:jc w:val="center"/>
        <w:spacing w:line="520" w:lineRule="exact"/>
        <w:widowControl/>
        <w:rPr>
          <w:rFonts w:hint="eastAsia" w:ascii="仿宋" w:hAnsi="仿宋" w:eastAsia="仿宋" w:cs="Arial"/>
          <w:b/>
          <w:bCs/>
          <w:sz w:val="32"/>
        </w:rPr>
      </w:pPr>
      <w:r>
        <w:rPr>
          <w:rFonts w:hint="eastAsia" w:ascii="仿宋" w:hAnsi="仿宋" w:eastAsia="仿宋" w:cs="Arial"/>
          <w:b/>
          <w:bCs/>
          <w:sz w:val="32"/>
        </w:rPr>
        <w:t xml:space="preserve">六、综合评分时供应商需提供的证明文件</w:t>
      </w:r>
      <w:r/>
    </w:p>
    <w:p>
      <w:pPr>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w:t>
      </w:r>
      <w:r>
        <w:rPr>
          <w:rFonts w:hint="eastAsia" w:ascii="仿宋" w:hAnsi="仿宋" w:eastAsia="仿宋" w:cs="楷体_GB2312"/>
          <w:sz w:val="28"/>
          <w:szCs w:val="28"/>
        </w:rPr>
        <w:t xml:space="preserve">供应商</w:t>
      </w:r>
      <w:r>
        <w:rPr>
          <w:rFonts w:hint="eastAsia" w:ascii="仿宋" w:hAnsi="仿宋" w:eastAsia="仿宋" w:cs="楷体_GB2312"/>
          <w:sz w:val="28"/>
          <w:szCs w:val="28"/>
          <w:lang w:val="zh-CN"/>
        </w:rPr>
        <w:t xml:space="preserve">根据第三章评标标准的要求提供相关材料）</w:t>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numPr>
          <w:ilvl w:val="0"/>
          <w:numId w:val="0"/>
        </w:numPr>
        <w:jc w:val="center"/>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七、</w:t>
      </w:r>
      <w:r>
        <w:rPr>
          <w:rFonts w:hint="eastAsia" w:ascii="仿宋" w:hAnsi="仿宋" w:eastAsia="仿宋" w:cs="Arial"/>
          <w:b/>
          <w:bCs/>
          <w:color w:val="auto"/>
          <w:sz w:val="32"/>
          <w:highlight w:val="none"/>
        </w:rPr>
        <w:t xml:space="preserve">涉及无效投标条款中供应商</w:t>
      </w:r>
      <w:r>
        <w:rPr>
          <w:rFonts w:hint="eastAsia" w:ascii="仿宋" w:hAnsi="仿宋" w:eastAsia="仿宋"/>
          <w:b/>
          <w:bCs/>
          <w:color w:val="auto"/>
          <w:sz w:val="32"/>
          <w:szCs w:val="32"/>
          <w:highlight w:val="none"/>
        </w:rPr>
        <w:t xml:space="preserve">必须提供的</w:t>
      </w:r>
      <w:r>
        <w:rPr>
          <w:rFonts w:hint="eastAsia" w:ascii="仿宋" w:hAnsi="仿宋" w:eastAsia="仿宋" w:cs="Arial"/>
          <w:b/>
          <w:bCs/>
          <w:color w:val="auto"/>
          <w:sz w:val="32"/>
          <w:highlight w:val="none"/>
        </w:rPr>
        <w:t xml:space="preserve">证明文件</w:t>
      </w:r>
      <w:r/>
    </w:p>
    <w:p>
      <w:pPr>
        <w:ind w:firstLine="560"/>
        <w:jc w:val="left"/>
        <w:spacing w:line="440" w:lineRule="exact"/>
        <w:rPr>
          <w:rFonts w:hint="eastAsia" w:ascii="仿宋" w:hAnsi="仿宋" w:eastAsia="仿宋" w:cs="楷体_GB2312"/>
          <w:sz w:val="28"/>
          <w:szCs w:val="28"/>
          <w:lang w:val="en-US" w:eastAsia="zh-CN"/>
        </w:rPr>
      </w:pPr>
      <w:r>
        <w:rPr>
          <w:rFonts w:hint="eastAsia" w:ascii="仿宋" w:hAnsi="仿宋" w:eastAsia="仿宋" w:cs="楷体_GB2312"/>
          <w:sz w:val="28"/>
          <w:szCs w:val="28"/>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bCs/>
          <w:sz w:val="32"/>
          <w:szCs w:val="32"/>
          <w:lang w:val="en-US" w:eastAsia="zh-CN"/>
        </w:rPr>
      </w:pPr>
      <w:r>
        <w:rPr>
          <w:rFonts w:hint="eastAsia" w:ascii="仿宋" w:hAnsi="仿宋" w:eastAsia="仿宋"/>
          <w:b/>
          <w:sz w:val="32"/>
          <w:szCs w:val="32"/>
          <w:lang w:val="en-US" w:eastAsia="zh-CN"/>
        </w:rPr>
      </w:r>
      <w:r>
        <w:rPr>
          <w:rFonts w:hint="eastAsia" w:ascii="仿宋" w:hAnsi="仿宋" w:eastAsia="仿宋"/>
          <w:b/>
          <w:sz w:val="32"/>
          <w:szCs w:val="32"/>
          <w:lang w:val="en-US" w:eastAsia="zh-CN"/>
        </w:rPr>
      </w:r>
    </w:p>
    <w:p>
      <w:pPr>
        <w:jc w:val="center"/>
        <w:spacing w:line="440" w:lineRule="exact"/>
        <w:rPr>
          <w:rFonts w:hint="eastAsia" w:ascii="仿宋" w:hAnsi="仿宋" w:eastAsia="仿宋"/>
          <w:b/>
          <w:bCs/>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rPr>
      </w:pPr>
      <w:r>
        <w:rPr>
          <w:rFonts w:hint="eastAsia" w:ascii="仿宋" w:hAnsi="仿宋" w:eastAsia="仿宋"/>
          <w:b/>
          <w:sz w:val="32"/>
          <w:szCs w:val="32"/>
          <w:lang w:val="en-US" w:eastAsia="zh-CN"/>
        </w:rPr>
        <w:t xml:space="preserve">八</w:t>
      </w:r>
      <w:r>
        <w:rPr>
          <w:rFonts w:hint="eastAsia" w:ascii="仿宋" w:hAnsi="仿宋" w:eastAsia="仿宋"/>
          <w:b/>
          <w:sz w:val="32"/>
          <w:szCs w:val="32"/>
        </w:rPr>
        <w:t xml:space="preserve">、示范格式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bookmarkEnd w:id="41"/>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ind w:firstLine="2891"/>
        <w:spacing w:line="640" w:lineRule="exact"/>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83"/>
        <w:ind w:left="4760" w:right="560" w:hanging="1820"/>
        <w:spacing w:before="0" w:after="0"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sz w:val="28"/>
          <w:szCs w:val="28"/>
        </w:rPr>
      </w:pPr>
      <w:r>
        <w:rPr>
          <w:rFonts w:hint="eastAsia" w:ascii="仿宋" w:hAnsi="仿宋" w:eastAsia="仿宋"/>
          <w:bCs/>
          <w:sz w:val="28"/>
        </w:rPr>
        <w:t xml:space="preserve">注:供应商法定代表人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身份证扫描件加盖供应商电子签章。</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30"/>
          <w:szCs w:val="28"/>
        </w:rPr>
        <w:t xml:space="preserve">致:</w:t>
      </w:r>
      <w:r>
        <w:rPr>
          <w:rFonts w:hint="eastAsia" w:ascii="仿宋" w:hAnsi="仿宋" w:eastAsia="仿宋" w:cs="仿宋"/>
          <w:color w:val="000000"/>
          <w:sz w:val="28"/>
        </w:rPr>
        <w:t xml:space="preserve">淮安市清江浦区环卫事业管理服务中心</w:t>
      </w:r>
      <w:r/>
    </w:p>
    <w:p>
      <w:pPr>
        <w:spacing w:line="520" w:lineRule="exact"/>
        <w:rPr>
          <w:rFonts w:hint="eastAsia" w:ascii="仿宋" w:hAnsi="仿宋" w:eastAsia="仿宋"/>
          <w:sz w:val="28"/>
          <w:szCs w:val="28"/>
        </w:rPr>
      </w:pPr>
      <w:r>
        <w:rPr>
          <w:rFonts w:hint="eastAsia" w:ascii="仿宋" w:hAnsi="仿宋" w:eastAsia="仿宋"/>
          <w:sz w:val="28"/>
          <w:szCs w:val="28"/>
        </w:rPr>
        <w:t xml:space="preserve">本授权书宣告:</w:t>
      </w:r>
      <w:r/>
    </w:p>
    <w:p>
      <w:pPr>
        <w:spacing w:line="520" w:lineRule="exact"/>
        <w:rPr>
          <w:rFonts w:hint="eastAsia"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地址:</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spacing w:line="520" w:lineRule="exact"/>
        <w:rPr>
          <w:rFonts w:hint="eastAsia"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身</w:t>
      </w:r>
      <w:r>
        <w:rPr>
          <w:rFonts w:ascii="仿宋" w:hAnsi="仿宋" w:eastAsia="仿宋"/>
          <w:sz w:val="28"/>
          <w:szCs w:val="28"/>
        </w:rPr>
        <w:t xml:space="preserve"> </w:t>
      </w:r>
      <w:r>
        <w:rPr>
          <w:rFonts w:hint="eastAsia" w:ascii="仿宋" w:hAnsi="仿宋" w:eastAsia="仿宋"/>
          <w:sz w:val="28"/>
          <w:szCs w:val="28"/>
        </w:rPr>
        <w:t xml:space="preserve">份</w:t>
      </w:r>
      <w:r>
        <w:rPr>
          <w:rFonts w:ascii="仿宋" w:hAnsi="仿宋" w:eastAsia="仿宋"/>
          <w:sz w:val="28"/>
          <w:szCs w:val="28"/>
        </w:rPr>
        <w:t xml:space="preserve"> </w:t>
      </w:r>
      <w:r>
        <w:rPr>
          <w:rFonts w:hint="eastAsia" w:ascii="仿宋" w:hAnsi="仿宋" w:eastAsia="仿宋"/>
          <w:sz w:val="28"/>
          <w:szCs w:val="28"/>
        </w:rPr>
        <w:t xml:space="preserve">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组织的</w:t>
      </w:r>
      <w:r>
        <w:rPr>
          <w:rFonts w:hint="eastAsia" w:ascii="仿宋" w:hAnsi="仿宋" w:eastAsia="仿宋"/>
          <w:sz w:val="28"/>
          <w:szCs w:val="28"/>
          <w:u w:val="single"/>
        </w:rPr>
        <w:t xml:space="preserve">（项目编号:           ）</w:t>
      </w:r>
      <w:r>
        <w:rPr>
          <w:rFonts w:hint="eastAsia" w:ascii="仿宋" w:hAnsi="仿宋" w:eastAsia="仿宋"/>
          <w:bCs/>
          <w:sz w:val="28"/>
          <w:u w:val="single"/>
        </w:rPr>
        <w:t xml:space="preserve">            </w:t>
      </w:r>
      <w:r>
        <w:rPr>
          <w:rFonts w:hint="eastAsia" w:ascii="仿宋" w:hAnsi="仿宋" w:eastAsia="仿宋"/>
          <w:sz w:val="28"/>
          <w:szCs w:val="28"/>
          <w:u w:val="single"/>
        </w:rPr>
        <w:t xml:space="preserve">采购项目</w:t>
      </w:r>
      <w:r>
        <w:rPr>
          <w:rFonts w:hint="eastAsia" w:ascii="仿宋" w:hAnsi="仿宋" w:eastAsia="仿宋"/>
          <w:sz w:val="28"/>
          <w:szCs w:val="28"/>
        </w:rPr>
        <w:t xml:space="preserve">的政府采购活动，受托人有权在该招标活动中，以我单位的名义签署投标函和投标文件，与代理公司协商、澄清、解释，签订合同书并执行一切与此有关的事项。</w:t>
      </w:r>
      <w:r/>
    </w:p>
    <w:p>
      <w:pPr>
        <w:spacing w:line="520" w:lineRule="exact"/>
        <w:rPr>
          <w:rFonts w:hint="eastAsia"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委托期限:至上述事宜处理完毕止。</w:t>
      </w:r>
      <w:r/>
    </w:p>
    <w:p>
      <w:pPr>
        <w:ind w:firstLine="600"/>
        <w:spacing w:line="520" w:lineRule="exact"/>
        <w:rPr>
          <w:rFonts w:hint="eastAsia" w:ascii="仿宋" w:hAnsi="仿宋" w:eastAsia="仿宋"/>
          <w:b/>
          <w:sz w:val="28"/>
          <w:szCs w:val="28"/>
        </w:rPr>
      </w:pPr>
      <w:r>
        <w:rPr>
          <w:rFonts w:hint="eastAsia" w:ascii="仿宋" w:hAnsi="仿宋" w:eastAsia="仿宋"/>
          <w:b/>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4200"/>
        <w:spacing w:line="640" w:lineRule="exact"/>
        <w:rPr>
          <w:rFonts w:hint="eastAsia" w:ascii="仿宋" w:hAnsi="仿宋" w:eastAsia="仿宋" w:cs="楷体_GB2312"/>
          <w:sz w:val="28"/>
          <w:szCs w:val="28"/>
          <w:u w:val="single"/>
          <w:lang w:val="zh-CN"/>
        </w:rPr>
      </w:pP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u w:val="single"/>
        </w:rPr>
        <w:t xml:space="preserve"> </w:t>
      </w:r>
      <w:r>
        <w:rPr>
          <w:rFonts w:hint="eastAsia" w:ascii="仿宋" w:hAnsi="仿宋" w:eastAsia="仿宋" w:cs="楷体_GB2312"/>
          <w:sz w:val="28"/>
          <w:szCs w:val="28"/>
          <w:u w:val="single"/>
          <w:lang w:val="zh-CN"/>
        </w:rPr>
        <w:t xml:space="preserve"> </w:t>
      </w:r>
      <w:r/>
    </w:p>
    <w:p>
      <w:pPr>
        <w:ind w:firstLine="420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sz w:val="28"/>
          <w:szCs w:val="28"/>
        </w:rPr>
      </w:pPr>
      <w:r>
        <w:rPr>
          <w:rFonts w:hint="eastAsia" w:ascii="仿宋" w:hAnsi="仿宋" w:eastAsia="仿宋"/>
          <w:bCs/>
          <w:sz w:val="28"/>
        </w:rPr>
        <w:t xml:space="preserve">注:供应商委托</w:t>
      </w:r>
      <w:r>
        <w:rPr>
          <w:rFonts w:hint="eastAsia" w:ascii="仿宋" w:hAnsi="仿宋" w:eastAsia="仿宋"/>
          <w:bCs/>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件加盖供应商电子签章。</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w:t>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的声明函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ind w:firstLine="840"/>
        <w:spacing w:line="520" w:lineRule="exact"/>
        <w:rPr>
          <w:rFonts w:hint="eastAsia" w:ascii="仿宋" w:hAnsi="仿宋" w:eastAsia="仿宋"/>
          <w:sz w:val="28"/>
          <w:szCs w:val="28"/>
        </w:rPr>
      </w:pPr>
      <w:r>
        <w:rPr>
          <w:rFonts w:hint="eastAsia" w:ascii="仿宋" w:hAnsi="仿宋" w:eastAsia="仿宋"/>
          <w:sz w:val="28"/>
          <w:szCs w:val="28"/>
        </w:rPr>
        <w:t xml:space="preserve">我公司参加贵中心组织实施的</w:t>
      </w:r>
      <w:r>
        <w:rPr>
          <w:rFonts w:hint="eastAsia" w:ascii="仿宋" w:hAnsi="仿宋" w:eastAsia="仿宋"/>
          <w:sz w:val="28"/>
          <w:szCs w:val="28"/>
          <w:u w:val="single"/>
        </w:rPr>
        <w:t xml:space="preserve">（项目编号:       ）</w:t>
      </w:r>
      <w:r>
        <w:rPr>
          <w:rFonts w:hint="eastAsia" w:ascii="仿宋" w:hAnsi="仿宋" w:eastAsia="仿宋"/>
          <w:bCs/>
          <w:sz w:val="28"/>
          <w:u w:val="single"/>
        </w:rPr>
        <w:t xml:space="preserve">    </w:t>
      </w:r>
      <w:r>
        <w:rPr>
          <w:rFonts w:hint="eastAsia" w:ascii="仿宋" w:hAnsi="仿宋" w:eastAsia="仿宋"/>
          <w:sz w:val="28"/>
          <w:szCs w:val="28"/>
          <w:u w:val="single"/>
        </w:rPr>
        <w:t xml:space="preserve">采购项目</w:t>
      </w:r>
      <w:r>
        <w:rPr>
          <w:rFonts w:hint="eastAsia" w:ascii="仿宋" w:hAnsi="仿宋" w:eastAsia="仿宋"/>
          <w:sz w:val="28"/>
          <w:szCs w:val="28"/>
        </w:rPr>
        <w:t xml:space="preserve">的政府采购活动。针对《中华人民共和国政府采购法》第二十二条规定做出如下声明：</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1、我单位具有独立承担民事责任的能力；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ind w:firstLine="560"/>
        <w:jc w:val="left"/>
        <w:spacing w:line="640" w:lineRule="exact"/>
        <w:rPr>
          <w:rFonts w:hint="eastAsia"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sz w:val="28"/>
          <w:szCs w:val="28"/>
        </w:rPr>
        <w:t xml:space="preserve"> </w:t>
      </w:r>
      <w:r/>
    </w:p>
    <w:p>
      <w:pPr>
        <w:ind w:firstLine="638"/>
        <w:spacing w:line="520" w:lineRule="exact"/>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p>
    <w:p>
      <w:pPr>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spacing w:line="640" w:lineRule="exact"/>
        <w:rPr>
          <w:rFonts w:hint="eastAsia" w:ascii="仿宋" w:hAnsi="仿宋" w:eastAsia="仿宋"/>
          <w:sz w:val="28"/>
          <w:szCs w:val="28"/>
        </w:rPr>
      </w:pPr>
      <w:r>
        <w:rPr>
          <w:rFonts w:hint="eastAsia" w:ascii="仿宋" w:hAnsi="仿宋" w:eastAsia="仿宋"/>
          <w:sz w:val="28"/>
          <w:szCs w:val="28"/>
        </w:rPr>
      </w:r>
      <w:r/>
    </w:p>
    <w:p>
      <w:pPr>
        <w:ind w:firstLine="4480"/>
        <w:spacing w:line="640" w:lineRule="exact"/>
        <w:rPr>
          <w:rFonts w:hint="eastAsia" w:ascii="仿宋" w:hAnsi="仿宋" w:eastAsia="仿宋" w:cs="楷体_GB2312"/>
          <w:sz w:val="28"/>
          <w:szCs w:val="28"/>
          <w:u w:val="single"/>
          <w:lang w:val="zh-CN"/>
        </w:rPr>
      </w:pP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rPr>
          <w:rFonts w:hint="eastAsia" w:ascii="仿宋" w:hAnsi="仿宋" w:eastAsia="仿宋"/>
          <w:b/>
          <w:sz w:val="32"/>
          <w:szCs w:val="32"/>
          <w:lang w:val="en-US"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四</w:t>
      </w:r>
      <w:r/>
    </w:p>
    <w:p>
      <w:pPr>
        <w:pStyle w:val="686"/>
        <w:ind w:left="0" w:right="0"/>
        <w:jc w:val="center"/>
        <w:keepLines w:val="0"/>
        <w:keepNext w:val="0"/>
        <w:spacing w:before="0" w:beforeAutospacing="0" w:after="0" w:afterAutospacing="0" w:line="360" w:lineRule="atLeast"/>
        <w:widowControl/>
        <w:rPr>
          <w:rFonts w:hint="eastAsia" w:ascii="仿宋" w:hAnsi="仿宋" w:eastAsia="仿宋" w:cs="Times New Roman"/>
          <w:b/>
          <w:bCs/>
          <w:sz w:val="32"/>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b/>
          <w:bCs/>
          <w:sz w:val="32"/>
          <w:szCs w:val="24"/>
          <w:lang w:val="en-US" w:eastAsia="zh-CN" w:bidi="ar-SA"/>
        </w:rPr>
      </w:r>
      <w:r/>
    </w:p>
    <w:p>
      <w:pPr>
        <w:pStyle w:val="686"/>
        <w:ind w:left="0" w:right="0"/>
        <w:jc w:val="center"/>
        <w:keepLines w:val="0"/>
        <w:keepNext w:val="0"/>
        <w:spacing w:before="0" w:beforeAutospacing="0" w:after="0" w:afterAutospacing="0" w:line="360" w:lineRule="atLeast"/>
        <w:widowControl/>
        <w:rPr>
          <w:rFonts w:hint="eastAsia" w:ascii="仿宋" w:hAnsi="仿宋" w:eastAsia="仿宋" w:cs="Times New Roman"/>
          <w:b/>
          <w:bCs/>
          <w:sz w:val="32"/>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b/>
          <w:bCs/>
          <w:sz w:val="32"/>
          <w:szCs w:val="24"/>
          <w:lang w:val="en-US" w:eastAsia="zh-CN" w:bidi="ar-SA"/>
        </w:rPr>
        <w:t xml:space="preserve">人员证书及项目固定安装人员承诺书</w:t>
      </w:r>
      <w:r/>
    </w:p>
    <w:p>
      <w:pPr>
        <w:ind w:left="0" w:right="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lang w:val="en-US" w:eastAsia="zh-CN" w:bidi="ar"/>
        </w:rPr>
        <w:t xml:space="preserve">致：</w:t>
      </w:r>
      <w:r>
        <w:rPr>
          <w:rFonts w:hint="eastAsia" w:ascii="仿宋" w:hAnsi="仿宋" w:eastAsia="仿宋" w:cs="仿宋"/>
          <w:color w:val="000000"/>
          <w:sz w:val="28"/>
        </w:rPr>
        <w:t xml:space="preserve">淮安市清江浦区环卫事业管理服务中心</w:t>
      </w:r>
      <w:r/>
    </w:p>
    <w:p>
      <w:p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lang w:val="en-US" w:eastAsia="zh-CN" w:bidi="ar"/>
        </w:rPr>
        <w:t xml:space="preserve">我方</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en-US" w:eastAsia="zh-CN"/>
        </w:rPr>
        <w:t xml:space="preserve">   </w:t>
      </w:r>
      <w:r>
        <w:rPr>
          <w:rFonts w:ascii="仿宋" w:hAnsi="仿宋" w:eastAsia="仿宋" w:cs="楷体_GB2312"/>
          <w:sz w:val="28"/>
          <w:szCs w:val="28"/>
          <w:u w:val="single"/>
          <w:lang w:val="zh-CN"/>
        </w:rPr>
        <w:t xml:space="preserve">  </w:t>
      </w:r>
      <w:r>
        <w:rPr>
          <w:rFonts w:hint="eastAsia" w:ascii="仿宋" w:hAnsi="仿宋" w:eastAsia="仿宋" w:cs="仿宋"/>
          <w:color w:val="000000"/>
          <w:sz w:val="28"/>
          <w:szCs w:val="28"/>
          <w:lang w:val="en-US" w:eastAsia="zh-CN" w:bidi="ar"/>
        </w:rPr>
        <w:t xml:space="preserve">（单位名称）承接</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en-US" w:eastAsia="zh-CN"/>
        </w:rPr>
        <w:t xml:space="preserve">  </w:t>
      </w:r>
      <w:r>
        <w:rPr>
          <w:rFonts w:ascii="仿宋" w:hAnsi="仿宋" w:eastAsia="仿宋" w:cs="楷体_GB2312"/>
          <w:sz w:val="28"/>
          <w:szCs w:val="28"/>
          <w:u w:val="single"/>
          <w:lang w:val="zh-CN"/>
        </w:rPr>
        <w:t xml:space="preserve">   </w:t>
      </w:r>
      <w:r>
        <w:rPr>
          <w:rFonts w:hint="eastAsia" w:ascii="仿宋" w:hAnsi="仿宋" w:eastAsia="仿宋" w:cs="仿宋"/>
          <w:color w:val="000000"/>
          <w:sz w:val="28"/>
          <w:szCs w:val="28"/>
          <w:lang w:val="en-US" w:eastAsia="zh-CN" w:bidi="ar"/>
        </w:rPr>
        <w:t xml:space="preserve">项目（项目编号：</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en-US" w:eastAsia="zh-CN"/>
        </w:rPr>
        <w:t xml:space="preserve"> </w:t>
      </w:r>
      <w:r>
        <w:rPr>
          <w:rFonts w:ascii="仿宋" w:hAnsi="仿宋" w:eastAsia="仿宋" w:cs="楷体_GB2312"/>
          <w:sz w:val="28"/>
          <w:szCs w:val="28"/>
          <w:u w:val="single"/>
          <w:lang w:val="zh-CN"/>
        </w:rPr>
        <w:t xml:space="preserve">    </w:t>
      </w:r>
      <w:r>
        <w:rPr>
          <w:rFonts w:hint="eastAsia" w:ascii="仿宋" w:hAnsi="仿宋" w:eastAsia="仿宋" w:cs="仿宋"/>
          <w:color w:val="000000"/>
          <w:sz w:val="28"/>
          <w:szCs w:val="28"/>
          <w:lang w:val="en-US" w:eastAsia="zh-CN" w:bidi="ar"/>
        </w:rPr>
        <w:t xml:space="preserve">）安装相关工作，现就本项目安装人员事宜郑重作出如下承诺：</w:t>
      </w:r>
      <w:r/>
    </w:p>
    <w:p>
      <w:pPr>
        <w:numPr>
          <w:ilvl w:val="0"/>
          <w:numId w:val="11"/>
        </w:numPr>
        <w:ind w:left="0"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rPr>
        <w:t xml:space="preserve">我方将按要求完整提供本项目所有安装人员对应的有效资格证书、岗位证书、身份证件等资料，所有证书真实、合法、有效，不存在伪造、变造、租借、过期等情形，证书信息与在岗人员保持一致。</w:t>
      </w:r>
      <w:r/>
    </w:p>
    <w:p>
      <w:pPr>
        <w:numPr>
          <w:ilvl w:val="0"/>
          <w:numId w:val="11"/>
        </w:numPr>
        <w:ind w:left="0"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rPr>
        <w:t xml:space="preserve">本项目进场开展安装作业的全部人员，均为我方指派的</w:t>
      </w:r>
      <w:r>
        <w:rPr>
          <w:rStyle w:val="722"/>
          <w:rFonts w:hint="eastAsia" w:ascii="仿宋" w:hAnsi="仿宋" w:eastAsia="仿宋" w:cs="仿宋"/>
          <w:color w:val="000000"/>
          <w:sz w:val="28"/>
          <w:szCs w:val="28"/>
        </w:rPr>
        <w:t xml:space="preserve">本项目固定安装人员</w:t>
      </w:r>
      <w:r>
        <w:rPr>
          <w:rFonts w:hint="eastAsia" w:ascii="仿宋" w:hAnsi="仿宋" w:eastAsia="仿宋" w:cs="仿宋"/>
          <w:color w:val="000000"/>
          <w:sz w:val="28"/>
          <w:szCs w:val="28"/>
        </w:rPr>
        <w:t xml:space="preserve">，项目实施周期内稳定在岗，未经贵方书面同意，不得擅自更换、随意抽调离场。</w:t>
      </w:r>
      <w:r/>
    </w:p>
    <w:p>
      <w:pPr>
        <w:numPr>
          <w:ilvl w:val="0"/>
          <w:numId w:val="11"/>
        </w:numPr>
        <w:ind w:left="0"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rPr>
        <w:t xml:space="preserve">上述固定安装人员服从项目现场管理，严格按照施工规范、安全规程开展安装作业，持证上岗；若人员确需调整，我方提前向贵方提交人员变更申请及替补人员全套资质材料，经审核同意后方可更换。</w:t>
      </w:r>
      <w:r/>
    </w:p>
    <w:p>
      <w:pPr>
        <w:numPr>
          <w:ilvl w:val="0"/>
          <w:numId w:val="11"/>
        </w:numPr>
        <w:ind w:left="0"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rPr>
        <w:t xml:space="preserve">我方保证不存在借用外部人员证书、人证不符等违规行为。如经查实存在虚假承诺、证书造假、擅自更换固定安装人员等情况，我方自愿承担合同约定及相关法律法规规定的全部违约责任，接受贵方相应处罚，并赔偿由此造成的一切损失。</w:t>
      </w:r>
      <w:r/>
    </w:p>
    <w:p>
      <w:pPr>
        <w:ind w:left="0"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lang w:val="en-US" w:eastAsia="zh-CN" w:bidi="ar"/>
        </w:rPr>
        <w:t xml:space="preserve">特此承诺！</w:t>
      </w:r>
      <w:r/>
    </w:p>
    <w:p>
      <w:pPr>
        <w:ind w:firstLine="4480"/>
        <w:spacing w:line="640" w:lineRule="exact"/>
        <w:rPr>
          <w:rFonts w:hint="eastAsia" w:ascii="仿宋" w:hAnsi="仿宋" w:eastAsia="仿宋"/>
          <w:sz w:val="28"/>
          <w:szCs w:val="28"/>
        </w:rPr>
      </w:pPr>
      <w:r>
        <w:rPr>
          <w:rFonts w:hint="eastAsia" w:ascii="仿宋" w:hAnsi="仿宋" w:eastAsia="仿宋"/>
          <w:sz w:val="28"/>
          <w:szCs w:val="28"/>
        </w:rPr>
      </w:r>
      <w:r/>
    </w:p>
    <w:p>
      <w:pPr>
        <w:ind w:firstLine="4480"/>
        <w:spacing w:line="640" w:lineRule="exact"/>
        <w:rPr>
          <w:rFonts w:hint="eastAsia" w:ascii="仿宋" w:hAnsi="仿宋" w:eastAsia="仿宋"/>
          <w:sz w:val="28"/>
          <w:szCs w:val="28"/>
        </w:rPr>
      </w:pPr>
      <w:r>
        <w:rPr>
          <w:rFonts w:hint="eastAsia" w:ascii="仿宋" w:hAnsi="仿宋" w:eastAsia="仿宋"/>
          <w:sz w:val="28"/>
          <w:szCs w:val="28"/>
        </w:rPr>
      </w:r>
      <w:r/>
    </w:p>
    <w:p>
      <w:pPr>
        <w:ind w:firstLine="4480"/>
        <w:spacing w:line="640" w:lineRule="exact"/>
        <w:rPr>
          <w:rFonts w:hint="eastAsia" w:ascii="仿宋" w:hAnsi="仿宋" w:eastAsia="仿宋" w:cs="楷体_GB2312"/>
          <w:sz w:val="28"/>
          <w:szCs w:val="28"/>
          <w:u w:val="single"/>
          <w:lang w:val="zh-CN"/>
        </w:rPr>
      </w:pP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lang w:val="en-US"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五</w:t>
      </w:r>
      <w:r/>
    </w:p>
    <w:p>
      <w:pPr>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pStyle w:val="9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采购活动，提供的货物全部由符合政策要求的中小企业制造。相关企业的具体情况如下： </w:t>
      </w:r>
      <w:r/>
    </w:p>
    <w:p>
      <w:pPr>
        <w:pStyle w:val="9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1. </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p>
    <w:p>
      <w:pPr>
        <w:pStyle w:val="9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，属于（采购文件中明确的所属行业）行业；制造商为（企业名称），从业人员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p>
    <w:p>
      <w:pPr>
        <w:pStyle w:val="914"/>
        <w:ind w:firstLine="560"/>
        <w:spacing w:line="600" w:lineRule="exact"/>
        <w:rPr>
          <w:rFonts w:hint="eastAsia" w:ascii="仿宋" w:hAnsi="仿宋" w:eastAsia="仿宋"/>
          <w:bCs/>
          <w:sz w:val="28"/>
          <w:szCs w:val="28"/>
        </w:rPr>
      </w:pPr>
      <w:r>
        <w:rPr>
          <w:rFonts w:ascii="Arial" w:hAnsi="Arial" w:eastAsia="仿宋" w:cs="Arial"/>
          <w:bCs/>
          <w:sz w:val="28"/>
          <w:szCs w:val="28"/>
        </w:rPr>
        <w:t xml:space="preserve">……</w:t>
      </w:r>
      <w:r/>
    </w:p>
    <w:p>
      <w:pPr>
        <w:pStyle w:val="9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9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w:t>
      </w:r>
      <w:r/>
    </w:p>
    <w:p>
      <w:pPr>
        <w:ind w:firstLine="392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3920"/>
        <w:spacing w:line="640" w:lineRule="exact"/>
        <w:rPr>
          <w:rFonts w:hint="eastAsia" w:ascii="仿宋" w:hAnsi="仿宋" w:eastAsia="仿宋" w:cs="楷体_GB2312"/>
          <w:sz w:val="28"/>
          <w:szCs w:val="28"/>
          <w:u w:val="single"/>
          <w:lang w:val="zh-CN"/>
        </w:rPr>
      </w:pP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ind w:firstLine="392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14"/>
        <w:ind w:firstLine="0"/>
        <w:spacing w:line="600" w:lineRule="exact"/>
        <w:rPr>
          <w:rFonts w:hint="eastAsia" w:ascii="仿宋" w:hAnsi="仿宋" w:eastAsia="仿宋"/>
          <w:bCs/>
          <w:sz w:val="28"/>
          <w:szCs w:val="28"/>
        </w:rPr>
      </w:pPr>
      <w:r>
        <w:rPr>
          <w:rFonts w:hint="eastAsia" w:ascii="仿宋" w:hAnsi="仿宋" w:eastAsia="仿宋"/>
          <w:bCs/>
          <w:sz w:val="28"/>
          <w:szCs w:val="28"/>
        </w:rPr>
        <w:t xml:space="preserve">注：从业人员、营业收入、资产总额填报上一年度数据，无上一年度数据的新成立企业可不填报。</w:t>
      </w:r>
      <w:r/>
    </w:p>
    <w:p>
      <w:pPr>
        <w:pStyle w:val="914"/>
        <w:ind w:firstLine="0"/>
        <w:spacing w:line="600" w:lineRule="exact"/>
        <w:rPr>
          <w:rFonts w:hint="eastAsia" w:ascii="仿宋" w:hAnsi="仿宋" w:eastAsia="仿宋"/>
          <w:bCs/>
          <w:sz w:val="28"/>
          <w:szCs w:val="28"/>
        </w:rPr>
      </w:pPr>
      <w:r>
        <w:rPr>
          <w:rFonts w:hint="eastAsia" w:ascii="仿宋" w:hAnsi="仿宋" w:eastAsia="仿宋"/>
          <w:bCs/>
          <w:sz w:val="28"/>
          <w:szCs w:val="28"/>
        </w:rPr>
      </w:r>
      <w:r/>
    </w:p>
    <w:p>
      <w:pPr>
        <w:pStyle w:val="914"/>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914"/>
        <w:ind w:firstLine="0"/>
        <w:jc w:val="left"/>
        <w:spacing w:line="520" w:lineRule="exact"/>
        <w:rPr>
          <w:rFonts w:hint="eastAsia" w:ascii="仿宋" w:hAnsi="仿宋" w:eastAsia="仿宋"/>
          <w:b/>
          <w:bCs/>
          <w:sz w:val="32"/>
          <w:szCs w:val="32"/>
          <w:lang w:val="en-US"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p>
    <w:p>
      <w:pPr>
        <w:jc w:val="center"/>
        <w:spacing w:line="640" w:lineRule="exact"/>
        <w:widowControl/>
        <w:rPr>
          <w:rFonts w:hint="eastAsia" w:ascii="仿宋" w:hAnsi="仿宋" w:eastAsia="仿宋" w:cs="宋体"/>
          <w:sz w:val="24"/>
        </w:rPr>
      </w:pPr>
      <w:r>
        <w:rPr>
          <w:rFonts w:hint="eastAsia" w:ascii="仿宋" w:hAnsi="仿宋" w:eastAsia="仿宋" w:cs="宋体"/>
          <w:b/>
          <w:bCs/>
          <w:sz w:val="32"/>
          <w:szCs w:val="32"/>
        </w:rPr>
        <w:t xml:space="preserve">残疾人福利性单位声明函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pStyle w:val="914"/>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14"/>
        <w:ind w:firstLine="560"/>
        <w:spacing w:line="64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914"/>
        <w:ind w:firstLine="560"/>
        <w:spacing w:line="64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w:t>
      </w:r>
      <w:r>
        <w:rPr>
          <w:rFonts w:ascii="仿宋" w:hAnsi="仿宋" w:eastAsia="仿宋"/>
          <w:bCs/>
          <w:sz w:val="28"/>
          <w:szCs w:val="28"/>
        </w:rPr>
        <w:t xml:space="preserve"> </w:t>
      </w:r>
      <w:r>
        <w:rPr>
          <w:rFonts w:hint="eastAsia" w:ascii="仿宋" w:hAnsi="仿宋" w:eastAsia="仿宋"/>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14"/>
        <w:ind w:firstLine="560"/>
        <w:spacing w:line="640" w:lineRule="exact"/>
        <w:rPr>
          <w:rFonts w:hint="eastAsia"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914"/>
        <w:ind w:firstLine="560"/>
        <w:spacing w:line="640" w:lineRule="exact"/>
        <w:rPr>
          <w:rFonts w:hint="eastAsia" w:ascii="仿宋" w:hAnsi="仿宋" w:eastAsia="仿宋"/>
          <w:sz w:val="28"/>
          <w:szCs w:val="28"/>
        </w:rPr>
      </w:pPr>
      <w:r>
        <w:rPr>
          <w:rFonts w:hint="eastAsia"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jc w:val="left"/>
        <w:spacing w:line="640" w:lineRule="exact"/>
        <w:widowControl/>
        <w:rPr>
          <w:rFonts w:hint="eastAsia" w:ascii="宋体" w:hAnsi="宋体" w:eastAsia="宋体"/>
          <w:b/>
          <w:sz w:val="32"/>
          <w:highlight w:val="none"/>
          <w:lang w:val="en-US" w:eastAsia="zh-CN"/>
        </w:rPr>
      </w:pPr>
      <w:r>
        <w:rPr>
          <w:rFonts w:hint="eastAsia" w:ascii="宋体" w:hAnsi="宋体"/>
          <w:b/>
          <w:sz w:val="32"/>
          <w:highlight w:val="none"/>
        </w:rPr>
        <w:t xml:space="preserve">示范格式</w:t>
      </w:r>
      <w:r>
        <w:rPr>
          <w:rFonts w:hint="eastAsia" w:ascii="宋体" w:hAnsi="宋体"/>
          <w:b/>
          <w:sz w:val="32"/>
          <w:highlight w:val="none"/>
          <w:lang w:val="en-US" w:eastAsia="zh-CN"/>
        </w:rPr>
        <w:t xml:space="preserve">七</w:t>
      </w:r>
      <w:r/>
    </w:p>
    <w:p>
      <w:pPr>
        <w:pStyle w:val="700"/>
        <w:ind w:firstLine="560"/>
        <w:jc w:val="center"/>
        <w:spacing w:line="64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rPr>
        <w:t xml:space="preserve">关于符合本国产品标准的声明函</w:t>
      </w:r>
      <w:r>
        <w:rPr>
          <w:rFonts w:hint="eastAsia" w:ascii="仿宋" w:hAnsi="仿宋" w:eastAsia="仿宋" w:cs="仿宋"/>
          <w:b/>
          <w:bCs/>
          <w:sz w:val="28"/>
          <w:szCs w:val="28"/>
          <w:highlight w:val="none"/>
          <w:lang w:val="en-US" w:eastAsia="zh-CN"/>
        </w:rPr>
        <w:t xml:space="preserve"> </w:t>
      </w:r>
      <w:r/>
    </w:p>
    <w:p>
      <w:pPr>
        <w:rPr>
          <w:rFonts w:hint="eastAsia" w:ascii="仿宋" w:hAnsi="仿宋" w:eastAsia="仿宋" w:cs="仿宋"/>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szCs w:val="28"/>
          <w:highlight w:val="none"/>
        </w:rPr>
        <w:t xml:space="preserve">致</w:t>
      </w:r>
      <w:r>
        <w:rPr>
          <w:rFonts w:hint="eastAsia" w:ascii="仿宋" w:hAnsi="仿宋" w:eastAsia="仿宋" w:cs="仿宋"/>
          <w:bCs/>
          <w:sz w:val="28"/>
          <w:szCs w:val="28"/>
          <w:highlight w:val="none"/>
          <w:lang w:eastAsia="zh-CN"/>
        </w:rPr>
        <w:t xml:space="preserve">：</w:t>
      </w:r>
      <w:r>
        <w:rPr>
          <w:rFonts w:hint="eastAsia" w:ascii="仿宋" w:hAnsi="仿宋" w:eastAsia="仿宋" w:cs="仿宋"/>
          <w:color w:val="000000"/>
          <w:sz w:val="28"/>
        </w:rPr>
        <w:t xml:space="preserve">淮安市清江浦区环卫事业管理服务中心</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本公司（单位）对上述声明内容的真实性负责。如有虚假，愿承担相应法律责任。</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公司（单位）名称（盖章）：　</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日期：   年　  月　  日         </w:t>
      </w:r>
      <w:r/>
    </w:p>
    <w:p>
      <w:pPr>
        <w:pStyle w:val="914"/>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注：</w:t>
      </w:r>
      <w:r/>
    </w:p>
    <w:p>
      <w:pPr>
        <w:pStyle w:val="914"/>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1.产品如有型号，请在“产品名称”栏一并填写。</w:t>
      </w:r>
      <w:r/>
    </w:p>
    <w:p>
      <w:pPr>
        <w:pStyle w:val="914"/>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2.生产厂名与厂址应与生产厂营业执照载明的相关信息保持一致。</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3.该产品的中国境内生产的组件成本占比相关要求实施前，“规定比例”栏可不填，下同。</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4.该产品的关键组件要求实施前，“关键组件”栏可不填，下同。</w:t>
      </w:r>
      <w:r/>
    </w:p>
    <w:p>
      <w:pPr>
        <w:pStyle w:val="914"/>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bCs/>
          <w:sz w:val="28"/>
          <w:szCs w:val="28"/>
          <w:highlight w:val="none"/>
        </w:rPr>
        <w:t xml:space="preserve">5.该产品的关键工序要求实施前，“关键工序”栏可不填，下同。</w:t>
      </w:r>
      <w:r/>
    </w:p>
    <w:sectPr>
      <w:headerReference w:type="default" r:id="rId9"/>
      <w:footerReference w:type="default" r:id="rId10"/>
      <w:footnotePr/>
      <w:endnotePr/>
      <w:type w:val="nextPage"/>
      <w:pgSz w:w="11906" w:h="16838" w:orient="portrait"/>
      <w:pgMar w:top="1327" w:right="1080" w:bottom="1327"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行楷">
    <w:panose1 w:val="02010800040101010101"/>
  </w:font>
  <w:font w:name="Wingdings">
    <w:panose1 w:val="05000000000000000000"/>
  </w:font>
  <w:font w:name="Times New Roman (正文 CS 字体)">
    <w:panose1 w:val="02020603050405020304"/>
  </w:font>
  <w:font w:name="Symbol">
    <w:panose1 w:val="05050102010706020507"/>
  </w:font>
  <w:font w:name="仿宋">
    <w:panose1 w:val="02010609060101010101"/>
  </w:font>
  <w:font w:name="Tahoma">
    <w:panose1 w:val="020B0604030504040204"/>
  </w:font>
  <w:font w:name="Constantia">
    <w:panose1 w:val="02030602050306030303"/>
  </w:font>
  <w:font w:name="楷体_GB2312">
    <w:panose1 w:val="02010609060101010101"/>
  </w:font>
  <w:font w:name="微软雅黑">
    <w:panose1 w:val="020B0503020204020204"/>
  </w:font>
  <w:font w:name="Calibri">
    <w:panose1 w:val="020F050202020403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华文彩云">
    <w:panose1 w:val="02010800040101010101"/>
  </w:font>
  <w:font w:name="黑体">
    <w:panose1 w:val="02010609060101010101"/>
  </w:font>
  <w:font w:name="仿宋_GB2312">
    <w:panose1 w:val="02010609060101010101"/>
  </w:font>
  <w:font w:name="Verdan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280"/>
      <w:rPr>
        <w:rFonts w:hint="eastAsia" w:ascii="华文行楷" w:hAnsi="黑体" w:eastAsia="华文行楷"/>
        <w:sz w:val="28"/>
        <w:szCs w:val="28"/>
      </w:rPr>
    </w:pPr>
    <w:r>
      <w:rPr>
        <w:rFonts w:hint="eastAsia" w:ascii="华文行楷" w:hAnsi="黑体" w:eastAsia="华文行楷"/>
        <w:color w:val="000000"/>
        <w:sz w:val="28"/>
        <w:szCs w:val="28"/>
        <w:lang w:eastAsia="zh-CN"/>
      </w:rPr>
      <w:t xml:space="preserve">垃圾中转站设施设备、公厕新建及改造项目（地埋水平压缩式设备采购）  </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94"/>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84"/>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Thousand"/>
      <w:pStyle w:val="99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8"/>
  </w:num>
  <w:num w:numId="4">
    <w:abstractNumId w:val="7"/>
  </w:num>
  <w:num w:numId="5">
    <w:abstractNumId w:val="5"/>
  </w:num>
  <w:num w:numId="6">
    <w:abstractNumId w:val="9"/>
  </w:num>
  <w:num w:numId="7">
    <w:abstractNumId w:val="0"/>
  </w:num>
  <w:num w:numId="8">
    <w:abstractNumId w:val="2"/>
  </w:num>
  <w:num w:numId="9">
    <w:abstractNumId w:val="10"/>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next w:val="6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6">
    <w:name w:val="Heading 1"/>
    <w:basedOn w:val="685"/>
    <w:next w:val="685"/>
    <w:link w:val="764"/>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765"/>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link w:val="766"/>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67"/>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68"/>
    <w:uiPriority w:val="9"/>
    <w:unhideWhenUsed/>
    <w:qFormat/>
    <w:pPr>
      <w:keepLines/>
      <w:keepNext/>
      <w:spacing w:before="320" w:after="200"/>
      <w:outlineLvl w:val="4"/>
    </w:pPr>
    <w:rPr>
      <w:rFonts w:ascii="Arial" w:hAnsi="Arial" w:eastAsia="Arial" w:cs="Arial"/>
      <w:b/>
      <w:bCs/>
      <w:sz w:val="24"/>
    </w:rPr>
  </w:style>
  <w:style w:type="paragraph" w:styleId="691">
    <w:name w:val="Heading 6"/>
    <w:basedOn w:val="685"/>
    <w:next w:val="685"/>
    <w:link w:val="769"/>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71"/>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72"/>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Body Text First Indent"/>
    <w:basedOn w:val="698"/>
    <w:uiPriority w:val="0"/>
    <w:qFormat/>
    <w:pPr>
      <w:ind w:firstLine="200"/>
      <w:spacing w:line="360" w:lineRule="auto"/>
      <w:tabs>
        <w:tab w:val="left" w:pos="2020" w:leader="none"/>
        <w:tab w:val="center" w:pos="4535" w:leader="none"/>
      </w:tabs>
    </w:pPr>
    <w:rPr>
      <w:rFonts w:ascii="仿宋_GB2312" w:eastAsia="仿宋_GB2312"/>
      <w:sz w:val="30"/>
      <w:szCs w:val="30"/>
    </w:rPr>
  </w:style>
  <w:style w:type="paragraph" w:styleId="698">
    <w:name w:val="Body Text"/>
    <w:basedOn w:val="68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9">
    <w:name w:val="toc 7"/>
    <w:basedOn w:val="685"/>
    <w:next w:val="685"/>
    <w:uiPriority w:val="39"/>
    <w:unhideWhenUsed/>
    <w:qFormat/>
    <w:pPr>
      <w:ind w:left="1701"/>
      <w:spacing w:after="57"/>
    </w:pPr>
  </w:style>
  <w:style w:type="paragraph" w:styleId="700">
    <w:name w:val="Normal Indent"/>
    <w:basedOn w:val="685"/>
    <w:uiPriority w:val="0"/>
    <w:qFormat/>
    <w:pPr>
      <w:ind w:firstLine="420"/>
    </w:pPr>
    <w:rPr>
      <w:szCs w:val="20"/>
    </w:rPr>
  </w:style>
  <w:style w:type="paragraph" w:styleId="701">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annotation text"/>
    <w:basedOn w:val="685"/>
    <w:uiPriority w:val="0"/>
    <w:qFormat/>
    <w:pPr>
      <w:jc w:val="left"/>
    </w:pPr>
  </w:style>
  <w:style w:type="paragraph" w:styleId="703">
    <w:name w:val="Body Text Indent"/>
    <w:basedOn w:val="685"/>
    <w:next w:val="704"/>
    <w:uiPriority w:val="0"/>
    <w:qFormat/>
    <w:pPr>
      <w:ind w:firstLine="352"/>
    </w:pPr>
    <w:rPr>
      <w:rFonts w:ascii="仿宋_GB2312" w:eastAsia="仿宋_GB2312"/>
      <w:sz w:val="32"/>
    </w:rPr>
  </w:style>
  <w:style w:type="paragraph" w:styleId="704">
    <w:name w:val="Body Text First Indent 2"/>
    <w:basedOn w:val="703"/>
    <w:next w:val="685"/>
    <w:uiPriority w:val="0"/>
    <w:qFormat/>
    <w:pPr>
      <w:jc w:val="left"/>
    </w:pPr>
  </w:style>
  <w:style w:type="paragraph" w:styleId="705">
    <w:name w:val="toc 5"/>
    <w:basedOn w:val="685"/>
    <w:next w:val="685"/>
    <w:uiPriority w:val="39"/>
    <w:unhideWhenUsed/>
    <w:qFormat/>
    <w:pPr>
      <w:ind w:left="1134"/>
      <w:spacing w:after="57"/>
    </w:pPr>
  </w:style>
  <w:style w:type="paragraph" w:styleId="706">
    <w:name w:val="toc 3"/>
    <w:basedOn w:val="685"/>
    <w:next w:val="685"/>
    <w:uiPriority w:val="39"/>
    <w:unhideWhenUsed/>
    <w:qFormat/>
    <w:pPr>
      <w:ind w:left="567"/>
      <w:spacing w:after="57"/>
    </w:pPr>
  </w:style>
  <w:style w:type="paragraph" w:styleId="707">
    <w:name w:val="Plain Text"/>
    <w:basedOn w:val="685"/>
    <w:uiPriority w:val="0"/>
    <w:qFormat/>
    <w:rPr>
      <w:rFonts w:ascii="宋体" w:hAnsi="Courier New"/>
      <w:szCs w:val="20"/>
    </w:rPr>
  </w:style>
  <w:style w:type="paragraph" w:styleId="708">
    <w:name w:val="toc 8"/>
    <w:basedOn w:val="685"/>
    <w:next w:val="685"/>
    <w:uiPriority w:val="39"/>
    <w:unhideWhenUsed/>
    <w:qFormat/>
    <w:pPr>
      <w:ind w:left="1984"/>
      <w:spacing w:after="57"/>
    </w:pPr>
  </w:style>
  <w:style w:type="paragraph" w:styleId="709">
    <w:name w:val="endnote text"/>
    <w:basedOn w:val="685"/>
    <w:link w:val="910"/>
    <w:uiPriority w:val="99"/>
    <w:semiHidden/>
    <w:unhideWhenUsed/>
    <w:qFormat/>
    <w:rPr>
      <w:sz w:val="20"/>
    </w:rPr>
  </w:style>
  <w:style w:type="paragraph" w:styleId="710">
    <w:name w:val="Footer"/>
    <w:basedOn w:val="685"/>
    <w:link w:val="783"/>
    <w:uiPriority w:val="99"/>
    <w:unhideWhenUsed/>
    <w:qFormat/>
    <w:pPr>
      <w:tabs>
        <w:tab w:val="center" w:pos="7143" w:leader="none"/>
        <w:tab w:val="right" w:pos="14287" w:leader="none"/>
      </w:tabs>
    </w:pPr>
  </w:style>
  <w:style w:type="paragraph" w:styleId="711">
    <w:name w:val="Header"/>
    <w:basedOn w:val="685"/>
    <w:link w:val="781"/>
    <w:uiPriority w:val="99"/>
    <w:unhideWhenUsed/>
    <w:qFormat/>
    <w:pPr>
      <w:tabs>
        <w:tab w:val="center" w:pos="7143" w:leader="none"/>
        <w:tab w:val="right" w:pos="14287" w:leader="none"/>
      </w:tabs>
    </w:pPr>
  </w:style>
  <w:style w:type="paragraph" w:styleId="712">
    <w:name w:val="toc 1"/>
    <w:basedOn w:val="685"/>
    <w:next w:val="685"/>
    <w:uiPriority w:val="39"/>
    <w:unhideWhenUsed/>
    <w:qFormat/>
    <w:pPr>
      <w:spacing w:after="57"/>
    </w:pPr>
  </w:style>
  <w:style w:type="paragraph" w:styleId="713">
    <w:name w:val="toc 4"/>
    <w:basedOn w:val="685"/>
    <w:next w:val="685"/>
    <w:uiPriority w:val="39"/>
    <w:unhideWhenUsed/>
    <w:qFormat/>
    <w:pPr>
      <w:ind w:left="850"/>
      <w:spacing w:after="57"/>
    </w:pPr>
  </w:style>
  <w:style w:type="paragraph" w:styleId="714">
    <w:name w:val="Subtitle"/>
    <w:basedOn w:val="685"/>
    <w:next w:val="685"/>
    <w:link w:val="776"/>
    <w:uiPriority w:val="11"/>
    <w:qFormat/>
    <w:pPr>
      <w:spacing w:before="200" w:after="200"/>
    </w:pPr>
    <w:rPr>
      <w:sz w:val="24"/>
    </w:rPr>
  </w:style>
  <w:style w:type="paragraph" w:styleId="715">
    <w:name w:val="footnote text"/>
    <w:basedOn w:val="685"/>
    <w:link w:val="909"/>
    <w:uiPriority w:val="99"/>
    <w:semiHidden/>
    <w:unhideWhenUsed/>
    <w:qFormat/>
    <w:pPr>
      <w:spacing w:after="40"/>
    </w:pPr>
    <w:rPr>
      <w:sz w:val="18"/>
    </w:rPr>
  </w:style>
  <w:style w:type="paragraph" w:styleId="716">
    <w:name w:val="toc 6"/>
    <w:basedOn w:val="685"/>
    <w:next w:val="685"/>
    <w:uiPriority w:val="39"/>
    <w:unhideWhenUsed/>
    <w:qFormat/>
    <w:pPr>
      <w:ind w:left="1417"/>
      <w:spacing w:after="57"/>
    </w:pPr>
  </w:style>
  <w:style w:type="paragraph" w:styleId="717">
    <w:name w:val="table of figures"/>
    <w:basedOn w:val="685"/>
    <w:next w:val="685"/>
    <w:uiPriority w:val="99"/>
    <w:unhideWhenUsed/>
    <w:qFormat/>
  </w:style>
  <w:style w:type="paragraph" w:styleId="718">
    <w:name w:val="toc 2"/>
    <w:basedOn w:val="685"/>
    <w:next w:val="685"/>
    <w:uiPriority w:val="39"/>
    <w:unhideWhenUsed/>
    <w:qFormat/>
    <w:pPr>
      <w:ind w:left="283"/>
      <w:spacing w:after="57"/>
    </w:pPr>
  </w:style>
  <w:style w:type="paragraph" w:styleId="719">
    <w:name w:val="toc 9"/>
    <w:basedOn w:val="685"/>
    <w:next w:val="685"/>
    <w:uiPriority w:val="39"/>
    <w:unhideWhenUsed/>
    <w:qFormat/>
    <w:pPr>
      <w:ind w:left="2268"/>
      <w:spacing w:after="57"/>
    </w:pPr>
  </w:style>
  <w:style w:type="paragraph" w:styleId="720">
    <w:name w:val="Title"/>
    <w:basedOn w:val="685"/>
    <w:next w:val="685"/>
    <w:link w:val="775"/>
    <w:uiPriority w:val="10"/>
    <w:qFormat/>
    <w:pPr>
      <w:contextualSpacing/>
      <w:spacing w:before="300" w:after="200"/>
    </w:pPr>
    <w:rPr>
      <w:sz w:val="48"/>
      <w:szCs w:val="48"/>
    </w:rPr>
  </w:style>
  <w:style w:type="table" w:styleId="7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basedOn w:val="695"/>
    <w:uiPriority w:val="22"/>
    <w:qFormat/>
    <w:rPr>
      <w:b/>
    </w:r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basedOn w:val="695"/>
    <w:uiPriority w:val="9"/>
    <w:qFormat/>
    <w:rPr>
      <w:rFonts w:ascii="Arial" w:hAnsi="Arial" w:eastAsia="Arial" w:cs="Arial"/>
      <w:sz w:val="40"/>
      <w:szCs w:val="40"/>
    </w:rPr>
  </w:style>
  <w:style w:type="character" w:styleId="727" w:customStyle="1">
    <w:name w:val="Heading 2 Char"/>
    <w:basedOn w:val="695"/>
    <w:uiPriority w:val="9"/>
    <w:qFormat/>
    <w:rPr>
      <w:rFonts w:ascii="Arial" w:hAnsi="Arial" w:eastAsia="Arial" w:cs="Arial"/>
      <w:sz w:val="34"/>
    </w:rPr>
  </w:style>
  <w:style w:type="character" w:styleId="728" w:customStyle="1">
    <w:name w:val="Heading 3 Char"/>
    <w:basedOn w:val="695"/>
    <w:uiPriority w:val="9"/>
    <w:qFormat/>
    <w:rPr>
      <w:rFonts w:ascii="Arial" w:hAnsi="Arial" w:eastAsia="Arial" w:cs="Arial"/>
      <w:sz w:val="30"/>
      <w:szCs w:val="30"/>
    </w:rPr>
  </w:style>
  <w:style w:type="character" w:styleId="729" w:customStyle="1">
    <w:name w:val="Heading 4 Char"/>
    <w:basedOn w:val="695"/>
    <w:uiPriority w:val="9"/>
    <w:qFormat/>
    <w:rPr>
      <w:rFonts w:ascii="Arial" w:hAnsi="Arial" w:eastAsia="Arial" w:cs="Arial"/>
      <w:b/>
      <w:bCs/>
      <w:sz w:val="26"/>
      <w:szCs w:val="26"/>
    </w:rPr>
  </w:style>
  <w:style w:type="character" w:styleId="730" w:customStyle="1">
    <w:name w:val="Heading 5 Char"/>
    <w:basedOn w:val="695"/>
    <w:uiPriority w:val="9"/>
    <w:qFormat/>
    <w:rPr>
      <w:rFonts w:ascii="Arial" w:hAnsi="Arial" w:eastAsia="Arial" w:cs="Arial"/>
      <w:b/>
      <w:bCs/>
      <w:sz w:val="24"/>
      <w:szCs w:val="24"/>
    </w:rPr>
  </w:style>
  <w:style w:type="character" w:styleId="731" w:customStyle="1">
    <w:name w:val="Heading 6 Char"/>
    <w:basedOn w:val="695"/>
    <w:uiPriority w:val="9"/>
    <w:qFormat/>
    <w:rPr>
      <w:rFonts w:ascii="Arial" w:hAnsi="Arial" w:eastAsia="Arial" w:cs="Arial"/>
      <w:b/>
      <w:bCs/>
      <w:sz w:val="22"/>
      <w:szCs w:val="22"/>
    </w:rPr>
  </w:style>
  <w:style w:type="character" w:styleId="732" w:customStyle="1">
    <w:name w:val="Heading 7 Char"/>
    <w:basedOn w:val="695"/>
    <w:uiPriority w:val="9"/>
    <w:qFormat/>
    <w:rPr>
      <w:rFonts w:ascii="Arial" w:hAnsi="Arial" w:eastAsia="Arial" w:cs="Arial"/>
      <w:b/>
      <w:bCs/>
      <w:i/>
      <w:iCs/>
      <w:sz w:val="22"/>
      <w:szCs w:val="22"/>
    </w:rPr>
  </w:style>
  <w:style w:type="character" w:styleId="733" w:customStyle="1">
    <w:name w:val="Heading 8 Char"/>
    <w:basedOn w:val="695"/>
    <w:uiPriority w:val="9"/>
    <w:qFormat/>
    <w:rPr>
      <w:rFonts w:ascii="Arial" w:hAnsi="Arial" w:eastAsia="Arial" w:cs="Arial"/>
      <w:i/>
      <w:iCs/>
      <w:sz w:val="22"/>
      <w:szCs w:val="22"/>
    </w:rPr>
  </w:style>
  <w:style w:type="character" w:styleId="734" w:customStyle="1">
    <w:name w:val="Heading 9 Char"/>
    <w:basedOn w:val="695"/>
    <w:uiPriority w:val="9"/>
    <w:qFormat/>
    <w:rPr>
      <w:rFonts w:ascii="Arial" w:hAnsi="Arial" w:eastAsia="Arial" w:cs="Arial"/>
      <w:i/>
      <w:iCs/>
      <w:sz w:val="21"/>
      <w:szCs w:val="21"/>
    </w:rPr>
  </w:style>
  <w:style w:type="character" w:styleId="735" w:customStyle="1">
    <w:name w:val="Title Char"/>
    <w:basedOn w:val="695"/>
    <w:uiPriority w:val="10"/>
    <w:qFormat/>
    <w:rPr>
      <w:sz w:val="48"/>
      <w:szCs w:val="48"/>
    </w:rPr>
  </w:style>
  <w:style w:type="character" w:styleId="736" w:customStyle="1">
    <w:name w:val="Subtitle Char"/>
    <w:basedOn w:val="695"/>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character" w:styleId="739" w:customStyle="1">
    <w:name w:val="Header Char"/>
    <w:basedOn w:val="695"/>
    <w:uiPriority w:val="99"/>
    <w:qFormat/>
  </w:style>
  <w:style w:type="character" w:styleId="740" w:customStyle="1">
    <w:name w:val="Caption Char"/>
    <w:uiPriority w:val="99"/>
    <w:qFormat/>
  </w:style>
  <w:style w:type="table" w:styleId="741"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paragraph" w:styleId="762" w:customStyle="1">
    <w:name w:val="TOC Heading"/>
    <w:uiPriority w:val="39"/>
    <w:unhideWhenUsed/>
    <w:qFormat/>
    <w:rPr>
      <w:rFonts w:hint="default" w:ascii="Times New Roman" w:hAnsi="Times New Roman" w:eastAsia="宋体" w:cs="Times New Roman"/>
    </w:rPr>
  </w:style>
  <w:style w:type="paragraph" w:styleId="763" w:customStyle="1">
    <w:name w:val="Char Char Char Char Char Char Char Char Char Char Char Char Char"/>
    <w:basedOn w:val="685"/>
    <w:uiPriority w:val="0"/>
    <w:qFormat/>
    <w:pPr>
      <w:jc w:val="left"/>
      <w:spacing w:after="160" w:line="240" w:lineRule="exact"/>
      <w:widowControl/>
    </w:pPr>
    <w:rPr>
      <w:rFonts w:ascii="Verdana" w:hAnsi="Verdana"/>
      <w:sz w:val="20"/>
      <w:szCs w:val="20"/>
      <w:lang w:eastAsia="en-US"/>
    </w:rPr>
  </w:style>
  <w:style w:type="character" w:styleId="764" w:customStyle="1">
    <w:name w:val="标题 1 字符"/>
    <w:link w:val="686"/>
    <w:uiPriority w:val="9"/>
    <w:qFormat/>
    <w:rPr>
      <w:rFonts w:ascii="Arial" w:hAnsi="Arial" w:eastAsia="Arial" w:cs="Arial"/>
      <w:sz w:val="40"/>
      <w:szCs w:val="40"/>
    </w:rPr>
  </w:style>
  <w:style w:type="character" w:styleId="765" w:customStyle="1">
    <w:name w:val="标题 2 字符"/>
    <w:link w:val="687"/>
    <w:uiPriority w:val="9"/>
    <w:qFormat/>
    <w:rPr>
      <w:rFonts w:ascii="Arial" w:hAnsi="Arial" w:eastAsia="Arial" w:cs="Arial"/>
      <w:sz w:val="34"/>
    </w:rPr>
  </w:style>
  <w:style w:type="character" w:styleId="766" w:customStyle="1">
    <w:name w:val="标题 3 字符"/>
    <w:link w:val="688"/>
    <w:uiPriority w:val="9"/>
    <w:qFormat/>
    <w:rPr>
      <w:rFonts w:ascii="Arial" w:hAnsi="Arial" w:eastAsia="Arial" w:cs="Arial"/>
      <w:sz w:val="30"/>
      <w:szCs w:val="30"/>
    </w:rPr>
  </w:style>
  <w:style w:type="character" w:styleId="767" w:customStyle="1">
    <w:name w:val="标题 4 字符"/>
    <w:link w:val="689"/>
    <w:uiPriority w:val="9"/>
    <w:qFormat/>
    <w:rPr>
      <w:rFonts w:ascii="Arial" w:hAnsi="Arial" w:eastAsia="Arial" w:cs="Arial"/>
      <w:b/>
      <w:bCs/>
      <w:sz w:val="26"/>
      <w:szCs w:val="26"/>
    </w:rPr>
  </w:style>
  <w:style w:type="character" w:styleId="768" w:customStyle="1">
    <w:name w:val="标题 5 字符"/>
    <w:link w:val="690"/>
    <w:uiPriority w:val="9"/>
    <w:qFormat/>
    <w:rPr>
      <w:rFonts w:ascii="Arial" w:hAnsi="Arial" w:eastAsia="Arial" w:cs="Arial"/>
      <w:b/>
      <w:bCs/>
      <w:sz w:val="24"/>
      <w:szCs w:val="24"/>
    </w:rPr>
  </w:style>
  <w:style w:type="character" w:styleId="769" w:customStyle="1">
    <w:name w:val="标题 6 字符"/>
    <w:link w:val="691"/>
    <w:uiPriority w:val="9"/>
    <w:qFormat/>
    <w:rPr>
      <w:rFonts w:ascii="Arial" w:hAnsi="Arial" w:eastAsia="Arial" w:cs="Arial"/>
      <w:b/>
      <w:bCs/>
      <w:sz w:val="22"/>
      <w:szCs w:val="22"/>
    </w:rPr>
  </w:style>
  <w:style w:type="character" w:styleId="770" w:customStyle="1">
    <w:name w:val="标题 7 字符"/>
    <w:link w:val="692"/>
    <w:uiPriority w:val="9"/>
    <w:qFormat/>
    <w:rPr>
      <w:rFonts w:ascii="Arial" w:hAnsi="Arial" w:eastAsia="Arial" w:cs="Arial"/>
      <w:b/>
      <w:bCs/>
      <w:i/>
      <w:iCs/>
      <w:sz w:val="22"/>
      <w:szCs w:val="22"/>
    </w:rPr>
  </w:style>
  <w:style w:type="character" w:styleId="771" w:customStyle="1">
    <w:name w:val="标题 8 字符"/>
    <w:link w:val="693"/>
    <w:uiPriority w:val="9"/>
    <w:qFormat/>
    <w:rPr>
      <w:rFonts w:ascii="Arial" w:hAnsi="Arial" w:eastAsia="Arial" w:cs="Arial"/>
      <w:i/>
      <w:iCs/>
      <w:sz w:val="22"/>
      <w:szCs w:val="22"/>
    </w:rPr>
  </w:style>
  <w:style w:type="character" w:styleId="772" w:customStyle="1">
    <w:name w:val="标题 9 字符"/>
    <w:link w:val="694"/>
    <w:uiPriority w:val="9"/>
    <w:qFormat/>
    <w:rPr>
      <w:rFonts w:ascii="Arial" w:hAnsi="Arial" w:eastAsia="Arial" w:cs="Arial"/>
      <w:i/>
      <w:iCs/>
      <w:sz w:val="21"/>
      <w:szCs w:val="21"/>
    </w:rPr>
  </w:style>
  <w:style w:type="paragraph" w:styleId="773">
    <w:name w:val="List Paragraph"/>
    <w:basedOn w:val="685"/>
    <w:uiPriority w:val="34"/>
    <w:qFormat/>
    <w:pPr>
      <w:contextualSpacing/>
      <w:ind w:left="720"/>
    </w:pPr>
  </w:style>
  <w:style w:type="paragraph" w:styleId="774">
    <w:name w:val="No Spacing"/>
    <w:uiPriority w:val="1"/>
    <w:qFormat/>
    <w:rPr>
      <w:rFonts w:hint="default" w:ascii="Times New Roman" w:hAnsi="Times New Roman" w:eastAsia="宋体" w:cs="Times New Roman"/>
      <w:lang w:val="en-US" w:eastAsia="zh-CN" w:bidi="ar-SA"/>
    </w:rPr>
  </w:style>
  <w:style w:type="character" w:styleId="775" w:customStyle="1">
    <w:name w:val="标题 字符"/>
    <w:link w:val="720"/>
    <w:uiPriority w:val="10"/>
    <w:qFormat/>
    <w:rPr>
      <w:sz w:val="48"/>
      <w:szCs w:val="48"/>
    </w:rPr>
  </w:style>
  <w:style w:type="character" w:styleId="776" w:customStyle="1">
    <w:name w:val="副标题 字符"/>
    <w:link w:val="714"/>
    <w:uiPriority w:val="11"/>
    <w:qFormat/>
    <w:rPr>
      <w:sz w:val="24"/>
      <w:szCs w:val="24"/>
    </w:rPr>
  </w:style>
  <w:style w:type="paragraph" w:styleId="777">
    <w:name w:val="Quote"/>
    <w:basedOn w:val="685"/>
    <w:next w:val="685"/>
    <w:link w:val="778"/>
    <w:uiPriority w:val="29"/>
    <w:qFormat/>
    <w:pPr>
      <w:ind w:left="720" w:right="720"/>
    </w:pPr>
    <w:rPr>
      <w:i/>
    </w:rPr>
  </w:style>
  <w:style w:type="character" w:styleId="778" w:customStyle="1">
    <w:name w:val="引用 字符"/>
    <w:link w:val="777"/>
    <w:uiPriority w:val="29"/>
    <w:qFormat/>
    <w:rPr>
      <w:i/>
    </w:rPr>
  </w:style>
  <w:style w:type="paragraph" w:styleId="779">
    <w:name w:val="Intense Quote"/>
    <w:basedOn w:val="685"/>
    <w:next w:val="685"/>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uiPriority w:val="30"/>
    <w:qFormat/>
    <w:rPr>
      <w:i/>
    </w:rPr>
  </w:style>
  <w:style w:type="character" w:styleId="781" w:customStyle="1">
    <w:name w:val="页眉 字符"/>
    <w:link w:val="711"/>
    <w:uiPriority w:val="99"/>
    <w:qFormat/>
  </w:style>
  <w:style w:type="character" w:styleId="782" w:customStyle="1">
    <w:name w:val="Footer Char"/>
    <w:uiPriority w:val="99"/>
    <w:qFormat/>
  </w:style>
  <w:style w:type="character" w:styleId="783" w:customStyle="1">
    <w:name w:val="页脚 字符"/>
    <w:link w:val="710"/>
    <w:uiPriority w:val="99"/>
    <w:qFormat/>
  </w:style>
  <w:style w:type="table" w:styleId="7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字符"/>
    <w:link w:val="715"/>
    <w:uiPriority w:val="99"/>
    <w:qFormat/>
    <w:rPr>
      <w:sz w:val="18"/>
    </w:rPr>
  </w:style>
  <w:style w:type="character" w:styleId="910" w:customStyle="1">
    <w:name w:val="尾注文本 字符"/>
    <w:link w:val="709"/>
    <w:uiPriority w:val="99"/>
    <w:qFormat/>
    <w:rPr>
      <w:sz w:val="20"/>
    </w:rPr>
  </w:style>
  <w:style w:type="paragraph" w:styleId="911" w:customStyle="1">
    <w:name w:val="TOC 标题1"/>
    <w:uiPriority w:val="39"/>
    <w:unhideWhenUsed/>
    <w:qFormat/>
    <w:rPr>
      <w:rFonts w:hint="default" w:ascii="Times New Roman" w:hAnsi="Times New Roman" w:eastAsia="宋体" w:cs="Times New Roman"/>
      <w:lang w:val="en-US" w:eastAsia="zh-CN" w:bidi="ar-SA"/>
    </w:rPr>
  </w:style>
  <w:style w:type="paragraph" w:styleId="912" w:customStyle="1">
    <w:name w:val="标题 11"/>
    <w:basedOn w:val="685"/>
    <w:next w:val="685"/>
    <w:uiPriority w:val="9"/>
    <w:qFormat/>
    <w:pPr>
      <w:keepLines/>
      <w:keepNext/>
      <w:spacing w:before="340" w:after="330" w:line="578" w:lineRule="auto"/>
      <w:outlineLvl w:val="0"/>
    </w:pPr>
    <w:rPr>
      <w:b/>
      <w:bCs/>
      <w:sz w:val="44"/>
      <w:szCs w:val="44"/>
    </w:rPr>
  </w:style>
  <w:style w:type="paragraph" w:styleId="913" w:customStyle="1">
    <w:name w:val="标题 21"/>
    <w:basedOn w:val="685"/>
    <w:next w:val="914"/>
    <w:uiPriority w:val="9"/>
    <w:qFormat/>
    <w:pPr>
      <w:keepLines/>
      <w:keepNext/>
      <w:spacing w:before="260" w:after="260" w:line="413" w:lineRule="auto"/>
      <w:outlineLvl w:val="1"/>
    </w:pPr>
    <w:rPr>
      <w:rFonts w:ascii="Arial" w:hAnsi="Arial" w:eastAsia="黑体"/>
      <w:b/>
      <w:sz w:val="32"/>
      <w:szCs w:val="20"/>
    </w:rPr>
  </w:style>
  <w:style w:type="paragraph" w:styleId="914" w:customStyle="1">
    <w:name w:val="正文缩进1"/>
    <w:basedOn w:val="685"/>
    <w:link w:val="920"/>
    <w:uiPriority w:val="0"/>
    <w:qFormat/>
    <w:pPr>
      <w:ind w:firstLine="420"/>
    </w:pPr>
    <w:rPr>
      <w:szCs w:val="20"/>
    </w:rPr>
  </w:style>
  <w:style w:type="paragraph" w:styleId="915" w:customStyle="1">
    <w:name w:val="标题 31"/>
    <w:basedOn w:val="685"/>
    <w:next w:val="685"/>
    <w:uiPriority w:val="9"/>
    <w:qFormat/>
    <w:pPr>
      <w:keepLines/>
      <w:keepNext/>
      <w:spacing w:before="260" w:after="260" w:line="413" w:lineRule="auto"/>
      <w:outlineLvl w:val="2"/>
    </w:pPr>
    <w:rPr>
      <w:rFonts w:ascii="Arial" w:hAnsi="Arial"/>
      <w:b/>
      <w:sz w:val="32"/>
      <w:szCs w:val="20"/>
    </w:rPr>
  </w:style>
  <w:style w:type="paragraph" w:styleId="916" w:customStyle="1">
    <w:name w:val="标题 41"/>
    <w:basedOn w:val="685"/>
    <w:next w:val="685"/>
    <w:link w:val="921"/>
    <w:uiPriority w:val="9"/>
    <w:qFormat/>
    <w:pPr>
      <w:keepLines/>
      <w:keepNext/>
      <w:spacing w:before="280" w:after="290" w:line="376" w:lineRule="auto"/>
      <w:outlineLvl w:val="3"/>
    </w:pPr>
    <w:rPr>
      <w:rFonts w:ascii="Cambria" w:hAnsi="Cambria"/>
      <w:b/>
      <w:bCs/>
      <w:sz w:val="28"/>
      <w:szCs w:val="28"/>
    </w:rPr>
  </w:style>
  <w:style w:type="paragraph" w:styleId="917" w:customStyle="1">
    <w:name w:val="标题 51"/>
    <w:basedOn w:val="685"/>
    <w:next w:val="685"/>
    <w:link w:val="922"/>
    <w:uiPriority w:val="9"/>
    <w:qFormat/>
    <w:pPr>
      <w:keepLines/>
      <w:keepNext/>
      <w:spacing w:before="280" w:after="290" w:line="376" w:lineRule="auto"/>
      <w:outlineLvl w:val="4"/>
    </w:pPr>
    <w:rPr>
      <w:b/>
      <w:bCs/>
      <w:sz w:val="28"/>
      <w:szCs w:val="28"/>
    </w:rPr>
  </w:style>
  <w:style w:type="character" w:styleId="918" w:customStyle="1">
    <w:name w:val="默认段落字体1"/>
    <w:uiPriority w:val="0"/>
    <w:semiHidden/>
    <w:qFormat/>
  </w:style>
  <w:style w:type="table" w:styleId="919"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20" w:customStyle="1">
    <w:name w:val="正文缩进 Char"/>
    <w:link w:val="914"/>
    <w:uiPriority w:val="0"/>
    <w:qFormat/>
    <w:rPr>
      <w:sz w:val="21"/>
    </w:rPr>
  </w:style>
  <w:style w:type="character" w:styleId="921" w:customStyle="1">
    <w:name w:val="标题 4 Char"/>
    <w:link w:val="916"/>
    <w:uiPriority w:val="9"/>
    <w:qFormat/>
    <w:rPr>
      <w:rFonts w:ascii="Cambria" w:hAnsi="Cambria"/>
      <w:b/>
      <w:bCs/>
      <w:sz w:val="28"/>
      <w:szCs w:val="28"/>
    </w:rPr>
  </w:style>
  <w:style w:type="character" w:styleId="922" w:customStyle="1">
    <w:name w:val="标题 5 Char"/>
    <w:link w:val="917"/>
    <w:uiPriority w:val="9"/>
    <w:qFormat/>
    <w:rPr>
      <w:b/>
      <w:bCs/>
      <w:sz w:val="28"/>
      <w:szCs w:val="28"/>
    </w:rPr>
  </w:style>
  <w:style w:type="paragraph" w:styleId="923" w:customStyle="1">
    <w:name w:val="题注1"/>
    <w:basedOn w:val="685"/>
    <w:next w:val="685"/>
    <w:uiPriority w:val="35"/>
    <w:qFormat/>
    <w:pPr>
      <w:jc w:val="center"/>
      <w:spacing w:before="156" w:after="156" w:line="360" w:lineRule="auto"/>
    </w:pPr>
    <w:rPr>
      <w:rFonts w:ascii="Arial" w:hAnsi="Arial" w:cs="Arial"/>
      <w:sz w:val="24"/>
      <w:szCs w:val="20"/>
    </w:rPr>
  </w:style>
  <w:style w:type="paragraph" w:styleId="924" w:customStyle="1">
    <w:name w:val="文档结构图1"/>
    <w:basedOn w:val="685"/>
    <w:uiPriority w:val="0"/>
    <w:semiHidden/>
    <w:qFormat/>
    <w:pPr>
      <w:shd w:val="clear" w:color="auto" w:fill="000080"/>
    </w:pPr>
  </w:style>
  <w:style w:type="paragraph" w:styleId="925" w:customStyle="1">
    <w:name w:val="批注文字1"/>
    <w:basedOn w:val="685"/>
    <w:link w:val="926"/>
    <w:uiPriority w:val="99"/>
    <w:unhideWhenUsed/>
    <w:qFormat/>
    <w:pPr>
      <w:jc w:val="left"/>
    </w:pPr>
  </w:style>
  <w:style w:type="character" w:styleId="926" w:customStyle="1">
    <w:name w:val="批注文字 Char"/>
    <w:link w:val="925"/>
    <w:uiPriority w:val="99"/>
    <w:qFormat/>
    <w:rPr>
      <w:sz w:val="21"/>
      <w:szCs w:val="24"/>
    </w:rPr>
  </w:style>
  <w:style w:type="paragraph" w:styleId="927" w:customStyle="1">
    <w:name w:val="正文文本 31"/>
    <w:basedOn w:val="685"/>
    <w:uiPriority w:val="0"/>
    <w:qFormat/>
    <w:rPr>
      <w:rFonts w:ascii="楷体_GB2312" w:hAnsi="Arial" w:eastAsia="楷体_GB2312" w:cs="Arial"/>
      <w:b/>
      <w:bCs/>
      <w:color w:val="000000"/>
      <w:sz w:val="24"/>
    </w:rPr>
  </w:style>
  <w:style w:type="paragraph" w:styleId="928" w:customStyle="1">
    <w:name w:val="正文文本11"/>
    <w:basedOn w:val="685"/>
    <w:next w:val="68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29" w:customStyle="1">
    <w:name w:val="正文文本缩进1"/>
    <w:basedOn w:val="685"/>
    <w:uiPriority w:val="0"/>
    <w:qFormat/>
    <w:pPr>
      <w:ind w:firstLine="630"/>
    </w:pPr>
    <w:rPr>
      <w:rFonts w:ascii="楷体_GB2312" w:eastAsia="楷体_GB2312"/>
      <w:sz w:val="32"/>
      <w:szCs w:val="20"/>
    </w:rPr>
  </w:style>
  <w:style w:type="paragraph" w:styleId="930" w:customStyle="1">
    <w:name w:val="文本块1"/>
    <w:basedOn w:val="685"/>
    <w:uiPriority w:val="0"/>
    <w:qFormat/>
    <w:pPr>
      <w:ind w:left="420" w:right="33"/>
      <w:jc w:val="left"/>
    </w:pPr>
    <w:rPr>
      <w:sz w:val="24"/>
      <w:szCs w:val="20"/>
    </w:rPr>
  </w:style>
  <w:style w:type="paragraph" w:styleId="931" w:customStyle="1">
    <w:name w:val="目录 31"/>
    <w:basedOn w:val="685"/>
    <w:next w:val="685"/>
    <w:uiPriority w:val="0"/>
    <w:semiHidden/>
    <w:qFormat/>
    <w:pPr>
      <w:ind w:left="840"/>
      <w:spacing w:line="300" w:lineRule="auto"/>
      <w:tabs>
        <w:tab w:val="right" w:pos="9344" w:leader="dot"/>
      </w:tabs>
    </w:pPr>
    <w:rPr>
      <w:rFonts w:ascii="Arial" w:hAnsi="Arial" w:cs="Arial"/>
      <w:szCs w:val="21"/>
    </w:rPr>
  </w:style>
  <w:style w:type="paragraph" w:styleId="932" w:customStyle="1">
    <w:name w:val="纯文本11"/>
    <w:basedOn w:val="685"/>
    <w:link w:val="933"/>
    <w:uiPriority w:val="0"/>
    <w:qFormat/>
    <w:rPr>
      <w:rFonts w:ascii="宋体" w:hAnsi="Courier New"/>
      <w:szCs w:val="20"/>
    </w:rPr>
  </w:style>
  <w:style w:type="character" w:styleId="933" w:customStyle="1">
    <w:name w:val="纯文本 Char"/>
    <w:link w:val="932"/>
    <w:uiPriority w:val="0"/>
    <w:qFormat/>
    <w:rPr>
      <w:rFonts w:ascii="宋体" w:hAnsi="Courier New" w:eastAsia="宋体"/>
      <w:sz w:val="21"/>
      <w:lang w:val="en-US" w:eastAsia="zh-CN" w:bidi="ar-SA"/>
    </w:rPr>
  </w:style>
  <w:style w:type="paragraph" w:styleId="934" w:customStyle="1">
    <w:name w:val="正文文本缩进 21"/>
    <w:basedOn w:val="685"/>
    <w:uiPriority w:val="0"/>
    <w:qFormat/>
    <w:pPr>
      <w:ind w:left="420"/>
      <w:spacing w:after="120" w:line="480" w:lineRule="auto"/>
    </w:pPr>
  </w:style>
  <w:style w:type="paragraph" w:styleId="935" w:customStyle="1">
    <w:name w:val="批注框文本1"/>
    <w:basedOn w:val="685"/>
    <w:link w:val="936"/>
    <w:uiPriority w:val="0"/>
    <w:qFormat/>
    <w:rPr>
      <w:sz w:val="18"/>
      <w:szCs w:val="18"/>
    </w:rPr>
  </w:style>
  <w:style w:type="character" w:styleId="936" w:customStyle="1">
    <w:name w:val="批注框文本 Char"/>
    <w:link w:val="935"/>
    <w:uiPriority w:val="0"/>
    <w:qFormat/>
    <w:rPr>
      <w:sz w:val="18"/>
      <w:szCs w:val="18"/>
    </w:rPr>
  </w:style>
  <w:style w:type="paragraph" w:styleId="937" w:customStyle="1">
    <w:name w:val="页脚1"/>
    <w:basedOn w:val="685"/>
    <w:link w:val="938"/>
    <w:uiPriority w:val="0"/>
    <w:qFormat/>
    <w:pPr>
      <w:jc w:val="left"/>
      <w:tabs>
        <w:tab w:val="center" w:pos="4153" w:leader="none"/>
        <w:tab w:val="right" w:pos="8306" w:leader="none"/>
      </w:tabs>
    </w:pPr>
    <w:rPr>
      <w:sz w:val="18"/>
      <w:szCs w:val="18"/>
    </w:rPr>
  </w:style>
  <w:style w:type="character" w:styleId="938" w:customStyle="1">
    <w:name w:val="页脚 Char"/>
    <w:link w:val="937"/>
    <w:uiPriority w:val="0"/>
    <w:qFormat/>
    <w:rPr>
      <w:sz w:val="18"/>
      <w:szCs w:val="18"/>
    </w:rPr>
  </w:style>
  <w:style w:type="paragraph" w:styleId="939" w:customStyle="1">
    <w:name w:val="页眉1"/>
    <w:basedOn w:val="685"/>
    <w:link w:val="940"/>
    <w:uiPriority w:val="0"/>
    <w:qFormat/>
    <w:pPr>
      <w:jc w:val="center"/>
      <w:tabs>
        <w:tab w:val="center" w:pos="4153" w:leader="none"/>
        <w:tab w:val="right" w:pos="8306" w:leader="none"/>
      </w:tabs>
      <w:pBdr>
        <w:bottom w:val="single" w:color="000000" w:sz="6" w:space="1"/>
      </w:pBdr>
    </w:pPr>
    <w:rPr>
      <w:sz w:val="18"/>
      <w:szCs w:val="18"/>
    </w:rPr>
  </w:style>
  <w:style w:type="character" w:styleId="940" w:customStyle="1">
    <w:name w:val="页眉 Char"/>
    <w:link w:val="939"/>
    <w:uiPriority w:val="0"/>
    <w:qFormat/>
    <w:rPr>
      <w:sz w:val="18"/>
      <w:szCs w:val="18"/>
    </w:rPr>
  </w:style>
  <w:style w:type="paragraph" w:styleId="941" w:customStyle="1">
    <w:name w:val="目录 11"/>
    <w:basedOn w:val="685"/>
    <w:next w:val="685"/>
    <w:uiPriority w:val="0"/>
    <w:semiHidden/>
    <w:qFormat/>
  </w:style>
  <w:style w:type="paragraph" w:styleId="942" w:customStyle="1">
    <w:name w:val="正文文本缩进 311"/>
    <w:basedOn w:val="685"/>
    <w:uiPriority w:val="99"/>
    <w:qFormat/>
    <w:pPr>
      <w:ind w:firstLine="420"/>
    </w:pPr>
    <w:rPr>
      <w:rFonts w:eastAsia="楷体_GB2312"/>
    </w:rPr>
  </w:style>
  <w:style w:type="paragraph" w:styleId="943" w:customStyle="1">
    <w:name w:val="目录 21"/>
    <w:basedOn w:val="685"/>
    <w:next w:val="685"/>
    <w:uiPriority w:val="0"/>
    <w:semiHidden/>
    <w:qFormat/>
    <w:pPr>
      <w:ind w:left="420"/>
    </w:pPr>
    <w:rPr>
      <w:szCs w:val="20"/>
    </w:rPr>
  </w:style>
  <w:style w:type="paragraph" w:styleId="944" w:customStyle="1">
    <w:name w:val="正文文本 21"/>
    <w:basedOn w:val="685"/>
    <w:link w:val="945"/>
    <w:uiPriority w:val="0"/>
    <w:qFormat/>
    <w:pPr>
      <w:spacing w:line="440" w:lineRule="exact"/>
    </w:pPr>
    <w:rPr>
      <w:rFonts w:ascii="楷体_GB2312" w:eastAsia="楷体_GB2312"/>
      <w:sz w:val="28"/>
    </w:rPr>
  </w:style>
  <w:style w:type="character" w:styleId="945" w:customStyle="1">
    <w:name w:val="正文文本 2 Char"/>
    <w:link w:val="944"/>
    <w:uiPriority w:val="0"/>
    <w:qFormat/>
    <w:rPr>
      <w:rFonts w:ascii="楷体_GB2312" w:eastAsia="楷体_GB2312"/>
      <w:sz w:val="28"/>
      <w:szCs w:val="24"/>
    </w:rPr>
  </w:style>
  <w:style w:type="paragraph" w:styleId="946" w:customStyle="1">
    <w:name w:val="批注主题1"/>
    <w:basedOn w:val="925"/>
    <w:next w:val="925"/>
    <w:link w:val="947"/>
    <w:uiPriority w:val="0"/>
    <w:qFormat/>
    <w:rPr>
      <w:b/>
      <w:bCs/>
    </w:rPr>
  </w:style>
  <w:style w:type="character" w:styleId="947" w:customStyle="1">
    <w:name w:val="批注主题 Char"/>
    <w:link w:val="946"/>
    <w:uiPriority w:val="0"/>
    <w:qFormat/>
    <w:rPr>
      <w:b/>
      <w:bCs/>
      <w:sz w:val="21"/>
      <w:szCs w:val="24"/>
    </w:rPr>
  </w:style>
  <w:style w:type="paragraph" w:styleId="948" w:customStyle="1">
    <w:name w:val="正文首行缩进 21"/>
    <w:basedOn w:val="929"/>
    <w:uiPriority w:val="0"/>
    <w:qFormat/>
    <w:pPr>
      <w:ind w:left="420" w:firstLine="420"/>
      <w:spacing w:after="120"/>
      <w:widowControl/>
    </w:pPr>
    <w:rPr>
      <w:rFonts w:ascii="仿宋_GB2312" w:eastAsia="仿宋_GB2312"/>
      <w:color w:val="ff6600"/>
      <w:sz w:val="21"/>
    </w:rPr>
  </w:style>
  <w:style w:type="table" w:styleId="949" w:customStyle="1">
    <w:name w:val="网格型1"/>
    <w:basedOn w:val="919"/>
    <w:uiPriority w:val="0"/>
    <w:qFormat/>
    <w:tblPr>
      <w:tblCellMar>
        <w:left w:w="0" w:type="dxa"/>
        <w:top w:w="0" w:type="dxa"/>
        <w:right w:w="0" w:type="dxa"/>
        <w:bottom w:w="0" w:type="dxa"/>
      </w:tblCellMar>
    </w:tblPr>
  </w:style>
  <w:style w:type="character" w:styleId="950" w:customStyle="1">
    <w:name w:val="要点1"/>
    <w:uiPriority w:val="0"/>
    <w:qFormat/>
  </w:style>
  <w:style w:type="character" w:styleId="951" w:customStyle="1">
    <w:name w:val="页码1"/>
    <w:uiPriority w:val="0"/>
    <w:qFormat/>
  </w:style>
  <w:style w:type="character" w:styleId="952" w:customStyle="1">
    <w:name w:val="已访问的超链接1"/>
    <w:uiPriority w:val="0"/>
    <w:qFormat/>
    <w:rPr>
      <w:color w:val="800080"/>
      <w:u w:val="none"/>
    </w:rPr>
  </w:style>
  <w:style w:type="character" w:styleId="953" w:customStyle="1">
    <w:name w:val="强调1"/>
    <w:uiPriority w:val="0"/>
    <w:qFormat/>
  </w:style>
  <w:style w:type="character" w:styleId="954" w:customStyle="1">
    <w:name w:val="HTML 定义1"/>
    <w:uiPriority w:val="0"/>
    <w:qFormat/>
  </w:style>
  <w:style w:type="character" w:styleId="955" w:customStyle="1">
    <w:name w:val="HTML 打字机1"/>
    <w:uiPriority w:val="0"/>
    <w:qFormat/>
    <w:rPr>
      <w:rFonts w:ascii="monospace" w:hAnsi="monospace" w:eastAsia="monospace" w:cs="monospace"/>
      <w:sz w:val="20"/>
    </w:rPr>
  </w:style>
  <w:style w:type="character" w:styleId="956" w:customStyle="1">
    <w:name w:val="HTML 缩写1"/>
    <w:uiPriority w:val="0"/>
    <w:qFormat/>
  </w:style>
  <w:style w:type="character" w:styleId="957" w:customStyle="1">
    <w:name w:val="HTML 变量1"/>
    <w:uiPriority w:val="0"/>
    <w:qFormat/>
  </w:style>
  <w:style w:type="character" w:styleId="958" w:customStyle="1">
    <w:name w:val="超链接1"/>
    <w:uiPriority w:val="0"/>
    <w:qFormat/>
    <w:rPr>
      <w:color w:val="0000ff"/>
      <w:u w:val="none"/>
    </w:rPr>
  </w:style>
  <w:style w:type="character" w:styleId="959" w:customStyle="1">
    <w:name w:val="HTML 代码1"/>
    <w:uiPriority w:val="0"/>
    <w:qFormat/>
    <w:rPr>
      <w:rFonts w:ascii="monospace" w:hAnsi="monospace" w:eastAsia="monospace" w:cs="monospace"/>
      <w:sz w:val="20"/>
    </w:rPr>
  </w:style>
  <w:style w:type="character" w:styleId="960" w:customStyle="1">
    <w:name w:val="批注引用1"/>
    <w:uiPriority w:val="0"/>
    <w:qFormat/>
    <w:rPr>
      <w:sz w:val="21"/>
      <w:szCs w:val="21"/>
    </w:rPr>
  </w:style>
  <w:style w:type="character" w:styleId="961" w:customStyle="1">
    <w:name w:val="HTML 引文1"/>
    <w:uiPriority w:val="0"/>
    <w:qFormat/>
  </w:style>
  <w:style w:type="character" w:styleId="962" w:customStyle="1">
    <w:name w:val="HTML 键盘1"/>
    <w:uiPriority w:val="0"/>
    <w:qFormat/>
    <w:rPr>
      <w:rFonts w:ascii="monospace" w:hAnsi="monospace" w:eastAsia="monospace" w:cs="monospace"/>
      <w:sz w:val="20"/>
    </w:rPr>
  </w:style>
  <w:style w:type="character" w:styleId="963" w:customStyle="1">
    <w:name w:val="HTML 样本1"/>
    <w:uiPriority w:val="0"/>
    <w:qFormat/>
    <w:rPr>
      <w:rFonts w:ascii="monospace" w:hAnsi="monospace" w:eastAsia="monospace" w:cs="monospace"/>
    </w:rPr>
  </w:style>
  <w:style w:type="character" w:styleId="964" w:customStyle="1">
    <w:name w:val="Font Style30"/>
    <w:uiPriority w:val="0"/>
    <w:qFormat/>
    <w:rPr>
      <w:rFonts w:ascii="宋体" w:eastAsia="宋体" w:cs="宋体"/>
      <w:sz w:val="14"/>
      <w:szCs w:val="14"/>
    </w:rPr>
  </w:style>
  <w:style w:type="character" w:styleId="965" w:customStyle="1">
    <w:name w:val="glyphicon"/>
    <w:uiPriority w:val="0"/>
    <w:qFormat/>
  </w:style>
  <w:style w:type="character" w:styleId="966" w:customStyle="1">
    <w:name w:val="Font Style36"/>
    <w:uiPriority w:val="0"/>
    <w:qFormat/>
    <w:rPr>
      <w:rFonts w:ascii="宋体" w:eastAsia="宋体" w:cs="宋体"/>
      <w:sz w:val="16"/>
      <w:szCs w:val="16"/>
    </w:rPr>
  </w:style>
  <w:style w:type="character" w:styleId="967" w:customStyle="1">
    <w:name w:val="hour_am"/>
    <w:uiPriority w:val="0"/>
    <w:qFormat/>
  </w:style>
  <w:style w:type="character" w:styleId="968" w:customStyle="1">
    <w:name w:val="old"/>
    <w:uiPriority w:val="0"/>
    <w:qFormat/>
    <w:rPr>
      <w:color w:val="999999"/>
    </w:rPr>
  </w:style>
  <w:style w:type="character" w:styleId="969" w:customStyle="1">
    <w:name w:val="标题 2 Char"/>
    <w:uiPriority w:val="0"/>
    <w:qFormat/>
    <w:rPr>
      <w:rFonts w:ascii="Arial" w:hAnsi="Arial" w:eastAsia="黑体"/>
      <w:b/>
      <w:sz w:val="32"/>
      <w:lang w:val="en-US" w:eastAsia="zh-CN"/>
    </w:rPr>
  </w:style>
  <w:style w:type="character" w:styleId="970" w:customStyle="1">
    <w:name w:val="hover"/>
    <w:uiPriority w:val="0"/>
    <w:qFormat/>
    <w:rPr>
      <w:shd w:val="clear" w:color="auto" w:fill="eeeeee"/>
    </w:rPr>
  </w:style>
  <w:style w:type="character" w:styleId="971" w:customStyle="1">
    <w:name w:val="hour_pm"/>
    <w:uiPriority w:val="0"/>
    <w:qFormat/>
  </w:style>
  <w:style w:type="character" w:styleId="972" w:customStyle="1">
    <w:name w:val="Font Style28"/>
    <w:uiPriority w:val="0"/>
    <w:qFormat/>
    <w:rPr>
      <w:rFonts w:ascii="Constantia" w:hAnsi="Constantia" w:cs="Constantia"/>
      <w:sz w:val="28"/>
      <w:szCs w:val="28"/>
    </w:rPr>
  </w:style>
  <w:style w:type="character" w:styleId="973" w:customStyle="1">
    <w:name w:val="Font Style29"/>
    <w:uiPriority w:val="0"/>
    <w:qFormat/>
    <w:rPr>
      <w:rFonts w:ascii="Arial" w:hAnsi="Arial" w:cs="Arial"/>
      <w:sz w:val="14"/>
      <w:szCs w:val="14"/>
    </w:rPr>
  </w:style>
  <w:style w:type="character" w:styleId="974" w:customStyle="1">
    <w:name w:val="Font Style37"/>
    <w:uiPriority w:val="0"/>
    <w:qFormat/>
    <w:rPr>
      <w:rFonts w:ascii="Arial" w:hAnsi="Arial" w:cs="Arial"/>
      <w:sz w:val="16"/>
      <w:szCs w:val="16"/>
    </w:rPr>
  </w:style>
  <w:style w:type="character" w:styleId="975" w:customStyle="1">
    <w:name w:val="Plain Text Char"/>
    <w:uiPriority w:val="0"/>
    <w:qFormat/>
    <w:rPr>
      <w:rFonts w:ascii="宋体" w:hAnsi="Courier New" w:eastAsia="宋体"/>
      <w:sz w:val="21"/>
      <w:lang w:val="en-US" w:eastAsia="zh-CN" w:bidi="ar-SA"/>
    </w:rPr>
  </w:style>
  <w:style w:type="paragraph" w:styleId="97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77" w:customStyle="1">
    <w:name w:val="默认段落字体 Para Char Char Char Char Char Char Char Char Char1 Char Char Char Char Char Char Char"/>
    <w:basedOn w:val="924"/>
    <w:uiPriority w:val="0"/>
    <w:qFormat/>
    <w:rPr>
      <w:rFonts w:ascii="Tahoma" w:hAnsi="Tahoma"/>
      <w:sz w:val="24"/>
    </w:rPr>
  </w:style>
  <w:style w:type="paragraph" w:styleId="978" w:customStyle="1">
    <w:name w:val="Style9"/>
    <w:basedOn w:val="685"/>
    <w:uiPriority w:val="0"/>
    <w:qFormat/>
    <w:pPr>
      <w:jc w:val="left"/>
    </w:pPr>
    <w:rPr>
      <w:rFonts w:ascii="宋体"/>
      <w:sz w:val="24"/>
    </w:rPr>
  </w:style>
  <w:style w:type="paragraph" w:styleId="979" w:customStyle="1">
    <w:name w:val="Char"/>
    <w:basedOn w:val="685"/>
    <w:uiPriority w:val="0"/>
    <w:qFormat/>
    <w:pPr>
      <w:tabs>
        <w:tab w:val="left" w:pos="360" w:leader="none"/>
      </w:tabs>
    </w:pPr>
    <w:rPr>
      <w:sz w:val="24"/>
    </w:rPr>
  </w:style>
  <w:style w:type="paragraph" w:styleId="980" w:customStyle="1">
    <w:name w:val="Char Char Char1 Char Char Char Char"/>
    <w:basedOn w:val="685"/>
    <w:uiPriority w:val="0"/>
    <w:qFormat/>
    <w:pPr>
      <w:jc w:val="left"/>
      <w:spacing w:after="160" w:line="240" w:lineRule="exact"/>
      <w:widowControl/>
    </w:pPr>
    <w:rPr>
      <w:rFonts w:ascii="宋体" w:hAnsi="宋体"/>
      <w:b/>
      <w:sz w:val="28"/>
      <w:szCs w:val="28"/>
    </w:rPr>
  </w:style>
  <w:style w:type="paragraph" w:styleId="981" w:customStyle="1">
    <w:name w:val="Style10"/>
    <w:basedOn w:val="685"/>
    <w:uiPriority w:val="0"/>
    <w:qFormat/>
    <w:pPr>
      <w:jc w:val="left"/>
    </w:pPr>
    <w:rPr>
      <w:rFonts w:ascii="宋体"/>
      <w:sz w:val="24"/>
    </w:rPr>
  </w:style>
  <w:style w:type="paragraph" w:styleId="982" w:customStyle="1">
    <w:name w:val="首行缩进"/>
    <w:basedOn w:val="685"/>
    <w:uiPriority w:val="0"/>
    <w:qFormat/>
    <w:pPr>
      <w:ind w:firstLine="420"/>
      <w:spacing w:line="360" w:lineRule="auto"/>
    </w:pPr>
    <w:rPr>
      <w:sz w:val="20"/>
    </w:rPr>
  </w:style>
  <w:style w:type="paragraph" w:styleId="983" w:customStyle="1">
    <w:name w:val="普通正文"/>
    <w:basedOn w:val="685"/>
    <w:uiPriority w:val="0"/>
    <w:qFormat/>
    <w:pPr>
      <w:ind w:firstLine="480"/>
      <w:jc w:val="left"/>
      <w:spacing w:before="120" w:after="120" w:line="360" w:lineRule="auto"/>
    </w:pPr>
    <w:rPr>
      <w:rFonts w:ascii="Arial" w:hAnsi="Arial"/>
      <w:sz w:val="24"/>
    </w:rPr>
  </w:style>
  <w:style w:type="paragraph" w:styleId="984" w:customStyle="1">
    <w:name w:val="要点标题"/>
    <w:basedOn w:val="685"/>
    <w:uiPriority w:val="0"/>
    <w:qFormat/>
    <w:pPr>
      <w:numPr>
        <w:ilvl w:val="0"/>
        <w:numId w:val="1"/>
      </w:numPr>
      <w:jc w:val="left"/>
    </w:pPr>
    <w:rPr>
      <w:rFonts w:ascii="宋体" w:hAnsi="宋体"/>
      <w:b/>
      <w:sz w:val="24"/>
    </w:rPr>
  </w:style>
  <w:style w:type="paragraph" w:styleId="985" w:customStyle="1">
    <w:name w:val="文档正文"/>
    <w:basedOn w:val="685"/>
    <w:uiPriority w:val="0"/>
    <w:qFormat/>
    <w:pPr>
      <w:ind w:firstLine="567"/>
      <w:spacing w:line="480" w:lineRule="atLeast"/>
    </w:pPr>
    <w:rPr>
      <w:rFonts w:ascii="仿宋_GB2312"/>
      <w:szCs w:val="20"/>
    </w:rPr>
  </w:style>
  <w:style w:type="paragraph" w:styleId="986" w:customStyle="1">
    <w:name w:val="Char Char Char Char"/>
    <w:basedOn w:val="924"/>
    <w:uiPriority w:val="0"/>
    <w:qFormat/>
    <w:pPr>
      <w:spacing w:line="360" w:lineRule="auto"/>
    </w:pPr>
    <w:rPr>
      <w:rFonts w:ascii="Tahoma" w:hAnsi="Tahoma"/>
      <w:sz w:val="24"/>
    </w:rPr>
  </w:style>
  <w:style w:type="paragraph" w:styleId="987" w:customStyle="1">
    <w:name w:val="Char11"/>
    <w:basedOn w:val="685"/>
    <w:uiPriority w:val="0"/>
    <w:qFormat/>
    <w:pPr>
      <w:ind w:left="420" w:hanging="420"/>
      <w:jc w:val="left"/>
      <w:tabs>
        <w:tab w:val="left" w:pos="420" w:leader="none"/>
      </w:tabs>
    </w:pPr>
    <w:rPr>
      <w:szCs w:val="20"/>
    </w:rPr>
  </w:style>
  <w:style w:type="paragraph" w:styleId="988" w:customStyle="1">
    <w:name w:val="正文（无缩进）"/>
    <w:basedOn w:val="685"/>
    <w:uiPriority w:val="0"/>
    <w:qFormat/>
    <w:pPr>
      <w:spacing w:line="360" w:lineRule="auto"/>
    </w:pPr>
    <w:rPr>
      <w:rFonts w:ascii="Calibri" w:hAnsi="Calibri"/>
      <w:sz w:val="24"/>
      <w:szCs w:val="21"/>
    </w:rPr>
  </w:style>
  <w:style w:type="paragraph" w:styleId="989" w:customStyle="1">
    <w:name w:val="Style11"/>
    <w:basedOn w:val="685"/>
    <w:uiPriority w:val="0"/>
    <w:qFormat/>
    <w:pPr>
      <w:jc w:val="left"/>
      <w:spacing w:line="446" w:lineRule="exact"/>
    </w:pPr>
    <w:rPr>
      <w:rFonts w:ascii="宋体"/>
      <w:sz w:val="24"/>
    </w:rPr>
  </w:style>
  <w:style w:type="paragraph" w:styleId="990" w:customStyle="1">
    <w:name w:val="样式1"/>
    <w:basedOn w:val="685"/>
    <w:uiPriority w:val="0"/>
    <w:qFormat/>
    <w:pPr>
      <w:ind w:left="432" w:firstLine="288"/>
      <w:tabs>
        <w:tab w:val="left" w:pos="1110" w:leader="none"/>
      </w:tabs>
    </w:pPr>
    <w:rPr>
      <w:rFonts w:ascii="宋体" w:hAnsi="宋体"/>
      <w:szCs w:val="21"/>
    </w:rPr>
  </w:style>
  <w:style w:type="paragraph" w:styleId="991" w:customStyle="1">
    <w:name w:val="_Style 56"/>
    <w:basedOn w:val="924"/>
    <w:uiPriority w:val="0"/>
    <w:qFormat/>
    <w:pPr>
      <w:spacing w:line="436" w:lineRule="exact"/>
    </w:pPr>
    <w:rPr>
      <w:szCs w:val="20"/>
    </w:rPr>
  </w:style>
  <w:style w:type="paragraph" w:styleId="992" w:customStyle="1">
    <w:name w:val="Char Char1 Char Char Char Char Char Char"/>
    <w:basedOn w:val="685"/>
    <w:uiPriority w:val="0"/>
    <w:qFormat/>
    <w:pPr>
      <w:jc w:val="center"/>
      <w:widowControl/>
    </w:pPr>
    <w:rPr>
      <w:rFonts w:ascii="宋体" w:hAnsi="宋体"/>
      <w:b/>
      <w:sz w:val="24"/>
      <w:lang w:eastAsia="en-US"/>
    </w:rPr>
  </w:style>
  <w:style w:type="paragraph" w:styleId="993" w:customStyle="1">
    <w:name w:val="Char1"/>
    <w:basedOn w:val="685"/>
    <w:uiPriority w:val="0"/>
    <w:qFormat/>
    <w:pPr>
      <w:ind w:left="840" w:hanging="420"/>
      <w:tabs>
        <w:tab w:val="left" w:pos="840" w:leader="none"/>
      </w:tabs>
    </w:pPr>
    <w:rPr>
      <w:sz w:val="24"/>
    </w:rPr>
  </w:style>
  <w:style w:type="paragraph" w:styleId="994" w:customStyle="1">
    <w:name w:val="我的样式"/>
    <w:basedOn w:val="912"/>
    <w:next w:val="685"/>
    <w:uiPriority w:val="0"/>
    <w:qFormat/>
    <w:pPr>
      <w:numPr>
        <w:ilvl w:val="0"/>
        <w:numId w:val="2"/>
      </w:numPr>
      <w:spacing w:line="360" w:lineRule="auto"/>
    </w:pPr>
    <w:rPr>
      <w:rFonts w:ascii="仿宋_GB2312" w:eastAsia="仿宋_GB2312"/>
      <w:sz w:val="32"/>
      <w:szCs w:val="30"/>
    </w:rPr>
  </w:style>
  <w:style w:type="paragraph" w:styleId="995"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96" w:customStyle="1">
    <w:name w:val="Char Char Char Char Char Char Char Char Char Char Char Char Char1"/>
    <w:basedOn w:val="685"/>
    <w:uiPriority w:val="0"/>
    <w:qFormat/>
    <w:pPr>
      <w:jc w:val="left"/>
      <w:spacing w:after="160" w:line="240" w:lineRule="exact"/>
      <w:widowControl/>
    </w:pPr>
    <w:rPr>
      <w:rFonts w:ascii="Verdana" w:hAnsi="Verdana"/>
      <w:sz w:val="20"/>
      <w:szCs w:val="20"/>
      <w:lang w:eastAsia="en-US"/>
    </w:rPr>
  </w:style>
  <w:style w:type="paragraph" w:styleId="997" w:customStyle="1">
    <w:name w:val="标题1"/>
    <w:basedOn w:val="912"/>
    <w:next w:val="685"/>
    <w:uiPriority w:val="0"/>
    <w:qFormat/>
    <w:pPr>
      <w:numPr>
        <w:ilvl w:val="0"/>
        <w:numId w:val="3"/>
      </w:numPr>
      <w:jc w:val="left"/>
      <w:spacing w:line="578" w:lineRule="atLeast"/>
    </w:pPr>
  </w:style>
  <w:style w:type="paragraph" w:styleId="998" w:customStyle="1">
    <w:name w:val="正文（缩进） Char1"/>
    <w:basedOn w:val="685"/>
    <w:uiPriority w:val="0"/>
    <w:qFormat/>
    <w:pPr>
      <w:ind w:firstLine="480"/>
      <w:spacing w:before="156" w:after="156" w:line="360" w:lineRule="auto"/>
    </w:pPr>
    <w:rPr>
      <w:sz w:val="24"/>
    </w:rPr>
  </w:style>
  <w:style w:type="paragraph" w:styleId="999"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00" w:customStyle="1">
    <w:name w:val="Style12"/>
    <w:basedOn w:val="685"/>
    <w:uiPriority w:val="0"/>
    <w:qFormat/>
    <w:pPr>
      <w:jc w:val="left"/>
    </w:pPr>
    <w:rPr>
      <w:rFonts w:ascii="宋体"/>
      <w:sz w:val="24"/>
    </w:rPr>
  </w:style>
  <w:style w:type="paragraph" w:styleId="1001" w:customStyle="1">
    <w:name w:val="纯文本1"/>
    <w:basedOn w:val="685"/>
    <w:uiPriority w:val="0"/>
    <w:qFormat/>
    <w:rPr>
      <w:rFonts w:ascii="宋体" w:hAnsi="Courier New"/>
      <w:szCs w:val="20"/>
    </w:rPr>
  </w:style>
  <w:style w:type="paragraph" w:styleId="1002" w:customStyle="1">
    <w:name w:val="正文1"/>
    <w:basedOn w:val="1003"/>
    <w:uiPriority w:val="0"/>
    <w:qFormat/>
    <w:pPr>
      <w:contextualSpacing/>
      <w:ind w:firstLine="200"/>
      <w:spacing w:before="120" w:after="120" w:line="180" w:lineRule="auto"/>
    </w:pPr>
    <w:rPr>
      <w:rFonts w:ascii="Calibri" w:hAnsi="Calibri" w:eastAsia="Adobe 仿宋 Std R"/>
      <w:szCs w:val="21"/>
    </w:rPr>
  </w:style>
  <w:style w:type="paragraph" w:styleId="1003" w:customStyle="1">
    <w:name w:val="正文111"/>
    <w:next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正文文本缩进11"/>
    <w:basedOn w:val="1003"/>
    <w:uiPriority w:val="0"/>
    <w:qFormat/>
    <w:pPr>
      <w:ind w:firstLine="425"/>
      <w:spacing w:line="360" w:lineRule="auto"/>
    </w:pPr>
  </w:style>
  <w:style w:type="paragraph" w:styleId="1005" w:customStyle="1">
    <w:name w:val="_Style 2"/>
    <w:basedOn w:val="685"/>
    <w:uiPriority w:val="34"/>
    <w:qFormat/>
    <w:pPr>
      <w:contextualSpacing/>
      <w:ind w:left="720"/>
      <w:jc w:val="left"/>
      <w:widowControl/>
    </w:pPr>
    <w:rPr>
      <w:rFonts w:ascii="Calibri" w:hAnsi="Calibri"/>
      <w:sz w:val="24"/>
      <w:lang w:eastAsia="en-US" w:bidi="en-US"/>
    </w:rPr>
  </w:style>
  <w:style w:type="paragraph" w:styleId="1006" w:customStyle="1">
    <w:name w:val="_Style 3"/>
    <w:next w:val="1007"/>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007" w:customStyle="1">
    <w:name w:val="正文文本缩进 31"/>
    <w:basedOn w:val="685"/>
    <w:uiPriority w:val="99"/>
    <w:qFormat/>
    <w:pPr>
      <w:ind w:firstLine="420"/>
    </w:pPr>
    <w:rPr>
      <w:rFonts w:eastAsia="楷体_GB2312"/>
    </w:rPr>
  </w:style>
  <w:style w:type="paragraph" w:styleId="1008" w:customStyle="1">
    <w:name w:val="正文首行缩进1"/>
    <w:basedOn w:val="1009"/>
    <w:uiPriority w:val="99"/>
    <w:qFormat/>
    <w:pPr>
      <w:ind w:firstLine="420"/>
      <w:tabs>
        <w:tab w:val="left" w:pos="2020" w:leader="none"/>
        <w:tab w:val="center" w:pos="4535" w:leader="none"/>
      </w:tabs>
    </w:pPr>
  </w:style>
  <w:style w:type="paragraph" w:styleId="1009" w:customStyle="1">
    <w:name w:val="正文文本1"/>
    <w:basedOn w:val="68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1010" w:customStyle="1">
    <w:name w:val="font51"/>
    <w:basedOn w:val="695"/>
    <w:uiPriority w:val="0"/>
    <w:qFormat/>
    <w:rPr>
      <w:rFonts w:hint="eastAsia" w:ascii="宋体" w:hAnsi="宋体" w:eastAsia="宋体" w:cs="宋体"/>
      <w:color w:val="000000"/>
      <w:sz w:val="22"/>
      <w:szCs w:val="22"/>
      <w:u w:val="none"/>
    </w:rPr>
  </w:style>
  <w:style w:type="character" w:styleId="1011" w:customStyle="1">
    <w:name w:val="font71"/>
    <w:basedOn w:val="695"/>
    <w:uiPriority w:val="0"/>
    <w:qFormat/>
    <w:rPr>
      <w:rFonts w:hint="default" w:ascii="Arial" w:hAnsi="Arial" w:cs="Arial"/>
      <w:color w:val="000000"/>
      <w:sz w:val="22"/>
      <w:szCs w:val="22"/>
      <w:u w:val="none"/>
    </w:rPr>
  </w:style>
  <w:style w:type="character" w:styleId="1012" w:customStyle="1">
    <w:name w:val="font81"/>
    <w:basedOn w:val="695"/>
    <w:uiPriority w:val="0"/>
    <w:qFormat/>
    <w:rPr>
      <w:rFonts w:ascii="Symbol" w:hAnsi="Symbol" w:cs="Symbol"/>
      <w:color w:val="000000"/>
      <w:sz w:val="22"/>
      <w:szCs w:val="22"/>
      <w:u w:val="none"/>
    </w:rPr>
  </w:style>
  <w:style w:type="character" w:styleId="1013" w:customStyle="1">
    <w:name w:val="font61"/>
    <w:basedOn w:val="695"/>
    <w:uiPriority w:val="0"/>
    <w:qFormat/>
    <w:rPr>
      <w:rFonts w:hint="default" w:ascii="Arial" w:hAnsi="Arial" w:cs="Arial"/>
      <w:color w:val="000000"/>
      <w:sz w:val="22"/>
      <w:szCs w:val="22"/>
      <w:u w:val="none"/>
    </w:rPr>
  </w:style>
  <w:style w:type="character" w:styleId="1014" w:customStyle="1">
    <w:name w:val="font31"/>
    <w:basedOn w:val="695"/>
    <w:uiPriority w:val="0"/>
    <w:qFormat/>
    <w:rPr>
      <w:rFonts w:hint="eastAsia" w:ascii="微软雅黑" w:hAnsi="微软雅黑" w:eastAsia="微软雅黑" w:cs="微软雅黑"/>
      <w:color w:val="000000"/>
      <w:sz w:val="18"/>
      <w:szCs w:val="18"/>
      <w:u w:val="none"/>
    </w:rPr>
  </w:style>
  <w:style w:type="character" w:styleId="1015" w:customStyle="1">
    <w:name w:val="font91"/>
    <w:basedOn w:val="695"/>
    <w:uiPriority w:val="0"/>
    <w:qFormat/>
    <w:rPr>
      <w:rFonts w:ascii="Symbol" w:hAnsi="Symbol" w:cs="Symbol"/>
      <w:color w:val="000000"/>
      <w:sz w:val="18"/>
      <w:szCs w:val="18"/>
      <w:u w:val="none"/>
    </w:rPr>
  </w:style>
  <w:style w:type="paragraph" w:styleId="1016" w:customStyle="1">
    <w:name w:val="列出段落2"/>
    <w:basedOn w:val="685"/>
    <w:uiPriority w:val="0"/>
    <w:qFormat/>
    <w:pPr>
      <w:ind w:firstLine="420"/>
    </w:pPr>
    <w:rPr>
      <w:rFonts w:ascii="Calibri" w:hAnsi="Calibri" w:cs="Calibri"/>
    </w:rPr>
  </w:style>
  <w:style w:type="character" w:styleId="1017" w:customStyle="1">
    <w:name w:val="font101"/>
    <w:basedOn w:val="695"/>
    <w:uiPriority w:val="0"/>
    <w:qFormat/>
    <w:rPr>
      <w:rFonts w:hint="default" w:ascii="Arial" w:hAnsi="Arial" w:cs="Arial"/>
      <w:color w:val="000000"/>
      <w:sz w:val="22"/>
      <w:szCs w:val="22"/>
      <w:u w:val="none"/>
    </w:rPr>
  </w:style>
  <w:style w:type="character" w:styleId="1018" w:customStyle="1">
    <w:name w:val="NormalCharacter"/>
    <w:uiPriority w:val="0"/>
    <w:qFormat/>
  </w:style>
  <w:style w:type="paragraph" w:styleId="1019" w:customStyle="1">
    <w:name w:val="正文（绿盟科技）"/>
    <w:uiPriority w:val="0"/>
    <w:qFormat/>
    <w:pPr>
      <w:spacing w:line="300" w:lineRule="auto"/>
    </w:pPr>
    <w:rPr>
      <w:rFonts w:hint="default" w:ascii="Arial" w:hAnsi="Arial" w:eastAsia="宋体" w:cs="Times New Roman (正文 CS 字体)"/>
      <w:sz w:val="21"/>
      <w:szCs w:val="21"/>
      <w:lang w:val="en-US" w:eastAsia="zh-CN" w:bidi="ar-SA"/>
    </w:rPr>
  </w:style>
  <w:style w:type="paragraph" w:styleId="1020" w:customStyle="1">
    <w:name w:val="正文_2_0"/>
    <w:uiPriority w:val="0"/>
    <w:qFormat/>
    <w:pPr>
      <w:jc w:val="both"/>
      <w:widowControl w:val="off"/>
    </w:pPr>
    <w:rPr>
      <w:rFonts w:hint="default" w:ascii="Calibri" w:hAnsi="Calibri" w:eastAsia="宋体" w:cs="Times New Roman"/>
      <w:sz w:val="21"/>
      <w:lang w:val="en-US" w:eastAsia="zh-CN" w:bidi="ar-SA"/>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江苏永实工程项目管理有限公司</cp:lastModifiedBy>
  <cp:revision>16</cp:revision>
  <dcterms:created xsi:type="dcterms:W3CDTF">2024-01-08T08:47:00Z</dcterms:created>
  <dcterms:modified xsi:type="dcterms:W3CDTF">2026-07-31T08:55:54Z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eyJoZGlkIjoiYWM2ZjBiYjAxODczMTE3OGIyNjAxYjE3MjhhMzRhMzQiLCJ1c2VySWQiOiIxNzI3MDkzODkyIn0=</vt:lpwstr>
  </property>
  <property fmtid="{D5CDD505-2E9C-101B-9397-08002B2CF9AE}" pid="3" name="KSOProductBuildVer">
    <vt:lpwstr>2052-12.1.0.26895</vt:lpwstr>
  </property>
  <property fmtid="{D5CDD505-2E9C-101B-9397-08002B2CF9AE}" pid="4" name="ICV">
    <vt:lpwstr>11F46B0B4D044654A52F40CFE2BDE88C_13</vt:lpwstr>
  </property>
</Properties>
</file>