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p>
    <w:p>
      <w:pPr>
        <w:spacing w:line="360" w:lineRule="auto"/>
        <w:rPr>
          <w:rFonts w:hint="eastAsia" w:hAnsi="宋体" w:cs="宋体"/>
          <w:bCs/>
          <w:sz w:val="30"/>
          <w:highlight w:val="none"/>
        </w:rPr>
      </w:pPr>
      <w:r>
        <w:rPr>
          <w:rFonts w:hint="eastAsia" w:hAnsi="宋体" w:cs="宋体"/>
          <w:bCs/>
          <w:sz w:val="30"/>
          <w:highlight w:val="none"/>
        </w:rPr>
      </w:r>
      <w:r/>
    </w:p>
    <w:p>
      <w:pPr>
        <w:spacing w:line="360" w:lineRule="auto"/>
        <w:rPr>
          <w:rFonts w:hint="eastAsia" w:hAnsi="宋体" w:cs="宋体"/>
          <w:bCs/>
          <w:sz w:val="30"/>
          <w:highlight w:val="none"/>
        </w:rPr>
      </w:pPr>
      <w:r>
        <w:rPr>
          <w:rFonts w:hint="eastAsia" w:hAnsi="宋体" w:cs="宋体"/>
          <w:bCs/>
          <w:sz w:val="30"/>
          <w:highlight w:val="none"/>
        </w:rPr>
      </w:r>
      <w:r/>
    </w:p>
    <w:p>
      <w:pPr>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47"/>
        <w:rPr>
          <w:rFonts w:hint="eastAsia"/>
          <w:highlight w:val="none"/>
        </w:rPr>
      </w:pPr>
      <w:r>
        <w:rPr>
          <w:rFonts w:hint="eastAsia"/>
          <w:highlight w:val="none"/>
        </w:rPr>
      </w:r>
      <w:r/>
    </w:p>
    <w:p>
      <w:pPr>
        <w:pStyle w:val="847"/>
        <w:rPr>
          <w:rFonts w:hint="eastAsia"/>
          <w:highlight w:val="none"/>
        </w:rPr>
      </w:pPr>
      <w:r>
        <w:rPr>
          <w:rFonts w:hint="eastAsia"/>
          <w:highlight w:val="none"/>
        </w:rPr>
      </w:r>
      <w:r/>
    </w:p>
    <w:p>
      <w:pPr>
        <w:pStyle w:val="810"/>
        <w:rPr>
          <w:rFonts w:hint="eastAsia"/>
          <w:highlight w:val="none"/>
        </w:rPr>
      </w:pPr>
      <w:r>
        <w:rPr>
          <w:rFonts w:hint="eastAsia"/>
          <w:highlight w:val="none"/>
        </w:rPr>
      </w:r>
      <w:r/>
    </w:p>
    <w:p>
      <w:pPr>
        <w:pStyle w:val="847"/>
        <w:rPr>
          <w:rFonts w:hint="eastAsia"/>
          <w:highlight w:val="none"/>
        </w:rPr>
      </w:pPr>
      <w:r>
        <w:rPr>
          <w:rFonts w:hint="eastAsia"/>
          <w:highlight w:val="none"/>
        </w:rPr>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w:t>
      </w:r>
      <w:r>
        <w:rPr>
          <w:rFonts w:hint="eastAsia" w:ascii="黑体" w:hAnsi="黑体" w:eastAsia="黑体" w:cs="宋体"/>
          <w:bCs/>
          <w:sz w:val="30"/>
          <w:szCs w:val="30"/>
          <w:highlight w:val="none"/>
          <w:lang w:eastAsia="zh-CN"/>
        </w:rPr>
        <w:t xml:space="preserve">JSZC-320214-JNJS-G2026-0003</w:t>
      </w:r>
      <w:r/>
    </w:p>
    <w:p>
      <w:pPr>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天一中学新吴分校新建工程实验设备仪器项目</w:t>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无锡国家高新技术产业开发区（无锡市新吴区）教育局</w:t>
      </w:r>
      <w:r/>
    </w:p>
    <w:p>
      <w:pPr>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江苏金诺建设咨询管理有限公司</w:t>
      </w:r>
      <w:r/>
    </w:p>
    <w:p>
      <w:pPr>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eastAsia="黑体"/>
          <w:bCs/>
          <w:color w:val="000000"/>
          <w:sz w:val="36"/>
          <w:szCs w:val="36"/>
          <w:highlight w:val="none"/>
        </w:rPr>
        <w:t xml:space="preserve">五</w:t>
      </w:r>
      <w:r>
        <w:rPr>
          <w:rFonts w:eastAsia="黑体"/>
          <w:bCs/>
          <w:color w:val="000000"/>
          <w:sz w:val="36"/>
          <w:szCs w:val="36"/>
          <w:highlight w:val="none"/>
        </w:rPr>
        <w:t xml:space="preserve">月</w:t>
      </w:r>
      <w:r/>
    </w:p>
    <w:p>
      <w:pPr>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1062"/>
        <w:ind w:firstLine="0"/>
        <w:jc w:val="center"/>
        <w:rPr>
          <w:rFonts w:hint="eastAsia" w:ascii="宋体" w:hAnsi="宋体" w:eastAsia="宋体" w:cs="宋体"/>
          <w:sz w:val="52"/>
          <w:szCs w:val="52"/>
          <w:highlight w:val="none"/>
        </w:rPr>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宋体" w:hAnsi="宋体" w:eastAsia="宋体" w:cs="宋体"/>
          <w:sz w:val="52"/>
          <w:szCs w:val="52"/>
          <w:highlight w:val="none"/>
        </w:rPr>
        <w:t xml:space="preserve">目录</w:t>
      </w:r>
      <w:r/>
    </w:p>
    <w:p>
      <w:pPr>
        <w:pStyle w:val="1062"/>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_Toc27711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_Toc18519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_Toc29592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6</w:t>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7</w:t>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_Toc25872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bookmarkStart w:id="220" w:name="_GoBack"/>
      <w:r/>
      <w:bookmarkEnd w:id="22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bookmarkEnd w:id="0"/>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JSZC-320214-JNJS-G2026-0003</w:t>
      </w:r>
      <w:r>
        <w:rPr>
          <w:rFonts w:hint="eastAsia" w:ascii="宋体" w:hAnsi="宋体" w:eastAsia="宋体" w:cs="宋体"/>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w:t>
      </w:r>
      <w:r>
        <w:rPr>
          <w:rFonts w:hint="eastAsia" w:ascii="宋体" w:hAnsi="宋体" w:eastAsia="宋体" w:cs="宋体"/>
          <w:sz w:val="24"/>
          <w:szCs w:val="24"/>
          <w:highlight w:val="lightGray"/>
        </w:rPr>
        <w:t xml:space="preserve">202</w:t>
      </w:r>
      <w:r>
        <w:rPr>
          <w:rFonts w:hint="eastAsia" w:ascii="宋体" w:hAnsi="宋体" w:cs="宋体"/>
          <w:sz w:val="24"/>
          <w:szCs w:val="24"/>
          <w:highlight w:val="lightGray"/>
          <w:lang w:val="en-US" w:eastAsia="zh-CN"/>
        </w:rPr>
        <w:t xml:space="preserve">6</w:t>
      </w:r>
      <w:r>
        <w:rPr>
          <w:rFonts w:hint="eastAsia" w:ascii="宋体" w:hAnsi="宋体" w:eastAsia="宋体" w:cs="宋体"/>
          <w:sz w:val="24"/>
          <w:szCs w:val="24"/>
          <w:highlight w:val="lightGray"/>
        </w:rPr>
        <w:t xml:space="preserve">年</w:t>
      </w:r>
      <w:r>
        <w:rPr>
          <w:rFonts w:hint="eastAsia" w:ascii="宋体" w:hAnsi="宋体" w:cs="宋体"/>
          <w:sz w:val="24"/>
          <w:szCs w:val="24"/>
          <w:highlight w:val="lightGray"/>
          <w:lang w:val="en-US" w:eastAsia="zh-CN"/>
        </w:rPr>
        <w:t xml:space="preserve">7</w:t>
      </w:r>
      <w:r>
        <w:rPr>
          <w:rFonts w:hint="eastAsia" w:ascii="宋体" w:hAnsi="宋体" w:eastAsia="宋体" w:cs="宋体"/>
          <w:sz w:val="24"/>
          <w:szCs w:val="24"/>
          <w:highlight w:val="lightGray"/>
        </w:rPr>
        <w:t xml:space="preserve">月22</w:t>
      </w:r>
      <w:r>
        <w:rPr>
          <w:rFonts w:hint="eastAsia" w:ascii="宋体" w:hAnsi="宋体" w:eastAsia="宋体" w:cs="宋体"/>
          <w:sz w:val="24"/>
          <w:szCs w:val="24"/>
          <w:highlight w:val="lightGray"/>
        </w:rPr>
        <w:t xml:space="preserve">日9</w:t>
      </w:r>
      <w:r>
        <w:rPr>
          <w:rFonts w:hint="eastAsia" w:ascii="宋体" w:hAnsi="宋体" w:eastAsia="宋体" w:cs="宋体"/>
          <w:sz w:val="24"/>
          <w:szCs w:val="24"/>
          <w:highlight w:val="lightGray"/>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7" w:name="_Toc28359002"/>
      <w:r/>
      <w:bookmarkStart w:id="8" w:name="_Toc38985263"/>
      <w:r/>
      <w:bookmarkStart w:id="9" w:name="_Toc35393790"/>
      <w:r/>
      <w:bookmarkStart w:id="10" w:name="_Toc28359079"/>
      <w:r/>
      <w:bookmarkStart w:id="11" w:name="_Toc35393621"/>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JSZC-320214-JNJS-G2026-0003</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天一中学新吴分校新建工程实验设备仪器项目</w:t>
      </w:r>
      <w:bookmarkEnd w:id="12"/>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Cs/>
          <w:sz w:val="24"/>
          <w:highlight w:val="none"/>
        </w:rPr>
        <w:t xml:space="preserve">供货期</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90</w:t>
      </w:r>
      <w:r>
        <w:rPr>
          <w:rFonts w:hint="eastAsia" w:ascii="宋体" w:hAnsi="宋体" w:eastAsia="宋体" w:cs="宋体"/>
          <w:sz w:val="24"/>
          <w:szCs w:val="24"/>
          <w:highlight w:val="none"/>
        </w:rPr>
        <w:t xml:space="preserve">日历天内完成采购、安装、调试等；具体以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的要求为准。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3" w:name="_Toc35393622"/>
      <w:r/>
      <w:bookmarkStart w:id="14" w:name="_Toc28359003"/>
      <w:r/>
      <w:bookmarkStart w:id="15" w:name="_Toc28359080"/>
      <w:r/>
      <w:bookmarkStart w:id="16" w:name="_Toc38985264"/>
      <w:r/>
      <w:bookmarkStart w:id="17" w:name="_Toc35393791"/>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bookmarkStart w:id="18" w:name="_Toc28359004"/>
      <w:r/>
      <w:bookmarkStart w:id="19" w:name="_Toc35393623"/>
      <w:r/>
      <w:bookmarkStart w:id="20" w:name="_Toc35393792"/>
      <w:r/>
      <w:bookmarkStart w:id="21" w:name="_Toc28359081"/>
      <w:r/>
      <w:bookmarkStart w:id="22" w:name="_Toc38985265"/>
      <w:r>
        <w:rPr>
          <w:rFonts w:hint="eastAsia" w:ascii="宋体" w:hAnsi="宋体" w:eastAsia="宋体" w:cs="宋体"/>
          <w:b w:val="0"/>
          <w:bCs w:val="0"/>
          <w:sz w:val="24"/>
          <w:szCs w:val="24"/>
          <w:highlight w:val="cyan"/>
        </w:rPr>
        <w:t xml:space="preserve">1.满足《中华人民共和国政府采购法》第二十二条规定：</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2.《授权委托书》(给定格式;投标人如是自然人情形的，可不提供)。</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4.投标人近一年中任意一个月份(不含投标当月)的依法缴纳税收的相关材料(提供相关主管部门证明或银行代扣证明)。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5.投标人近一年中任意一个月份(不含投标当月)的依法缴纳社会保障资金的相关材料(提供相关主管部门证明或银行代扣证明)。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6.《资格声明函》(给定格式)。</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7.落实政府采购政策需满足的资格要求的证明文件(如有)。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8.本项目要求的特定资格证明文件(如有)。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2.落实政府采购政策需满足的资格要求：</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2.1中小企业政策：无；</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41"/>
        <w:numPr>
          <w:ilvl w:val="0"/>
          <w:numId w:val="4"/>
        </w:numPr>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本项目的特定资格要求：无。</w:t>
      </w:r>
      <w:r/>
    </w:p>
    <w:p>
      <w:pPr>
        <w:pStyle w:val="841"/>
        <w:numPr>
          <w:ilvl w:val="0"/>
          <w:numId w:val="0"/>
        </w:numPr>
        <w:ind w:firstLine="60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
    </w:p>
    <w:p>
      <w:pPr>
        <w:ind w:firstLine="540"/>
        <w:spacing w:line="500" w:lineRule="exact"/>
        <w:rPr>
          <w:rFonts w:hint="eastAsia" w:ascii="宋体" w:hAnsi="宋体" w:eastAsia="宋体" w:cs="宋体"/>
          <w:sz w:val="24"/>
          <w:szCs w:val="24"/>
          <w:highlight w:val="none"/>
        </w:rPr>
      </w:pPr>
      <w:r/>
      <w:bookmarkStart w:id="23" w:name="_Toc28359082"/>
      <w:r/>
      <w:bookmarkStart w:id="24" w:name="_Toc28359005"/>
      <w:r/>
      <w:bookmarkStart w:id="25" w:name="_Toc35393624"/>
      <w:r/>
      <w:bookmarkStart w:id="26" w:name="_Toc35393793"/>
      <w:r/>
      <w:bookmarkStart w:id="27" w:name="_Toc38985266"/>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p>
    <w:p>
      <w:pPr>
        <w:ind w:firstLine="540"/>
        <w:spacing w:line="500" w:lineRule="exact"/>
        <w:rPr>
          <w:rStyle w:val="1048"/>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w:t>
      </w:r>
      <w:r>
        <w:rPr>
          <w:rFonts w:hint="eastAsia" w:ascii="宋体" w:hAnsi="宋体" w:eastAsia="宋体" w:cs="宋体"/>
          <w:bCs/>
          <w:sz w:val="24"/>
          <w:szCs w:val="24"/>
          <w:highlight w:val="lightGray"/>
        </w:rPr>
        <w:t xml:space="preserve">：202</w:t>
      </w:r>
      <w:r>
        <w:rPr>
          <w:rFonts w:hint="eastAsia" w:ascii="宋体" w:hAnsi="宋体" w:cs="宋体"/>
          <w:bCs/>
          <w:sz w:val="24"/>
          <w:szCs w:val="24"/>
          <w:highlight w:val="lightGray"/>
          <w:lang w:val="en-US" w:eastAsia="zh-CN"/>
        </w:rPr>
        <w:t xml:space="preserve">6</w:t>
      </w:r>
      <w:r>
        <w:rPr>
          <w:rFonts w:hint="eastAsia" w:ascii="宋体" w:hAnsi="宋体" w:eastAsia="宋体" w:cs="宋体"/>
          <w:bCs/>
          <w:sz w:val="24"/>
          <w:szCs w:val="24"/>
          <w:highlight w:val="lightGray"/>
        </w:rPr>
        <w:t xml:space="preserve">年</w:t>
      </w:r>
      <w:r>
        <w:rPr>
          <w:rFonts w:hint="eastAsia" w:ascii="宋体" w:hAnsi="宋体" w:cs="宋体"/>
          <w:bCs/>
          <w:sz w:val="24"/>
          <w:szCs w:val="24"/>
          <w:highlight w:val="lightGray"/>
          <w:lang w:val="en-US" w:eastAsia="zh-CN"/>
        </w:rPr>
        <w:t xml:space="preserve">7</w:t>
      </w:r>
      <w:r>
        <w:rPr>
          <w:rFonts w:hint="eastAsia" w:ascii="宋体" w:hAnsi="宋体" w:eastAsia="宋体" w:cs="宋体"/>
          <w:bCs/>
          <w:sz w:val="24"/>
          <w:szCs w:val="24"/>
          <w:highlight w:val="lightGray"/>
        </w:rPr>
        <w:t xml:space="preserve">月22</w:t>
      </w:r>
      <w:r>
        <w:rPr>
          <w:rFonts w:hint="eastAsia" w:ascii="宋体" w:hAnsi="宋体" w:eastAsia="宋体" w:cs="宋体"/>
          <w:bCs/>
          <w:sz w:val="24"/>
          <w:szCs w:val="24"/>
          <w:highlight w:val="lightGray"/>
        </w:rPr>
        <w:t xml:space="preserve">日9</w:t>
      </w:r>
      <w:r>
        <w:rPr>
          <w:rFonts w:hint="eastAsia" w:ascii="宋体" w:hAnsi="宋体" w:eastAsia="宋体" w:cs="宋体"/>
          <w:bCs/>
          <w:sz w:val="24"/>
          <w:szCs w:val="24"/>
          <w:highlight w:val="lightGray"/>
        </w:rPr>
        <w:t xml:space="preserve">点</w:t>
      </w:r>
      <w:r>
        <w:rPr>
          <w:rFonts w:hint="eastAsia" w:ascii="宋体" w:hAnsi="宋体" w:cs="宋体"/>
          <w:bCs/>
          <w:sz w:val="24"/>
          <w:szCs w:val="24"/>
          <w:highlight w:val="lightGray"/>
          <w:lang w:val="en-US" w:eastAsia="zh-CN"/>
        </w:rPr>
        <w:t xml:space="preserve">30</w:t>
      </w:r>
      <w:r>
        <w:rPr>
          <w:rFonts w:hint="eastAsia" w:ascii="宋体" w:hAnsi="宋体" w:eastAsia="宋体" w:cs="宋体"/>
          <w:bCs/>
          <w:sz w:val="24"/>
          <w:szCs w:val="24"/>
          <w:highlight w:val="lightGray"/>
        </w:rPr>
        <w:t xml:space="preserve">分（</w:t>
      </w:r>
      <w:r>
        <w:rPr>
          <w:rFonts w:hint="eastAsia" w:ascii="宋体" w:hAnsi="宋体" w:eastAsia="宋体" w:cs="宋体"/>
          <w:bCs/>
          <w:sz w:val="24"/>
          <w:szCs w:val="24"/>
          <w:highlight w:val="none"/>
        </w:rPr>
        <w:t xml:space="preserve">北京时间）</w:t>
      </w:r>
      <w:r/>
    </w:p>
    <w:p>
      <w:pPr>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28" w:name="_Toc28359084"/>
      <w:r/>
      <w:bookmarkStart w:id="29" w:name="_Toc35393625"/>
      <w:r/>
      <w:bookmarkStart w:id="30" w:name="_Toc38985267"/>
      <w:r/>
      <w:bookmarkStart w:id="31" w:name="_Toc35393794"/>
      <w:r/>
      <w:bookmarkStart w:id="32" w:name="_Toc28359007"/>
      <w:r>
        <w:rPr>
          <w:rFonts w:hint="eastAsia" w:ascii="宋体" w:hAnsi="宋体" w:eastAsia="宋体" w:cs="宋体"/>
          <w:sz w:val="30"/>
          <w:szCs w:val="30"/>
          <w:highlight w:val="none"/>
        </w:rPr>
        <w:t xml:space="preserve">五、公告期限</w:t>
      </w:r>
      <w:bookmarkEnd w:id="28"/>
      <w:r/>
      <w:bookmarkEnd w:id="29"/>
      <w:r/>
      <w:bookmarkEnd w:id="30"/>
      <w:r/>
      <w:bookmarkEnd w:id="31"/>
      <w:r/>
      <w:bookmarkEnd w:id="32"/>
      <w:r/>
      <w:r/>
    </w:p>
    <w:p>
      <w:pPr>
        <w:ind w:firstLine="480"/>
        <w:spacing w:line="500" w:lineRule="exact"/>
        <w:rPr>
          <w:rFonts w:hint="eastAsia" w:ascii="宋体" w:hAnsi="宋体" w:eastAsia="宋体" w:cs="宋体"/>
          <w:sz w:val="24"/>
          <w:szCs w:val="24"/>
          <w:highlight w:val="none"/>
        </w:rPr>
      </w:pPr>
      <w:r/>
      <w:bookmarkStart w:id="33" w:name="_Toc35393795"/>
      <w:r/>
      <w:bookmarkStart w:id="34" w:name="_Toc38985268"/>
      <w:r/>
      <w:bookmarkStart w:id="35" w:name="_Toc35393626"/>
      <w:r>
        <w:rPr>
          <w:rFonts w:hint="eastAsia" w:ascii="宋体" w:hAnsi="宋体" w:eastAsia="宋体" w:cs="宋体"/>
          <w:sz w:val="24"/>
          <w:szCs w:val="24"/>
          <w:highlight w:val="none"/>
        </w:rPr>
        <w:t xml:space="preserve">（招标公告及招标文件公告期限）自本公告发布之日起5个工作日。</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3"/>
      <w:r/>
      <w:bookmarkEnd w:id="34"/>
      <w:r/>
      <w:bookmarkEnd w:id="3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36" w:name="_Toc28359008"/>
      <w:r/>
      <w:bookmarkStart w:id="37" w:name="_Toc28359085"/>
      <w:r/>
      <w:bookmarkStart w:id="38" w:name="_Toc35393627"/>
      <w:r/>
      <w:bookmarkStart w:id="39" w:name="_Toc38985269"/>
      <w:r/>
      <w:bookmarkStart w:id="40" w:name="_Toc35393796"/>
      <w:r>
        <w:rPr>
          <w:rFonts w:hint="eastAsia" w:ascii="宋体" w:hAnsi="宋体" w:eastAsia="宋体" w:cs="宋体"/>
          <w:sz w:val="30"/>
          <w:szCs w:val="30"/>
          <w:highlight w:val="none"/>
        </w:rPr>
        <w:t xml:space="preserve">七、本项目联系方式</w:t>
      </w:r>
      <w:bookmarkEnd w:id="36"/>
      <w:r/>
      <w:bookmarkEnd w:id="37"/>
      <w:r/>
      <w:bookmarkEnd w:id="38"/>
      <w:r/>
      <w:bookmarkEnd w:id="39"/>
      <w:r/>
      <w:bookmarkEnd w:id="4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无锡国家高新技术产业开发区（无锡市新吴区）教育局</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无锡市新吴区和风路</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1" w:name="_Toc28359086"/>
      <w:r/>
      <w:bookmarkStart w:id="42" w:name="_Toc28359009"/>
      <w:r>
        <w:rPr>
          <w:rFonts w:hint="eastAsia" w:ascii="宋体" w:hAnsi="宋体" w:eastAsia="宋体" w:cs="宋体"/>
          <w:sz w:val="24"/>
          <w:szCs w:val="24"/>
          <w:highlight w:val="none"/>
        </w:rPr>
        <w:t xml:space="preserve">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1"/>
      <w:r/>
      <w:bookmarkEnd w:id="42"/>
      <w:r>
        <w:rPr>
          <w:rFonts w:hint="eastAsia" w:ascii="宋体" w:hAnsi="宋体" w:eastAsia="宋体" w:cs="宋体"/>
          <w:sz w:val="24"/>
          <w:szCs w:val="24"/>
          <w:highlight w:val="none"/>
        </w:rPr>
        <w:t xml:space="preserve">采购代理机构信息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江苏金诺建设咨询有限公司</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pStyle w:val="105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u w:val="none"/>
          <w:lang w:val="en-US" w:eastAsia="zh-CN"/>
        </w:rPr>
        <w:t xml:space="preserve">陈禹汀、匡晓锋；电话：0510-80595141、153 3520 3332</w:t>
      </w:r>
      <w:r/>
    </w:p>
    <w:p>
      <w:pPr>
        <w:pStyle w:val="1050"/>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采购人质疑受理联系人:陈禹汀、匡晓锋;电话:0510-80595141、15335203332</w:t>
      </w:r>
      <w:r/>
    </w:p>
    <w:p>
      <w:pPr>
        <w:pStyle w:val="1050"/>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江苏金诺建设咨询有限公司</w:t>
      </w:r>
      <w:r>
        <w:rPr>
          <w:rFonts w:hint="eastAsia" w:ascii="宋体" w:hAnsi="宋体" w:eastAsia="宋体" w:cs="宋体"/>
          <w:bCs/>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3" w:name="_Toc120614211"/>
      <w:r/>
      <w:bookmarkStart w:id="44" w:name="_Toc18519"/>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3"/>
      <w:r/>
      <w:bookmarkStart w:id="45" w:name="_Toc120614213"/>
      <w:r/>
      <w:bookmarkStart w:id="46" w:name="_Toc16938518"/>
      <w:r/>
      <w:bookmarkStart w:id="47" w:name="_Toc20823274"/>
      <w:r/>
      <w:bookmarkStart w:id="48" w:name="_Toc513029202"/>
      <w:r>
        <w:rPr>
          <w:rFonts w:hint="eastAsia" w:ascii="宋体" w:hAnsi="宋体" w:eastAsia="宋体" w:cs="宋体"/>
          <w:sz w:val="36"/>
          <w:szCs w:val="36"/>
          <w:highlight w:val="none"/>
        </w:rPr>
        <w:t xml:space="preserve">投标人须知</w:t>
      </w:r>
      <w:bookmarkEnd w:id="44"/>
      <w:r/>
      <w:bookmarkEnd w:id="45"/>
      <w:r/>
      <w:bookmarkEnd w:id="46"/>
      <w:r/>
      <w:bookmarkEnd w:id="47"/>
      <w:r/>
      <w:bookmarkEnd w:id="48"/>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49" w:name="_Toc20823275"/>
      <w:r/>
      <w:bookmarkStart w:id="50" w:name="_Toc16938519"/>
      <w:r/>
      <w:bookmarkStart w:id="51" w:name="_Toc513029203"/>
      <w:r/>
      <w:bookmarkStart w:id="52" w:name="_Toc120614214"/>
      <w:r>
        <w:rPr>
          <w:rFonts w:hint="eastAsia" w:ascii="宋体" w:hAnsi="宋体" w:eastAsia="宋体" w:cs="宋体"/>
          <w:sz w:val="30"/>
          <w:szCs w:val="30"/>
          <w:highlight w:val="none"/>
        </w:rPr>
        <w:t xml:space="preserve">一、总则</w:t>
      </w:r>
      <w:bookmarkEnd w:id="49"/>
      <w:r/>
      <w:bookmarkEnd w:id="50"/>
      <w:r/>
      <w:bookmarkEnd w:id="51"/>
      <w:r/>
      <w:bookmarkEnd w:id="52"/>
      <w:r/>
      <w:r/>
    </w:p>
    <w:p>
      <w:pPr>
        <w:pStyle w:val="980"/>
        <w:ind w:firstLine="422"/>
        <w:keepLines w:val="0"/>
        <w:keepNext w:val="0"/>
        <w:spacing w:before="0" w:after="0" w:line="500" w:lineRule="exact"/>
        <w:rPr>
          <w:rFonts w:hint="eastAsia" w:ascii="宋体" w:hAnsi="宋体" w:eastAsia="宋体" w:cs="宋体"/>
          <w:bCs w:val="0"/>
          <w:highlight w:val="none"/>
        </w:rPr>
      </w:pPr>
      <w:r/>
      <w:bookmarkStart w:id="53" w:name="_Hlt16619475"/>
      <w:r/>
      <w:bookmarkEnd w:id="53"/>
      <w:r/>
      <w:bookmarkStart w:id="54" w:name="_Toc20823276"/>
      <w:r/>
      <w:bookmarkStart w:id="55" w:name="_Toc513029204"/>
      <w:r/>
      <w:bookmarkStart w:id="56" w:name="_Toc16938520"/>
      <w:r>
        <w:rPr>
          <w:rFonts w:hint="eastAsia" w:ascii="宋体" w:hAnsi="宋体" w:eastAsia="宋体" w:cs="宋体"/>
          <w:bCs w:val="0"/>
          <w:highlight w:val="none"/>
        </w:rPr>
        <w:t xml:space="preserve">1.招标方式</w:t>
      </w:r>
      <w:bookmarkEnd w:id="54"/>
      <w:r/>
      <w:bookmarkEnd w:id="55"/>
      <w:r/>
      <w:bookmarkEnd w:id="56"/>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980"/>
        <w:ind w:firstLine="422"/>
        <w:keepLines w:val="0"/>
        <w:keepNext w:val="0"/>
        <w:spacing w:before="0" w:after="0" w:line="500" w:lineRule="exact"/>
        <w:rPr>
          <w:rFonts w:hint="eastAsia" w:ascii="宋体" w:hAnsi="宋体" w:eastAsia="宋体" w:cs="宋体"/>
          <w:bCs w:val="0"/>
          <w:highlight w:val="none"/>
        </w:rPr>
      </w:pPr>
      <w:r/>
      <w:bookmarkStart w:id="57" w:name="_Toc20823277"/>
      <w:r/>
      <w:bookmarkStart w:id="58" w:name="_Toc16938521"/>
      <w:r/>
      <w:bookmarkStart w:id="59" w:name="_Toc513029205"/>
      <w:r>
        <w:rPr>
          <w:rFonts w:hint="eastAsia" w:ascii="宋体" w:hAnsi="宋体" w:eastAsia="宋体" w:cs="宋体"/>
          <w:bCs w:val="0"/>
          <w:highlight w:val="none"/>
        </w:rPr>
        <w:t xml:space="preserve">2.</w:t>
      </w:r>
      <w:bookmarkEnd w:id="57"/>
      <w:r/>
      <w:bookmarkEnd w:id="58"/>
      <w:r/>
      <w:bookmarkEnd w:id="59"/>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0" w:name="_Toc16938522"/>
      <w:r/>
      <w:bookmarkStart w:id="61" w:name="_Toc20823278"/>
      <w:r/>
      <w:bookmarkStart w:id="62" w:name="_Toc513029206"/>
      <w:r>
        <w:rPr>
          <w:rFonts w:hint="eastAsia" w:ascii="宋体" w:hAnsi="宋体" w:eastAsia="宋体" w:cs="宋体"/>
          <w:bCs w:val="0"/>
          <w:highlight w:val="none"/>
        </w:rPr>
        <w:t xml:space="preserve">3.适用法律</w:t>
      </w:r>
      <w:bookmarkEnd w:id="60"/>
      <w:r/>
      <w:bookmarkEnd w:id="61"/>
      <w:r/>
      <w:bookmarkEnd w:id="6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3" w:name="_Toc513029207"/>
      <w:r/>
      <w:bookmarkStart w:id="64" w:name="_Toc462564067"/>
      <w:r/>
      <w:bookmarkStart w:id="65" w:name="_Toc20823279"/>
      <w:r/>
      <w:bookmarkStart w:id="66" w:name="_Toc16938523"/>
      <w:r>
        <w:rPr>
          <w:rFonts w:hint="eastAsia" w:ascii="宋体" w:hAnsi="宋体" w:eastAsia="宋体" w:cs="宋体"/>
          <w:bCs w:val="0"/>
          <w:highlight w:val="none"/>
        </w:rPr>
        <w:t xml:space="preserve">4.投标费用</w:t>
      </w:r>
      <w:bookmarkEnd w:id="63"/>
      <w:r/>
      <w:bookmarkEnd w:id="64"/>
      <w:r/>
      <w:bookmarkEnd w:id="65"/>
      <w:r/>
      <w:bookmarkEnd w:id="66"/>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江苏金诺建设咨询有限公司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67" w:name="_Toc120614215"/>
      <w:r/>
      <w:bookmarkStart w:id="68" w:name="_Toc16938525"/>
      <w:r/>
      <w:bookmarkStart w:id="69" w:name="_Toc513029209"/>
      <w:r/>
      <w:bookmarkStart w:id="70" w:name="_Toc20823281"/>
      <w:r>
        <w:rPr>
          <w:rFonts w:hint="eastAsia" w:ascii="宋体" w:hAnsi="宋体" w:eastAsia="宋体" w:cs="宋体"/>
          <w:sz w:val="30"/>
          <w:szCs w:val="30"/>
          <w:highlight w:val="none"/>
        </w:rPr>
        <w:t xml:space="preserve">二、招标文件</w:t>
      </w:r>
      <w:bookmarkEnd w:id="67"/>
      <w:r/>
      <w:bookmarkEnd w:id="68"/>
      <w:r/>
      <w:bookmarkEnd w:id="69"/>
      <w:r/>
      <w:bookmarkEnd w:id="70"/>
      <w:r/>
      <w:r/>
    </w:p>
    <w:p>
      <w:pPr>
        <w:pStyle w:val="980"/>
        <w:ind w:firstLine="422"/>
        <w:keepLines w:val="0"/>
        <w:keepNext w:val="0"/>
        <w:spacing w:before="0" w:after="0" w:line="500" w:lineRule="exact"/>
        <w:rPr>
          <w:rFonts w:hint="eastAsia" w:ascii="宋体" w:hAnsi="宋体" w:eastAsia="宋体" w:cs="宋体"/>
          <w:bCs w:val="0"/>
          <w:highlight w:val="none"/>
        </w:rPr>
      </w:pPr>
      <w:r/>
      <w:bookmarkStart w:id="71" w:name="_Toc513029210"/>
      <w:r/>
      <w:bookmarkStart w:id="72" w:name="_Toc16938526"/>
      <w:r/>
      <w:bookmarkStart w:id="73" w:name="_Toc20823282"/>
      <w:r>
        <w:rPr>
          <w:rFonts w:hint="eastAsia" w:ascii="宋体" w:hAnsi="宋体" w:eastAsia="宋体" w:cs="宋体"/>
          <w:bCs w:val="0"/>
          <w:highlight w:val="none"/>
        </w:rPr>
        <w:t xml:space="preserve">6.招标文件构成</w:t>
      </w:r>
      <w:bookmarkEnd w:id="71"/>
      <w:r/>
      <w:bookmarkEnd w:id="72"/>
      <w:r/>
      <w:bookmarkEnd w:id="73"/>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4" w:name="_Toc513029211"/>
      <w:r/>
      <w:bookmarkStart w:id="75" w:name="_Toc462564070"/>
      <w:r/>
      <w:bookmarkStart w:id="76" w:name="_Toc20823283"/>
      <w:r/>
      <w:bookmarkStart w:id="77" w:name="_Toc16938527"/>
      <w:r>
        <w:rPr>
          <w:rFonts w:hint="eastAsia" w:ascii="宋体" w:hAnsi="宋体" w:eastAsia="宋体" w:cs="宋体"/>
          <w:bCs w:val="0"/>
          <w:highlight w:val="none"/>
        </w:rPr>
        <w:t xml:space="preserve">7.招标文件的澄清</w:t>
      </w:r>
      <w:bookmarkEnd w:id="74"/>
      <w:r/>
      <w:bookmarkEnd w:id="75"/>
      <w:r/>
      <w:bookmarkEnd w:id="76"/>
      <w:r/>
      <w:bookmarkEnd w:id="77"/>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8" w:name="_Toc20823284"/>
      <w:r/>
      <w:bookmarkStart w:id="79" w:name="_Toc16938528"/>
      <w:r/>
      <w:bookmarkStart w:id="80" w:name="_Toc513029212"/>
      <w:r/>
      <w:bookmarkStart w:id="81" w:name="_Toc462564071"/>
      <w:r>
        <w:rPr>
          <w:rFonts w:hint="eastAsia" w:ascii="宋体" w:hAnsi="宋体" w:eastAsia="宋体" w:cs="宋体"/>
          <w:bCs w:val="0"/>
          <w:highlight w:val="none"/>
        </w:rPr>
        <w:t xml:space="preserve">8.招标文件的修改</w:t>
      </w:r>
      <w:bookmarkEnd w:id="78"/>
      <w:r/>
      <w:bookmarkEnd w:id="79"/>
      <w:r/>
      <w:bookmarkEnd w:id="80"/>
      <w:r/>
      <w:bookmarkEnd w:id="81"/>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82" w:name="_Toc462564072"/>
      <w:r/>
      <w:bookmarkStart w:id="83" w:name="_Toc16938529"/>
      <w:r/>
      <w:bookmarkStart w:id="84" w:name="_Toc513029213"/>
      <w:r/>
      <w:bookmarkStart w:id="85" w:name="_Toc120614216"/>
      <w:r/>
      <w:bookmarkStart w:id="86" w:name="_Toc20823285"/>
      <w:r>
        <w:rPr>
          <w:rFonts w:hint="eastAsia" w:ascii="宋体" w:hAnsi="宋体" w:eastAsia="宋体" w:cs="宋体"/>
          <w:sz w:val="30"/>
          <w:szCs w:val="30"/>
          <w:highlight w:val="none"/>
        </w:rPr>
        <w:t xml:space="preserve">三、投标文件的编制</w:t>
      </w:r>
      <w:bookmarkEnd w:id="82"/>
      <w:r/>
      <w:bookmarkEnd w:id="83"/>
      <w:r/>
      <w:bookmarkEnd w:id="84"/>
      <w:r/>
      <w:bookmarkEnd w:id="85"/>
      <w:r/>
      <w:bookmarkEnd w:id="86"/>
      <w:r/>
      <w:r/>
    </w:p>
    <w:p>
      <w:pPr>
        <w:pStyle w:val="980"/>
        <w:ind w:firstLine="422"/>
        <w:keepLines w:val="0"/>
        <w:keepNext w:val="0"/>
        <w:spacing w:before="0" w:after="0" w:line="500" w:lineRule="exact"/>
        <w:rPr>
          <w:rFonts w:hint="eastAsia" w:ascii="宋体" w:hAnsi="宋体" w:eastAsia="宋体" w:cs="宋体"/>
          <w:bCs w:val="0"/>
          <w:highlight w:val="none"/>
        </w:rPr>
      </w:pPr>
      <w:r/>
      <w:bookmarkStart w:id="87" w:name="_Toc16938530"/>
      <w:r/>
      <w:bookmarkStart w:id="88" w:name="_Toc513029214"/>
      <w:r/>
      <w:bookmarkStart w:id="89" w:name="_Toc20823286"/>
      <w:r/>
      <w:bookmarkStart w:id="90" w:name="_Toc462564073"/>
      <w:r>
        <w:rPr>
          <w:rFonts w:hint="eastAsia" w:ascii="宋体" w:hAnsi="宋体" w:eastAsia="宋体" w:cs="宋体"/>
          <w:bCs w:val="0"/>
          <w:highlight w:val="none"/>
        </w:rPr>
        <w:t xml:space="preserve">9.投标文件的语言及度量衡单位</w:t>
      </w:r>
      <w:bookmarkEnd w:id="87"/>
      <w:r/>
      <w:bookmarkEnd w:id="88"/>
      <w:r/>
      <w:bookmarkEnd w:id="89"/>
      <w:r/>
      <w:bookmarkEnd w:id="90"/>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1" w:name="_Toc513029215"/>
      <w:r/>
      <w:bookmarkStart w:id="92" w:name="_Toc16938531"/>
      <w:r/>
      <w:bookmarkStart w:id="93" w:name="_Toc20823287"/>
      <w:r/>
      <w:bookmarkStart w:id="94" w:name="_Toc462564074"/>
      <w:r>
        <w:rPr>
          <w:rFonts w:hint="eastAsia" w:ascii="宋体" w:hAnsi="宋体" w:eastAsia="宋体" w:cs="宋体"/>
          <w:bCs w:val="0"/>
          <w:highlight w:val="none"/>
        </w:rPr>
        <w:t xml:space="preserve">10.投标文件构成</w:t>
      </w:r>
      <w:bookmarkEnd w:id="91"/>
      <w:r/>
      <w:bookmarkEnd w:id="92"/>
      <w:r/>
      <w:bookmarkEnd w:id="93"/>
      <w:r/>
      <w:bookmarkEnd w:id="9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rPr>
        <w:t xml:space="preserve">上述《评标方法与评标标准》中技术部分不得有体现投标人身份的内容是指：</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rPr>
      </w:pPr>
      <w:r>
        <w:rPr>
          <w:rFonts w:hint="eastAsia" w:ascii="宋体" w:hAnsi="宋体" w:eastAsia="宋体" w:cs="Times New Roman"/>
          <w:b/>
          <w:color w:val="ff0000"/>
          <w:sz w:val="24"/>
        </w:rPr>
        <w:t xml:space="preserve">10.4.4不得有其他体现投标人身份的内容。</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5" w:name="_Hlt26954838"/>
      <w:r/>
      <w:bookmarkEnd w:id="95"/>
      <w:r/>
      <w:bookmarkStart w:id="96" w:name="_Hlt26668975"/>
      <w:r/>
      <w:bookmarkEnd w:id="96"/>
      <w:r/>
      <w:bookmarkStart w:id="97" w:name="_Hlt26670360"/>
      <w:r/>
      <w:bookmarkEnd w:id="97"/>
      <w:r/>
      <w:bookmarkStart w:id="98" w:name="_Toc49090509"/>
      <w:r/>
      <w:bookmarkStart w:id="99" w:name="_Toc14577357"/>
      <w:r/>
      <w:bookmarkStart w:id="100" w:name="_Toc513029219"/>
      <w:r/>
      <w:bookmarkStart w:id="101" w:name="_Toc49090507"/>
      <w:r/>
      <w:bookmarkStart w:id="102" w:name="_Toc513029216"/>
      <w:r/>
      <w:bookmarkStart w:id="103" w:name="_Toc14577354"/>
      <w:r>
        <w:rPr>
          <w:rFonts w:hint="eastAsia" w:ascii="宋体" w:hAnsi="宋体" w:eastAsia="宋体" w:cs="宋体"/>
          <w:bCs w:val="0"/>
          <w:highlight w:val="none"/>
        </w:rPr>
        <w:t xml:space="preserve">11.证明投标人及投标标的符合招标文件规定的文件</w:t>
      </w:r>
      <w:bookmarkEnd w:id="98"/>
      <w:r/>
      <w:bookmarkEnd w:id="99"/>
      <w:r/>
      <w:bookmarkEnd w:id="100"/>
      <w:r/>
      <w:bookmarkEnd w:id="101"/>
      <w:r/>
      <w:bookmarkEnd w:id="102"/>
      <w:r/>
      <w:bookmarkEnd w:id="103"/>
      <w:r/>
      <w:r/>
    </w:p>
    <w:p>
      <w:pPr>
        <w:ind w:firstLine="480"/>
        <w:spacing w:line="500" w:lineRule="exact"/>
        <w:rPr>
          <w:rFonts w:hint="eastAsia" w:ascii="宋体" w:hAnsi="宋体" w:eastAsia="宋体" w:cs="宋体"/>
          <w:bCs/>
          <w:sz w:val="24"/>
          <w:highlight w:val="none"/>
        </w:rPr>
      </w:pPr>
      <w:r/>
      <w:bookmarkStart w:id="104" w:name="_Toc49090508"/>
      <w:r/>
      <w:bookmarkStart w:id="105" w:name="_Toc14577355"/>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06" w:name="_Toc49090510"/>
      <w:r/>
      <w:bookmarkStart w:id="107" w:name="_Toc14577359"/>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bookmarkEnd w:id="106"/>
      <w:r/>
      <w:bookmarkEnd w:id="107"/>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4"/>
      <w:r/>
      <w:bookmarkEnd w:id="105"/>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8" w:name="_Hlt26954840"/>
      <w:r/>
      <w:bookmarkEnd w:id="108"/>
      <w:r>
        <w:rPr>
          <w:rFonts w:hint="eastAsia" w:ascii="宋体" w:hAnsi="宋体" w:eastAsia="宋体" w:cs="宋体"/>
          <w:sz w:val="24"/>
          <w:highlight w:val="none"/>
        </w:rPr>
        <w:t xml:space="preserve">标人应按照招标文件规定格式填报</w:t>
      </w:r>
      <w:bookmarkStart w:id="109" w:name="_Hlt26670399"/>
      <w:r/>
      <w:bookmarkEnd w:id="109"/>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10" w:name="_Hlt26670425"/>
      <w:r/>
      <w:bookmarkEnd w:id="110"/>
      <w:r/>
      <w:bookmarkStart w:id="111" w:name="_Hlt26954842"/>
      <w:r/>
      <w:bookmarkEnd w:id="111"/>
      <w:r/>
      <w:bookmarkStart w:id="112" w:name="_Hlt26954731"/>
      <w:r/>
      <w:bookmarkEnd w:id="112"/>
      <w:r/>
      <w:bookmarkStart w:id="113" w:name="_Hlt26670482"/>
      <w:r/>
      <w:bookmarkEnd w:id="113"/>
      <w:r/>
      <w:bookmarkStart w:id="114" w:name="_Hlt26954848"/>
      <w:r/>
      <w:bookmarkEnd w:id="114"/>
      <w:r/>
      <w:bookmarkStart w:id="115" w:name="_Hlt26954844"/>
      <w:r/>
      <w:bookmarkEnd w:id="115"/>
      <w:r/>
      <w:bookmarkStart w:id="116" w:name="_Hlt26954846"/>
      <w:r/>
      <w:bookmarkEnd w:id="116"/>
      <w:r/>
      <w:bookmarkStart w:id="117" w:name="_Hlt26670403"/>
      <w:r/>
      <w:bookmarkEnd w:id="117"/>
      <w:r/>
      <w:bookmarkStart w:id="118" w:name="_Hlt26668983"/>
      <w:r/>
      <w:bookmarkEnd w:id="118"/>
      <w:r/>
      <w:bookmarkStart w:id="119" w:name="_Hlt26670486"/>
      <w:r/>
      <w:bookmarkEnd w:id="119"/>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20" w:name="_Hlt26670489"/>
      <w:r/>
      <w:bookmarkEnd w:id="120"/>
      <w:r/>
      <w:bookmarkStart w:id="121" w:name="_Hlt26954734"/>
      <w:r/>
      <w:bookmarkEnd w:id="121"/>
      <w:r/>
      <w:bookmarkStart w:id="122" w:name="_Hlt26954850"/>
      <w:r/>
      <w:bookmarkEnd w:id="122"/>
      <w:r/>
      <w:bookmarkStart w:id="123" w:name="_Toc14577360"/>
      <w:r/>
      <w:bookmarkStart w:id="124" w:name="_Toc49090511"/>
      <w:r>
        <w:rPr>
          <w:rFonts w:hint="eastAsia" w:ascii="宋体" w:hAnsi="宋体" w:eastAsia="宋体" w:cs="宋体"/>
          <w:bCs w:val="0"/>
          <w:highlight w:val="none"/>
        </w:rPr>
        <w:t xml:space="preserve">15.投标有效期</w:t>
      </w:r>
      <w:bookmarkEnd w:id="123"/>
      <w:r/>
      <w:bookmarkEnd w:id="124"/>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25" w:name="_Hlt26954739"/>
      <w:r/>
      <w:bookmarkEnd w:id="125"/>
      <w:r/>
      <w:bookmarkStart w:id="126" w:name="_Hlt26954852"/>
      <w:r/>
      <w:bookmarkEnd w:id="126"/>
      <w:r/>
      <w:bookmarkStart w:id="127" w:name="_Toc20823296"/>
      <w:r/>
      <w:bookmarkStart w:id="128" w:name="_Toc513029224"/>
      <w:r/>
      <w:bookmarkStart w:id="129" w:name="_Toc120614217"/>
      <w:r/>
      <w:bookmarkStart w:id="130" w:name="_Toc16938540"/>
      <w:r>
        <w:rPr>
          <w:rFonts w:hint="eastAsia" w:ascii="宋体" w:hAnsi="宋体" w:eastAsia="宋体" w:cs="宋体"/>
          <w:sz w:val="30"/>
          <w:szCs w:val="30"/>
          <w:highlight w:val="none"/>
        </w:rPr>
        <w:t xml:space="preserve">四、投标文件的递交</w:t>
      </w:r>
      <w:bookmarkEnd w:id="127"/>
      <w:r/>
      <w:bookmarkEnd w:id="128"/>
      <w:r/>
      <w:bookmarkEnd w:id="129"/>
      <w:r/>
      <w:bookmarkEnd w:id="130"/>
      <w:r/>
      <w:r/>
    </w:p>
    <w:p>
      <w:pPr>
        <w:pStyle w:val="980"/>
        <w:ind w:firstLine="422"/>
        <w:keepLines w:val="0"/>
        <w:keepNext w:val="0"/>
        <w:spacing w:before="0" w:after="0" w:line="500" w:lineRule="exact"/>
        <w:rPr>
          <w:rFonts w:hint="eastAsia" w:ascii="宋体" w:hAnsi="宋体" w:eastAsia="宋体" w:cs="宋体"/>
          <w:bCs w:val="0"/>
          <w:highlight w:val="none"/>
        </w:rPr>
      </w:pPr>
      <w:r/>
      <w:bookmarkStart w:id="131" w:name="_Toc462564084"/>
      <w:r/>
      <w:bookmarkStart w:id="132" w:name="_Toc513029225"/>
      <w:r/>
      <w:bookmarkStart w:id="133" w:name="_Toc20823297"/>
      <w:r/>
      <w:bookmarkStart w:id="134" w:name="_Toc16938541"/>
      <w:r>
        <w:rPr>
          <w:rFonts w:hint="eastAsia" w:ascii="宋体" w:hAnsi="宋体" w:eastAsia="宋体" w:cs="宋体"/>
          <w:bCs w:val="0"/>
          <w:highlight w:val="none"/>
        </w:rPr>
        <w:t xml:space="preserve">17.投标文件</w:t>
      </w:r>
      <w:bookmarkEnd w:id="131"/>
      <w:r/>
      <w:bookmarkEnd w:id="132"/>
      <w:r/>
      <w:bookmarkEnd w:id="133"/>
      <w:r/>
      <w:bookmarkEnd w:id="134"/>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1087"/>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5" w:name="_Toc20823298"/>
      <w:r/>
      <w:bookmarkStart w:id="136" w:name="_Toc513029226"/>
      <w:r/>
      <w:bookmarkStart w:id="137" w:name="_Toc16938542"/>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5"/>
      <w:r/>
      <w:bookmarkEnd w:id="136"/>
      <w:r/>
      <w:bookmarkEnd w:id="137"/>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38" w:name="_Toc20823299"/>
      <w:r/>
      <w:bookmarkStart w:id="139" w:name="_Toc513029227"/>
      <w:r/>
      <w:bookmarkStart w:id="140" w:name="_Toc16938543"/>
      <w:r>
        <w:rPr>
          <w:rFonts w:hint="eastAsia" w:ascii="宋体" w:hAnsi="宋体" w:eastAsia="宋体" w:cs="宋体"/>
          <w:bCs w:val="0"/>
          <w:highlight w:val="none"/>
        </w:rPr>
        <w:t xml:space="preserve">19.投标文件</w:t>
      </w:r>
      <w:bookmarkEnd w:id="138"/>
      <w:r/>
      <w:bookmarkEnd w:id="139"/>
      <w:r/>
      <w:bookmarkEnd w:id="140"/>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41" w:name="_Toc16938544"/>
      <w:r/>
      <w:bookmarkStart w:id="142" w:name="_Toc20823300"/>
      <w:r/>
      <w:bookmarkStart w:id="143" w:name="_Toc513029228"/>
      <w:r>
        <w:rPr>
          <w:rFonts w:hint="eastAsia" w:ascii="宋体" w:hAnsi="宋体" w:eastAsia="宋体" w:cs="宋体"/>
          <w:bCs w:val="0"/>
          <w:highlight w:val="none"/>
        </w:rPr>
        <w:t xml:space="preserve">20.投标文件的撤回和修改</w:t>
      </w:r>
      <w:bookmarkEnd w:id="141"/>
      <w:r/>
      <w:bookmarkEnd w:id="142"/>
      <w:r/>
      <w:bookmarkEnd w:id="143"/>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44" w:name="_Toc20823301"/>
      <w:r/>
      <w:bookmarkStart w:id="145" w:name="_Toc16938545"/>
      <w:r/>
      <w:bookmarkStart w:id="146" w:name="_Toc513029229"/>
      <w:r/>
      <w:bookmarkStart w:id="147" w:name="_Toc120614218"/>
      <w:r>
        <w:rPr>
          <w:rFonts w:hint="eastAsia" w:ascii="宋体" w:hAnsi="宋体" w:eastAsia="宋体" w:cs="宋体"/>
          <w:sz w:val="30"/>
          <w:szCs w:val="30"/>
          <w:highlight w:val="none"/>
        </w:rPr>
        <w:t xml:space="preserve">五、开标与评标</w:t>
      </w:r>
      <w:bookmarkEnd w:id="144"/>
      <w:r/>
      <w:bookmarkEnd w:id="145"/>
      <w:r/>
      <w:bookmarkEnd w:id="146"/>
      <w:r/>
      <w:bookmarkEnd w:id="147"/>
      <w:r/>
      <w:r/>
    </w:p>
    <w:p>
      <w:pPr>
        <w:pStyle w:val="980"/>
        <w:ind w:firstLine="422"/>
        <w:keepLines w:val="0"/>
        <w:keepNext w:val="0"/>
        <w:spacing w:before="0" w:after="0" w:line="500" w:lineRule="exact"/>
        <w:rPr>
          <w:rFonts w:hint="eastAsia" w:ascii="宋体" w:hAnsi="宋体" w:eastAsia="宋体" w:cs="宋体"/>
          <w:bCs w:val="0"/>
          <w:highlight w:val="none"/>
        </w:rPr>
      </w:pPr>
      <w:r/>
      <w:bookmarkStart w:id="148" w:name="_Toc16938546"/>
      <w:r/>
      <w:bookmarkStart w:id="149" w:name="_Toc513029230"/>
      <w:r/>
      <w:bookmarkStart w:id="150" w:name="_Toc20823302"/>
      <w:r>
        <w:rPr>
          <w:rFonts w:hint="eastAsia" w:ascii="宋体" w:hAnsi="宋体" w:eastAsia="宋体" w:cs="宋体"/>
          <w:bCs w:val="0"/>
          <w:highlight w:val="none"/>
        </w:rPr>
        <w:t xml:space="preserve">21.开标</w:t>
      </w:r>
      <w:bookmarkEnd w:id="148"/>
      <w:r/>
      <w:bookmarkEnd w:id="149"/>
      <w:r/>
      <w:bookmarkEnd w:id="150"/>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1" w:name="_Toc20823303"/>
      <w:r/>
      <w:bookmarkStart w:id="152" w:name="_Toc16938547"/>
      <w:r/>
      <w:bookmarkStart w:id="153" w:name="_Toc513029231"/>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1"/>
      <w:r/>
      <w:bookmarkEnd w:id="152"/>
      <w:r/>
      <w:bookmarkEnd w:id="15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4" w:name="_Toc513029232"/>
      <w:r/>
      <w:bookmarkStart w:id="155" w:name="_Toc16938548"/>
      <w:r/>
      <w:bookmarkStart w:id="156" w:name="_Toc20823304"/>
      <w:r>
        <w:rPr>
          <w:rFonts w:hint="eastAsia" w:ascii="宋体" w:hAnsi="宋体" w:eastAsia="宋体" w:cs="宋体"/>
          <w:bCs w:val="0"/>
          <w:highlight w:val="none"/>
        </w:rPr>
        <w:t xml:space="preserve">24.投标文件的澄清</w:t>
      </w:r>
      <w:bookmarkEnd w:id="154"/>
      <w:r/>
      <w:bookmarkEnd w:id="155"/>
      <w:r/>
      <w:bookmarkEnd w:id="156"/>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7" w:name="_Toc16938549"/>
      <w:r/>
      <w:bookmarkStart w:id="158" w:name="_Toc513029233"/>
      <w:r/>
      <w:bookmarkStart w:id="159" w:name="_Toc20823305"/>
      <w:r>
        <w:rPr>
          <w:rFonts w:hint="eastAsia" w:ascii="宋体" w:hAnsi="宋体" w:eastAsia="宋体" w:cs="宋体"/>
          <w:bCs w:val="0"/>
          <w:highlight w:val="none"/>
        </w:rPr>
        <w:t xml:space="preserve">25.对投标文件的初审</w:t>
      </w:r>
      <w:bookmarkEnd w:id="157"/>
      <w:r/>
      <w:bookmarkEnd w:id="158"/>
      <w:r/>
      <w:bookmarkEnd w:id="159"/>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60" w:name="_Toc20823306"/>
      <w:r/>
      <w:bookmarkStart w:id="161" w:name="_Toc16938550"/>
      <w:r/>
      <w:bookmarkStart w:id="162" w:name="_Toc513029234"/>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0"/>
      <w:r/>
      <w:bookmarkEnd w:id="161"/>
      <w:r/>
      <w:bookmarkEnd w:id="162"/>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3" w:name="_Toc513029235"/>
      <w:r/>
      <w:bookmarkStart w:id="164" w:name="_Toc16938551"/>
      <w:r/>
      <w:bookmarkStart w:id="165" w:name="_Toc20823307"/>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p>
    <w:p>
      <w:pPr>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p>
    <w:p>
      <w:pPr>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66" w:name="_Toc120614219"/>
      <w:r>
        <w:rPr>
          <w:rFonts w:hint="eastAsia" w:ascii="宋体" w:hAnsi="宋体" w:eastAsia="宋体" w:cs="宋体"/>
          <w:sz w:val="30"/>
          <w:szCs w:val="30"/>
          <w:highlight w:val="none"/>
        </w:rPr>
        <w:t xml:space="preserve">六、</w:t>
      </w:r>
      <w:bookmarkEnd w:id="163"/>
      <w:r/>
      <w:bookmarkEnd w:id="164"/>
      <w:r/>
      <w:bookmarkEnd w:id="165"/>
      <w:r>
        <w:rPr>
          <w:rFonts w:hint="eastAsia" w:ascii="宋体" w:hAnsi="宋体" w:eastAsia="宋体" w:cs="宋体"/>
          <w:sz w:val="30"/>
          <w:szCs w:val="30"/>
          <w:highlight w:val="none"/>
        </w:rPr>
        <w:t xml:space="preserve">定标</w:t>
      </w:r>
      <w:bookmarkEnd w:id="166"/>
      <w:r/>
      <w:r/>
    </w:p>
    <w:p>
      <w:pPr>
        <w:pStyle w:val="980"/>
        <w:ind w:firstLine="422"/>
        <w:keepLines w:val="0"/>
        <w:keepNext w:val="0"/>
        <w:spacing w:before="0" w:after="0" w:line="500" w:lineRule="exact"/>
        <w:rPr>
          <w:rFonts w:hint="eastAsia" w:ascii="宋体" w:hAnsi="宋体" w:eastAsia="宋体" w:cs="宋体"/>
          <w:bCs w:val="0"/>
          <w:highlight w:val="none"/>
        </w:rPr>
      </w:pPr>
      <w:r/>
      <w:bookmarkStart w:id="167" w:name="_Toc513029238"/>
      <w:r/>
      <w:bookmarkStart w:id="168" w:name="_Toc20823310"/>
      <w:r/>
      <w:bookmarkStart w:id="169" w:name="_Toc16938554"/>
      <w:r>
        <w:rPr>
          <w:rFonts w:hint="eastAsia" w:ascii="宋体" w:hAnsi="宋体" w:eastAsia="宋体" w:cs="宋体"/>
          <w:bCs w:val="0"/>
          <w:highlight w:val="none"/>
        </w:rPr>
        <w:t xml:space="preserve">27、</w:t>
      </w:r>
      <w:bookmarkEnd w:id="167"/>
      <w:r>
        <w:rPr>
          <w:rFonts w:hint="eastAsia" w:ascii="宋体" w:hAnsi="宋体" w:eastAsia="宋体" w:cs="宋体"/>
          <w:bCs w:val="0"/>
          <w:highlight w:val="none"/>
        </w:rPr>
        <w:t xml:space="preserve">确定</w:t>
      </w:r>
      <w:bookmarkEnd w:id="168"/>
      <w:r/>
      <w:bookmarkEnd w:id="169"/>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70"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71" w:name="_Toc120614220"/>
      <w:r/>
      <w:bookmarkStart w:id="172" w:name="_Toc20823308"/>
      <w:r/>
      <w:bookmarkStart w:id="173" w:name="_Toc16938552"/>
      <w:r/>
      <w:bookmarkStart w:id="174" w:name="_Toc513029236"/>
      <w:r>
        <w:rPr>
          <w:rFonts w:hint="eastAsia" w:ascii="宋体" w:hAnsi="宋体" w:eastAsia="宋体" w:cs="宋体"/>
          <w:sz w:val="30"/>
          <w:szCs w:val="30"/>
          <w:highlight w:val="none"/>
        </w:rPr>
        <w:t xml:space="preserve">七、授予合同</w:t>
      </w:r>
      <w:bookmarkEnd w:id="171"/>
      <w:r/>
      <w:bookmarkEnd w:id="172"/>
      <w:r/>
      <w:bookmarkEnd w:id="173"/>
      <w:r/>
      <w:bookmarkEnd w:id="174"/>
      <w:r/>
      <w:r/>
    </w:p>
    <w:p>
      <w:pPr>
        <w:pStyle w:val="980"/>
        <w:ind w:firstLine="422"/>
        <w:keepLines w:val="0"/>
        <w:keepNext w:val="0"/>
        <w:spacing w:before="0" w:after="0" w:line="500" w:lineRule="exact"/>
        <w:rPr>
          <w:rFonts w:hint="eastAsia" w:ascii="宋体" w:hAnsi="宋体" w:eastAsia="宋体" w:cs="宋体"/>
          <w:bCs w:val="0"/>
          <w:highlight w:val="none"/>
        </w:rPr>
      </w:pPr>
      <w:r/>
      <w:bookmarkStart w:id="175" w:name="_Toc513029237"/>
      <w:r/>
      <w:bookmarkStart w:id="176" w:name="_Toc20823309"/>
      <w:r/>
      <w:bookmarkStart w:id="177" w:name="_Toc16938553"/>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p>
    <w:p>
      <w:pPr>
        <w:pStyle w:val="1178"/>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32.本项目采购代理服务费由招标人支付，采购代理费按差额定率累进法，收费标准为：中标金额100万以下费率为中标金额的1.5%；中标金额100万－500万费率为中标金额的1.1%，中标金额</w:t>
      </w:r>
      <w:r>
        <w:rPr>
          <w:rFonts w:hint="eastAsia" w:ascii="宋体" w:hAnsi="宋体" w:cs="宋体"/>
          <w:sz w:val="24"/>
          <w:szCs w:val="24"/>
          <w:highlight w:val="none"/>
          <w:lang w:val="en-US" w:eastAsia="zh-CN" w:bidi="ar-SA"/>
        </w:rPr>
        <w:t xml:space="preserve">500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0.8</w:t>
      </w:r>
      <w:r>
        <w:rPr>
          <w:rFonts w:hint="eastAsia" w:ascii="宋体" w:hAnsi="宋体" w:eastAsia="宋体" w:cs="宋体"/>
          <w:sz w:val="24"/>
          <w:szCs w:val="24"/>
          <w:highlight w:val="none"/>
          <w:lang w:val="en-US" w:eastAsia="zh-CN" w:bidi="ar-SA"/>
        </w:rPr>
        <w:t xml:space="preserve">%，中标金额</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5000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0.5</w:t>
      </w:r>
      <w:r>
        <w:rPr>
          <w:rFonts w:hint="eastAsia" w:ascii="宋体" w:hAnsi="宋体" w:eastAsia="宋体" w:cs="宋体"/>
          <w:sz w:val="24"/>
          <w:szCs w:val="24"/>
          <w:highlight w:val="none"/>
          <w:lang w:val="en-US" w:eastAsia="zh-CN" w:bidi="ar-SA"/>
        </w:rPr>
        <w:t xml:space="preserve">%，在此基础上打七折计取。</w:t>
      </w:r>
      <w:bookmarkEnd w:id="175"/>
      <w:r/>
      <w:bookmarkEnd w:id="176"/>
      <w:r/>
      <w:bookmarkEnd w:id="177"/>
      <w:r/>
      <w:r/>
    </w:p>
    <w:p>
      <w:pPr>
        <w:pStyle w:val="842"/>
        <w:jc w:val="center"/>
        <w:spacing w:line="500" w:lineRule="exact"/>
        <w:rPr>
          <w:rFonts w:hint="eastAsia" w:ascii="宋体" w:hAnsi="宋体" w:eastAsia="宋体" w:cs="宋体"/>
          <w:bCs/>
          <w:sz w:val="36"/>
          <w:szCs w:val="36"/>
          <w:highlight w:val="none"/>
        </w:rPr>
        <w:outlineLvl w:val="0"/>
      </w:pPr>
      <w:r/>
      <w:bookmarkStart w:id="178" w:name="_Toc20823314"/>
      <w:r/>
      <w:bookmarkStart w:id="179" w:name="_Toc479757207"/>
      <w:r/>
      <w:bookmarkStart w:id="180" w:name="_Toc513029242"/>
      <w:r/>
      <w:bookmarkStart w:id="181" w:name="_Toc120614221"/>
      <w:r/>
      <w:bookmarkStart w:id="182" w:name="_Toc16938558"/>
      <w:r>
        <w:rPr>
          <w:rFonts w:hint="eastAsia" w:ascii="宋体" w:hAnsi="宋体" w:eastAsia="宋体" w:cs="宋体"/>
          <w:bCs/>
          <w:sz w:val="24"/>
          <w:highlight w:val="none"/>
          <w:shd w:val="clear" w:color="ffffff" w:fill="d9d9d9"/>
        </w:rPr>
        <w:br w:type="page" w:clear="all"/>
      </w:r>
      <w:bookmarkStart w:id="183" w:name="_Toc29592"/>
      <w:r>
        <w:rPr>
          <w:rFonts w:hint="eastAsia" w:ascii="宋体" w:hAnsi="宋体" w:eastAsia="宋体" w:cs="宋体"/>
          <w:bCs/>
          <w:sz w:val="36"/>
          <w:szCs w:val="36"/>
          <w:highlight w:val="none"/>
        </w:rPr>
        <w:t xml:space="preserve">第三章  合同</w:t>
      </w:r>
      <w:bookmarkEnd w:id="178"/>
      <w:r/>
      <w:bookmarkEnd w:id="179"/>
      <w:r/>
      <w:bookmarkEnd w:id="180"/>
      <w:r/>
      <w:bookmarkEnd w:id="181"/>
      <w:r/>
      <w:bookmarkEnd w:id="182"/>
      <w:r>
        <w:rPr>
          <w:rFonts w:hint="eastAsia" w:ascii="宋体" w:hAnsi="宋体" w:eastAsia="宋体" w:cs="宋体"/>
          <w:bCs/>
          <w:sz w:val="36"/>
          <w:szCs w:val="36"/>
          <w:highlight w:val="none"/>
        </w:rPr>
        <w:t xml:space="preserve">文本</w:t>
      </w:r>
      <w:bookmarkEnd w:id="183"/>
      <w:r/>
      <w:r/>
    </w:p>
    <w:p>
      <w:pPr>
        <w:ind w:firstLine="480"/>
        <w:spacing w:line="400" w:lineRule="exact"/>
        <w:rPr>
          <w:rFonts w:hint="eastAsia" w:ascii="宋体" w:hAnsi="宋体"/>
          <w:bCs/>
          <w:sz w:val="24"/>
          <w:highlight w:val="cyan"/>
        </w:rPr>
      </w:pPr>
      <w:r/>
      <w:bookmarkStart w:id="184" w:name="_Hlt16619369"/>
      <w:r/>
      <w:bookmarkEnd w:id="184"/>
      <w:r/>
      <w:bookmarkStart w:id="185" w:name="_Hlt16619350"/>
      <w:r/>
      <w:bookmarkStart w:id="186" w:name="_Toc2602"/>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sz w:val="24"/>
          <w:highlight w:val="cyan"/>
        </w:rPr>
        <w:t xml:space="preserve">以下为中标后签订本项目合同的通用条款，中标人不得提出实质性的修改。</w:t>
      </w:r>
      <w:r/>
    </w:p>
    <w:p>
      <w:pPr>
        <w:ind w:firstLine="602"/>
        <w:jc w:val="center"/>
        <w:spacing w:line="400" w:lineRule="exact"/>
        <w:rPr>
          <w:rFonts w:hint="default" w:ascii="宋体" w:hAnsi="宋体"/>
          <w:b/>
          <w:bCs/>
          <w:color w:val="0000ff"/>
          <w:sz w:val="30"/>
          <w:szCs w:val="20"/>
          <w:highlight w:val="cyan"/>
        </w:rPr>
      </w:pPr>
      <w:r>
        <w:rPr>
          <w:rFonts w:hint="eastAsia" w:ascii="宋体" w:hAnsi="宋体"/>
          <w:b/>
          <w:color w:val="0000ff"/>
          <w:sz w:val="30"/>
          <w:highlight w:val="cyan"/>
        </w:rPr>
        <w:t xml:space="preserve">江苏省政府采购合同（货物）（合同编号）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项目名称：                                       项目编号：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甲方：（买方、需方、采购人）_________</w:t>
      </w:r>
      <w:r/>
    </w:p>
    <w:p>
      <w:pPr>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乙方：（卖方、供方、供应商）_________</w:t>
      </w:r>
      <w:r/>
    </w:p>
    <w:p>
      <w:pPr>
        <w:ind w:firstLine="480"/>
        <w:spacing w:line="400" w:lineRule="exact"/>
        <w:rPr>
          <w:rFonts w:hint="default" w:ascii="宋体" w:hAnsi="宋体" w:cs="Courier New"/>
          <w:b/>
          <w:color w:val="000000"/>
          <w:sz w:val="24"/>
          <w:szCs w:val="24"/>
          <w:highlight w:val="cyan"/>
        </w:rPr>
      </w:pPr>
      <w:r>
        <w:rPr>
          <w:rFonts w:hint="default" w:ascii="宋体" w:hAnsi="宋体" w:cs="Courier New"/>
          <w:color w:val="000000"/>
          <w:sz w:val="24"/>
          <w:szCs w:val="24"/>
          <w:highlight w:val="cyan"/>
        </w:rPr>
        <w:t xml:space="preserve">甲、乙双方根据</w:t>
      </w:r>
      <w:r>
        <w:rPr>
          <w:rFonts w:hint="eastAsia" w:ascii="宋体" w:hAnsi="宋体" w:cs="Courier New"/>
          <w:color w:val="000000"/>
          <w:sz w:val="24"/>
          <w:szCs w:val="24"/>
          <w:highlight w:val="cyan"/>
        </w:rPr>
        <w:t xml:space="preserve">无锡市公共资源交易中心新吴分中心</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项目公开招标的结果，签署本合同。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一、</w:t>
      </w:r>
      <w:r>
        <w:rPr>
          <w:rFonts w:hint="eastAsia" w:ascii="宋体" w:hAnsi="宋体" w:cs="Courier New"/>
          <w:b/>
          <w:color w:val="000000"/>
          <w:sz w:val="24"/>
          <w:szCs w:val="24"/>
          <w:highlight w:val="cyan"/>
        </w:rPr>
        <w:t xml:space="preserve">合同</w:t>
      </w:r>
      <w:r>
        <w:rPr>
          <w:rFonts w:hint="default" w:ascii="宋体" w:hAnsi="宋体" w:cs="Courier New"/>
          <w:b/>
          <w:color w:val="000000"/>
          <w:sz w:val="24"/>
          <w:szCs w:val="24"/>
          <w:highlight w:val="cyan"/>
        </w:rPr>
        <w:t xml:space="preserve">内容</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1.1 </w:t>
      </w:r>
      <w:r>
        <w:rPr>
          <w:rFonts w:hint="eastAsia" w:ascii="宋体" w:hAnsi="宋体" w:cs="Courier New"/>
          <w:color w:val="000000"/>
          <w:sz w:val="24"/>
          <w:szCs w:val="24"/>
          <w:highlight w:val="cyan"/>
        </w:rPr>
        <w:t xml:space="preserve">标的</w:t>
      </w:r>
      <w:r>
        <w:rPr>
          <w:rFonts w:hint="default" w:ascii="宋体" w:hAnsi="宋体" w:cs="Courier New"/>
          <w:color w:val="000000"/>
          <w:sz w:val="24"/>
          <w:szCs w:val="24"/>
          <w:highlight w:val="cyan"/>
        </w:rPr>
        <w:t xml:space="preserve">名称：</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1.2</w:t>
      </w:r>
      <w:r>
        <w:rPr>
          <w:rFonts w:hint="eastAsia" w:ascii="宋体" w:hAnsi="宋体" w:cs="Courier New"/>
          <w:color w:val="000000"/>
          <w:sz w:val="24"/>
          <w:szCs w:val="24"/>
          <w:highlight w:val="cyan"/>
        </w:rPr>
        <w:t xml:space="preserve"> 标的质量：</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1.3 标的数量（规模）：</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1.4 履行时间（期限）：</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1.5 履行地点：</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 履行方式：</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1.7 包装方式：</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二、合同金额</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2.1</w:t>
      </w:r>
      <w:r>
        <w:rPr>
          <w:rFonts w:hint="default" w:hAnsi="宋体"/>
          <w:sz w:val="24"/>
          <w:szCs w:val="24"/>
          <w:highlight w:val="cyan"/>
        </w:rPr>
        <w:t xml:space="preserve">本合同金额为（大写）： _____________</w:t>
      </w:r>
      <w:r>
        <w:rPr>
          <w:rFonts w:hint="eastAsia" w:hAnsi="宋体"/>
          <w:sz w:val="24"/>
          <w:szCs w:val="24"/>
          <w:highlight w:val="cyan"/>
        </w:rPr>
        <w:t xml:space="preserve">圆</w:t>
      </w:r>
      <w:r>
        <w:rPr>
          <w:rFonts w:hint="default" w:hAnsi="宋体"/>
          <w:sz w:val="24"/>
          <w:szCs w:val="24"/>
          <w:highlight w:val="cyan"/>
        </w:rPr>
        <w:t xml:space="preserve">（______元）人民币</w:t>
      </w:r>
      <w:r>
        <w:rPr>
          <w:rFonts w:hint="eastAsia" w:hAnsi="宋体"/>
          <w:sz w:val="24"/>
          <w:szCs w:val="24"/>
          <w:highlight w:val="cyan"/>
        </w:rPr>
        <w:t xml:space="preserve">或其他币种</w:t>
      </w:r>
      <w:r>
        <w:rPr>
          <w:rFonts w:hint="default" w:hAnsi="宋体"/>
          <w:sz w:val="24"/>
          <w:szCs w:val="24"/>
          <w:highlight w:val="cyan"/>
        </w:rPr>
        <w:t xml:space="preserve">。</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三、技术资料</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3.1乙方应按招标文件规定的时间向甲方提供使用货物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的有关技术资料。</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四、知识产权</w:t>
      </w:r>
      <w:r/>
    </w:p>
    <w:p>
      <w:pPr>
        <w:ind w:firstLine="480"/>
        <w:spacing w:line="400" w:lineRule="exact"/>
        <w:rPr>
          <w:rFonts w:hint="eastAsia" w:ascii="宋体" w:hAnsi="宋体"/>
          <w:color w:val="000000"/>
          <w:sz w:val="24"/>
          <w:highlight w:val="cyan"/>
        </w:rPr>
      </w:pPr>
      <w:r>
        <w:rPr>
          <w:rFonts w:hint="default" w:hAnsi="宋体"/>
          <w:color w:val="000000"/>
          <w:sz w:val="24"/>
          <w:szCs w:val="24"/>
          <w:highlight w:val="cyan"/>
        </w:rPr>
        <w:t xml:space="preserve">4.1乙</w:t>
      </w:r>
      <w:r>
        <w:rPr>
          <w:rFonts w:hint="eastAsia" w:ascii="宋体" w:hAnsi="宋体"/>
          <w:color w:val="000000"/>
          <w:sz w:val="24"/>
          <w:highlight w:val="cyan"/>
        </w:rPr>
        <w:t xml:space="preserve">方应保证甲方在使用、接受本合同货物</w:t>
      </w:r>
      <w:r>
        <w:rPr>
          <w:rFonts w:hint="eastAsia" w:hAnsi="宋体"/>
          <w:color w:val="000000"/>
          <w:sz w:val="24"/>
          <w:szCs w:val="24"/>
          <w:highlight w:val="cyan"/>
        </w:rPr>
        <w:t xml:space="preserve">（包含与货物相关的服务）</w:t>
      </w:r>
      <w:r>
        <w:rPr>
          <w:rFonts w:hint="eastAsia" w:ascii="宋体" w:hAnsi="宋体"/>
          <w:color w:val="000000"/>
          <w:sz w:val="24"/>
          <w:highlight w:val="cyan"/>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cyan"/>
        </w:rPr>
      </w:pPr>
      <w:r>
        <w:rPr>
          <w:rFonts w:hint="eastAsia" w:hAnsi="宋体"/>
          <w:sz w:val="24"/>
          <w:szCs w:val="24"/>
          <w:highlight w:val="cyan"/>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default" w:ascii="宋体" w:hAnsi="宋体" w:cs="Courier New"/>
          <w:color w:val="000000"/>
          <w:sz w:val="24"/>
          <w:szCs w:val="24"/>
          <w:highlight w:val="cyan"/>
          <w:u w:val="single"/>
        </w:rPr>
      </w:pPr>
      <w:r>
        <w:rPr>
          <w:rFonts w:hint="default" w:ascii="宋体" w:hAnsi="宋体" w:cs="Courier New"/>
          <w:b/>
          <w:color w:val="000000"/>
          <w:sz w:val="24"/>
          <w:szCs w:val="24"/>
          <w:highlight w:val="cyan"/>
        </w:rPr>
        <w:t xml:space="preserve">五、产权担保</w:t>
      </w:r>
      <w:r/>
    </w:p>
    <w:p>
      <w:pPr>
        <w:ind w:firstLine="480"/>
        <w:spacing w:line="400" w:lineRule="exact"/>
        <w:rPr>
          <w:rFonts w:hint="default" w:ascii="宋体" w:hAnsi="宋体" w:cs="Courier New"/>
          <w:color w:val="000000"/>
          <w:sz w:val="24"/>
          <w:szCs w:val="24"/>
          <w:highlight w:val="cyan"/>
          <w:u w:val="single"/>
        </w:rPr>
      </w:pPr>
      <w:r>
        <w:rPr>
          <w:rFonts w:hint="default" w:ascii="宋体" w:hAnsi="宋体" w:cs="Courier New"/>
          <w:color w:val="000000"/>
          <w:sz w:val="24"/>
          <w:szCs w:val="24"/>
          <w:highlight w:val="cyan"/>
        </w:rPr>
        <w:t xml:space="preserve">5.1 乙方保证所交付的货物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的所有权完全属于乙方且无任何抵押、查封等产权瑕疵。</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六、履约保证金</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6.1乙方交纳人民币__元作为本合同的履约保证金。</w:t>
      </w:r>
      <w:r>
        <w:rPr>
          <w:rFonts w:hint="eastAsia" w:ascii="宋体" w:hAnsi="宋体" w:cs="Courier New"/>
          <w:color w:val="000000"/>
          <w:sz w:val="24"/>
          <w:szCs w:val="24"/>
          <w:highlight w:val="cyan"/>
        </w:rPr>
        <w:t xml:space="preserve">（不得超过合同金额的10%）</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6.2合同履行结束后，甲方应及时退还交纳的履约保证金。</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6.2.1履约保证金退还方式：</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6.2.2履约保证金退还时间：</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6.2.3履约保证金退还条件：</w:t>
      </w:r>
      <w:r>
        <w:rPr>
          <w:rFonts w:hint="eastAsia" w:ascii="宋体" w:hAnsi="宋体" w:cs="宋体"/>
          <w:sz w:val="24"/>
          <w:szCs w:val="21"/>
          <w:highlight w:val="cyan"/>
          <w:lang w:val="zh-CN" w:eastAsia="zh-CN"/>
        </w:rPr>
        <w:t xml:space="preserve">履约保证金将在服务期满并验收合格后退回。</w:t>
      </w:r>
      <w:r/>
    </w:p>
    <w:p>
      <w:pPr>
        <w:ind w:firstLine="480"/>
        <w:spacing w:line="360" w:lineRule="auto"/>
        <w:tabs>
          <w:tab w:val="left" w:pos="525" w:leader="none"/>
          <w:tab w:val="left" w:pos="945" w:leader="none"/>
        </w:tabs>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6.2.4履约保证金不予退还的情形：</w:t>
      </w:r>
      <w:r>
        <w:rPr>
          <w:rFonts w:hint="eastAsia" w:ascii="宋体" w:hAnsi="宋体" w:cs="宋体"/>
          <w:sz w:val="24"/>
          <w:szCs w:val="21"/>
          <w:highlight w:val="cyan"/>
          <w:lang w:val="zh-CN"/>
        </w:rPr>
        <w:t xml:space="preserve">履约过程中中标供应商在服务期、质量标准、将中标项目转包或分包给他人的、拒绝履行合同义务等方面发生的不履约或违背合同规定的责任和义务的行为,都可能导致招标人扣缴其部分履约保证金乃至不退还全部履约保证金。</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七、合同转包或分包</w:t>
      </w:r>
      <w:r/>
    </w:p>
    <w:p>
      <w:pPr>
        <w:ind w:firstLine="480"/>
        <w:spacing w:line="400" w:lineRule="exact"/>
        <w:rPr>
          <w:rFonts w:hint="eastAsia" w:ascii="宋体" w:hAnsi="宋体"/>
          <w:color w:val="000000"/>
          <w:sz w:val="24"/>
          <w:szCs w:val="24"/>
          <w:highlight w:val="cyan"/>
        </w:rPr>
      </w:pPr>
      <w:r>
        <w:rPr>
          <w:rFonts w:hint="eastAsia" w:ascii="宋体" w:hAnsi="宋体"/>
          <w:color w:val="000000"/>
          <w:sz w:val="24"/>
          <w:szCs w:val="24"/>
          <w:highlight w:val="cyan"/>
        </w:rPr>
        <w:t xml:space="preserve">7.1乙方不得将合同标的转包给他人履行。</w:t>
      </w:r>
      <w:r/>
    </w:p>
    <w:p>
      <w:pPr>
        <w:ind w:firstLine="480"/>
        <w:spacing w:line="400" w:lineRule="exact"/>
        <w:rPr>
          <w:rFonts w:hint="eastAsia" w:ascii="宋体" w:hAnsi="宋体"/>
          <w:color w:val="000000"/>
          <w:sz w:val="24"/>
          <w:szCs w:val="24"/>
          <w:highlight w:val="cyan"/>
        </w:rPr>
      </w:pPr>
      <w:r>
        <w:rPr>
          <w:rFonts w:hint="eastAsia" w:ascii="宋体" w:hAnsi="宋体"/>
          <w:sz w:val="24"/>
          <w:szCs w:val="24"/>
          <w:highlight w:val="cyan"/>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olor w:val="000000"/>
          <w:sz w:val="24"/>
          <w:szCs w:val="24"/>
          <w:highlight w:val="cyan"/>
        </w:rPr>
      </w:pPr>
      <w:r>
        <w:rPr>
          <w:rFonts w:hint="default" w:ascii="宋体" w:hAnsi="宋体"/>
          <w:color w:val="000000"/>
          <w:sz w:val="24"/>
          <w:szCs w:val="24"/>
          <w:highlight w:val="cyan"/>
        </w:rPr>
        <w:t xml:space="preserve">7.3</w:t>
      </w:r>
      <w:r>
        <w:rPr>
          <w:rFonts w:hint="eastAsia" w:ascii="宋体" w:hAnsi="宋体"/>
          <w:color w:val="000000"/>
          <w:sz w:val="24"/>
          <w:szCs w:val="24"/>
          <w:highlight w:val="cyan"/>
        </w:rPr>
        <w:t xml:space="preserve">乙方如有转包或未经甲方同意的分包行为，甲方有权给予终止合同。</w:t>
      </w:r>
      <w:r/>
    </w:p>
    <w:p>
      <w:pPr>
        <w:ind w:firstLine="482"/>
        <w:spacing w:line="400" w:lineRule="exact"/>
        <w:rPr>
          <w:rFonts w:hint="default" w:ascii="宋体" w:hAnsi="宋体" w:cs="Courier New"/>
          <w:b/>
          <w:color w:val="000000"/>
          <w:sz w:val="24"/>
          <w:szCs w:val="24"/>
          <w:highlight w:val="cyan"/>
        </w:rPr>
      </w:pPr>
      <w:r>
        <w:rPr>
          <w:rFonts w:hint="eastAsia" w:ascii="宋体" w:hAnsi="宋体" w:cs="Courier New"/>
          <w:b/>
          <w:color w:val="000000"/>
          <w:sz w:val="24"/>
          <w:szCs w:val="24"/>
          <w:highlight w:val="cyan"/>
        </w:rPr>
        <w:t xml:space="preserve">八</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合同款项</w:t>
      </w:r>
      <w:r>
        <w:rPr>
          <w:rFonts w:hint="default" w:ascii="宋体" w:hAnsi="宋体" w:cs="Courier New"/>
          <w:b/>
          <w:color w:val="000000"/>
          <w:sz w:val="24"/>
          <w:szCs w:val="24"/>
          <w:highlight w:val="cyan"/>
        </w:rPr>
        <w:t xml:space="preserve">支付</w:t>
      </w:r>
      <w:r/>
    </w:p>
    <w:p>
      <w:pPr>
        <w:ind w:firstLine="480"/>
        <w:spacing w:line="400" w:lineRule="exact"/>
        <w:rPr>
          <w:rFonts w:hint="eastAsia"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.1</w:t>
      </w:r>
      <w:r>
        <w:rPr>
          <w:rFonts w:hint="eastAsia" w:ascii="宋体" w:hAnsi="宋体" w:cs="Courier New"/>
          <w:bCs/>
          <w:color w:val="000000"/>
          <w:sz w:val="24"/>
          <w:szCs w:val="24"/>
          <w:highlight w:val="cyan"/>
        </w:rPr>
        <w:t xml:space="preserve">合同款项的支付方式及进度安排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8．1.1预付款支付时间：合同签订后，预付款支付比例：合同金额的30%。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8.1.2尾款支付时间：合同签订生效后，预付合同总价的30%；货物安装调试结束，并经验收合格后支付至不超过合同执行价的70%；审计结束后付至合同审定价的97%；货物保修期满经项目使用单位确认保修质量和保修效果后，结清全部货物余款。</w:t>
      </w:r>
      <w:r>
        <w:rPr>
          <w:sz w:val="21"/>
        </w:rPr>
      </w:r>
      <w:r/>
    </w:p>
    <w:p>
      <w:pPr>
        <w:spacing w:line="400" w:lineRule="exact"/>
        <w:rPr>
          <w:rFonts w:hint="default" w:ascii="宋体" w:hAnsi="宋体" w:cs="Courier New"/>
          <w:bCs/>
          <w:color w:val="000000"/>
          <w:sz w:val="24"/>
          <w:szCs w:val="24"/>
          <w:highlight w:val="cyan"/>
        </w:rPr>
      </w:pPr>
      <w:r>
        <w:rPr>
          <w:rFonts w:hint="eastAsia" w:hAnsi="宋体"/>
          <w:bCs/>
          <w:sz w:val="24"/>
          <w:szCs w:val="24"/>
          <w:highlight w:val="cya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default"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.2</w:t>
      </w:r>
      <w:r>
        <w:rPr>
          <w:rFonts w:hint="default" w:ascii="宋体" w:hAnsi="宋体" w:cs="Courier New"/>
          <w:color w:val="000000"/>
          <w:sz w:val="24"/>
          <w:szCs w:val="24"/>
          <w:highlight w:val="cyan"/>
        </w:rPr>
        <w:t xml:space="preserve">当采购数量与实际使用数量不一致时，</w:t>
      </w:r>
      <w:r>
        <w:rPr>
          <w:rFonts w:hint="eastAsia" w:ascii="宋体" w:hAnsi="宋体" w:cs="Courier New"/>
          <w:color w:val="000000"/>
          <w:sz w:val="24"/>
          <w:szCs w:val="24"/>
          <w:highlight w:val="cyan"/>
        </w:rPr>
        <w:t xml:space="preserve">乙方</w:t>
      </w:r>
      <w:r>
        <w:rPr>
          <w:rFonts w:hint="default" w:ascii="宋体" w:hAnsi="宋体" w:cs="Courier New"/>
          <w:color w:val="000000"/>
          <w:sz w:val="24"/>
          <w:szCs w:val="24"/>
          <w:highlight w:val="cyan"/>
        </w:rPr>
        <w:t xml:space="preserve">应根据实际使用量供货，合同的最终结算金额按实际使用量乘以成交单价进行计算。</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九、税费</w:t>
      </w:r>
      <w:r/>
    </w:p>
    <w:p>
      <w:pPr>
        <w:ind w:firstLine="480"/>
        <w:spacing w:line="400" w:lineRule="exact"/>
        <w:rPr>
          <w:rFonts w:hint="default" w:ascii="宋体" w:hAnsi="宋体" w:eastAsia="仿宋_GB2312"/>
          <w:color w:val="000000"/>
          <w:sz w:val="24"/>
          <w:szCs w:val="24"/>
          <w:highlight w:val="cyan"/>
        </w:rPr>
      </w:pPr>
      <w:r>
        <w:rPr>
          <w:rFonts w:hint="eastAsia" w:ascii="宋体" w:hAnsi="宋体"/>
          <w:color w:val="000000"/>
          <w:sz w:val="24"/>
          <w:szCs w:val="24"/>
          <w:highlight w:val="cyan"/>
        </w:rPr>
        <w:t xml:space="preserve">9</w:t>
      </w:r>
      <w:r>
        <w:rPr>
          <w:rFonts w:hint="default" w:ascii="宋体" w:hAnsi="宋体"/>
          <w:color w:val="000000"/>
          <w:sz w:val="24"/>
          <w:szCs w:val="24"/>
          <w:highlight w:val="cyan"/>
        </w:rPr>
        <w:t xml:space="preserve">.1</w:t>
      </w:r>
      <w:r>
        <w:rPr>
          <w:rFonts w:hint="eastAsia" w:ascii="宋体" w:hAnsi="宋体"/>
          <w:color w:val="000000"/>
          <w:sz w:val="24"/>
          <w:szCs w:val="24"/>
          <w:highlight w:val="cyan"/>
        </w:rPr>
        <w:t xml:space="preserve">本合同执行中相关的一切税费均由乙方负担。</w:t>
      </w:r>
      <w:r/>
    </w:p>
    <w:p>
      <w:pPr>
        <w:ind w:firstLine="482"/>
        <w:spacing w:line="400" w:lineRule="exact"/>
        <w:rPr>
          <w:rFonts w:hint="default" w:ascii="宋体" w:hAnsi="宋体" w:cs="Courier New"/>
          <w:color w:val="000000"/>
          <w:sz w:val="24"/>
          <w:szCs w:val="24"/>
          <w:highlight w:val="cyan"/>
        </w:rPr>
      </w:pPr>
      <w:r>
        <w:rPr>
          <w:rFonts w:hint="default" w:ascii="宋体" w:hAnsi="宋体" w:cs="Courier New"/>
          <w:b/>
          <w:color w:val="000000"/>
          <w:sz w:val="24"/>
          <w:szCs w:val="24"/>
          <w:highlight w:val="cyan"/>
        </w:rPr>
        <w:t xml:space="preserve">十、质量</w:t>
      </w:r>
      <w:r>
        <w:rPr>
          <w:rFonts w:hint="eastAsia" w:ascii="宋体" w:hAnsi="宋体" w:cs="Courier New"/>
          <w:b/>
          <w:color w:val="000000"/>
          <w:sz w:val="24"/>
          <w:szCs w:val="24"/>
          <w:highlight w:val="cyan"/>
        </w:rPr>
        <w:t xml:space="preserve">保修范围和保修期</w:t>
      </w:r>
      <w:r>
        <w:rPr>
          <w:rFonts w:hint="default" w:ascii="宋体" w:hAnsi="宋体" w:cs="Courier New"/>
          <w:b/>
          <w:color w:val="000000"/>
          <w:sz w:val="24"/>
          <w:szCs w:val="24"/>
          <w:highlight w:val="cyan"/>
        </w:rPr>
        <w:t xml:space="preserve">及售后服务</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.1 乙方应按招标文件规定的货物性能、技术要求、质量标准向甲方提供未经使用的全新产品。</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⑴更换：由乙方承担所发生的全部费用。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⑵贬值处理：由甲乙双方合议定价。</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⑶退货处理：乙方应退还甲方支付的合同款，同时应承担该货物的直接费用（运输、保险、检验、货款利息及银行手续费等）。</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.3 如在使用过程中发生质量问题，乙方在接到甲方通知后在_________小时内到达甲方现场。</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.4 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.5上述的货物免费保修期为</w:t>
      </w:r>
      <w:r>
        <w:rPr>
          <w:rFonts w:hint="default"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cyan"/>
        </w:rPr>
        <w:t xml:space="preserve">身</w:t>
      </w:r>
      <w:r>
        <w:rPr>
          <w:rFonts w:hint="default" w:ascii="宋体" w:hAnsi="宋体" w:cs="Courier New"/>
          <w:color w:val="000000"/>
          <w:sz w:val="24"/>
          <w:szCs w:val="24"/>
          <w:highlight w:val="cyan"/>
        </w:rPr>
        <w:t xml:space="preserve">维修，维修时只收部件成本费。</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一</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项目</w:t>
      </w:r>
      <w:r>
        <w:rPr>
          <w:rFonts w:hint="default" w:ascii="宋体" w:hAnsi="宋体" w:cs="Courier New"/>
          <w:b/>
          <w:color w:val="000000"/>
          <w:sz w:val="24"/>
          <w:szCs w:val="24"/>
          <w:highlight w:val="cyan"/>
        </w:rPr>
        <w:t xml:space="preserve">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11.1 甲方依法组织履约验收工作。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二</w:t>
      </w:r>
      <w:r>
        <w:rPr>
          <w:rFonts w:hint="default" w:ascii="宋体" w:hAnsi="宋体" w:cs="Courier New"/>
          <w:b/>
          <w:color w:val="000000"/>
          <w:sz w:val="24"/>
          <w:szCs w:val="24"/>
          <w:highlight w:val="cyan"/>
        </w:rPr>
        <w:t xml:space="preserve">、货物</w:t>
      </w:r>
      <w:r>
        <w:rPr>
          <w:rFonts w:hint="eastAsia" w:ascii="宋体" w:hAnsi="宋体" w:cs="Courier New"/>
          <w:b/>
          <w:color w:val="000000"/>
          <w:sz w:val="24"/>
          <w:szCs w:val="24"/>
          <w:highlight w:val="cyan"/>
        </w:rPr>
        <w:t xml:space="preserve">的</w:t>
      </w:r>
      <w:r>
        <w:rPr>
          <w:rFonts w:hint="default" w:ascii="宋体" w:hAnsi="宋体" w:cs="Courier New"/>
          <w:b/>
          <w:color w:val="000000"/>
          <w:sz w:val="24"/>
          <w:szCs w:val="24"/>
          <w:highlight w:val="cyan"/>
        </w:rPr>
        <w:t xml:space="preserve">包装、发运及运输</w:t>
      </w:r>
      <w:r/>
    </w:p>
    <w:p>
      <w:pPr>
        <w:ind w:firstLine="480"/>
        <w:spacing w:line="400" w:lineRule="exact"/>
        <w:rPr>
          <w:rFonts w:hint="default" w:ascii="宋体" w:hAnsi="宋体" w:cs="Courier New"/>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.1 乙方应在货物发运前对其进行满足运输距离、防潮、防震、防锈和防破损装卸等</w:t>
      </w:r>
      <w:r>
        <w:rPr>
          <w:rFonts w:hint="default" w:ascii="宋体" w:hAnsi="宋体" w:cs="Courier New"/>
          <w:sz w:val="24"/>
          <w:szCs w:val="24"/>
          <w:highlight w:val="cyan"/>
        </w:rPr>
        <w:t xml:space="preserve">要求包装，以保证货物安全运达甲方指定地点。</w:t>
      </w:r>
      <w:r>
        <w:rPr>
          <w:rFonts w:hint="eastAsia" w:ascii="宋体" w:hAnsi="宋体"/>
          <w:sz w:val="24"/>
          <w:szCs w:val="24"/>
          <w:highlight w:val="cyan"/>
        </w:rPr>
        <w:t xml:space="preserve">乙方对货物的包装应符合《商品包装政府采购需求标准（试行）》、《快递包装政府采购需求标准（试行）》的规定。</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.2 使用说明书、质量检验证明书、随配附件和工具以及清单一并附于货物内。</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.3 乙方在货物发运手续办理完毕后24小时内或货到甲方48小时前通知甲方，以准备接货。</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.4 货物在交付甲方前发生的风险均由乙方负责。</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.5 货物在规定的交付期限内由乙方送达甲方指定的地点视为交付，乙方同时需通知甲方货物已送达。</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三</w:t>
      </w:r>
      <w:r>
        <w:rPr>
          <w:rFonts w:hint="default" w:ascii="宋体" w:hAnsi="宋体" w:cs="Courier New"/>
          <w:b/>
          <w:color w:val="000000"/>
          <w:sz w:val="24"/>
          <w:szCs w:val="24"/>
          <w:highlight w:val="cyan"/>
        </w:rPr>
        <w:t xml:space="preserve">、违约责任</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.1 甲方无正当理由拒收货物的，甲方向乙方偿付拒收货款总值</w:t>
      </w:r>
      <w:r>
        <w:rPr>
          <w:rFonts w:hint="eastAsia" w:ascii="宋体" w:hAnsi="宋体" w:cs="Courier New"/>
          <w:color w:val="000000"/>
          <w:sz w:val="24"/>
          <w:szCs w:val="24"/>
          <w:highlight w:val="cyan"/>
          <w:u w:val="single"/>
        </w:rPr>
        <w:t xml:space="preserve">3%</w:t>
      </w:r>
      <w:r>
        <w:rPr>
          <w:rFonts w:hint="default" w:ascii="宋体" w:hAnsi="宋体" w:cs="Courier New"/>
          <w:color w:val="000000"/>
          <w:sz w:val="24"/>
          <w:szCs w:val="24"/>
          <w:highlight w:val="cyan"/>
        </w:rPr>
        <w:t xml:space="preserve">的违约金。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.2 甲方无故逾期验收和办理货款支付手续的,甲方应按逾期付款总额每日</w:t>
      </w:r>
      <w:r>
        <w:rPr>
          <w:rFonts w:ascii="SimSun" w:hAnsi="SimSun" w:eastAsia="SimSun" w:cs="SimSun"/>
          <w:color w:val="000000"/>
          <w:sz w:val="24"/>
          <w:highlight w:val="cyan"/>
          <w:u w:val="single"/>
        </w:rPr>
        <w:t xml:space="preserve">千分之六</w:t>
      </w:r>
      <w:r>
        <w:rPr>
          <w:rFonts w:hint="default" w:ascii="宋体" w:hAnsi="宋体" w:cs="Courier New"/>
          <w:color w:val="000000"/>
          <w:sz w:val="24"/>
          <w:szCs w:val="24"/>
          <w:highlight w:val="cyan"/>
        </w:rPr>
        <w:t xml:space="preserve">向乙方支付违约金。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cyan"/>
          <w:u w:val="single"/>
        </w:rPr>
        <w:t xml:space="preserve"> </w:t>
      </w:r>
      <w:r>
        <w:rPr>
          <w:rFonts w:hint="eastAsia" w:ascii="宋体" w:hAnsi="宋体" w:cs="Courier New"/>
          <w:color w:val="000000"/>
          <w:sz w:val="24"/>
          <w:szCs w:val="24"/>
          <w:highlight w:val="cyan"/>
          <w:u w:val="single"/>
          <w:lang w:val="en-US" w:eastAsia="zh-CN"/>
        </w:rPr>
        <w:t xml:space="preserve">10%</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的违约金，如造成甲方损失超过违约金的，超出部分由乙方继续承担赔偿责任。 </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四</w:t>
      </w:r>
      <w:r>
        <w:rPr>
          <w:rFonts w:hint="default" w:ascii="宋体" w:hAnsi="宋体" w:cs="Courier New"/>
          <w:b/>
          <w:color w:val="000000"/>
          <w:sz w:val="24"/>
          <w:szCs w:val="24"/>
          <w:highlight w:val="cyan"/>
        </w:rPr>
        <w:t xml:space="preserve">、不可抗力事件处理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.1 在合同有效期内，任何一方因不可抗力事件导致不能履行合同，则合同履行期可延长，其延长期与不可抗力影响期相同。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.2 不可抗力事件发生后，应立即通知对方，并寄送有关权威机构出具的证明。</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.3 不可抗力事件延续120天以上，双方应通过友好协商，确定是否继续履行合同。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五</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解决争议的方法</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5</w:t>
      </w: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甲乙</w:t>
      </w:r>
      <w:r>
        <w:rPr>
          <w:rFonts w:hint="default" w:ascii="宋体" w:hAnsi="宋体" w:cs="Courier New"/>
          <w:color w:val="000000"/>
          <w:sz w:val="24"/>
          <w:szCs w:val="24"/>
          <w:highlight w:val="cyan"/>
        </w:rPr>
        <w:t xml:space="preserve">双方</w:t>
      </w:r>
      <w:r>
        <w:rPr>
          <w:rFonts w:hint="eastAsia" w:ascii="宋体" w:hAnsi="宋体" w:cs="Courier New"/>
          <w:color w:val="000000"/>
          <w:sz w:val="24"/>
          <w:szCs w:val="24"/>
          <w:highlight w:val="cyan"/>
        </w:rPr>
        <w:t xml:space="preserve">因</w:t>
      </w:r>
      <w:r>
        <w:rPr>
          <w:rFonts w:hint="default" w:ascii="宋体" w:hAnsi="宋体" w:cs="Courier New"/>
          <w:color w:val="000000"/>
          <w:sz w:val="24"/>
          <w:szCs w:val="24"/>
          <w:highlight w:val="cyan"/>
        </w:rPr>
        <w:t xml:space="preserve">合同</w:t>
      </w:r>
      <w:r>
        <w:rPr>
          <w:rFonts w:hint="eastAsia" w:ascii="宋体" w:hAnsi="宋体" w:cs="Courier New"/>
          <w:color w:val="000000"/>
          <w:sz w:val="24"/>
          <w:szCs w:val="24"/>
          <w:highlight w:val="cyan"/>
        </w:rPr>
        <w:t xml:space="preserve">签订、履行而</w:t>
      </w:r>
      <w:r>
        <w:rPr>
          <w:rFonts w:hint="default" w:ascii="宋体" w:hAnsi="宋体" w:cs="Courier New"/>
          <w:color w:val="000000"/>
          <w:sz w:val="24"/>
          <w:szCs w:val="24"/>
          <w:highlight w:val="cyan"/>
        </w:rPr>
        <w:t xml:space="preserve">发生的一切争议，应通过</w:t>
      </w:r>
      <w:r>
        <w:rPr>
          <w:rFonts w:hint="eastAsia" w:ascii="宋体" w:hAnsi="宋体" w:cs="Courier New"/>
          <w:color w:val="000000"/>
          <w:sz w:val="24"/>
          <w:szCs w:val="24"/>
          <w:highlight w:val="cyan"/>
        </w:rPr>
        <w:t xml:space="preserve">友好</w:t>
      </w:r>
      <w:r>
        <w:rPr>
          <w:rFonts w:hint="default" w:ascii="宋体" w:hAnsi="宋体" w:cs="Courier New"/>
          <w:color w:val="000000"/>
          <w:sz w:val="24"/>
          <w:szCs w:val="24"/>
          <w:highlight w:val="cyan"/>
        </w:rPr>
        <w:t xml:space="preserve">协商解决。如协商不成</w:t>
      </w:r>
      <w:r>
        <w:rPr>
          <w:rFonts w:hint="eastAsia" w:ascii="宋体" w:hAnsi="宋体" w:cs="Courier New"/>
          <w:color w:val="000000"/>
          <w:sz w:val="24"/>
          <w:szCs w:val="24"/>
          <w:highlight w:val="cyan"/>
        </w:rPr>
        <w:t xml:space="preserve">由甲方住所地人民</w:t>
      </w:r>
      <w:r>
        <w:rPr>
          <w:rFonts w:hint="default" w:ascii="宋体" w:hAnsi="宋体" w:cs="Courier New"/>
          <w:color w:val="000000"/>
          <w:sz w:val="24"/>
          <w:szCs w:val="24"/>
          <w:highlight w:val="cyan"/>
        </w:rPr>
        <w:t xml:space="preserve">法院</w:t>
      </w:r>
      <w:r>
        <w:rPr>
          <w:rFonts w:hint="eastAsia" w:ascii="宋体" w:hAnsi="宋体" w:cs="Courier New"/>
          <w:color w:val="000000"/>
          <w:sz w:val="24"/>
          <w:szCs w:val="24"/>
          <w:highlight w:val="cyan"/>
        </w:rPr>
        <w:t xml:space="preserve">管辖。</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六</w:t>
      </w:r>
      <w:r>
        <w:rPr>
          <w:rFonts w:hint="default" w:ascii="宋体" w:hAnsi="宋体" w:cs="Courier New"/>
          <w:b/>
          <w:color w:val="000000"/>
          <w:sz w:val="24"/>
          <w:szCs w:val="24"/>
          <w:highlight w:val="cyan"/>
        </w:rPr>
        <w:t xml:space="preserve">、合同生效及其他</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.1 合同经双方加盖单位公章后生效。</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.2本合同未尽事宜，遵照</w:t>
      </w:r>
      <w:r>
        <w:rPr>
          <w:rFonts w:hint="eastAsia" w:ascii="宋体" w:hAnsi="宋体" w:cs="Courier New"/>
          <w:color w:val="000000"/>
          <w:sz w:val="24"/>
          <w:szCs w:val="24"/>
          <w:highlight w:val="cyan"/>
        </w:rPr>
        <w:t xml:space="preserve">《中华人民共和国民法典》、《中华人民共和国政府采购法》</w:t>
      </w:r>
      <w:r>
        <w:rPr>
          <w:rFonts w:hint="default" w:ascii="宋体" w:hAnsi="宋体" w:cs="Courier New"/>
          <w:color w:val="000000"/>
          <w:sz w:val="24"/>
          <w:szCs w:val="24"/>
          <w:highlight w:val="cyan"/>
        </w:rPr>
        <w:t xml:space="preserve">有关条文执行。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 本合同正本一式</w:t>
      </w:r>
      <w:r>
        <w:rPr>
          <w:rFonts w:hint="eastAsia" w:ascii="宋体" w:hAnsi="宋体" w:cs="Courier New"/>
          <w:color w:val="000000"/>
          <w:sz w:val="24"/>
          <w:szCs w:val="24"/>
          <w:highlight w:val="cyan"/>
        </w:rPr>
        <w:t xml:space="preserve">两</w:t>
      </w:r>
      <w:r>
        <w:rPr>
          <w:rFonts w:hint="default" w:ascii="宋体" w:hAnsi="宋体" w:cs="Courier New"/>
          <w:color w:val="000000"/>
          <w:sz w:val="24"/>
          <w:szCs w:val="24"/>
          <w:highlight w:val="cyan"/>
        </w:rPr>
        <w:t xml:space="preserve">份，具有同等法律效力，甲</w:t>
      </w:r>
      <w:r>
        <w:rPr>
          <w:rFonts w:hint="eastAsia" w:ascii="宋体" w:hAnsi="宋体" w:cs="Courier New"/>
          <w:color w:val="000000"/>
          <w:sz w:val="24"/>
          <w:szCs w:val="24"/>
          <w:highlight w:val="cyan"/>
        </w:rPr>
        <w:t xml:space="preserve">方、</w:t>
      </w:r>
      <w:r>
        <w:rPr>
          <w:rFonts w:hint="default" w:ascii="宋体" w:hAnsi="宋体" w:cs="Courier New"/>
          <w:color w:val="000000"/>
          <w:sz w:val="24"/>
          <w:szCs w:val="24"/>
          <w:highlight w:val="cyan"/>
        </w:rPr>
        <w:t xml:space="preserve">乙方各执一份。</w:t>
      </w:r>
      <w:r/>
    </w:p>
    <w:p>
      <w:pPr>
        <w:ind w:left="480" w:hanging="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甲方：                        乙方： </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地址：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地址： </w:t>
      </w:r>
      <w:r/>
    </w:p>
    <w:p>
      <w:pPr>
        <w:ind w:firstLine="240"/>
        <w:spacing w:line="400" w:lineRule="exact"/>
        <w:rPr>
          <w:rFonts w:hint="eastAsia" w:ascii="宋体" w:hAnsi="Courier New" w:cs="Courier New"/>
          <w:color w:val="000000"/>
          <w:highlight w:val="cyan"/>
        </w:rPr>
      </w:pPr>
      <w:r>
        <w:rPr>
          <w:rFonts w:hint="eastAsia" w:ascii="宋体" w:hAnsi="宋体" w:cs="Courier New"/>
          <w:color w:val="000000"/>
          <w:sz w:val="24"/>
          <w:szCs w:val="24"/>
          <w:highlight w:val="cyan"/>
        </w:rPr>
        <w:t xml:space="preserve">联系电话：                    联系电话：          </w:t>
      </w:r>
      <w:r/>
    </w:p>
    <w:p>
      <w:pPr>
        <w:jc w:val="center"/>
        <w:spacing w:line="400" w:lineRule="exact"/>
        <w:rPr>
          <w:rFonts w:hint="eastAsia" w:ascii="宋体" w:hAnsi="宋体" w:cs="Courier New"/>
          <w:color w:val="000000"/>
          <w:sz w:val="24"/>
          <w:szCs w:val="24"/>
          <w:highlight w:val="cyan"/>
        </w:rPr>
      </w:pPr>
      <w:r>
        <w:rPr>
          <w:rFonts w:hint="eastAsia" w:ascii="宋体" w:hAnsi="Courier New" w:cs="Courier New"/>
          <w:color w:val="000000"/>
          <w:highlight w:val="cyan"/>
        </w:rPr>
        <w:t xml:space="preserve">                 </w:t>
      </w:r>
      <w:r>
        <w:rPr>
          <w:rFonts w:hint="eastAsia" w:ascii="宋体" w:hAnsi="宋体" w:cs="Courier New"/>
          <w:color w:val="000000"/>
          <w:sz w:val="24"/>
          <w:szCs w:val="24"/>
          <w:highlight w:val="cyan"/>
        </w:rPr>
        <w:t xml:space="preserve">   </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签订日期：      年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月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日</w:t>
      </w:r>
      <w:r/>
    </w:p>
    <w:p>
      <w:pPr>
        <w:ind w:firstLine="480"/>
        <w:spacing w:line="400" w:lineRule="exact"/>
        <w:rPr>
          <w:rFonts w:hint="default" w:ascii="宋体" w:hAnsi="宋体"/>
          <w:bCs/>
          <w:sz w:val="24"/>
          <w:szCs w:val="24"/>
          <w:highlight w:val="cyan"/>
        </w:rPr>
      </w:pPr>
      <w:r>
        <w:rPr>
          <w:rFonts w:hint="eastAsia" w:ascii="宋体" w:hAnsi="宋体" w:cs="Courier New"/>
          <w:sz w:val="24"/>
          <w:szCs w:val="24"/>
          <w:highlight w:val="cyan"/>
        </w:rPr>
        <w:t xml:space="preserve">注：采购人也可参考财政部制定的《政府采购货物买卖合同（试行）》使用，《政府采购货物买卖合同（试行）》电子版请登录中国政府采购网（www.ccgp.gov.cn）下载。</w:t>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36"/>
          <w:szCs w:val="36"/>
          <w:highlight w:val="none"/>
        </w:rPr>
        <w:t xml:space="preserve">第</w:t>
      </w:r>
      <w:bookmarkEnd w:id="185"/>
      <w:r>
        <w:rPr>
          <w:rFonts w:hint="eastAsia" w:ascii="宋体" w:hAnsi="宋体" w:eastAsia="宋体" w:cs="宋体"/>
          <w:bCs/>
          <w:sz w:val="36"/>
          <w:szCs w:val="36"/>
          <w:highlight w:val="none"/>
        </w:rPr>
        <w:t xml:space="preserve">四章 采购需求</w:t>
      </w:r>
      <w:bookmarkEnd w:id="186"/>
      <w:r/>
      <w:bookmarkEnd w:id="187"/>
      <w:r/>
      <w:bookmarkEnd w:id="188"/>
      <w:r/>
      <w:bookmarkEnd w:id="189"/>
      <w:r/>
      <w:r/>
    </w:p>
    <w:p>
      <w:pPr>
        <w:ind w:firstLine="600"/>
        <w:jc w:val="left"/>
        <w:spacing w:line="360" w:lineRule="auto"/>
        <w:rPr>
          <w:rFonts w:hint="eastAsia" w:ascii="宋体" w:hAnsi="宋体" w:eastAsia="宋体" w:cs="宋体"/>
          <w:color w:val="000000"/>
          <w:sz w:val="30"/>
          <w:szCs w:val="30"/>
          <w:highlight w:val="none"/>
        </w:rPr>
      </w:pPr>
      <w:r/>
      <w:bookmarkStart w:id="192" w:name="_Toc49090575"/>
      <w:r/>
      <w:bookmarkStart w:id="193" w:name="_Toc26554093"/>
      <w:r>
        <w:rPr>
          <w:rFonts w:hint="eastAsia" w:ascii="宋体" w:hAnsi="宋体" w:eastAsia="宋体" w:cs="宋体"/>
          <w:sz w:val="30"/>
          <w:szCs w:val="30"/>
          <w:highlight w:val="none"/>
        </w:rPr>
        <w:t xml:space="preserve">本项目属性：货物类项目</w:t>
      </w:r>
      <w:r/>
    </w:p>
    <w:p>
      <w:pPr>
        <w:ind w:firstLine="48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p>
    <w:p>
      <w:pPr>
        <w:ind w:firstLine="480"/>
        <w:keepLines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本项目标的物所属行业：详见项目技术要求 </w:t>
      </w:r>
      <w:r/>
    </w:p>
    <w:p>
      <w:pPr>
        <w:ind w:firstLine="482"/>
        <w:keepLines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本项目中的</w:t>
      </w:r>
      <w:r>
        <w:rPr>
          <w:rFonts w:hint="eastAsia" w:ascii="宋体" w:hAnsi="宋体" w:cs="宋体"/>
          <w:b/>
          <w:bCs w:val="0"/>
          <w:sz w:val="24"/>
          <w:szCs w:val="24"/>
          <w:highlight w:val="none"/>
          <w:lang w:val="en-US" w:eastAsia="zh-CN"/>
        </w:rPr>
        <w:t xml:space="preserve">学生实验桌</w:t>
      </w:r>
      <w:r>
        <w:rPr>
          <w:rFonts w:hint="eastAsia" w:ascii="宋体" w:hAnsi="宋体" w:eastAsia="宋体" w:cs="宋体"/>
          <w:b/>
          <w:bCs w:val="0"/>
          <w:sz w:val="24"/>
          <w:szCs w:val="24"/>
          <w:highlight w:val="none"/>
        </w:rPr>
        <w:t xml:space="preserve">为核心产品。</w:t>
      </w:r>
      <w:r/>
    </w:p>
    <w:p>
      <w:pPr>
        <w:numPr>
          <w:ilvl w:val="0"/>
          <w:numId w:val="5"/>
        </w:num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项目技术要求</w:t>
      </w:r>
      <w:r/>
    </w:p>
    <w:p>
      <w:pPr>
        <w:pStyle w:val="810"/>
        <w:numPr>
          <w:ilvl w:val="0"/>
          <w:numId w:val="0"/>
        </w:numPr>
        <w:ind w:firstLine="520"/>
        <w:jc w:val="both"/>
        <w:keepLines w:val="0"/>
        <w:keepNext w:val="0"/>
        <w:widowControl w:val="off"/>
        <w:rPr>
          <w:rFonts w:hint="eastAsia" w:eastAsia="楷体_GB2312"/>
          <w:highlight w:val="none"/>
          <w:lang w:val="en-US" w:eastAsia="zh-CN"/>
        </w:rPr>
        <w:suppressLineNumbers w:val="0"/>
      </w:pPr>
      <w:r>
        <w:rPr>
          <w:rFonts w:hint="eastAsia"/>
          <w:highlight w:val="none"/>
          <w:lang w:val="en-US" w:eastAsia="zh-CN"/>
        </w:rPr>
        <w:t xml:space="preserve">详见附件：天一中学新吴分校新建工程实验设备仪器清单</w:t>
      </w:r>
      <w:r/>
    </w:p>
    <w:p>
      <w:pPr>
        <w:numPr>
          <w:ilvl w:val="0"/>
          <w:numId w:val="0"/>
        </w:numPr>
        <w:spacing w:line="360" w:lineRule="auto"/>
        <w:rPr>
          <w:rFonts w:hint="eastAsia" w:ascii="宋体" w:hAnsi="宋体" w:eastAsia="宋体" w:cs="宋体"/>
          <w:b/>
          <w:color w:val="ff0000"/>
          <w:sz w:val="30"/>
          <w:szCs w:val="30"/>
          <w:highlight w:val="none"/>
          <w:u w:val="none"/>
          <w:lang w:val="en-US" w:eastAsia="zh-CN"/>
        </w:rPr>
      </w:pPr>
      <w:r>
        <w:rPr>
          <w:rFonts w:hint="eastAsia" w:ascii="宋体" w:hAnsi="宋体" w:eastAsia="宋体" w:cs="宋体"/>
          <w:b/>
          <w:color w:val="ff0000"/>
          <w:sz w:val="30"/>
          <w:szCs w:val="30"/>
          <w:highlight w:val="none"/>
          <w:u w:val="none"/>
          <w:lang w:val="en-US" w:eastAsia="zh-CN"/>
        </w:rPr>
        <w:t xml:space="preserve">场地整体平面尺寸图</w:t>
      </w:r>
      <w:r>
        <w:rPr>
          <w:rFonts w:hint="eastAsia" w:ascii="宋体" w:hAnsi="宋体" w:cs="宋体"/>
          <w:b/>
          <w:color w:val="ff0000"/>
          <w:sz w:val="30"/>
          <w:szCs w:val="30"/>
          <w:highlight w:val="none"/>
          <w:u w:val="none"/>
          <w:lang w:val="en-US" w:eastAsia="zh-CN"/>
        </w:rPr>
        <w:t xml:space="preserve">：</w: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330190" cy="3618230"/>
                <wp:effectExtent l="0" t="0" r="0" b="0"/>
                <wp:docPr id="4" name="图片 538"/>
                <wp:cNvGraphicFramePr/>
                <a:graphic xmlns:a="http://schemas.openxmlformats.org/drawingml/2006/main">
                  <a:graphicData uri="http://schemas.openxmlformats.org/drawingml/2006/picture">
                    <pic:pic xmlns:pic="http://schemas.openxmlformats.org/drawingml/2006/picture">
                      <pic:nvPicPr>
                        <pic:cNvPr id="538" name="图片 538"/>
                        <pic:cNvPicPr/>
                        <pic:nvPr/>
                      </pic:nvPicPr>
                      <pic:blipFill>
                        <a:blip r:embed="rId13"/>
                        <a:stretch/>
                      </pic:blipFill>
                      <pic:spPr bwMode="auto">
                        <a:xfrm>
                          <a:off x="0" y="0"/>
                          <a:ext cx="5330215" cy="3618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9.7pt;height:284.9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4343400" cy="5325110"/>
                <wp:effectExtent l="0" t="0" r="0" b="0"/>
                <wp:docPr id="5" name="图片 539"/>
                <wp:cNvGraphicFramePr/>
                <a:graphic xmlns:a="http://schemas.openxmlformats.org/drawingml/2006/main">
                  <a:graphicData uri="http://schemas.openxmlformats.org/drawingml/2006/picture">
                    <pic:pic xmlns:pic="http://schemas.openxmlformats.org/drawingml/2006/picture">
                      <pic:nvPicPr>
                        <pic:cNvPr id="539" name="图片 539"/>
                        <pic:cNvPicPr/>
                        <pic:nvPr/>
                      </pic:nvPicPr>
                      <pic:blipFill>
                        <a:blip r:embed="rId14"/>
                        <a:stretch/>
                      </pic:blipFill>
                      <pic:spPr bwMode="auto">
                        <a:xfrm rot="5400000">
                          <a:off x="0" y="0"/>
                          <a:ext cx="4343933" cy="5325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2.0pt;height:419.3pt;mso-wrap-distance-left:0.0pt;mso-wrap-distance-top:0.0pt;mso-wrap-distance-right:0.0pt;mso-wrap-distance-bottom:0.0pt;rotation:90;" stroked="f">
                <v:path textboxrect="0,0,0,0"/>
                <v:imagedata r:id="rId14"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188585" cy="3857625"/>
                <wp:effectExtent l="0" t="0" r="0" b="0"/>
                <wp:docPr id="6" name="图片 540"/>
                <wp:cNvGraphicFramePr/>
                <a:graphic xmlns:a="http://schemas.openxmlformats.org/drawingml/2006/main">
                  <a:graphicData uri="http://schemas.openxmlformats.org/drawingml/2006/picture">
                    <pic:pic xmlns:pic="http://schemas.openxmlformats.org/drawingml/2006/picture">
                      <pic:nvPicPr>
                        <pic:cNvPr id="540" name="图片 540"/>
                        <pic:cNvPicPr/>
                        <pic:nvPr/>
                      </pic:nvPicPr>
                      <pic:blipFill>
                        <a:blip r:embed="rId15"/>
                        <a:stretch/>
                      </pic:blipFill>
                      <pic:spPr bwMode="auto">
                        <a:xfrm>
                          <a:off x="0" y="0"/>
                          <a:ext cx="5188674" cy="385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8.5pt;height:303.8pt;mso-wrap-distance-left:0.0pt;mso-wrap-distance-top:0.0pt;mso-wrap-distance-right:0.0pt;mso-wrap-distance-bottom:0.0pt;" stroked="f">
                <v:path textboxrect="0,0,0,0"/>
                <v:imagedata r:id="rId15" o:title=""/>
              </v:shape>
            </w:pict>
          </mc:Fallback>
        </mc:AlternateConten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w:br w:type="page" w:clear="all"/>
      </w:r>
      <w:r>
        <w:rPr>
          <w:rFonts w:hint="eastAsia" w:ascii="宋体" w:hAnsi="宋体" w:eastAsia="宋体" w:cs="宋体"/>
          <w:b/>
          <w:color w:val="000000"/>
          <w:sz w:val="30"/>
          <w:szCs w:val="30"/>
          <w:highlight w:val="none"/>
          <w:u w:val="none"/>
          <w:lang w:val="en-US" w:eastAsia="zh-CN"/>
        </w:rPr>
        <w:t xml:space="preserve">其他要求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1.</w:t>
      </w:r>
      <w:r>
        <w:rPr>
          <w:rFonts w:ascii="宋体" w:hAnsi="宋体" w:eastAsia="宋体" w:cs="宋体"/>
          <w:bCs/>
          <w:sz w:val="24"/>
          <w:highlight w:val="none"/>
          <w:lang w:val="en-US" w:eastAsia="zh-CN"/>
        </w:rPr>
        <w:t xml:space="preserve">为保障本项目智能化控制系统、数字化采集设备、网络通信模块、远程控制平台、环境监测系统及弱电集成系统的实施质量、信息安全、数据安全与长期稳定运行，投标人须为本项目配备：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专职项目经理，负责项目整体统筹、进度管控、质量监督、系统联调与验收管理；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专职技术实施人员，负责数字化设备、智能控制模块、网络集成、信息安全与现场技术服务，确保所有智能化、信息化、联网类设备安全规范交付。</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 合同签订前要求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.1 样品确认与合同签署中标人在签订合同前需按采购清单列出的所有品目出样，经招标人使用部门确认无误后，按招标文件要求交纳履约保证金并签署正式合同。样品款式、规格、材质、工艺、颜色等如不符合招标文件技术参数要求，招标人有权终止签订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.2 样品检测与责任合同签订后，采购人有权要求中标人提供部分</w:t>
      </w:r>
      <w:r>
        <w:rPr>
          <w:rFonts w:hint="eastAsia" w:ascii="宋体" w:hAnsi="宋体" w:cs="宋体"/>
          <w:bCs/>
          <w:sz w:val="24"/>
          <w:highlight w:val="none"/>
          <w:lang w:val="en-US" w:eastAsia="zh-CN"/>
        </w:rPr>
        <w:t xml:space="preserve">货物</w:t>
      </w:r>
      <w:r>
        <w:rPr>
          <w:rFonts w:hint="eastAsia" w:ascii="宋体" w:hAnsi="宋体" w:eastAsia="宋体" w:cs="宋体"/>
          <w:bCs/>
          <w:sz w:val="24"/>
          <w:highlight w:val="none"/>
        </w:rPr>
        <w:t xml:space="preserve">样品，并指定第三方检测机构检测，费用由中标人承担。若检测不合格，采购人有权终止合同，损失由中标人承担并赔偿。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合同执行与监督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3.1 生产监督与检验采购人有权对产品生产进行不定期实地监督，中标人应配合；可进行破坏性试验，若不合格则拒收全部货物，损失由中标人承担。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 安装工程量与风险安装部分工程量需自行考察施工界面确定数量，疑问需在答疑期内提出，否则视为无异议。中标后不追加费用，投标单位须自行勘查现场，报价包含全部风险及费用，忽视现场情况导致的索赔或延期不予批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质保与服务质量</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4.1 质保期要求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质保期内出现质量问题，中标人须无条件免费更换，并定期回访。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质保期后，以不高于市场价格维修，成本价供应备品备件。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投标时需明确质保年限、备件价格、维保体系等具体条款。</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4.2质量标准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cyan"/>
        </w:rPr>
      </w:pPr>
      <w:r>
        <w:rPr>
          <w:rFonts w:hint="eastAsia" w:ascii="宋体" w:hAnsi="宋体" w:eastAsia="宋体" w:cs="宋体"/>
          <w:bCs/>
          <w:sz w:val="24"/>
          <w:highlight w:val="cyan"/>
        </w:rPr>
        <w:t xml:space="preserve">合格，符合招标文件及国家强制性标准。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中标人需保证货物为原装全新，性能符合或优于国家标准，非积压库存，质保期内承担设计、工艺或材料缺陷责任。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质量问题可直接判定或经国家质检中心鉴定，费用由中标人承担。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4.3服务响应</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保修期内提供7×24小时电话支持，接到通知1.5小时内到场处理，半小时未答复视为承认责任。经三次修理仍故障的，无条件更换新品。</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5.安装调试要求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5.1安装准备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安装工具、物料由中标人自备并承担费用，完工后自行清理。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提供详细安装方案（施工组织、人员、质量措施等）并经采购人同意后执行。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5.2安装过程管理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卸货、安装、调试由中标人负责，需在采购人监督下进行，调试记录须双方签字。</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安装期间遵守安全规定，事故责任由中标人承担；货物进场需采购人验货。</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6.验收要求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6.1验收时间与条件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验收在交货并安装调试后30日内进行，需提供中标通知书、合同、收货单、安装单等文件。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6.2验收标准与责任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货物须完好无损，配置与装箱单一致，性能不低于招标要求。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发现短缺、次品或损坏，采购人记录或签署备忘录，费用由中标人承担。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运输或安装导致货物损坏，中标人需及时换货并承担费用。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验收时由供应商演示设备具体功能，未能满足功能，</w:t>
      </w:r>
      <w:r>
        <w:rPr>
          <w:rFonts w:hint="eastAsia" w:ascii="宋体" w:hAnsi="宋体" w:eastAsia="宋体" w:cs="宋体"/>
          <w:bCs/>
          <w:sz w:val="24"/>
          <w:highlight w:val="none"/>
        </w:rPr>
        <w:t xml:space="preserve">中标人需及时</w:t>
      </w:r>
      <w:r>
        <w:rPr>
          <w:rFonts w:hint="eastAsia" w:ascii="宋体" w:hAnsi="宋体" w:cs="宋体"/>
          <w:bCs/>
          <w:sz w:val="24"/>
          <w:highlight w:val="none"/>
          <w:lang w:val="en-US" w:eastAsia="zh-CN"/>
        </w:rPr>
        <w:t xml:space="preserve">更换满足功能设备，</w:t>
      </w:r>
      <w:r>
        <w:rPr>
          <w:rFonts w:hint="eastAsia" w:ascii="宋体" w:hAnsi="宋体" w:eastAsia="宋体" w:cs="宋体"/>
          <w:bCs/>
          <w:sz w:val="24"/>
          <w:highlight w:val="none"/>
        </w:rPr>
        <w:t xml:space="preserve">并承担费用</w:t>
      </w:r>
      <w:r>
        <w:rPr>
          <w:rFonts w:hint="eastAsia" w:ascii="宋体" w:hAnsi="宋体" w:cs="宋体"/>
          <w:bCs/>
          <w:sz w:val="24"/>
          <w:highlight w:val="none"/>
          <w:lang w:eastAsia="zh-CN"/>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6.3验收文件与移交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拆箱后登记全部产品、配件及资料，登记册作为验收文档。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移交产品说明书、技术文件、验收报告等全套资料。</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7.售后服务</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7.1服务承诺</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免费质保期</w:t>
      </w:r>
      <w:r>
        <w:rPr>
          <w:rFonts w:hint="eastAsia" w:ascii="宋体" w:hAnsi="宋体" w:cs="宋体"/>
          <w:bCs/>
          <w:sz w:val="24"/>
          <w:highlight w:val="none"/>
          <w:lang w:val="en-US" w:eastAsia="zh-CN"/>
        </w:rPr>
        <w:t xml:space="preserve">三</w:t>
      </w:r>
      <w:r>
        <w:rPr>
          <w:rFonts w:hint="eastAsia" w:ascii="宋体" w:hAnsi="宋体" w:eastAsia="宋体" w:cs="宋体"/>
          <w:bCs/>
          <w:sz w:val="24"/>
          <w:highlight w:val="none"/>
        </w:rPr>
        <w:t xml:space="preserve">年，质保期后提供有偿优惠维修。</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免费安装调试及培训，确保采购人能独立维护。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8.知识产权与保密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8.1知识产权责任中标人保证采购人免于因使用货物引发的第三方知识产权纠纷，并承担相关损失及费用。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8.2保密义务中标人须保密采购人资料及成果，不得泄露或转让；项目成果所有权归采购人，违约可解除合同并追责。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9.其他事项</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9.1报价范围</w:t>
      </w:r>
      <w:r/>
    </w:p>
    <w:p>
      <w:pPr>
        <w:numPr>
          <w:ilvl w:val="0"/>
          <w:numId w:val="0"/>
        </w:numPr>
        <w:ind w:firstLine="480"/>
        <w:spacing w:line="360" w:lineRule="auto"/>
        <w:tabs>
          <w:tab w:val="left" w:pos="525" w:leader="none"/>
          <w:tab w:val="left" w:pos="945" w:leader="none"/>
        </w:tabs>
        <w:rPr>
          <w:rFonts w:ascii="宋体" w:hAnsi="Times New Roman" w:cs="Times New Roman"/>
          <w:bCs/>
          <w:sz w:val="24"/>
          <w:szCs w:val="24"/>
          <w:highlight w:val="none"/>
        </w:rPr>
      </w:pPr>
      <w:r>
        <w:rPr>
          <w:rFonts w:hint="eastAsia" w:ascii="宋体" w:hAnsi="宋体" w:cs="Times New Roman"/>
          <w:bCs/>
          <w:color w:val="0000ff"/>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9.2安全与合规要求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涉及网络安全专用产品的，需通过国家认证或检测。</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强制采购节能产品的，需提供有效节能认证证书。</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9.3投标与合同管理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投标人需按招标文件报价，技术偏离需说明。</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残疾人福利性单位声明不实则依法追责。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中小企业不得违规分包合同。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开标后投标人需保持在线应答，否则风险自担。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green"/>
        </w:rPr>
      </w:pPr>
      <w:r>
        <w:rPr>
          <w:rFonts w:hint="eastAsia" w:ascii="宋体" w:hAnsi="宋体" w:cs="Times New Roman"/>
          <w:bCs/>
          <w:color w:val="0000ff"/>
          <w:sz w:val="24"/>
          <w:szCs w:val="24"/>
          <w:highlight w:val="none"/>
          <w:lang w:val="en-US" w:eastAsia="zh-CN"/>
        </w:rPr>
        <w:t xml:space="preserve">9.4</w:t>
      </w:r>
      <w:r>
        <w:rPr>
          <w:rFonts w:hint="eastAsia" w:ascii="宋体" w:hAnsi="宋体" w:cs="Times New Roman"/>
          <w:bCs/>
          <w:color w:val="0000ff"/>
          <w:sz w:val="24"/>
          <w:szCs w:val="24"/>
          <w:highlight w:val="none"/>
        </w:rPr>
        <w:t xml:space="preserve">完工期：</w:t>
      </w:r>
      <w:r>
        <w:rPr>
          <w:rFonts w:hint="eastAsia" w:ascii="宋体" w:hAnsi="宋体" w:cs="Times New Roman"/>
          <w:bCs/>
          <w:color w:val="0000ff"/>
          <w:sz w:val="24"/>
          <w:szCs w:val="24"/>
          <w:highlight w:val="green"/>
        </w:rPr>
        <w:t xml:space="preserve">合同签订生效且收到采购人通知后</w:t>
      </w:r>
      <w:r>
        <w:rPr>
          <w:rFonts w:hint="eastAsia" w:ascii="宋体" w:hAnsi="宋体" w:cs="Times New Roman"/>
          <w:bCs/>
          <w:color w:val="0000ff"/>
          <w:sz w:val="24"/>
          <w:szCs w:val="24"/>
          <w:highlight w:val="green"/>
          <w:lang w:val="en-US" w:eastAsia="zh-CN"/>
        </w:rPr>
        <w:t xml:space="preserve">90</w:t>
      </w:r>
      <w:r>
        <w:rPr>
          <w:rFonts w:hint="eastAsia" w:ascii="宋体" w:hAnsi="宋体" w:cs="Times New Roman"/>
          <w:bCs/>
          <w:color w:val="0000ff"/>
          <w:sz w:val="24"/>
          <w:szCs w:val="24"/>
          <w:highlight w:val="green"/>
        </w:rPr>
        <w:t xml:space="preserve">个日历天内到货并安装完毕。具体时间以合同为准。</w:t>
      </w:r>
      <w:r/>
    </w:p>
    <w:p>
      <w:pPr>
        <w:numPr>
          <w:ilvl w:val="0"/>
          <w:numId w:val="0"/>
        </w:numPr>
        <w:ind w:firstLine="480"/>
        <w:spacing w:line="360" w:lineRule="auto"/>
        <w:tabs>
          <w:tab w:val="left" w:pos="1050"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9.5</w:t>
      </w:r>
      <w:r>
        <w:rPr>
          <w:rFonts w:hint="eastAsia" w:ascii="宋体" w:hAnsi="宋体" w:eastAsia="宋体" w:cs="宋体"/>
          <w:bCs/>
          <w:sz w:val="24"/>
          <w:highlight w:val="none"/>
        </w:rPr>
        <w:t xml:space="preserve">质保期：</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9.6</w:t>
      </w:r>
      <w:r>
        <w:rPr>
          <w:rFonts w:hint="eastAsia" w:ascii="宋体" w:hAnsi="宋体" w:cs="Times New Roman"/>
          <w:bCs/>
          <w:color w:val="0000ff"/>
          <w:sz w:val="24"/>
          <w:szCs w:val="24"/>
          <w:highlight w:val="none"/>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9.7</w:t>
      </w:r>
      <w:r>
        <w:rPr>
          <w:rFonts w:hint="eastAsia" w:ascii="宋体" w:hAnsi="Times New Roman" w:cs="Times New Roman"/>
          <w:bCs/>
          <w:color w:val="0000ff"/>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履约保证金需在中标通知书签发后15天内提供给采购人，15天内未提供的，中标供应商需向采购人支付5000元/天的违约金，在项目结算时扣除。</w:t>
      </w:r>
      <w:r/>
    </w:p>
    <w:p>
      <w:pPr>
        <w:numPr>
          <w:ilvl w:val="0"/>
          <w:numId w:val="0"/>
        </w:numPr>
        <w:ind w:firstLine="480"/>
        <w:spacing w:line="360" w:lineRule="auto"/>
        <w:tabs>
          <w:tab w:val="left" w:pos="525" w:leader="none"/>
          <w:tab w:val="left" w:pos="630" w:leader="none"/>
          <w:tab w:val="left" w:pos="735" w:leader="none"/>
          <w:tab w:val="left" w:pos="945" w:leader="none"/>
        </w:tabs>
      </w:pPr>
      <w:r>
        <w:rPr>
          <w:rFonts w:hint="eastAsia" w:ascii="宋体" w:hAnsi="宋体" w:cs="Times New Roman"/>
          <w:bCs/>
          <w:color w:val="0000ff"/>
          <w:sz w:val="24"/>
          <w:szCs w:val="24"/>
          <w:highlight w:val="none"/>
          <w:lang w:val="en-US" w:eastAsia="zh-CN"/>
        </w:rPr>
        <w:t xml:space="preserve">9.8</w:t>
      </w:r>
      <w:r>
        <w:rPr>
          <w:rFonts w:hint="eastAsia" w:ascii="宋体" w:hAnsi="宋体" w:cs="Times New Roman"/>
          <w:bCs/>
          <w:color w:val="0000ff"/>
          <w:sz w:val="24"/>
          <w:szCs w:val="24"/>
          <w:highlight w:val="none"/>
        </w:rPr>
        <w:t xml:space="preserve">本项目合同履行地点：无锡市新吴区鸿山街道，至德大道与至礼路交叉口东南侧 ，具体地点以合同书约定为准。中标方必须按采购人要求将本项目中货物送到指定地点</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包括可能的分布范围</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，并分地实施安装调试。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Times New Roman" w:hAnsi="Times New Roman" w:cs="Times New Roman"/>
          <w:sz w:val="24"/>
          <w:szCs w:val="24"/>
          <w:highlight w:val="none"/>
        </w:rPr>
      </w:pPr>
      <w:r>
        <w:rPr>
          <w:rFonts w:hint="eastAsia" w:ascii="宋体" w:hAnsi="宋体" w:cs="Times New Roman"/>
          <w:bCs/>
          <w:color w:val="000000"/>
          <w:sz w:val="24"/>
          <w:szCs w:val="24"/>
          <w:highlight w:val="none"/>
          <w:lang w:val="en-US" w:eastAsia="zh-CN"/>
        </w:rPr>
        <w:t xml:space="preserve">9.10</w:t>
      </w:r>
      <w:r>
        <w:rPr>
          <w:rFonts w:hint="eastAsia" w:ascii="宋体" w:hAnsi="宋体" w:cs="Times New Roman"/>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w:t>
      </w:r>
      <w:r>
        <w:rPr>
          <w:rFonts w:hint="eastAsia" w:ascii="宋体" w:hAnsi="宋体" w:cs="Times New Roman"/>
          <w:bCs/>
          <w:color w:val="000000"/>
          <w:sz w:val="24"/>
          <w:szCs w:val="24"/>
          <w:highlight w:val="yellow"/>
        </w:rPr>
        <w:t xml:space="preserve">如产生检验费用，则该费用由过失方承</w:t>
      </w:r>
      <w:r>
        <w:rPr>
          <w:rFonts w:hint="eastAsia" w:ascii="宋体" w:hAnsi="宋体" w:cs="Times New Roman"/>
          <w:bCs/>
          <w:sz w:val="24"/>
          <w:szCs w:val="24"/>
          <w:highlight w:val="yellow"/>
        </w:rPr>
        <w:t xml:space="preserve">担。</w:t>
      </w:r>
      <w:r>
        <w:rPr>
          <w:rFonts w:hint="eastAsia" w:ascii="宋体" w:hAnsi="宋体" w:cs="Times New Roman"/>
          <w:bCs/>
          <w:sz w:val="24"/>
          <w:szCs w:val="24"/>
          <w:highlight w:val="none"/>
        </w:rPr>
        <w:t xml:space="preserve">政府向社会公众提供的公共服务项目，验收时应当邀请服务对象参与并出具意见，验收结果应当向社会公告。</w:t>
      </w:r>
      <w:r>
        <w:rPr>
          <w:rFonts w:hint="eastAsia" w:ascii="Times New Roman" w:hAnsi="Times New Roman"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9.11履约验收方案要明确履约验收的主体、时间、方式、程序、内容和验收标准等事项</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履约验收主体：无锡国家高新技术产业开发区（无锡市新吴区）教育局</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履约验收时间：合同签订生效后90个日历天内安装调试完毕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履约验收方式：按照采购人要求将本项目中货物送到指定地点（包括可能的分布范围），并分布实施安装</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履约验收程序：货物安装调试结束后</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履约验收内容：满足招标文件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履约验收标准：满足招标文件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highlight w:val="cyan"/>
        </w:rPr>
      </w:pPr>
      <w:r>
        <w:rPr>
          <w:rFonts w:hint="eastAsia" w:ascii="宋体" w:hAnsi="宋体" w:eastAsia="宋体" w:cs="Times New Roman"/>
          <w:bCs/>
          <w:color w:val="000000"/>
          <w:sz w:val="24"/>
          <w:szCs w:val="24"/>
          <w:highlight w:val="cyan"/>
          <w:lang w:val="en-US" w:eastAsia="zh-CN"/>
        </w:rPr>
        <w:t xml:space="preserve">履约验收其他事项：货物保修期满经项目使用单位确认保修质量和保修效果</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color w:val="000000"/>
          <w:sz w:val="24"/>
          <w:szCs w:val="24"/>
          <w:highlight w:val="none"/>
          <w:lang w:val="en-US" w:eastAsia="zh-CN"/>
        </w:rPr>
        <w:t xml:space="preserve">9.1</w:t>
      </w:r>
      <w:r>
        <w:rPr>
          <w:rFonts w:hint="eastAsia" w:ascii="宋体" w:cs="Times New Roman"/>
          <w:bCs/>
          <w:color w:val="000000"/>
          <w:sz w:val="24"/>
          <w:szCs w:val="24"/>
          <w:highlight w:val="none"/>
          <w:lang w:val="en-US" w:eastAsia="zh-CN"/>
        </w:rPr>
        <w:t xml:space="preserve">2</w:t>
      </w:r>
      <w:r>
        <w:rPr>
          <w:rFonts w:hint="eastAsia" w:ascii="宋体" w:hAnsi="Times New Roman" w:cs="Times New Roman"/>
          <w:bCs/>
          <w:color w:val="000000"/>
          <w:sz w:val="24"/>
          <w:szCs w:val="24"/>
          <w:highlight w:val="none"/>
        </w:rPr>
        <w:t xml:space="preserve">根据《关于推</w:t>
      </w:r>
      <w:r>
        <w:rPr>
          <w:rFonts w:hint="eastAsia" w:ascii="宋体" w:hAnsi="Times New Roman" w:cs="Times New Roman"/>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宋体" w:cs="Times New Roman"/>
          <w:bCs/>
          <w:sz w:val="24"/>
          <w:highlight w:val="none"/>
          <w:lang w:val="en-US" w:eastAsia="zh-CN"/>
        </w:rPr>
        <w:t xml:space="preserve">9.13</w:t>
      </w:r>
      <w:r>
        <w:rPr>
          <w:rFonts w:hint="eastAsia" w:ascii="宋体" w:hAnsi="宋体" w:cs="Times New Roman"/>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9.1</w:t>
      </w:r>
      <w:r>
        <w:rPr>
          <w:rFonts w:hint="eastAsia" w:ascii="宋体" w:cs="Times New Roman"/>
          <w:bCs/>
          <w:sz w:val="24"/>
          <w:szCs w:val="24"/>
          <w:highlight w:val="none"/>
          <w:lang w:val="en-US" w:eastAsia="zh-CN"/>
        </w:rPr>
        <w:t xml:space="preserve">4</w:t>
      </w:r>
      <w:r>
        <w:rPr>
          <w:rFonts w:hint="eastAsia" w:ascii="宋体" w:hAnsi="Times New Roman"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Times New Roman"/>
          <w:bCs/>
          <w:sz w:val="24"/>
          <w:highlight w:val="none"/>
        </w:rPr>
      </w:pPr>
      <w:r>
        <w:rPr>
          <w:rFonts w:hint="eastAsia" w:ascii="宋体" w:hAnsi="宋体" w:cs="Times New Roman"/>
          <w:bCs/>
          <w:sz w:val="24"/>
          <w:highlight w:val="none"/>
          <w:lang w:val="en-US" w:eastAsia="zh-CN"/>
        </w:rPr>
        <w:t xml:space="preserve">9.15</w:t>
      </w:r>
      <w:r>
        <w:rPr>
          <w:rFonts w:hint="eastAsia" w:ascii="宋体" w:hAnsi="宋体" w:cs="Times New Roman"/>
          <w:bCs/>
          <w:sz w:val="24"/>
          <w:highlight w:val="none"/>
        </w:rPr>
        <w:t xml:space="preserve">开标后，投标人须自行准备设备（包括但不限于笔记本电脑、无线网络）登录</w:t>
      </w:r>
      <w:r>
        <w:rPr>
          <w:rFonts w:hint="eastAsia" w:ascii="宋体" w:hAnsi="宋体" w:cs="Times New Roman"/>
          <w:bCs/>
          <w:sz w:val="24"/>
          <w:szCs w:val="24"/>
          <w:highlight w:val="none"/>
        </w:rPr>
        <w:t xml:space="preserve">“苏采云”系统</w:t>
      </w:r>
      <w:r>
        <w:rPr>
          <w:rFonts w:hint="eastAsia" w:ascii="宋体" w:hAnsi="宋体" w:cs="Times New Roman"/>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lightGray"/>
        </w:rPr>
      </w:pPr>
      <w:r>
        <w:rPr>
          <w:rFonts w:hint="eastAsia" w:ascii="宋体" w:hAnsi="宋体" w:eastAsia="宋体" w:cs="宋体"/>
          <w:bCs/>
          <w:sz w:val="24"/>
          <w:szCs w:val="24"/>
          <w:highlight w:val="lightGray"/>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rPr>
          <w:highlight w:val="lightGray"/>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8.</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根据</w:t>
      </w:r>
      <w:bookmarkStart w:id="194" w:name="OLE_LINK2"/>
      <w:r/>
      <w:bookmarkStart w:id="195" w:name="OLE_LINK1"/>
      <w:r>
        <w:rPr>
          <w:rFonts w:hint="eastAsia" w:ascii="宋体" w:hAnsi="Times New Roman" w:cs="Times New Roman"/>
          <w:bCs/>
          <w:sz w:val="24"/>
          <w:szCs w:val="24"/>
          <w:highlight w:val="none"/>
        </w:rPr>
        <w:t xml:space="preserve">《保障中小企业款项支付条例》（中华人民共和国国务院令第802号）</w:t>
      </w:r>
      <w:bookmarkEnd w:id="194"/>
      <w:r/>
      <w:bookmarkEnd w:id="195"/>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0</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1</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360" w:lineRule="auto"/>
        <w:rPr>
          <w:rFonts w:hint="eastAsia" w:ascii="宋体" w:hAnsi="宋体" w:eastAsia="宋体" w:cs="宋体"/>
          <w:bCs/>
          <w:sz w:val="36"/>
          <w:szCs w:val="36"/>
          <w:highlight w:val="none"/>
        </w:rPr>
        <w:outlineLvl w:val="0"/>
      </w:pPr>
      <w:r>
        <w:rPr>
          <w:rFonts w:hint="eastAsia" w:ascii="宋体" w:hAnsi="Times New Roman" w:cs="Times New Roman"/>
          <w:bCs/>
          <w:sz w:val="24"/>
          <w:szCs w:val="24"/>
          <w:highlight w:val="none"/>
          <w:lang w:val="en"/>
        </w:rPr>
        <w:br w:type="page" w:clear="all"/>
      </w:r>
      <w:bookmarkStart w:id="196" w:name="_Toc14501"/>
      <w:r/>
      <w:bookmarkStart w:id="197" w:name="_Toc120614281"/>
      <w:r>
        <w:rPr>
          <w:rFonts w:hint="eastAsia" w:ascii="宋体" w:hAnsi="宋体" w:eastAsia="宋体" w:cs="宋体"/>
          <w:bCs/>
          <w:sz w:val="36"/>
          <w:szCs w:val="36"/>
          <w:highlight w:val="none"/>
        </w:rPr>
        <w:t xml:space="preserve">第五章  评标方法与评标标准</w:t>
      </w:r>
      <w:bookmarkEnd w:id="196"/>
      <w:r/>
      <w:r/>
    </w:p>
    <w:p>
      <w:pPr>
        <w:pStyle w:val="1062"/>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1062"/>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1062"/>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p>
    <w:p>
      <w:pPr>
        <w:pStyle w:val="1062"/>
        <w:ind w:firstLine="480"/>
        <w:spacing w:before="0" w:after="0" w:line="500" w:lineRule="exact"/>
        <w:rPr>
          <w:rStyle w:val="1048"/>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62"/>
        <w:ind w:firstLine="48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2"/>
        <w:jc w:val="center"/>
        <w:spacing w:before="0" w:after="0" w:line="500" w:lineRule="exact"/>
        <w:rPr>
          <w:rFonts w:ascii="宋体" w:hAnsi="宋体"/>
          <w:bCs/>
          <w:color w:val="000000"/>
          <w:highlight w:val="none"/>
        </w:rPr>
      </w:pPr>
      <w:r>
        <w:rPr>
          <w:rFonts w:hint="eastAsia" w:ascii="宋体" w:hAnsi="宋体" w:eastAsia="宋体" w:cs="宋体"/>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62"/>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4.残疾人福利单位、监狱企业属于小型、微型企业的，不重复享受政策。</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联合体各方均为小型、微型企业的，联合体视同为小型、微型企业按规定享受价格扣除。</w:t>
      </w:r>
      <w:r/>
    </w:p>
    <w:p>
      <w:pPr>
        <w:ind w:firstLine="480"/>
        <w:jc w:val="left"/>
        <w:spacing w:line="500" w:lineRule="exact"/>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（一）评分项目及总分（总分100分）</w:t>
      </w:r>
      <w:r/>
    </w:p>
    <w:p>
      <w:pPr>
        <w:ind w:firstLine="560"/>
        <w:spacing w:line="360" w:lineRule="auto"/>
        <w:rPr>
          <w:rFonts w:ascii="宋体" w:hAnsi="宋体"/>
          <w:b/>
          <w:color w:val="000000"/>
          <w:sz w:val="24"/>
          <w:szCs w:val="24"/>
          <w:highlight w:val="none"/>
        </w:rPr>
      </w:pPr>
      <w:r>
        <w:rPr>
          <w:rFonts w:hint="eastAsia" w:ascii="宋体" w:hAnsi="宋体"/>
          <w:b/>
          <w:color w:val="000000"/>
          <w:sz w:val="24"/>
          <w:szCs w:val="24"/>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明标部分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投标报价                                   </w:t>
      </w:r>
      <w:r>
        <w:rPr>
          <w:rFonts w:hint="eastAsia" w:ascii="宋体" w:hAnsi="宋体" w:cs="宋体"/>
          <w:b w:val="0"/>
          <w:bCs w:val="0"/>
          <w:color w:val="000000"/>
          <w:sz w:val="24"/>
          <w:szCs w:val="24"/>
          <w:highlight w:val="none"/>
          <w:lang w:val="en-US" w:eastAsia="zh-CN"/>
        </w:rPr>
        <w:t xml:space="preserve">  50</w:t>
      </w:r>
      <w:r>
        <w:rPr>
          <w:rFonts w:hint="eastAsia" w:ascii="宋体" w:hAnsi="宋体" w:cs="宋体"/>
          <w:b w:val="0"/>
          <w:bCs w:val="0"/>
          <w:color w:val="000000"/>
          <w:sz w:val="24"/>
          <w:szCs w:val="24"/>
          <w:highlight w:val="none"/>
        </w:rPr>
        <w:t xml:space="preserve">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2.技术指标                                     8分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3.企业</w:t>
      </w:r>
      <w:r>
        <w:rPr>
          <w:rFonts w:hint="eastAsia" w:ascii="宋体" w:hAnsi="宋体" w:cs="宋体"/>
          <w:b w:val="0"/>
          <w:bCs w:val="0"/>
          <w:color w:val="000000"/>
          <w:sz w:val="24"/>
          <w:szCs w:val="24"/>
          <w:highlight w:val="none"/>
        </w:rPr>
        <w:t xml:space="preserve">综合实力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设计方案                                     </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rPr>
        <w:t xml:space="preserve">产品功能演示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政策性因素                                   </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暗标部分</w:t>
      </w:r>
      <w:r/>
    </w:p>
    <w:p>
      <w:pPr>
        <w:numPr>
          <w:ilvl w:val="0"/>
          <w:numId w:val="0"/>
        </w:numPr>
        <w:ind w:firstLine="480"/>
        <w:spacing w:line="360" w:lineRule="auto"/>
        <w:rPr>
          <w:rFonts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技术方案                                     </w:t>
      </w:r>
      <w:r>
        <w:rPr>
          <w:rFonts w:hint="eastAsia" w:ascii="宋体" w:hAnsi="宋体" w:cs="宋体"/>
          <w:b w:val="0"/>
          <w:bCs w:val="0"/>
          <w:color w:val="000000"/>
          <w:sz w:val="24"/>
          <w:szCs w:val="24"/>
          <w:highlight w:val="none"/>
          <w:lang w:val="en-US" w:eastAsia="zh-CN"/>
        </w:rPr>
        <w:t xml:space="preserve">14</w:t>
      </w:r>
      <w:r>
        <w:rPr>
          <w:rFonts w:hint="eastAsia" w:ascii="宋体" w:hAnsi="宋体" w:cs="宋体"/>
          <w:b w:val="0"/>
          <w:bCs w:val="0"/>
          <w:color w:val="000000"/>
          <w:sz w:val="24"/>
          <w:szCs w:val="24"/>
          <w:highlight w:val="none"/>
        </w:rPr>
        <w:t xml:space="preserve">分</w:t>
      </w:r>
      <w:r/>
    </w:p>
    <w:p>
      <w:pPr>
        <w:ind w:firstLine="48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1.报价（50分）</w:t>
      </w:r>
      <w:r/>
    </w:p>
    <w:p>
      <w:pPr>
        <w:ind w:firstLine="480"/>
        <w:spacing w:line="360" w:lineRule="auto"/>
        <w:tabs>
          <w:tab w:val="left" w:pos="945" w:leader="none"/>
          <w:tab w:val="left" w:pos="1146" w:leader="none"/>
        </w:tabs>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460" w:lineRule="exact"/>
        <w:tabs>
          <w:tab w:val="left" w:pos="630" w:leader="none"/>
        </w:tabs>
        <w:rPr>
          <w:color w:val="000000"/>
          <w:sz w:val="24"/>
          <w:highlight w:val="none"/>
        </w:rPr>
      </w:pPr>
      <w:r>
        <w:rPr>
          <w:rFonts w:hint="eastAsia"/>
          <w:color w:val="000000"/>
          <w:sz w:val="24"/>
          <w:highlight w:val="none"/>
        </w:rPr>
        <w:t xml:space="preserve">投标报价得分=（评标基准价/投标报价）×50。</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a.对于非专门面向小微企业的项目，对小微企业报价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）的规定提供《残疾人福利性单位声明函》（格式见附件）。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同一投标人，上述三项价格扣除优惠不得重复享受。</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2.技术指标（8分）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2.1学生实验桌：需符合GB/T 24820-2024 实验室家具通用技术条件和</w:t>
      </w:r>
      <w:r>
        <w:rPr>
          <w:rFonts w:hint="eastAsia" w:ascii="宋体" w:hAnsi="宋体" w:eastAsia="宋体" w:cs="宋体"/>
          <w:b w:val="0"/>
          <w:bCs/>
          <w:color w:val="000000"/>
          <w:sz w:val="24"/>
          <w:szCs w:val="24"/>
          <w:highlight w:val="cyan"/>
          <w:lang w:val="en-US" w:eastAsia="zh-CN"/>
        </w:rPr>
        <w:t xml:space="preserve">QB/T3826-1999</w:t>
      </w:r>
      <w:r>
        <w:rPr>
          <w:rFonts w:hint="eastAsia" w:ascii="宋体" w:hAnsi="宋体" w:eastAsia="宋体" w:cs="宋体"/>
          <w:b w:val="0"/>
          <w:bCs/>
          <w:color w:val="000000"/>
          <w:sz w:val="24"/>
          <w:szCs w:val="24"/>
          <w:highlight w:val="none"/>
          <w:lang w:val="en-US" w:eastAsia="zh-CN"/>
        </w:rPr>
        <w:t xml:space="preserve">轻工产品金属镀层</w:t>
      </w:r>
      <w:r>
        <w:rPr>
          <w:rFonts w:hint="eastAsia" w:ascii="宋体" w:hAnsi="宋体" w:eastAsia="宋体" w:cs="宋体"/>
          <w:b w:val="0"/>
          <w:bCs/>
          <w:color w:val="000000"/>
          <w:sz w:val="24"/>
          <w:szCs w:val="24"/>
          <w:highlight w:val="none"/>
          <w:lang w:val="en-US" w:eastAsia="zh-CN"/>
        </w:rPr>
        <w:t xml:space="preserve">化学处理层的耐腐蚀试验方法中性盐雾试验(NSS)法。理化性能-通用要求 电镀层1）抗盐雾：</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18h,</w:t>
      </w:r>
      <w:r>
        <w:rPr>
          <w:rFonts w:hint="eastAsia" w:ascii="宋体" w:hAnsi="宋体" w:eastAsia="宋体" w:cs="宋体"/>
          <w:b w:val="0"/>
          <w:bCs/>
          <w:color w:val="000000"/>
          <w:sz w:val="24"/>
          <w:szCs w:val="24"/>
          <w:highlight w:val="none"/>
          <w:lang w:val="en-US" w:eastAsia="zh-CN"/>
        </w:rPr>
        <w:t xml:space="preserve">直径1.5mm以下锈点≤20点/d㎡，其中直径≥1.0mm锈点不超过5点(距边缘棱角2mm以内的不计)；实验台力学性能-实验台强度1）水平静载荷试验，符合标准；2）主台面垂直静载荷试验，符合标准；3）台面挠度试验，符合标准；4）跌落试验，符合标准；实验台力学性能-独立式实验台稳定性1）水平冲击稳定性试验，符合标准；2）垂直加载稳定性试验，符合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lightGray"/>
          <w:lang w:val="en-US" w:eastAsia="zh-CN"/>
        </w:rPr>
        <w:t xml:space="preserve">2.2 </w:t>
      </w:r>
      <w:r>
        <w:rPr>
          <w:rFonts w:ascii="宋体" w:hAnsi="宋体" w:eastAsia="宋体" w:cs="宋体"/>
          <w:b w:val="0"/>
          <w:bCs/>
          <w:color w:val="000000"/>
          <w:sz w:val="24"/>
          <w:szCs w:val="24"/>
          <w:highlight w:val="lightGray"/>
          <w:lang w:val="en-US" w:eastAsia="zh-CN"/>
        </w:rPr>
        <w:t xml:space="preserve">多功能防溅水槽柜</w:t>
      </w:r>
      <w:r>
        <w:rPr>
          <w:rFonts w:hint="eastAsia" w:ascii="宋体" w:hAnsi="宋体" w:eastAsia="宋体" w:cs="宋体"/>
          <w:b w:val="0"/>
          <w:bCs/>
          <w:color w:val="000000"/>
          <w:sz w:val="24"/>
          <w:szCs w:val="24"/>
          <w:highlight w:val="lightGray"/>
          <w:lang w:val="en-US" w:eastAsia="zh-CN"/>
        </w:rPr>
        <w:t xml:space="preserve">：水槽柜滴水架具有折叠隐藏功能；柜体上部设计有隐藏式上下水管功能，可以搭配上走水电的需求；下水带2层过滤装置，可以过滤不同的杂质；水槽底部设置下水口，可以快速排出水槽废水。</w:t>
      </w:r>
      <w:r>
        <w:rPr>
          <w:rFonts w:hint="eastAsia" w:ascii="宋体" w:hAnsi="宋体" w:eastAsia="宋体" w:cs="宋体"/>
          <w:b w:val="0"/>
          <w:bCs/>
          <w:color w:val="000000"/>
          <w:sz w:val="24"/>
          <w:szCs w:val="24"/>
          <w:highlight w:val="lightGray"/>
          <w:lang w:val="en-US" w:eastAsia="zh-CN"/>
        </w:rPr>
        <w:t xml:space="preserve">需提供满足以上要求的第三方检测机构出具的检测报告</w:t>
      </w:r>
      <w:r>
        <w:rPr>
          <w:rFonts w:hint="eastAsia" w:ascii="宋体" w:hAnsi="宋体" w:cs="宋体"/>
          <w:b w:val="0"/>
          <w:bCs/>
          <w:color w:val="000000"/>
          <w:sz w:val="24"/>
          <w:szCs w:val="24"/>
          <w:highlight w:val="lightGray"/>
          <w:lang w:val="en-US" w:eastAsia="zh-CN"/>
        </w:rPr>
        <w:t xml:space="preserve">扫描件加盖投标人公章</w:t>
      </w:r>
      <w:r>
        <w:rPr>
          <w:rFonts w:hint="eastAsia" w:ascii="宋体" w:hAnsi="宋体" w:eastAsia="宋体" w:cs="宋体"/>
          <w:b w:val="0"/>
          <w:bCs/>
          <w:color w:val="000000"/>
          <w:sz w:val="24"/>
          <w:szCs w:val="24"/>
          <w:highlight w:val="lightGray"/>
          <w:lang w:val="en-US" w:eastAsia="zh-CN"/>
        </w:rPr>
        <w:t xml:space="preserve">，</w:t>
      </w:r>
      <w:r>
        <w:rPr>
          <w:rFonts w:hint="eastAsia" w:ascii="宋体" w:hAnsi="宋体" w:eastAsia="宋体" w:cs="宋体"/>
          <w:b w:val="0"/>
          <w:bCs/>
          <w:color w:val="000000"/>
          <w:sz w:val="24"/>
          <w:szCs w:val="24"/>
          <w:highlight w:val="lightGray"/>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 药品柜: 需符合GB/T 24820-2024 实验室家具通用技术条件，储物柜力学性能-强度和耐久性：符合开门水平加载试验的标准；储物柜力学性能-强度和耐久性：符合开门猛关试验的标准；储物柜力学性能-强度和耐久性：符合开门耐久性试验的标准；符合储物柜力学性能-稳定性的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2.4智慧美术粉笔教学系统：配备专业书法知识库，需涵盖书法基础知识、临摹与创作、中国书法简史、古代书法理论、篆刻、硬笔书法常识六大及以上知识板块；系统支持通过关键字进行知识的全文搜索功能。</w:t>
      </w:r>
      <w:r>
        <w:rPr>
          <w:rFonts w:hint="eastAsia" w:ascii="宋体" w:hAnsi="宋体" w:eastAsia="宋体" w:cs="宋体"/>
          <w:b w:val="0"/>
          <w:bCs/>
          <w:color w:val="000000"/>
          <w:sz w:val="24"/>
          <w:szCs w:val="24"/>
          <w:highlight w:val="cyan"/>
          <w:lang w:val="en-US" w:eastAsia="zh-CN"/>
        </w:rPr>
        <w:t xml:space="preserve">需提供满足以上要求第三方检测机构出具的检测报告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2.5.智能情绪调节释压系统：材料组成部分包括底座、衣服、填充物、头套、内衬等，</w:t>
      </w:r>
      <w:r>
        <w:rPr>
          <w:rFonts w:hint="eastAsia" w:ascii="宋体" w:hAnsi="宋体" w:eastAsia="宋体" w:cs="宋体"/>
          <w:b w:val="0"/>
          <w:bCs/>
          <w:color w:val="000000"/>
          <w:sz w:val="24"/>
          <w:szCs w:val="24"/>
          <w:highlight w:val="cyan"/>
          <w:lang w:val="en-US" w:eastAsia="zh-CN"/>
        </w:rPr>
        <w:t xml:space="preserve">需提供满足以上要求的第三方检测机构出具的检测报告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cyan"/>
          <w:lang w:val="en-US" w:eastAsia="zh-CN"/>
        </w:rPr>
        <w:t xml:space="preserve">检测标准：</w:t>
      </w:r>
      <w:r>
        <w:rPr>
          <w:rFonts w:hint="eastAsia" w:ascii="宋体" w:hAnsi="宋体" w:eastAsia="宋体" w:cs="宋体"/>
          <w:b w:val="0"/>
          <w:bCs/>
          <w:color w:val="000000"/>
          <w:sz w:val="24"/>
          <w:szCs w:val="24"/>
          <w:highlight w:val="lightGray"/>
          <w:lang w:val="en-US" w:eastAsia="zh-CN"/>
        </w:rPr>
        <w:t xml:space="preserve">GB/T26572-2011</w:t>
      </w:r>
      <w:r>
        <w:rPr>
          <w:rFonts w:hint="eastAsia" w:ascii="宋体" w:hAnsi="宋体" w:eastAsia="宋体" w:cs="宋体"/>
          <w:b w:val="0"/>
          <w:bCs/>
          <w:color w:val="000000"/>
          <w:sz w:val="24"/>
          <w:szCs w:val="24"/>
          <w:highlight w:val="cyan"/>
          <w:lang w:val="en-US" w:eastAsia="zh-CN"/>
        </w:rPr>
        <w:t xml:space="preserve">《电子电气产品中限用物质的限量要求》，检测内容需包含铅，镉,汞和六价铬，多溴联苯，多溴二苯醚</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测试结果符合限值要求，</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2.6交互式数字临摹台: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2.7.智慧美术粉笔教学系统:材质:冷轧钢板;左边为嵌入式触控临摹屏，支持学生左边直接用粉笔在触控粉笔临摹台的屏幕上进行绘画.书写和临摹，右边支持传统黑板书写。开机后直接进入学生自主学习软件界面，通过学校.班级.账号.密码登录，设备内置不少于6大模块，其中包含课程系统.练习系统.碑帖系统.粉笔视频资源系统.书法知识库系统.智能测评系统;</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2.8.桌面级二氧化碳激光切割机：通过智能摄像头的点位捕捉，⾃动模拟曲⾯模型，实现曲⾯雕刻；使用“节点编辑”中的“节点简化”功能减少复杂矢量图形的节点数量；支持调整图片的清晰度、饱和度、亮度、对比度、灰度、反色等参数，需提供功能展示截图佐证，满足的，得1分；</w:t>
      </w:r>
      <w:r/>
    </w:p>
    <w:p>
      <w:pPr>
        <w:ind w:firstLine="480"/>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3.企业</w:t>
      </w:r>
      <w:r>
        <w:rPr>
          <w:rFonts w:hint="eastAsia" w:ascii="宋体" w:hAnsi="宋体" w:eastAsia="宋体" w:cs="宋体"/>
          <w:b/>
          <w:bCs w:val="0"/>
          <w:color w:val="000000"/>
          <w:sz w:val="24"/>
          <w:szCs w:val="24"/>
          <w:highlight w:val="none"/>
        </w:rPr>
        <w:t xml:space="preserve">综合实力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10分</w:t>
      </w:r>
      <w:r>
        <w:rPr>
          <w:rFonts w:hint="eastAsia" w:ascii="宋体" w:hAnsi="宋体" w:eastAsia="宋体" w:cs="宋体"/>
          <w:b/>
          <w:bCs w:val="0"/>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3.1.投标供应商具有信息系统建设和服务能力等级证书达到CS3的得0.5分，CS4的得1分，CS5的得2分，此项最高得2分。(提供以上证书扫描件加盖投标人公章）</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3.2投标供应商具有有效期内的ISO9001质量管理体系认证证书、</w:t>
      </w:r>
      <w:r>
        <w:rPr>
          <w:rFonts w:ascii="宋体" w:hAnsi="宋体" w:eastAsia="宋体" w:cs="宋体"/>
          <w:sz w:val="24"/>
          <w:szCs w:val="24"/>
        </w:rPr>
        <w:t xml:space="preserve">五星级商品售后服务评价体系认证</w:t>
      </w:r>
      <w:r>
        <w:rPr>
          <w:rFonts w:hint="eastAsia" w:ascii="宋体" w:hAnsi="宋体" w:cs="宋体"/>
          <w:sz w:val="24"/>
          <w:szCs w:val="24"/>
          <w:lang w:val="en-US" w:eastAsia="zh-CN"/>
        </w:rPr>
        <w:t xml:space="preserve">证书，</w:t>
      </w:r>
      <w:r>
        <w:rPr>
          <w:rFonts w:hint="eastAsia" w:ascii="宋体" w:hAnsi="宋体" w:eastAsia="宋体" w:cs="宋体"/>
          <w:b w:val="0"/>
          <w:bCs/>
          <w:color w:val="000000"/>
          <w:sz w:val="24"/>
          <w:szCs w:val="24"/>
          <w:highlight w:val="none"/>
          <w:lang w:val="en-US" w:eastAsia="zh-CN"/>
        </w:rPr>
        <w:t xml:space="preserve">每提供一份得0.5分，最高得1分。(提供以上证书投标人扫描件加盖公章及</w:t>
      </w:r>
      <w:r>
        <w:rPr>
          <w:rFonts w:hint="eastAsia" w:ascii="宋体" w:hAnsi="宋体" w:eastAsia="宋体" w:cs="宋体"/>
          <w:b w:val="0"/>
          <w:bCs/>
          <w:color w:val="000000"/>
          <w:sz w:val="24"/>
          <w:szCs w:val="24"/>
          <w:highlight w:val="none"/>
        </w:rPr>
        <w:t xml:space="preserve">国家认证认可监督管理委员会官方网站</w:t>
      </w:r>
      <w:r>
        <w:rPr>
          <w:rFonts w:hint="eastAsia" w:ascii="宋体" w:hAnsi="宋体" w:eastAsia="宋体" w:cs="宋体"/>
          <w:b w:val="0"/>
          <w:bCs/>
          <w:color w:val="000000"/>
          <w:sz w:val="24"/>
          <w:szCs w:val="24"/>
          <w:highlight w:val="none"/>
          <w:lang w:val="en-US" w:eastAsia="zh-CN"/>
        </w:rPr>
        <w:t xml:space="preserve">查询截图）</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3.3投标供应商为本项目配备一名项目经理具有</w:t>
      </w:r>
      <w:r>
        <w:rPr>
          <w:rFonts w:ascii="宋体" w:hAnsi="宋体" w:eastAsia="宋体" w:cs="宋体"/>
          <w:sz w:val="24"/>
          <w:szCs w:val="24"/>
        </w:rPr>
        <w:t xml:space="preserve">信息系统项目管理师（高级资格）</w:t>
      </w:r>
      <w:r>
        <w:rPr>
          <w:rFonts w:hint="eastAsia" w:ascii="宋体" w:hAnsi="宋体" w:eastAsia="宋体" w:cs="宋体"/>
          <w:b w:val="0"/>
          <w:bCs/>
          <w:color w:val="000000"/>
          <w:sz w:val="24"/>
          <w:szCs w:val="24"/>
          <w:highlight w:val="none"/>
          <w:lang w:val="en-US" w:eastAsia="zh-CN"/>
        </w:rPr>
        <w:t xml:space="preserve">证书或高级IT运维工程师的得1分。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3.4投标供应商为本项目配备至少 2 名技术服务人员，人员具有 IT 服务工程师 (ITSS) 或信息系统集成管理（高级）证书的，每符合 1 人得 1 分，最多得 2 分；配备至少 1 名售后服务专员，人员具有高级售后服务管理师或客户服务管理师（三级/高级工及以上）证书的，得 1 分，最多得 1 分。本项累计最高得 3 分。同一人员持有多项符合要求证书的仅按一人计算，不重复计分。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注：以上3.3、3.4项提供相关人员的相关证书扫描件加盖公章和投标人近一年中任意一个月份(不含投标当月)经社保部门确认的社保缴纳名单扫描件加盖公章（标注各人员所处位置），</w:t>
      </w:r>
      <w:r>
        <w:rPr>
          <w:rFonts w:hint="eastAsia" w:ascii="宋体" w:hAnsi="宋体" w:eastAsia="宋体" w:cs="宋体"/>
          <w:b w:val="0"/>
          <w:bCs/>
          <w:color w:val="000000"/>
          <w:sz w:val="24"/>
          <w:szCs w:val="24"/>
          <w:highlight w:val="none"/>
        </w:rPr>
        <w:t xml:space="preserve">社保缴纳证明须为官方有效佐证材料。人员证件过期、社保材料缺失或不符合要求的，对应项不予计分。</w:t>
      </w:r>
      <w:r>
        <w:rPr>
          <w:rFonts w:hint="eastAsia" w:ascii="宋体" w:hAnsi="宋体" w:eastAsia="宋体" w:cs="宋体"/>
          <w:b w:val="0"/>
          <w:bCs/>
          <w:color w:val="000000"/>
          <w:sz w:val="24"/>
          <w:szCs w:val="24"/>
          <w:highlight w:val="none"/>
          <w:lang w:val="en-US"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3.5为保证所提供产品软件的成熟性以及版权的合法性，投标供应商提供所投产品通风矢量控制系统、顶装智能控制平台、远程控制系统的软件著作权登记证书原件扫描件,每提供一份，得1分，最高得3分，不提供不得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4.设计方案（6分）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投标人根据采购人提供的信息针对本项目提供详细深化设计方案:内容包括</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①提供化学吊装、生物数字化、无人机与低空经济实验室的设计图（含平面布局图、给排水图、供电图、化学通风设计图等）；</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全套专业图纸齐全完整，平面布局、给排水、供电、化学通风等图纸规范合规，贴合项目实际工况、满足专业实验室使用及施工验收要求，设计落地性强</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核心图纸基本齐全，仅辅助配套图纸轻微缺失、内容小幅简化，设计符合规范，整体方案合理可行，满足项目建设核心需求，仅少量细节需微调完善</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关键图纸有缺项，套用通用模板未结合本项目实验室专业特点设计，贴合度一般，需大幅修改方可</w:t>
      </w:r>
      <w:r>
        <w:rPr>
          <w:rFonts w:hint="eastAsia" w:ascii="宋体" w:hAnsi="宋体" w:eastAsia="宋体" w:cs="宋体"/>
          <w:b w:val="0"/>
          <w:bCs/>
          <w:color w:val="000000"/>
          <w:sz w:val="24"/>
          <w:szCs w:val="24"/>
          <w:highlight w:val="none"/>
          <w:lang w:val="en-US" w:eastAsia="zh-CN"/>
        </w:rPr>
        <w:t xml:space="preserve">使用的，得1分。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rPr>
        <w:t xml:space="preserve">未提供图纸或核心图纸严重缺失、内容敷衍，与项目需求不符，存在功能及安全隐患，无实施价值</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得0分</w:t>
      </w:r>
      <w:r/>
    </w:p>
    <w:p>
      <w:pPr>
        <w:pStyle w:val="1183"/>
        <w:ind w:left="0" w:right="0" w:firstLine="480"/>
        <w:jc w:val="both"/>
        <w:keepLines w:val="0"/>
        <w:keepNext w:val="0"/>
        <w:pageBreakBefore w:val="0"/>
        <w:spacing w:line="360" w:lineRule="auto"/>
        <w:widowControl w:val="off"/>
        <w:outlineLvl w:val="9"/>
      </w:pPr>
      <w:r>
        <w:rPr>
          <w:rFonts w:hint="eastAsia" w:ascii="宋体" w:hAnsi="宋体" w:eastAsia="宋体" w:cs="宋体"/>
          <w:b w:val="0"/>
          <w:bCs/>
          <w:color w:val="000000"/>
          <w:sz w:val="24"/>
          <w:szCs w:val="24"/>
          <w:highlight w:val="none"/>
        </w:rPr>
        <w:t xml:space="preserve">②提供化学吊装、生物数字化、无人机与低空经济实验室效果图，与采购人需求相符；</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三大实验室定制高清效果图齐全，全景及核心区域展示完整，完全符合采购人建设需求及实验室功能定位，匹配度高、效果直观</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效果图基本齐全完整，仅少量场景细节轻微缺失，整体布局及风貌符合采购要求，核心区域呈现清晰，仅局部细节需微调优化</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效果图简单粗糙，未按本项目实验室专项定制，与采购需求贴合度一般，需大量修改调整</w:t>
      </w:r>
      <w:r>
        <w:rPr>
          <w:rFonts w:hint="eastAsia" w:ascii="宋体" w:hAnsi="宋体" w:eastAsia="宋体" w:cs="宋体"/>
          <w:b w:val="0"/>
          <w:bCs/>
          <w:color w:val="000000"/>
          <w:sz w:val="24"/>
          <w:szCs w:val="24"/>
          <w:highlight w:val="none"/>
          <w:lang w:val="en-US" w:eastAsia="zh-CN"/>
        </w:rPr>
        <w:t xml:space="preserve">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未提供效果图或使用通用无关效果图，与本项目实验室建设无关，不符合采购要求</w:t>
      </w:r>
      <w:r>
        <w:rPr>
          <w:rFonts w:hint="eastAsia" w:ascii="宋体" w:hAnsi="宋体" w:eastAsia="宋体" w:cs="宋体"/>
          <w:b w:val="0"/>
          <w:bCs/>
          <w:color w:val="000000"/>
          <w:sz w:val="24"/>
          <w:szCs w:val="24"/>
          <w:highlight w:val="none"/>
          <w:lang w:val="en-US" w:eastAsia="zh-CN"/>
        </w:rPr>
        <w:t xml:space="preserve">的，得0分。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5.产品功能演示（10分）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演示必须是目前正在运行的真实环境或模拟环境，不得使用PPT演示稿或录屏、截图等其他方式演示。演示时间不超过</w:t>
      </w:r>
      <w:r>
        <w:rPr>
          <w:rFonts w:hint="eastAsia" w:ascii="宋体" w:hAnsi="宋体" w:eastAsia="宋体" w:cs="宋体"/>
          <w:b/>
          <w:bCs w:val="0"/>
          <w:color w:val="000000"/>
          <w:sz w:val="24"/>
          <w:szCs w:val="24"/>
          <w:highlight w:val="none"/>
          <w:lang w:val="en-US" w:eastAsia="zh-CN"/>
        </w:rPr>
        <w:t xml:space="preserve">25</w:t>
      </w:r>
      <w:r>
        <w:rPr>
          <w:rFonts w:hint="eastAsia" w:ascii="宋体" w:hAnsi="宋体" w:eastAsia="宋体" w:cs="宋体"/>
          <w:b/>
          <w:bCs w:val="0"/>
          <w:color w:val="000000"/>
          <w:sz w:val="24"/>
          <w:szCs w:val="24"/>
          <w:highlight w:val="none"/>
        </w:rPr>
        <w:t xml:space="preserve">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p>
    <w:p>
      <w:pPr>
        <w:ind w:firstLine="480"/>
        <w:jc w:val="left"/>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5.1移动储能终端：①演示电源输出模块（含吸风罩）具备全收纳与可扩展的双重特性，使用时可按需拉出柜体外，并在行程内任意位置锁定，放置在桌面上，满足不同使用需求，收纳时轻拉一次即可触发自动回收机制，随着拉力回收可将模块放回柜体，吸风罩支持 90° 旋转，灵活适配多种实验情况的排风角度。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none"/>
          <w:lang w:val="en-US" w:eastAsia="zh-CN"/>
        </w:rPr>
        <w:t xml:space="preserve">②</w:t>
      </w:r>
      <w:r>
        <w:rPr>
          <w:rFonts w:ascii="SimSun" w:hAnsi="SimSun" w:eastAsia="SimSun" w:cs="SimSun"/>
          <w:color w:val="000000"/>
          <w:sz w:val="24"/>
          <w:highlight w:val="yellow"/>
        </w:rPr>
        <w:t xml:space="preserve">多源集成控制装置，可通过触摸屏实现整机储水、储电、空气净化三合一系统智能调度，屏幕可实时直观展示设备运行全部监测数据：包含电池电量、空气滤芯剩余寿命、设备运行模式；可在界面操作风机三档风量切换、一键关停通风功能；可实时查看净水箱、废水箱水位监测数据，完整实现全链路协同管控可视化。满足以上要求得 1 分。</w:t>
      </w:r>
      <w:r>
        <w:rPr>
          <w:highlight w:val="yellow"/>
        </w:rPr>
      </w:r>
      <w:r/>
    </w:p>
    <w:p>
      <w:pPr>
        <w:ind w:firstLine="480"/>
        <w:jc w:val="left"/>
        <w:spacing w:line="360" w:lineRule="auto"/>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yellow"/>
          <w:lang w:val="en-US" w:eastAsia="zh-CN"/>
        </w:rPr>
        <w:t xml:space="preserve">5.2</w:t>
      </w:r>
      <w:r>
        <w:rPr>
          <w:rFonts w:ascii="SimSun" w:hAnsi="SimSun" w:eastAsia="SimSun" w:cs="SimSun"/>
          <w:color w:val="000000"/>
          <w:sz w:val="24"/>
          <w:highlight w:val="yellow"/>
        </w:rPr>
        <w:t xml:space="preserve">智能机械能守恒实验器：演示设备无线通讯，智能挡光片含触摸键及指示灯；刻度板主体内置控制电路，系统需一次性记录不少于15个位置的速度数据，系统自动识别挡光片安装位置并记入软件；触碰不同挡光片触摸触点时，挡光片指示灯同步亮起，感应装置与软件交互联动，可同步调取对应实验数据；系统对机械能转化过程开展实时分析与动态演示，直观呈现动能、势能、机械能三者的变化规律，实现触点操作与实验数据联动响应。满足以上要求得 1 分。</w:t>
      </w:r>
      <w:r>
        <w:rPr>
          <w:highlight w:val="yellow"/>
        </w:rPr>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rPr>
          <w:rFonts w:ascii="SimSun" w:hAnsi="SimSun" w:eastAsia="SimSun" w:cs="SimSun"/>
          <w:color w:val="000000"/>
          <w:sz w:val="24"/>
          <w:highlight w:val="yellow"/>
        </w:rPr>
        <w:t xml:space="preserve">5.3 分光光度计：演示设备可输出不少于 8 个波段的测量数据；主机配备不少于 4 个带序号标识的比色皿卡槽，内置传动装置，可通过软件选择样品位实现自动切换测量；设备支持蓝牙无线、USB 有线两种方式与计算机通讯，具备无线数据传输能力；硬件与软件可自动联动，同步展示仪器工作过程、采集实验吸光度数据并记录。满足以上要求得 1 分。</w:t>
      </w:r>
      <w:r>
        <w:rPr>
          <w:rFonts w:hint="eastAsia" w:ascii="宋体" w:hAnsi="宋体" w:eastAsia="宋体" w:cs="宋体"/>
          <w:b w:val="0"/>
          <w:bCs/>
          <w:color w:val="000000"/>
          <w:sz w:val="24"/>
          <w:szCs w:val="24"/>
          <w:highlight w:val="yellow"/>
          <w:lang w:val="en-US" w:eastAsia="zh-CN"/>
        </w:rPr>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5.4学生互动拍摄及Ai握笔监测系统：演示当出现握笔姿势错误时，学生端临摹台屏幕左上角显示错误提示图标，系统会以文字和图片拍摄方式同时给出监测到的握笔姿势错误，并配有正确姿势的文字和视频讲解；教师端系统能实时监测并出现握笔姿势错误提示，能显示错误握笔人员所在临摹台的位置信息，以文字和图片拍摄方式同时给出监测到的握笔姿势错误，并配有正确姿势的文字和视频讲解。</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5.5软笔书法Ai智能评价系统：演示对于某个学生多次（3次或以上）书写的同一个字，每次的测评结果形成折线图并可查看每次测评的详细结果。对于某个学生多次（3次或以上）书写的同名笔画，每次的测评结果形成折线图并可查看该笔画每次测评的详细结果，并能查看当时练习的整字及评测结果。</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5.6 AI</w:t>
      </w:r>
      <w:r>
        <w:rPr>
          <w:rFonts w:hint="eastAsia" w:ascii="宋体" w:hAnsi="宋体" w:eastAsia="宋体" w:cs="宋体"/>
          <w:b w:val="0"/>
          <w:bCs/>
          <w:color w:val="000000"/>
          <w:sz w:val="24"/>
          <w:szCs w:val="24"/>
          <w:highlight w:val="none"/>
          <w:lang w:val="en-US" w:eastAsia="zh-CN"/>
        </w:rPr>
        <w:t xml:space="preserve">多模态情绪识别设备：演示用户端支持AI心理咨询功能，可提供语音交互与数字人形态的心理咨询、日常心理倾诉及个性化支持，可通过问卷收集用户状态，结合AI分析推荐适配的测评量表，支持用户自主选择量表完成测评；管理端支持发起测评功能，可选择量表开展测评，能一键发送测评任务至指定对象，支持生成生理报告，可通过生理采集器记录HRV数据及对应状态说明，结合AI分析生成压力、疲劳、焦虑指数水平及解读内容。提供面部识别相关说明，可呈现面部识别数据、作答过程中的各情绪占比情况，以及分析得出的心理能量、情绪积极性水平及解读文案。</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5.7 AI心理投射交互设备：演示系统支持在线绘画与图库上传两种模式；在线绘画提供模拟真实纸笔的绘画环境，支持通过图库上传作品，并实现一键提交；可针对绘画作品，分别从整体、房子、树木、人物四个维度进行分析；支持对作品进行记录与点评，绘画测评完成后，支持生成全维度深度解析报告，报告需涵盖整体画面评估、房屋/树木/人物深度解析、元素间交互关系分析、重点标注解析、生理-心理联动数据、色彩心理分析、积极因素与风险预警、综合心理评价及个性化干预策略建议等，分析维度不少于30个心理投射相关维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5.8 非线性编辑系统：演示系统支持一键将普通字幕生成VR球形字幕，确保VR模式下图文显示无变形、无拉伸；该适配机制同步适用于导入的普通视频、图片素材。</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5.9 虚拟演播室系统：演示系统支持任意物件贴图动画，可自定义调整动画移动方向、位置与速度，有效增强场景动态展示效果，系统支持NDI 图文叠加功能，可无缝对接第三方图文输出软件，实现字幕条、图文背板、转场包装等各类图文信号实时叠加。</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6.政策性因素（2分）：</w:t>
      </w:r>
      <w:r>
        <w:rPr>
          <w:rFonts w:hint="eastAsia" w:ascii="宋体" w:hAnsi="宋体" w:eastAsia="宋体" w:cs="宋体"/>
          <w:b w:val="0"/>
          <w:bCs/>
          <w:color w:val="000000"/>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加盖公章、环境标志产品认证证书扫描件加盖公章，否则不得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7.技术方案（14分）（暗标）</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7.1 项目实施方案（4分）：投标人根据项目特点提供详尽的质量保证方案，包括：</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①质量保障体系及目标；②质量管理制度；③质量保障措施；④在质量保证期内，对于产品质量问题造成的损坏，免费提供咨询、部件更换、维修的方案。</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7.2 安装调试方案（4分）：投标人应根据本项目设备种类多、安装场景复杂、集成度高的特点，提供专项安装调试方案，内容至少包括：①设备到货验收与清点方案；②现场安装流程与工序安排；③设备调试、系统联调与检测方案；④安装验收标准与交付流程。</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7.3 培训方案（3分）：方案至少包含①培训内容；②培训方式；③培训计划。</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7.4 售后服务方案（3分）：投标人根据项目特点提供详尽的售后服务方案，具体包括以下核心内容：①售后服务内容；②响应程度；③备品备件的准备。</w:t>
      </w:r>
      <w:r/>
    </w:p>
    <w:p>
      <w:pPr>
        <w:ind w:firstLine="482"/>
        <w:spacing w:line="360" w:lineRule="auto"/>
        <w:rPr>
          <w:rFonts w:hint="eastAsia"/>
          <w:highlight w:val="none"/>
        </w:rPr>
        <w:outlineLvl w:val="9"/>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rPr>
          <w:rFonts w:hint="eastAsia"/>
          <w:highlight w:val="none"/>
        </w:rPr>
      </w:pPr>
      <w:r>
        <w:rPr>
          <w:rFonts w:hint="eastAsia"/>
          <w:highlight w:val="none"/>
        </w:rPr>
      </w:r>
      <w:r/>
    </w:p>
    <w:p>
      <w:pPr>
        <w:jc w:val="center"/>
        <w:spacing w:line="360" w:lineRule="auto"/>
        <w:rPr>
          <w:rFonts w:hint="eastAsia" w:ascii="宋体" w:hAnsi="宋体" w:eastAsia="宋体" w:cs="宋体"/>
          <w:bCs/>
          <w:sz w:val="36"/>
          <w:szCs w:val="36"/>
          <w:highlight w:val="none"/>
        </w:rPr>
        <w:outlineLvl w:val="0"/>
      </w:pPr>
      <w:r/>
      <w:bookmarkStart w:id="198" w:name="_Toc25872"/>
      <w:r>
        <w:rPr>
          <w:rFonts w:hint="eastAsia" w:ascii="宋体" w:hAnsi="宋体" w:eastAsia="宋体" w:cs="宋体"/>
          <w:bCs/>
          <w:sz w:val="36"/>
          <w:szCs w:val="36"/>
          <w:highlight w:val="none"/>
        </w:rPr>
        <w:t xml:space="preserve">第六章  </w:t>
      </w:r>
      <w:bookmarkEnd w:id="192"/>
      <w:r/>
      <w:bookmarkEnd w:id="193"/>
      <w:r/>
      <w:bookmarkEnd w:id="197"/>
      <w:r>
        <w:rPr>
          <w:rFonts w:hint="eastAsia" w:ascii="宋体" w:hAnsi="宋体" w:eastAsia="宋体" w:cs="宋体"/>
          <w:bCs/>
          <w:sz w:val="36"/>
          <w:szCs w:val="36"/>
          <w:highlight w:val="none"/>
        </w:rPr>
        <w:t xml:space="preserve">投标文件内容与格式</w:t>
      </w:r>
      <w:bookmarkEnd w:id="198"/>
      <w:r/>
      <w:r/>
    </w:p>
    <w:p>
      <w:pPr>
        <w:pStyle w:val="1062"/>
        <w:ind w:firstLine="602"/>
        <w:spacing w:before="0" w:after="0" w:line="360" w:lineRule="auto"/>
        <w:rPr>
          <w:rFonts w:hint="eastAsia" w:ascii="宋体" w:hAnsi="宋体" w:eastAsia="宋体" w:cs="宋体"/>
          <w:b/>
          <w:sz w:val="30"/>
          <w:szCs w:val="30"/>
          <w:highlight w:val="none"/>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ascii="宋体" w:hAnsi="宋体" w:eastAsia="宋体" w:cs="宋体"/>
          <w:b/>
          <w:sz w:val="30"/>
          <w:szCs w:val="30"/>
          <w:highlight w:val="none"/>
        </w:rPr>
        <w:t xml:space="preserve">第一部分  投标文件内容</w:t>
      </w:r>
      <w:r/>
    </w:p>
    <w:p>
      <w:pPr>
        <w:pStyle w:val="1062"/>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76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104" w:type="dxa"/>
            <w:vAlign w:val="center"/>
            <w:textDirection w:val="lrTb"/>
            <w:noWrap w:val="false"/>
          </w:tcPr>
          <w:p>
            <w:pPr>
              <w:pStyle w:val="1062"/>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244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133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p>
        </w:tc>
      </w:tr>
      <w:tr>
        <w:trPr>
          <w:jc w:val="center"/>
          <w:trHeight w:val="81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68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8"/>
                <w:rFonts w:hint="eastAsia" w:ascii="宋体" w:hAnsi="宋体" w:eastAsia="宋体" w:cs="宋体"/>
                <w:sz w:val="24"/>
                <w:szCs w:val="24"/>
                <w:highlight w:val="none"/>
                <w:lang w:val="en-US" w:eastAsia="zh-CN" w:bidi="ar-SA"/>
              </w:rPr>
              <w:t xml:space="preserve">。</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6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02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0"/>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104" w:type="dxa"/>
            <w:vAlign w:val="center"/>
            <w:textDirection w:val="lrTb"/>
            <w:noWrap w:val="false"/>
          </w:tcPr>
          <w:p>
            <w:pPr>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jc w:val="center"/>
          <w:trHeight w:val="726"/>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p>
        </w:tc>
      </w:tr>
      <w:tr>
        <w:trPr>
          <w:jc w:val="center"/>
          <w:trHeight w:val="63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095"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197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符合性证明文件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p>
        </w:tc>
        <w:tc>
          <w:tcPr>
            <w:tcW w:w="1979" w:type="dxa"/>
            <w:vAlign w:val="top"/>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p>
    <w:p>
      <w:pPr>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p>
    <w:p>
      <w:pPr>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pStyle w:val="1062"/>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JSZC-320214-JNJS-G2026-0003</w:t>
      </w:r>
      <w:r/>
    </w:p>
    <w:p>
      <w:pPr>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天一中学新吴分校新建工程实验设备仪器项目</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p>
    <w:p>
      <w:pPr>
        <w:jc w:val="center"/>
        <w:rPr>
          <w:rFonts w:hint="eastAsia" w:ascii="宋体" w:hAnsi="宋体" w:eastAsia="宋体" w:cs="宋体"/>
          <w:sz w:val="24"/>
          <w:highlight w:val="none"/>
          <w:shd w:val="clear" w:color="ffffff" w:fill="d9d9d9"/>
        </w:rPr>
        <w:outlineLvl w:val="0"/>
      </w:pPr>
      <w:r/>
      <w:bookmarkStart w:id="204" w:name="_Toc19688"/>
      <w:r>
        <w:rPr>
          <w:rFonts w:hint="eastAsia" w:ascii="宋体" w:hAnsi="宋体" w:eastAsia="宋体" w:cs="宋体"/>
          <w:bCs/>
          <w:color w:val="000000"/>
          <w:sz w:val="28"/>
          <w:szCs w:val="28"/>
          <w:highlight w:val="none"/>
        </w:rPr>
        <w:t xml:space="preserve">授权委托书</w:t>
      </w:r>
      <w:bookmarkEnd w:id="204"/>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JSZC-320214-JNJS-G2026-0003</w:t>
      </w:r>
      <w:r>
        <w:rPr>
          <w:rFonts w:hint="eastAsia" w:ascii="宋体" w:hAnsi="宋体" w:eastAsia="宋体" w:cs="宋体"/>
          <w:bCs/>
          <w:sz w:val="24"/>
          <w:szCs w:val="24"/>
          <w:highlight w:val="none"/>
        </w:rPr>
        <w:t xml:space="preserve">项目，兹授权：</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p>
    <w:p>
      <w:pPr>
        <w:pStyle w:val="1060"/>
        <w:ind w:firstLine="480"/>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p>
    <w:p>
      <w:pPr>
        <w:pStyle w:val="1060"/>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p>
    <w:p>
      <w:pPr>
        <w:pStyle w:val="1060"/>
        <w:ind w:firstLine="0"/>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p>
    <w:p>
      <w:pPr>
        <w:pStyle w:val="1060"/>
        <w:ind w:firstLine="0"/>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p>
    <w:p>
      <w:pPr>
        <w:jc w:val="center"/>
        <w:rPr>
          <w:rFonts w:hint="eastAsia" w:ascii="宋体" w:hAnsi="宋体" w:eastAsia="宋体" w:cs="宋体"/>
          <w:bCs/>
          <w:color w:val="000000"/>
          <w:sz w:val="28"/>
          <w:szCs w:val="28"/>
          <w:highlight w:val="none"/>
        </w:rPr>
        <w:outlineLvl w:val="0"/>
      </w:pPr>
      <w:r/>
      <w:bookmarkStart w:id="205" w:name="报价方关于资格的声明函（格式）"/>
      <w:r/>
      <w:bookmarkEnd w:id="205"/>
      <w:r/>
      <w:bookmarkStart w:id="206" w:name="_Toc20488"/>
      <w:r>
        <w:rPr>
          <w:rFonts w:hint="eastAsia" w:ascii="宋体" w:hAnsi="宋体" w:eastAsia="宋体" w:cs="宋体"/>
          <w:bCs/>
          <w:color w:val="000000"/>
          <w:sz w:val="28"/>
          <w:szCs w:val="28"/>
          <w:highlight w:val="none"/>
        </w:rPr>
        <w:t xml:space="preserve">资格声明函</w:t>
      </w:r>
      <w:bookmarkEnd w:id="206"/>
      <w:r/>
      <w:r/>
    </w:p>
    <w:p>
      <w:pPr>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p>
    <w:p>
      <w:pPr>
        <w:ind w:firstLine="562"/>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中小企业声明函（货物）</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ascii="宋体" w:hAnsi="宋体" w:eastAsia="宋体" w:cs="宋体"/>
          <w:highlight w:val="none"/>
          <w:lang w:eastAsia="zh-CN"/>
        </w:rPr>
        <w:t xml:space="preserve">只需</w:t>
      </w:r>
      <w:r>
        <w:rPr>
          <w:rFonts w:hint="eastAsia" w:ascii="宋体" w:hAnsi="宋体" w:eastAsia="宋体" w:cs="宋体"/>
          <w:highlight w:val="none"/>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w:t>
      </w:r>
      <w:r>
        <w:rPr>
          <w:rFonts w:hint="eastAsia" w:ascii="宋体" w:hAnsi="宋体" w:eastAsia="宋体" w:cs="宋体"/>
          <w:highlight w:val="none"/>
          <w:lang w:eastAsia="zh-CN"/>
        </w:rPr>
        <w:t xml:space="preserve">货物</w:t>
      </w:r>
      <w:r>
        <w:rPr>
          <w:rFonts w:hint="eastAsia" w:ascii="宋体" w:hAnsi="宋体" w:eastAsia="宋体" w:cs="宋体"/>
          <w:highlight w:val="none"/>
        </w:rPr>
        <w:t xml:space="preserve">的，不享受本办法规定的中小企业扶持政策。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w:t>
      </w:r>
      <w:r>
        <w:rPr>
          <w:rFonts w:hint="eastAsia" w:ascii="宋体" w:hAnsi="宋体" w:eastAsia="宋体" w:cs="宋体"/>
          <w:highlight w:val="none"/>
          <w:lang w:eastAsia="zh-CN"/>
        </w:rPr>
        <w:t xml:space="preserve">，可</w:t>
      </w:r>
      <w:r>
        <w:rPr>
          <w:rFonts w:hint="eastAsia" w:ascii="宋体" w:hAnsi="宋体" w:eastAsia="宋体" w:cs="宋体"/>
          <w:highlight w:val="none"/>
        </w:rPr>
        <w:t xml:space="preserve">依照《中华人民共和国政府采购法》等国家有关规定追究相应责任。</w:t>
      </w:r>
      <w:r/>
    </w:p>
    <w:p>
      <w:pPr>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jc w:val="left"/>
        <w:spacing w:line="360" w:lineRule="auto"/>
        <w:rPr>
          <w:rFonts w:eastAsia="宋体"/>
          <w:b/>
          <w:sz w:val="28"/>
          <w:szCs w:val="28"/>
          <w:highlight w:val="none"/>
          <w:lang w:val="en-US" w:eastAsia="zh-CN"/>
        </w:rPr>
      </w:pPr>
      <w:r>
        <w:rPr>
          <w:rFonts w:hint="eastAsia" w:ascii="宋体" w:hAnsi="宋体" w:eastAsia="宋体" w:cs="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、投标函（给定格式）：</w:t>
      </w:r>
      <w:r/>
    </w:p>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江苏金诺建设咨询有限公司</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46"/>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p>
    <w:p>
      <w:pPr>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p>
    <w:p>
      <w:pPr>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八</w:t>
      </w:r>
      <w:r>
        <w:rPr>
          <w:rFonts w:hint="eastAsia" w:ascii="宋体" w:hAnsi="宋体" w:eastAsia="宋体" w:cs="宋体"/>
          <w:b/>
          <w:sz w:val="30"/>
          <w:szCs w:val="30"/>
          <w:highlight w:val="none"/>
        </w:rPr>
        <w:t xml:space="preserve">、承诺书（给定格式）：</w:t>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sz w:val="24"/>
          <w:szCs w:val="24"/>
          <w:highlight w:val="none"/>
        </w:rPr>
        <w:t xml:space="preserve">在此承诺：</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1.本公司（单位）</w:t>
      </w:r>
      <w:r>
        <w:rPr>
          <w:rFonts w:hint="eastAsia" w:ascii="宋体" w:hAnsi="宋体" w:eastAsia="宋体" w:cs="宋体"/>
          <w:bCs/>
          <w:sz w:val="24"/>
          <w:szCs w:val="24"/>
          <w:highlight w:val="none"/>
        </w:rPr>
        <w:t xml:space="preserve">对本项目所提供的货物均为原厂全新合格品，提供的服务符合招标文件要求。</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商品包装、快递包装要求的，本公司（单位）对于中标产品的包装将严格</w:t>
      </w:r>
      <w:r>
        <w:rPr>
          <w:rFonts w:hint="eastAsia" w:ascii="宋体" w:hAnsi="宋体" w:eastAsia="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highlight w:val="none"/>
        </w:rPr>
        <w:t xml:space="preserve">本公司（单位）将所投产品符合相关要求和标准。在满足</w:t>
      </w:r>
      <w:r>
        <w:rPr>
          <w:rFonts w:hint="eastAsia" w:ascii="宋体" w:hAnsi="宋体" w:eastAsia="宋体" w:cs="宋体"/>
          <w:sz w:val="24"/>
          <w:szCs w:val="24"/>
          <w:highlight w:val="none"/>
        </w:rPr>
        <w:t xml:space="preserve">《需求标准》的前提下，如招标文件中对七种软硬件有其他要求的，</w:t>
      </w:r>
      <w:r>
        <w:rPr>
          <w:rFonts w:hint="eastAsia" w:ascii="宋体" w:hAnsi="宋体" w:eastAsia="宋体" w:cs="宋体"/>
          <w:bCs/>
          <w:sz w:val="24"/>
          <w:szCs w:val="24"/>
          <w:highlight w:val="none"/>
        </w:rPr>
        <w:t xml:space="preserve">本公司（单位）所投产品将</w:t>
      </w:r>
      <w:r>
        <w:rPr>
          <w:rFonts w:hint="eastAsia" w:ascii="宋体" w:hAnsi="宋体" w:eastAsia="宋体" w:cs="宋体"/>
          <w:sz w:val="24"/>
          <w:szCs w:val="24"/>
          <w:highlight w:val="none"/>
        </w:rPr>
        <w:t xml:space="preserve">满足招标文件要求。如采购人在</w:t>
      </w:r>
      <w:r>
        <w:rPr>
          <w:rFonts w:hint="eastAsia" w:ascii="宋体" w:hAnsi="宋体" w:eastAsia="宋体" w:cs="宋体"/>
          <w:bCs/>
          <w:sz w:val="24"/>
          <w:szCs w:val="24"/>
          <w:highlight w:val="none"/>
        </w:rPr>
        <w:t xml:space="preserve">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sz w:val="24"/>
          <w:szCs w:val="20"/>
          <w:highlight w:val="none"/>
        </w:rPr>
      </w:pPr>
      <w:r>
        <w:rPr>
          <w:rFonts w:hint="eastAsia" w:ascii="宋体" w:hAnsi="宋体" w:eastAsia="宋体" w:cs="宋体"/>
          <w:bCs/>
          <w:sz w:val="24"/>
          <w:szCs w:val="24"/>
          <w:highlight w:val="none"/>
        </w:rPr>
        <w:t xml:space="preserve">如违背上述承诺，本公司</w:t>
      </w:r>
      <w:r>
        <w:rPr>
          <w:rFonts w:hint="eastAsia" w:ascii="宋体" w:hAnsi="宋体" w:eastAsia="宋体" w:cs="宋体"/>
          <w:sz w:val="24"/>
          <w:szCs w:val="24"/>
          <w:highlight w:val="none"/>
        </w:rPr>
        <w:t xml:space="preserve">（单位）</w:t>
      </w:r>
      <w:r>
        <w:rPr>
          <w:rFonts w:hint="eastAsia" w:ascii="宋体" w:hAnsi="宋体" w:eastAsia="宋体" w:cs="宋体"/>
          <w:bCs/>
          <w:sz w:val="24"/>
          <w:szCs w:val="24"/>
          <w:highlight w:val="none"/>
        </w:rPr>
        <w:t xml:space="preserve">将承担一切法律责任。</w:t>
      </w:r>
      <w:r/>
    </w:p>
    <w:p>
      <w:pPr>
        <w:ind w:firstLine="540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投标人名称（盖章）：</w:t>
      </w:r>
      <w:r/>
    </w:p>
    <w:p>
      <w:pPr>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、开标一览表（给定格式）：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outlineLvl w:val="0"/>
      </w:pPr>
      <w:r/>
      <w:bookmarkStart w:id="207" w:name="_Toc20701"/>
      <w:r>
        <w:rPr>
          <w:rFonts w:hint="eastAsia" w:ascii="宋体" w:hAnsi="宋体" w:eastAsia="宋体" w:cs="宋体"/>
          <w:bCs/>
          <w:color w:val="000000"/>
          <w:sz w:val="28"/>
          <w:szCs w:val="28"/>
          <w:highlight w:val="none"/>
        </w:rPr>
        <w:t xml:space="preserve">开标一览表</w:t>
      </w:r>
      <w:bookmarkEnd w:id="207"/>
      <w:r/>
      <w:r/>
    </w:p>
    <w:p>
      <w:pPr>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p>
    <w:tbl>
      <w:tblPr>
        <w:tblStyle w:val="762"/>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p>
        </w:tc>
        <w:tc>
          <w:tcPr>
            <w:tcW w:w="3188"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p>
        </w:tc>
      </w:tr>
      <w:tr>
        <w:trPr>
          <w:cantSplit/>
          <w:trHeight w:val="1630"/>
        </w:trPr>
        <w:tc>
          <w:tcPr>
            <w:tcW w:w="5697" w:type="dxa"/>
            <w:vAlign w:val="center"/>
            <w:textDirection w:val="lrTb"/>
            <w:noWrap w:val="false"/>
          </w:tcPr>
          <w:p>
            <w:pPr>
              <w:pStyle w:val="1088"/>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天一中学新吴分校新建工程实验设备仪器项目</w:t>
            </w:r>
            <w:r/>
          </w:p>
        </w:tc>
        <w:tc>
          <w:tcPr>
            <w:tcW w:w="3188" w:type="dxa"/>
            <w:vAlign w:val="center"/>
            <w:textDirection w:val="lrTb"/>
            <w:noWrap w:val="false"/>
          </w:tcPr>
          <w:p>
            <w:pPr>
              <w:pStyle w:val="1088"/>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p>
        </w:tc>
      </w:tr>
    </w:tbl>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十</w:t>
      </w:r>
      <w:r>
        <w:rPr>
          <w:rFonts w:hint="eastAsia" w:ascii="宋体" w:hAnsi="宋体" w:eastAsia="宋体" w:cs="宋体"/>
          <w:b/>
          <w:sz w:val="30"/>
          <w:szCs w:val="30"/>
          <w:highlight w:val="none"/>
        </w:rPr>
        <w:t xml:space="preserve">、分项报价表（给定格式）：</w:t>
      </w:r>
      <w:r/>
    </w:p>
    <w:p>
      <w:pPr>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jc w:val="center"/>
              <w:spacing w:before="5"/>
              <w:widowControl w:val="off"/>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p>
        </w:tc>
        <w:tc>
          <w:tcPr>
            <w:tcMar>
              <w:left w:w="15" w:type="dxa"/>
              <w:top w:w="15" w:type="dxa"/>
              <w:right w:w="15" w:type="dxa"/>
              <w:bottom w:w="0" w:type="dxa"/>
            </w:tcMar>
            <w:tcW w:w="1050" w:type="dxa"/>
            <w:vAlign w:val="center"/>
            <w:textDirection w:val="lrTb"/>
            <w:noWrap/>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lang w:val="en-US" w:eastAsia="zh-CN"/>
              </w:rPr>
            </w:pPr>
            <w:r>
              <w:rPr>
                <w:rFonts w:hint="eastAsia" w:ascii="黑体" w:hAnsi="宋体" w:eastAsia="黑体"/>
                <w:b/>
                <w:bCs/>
                <w:color w:val="000000"/>
                <w:sz w:val="24"/>
                <w:szCs w:val="24"/>
                <w:highlight w:val="none"/>
                <w:lang w:val="en-US" w:eastAsia="zh-CN"/>
              </w:rPr>
              <w:t xml:space="preserve">投标报价合计：</w:t>
            </w:r>
            <w:r>
              <w:rPr>
                <w:rFonts w:hint="eastAsia" w:ascii="黑体" w:hAnsi="宋体" w:eastAsia="黑体"/>
                <w:b/>
                <w:bCs/>
                <w:color w:val="000000"/>
                <w:sz w:val="24"/>
                <w:szCs w:val="24"/>
                <w:highlight w:val="none"/>
                <w:u w:val="single"/>
                <w:lang w:val="en-US" w:eastAsia="zh-CN"/>
              </w:rPr>
              <w:t xml:space="preserve">      </w:t>
            </w:r>
            <w:r>
              <w:rPr>
                <w:rFonts w:hint="eastAsia" w:ascii="黑体" w:hAnsi="宋体" w:eastAsia="黑体"/>
                <w:b/>
                <w:bCs/>
                <w:color w:val="000000"/>
                <w:sz w:val="24"/>
                <w:szCs w:val="24"/>
                <w:highlight w:val="none"/>
                <w:lang w:val="en-US" w:eastAsia="zh-CN"/>
              </w:rPr>
              <w:t xml:space="preserve">元</w:t>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rPr>
            </w:pPr>
            <w:r>
              <w:rPr>
                <w:rFonts w:hint="eastAsia" w:ascii="宋体" w:hAnsi="宋体" w:cs="方正魏碑_GBK"/>
                <w:color w:val="ff0000"/>
                <w:sz w:val="24"/>
                <w:highlight w:val="none"/>
              </w:rPr>
              <w:t xml:space="preserve">本采购包中提供的符合本国产品标准的产品成本之和占该采购包提供的全部产品成本之和的比例为</w:t>
            </w:r>
            <w:r>
              <w:rPr>
                <w:rFonts w:hint="eastAsia" w:ascii="宋体" w:hAnsi="宋体" w:cs="方正魏碑_GBK"/>
                <w:color w:val="ff0000"/>
                <w:sz w:val="24"/>
                <w:highlight w:val="none"/>
                <w:u w:val="single"/>
                <w:lang w:val="en-US" w:eastAsia="zh-CN"/>
              </w:rPr>
              <w:t xml:space="preserve">     </w:t>
            </w:r>
            <w:r>
              <w:rPr>
                <w:rFonts w:hint="eastAsia" w:ascii="宋体" w:hAnsi="宋体" w:cs="方正魏碑_GBK"/>
                <w:color w:val="ff0000"/>
                <w:sz w:val="24"/>
                <w:highlight w:val="none"/>
              </w:rPr>
              <w:t xml:space="preserve">%。</w:t>
            </w:r>
            <w:r/>
          </w:p>
        </w:tc>
      </w:tr>
    </w:tbl>
    <w:p>
      <w:pPr>
        <w:spacing w:before="5" w:line="56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p>
    <w:p>
      <w:pPr>
        <w:spacing w:line="40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spacing w:line="400" w:lineRule="exact"/>
        <w:rPr>
          <w:rFonts w:ascii="宋体" w:hAnsi="Times New Roman" w:cs="Times New Roman"/>
          <w:bCs/>
          <w:color w:val="000000"/>
          <w:sz w:val="24"/>
          <w:szCs w:val="24"/>
          <w:highlight w:val="none"/>
        </w:rPr>
        <w:outlineLvl w:val="0"/>
      </w:pPr>
      <w:r/>
      <w:bookmarkStart w:id="208" w:name="_Toc16687"/>
      <w:r>
        <w:rPr>
          <w:rFonts w:hint="eastAsia" w:ascii="宋体" w:hAnsi="宋体" w:eastAsia="宋体" w:cs="宋体"/>
          <w:b/>
          <w:sz w:val="24"/>
          <w:szCs w:val="24"/>
          <w:highlight w:val="none"/>
        </w:rPr>
        <w:t xml:space="preserve">注：</w:t>
      </w:r>
      <w:bookmarkEnd w:id="201"/>
      <w:r/>
      <w:bookmarkEnd w:id="202"/>
      <w:r/>
      <w:bookmarkEnd w:id="203"/>
      <w:r/>
      <w:bookmarkEnd w:id="208"/>
      <w:r/>
      <w:bookmarkStart w:id="209" w:name="_Toc120614284"/>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1</w:t>
      </w:r>
      <w:r>
        <w:rPr>
          <w:rFonts w:hint="eastAsia" w:ascii="宋体" w:hAnsi="宋体" w:cs="Times New Roman"/>
          <w:bCs/>
          <w:color w:val="000000"/>
          <w:sz w:val="24"/>
          <w:szCs w:val="24"/>
          <w:highlight w:val="none"/>
        </w:rPr>
        <w:t xml:space="preserve">）</w:t>
      </w:r>
      <w:r>
        <w:rPr>
          <w:rFonts w:hint="eastAsia" w:ascii="宋体" w:hAnsi="Times New Roman" w:cs="Times New Roman"/>
          <w:bCs/>
          <w:color w:val="0000ff"/>
          <w:sz w:val="24"/>
          <w:szCs w:val="24"/>
          <w:highlight w:val="none"/>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hAnsi="Times New Roman" w:cs="Times New Roman"/>
          <w:bCs/>
          <w:sz w:val="24"/>
          <w:szCs w:val="24"/>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Times New Roman" w:cs="Times New Roman"/>
          <w:bCs/>
          <w:sz w:val="24"/>
          <w:szCs w:val="24"/>
          <w:highlight w:val="none"/>
          <w:lang w:eastAsia="zh-CN"/>
        </w:rPr>
        <w:t xml:space="preserve">无锡市公共资源交易中心新吴分中心</w:t>
      </w:r>
      <w:r>
        <w:rPr>
          <w:rFonts w:hint="eastAsia" w:ascii="宋体" w:hAnsi="Times New Roman" w:cs="Times New Roman"/>
          <w:bCs/>
          <w:sz w:val="24"/>
          <w:szCs w:val="24"/>
          <w:highlight w:val="none"/>
        </w:rPr>
        <w:t xml:space="preserve">有权将相关内容进行公示；</w:t>
      </w:r>
      <w:r/>
    </w:p>
    <w:p>
      <w:pPr>
        <w:ind w:firstLine="360"/>
        <w:spacing w:line="400" w:lineRule="exact"/>
        <w:rPr>
          <w:rFonts w:ascii="宋体" w:hAnsi="Times New Roman"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2</w:t>
      </w:r>
      <w:r>
        <w:rPr>
          <w:rFonts w:hint="eastAsia" w:ascii="宋体" w:hAnsi="宋体" w:cs="Times New Roman"/>
          <w:bCs/>
          <w:color w:val="000000"/>
          <w:sz w:val="24"/>
          <w:szCs w:val="24"/>
          <w:highlight w:val="none"/>
        </w:rPr>
        <w:t xml:space="preserve">）投标人应当根据“</w:t>
      </w:r>
      <w:r>
        <w:rPr>
          <w:rFonts w:hint="eastAsia" w:ascii="宋体" w:hAnsi="宋体" w:cs="Times New Roman"/>
          <w:bCs/>
          <w:sz w:val="24"/>
          <w:szCs w:val="24"/>
          <w:highlight w:val="none"/>
        </w:rPr>
        <w:t xml:space="preserve">采购需求</w:t>
      </w:r>
      <w:r>
        <w:rPr>
          <w:rFonts w:hint="eastAsia" w:ascii="宋体" w:hAnsi="宋体" w:cs="Times New Roman"/>
          <w:bCs/>
          <w:color w:val="000000"/>
          <w:sz w:val="24"/>
          <w:szCs w:val="24"/>
          <w:highlight w:val="none"/>
        </w:rPr>
        <w:t xml:space="preserve">”的内容在上表中详细填写；</w:t>
      </w:r>
      <w:r/>
    </w:p>
    <w:p>
      <w:pPr>
        <w:ind w:firstLine="360"/>
        <w:spacing w:line="400" w:lineRule="exact"/>
        <w:rPr>
          <w:rFonts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3</w:t>
      </w:r>
      <w:r>
        <w:rPr>
          <w:rFonts w:hint="eastAsia" w:ascii="宋体" w:hAnsi="宋体" w:cs="Times New Roman"/>
          <w:bCs/>
          <w:color w:val="000000"/>
          <w:sz w:val="24"/>
          <w:szCs w:val="24"/>
          <w:highlight w:val="none"/>
        </w:rPr>
        <w:t xml:space="preserve">）表格不够可自行延长。</w:t>
      </w:r>
      <w:r/>
    </w:p>
    <w:p>
      <w:pPr>
        <w:ind w:firstLine="315"/>
        <w:spacing w:line="400" w:lineRule="exact"/>
        <w:rPr>
          <w:rFonts w:hint="eastAsia"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（4）</w:t>
      </w:r>
      <w:r>
        <w:rPr>
          <w:rFonts w:hint="eastAsia" w:ascii="宋体" w:hAnsi="宋体" w:cs="Times New Roman"/>
          <w:bCs/>
          <w:color w:val="000000"/>
          <w:sz w:val="24"/>
          <w:szCs w:val="24"/>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p>
    <w:p>
      <w:pPr>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jc w:val="center"/>
        <w:spacing w:line="400" w:lineRule="exact"/>
        <w:rPr>
          <w:rFonts w:hint="eastAsia" w:ascii="宋体" w:hAnsi="宋体" w:eastAsia="宋体" w:cs="宋体"/>
          <w:b/>
          <w:sz w:val="30"/>
          <w:szCs w:val="30"/>
          <w:highlight w:val="none"/>
        </w:rPr>
        <w:outlineLvl w:val="9"/>
      </w:pPr>
      <w:r>
        <w:rPr>
          <w:rFonts w:hint="eastAsia" w:ascii="宋体" w:hAnsi="宋体" w:eastAsia="宋体" w:cs="宋体"/>
          <w:bCs/>
          <w:color w:val="000000"/>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p>
    <w:p>
      <w:pPr>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ind w:firstLine="490"/>
        <w:jc w:val="center"/>
        <w:rPr>
          <w:rFonts w:hint="eastAsia" w:ascii="宋体" w:hAnsi="宋体" w:eastAsia="宋体" w:cs="宋体"/>
          <w:bCs/>
          <w:color w:val="000000"/>
          <w:sz w:val="28"/>
          <w:szCs w:val="28"/>
          <w:highlight w:val="none"/>
        </w:rPr>
        <w:outlineLvl w:val="0"/>
      </w:pPr>
      <w:r/>
      <w:bookmarkStart w:id="210" w:name="_Toc19104"/>
      <w:r>
        <w:rPr>
          <w:rFonts w:hint="eastAsia" w:ascii="宋体" w:hAnsi="宋体" w:eastAsia="宋体" w:cs="宋体"/>
          <w:bCs/>
          <w:color w:val="000000"/>
          <w:sz w:val="28"/>
          <w:szCs w:val="28"/>
          <w:highlight w:val="none"/>
        </w:rPr>
        <w:t xml:space="preserve">投标偏离表</w:t>
      </w:r>
      <w:bookmarkEnd w:id="210"/>
      <w:r/>
      <w:r/>
    </w:p>
    <w:p>
      <w:pPr>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p>
      <w:pPr>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Style w:val="76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20"/>
        <w:rPr>
          <w:rFonts w:hint="eastAsia" w:ascii="宋体" w:hAnsi="宋体" w:eastAsia="宋体" w:cs="宋体"/>
          <w:bCs/>
          <w:color w:val="000000"/>
          <w:sz w:val="24"/>
          <w:szCs w:val="24"/>
          <w:highlight w:val="none"/>
        </w:rPr>
        <w:outlineLvl w:val="0"/>
      </w:pPr>
      <w:r/>
      <w:bookmarkStart w:id="211" w:name="_Toc20309"/>
      <w:r>
        <w:rPr>
          <w:rFonts w:hint="eastAsia" w:ascii="宋体" w:hAnsi="宋体" w:eastAsia="宋体" w:cs="宋体"/>
          <w:bCs/>
          <w:color w:val="000000"/>
          <w:sz w:val="24"/>
          <w:szCs w:val="24"/>
          <w:highlight w:val="none"/>
        </w:rPr>
        <w:t xml:space="preserve">注：（1）本表不得删除；</w:t>
      </w:r>
      <w:bookmarkEnd w:id="211"/>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2"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12"/>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3"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190"/>
      <w:r/>
      <w:bookmarkEnd w:id="191"/>
      <w:r/>
      <w:bookmarkEnd w:id="209"/>
      <w:r/>
      <w:bookmarkEnd w:id="213"/>
      <w:r/>
      <w:bookmarkStart w:id="214" w:name="_Hlt26671374"/>
      <w:r/>
      <w:bookmarkEnd w:id="214"/>
      <w:r/>
      <w:bookmarkStart w:id="215" w:name="_Hlt26955066"/>
      <w:r/>
      <w:bookmarkEnd w:id="215"/>
      <w:r/>
      <w:bookmarkStart w:id="216" w:name="_Hlt26609389"/>
      <w:r/>
      <w:bookmarkEnd w:id="216"/>
      <w:r/>
      <w:bookmarkStart w:id="217" w:name="_格式2__法定代表人授权书"/>
      <w:r/>
      <w:bookmarkEnd w:id="217"/>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outlineLvl w:val="0"/>
      </w:pPr>
      <w:r/>
      <w:bookmarkStart w:id="218" w:name="_Toc10817"/>
      <w:r/>
      <w:r/>
    </w:p>
    <w:p>
      <w:pP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18"/>
      <w:r/>
      <w:r/>
    </w:p>
    <w:p>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outlineLvl w:val="0"/>
      </w:pPr>
      <w:r/>
      <w:bookmarkStart w:id="219" w:name="_Toc26456"/>
      <w:r>
        <w:rPr>
          <w:rFonts w:hint="eastAsia" w:ascii="宋体" w:hAnsi="宋体" w:eastAsia="宋体" w:cs="宋体"/>
          <w:bCs/>
          <w:color w:val="000000"/>
          <w:sz w:val="28"/>
          <w:szCs w:val="28"/>
          <w:highlight w:val="none"/>
        </w:rPr>
        <w:t xml:space="preserve">项目人员配置清单</w:t>
      </w:r>
      <w:bookmarkEnd w:id="219"/>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p>
        </w:tc>
        <w:tc>
          <w:tcPr>
            <w:tcW w:w="1476"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p>
        </w:tc>
        <w:tc>
          <w:tcPr>
            <w:tcW w:w="7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p>
        </w:tc>
        <w:tc>
          <w:tcPr>
            <w:tcW w:w="25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p>
        </w:tc>
        <w:tc>
          <w:tcPr>
            <w:tcW w:w="327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表格不够可自行延长。</w:t>
      </w:r>
      <w:r/>
    </w:p>
    <w:p>
      <w:pPr>
        <w:ind w:firstLine="420"/>
        <w:rPr>
          <w:rFonts w:hint="eastAsia" w:ascii="宋体" w:hAnsi="宋体" w:cs="Times New Roman"/>
          <w:bCs/>
          <w:color w:val="000000"/>
        </w:rPr>
      </w:pPr>
      <w:r>
        <w:rPr>
          <w:rFonts w:hint="eastAsia" w:ascii="宋体" w:hAnsi="宋体" w:eastAsia="宋体" w:cs="宋体"/>
          <w:bCs/>
          <w:color w:val="000000"/>
          <w:highlight w:val="none"/>
        </w:rPr>
        <w:t xml:space="preserve">2.</w:t>
      </w:r>
      <w:r>
        <w:rPr>
          <w:rFonts w:hint="eastAsia" w:ascii="宋体" w:hAnsi="宋体" w:cs="Times New Roman"/>
          <w:bCs/>
          <w:color w:val="000000"/>
        </w:rPr>
        <w:t xml:space="preserve">上表内容须提供投标人近一年中任意一个月份(不含投标当月)经社保部门确认的社保缴纳名单</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（标注各人员所处位置）和相关证书</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作为填列证明材料，证明材料请附在本表之后。</w:t>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4"/>
      <w:isLgl w:val="false"/>
      <w:suff w:val="nothing"/>
      <w:lvlText w:val=""/>
      <w:lvlJc w:val="left"/>
      <w:pPr>
        <w:ind w:left="0" w:firstLine="0"/>
      </w:pPr>
      <w:rPr>
        <w:rFonts w:hint="eastAsia"/>
      </w:rPr>
    </w:lvl>
    <w:lvl w:ilvl="6">
      <w:start w:val="1"/>
      <w:numFmt w:val="decimal"/>
      <w:pStyle w:val="986"/>
      <w:isLgl w:val="false"/>
      <w:suff w:val="nothing"/>
      <w:lvlText w:val=""/>
      <w:lvlJc w:val="left"/>
      <w:pPr>
        <w:ind w:left="0" w:firstLine="0"/>
      </w:pPr>
      <w:rPr>
        <w:rFonts w:hint="eastAsia"/>
      </w:rPr>
    </w:lvl>
    <w:lvl w:ilvl="7">
      <w:start w:val="1"/>
      <w:numFmt w:val="decimal"/>
      <w:pStyle w:val="988"/>
      <w:isLgl w:val="false"/>
      <w:suff w:val="nothing"/>
      <w:lvlText w:val=""/>
      <w:lvlJc w:val="left"/>
      <w:pPr>
        <w:ind w:left="0" w:firstLine="0"/>
      </w:pPr>
      <w:rPr>
        <w:rFonts w:hint="eastAsia"/>
      </w:rPr>
    </w:lvl>
    <w:lvl w:ilvl="8">
      <w:start w:val="1"/>
      <w:numFmt w:val="decimal"/>
      <w:pStyle w:val="990"/>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0"/>
  </w:num>
  <w:num w:numId="3">
    <w:abstractNumId w:val="9"/>
  </w:num>
  <w:num w:numId="4">
    <w:abstractNumId w:val="3"/>
  </w:num>
  <w:num w:numId="5">
    <w:abstractNumId w:val="5"/>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11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index 4"/>
    <w:next w:val="751"/>
    <w:uiPriority w:val="99"/>
    <w:qFormat/>
    <w:pPr>
      <w:ind w:left="600"/>
      <w:jc w:val="both"/>
      <w:widowControl w:val="off"/>
    </w:pPr>
    <w:rPr>
      <w:rFonts w:ascii="Calibri" w:hAnsi="Calibri" w:eastAsia="宋体" w:cs="Times New Roman"/>
      <w:sz w:val="21"/>
      <w:szCs w:val="24"/>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4f81bd" w:themeColor="accent1"/>
      <w:sz w:val="18"/>
      <w:szCs w:val="18"/>
    </w:rPr>
  </w:style>
  <w:style w:type="paragraph" w:styleId="766">
    <w:name w:val="toc 5"/>
    <w:basedOn w:val="751"/>
    <w:next w:val="751"/>
    <w:uiPriority w:val="39"/>
    <w:unhideWhenUsed/>
    <w:qFormat/>
    <w:pPr>
      <w:ind w:left="1134" w:right="0" w:firstLine="0"/>
      <w:spacing w:after="57"/>
    </w:pPr>
  </w:style>
  <w:style w:type="paragraph" w:styleId="767">
    <w:name w:val="toc 3"/>
    <w:basedOn w:val="751"/>
    <w:next w:val="751"/>
    <w:uiPriority w:val="39"/>
    <w:unhideWhenUsed/>
    <w:qFormat/>
    <w:pPr>
      <w:ind w:left="567" w:right="0" w:firstLine="0"/>
      <w:spacing w:after="57"/>
    </w:pPr>
  </w:style>
  <w:style w:type="paragraph" w:styleId="768">
    <w:name w:val="toc 8"/>
    <w:basedOn w:val="751"/>
    <w:next w:val="751"/>
    <w:uiPriority w:val="39"/>
    <w:unhideWhenUsed/>
    <w:qFormat/>
    <w:pPr>
      <w:ind w:left="1984" w:right="0" w:firstLine="0"/>
      <w:spacing w:after="57"/>
    </w:pPr>
  </w:style>
  <w:style w:type="paragraph" w:styleId="769">
    <w:name w:val="endnote text"/>
    <w:basedOn w:val="751"/>
    <w:uiPriority w:val="99"/>
    <w:semiHidden/>
    <w:unhideWhenUsed/>
    <w:qFormat/>
    <w:pPr>
      <w:spacing w:after="0" w:line="240" w:lineRule="auto"/>
    </w:pPr>
    <w:rPr>
      <w:sz w:val="20"/>
    </w:rPr>
  </w:style>
  <w:style w:type="paragraph" w:styleId="770">
    <w:name w:val="Footer"/>
    <w:basedOn w:val="751"/>
    <w:uiPriority w:val="99"/>
    <w:unhideWhenUsed/>
    <w:qFormat/>
    <w:pPr>
      <w:spacing w:after="0" w:line="240" w:lineRule="auto"/>
      <w:tabs>
        <w:tab w:val="center" w:pos="7143" w:leader="none"/>
        <w:tab w:val="right" w:pos="14287" w:leader="none"/>
      </w:tabs>
    </w:pPr>
  </w:style>
  <w:style w:type="paragraph" w:styleId="771">
    <w:name w:val="Header"/>
    <w:basedOn w:val="751"/>
    <w:uiPriority w:val="99"/>
    <w:unhideWhenUsed/>
    <w:qFormat/>
    <w:pPr>
      <w:spacing w:after="0" w:line="240" w:lineRule="auto"/>
      <w:tabs>
        <w:tab w:val="center" w:pos="7143" w:leader="none"/>
        <w:tab w:val="right" w:pos="14287" w:leader="none"/>
      </w:tabs>
    </w:pPr>
  </w:style>
  <w:style w:type="paragraph" w:styleId="772">
    <w:name w:val="toc 1"/>
    <w:basedOn w:val="751"/>
    <w:next w:val="751"/>
    <w:uiPriority w:val="39"/>
    <w:unhideWhenUsed/>
    <w:qFormat/>
    <w:pPr>
      <w:ind w:left="0" w:right="0" w:firstLine="0"/>
      <w:spacing w:after="57"/>
    </w:pPr>
  </w:style>
  <w:style w:type="paragraph" w:styleId="773">
    <w:name w:val="toc 4"/>
    <w:basedOn w:val="751"/>
    <w:next w:val="751"/>
    <w:uiPriority w:val="39"/>
    <w:unhideWhenUsed/>
    <w:qFormat/>
    <w:pPr>
      <w:ind w:left="850" w:right="0" w:firstLine="0"/>
      <w:spacing w:after="57"/>
    </w:pPr>
  </w:style>
  <w:style w:type="paragraph" w:styleId="774">
    <w:name w:val="Subtitle"/>
    <w:basedOn w:val="751"/>
    <w:next w:val="751"/>
    <w:uiPriority w:val="11"/>
    <w:qFormat/>
    <w:pPr>
      <w:spacing w:before="200" w:after="200"/>
    </w:pPr>
    <w:rPr>
      <w:sz w:val="24"/>
      <w:szCs w:val="24"/>
    </w:rPr>
  </w:style>
  <w:style w:type="paragraph" w:styleId="775">
    <w:name w:val="footnote text"/>
    <w:basedOn w:val="751"/>
    <w:uiPriority w:val="99"/>
    <w:semiHidden/>
    <w:unhideWhenUsed/>
    <w:qFormat/>
    <w:pPr>
      <w:spacing w:after="40" w:line="240" w:lineRule="auto"/>
    </w:pPr>
    <w:rPr>
      <w:sz w:val="18"/>
    </w:rPr>
  </w:style>
  <w:style w:type="paragraph" w:styleId="776">
    <w:name w:val="toc 6"/>
    <w:basedOn w:val="751"/>
    <w:next w:val="751"/>
    <w:uiPriority w:val="39"/>
    <w:unhideWhenUsed/>
    <w:qFormat/>
    <w:pPr>
      <w:ind w:left="1417" w:right="0" w:firstLine="0"/>
      <w:spacing w:after="57"/>
    </w:pPr>
  </w:style>
  <w:style w:type="paragraph" w:styleId="777">
    <w:name w:val="table of figures"/>
    <w:basedOn w:val="751"/>
    <w:next w:val="751"/>
    <w:uiPriority w:val="99"/>
    <w:unhideWhenUsed/>
    <w:qFormat/>
    <w:pPr>
      <w:spacing w:after="0" w:afterAutospacing="0"/>
    </w:pPr>
  </w:style>
  <w:style w:type="paragraph" w:styleId="778">
    <w:name w:val="toc 2"/>
    <w:basedOn w:val="751"/>
    <w:next w:val="751"/>
    <w:uiPriority w:val="39"/>
    <w:unhideWhenUsed/>
    <w:qFormat/>
    <w:pPr>
      <w:ind w:left="283" w:right="0" w:firstLine="0"/>
      <w:spacing w:after="57"/>
    </w:pPr>
  </w:style>
  <w:style w:type="paragraph" w:styleId="779">
    <w:name w:val="toc 9"/>
    <w:basedOn w:val="751"/>
    <w:next w:val="751"/>
    <w:uiPriority w:val="39"/>
    <w:unhideWhenUsed/>
    <w:qFormat/>
    <w:pPr>
      <w:ind w:left="2268" w:right="0" w:firstLine="0"/>
      <w:spacing w:after="57"/>
    </w:pPr>
  </w:style>
  <w:style w:type="paragraph" w:styleId="780">
    <w:name w:val="Title"/>
    <w:basedOn w:val="751"/>
    <w:next w:val="751"/>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rPr>
  </w:style>
  <w:style w:type="character" w:styleId="784">
    <w:name w:val="footnote reference"/>
    <w:uiPriority w:val="99"/>
    <w:unhideWhenUsed/>
    <w:qFormat/>
    <w:rPr>
      <w:vertAlign w:val="superscript"/>
    </w:rPr>
  </w:style>
  <w:style w:type="paragraph" w:styleId="785" w:customStyle="1">
    <w:name w:val="标题 111"/>
    <w:basedOn w:val="751"/>
    <w:next w:val="751"/>
    <w:link w:val="797"/>
    <w:uiPriority w:val="9"/>
    <w:qFormat/>
    <w:pPr>
      <w:keepLines/>
      <w:keepNext/>
      <w:spacing w:before="480" w:after="200"/>
      <w:outlineLvl w:val="0"/>
    </w:pPr>
    <w:rPr>
      <w:rFonts w:ascii="Arial" w:hAnsi="Arial" w:eastAsia="Arial" w:cs="Arial"/>
      <w:sz w:val="40"/>
      <w:szCs w:val="40"/>
    </w:rPr>
  </w:style>
  <w:style w:type="paragraph" w:styleId="786" w:customStyle="1">
    <w:name w:val="标题 211"/>
    <w:basedOn w:val="751"/>
    <w:next w:val="751"/>
    <w:link w:val="798"/>
    <w:uiPriority w:val="9"/>
    <w:unhideWhenUsed/>
    <w:qFormat/>
    <w:pPr>
      <w:keepLines/>
      <w:keepNext/>
      <w:spacing w:before="360" w:after="200"/>
      <w:outlineLvl w:val="1"/>
    </w:pPr>
    <w:rPr>
      <w:rFonts w:ascii="Arial" w:hAnsi="Arial" w:eastAsia="Arial" w:cs="Arial"/>
      <w:sz w:val="34"/>
    </w:rPr>
  </w:style>
  <w:style w:type="paragraph" w:styleId="787" w:customStyle="1">
    <w:name w:val="标题 311"/>
    <w:basedOn w:val="751"/>
    <w:next w:val="751"/>
    <w:link w:val="799"/>
    <w:uiPriority w:val="9"/>
    <w:unhideWhenUsed/>
    <w:qFormat/>
    <w:pPr>
      <w:keepLines/>
      <w:keepNext/>
      <w:spacing w:before="320" w:after="200"/>
      <w:outlineLvl w:val="2"/>
    </w:pPr>
    <w:rPr>
      <w:rFonts w:ascii="Arial" w:hAnsi="Arial" w:eastAsia="Arial" w:cs="Arial"/>
      <w:sz w:val="30"/>
      <w:szCs w:val="30"/>
    </w:rPr>
  </w:style>
  <w:style w:type="paragraph" w:styleId="788" w:customStyle="1">
    <w:name w:val="标题 412"/>
    <w:basedOn w:val="751"/>
    <w:next w:val="751"/>
    <w:link w:val="800"/>
    <w:uiPriority w:val="9"/>
    <w:unhideWhenUsed/>
    <w:qFormat/>
    <w:pPr>
      <w:keepLines/>
      <w:keepNext/>
      <w:spacing w:before="320" w:after="200"/>
      <w:outlineLvl w:val="3"/>
    </w:pPr>
    <w:rPr>
      <w:rFonts w:ascii="Arial" w:hAnsi="Arial" w:eastAsia="Arial" w:cs="Arial"/>
      <w:b/>
      <w:bCs/>
      <w:sz w:val="26"/>
      <w:szCs w:val="26"/>
    </w:rPr>
  </w:style>
  <w:style w:type="paragraph" w:styleId="789" w:customStyle="1">
    <w:name w:val="标题 511"/>
    <w:basedOn w:val="751"/>
    <w:next w:val="751"/>
    <w:link w:val="801"/>
    <w:uiPriority w:val="9"/>
    <w:unhideWhenUsed/>
    <w:qFormat/>
    <w:pPr>
      <w:keepLines/>
      <w:keepNext/>
      <w:spacing w:before="320" w:after="200"/>
      <w:outlineLvl w:val="4"/>
    </w:pPr>
    <w:rPr>
      <w:rFonts w:ascii="Arial" w:hAnsi="Arial" w:eastAsia="Arial" w:cs="Arial"/>
      <w:b/>
      <w:bCs/>
      <w:sz w:val="24"/>
      <w:szCs w:val="24"/>
    </w:rPr>
  </w:style>
  <w:style w:type="paragraph" w:styleId="790" w:customStyle="1">
    <w:name w:val="标题 611"/>
    <w:basedOn w:val="751"/>
    <w:next w:val="751"/>
    <w:link w:val="802"/>
    <w:uiPriority w:val="9"/>
    <w:unhideWhenUsed/>
    <w:qFormat/>
    <w:pPr>
      <w:keepLines/>
      <w:keepNext/>
      <w:spacing w:before="320" w:after="200"/>
      <w:outlineLvl w:val="5"/>
    </w:pPr>
    <w:rPr>
      <w:rFonts w:ascii="Arial" w:hAnsi="Arial" w:eastAsia="Arial" w:cs="Arial"/>
      <w:b/>
      <w:bCs/>
      <w:sz w:val="22"/>
      <w:szCs w:val="22"/>
    </w:rPr>
  </w:style>
  <w:style w:type="paragraph" w:styleId="791" w:customStyle="1">
    <w:name w:val="标题 711"/>
    <w:basedOn w:val="751"/>
    <w:next w:val="751"/>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92" w:customStyle="1">
    <w:name w:val="标题 811"/>
    <w:basedOn w:val="751"/>
    <w:next w:val="751"/>
    <w:link w:val="804"/>
    <w:uiPriority w:val="9"/>
    <w:unhideWhenUsed/>
    <w:qFormat/>
    <w:pPr>
      <w:keepLines/>
      <w:keepNext/>
      <w:spacing w:before="320" w:after="200"/>
      <w:outlineLvl w:val="7"/>
    </w:pPr>
    <w:rPr>
      <w:rFonts w:ascii="Arial" w:hAnsi="Arial" w:eastAsia="Arial" w:cs="Arial"/>
      <w:i/>
      <w:iCs/>
      <w:sz w:val="22"/>
      <w:szCs w:val="22"/>
    </w:rPr>
  </w:style>
  <w:style w:type="paragraph" w:styleId="793" w:customStyle="1">
    <w:name w:val="标题 911"/>
    <w:basedOn w:val="751"/>
    <w:next w:val="751"/>
    <w:link w:val="805"/>
    <w:uiPriority w:val="9"/>
    <w:unhideWhenUsed/>
    <w:qFormat/>
    <w:pPr>
      <w:keepLines/>
      <w:keepNext/>
      <w:spacing w:before="320" w:after="200"/>
      <w:outlineLvl w:val="8"/>
    </w:pPr>
    <w:rPr>
      <w:rFonts w:ascii="Arial" w:hAnsi="Arial" w:eastAsia="Arial" w:cs="Arial"/>
      <w:i/>
      <w:iCs/>
      <w:sz w:val="21"/>
      <w:szCs w:val="21"/>
    </w:rPr>
  </w:style>
  <w:style w:type="character" w:styleId="794" w:customStyle="1">
    <w:name w:val="默认段落字体11"/>
    <w:link w:val="751"/>
    <w:uiPriority w:val="1"/>
    <w:unhideWhenUsed/>
    <w:qFormat/>
  </w:style>
  <w:style w:type="table" w:styleId="795" w:customStyle="1">
    <w:name w:val="普通表格11"/>
    <w:uiPriority w:val="99"/>
    <w:unhideWhenUsed/>
    <w:qFormat/>
    <w:tblPr/>
  </w:style>
  <w:style w:type="paragraph" w:styleId="796"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character" w:styleId="797" w:customStyle="1">
    <w:name w:val="Heading 1 Char"/>
    <w:link w:val="785"/>
    <w:uiPriority w:val="9"/>
    <w:qFormat/>
    <w:rPr>
      <w:rFonts w:ascii="Arial" w:hAnsi="Arial" w:eastAsia="Arial" w:cs="Arial"/>
      <w:sz w:val="40"/>
      <w:szCs w:val="40"/>
    </w:rPr>
  </w:style>
  <w:style w:type="character" w:styleId="798" w:customStyle="1">
    <w:name w:val="Heading 2 Char"/>
    <w:link w:val="786"/>
    <w:uiPriority w:val="9"/>
    <w:qFormat/>
    <w:rPr>
      <w:rFonts w:ascii="Arial" w:hAnsi="Arial" w:eastAsia="Arial" w:cs="Arial"/>
      <w:sz w:val="34"/>
    </w:rPr>
  </w:style>
  <w:style w:type="character" w:styleId="799" w:customStyle="1">
    <w:name w:val="Heading 3 Char"/>
    <w:link w:val="787"/>
    <w:uiPriority w:val="9"/>
    <w:qFormat/>
    <w:rPr>
      <w:rFonts w:ascii="Arial" w:hAnsi="Arial" w:eastAsia="Arial" w:cs="Arial"/>
      <w:sz w:val="30"/>
      <w:szCs w:val="30"/>
    </w:rPr>
  </w:style>
  <w:style w:type="character" w:styleId="800" w:customStyle="1">
    <w:name w:val="Heading 4 Char"/>
    <w:link w:val="788"/>
    <w:uiPriority w:val="9"/>
    <w:qFormat/>
    <w:rPr>
      <w:rFonts w:ascii="Arial" w:hAnsi="Arial" w:eastAsia="Arial" w:cs="Arial"/>
      <w:b/>
      <w:bCs/>
      <w:sz w:val="26"/>
      <w:szCs w:val="26"/>
    </w:rPr>
  </w:style>
  <w:style w:type="character" w:styleId="801" w:customStyle="1">
    <w:name w:val="Heading 5 Char"/>
    <w:link w:val="789"/>
    <w:uiPriority w:val="9"/>
    <w:qFormat/>
    <w:rPr>
      <w:rFonts w:ascii="Arial" w:hAnsi="Arial" w:eastAsia="Arial" w:cs="Arial"/>
      <w:b/>
      <w:bCs/>
      <w:sz w:val="24"/>
      <w:szCs w:val="24"/>
    </w:rPr>
  </w:style>
  <w:style w:type="character" w:styleId="802" w:customStyle="1">
    <w:name w:val="Heading 6 Char"/>
    <w:link w:val="790"/>
    <w:uiPriority w:val="9"/>
    <w:qFormat/>
    <w:rPr>
      <w:rFonts w:ascii="Arial" w:hAnsi="Arial" w:eastAsia="Arial" w:cs="Arial"/>
      <w:b/>
      <w:bCs/>
      <w:sz w:val="22"/>
      <w:szCs w:val="22"/>
    </w:rPr>
  </w:style>
  <w:style w:type="character" w:styleId="803" w:customStyle="1">
    <w:name w:val="Heading 7 Char"/>
    <w:link w:val="791"/>
    <w:uiPriority w:val="9"/>
    <w:qFormat/>
    <w:rPr>
      <w:rFonts w:ascii="Arial" w:hAnsi="Arial" w:eastAsia="Arial" w:cs="Arial"/>
      <w:b/>
      <w:bCs/>
      <w:i/>
      <w:iCs/>
      <w:sz w:val="22"/>
      <w:szCs w:val="22"/>
    </w:rPr>
  </w:style>
  <w:style w:type="character" w:styleId="804" w:customStyle="1">
    <w:name w:val="Heading 8 Char"/>
    <w:link w:val="792"/>
    <w:uiPriority w:val="9"/>
    <w:qFormat/>
    <w:rPr>
      <w:rFonts w:ascii="Arial" w:hAnsi="Arial" w:eastAsia="Arial" w:cs="Arial"/>
      <w:i/>
      <w:iCs/>
      <w:sz w:val="22"/>
      <w:szCs w:val="22"/>
    </w:rPr>
  </w:style>
  <w:style w:type="character" w:styleId="805" w:customStyle="1">
    <w:name w:val="Heading 9 Char"/>
    <w:link w:val="793"/>
    <w:uiPriority w:val="9"/>
    <w:qFormat/>
    <w:rPr>
      <w:rFonts w:ascii="Arial" w:hAnsi="Arial" w:eastAsia="Arial" w:cs="Arial"/>
      <w:i/>
      <w:iCs/>
      <w:sz w:val="21"/>
      <w:szCs w:val="21"/>
    </w:rPr>
  </w:style>
  <w:style w:type="paragraph" w:styleId="806" w:customStyle="1">
    <w:name w:val="目录 711"/>
    <w:basedOn w:val="751"/>
    <w:next w:val="751"/>
    <w:uiPriority w:val="39"/>
    <w:unhideWhenUsed/>
    <w:qFormat/>
    <w:pPr>
      <w:ind w:left="1701" w:right="0" w:firstLine="0"/>
      <w:spacing w:after="57"/>
    </w:pPr>
  </w:style>
  <w:style w:type="paragraph" w:styleId="807" w:customStyle="1">
    <w:name w:val="题注1"/>
    <w:basedOn w:val="751"/>
    <w:next w:val="751"/>
    <w:uiPriority w:val="35"/>
    <w:unhideWhenUsed/>
    <w:qFormat/>
    <w:pPr>
      <w:spacing w:line="276" w:lineRule="auto"/>
    </w:pPr>
    <w:rPr>
      <w:b/>
      <w:bCs/>
      <w:color w:val="4f81bd"/>
      <w:sz w:val="18"/>
      <w:szCs w:val="18"/>
    </w:rPr>
  </w:style>
  <w:style w:type="paragraph" w:styleId="808" w:customStyle="1">
    <w:name w:val="批注文字11"/>
    <w:basedOn w:val="751"/>
    <w:uiPriority w:val="99"/>
    <w:unhideWhenUsed/>
    <w:qFormat/>
    <w:pPr>
      <w:jc w:val="left"/>
    </w:pPr>
  </w:style>
  <w:style w:type="paragraph" w:styleId="809" w:customStyle="1">
    <w:name w:val="正文文本12"/>
    <w:basedOn w:val="751"/>
    <w:uiPriority w:val="0"/>
    <w:qFormat/>
    <w:pPr>
      <w:spacing w:after="120"/>
    </w:pPr>
  </w:style>
  <w:style w:type="paragraph" w:styleId="810" w:customStyle="1">
    <w:name w:val="索引 411"/>
    <w:basedOn w:val="751"/>
    <w:next w:val="751"/>
    <w:uiPriority w:val="0"/>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paragraph" w:styleId="811" w:customStyle="1">
    <w:name w:val="目录 511"/>
    <w:basedOn w:val="751"/>
    <w:next w:val="751"/>
    <w:uiPriority w:val="39"/>
    <w:unhideWhenUsed/>
    <w:qFormat/>
    <w:pPr>
      <w:ind w:left="1134" w:right="0" w:firstLine="0"/>
      <w:spacing w:after="57"/>
    </w:pPr>
  </w:style>
  <w:style w:type="paragraph" w:styleId="812" w:customStyle="1">
    <w:name w:val="目录 311"/>
    <w:basedOn w:val="751"/>
    <w:next w:val="751"/>
    <w:uiPriority w:val="39"/>
    <w:unhideWhenUsed/>
    <w:qFormat/>
    <w:pPr>
      <w:ind w:left="567" w:right="0" w:firstLine="0"/>
      <w:spacing w:after="57"/>
    </w:pPr>
  </w:style>
  <w:style w:type="paragraph" w:styleId="813" w:customStyle="1">
    <w:name w:val="目录 811"/>
    <w:basedOn w:val="751"/>
    <w:next w:val="751"/>
    <w:uiPriority w:val="39"/>
    <w:unhideWhenUsed/>
    <w:qFormat/>
    <w:pPr>
      <w:ind w:left="1984" w:right="0" w:firstLine="0"/>
      <w:spacing w:after="57"/>
    </w:pPr>
  </w:style>
  <w:style w:type="paragraph" w:styleId="814" w:customStyle="1">
    <w:name w:val="尾注文本1"/>
    <w:basedOn w:val="751"/>
    <w:link w:val="815"/>
    <w:uiPriority w:val="99"/>
    <w:unhideWhenUsed/>
    <w:qFormat/>
    <w:pPr>
      <w:spacing w:after="0" w:line="240" w:lineRule="auto"/>
    </w:pPr>
    <w:rPr>
      <w:sz w:val="20"/>
    </w:rPr>
  </w:style>
  <w:style w:type="character" w:styleId="815" w:customStyle="1">
    <w:name w:val="Endnote Text Char"/>
    <w:link w:val="814"/>
    <w:uiPriority w:val="99"/>
    <w:qFormat/>
    <w:rPr>
      <w:sz w:val="20"/>
    </w:rPr>
  </w:style>
  <w:style w:type="paragraph" w:styleId="816" w:customStyle="1">
    <w:name w:val="页脚12"/>
    <w:basedOn w:val="751"/>
    <w:link w:val="837"/>
    <w:uiPriority w:val="99"/>
    <w:unhideWhenUsed/>
    <w:qFormat/>
    <w:pPr>
      <w:spacing w:after="0" w:line="240" w:lineRule="auto"/>
      <w:tabs>
        <w:tab w:val="center" w:pos="7143" w:leader="none"/>
        <w:tab w:val="right" w:pos="14287" w:leader="none"/>
      </w:tabs>
    </w:pPr>
  </w:style>
  <w:style w:type="character" w:styleId="817" w:customStyle="1">
    <w:name w:val="Caption Char"/>
    <w:link w:val="816"/>
    <w:uiPriority w:val="99"/>
    <w:qFormat/>
  </w:style>
  <w:style w:type="paragraph" w:styleId="818" w:customStyle="1">
    <w:name w:val="页眉12"/>
    <w:basedOn w:val="751"/>
    <w:link w:val="819"/>
    <w:uiPriority w:val="99"/>
    <w:unhideWhenUsed/>
    <w:qFormat/>
    <w:pPr>
      <w:spacing w:after="0" w:line="240" w:lineRule="auto"/>
      <w:tabs>
        <w:tab w:val="center" w:pos="7143" w:leader="none"/>
        <w:tab w:val="right" w:pos="14287" w:leader="none"/>
      </w:tabs>
    </w:pPr>
  </w:style>
  <w:style w:type="character" w:styleId="819" w:customStyle="1">
    <w:name w:val="Header Char"/>
    <w:link w:val="818"/>
    <w:uiPriority w:val="99"/>
    <w:qFormat/>
  </w:style>
  <w:style w:type="paragraph" w:styleId="820" w:customStyle="1">
    <w:name w:val="目录 1111"/>
    <w:basedOn w:val="751"/>
    <w:next w:val="751"/>
    <w:uiPriority w:val="39"/>
    <w:unhideWhenUsed/>
    <w:qFormat/>
    <w:pPr>
      <w:ind w:left="0" w:right="0" w:firstLine="0"/>
      <w:spacing w:after="57"/>
    </w:pPr>
  </w:style>
  <w:style w:type="paragraph" w:styleId="821" w:customStyle="1">
    <w:name w:val="目录 411"/>
    <w:basedOn w:val="751"/>
    <w:next w:val="751"/>
    <w:uiPriority w:val="39"/>
    <w:unhideWhenUsed/>
    <w:qFormat/>
    <w:pPr>
      <w:ind w:left="850" w:right="0" w:firstLine="0"/>
      <w:spacing w:after="57"/>
    </w:pPr>
  </w:style>
  <w:style w:type="paragraph" w:styleId="822" w:customStyle="1">
    <w:name w:val="副标题1"/>
    <w:basedOn w:val="751"/>
    <w:next w:val="751"/>
    <w:link w:val="823"/>
    <w:uiPriority w:val="11"/>
    <w:qFormat/>
    <w:pPr>
      <w:spacing w:before="200" w:after="200"/>
    </w:pPr>
    <w:rPr>
      <w:sz w:val="24"/>
      <w:szCs w:val="24"/>
    </w:rPr>
  </w:style>
  <w:style w:type="character" w:styleId="823" w:customStyle="1">
    <w:name w:val="Subtitle Char"/>
    <w:link w:val="822"/>
    <w:uiPriority w:val="11"/>
    <w:qFormat/>
    <w:rPr>
      <w:sz w:val="24"/>
      <w:szCs w:val="24"/>
    </w:rPr>
  </w:style>
  <w:style w:type="paragraph" w:styleId="824" w:customStyle="1">
    <w:name w:val="脚注文本1"/>
    <w:basedOn w:val="751"/>
    <w:link w:val="825"/>
    <w:uiPriority w:val="99"/>
    <w:unhideWhenUsed/>
    <w:qFormat/>
    <w:pPr>
      <w:spacing w:after="40" w:line="240" w:lineRule="auto"/>
    </w:pPr>
    <w:rPr>
      <w:sz w:val="18"/>
    </w:rPr>
  </w:style>
  <w:style w:type="character" w:styleId="825" w:customStyle="1">
    <w:name w:val="Footnote Text Char"/>
    <w:link w:val="824"/>
    <w:uiPriority w:val="99"/>
    <w:qFormat/>
    <w:rPr>
      <w:sz w:val="18"/>
    </w:rPr>
  </w:style>
  <w:style w:type="paragraph" w:styleId="826" w:customStyle="1">
    <w:name w:val="目录 611"/>
    <w:basedOn w:val="751"/>
    <w:next w:val="751"/>
    <w:uiPriority w:val="39"/>
    <w:unhideWhenUsed/>
    <w:qFormat/>
    <w:pPr>
      <w:ind w:left="1417" w:right="0" w:firstLine="0"/>
      <w:spacing w:after="57"/>
    </w:pPr>
  </w:style>
  <w:style w:type="paragraph" w:styleId="827" w:customStyle="1">
    <w:name w:val="图表目录11"/>
    <w:basedOn w:val="751"/>
    <w:next w:val="751"/>
    <w:uiPriority w:val="99"/>
    <w:unhideWhenUsed/>
    <w:qFormat/>
    <w:pPr>
      <w:spacing w:after="0" w:afterAutospacing="0"/>
    </w:pPr>
  </w:style>
  <w:style w:type="paragraph" w:styleId="828" w:customStyle="1">
    <w:name w:val="目录 211"/>
    <w:basedOn w:val="751"/>
    <w:next w:val="751"/>
    <w:uiPriority w:val="39"/>
    <w:unhideWhenUsed/>
    <w:qFormat/>
    <w:pPr>
      <w:ind w:left="283" w:right="0" w:firstLine="0"/>
      <w:spacing w:after="57"/>
    </w:pPr>
  </w:style>
  <w:style w:type="paragraph" w:styleId="829" w:customStyle="1">
    <w:name w:val="目录 911"/>
    <w:basedOn w:val="751"/>
    <w:next w:val="751"/>
    <w:uiPriority w:val="39"/>
    <w:unhideWhenUsed/>
    <w:qFormat/>
    <w:pPr>
      <w:ind w:left="2268" w:right="0" w:firstLine="0"/>
      <w:spacing w:after="57"/>
    </w:pPr>
  </w:style>
  <w:style w:type="paragraph" w:styleId="830" w:customStyle="1">
    <w:name w:val="标题11"/>
    <w:basedOn w:val="751"/>
    <w:next w:val="751"/>
    <w:link w:val="831"/>
    <w:uiPriority w:val="10"/>
    <w:qFormat/>
    <w:pPr>
      <w:contextualSpacing/>
      <w:spacing w:before="300" w:after="200"/>
    </w:pPr>
    <w:rPr>
      <w:sz w:val="48"/>
      <w:szCs w:val="48"/>
    </w:rPr>
  </w:style>
  <w:style w:type="character" w:styleId="831" w:customStyle="1">
    <w:name w:val="Title Char"/>
    <w:link w:val="830"/>
    <w:uiPriority w:val="10"/>
    <w:qFormat/>
    <w:rPr>
      <w:sz w:val="48"/>
      <w:szCs w:val="48"/>
    </w:rPr>
  </w:style>
  <w:style w:type="table" w:styleId="832" w:customStyle="1">
    <w:name w:val="网格型11"/>
    <w:uiPriority w:val="59"/>
    <w:qFormat/>
    <w:pPr>
      <w:spacing w:after="0" w:line="240" w:lineRule="auto"/>
    </w:pPr>
    <w:tblPr/>
  </w:style>
  <w:style w:type="character" w:styleId="833" w:customStyle="1">
    <w:name w:val="要点11"/>
    <w:basedOn w:val="794"/>
    <w:link w:val="751"/>
    <w:uiPriority w:val="22"/>
    <w:qFormat/>
    <w:rPr>
      <w:b/>
    </w:rPr>
  </w:style>
  <w:style w:type="character" w:styleId="834" w:customStyle="1">
    <w:name w:val="尾注引用1"/>
    <w:link w:val="751"/>
    <w:uiPriority w:val="99"/>
    <w:unhideWhenUsed/>
    <w:qFormat/>
    <w:rPr>
      <w:vertAlign w:val="superscript"/>
    </w:rPr>
  </w:style>
  <w:style w:type="character" w:styleId="835" w:customStyle="1">
    <w:name w:val="超链接11"/>
    <w:link w:val="751"/>
    <w:uiPriority w:val="99"/>
    <w:unhideWhenUsed/>
    <w:qFormat/>
    <w:rPr>
      <w:color w:val="0000ff"/>
      <w:u w:val="single"/>
    </w:rPr>
  </w:style>
  <w:style w:type="character" w:styleId="836" w:customStyle="1">
    <w:name w:val="脚注引用1"/>
    <w:link w:val="751"/>
    <w:uiPriority w:val="99"/>
    <w:unhideWhenUsed/>
    <w:qFormat/>
    <w:rPr>
      <w:vertAlign w:val="superscript"/>
    </w:rPr>
  </w:style>
  <w:style w:type="character" w:styleId="837" w:customStyle="1">
    <w:name w:val="Footer Char"/>
    <w:link w:val="816"/>
    <w:uiPriority w:val="99"/>
    <w:qFormat/>
  </w:style>
  <w:style w:type="paragraph" w:styleId="838" w:customStyle="1">
    <w:name w:val="正文文本1"/>
    <w:basedOn w:val="751"/>
    <w:link w:val="839"/>
    <w:uiPriority w:val="99"/>
    <w:qFormat/>
    <w:rPr>
      <w:rFonts w:ascii="楷体_GB2312" w:hAnsi="Arial" w:eastAsia="楷体_GB2312"/>
      <w:sz w:val="28"/>
      <w:szCs w:val="28"/>
    </w:rPr>
  </w:style>
  <w:style w:type="character" w:styleId="839" w:customStyle="1">
    <w:name w:val="正文文本 Char"/>
    <w:link w:val="838"/>
    <w:uiPriority w:val="0"/>
    <w:qFormat/>
    <w:rPr>
      <w:rFonts w:ascii="楷体_GB2312" w:hAnsi="Arial" w:eastAsia="楷体_GB2312" w:cs="Times New Roman"/>
      <w:sz w:val="28"/>
      <w:szCs w:val="28"/>
    </w:rPr>
  </w:style>
  <w:style w:type="character" w:styleId="840" w:customStyle="1">
    <w:name w:val="标题 3 Char"/>
    <w:link w:val="841"/>
    <w:uiPriority w:val="0"/>
    <w:qFormat/>
    <w:rPr>
      <w:rFonts w:ascii="Times New Roman" w:hAnsi="Times New Roman" w:eastAsia="宋体" w:cs="Times New Roman"/>
      <w:b/>
      <w:bCs/>
      <w:sz w:val="32"/>
      <w:szCs w:val="32"/>
    </w:rPr>
  </w:style>
  <w:style w:type="paragraph" w:styleId="841" w:customStyle="1">
    <w:name w:val="标题 31"/>
    <w:basedOn w:val="751"/>
    <w:next w:val="842"/>
    <w:link w:val="840"/>
    <w:uiPriority w:val="0"/>
    <w:qFormat/>
    <w:pPr>
      <w:keepLines/>
      <w:keepNext/>
      <w:spacing w:before="260" w:after="260" w:line="416" w:lineRule="auto"/>
      <w:outlineLvl w:val="2"/>
    </w:pPr>
    <w:rPr>
      <w:b/>
      <w:bCs/>
      <w:sz w:val="32"/>
      <w:szCs w:val="32"/>
    </w:rPr>
  </w:style>
  <w:style w:type="paragraph" w:styleId="842" w:customStyle="1">
    <w:name w:val="正文缩进11"/>
    <w:basedOn w:val="751"/>
    <w:link w:val="843"/>
    <w:uiPriority w:val="0"/>
    <w:qFormat/>
    <w:pPr>
      <w:ind w:firstLine="420"/>
    </w:pPr>
    <w:rPr>
      <w:sz w:val="20"/>
    </w:rPr>
  </w:style>
  <w:style w:type="character" w:styleId="843" w:customStyle="1">
    <w:name w:val="正文缩进 Char"/>
    <w:link w:val="842"/>
    <w:uiPriority w:val="0"/>
    <w:qFormat/>
    <w:rPr>
      <w:rFonts w:ascii="Times New Roman" w:hAnsi="Times New Roman" w:eastAsia="宋体" w:cs="Times New Roman"/>
      <w:szCs w:val="21"/>
    </w:rPr>
  </w:style>
  <w:style w:type="character" w:styleId="844" w:customStyle="1">
    <w:name w:val="标题 1 Char"/>
    <w:link w:val="845"/>
    <w:uiPriority w:val="9"/>
    <w:qFormat/>
    <w:rPr>
      <w:rFonts w:ascii="楷体_GB2312" w:hAnsi="Times New Roman" w:eastAsia="楷体_GB2312" w:cs="Times New Roman"/>
      <w:sz w:val="28"/>
      <w:szCs w:val="28"/>
    </w:rPr>
  </w:style>
  <w:style w:type="paragraph" w:styleId="845" w:customStyle="1">
    <w:name w:val="标题 11"/>
    <w:basedOn w:val="751"/>
    <w:next w:val="751"/>
    <w:link w:val="844"/>
    <w:uiPriority w:val="9"/>
    <w:qFormat/>
    <w:pPr>
      <w:jc w:val="center"/>
      <w:keepNext/>
      <w:outlineLvl w:val="0"/>
    </w:pPr>
    <w:rPr>
      <w:rFonts w:ascii="楷体_GB2312" w:eastAsia="楷体_GB2312"/>
      <w:sz w:val="28"/>
      <w:szCs w:val="28"/>
    </w:rPr>
  </w:style>
  <w:style w:type="character" w:styleId="846" w:customStyle="1">
    <w:name w:val="font281"/>
    <w:link w:val="751"/>
    <w:uiPriority w:val="0"/>
    <w:qFormat/>
    <w:rPr>
      <w:rFonts w:ascii="Times New Roman" w:hAnsi="Times New Roman" w:eastAsia="宋体" w:cs="Times New Roman"/>
      <w:sz w:val="21"/>
      <w:szCs w:val="21"/>
      <w:lang w:val="en-US" w:eastAsia="zh-CN" w:bidi="ar-SA"/>
    </w:rPr>
  </w:style>
  <w:style w:type="paragraph" w:styleId="847">
    <w:name w:val="List Paragraph"/>
    <w:basedOn w:val="751"/>
    <w:uiPriority w:val="34"/>
    <w:qFormat/>
    <w:pPr>
      <w:contextualSpacing/>
      <w:ind w:left="720"/>
    </w:p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paragraph" w:styleId="849">
    <w:name w:val="Quote"/>
    <w:basedOn w:val="751"/>
    <w:next w:val="751"/>
    <w:link w:val="850"/>
    <w:uiPriority w:val="29"/>
    <w:qFormat/>
    <w:pPr>
      <w:ind w:left="720" w:right="720"/>
    </w:pPr>
    <w:rPr>
      <w:i/>
    </w:rPr>
  </w:style>
  <w:style w:type="character" w:styleId="850" w:customStyle="1">
    <w:name w:val="Quote Char"/>
    <w:link w:val="849"/>
    <w:uiPriority w:val="29"/>
    <w:qFormat/>
    <w:rPr>
      <w:i/>
    </w:rPr>
  </w:style>
  <w:style w:type="character" w:styleId="851" w:customStyle="1">
    <w:name w:val="Intense Quote Char"/>
    <w:link w:val="751"/>
    <w:uiPriority w:val="30"/>
    <w:qFormat/>
    <w:rPr>
      <w:i/>
    </w:rPr>
  </w:style>
  <w:style w:type="table" w:styleId="852" w:customStyle="1">
    <w:name w:val="Table Grid Light"/>
    <w:uiPriority w:val="59"/>
    <w:qFormat/>
    <w:pPr>
      <w:spacing w:after="0" w:line="240" w:lineRule="auto"/>
    </w:pPr>
    <w:tblPr/>
  </w:style>
  <w:style w:type="table" w:styleId="853" w:customStyle="1">
    <w:name w:val="Plain Table 1"/>
    <w:uiPriority w:val="59"/>
    <w:qFormat/>
    <w:pPr>
      <w:spacing w:after="0" w:line="240" w:lineRule="auto"/>
    </w:pPr>
    <w:tblPr/>
  </w:style>
  <w:style w:type="table" w:styleId="854" w:customStyle="1">
    <w:name w:val="Plain Table 2"/>
    <w:uiPriority w:val="59"/>
    <w:qFormat/>
    <w:pPr>
      <w:spacing w:after="0" w:line="240" w:lineRule="auto"/>
    </w:pPr>
    <w:tblPr/>
  </w:style>
  <w:style w:type="table" w:styleId="855" w:customStyle="1">
    <w:name w:val="Plain Table 3"/>
    <w:uiPriority w:val="99"/>
    <w:qFormat/>
    <w:pPr>
      <w:spacing w:after="0" w:line="240" w:lineRule="auto"/>
    </w:pPr>
    <w:tblPr/>
  </w:style>
  <w:style w:type="table" w:styleId="856" w:customStyle="1">
    <w:name w:val="Plain Table 4"/>
    <w:uiPriority w:val="99"/>
    <w:qFormat/>
    <w:pPr>
      <w:spacing w:after="0" w:line="240" w:lineRule="auto"/>
    </w:pPr>
    <w:tblPr/>
  </w:style>
  <w:style w:type="table" w:styleId="857" w:customStyle="1">
    <w:name w:val="Plain Table 5"/>
    <w:uiPriority w:val="99"/>
    <w:qFormat/>
    <w:pPr>
      <w:spacing w:after="0" w:line="240" w:lineRule="auto"/>
    </w:pPr>
    <w:tblPr/>
  </w:style>
  <w:style w:type="table" w:styleId="858" w:customStyle="1">
    <w:name w:val="Grid Table 1 Light"/>
    <w:uiPriority w:val="99"/>
    <w:qFormat/>
    <w:pPr>
      <w:spacing w:after="0" w:line="240" w:lineRule="auto"/>
    </w:pPr>
    <w:tblPr/>
  </w:style>
  <w:style w:type="table" w:styleId="859" w:customStyle="1">
    <w:name w:val="Grid Table 1 Light - Accent 1"/>
    <w:uiPriority w:val="99"/>
    <w:qFormat/>
    <w:pPr>
      <w:spacing w:after="0" w:line="240" w:lineRule="auto"/>
    </w:pPr>
    <w:tblPr/>
  </w:style>
  <w:style w:type="table" w:styleId="860" w:customStyle="1">
    <w:name w:val="Grid Table 1 Light - Accent 2"/>
    <w:uiPriority w:val="99"/>
    <w:qFormat/>
    <w:pPr>
      <w:spacing w:after="0" w:line="240" w:lineRule="auto"/>
    </w:pPr>
    <w:tblPr/>
  </w:style>
  <w:style w:type="table" w:styleId="861" w:customStyle="1">
    <w:name w:val="Grid Table 1 Light - Accent 3"/>
    <w:uiPriority w:val="99"/>
    <w:qFormat/>
    <w:pPr>
      <w:spacing w:after="0" w:line="240" w:lineRule="auto"/>
    </w:pPr>
    <w:tblPr/>
  </w:style>
  <w:style w:type="table" w:styleId="862" w:customStyle="1">
    <w:name w:val="Grid Table 1 Light - Accent 4"/>
    <w:uiPriority w:val="99"/>
    <w:qFormat/>
    <w:pPr>
      <w:spacing w:after="0" w:line="240" w:lineRule="auto"/>
    </w:pPr>
    <w:tblPr/>
  </w:style>
  <w:style w:type="table" w:styleId="863" w:customStyle="1">
    <w:name w:val="Grid Table 1 Light - Accent 5"/>
    <w:uiPriority w:val="99"/>
    <w:qFormat/>
    <w:pPr>
      <w:spacing w:after="0" w:line="240" w:lineRule="auto"/>
    </w:pPr>
    <w:tblPr/>
  </w:style>
  <w:style w:type="table" w:styleId="864" w:customStyle="1">
    <w:name w:val="Grid Table 1 Light - Accent 6"/>
    <w:uiPriority w:val="99"/>
    <w:qFormat/>
    <w:pPr>
      <w:spacing w:after="0" w:line="240" w:lineRule="auto"/>
    </w:pPr>
    <w:tblPr/>
  </w:style>
  <w:style w:type="table" w:styleId="865" w:customStyle="1">
    <w:name w:val="Grid Table 2"/>
    <w:uiPriority w:val="99"/>
    <w:qFormat/>
    <w:pPr>
      <w:spacing w:after="0" w:line="240" w:lineRule="auto"/>
    </w:pPr>
    <w:tblPr/>
  </w:style>
  <w:style w:type="table" w:styleId="866" w:customStyle="1">
    <w:name w:val="Grid Table 2 - Accent 1"/>
    <w:uiPriority w:val="99"/>
    <w:qFormat/>
    <w:pPr>
      <w:spacing w:after="0" w:line="240" w:lineRule="auto"/>
    </w:pPr>
    <w:tblPr/>
  </w:style>
  <w:style w:type="table" w:styleId="867" w:customStyle="1">
    <w:name w:val="Grid Table 2 - Accent 2"/>
    <w:uiPriority w:val="99"/>
    <w:qFormat/>
    <w:pPr>
      <w:spacing w:after="0" w:line="240" w:lineRule="auto"/>
    </w:pPr>
    <w:tblPr/>
  </w:style>
  <w:style w:type="table" w:styleId="868" w:customStyle="1">
    <w:name w:val="Grid Table 2 - Accent 3"/>
    <w:uiPriority w:val="99"/>
    <w:qFormat/>
    <w:pPr>
      <w:spacing w:after="0" w:line="240" w:lineRule="auto"/>
    </w:pPr>
    <w:tblPr/>
  </w:style>
  <w:style w:type="table" w:styleId="869" w:customStyle="1">
    <w:name w:val="Grid Table 2 - Accent 4"/>
    <w:uiPriority w:val="99"/>
    <w:qFormat/>
    <w:pPr>
      <w:spacing w:after="0" w:line="240" w:lineRule="auto"/>
    </w:pPr>
    <w:tblPr/>
  </w:style>
  <w:style w:type="table" w:styleId="870" w:customStyle="1">
    <w:name w:val="Grid Table 2 - Accent 5"/>
    <w:uiPriority w:val="99"/>
    <w:qFormat/>
    <w:pPr>
      <w:spacing w:after="0" w:line="240" w:lineRule="auto"/>
    </w:pPr>
    <w:tblPr/>
  </w:style>
  <w:style w:type="table" w:styleId="871" w:customStyle="1">
    <w:name w:val="Grid Table 2 - Accent 6"/>
    <w:uiPriority w:val="99"/>
    <w:qFormat/>
    <w:pPr>
      <w:spacing w:after="0" w:line="240" w:lineRule="auto"/>
    </w:pPr>
    <w:tblPr/>
  </w:style>
  <w:style w:type="table" w:styleId="872" w:customStyle="1">
    <w:name w:val="Grid Table 3"/>
    <w:uiPriority w:val="99"/>
    <w:qFormat/>
    <w:pPr>
      <w:spacing w:after="0" w:line="240" w:lineRule="auto"/>
    </w:pPr>
    <w:tblPr/>
  </w:style>
  <w:style w:type="table" w:styleId="873" w:customStyle="1">
    <w:name w:val="Grid Table 3 - Accent 1"/>
    <w:uiPriority w:val="99"/>
    <w:qFormat/>
    <w:pPr>
      <w:spacing w:after="0" w:line="240" w:lineRule="auto"/>
    </w:pPr>
    <w:tblPr/>
  </w:style>
  <w:style w:type="table" w:styleId="874" w:customStyle="1">
    <w:name w:val="Grid Table 3 - Accent 2"/>
    <w:uiPriority w:val="99"/>
    <w:qFormat/>
    <w:pPr>
      <w:spacing w:after="0" w:line="240" w:lineRule="auto"/>
    </w:pPr>
    <w:tblPr/>
  </w:style>
  <w:style w:type="table" w:styleId="875" w:customStyle="1">
    <w:name w:val="Grid Table 3 - Accent 3"/>
    <w:uiPriority w:val="99"/>
    <w:qFormat/>
    <w:pPr>
      <w:spacing w:after="0" w:line="240" w:lineRule="auto"/>
    </w:pPr>
    <w:tblPr/>
  </w:style>
  <w:style w:type="table" w:styleId="876" w:customStyle="1">
    <w:name w:val="Grid Table 3 - Accent 4"/>
    <w:uiPriority w:val="99"/>
    <w:qFormat/>
    <w:pPr>
      <w:spacing w:after="0" w:line="240" w:lineRule="auto"/>
    </w:pPr>
    <w:tblPr/>
  </w:style>
  <w:style w:type="table" w:styleId="877" w:customStyle="1">
    <w:name w:val="Grid Table 3 - Accent 5"/>
    <w:uiPriority w:val="99"/>
    <w:qFormat/>
    <w:pPr>
      <w:spacing w:after="0" w:line="240" w:lineRule="auto"/>
    </w:pPr>
    <w:tblPr/>
  </w:style>
  <w:style w:type="table" w:styleId="878" w:customStyle="1">
    <w:name w:val="Grid Table 3 - Accent 6"/>
    <w:uiPriority w:val="99"/>
    <w:qFormat/>
    <w:pPr>
      <w:spacing w:after="0" w:line="240" w:lineRule="auto"/>
    </w:pPr>
    <w:tblPr/>
  </w:style>
  <w:style w:type="table" w:styleId="879" w:customStyle="1">
    <w:name w:val="Grid Table 4"/>
    <w:uiPriority w:val="59"/>
    <w:qFormat/>
    <w:pPr>
      <w:spacing w:after="0" w:line="240" w:lineRule="auto"/>
    </w:pPr>
    <w:tblPr/>
  </w:style>
  <w:style w:type="table" w:styleId="880" w:customStyle="1">
    <w:name w:val="Grid Table 4 - Accent 1"/>
    <w:uiPriority w:val="59"/>
    <w:qFormat/>
    <w:pPr>
      <w:spacing w:after="0" w:line="240" w:lineRule="auto"/>
    </w:pPr>
    <w:tblPr/>
  </w:style>
  <w:style w:type="table" w:styleId="881" w:customStyle="1">
    <w:name w:val="Grid Table 4 - Accent 2"/>
    <w:uiPriority w:val="59"/>
    <w:qFormat/>
    <w:pPr>
      <w:spacing w:after="0" w:line="240" w:lineRule="auto"/>
    </w:pPr>
    <w:tblPr/>
  </w:style>
  <w:style w:type="table" w:styleId="882" w:customStyle="1">
    <w:name w:val="Grid Table 4 - Accent 3"/>
    <w:uiPriority w:val="59"/>
    <w:qFormat/>
    <w:pPr>
      <w:spacing w:after="0" w:line="240" w:lineRule="auto"/>
    </w:pPr>
    <w:tblPr/>
  </w:style>
  <w:style w:type="table" w:styleId="883" w:customStyle="1">
    <w:name w:val="Grid Table 4 - Accent 4"/>
    <w:uiPriority w:val="59"/>
    <w:qFormat/>
    <w:pPr>
      <w:spacing w:after="0" w:line="240" w:lineRule="auto"/>
    </w:pPr>
    <w:tblPr/>
  </w:style>
  <w:style w:type="table" w:styleId="884" w:customStyle="1">
    <w:name w:val="Grid Table 4 - Accent 5"/>
    <w:uiPriority w:val="59"/>
    <w:qFormat/>
    <w:pPr>
      <w:spacing w:after="0" w:line="240" w:lineRule="auto"/>
    </w:pPr>
    <w:tblPr/>
  </w:style>
  <w:style w:type="table" w:styleId="885" w:customStyle="1">
    <w:name w:val="Grid Table 4 - Accent 6"/>
    <w:uiPriority w:val="59"/>
    <w:qFormat/>
    <w:pPr>
      <w:spacing w:after="0" w:line="240" w:lineRule="auto"/>
    </w:pPr>
    <w:tblPr/>
  </w:style>
  <w:style w:type="table" w:styleId="886" w:customStyle="1">
    <w:name w:val="Grid Table 5 Dark"/>
    <w:uiPriority w:val="99"/>
    <w:qFormat/>
    <w:pPr>
      <w:spacing w:after="0" w:line="240" w:lineRule="auto"/>
    </w:pPr>
    <w:tblPr/>
  </w:style>
  <w:style w:type="table" w:styleId="887" w:customStyle="1">
    <w:name w:val="Grid Table 5 Dark- Accent 1"/>
    <w:uiPriority w:val="99"/>
    <w:qFormat/>
    <w:pPr>
      <w:spacing w:after="0" w:line="240" w:lineRule="auto"/>
    </w:pPr>
    <w:tblPr/>
  </w:style>
  <w:style w:type="table" w:styleId="888" w:customStyle="1">
    <w:name w:val="Grid Table 5 Dark - Accent 2"/>
    <w:uiPriority w:val="99"/>
    <w:qFormat/>
    <w:pPr>
      <w:spacing w:after="0" w:line="240" w:lineRule="auto"/>
    </w:pPr>
    <w:tblPr/>
  </w:style>
  <w:style w:type="table" w:styleId="889" w:customStyle="1">
    <w:name w:val="Grid Table 5 Dark - Accent 3"/>
    <w:uiPriority w:val="99"/>
    <w:qFormat/>
    <w:pPr>
      <w:spacing w:after="0" w:line="240" w:lineRule="auto"/>
    </w:pPr>
    <w:tblPr/>
  </w:style>
  <w:style w:type="table" w:styleId="890" w:customStyle="1">
    <w:name w:val="Grid Table 5 Dark- Accent 4"/>
    <w:uiPriority w:val="99"/>
    <w:qFormat/>
    <w:pPr>
      <w:spacing w:after="0" w:line="240" w:lineRule="auto"/>
    </w:pPr>
    <w:tblPr/>
  </w:style>
  <w:style w:type="table" w:styleId="891" w:customStyle="1">
    <w:name w:val="Grid Table 5 Dark - Accent 5"/>
    <w:uiPriority w:val="99"/>
    <w:qFormat/>
    <w:pPr>
      <w:spacing w:after="0" w:line="240" w:lineRule="auto"/>
    </w:pPr>
    <w:tblPr/>
  </w:style>
  <w:style w:type="table" w:styleId="892" w:customStyle="1">
    <w:name w:val="Grid Table 5 Dark - Accent 6"/>
    <w:uiPriority w:val="99"/>
    <w:qFormat/>
    <w:pPr>
      <w:spacing w:after="0" w:line="240" w:lineRule="auto"/>
    </w:pPr>
    <w:tblPr/>
  </w:style>
  <w:style w:type="table" w:styleId="893" w:customStyle="1">
    <w:name w:val="Grid Table 6 Colorful"/>
    <w:uiPriority w:val="99"/>
    <w:qFormat/>
    <w:pPr>
      <w:spacing w:after="0" w:line="240" w:lineRule="auto"/>
    </w:pPr>
    <w:tblPr/>
  </w:style>
  <w:style w:type="table" w:styleId="894" w:customStyle="1">
    <w:name w:val="Grid Table 6 Colorful - Accent 1"/>
    <w:uiPriority w:val="99"/>
    <w:qFormat/>
    <w:pPr>
      <w:spacing w:after="0" w:line="240" w:lineRule="auto"/>
    </w:pPr>
    <w:tblPr/>
  </w:style>
  <w:style w:type="table" w:styleId="895" w:customStyle="1">
    <w:name w:val="Grid Table 6 Colorful - Accent 2"/>
    <w:uiPriority w:val="99"/>
    <w:qFormat/>
    <w:pPr>
      <w:spacing w:after="0" w:line="240" w:lineRule="auto"/>
    </w:pPr>
    <w:tblPr/>
  </w:style>
  <w:style w:type="table" w:styleId="896" w:customStyle="1">
    <w:name w:val="Grid Table 6 Colorful - Accent 3"/>
    <w:uiPriority w:val="99"/>
    <w:qFormat/>
    <w:pPr>
      <w:spacing w:after="0" w:line="240" w:lineRule="auto"/>
    </w:pPr>
    <w:tblPr/>
  </w:style>
  <w:style w:type="table" w:styleId="897" w:customStyle="1">
    <w:name w:val="Grid Table 6 Colorful - Accent 4"/>
    <w:uiPriority w:val="99"/>
    <w:qFormat/>
    <w:pPr>
      <w:spacing w:after="0" w:line="240" w:lineRule="auto"/>
    </w:pPr>
    <w:tblPr/>
  </w:style>
  <w:style w:type="table" w:styleId="898" w:customStyle="1">
    <w:name w:val="Grid Table 6 Colorful - Accent 5"/>
    <w:uiPriority w:val="99"/>
    <w:qFormat/>
    <w:pPr>
      <w:spacing w:after="0" w:line="240" w:lineRule="auto"/>
    </w:pPr>
    <w:tblPr/>
  </w:style>
  <w:style w:type="table" w:styleId="899" w:customStyle="1">
    <w:name w:val="Grid Table 6 Colorful - Accent 6"/>
    <w:uiPriority w:val="99"/>
    <w:qFormat/>
    <w:pPr>
      <w:spacing w:after="0" w:line="240" w:lineRule="auto"/>
    </w:pPr>
    <w:tblPr/>
  </w:style>
  <w:style w:type="table" w:styleId="900" w:customStyle="1">
    <w:name w:val="Grid Table 7 Colorful"/>
    <w:uiPriority w:val="99"/>
    <w:qFormat/>
    <w:pPr>
      <w:spacing w:after="0" w:line="240" w:lineRule="auto"/>
    </w:pPr>
    <w:tblPr/>
  </w:style>
  <w:style w:type="table" w:styleId="901" w:customStyle="1">
    <w:name w:val="Grid Table 7 Colorful - Accent 1"/>
    <w:uiPriority w:val="99"/>
    <w:qFormat/>
    <w:pPr>
      <w:spacing w:after="0" w:line="240" w:lineRule="auto"/>
    </w:pPr>
    <w:tblPr/>
  </w:style>
  <w:style w:type="table" w:styleId="902" w:customStyle="1">
    <w:name w:val="Grid Table 7 Colorful - Accent 2"/>
    <w:uiPriority w:val="99"/>
    <w:qFormat/>
    <w:pPr>
      <w:spacing w:after="0" w:line="240" w:lineRule="auto"/>
    </w:pPr>
    <w:tblPr/>
  </w:style>
  <w:style w:type="table" w:styleId="903" w:customStyle="1">
    <w:name w:val="Grid Table 7 Colorful - Accent 3"/>
    <w:uiPriority w:val="99"/>
    <w:qFormat/>
    <w:pPr>
      <w:spacing w:after="0" w:line="240" w:lineRule="auto"/>
    </w:pPr>
    <w:tblPr/>
  </w:style>
  <w:style w:type="table" w:styleId="904" w:customStyle="1">
    <w:name w:val="Grid Table 7 Colorful - Accent 4"/>
    <w:uiPriority w:val="99"/>
    <w:qFormat/>
    <w:pPr>
      <w:spacing w:after="0" w:line="240" w:lineRule="auto"/>
    </w:pPr>
    <w:tblPr/>
  </w:style>
  <w:style w:type="table" w:styleId="905" w:customStyle="1">
    <w:name w:val="Grid Table 7 Colorful - Accent 5"/>
    <w:uiPriority w:val="99"/>
    <w:qFormat/>
    <w:pPr>
      <w:spacing w:after="0" w:line="240" w:lineRule="auto"/>
    </w:pPr>
    <w:tblPr/>
  </w:style>
  <w:style w:type="table" w:styleId="906" w:customStyle="1">
    <w:name w:val="Grid Table 7 Colorful - Accent 6"/>
    <w:uiPriority w:val="99"/>
    <w:qFormat/>
    <w:pPr>
      <w:spacing w:after="0" w:line="240" w:lineRule="auto"/>
    </w:pPr>
    <w:tblPr/>
  </w:style>
  <w:style w:type="table" w:styleId="907" w:customStyle="1">
    <w:name w:val="List Table 1 Light"/>
    <w:uiPriority w:val="99"/>
    <w:qFormat/>
    <w:pPr>
      <w:spacing w:after="0" w:line="240" w:lineRule="auto"/>
    </w:pPr>
    <w:tblPr/>
  </w:style>
  <w:style w:type="table" w:styleId="908" w:customStyle="1">
    <w:name w:val="List Table 1 Light - Accent 1"/>
    <w:uiPriority w:val="99"/>
    <w:qFormat/>
    <w:pPr>
      <w:spacing w:after="0" w:line="240" w:lineRule="auto"/>
    </w:pPr>
    <w:tblPr/>
  </w:style>
  <w:style w:type="table" w:styleId="909" w:customStyle="1">
    <w:name w:val="List Table 1 Light - Accent 2"/>
    <w:uiPriority w:val="99"/>
    <w:qFormat/>
    <w:pPr>
      <w:spacing w:after="0" w:line="240" w:lineRule="auto"/>
    </w:pPr>
    <w:tblPr/>
  </w:style>
  <w:style w:type="table" w:styleId="910" w:customStyle="1">
    <w:name w:val="List Table 1 Light - Accent 3"/>
    <w:uiPriority w:val="99"/>
    <w:qFormat/>
    <w:pPr>
      <w:spacing w:after="0" w:line="240" w:lineRule="auto"/>
    </w:pPr>
    <w:tblPr/>
  </w:style>
  <w:style w:type="table" w:styleId="911" w:customStyle="1">
    <w:name w:val="List Table 1 Light - Accent 4"/>
    <w:uiPriority w:val="99"/>
    <w:qFormat/>
    <w:pPr>
      <w:spacing w:after="0" w:line="240" w:lineRule="auto"/>
    </w:pPr>
    <w:tblPr/>
  </w:style>
  <w:style w:type="table" w:styleId="912" w:customStyle="1">
    <w:name w:val="List Table 1 Light - Accent 5"/>
    <w:uiPriority w:val="99"/>
    <w:qFormat/>
    <w:pPr>
      <w:spacing w:after="0" w:line="240" w:lineRule="auto"/>
    </w:pPr>
    <w:tblPr/>
  </w:style>
  <w:style w:type="table" w:styleId="913" w:customStyle="1">
    <w:name w:val="List Table 1 Light - Accent 6"/>
    <w:uiPriority w:val="99"/>
    <w:qFormat/>
    <w:pPr>
      <w:spacing w:after="0" w:line="240" w:lineRule="auto"/>
    </w:pPr>
    <w:tblPr/>
  </w:style>
  <w:style w:type="table" w:styleId="914" w:customStyle="1">
    <w:name w:val="List Table 2"/>
    <w:uiPriority w:val="99"/>
    <w:qFormat/>
    <w:pPr>
      <w:spacing w:after="0" w:line="240" w:lineRule="auto"/>
    </w:pPr>
    <w:tblPr/>
  </w:style>
  <w:style w:type="table" w:styleId="915" w:customStyle="1">
    <w:name w:val="List Table 2 - Accent 1"/>
    <w:uiPriority w:val="99"/>
    <w:qFormat/>
    <w:pPr>
      <w:spacing w:after="0" w:line="240" w:lineRule="auto"/>
    </w:pPr>
    <w:tblPr/>
  </w:style>
  <w:style w:type="table" w:styleId="916" w:customStyle="1">
    <w:name w:val="List Table 2 - Accent 2"/>
    <w:uiPriority w:val="99"/>
    <w:qFormat/>
    <w:pPr>
      <w:spacing w:after="0" w:line="240" w:lineRule="auto"/>
    </w:pPr>
    <w:tblPr/>
  </w:style>
  <w:style w:type="table" w:styleId="917" w:customStyle="1">
    <w:name w:val="List Table 2 - Accent 3"/>
    <w:uiPriority w:val="99"/>
    <w:qFormat/>
    <w:pPr>
      <w:spacing w:after="0" w:line="240" w:lineRule="auto"/>
    </w:pPr>
    <w:tblPr/>
  </w:style>
  <w:style w:type="table" w:styleId="918" w:customStyle="1">
    <w:name w:val="List Table 2 - Accent 4"/>
    <w:uiPriority w:val="99"/>
    <w:qFormat/>
    <w:pPr>
      <w:spacing w:after="0" w:line="240" w:lineRule="auto"/>
    </w:pPr>
    <w:tblPr/>
  </w:style>
  <w:style w:type="table" w:styleId="919" w:customStyle="1">
    <w:name w:val="List Table 2 - Accent 5"/>
    <w:uiPriority w:val="99"/>
    <w:qFormat/>
    <w:pPr>
      <w:spacing w:after="0" w:line="240" w:lineRule="auto"/>
    </w:pPr>
    <w:tblPr/>
  </w:style>
  <w:style w:type="table" w:styleId="920" w:customStyle="1">
    <w:name w:val="List Table 2 - Accent 6"/>
    <w:uiPriority w:val="99"/>
    <w:qFormat/>
    <w:pPr>
      <w:spacing w:after="0" w:line="240" w:lineRule="auto"/>
    </w:pPr>
    <w:tblPr/>
  </w:style>
  <w:style w:type="table" w:styleId="921" w:customStyle="1">
    <w:name w:val="List Table 3"/>
    <w:uiPriority w:val="99"/>
    <w:qFormat/>
    <w:pPr>
      <w:spacing w:after="0" w:line="240" w:lineRule="auto"/>
    </w:pPr>
    <w:tblPr/>
  </w:style>
  <w:style w:type="table" w:styleId="922" w:customStyle="1">
    <w:name w:val="List Table 3 - Accent 1"/>
    <w:uiPriority w:val="99"/>
    <w:qFormat/>
    <w:pPr>
      <w:spacing w:after="0" w:line="240" w:lineRule="auto"/>
    </w:pPr>
    <w:tblPr/>
  </w:style>
  <w:style w:type="table" w:styleId="923" w:customStyle="1">
    <w:name w:val="List Table 3 - Accent 2"/>
    <w:uiPriority w:val="99"/>
    <w:qFormat/>
    <w:pPr>
      <w:spacing w:after="0" w:line="240" w:lineRule="auto"/>
    </w:pPr>
    <w:tblPr/>
  </w:style>
  <w:style w:type="table" w:styleId="924" w:customStyle="1">
    <w:name w:val="List Table 3 - Accent 3"/>
    <w:uiPriority w:val="99"/>
    <w:qFormat/>
    <w:pPr>
      <w:spacing w:after="0" w:line="240" w:lineRule="auto"/>
    </w:pPr>
    <w:tblPr/>
  </w:style>
  <w:style w:type="table" w:styleId="925" w:customStyle="1">
    <w:name w:val="List Table 3 - Accent 4"/>
    <w:uiPriority w:val="99"/>
    <w:qFormat/>
    <w:pPr>
      <w:spacing w:after="0" w:line="240" w:lineRule="auto"/>
    </w:pPr>
    <w:tblPr/>
  </w:style>
  <w:style w:type="table" w:styleId="926" w:customStyle="1">
    <w:name w:val="List Table 3 - Accent 5"/>
    <w:uiPriority w:val="99"/>
    <w:qFormat/>
    <w:pPr>
      <w:spacing w:after="0" w:line="240" w:lineRule="auto"/>
    </w:pPr>
    <w:tblPr/>
  </w:style>
  <w:style w:type="table" w:styleId="927" w:customStyle="1">
    <w:name w:val="List Table 3 - Accent 6"/>
    <w:uiPriority w:val="99"/>
    <w:qFormat/>
    <w:pPr>
      <w:spacing w:after="0" w:line="240" w:lineRule="auto"/>
    </w:pPr>
    <w:tblPr/>
  </w:style>
  <w:style w:type="table" w:styleId="928" w:customStyle="1">
    <w:name w:val="List Table 4"/>
    <w:uiPriority w:val="99"/>
    <w:qFormat/>
    <w:pPr>
      <w:spacing w:after="0" w:line="240" w:lineRule="auto"/>
    </w:pPr>
    <w:tblPr/>
  </w:style>
  <w:style w:type="table" w:styleId="929" w:customStyle="1">
    <w:name w:val="List Table 4 - Accent 1"/>
    <w:uiPriority w:val="99"/>
    <w:qFormat/>
    <w:pPr>
      <w:spacing w:after="0" w:line="240" w:lineRule="auto"/>
    </w:pPr>
    <w:tblPr/>
  </w:style>
  <w:style w:type="table" w:styleId="930" w:customStyle="1">
    <w:name w:val="List Table 4 - Accent 2"/>
    <w:uiPriority w:val="99"/>
    <w:qFormat/>
    <w:pPr>
      <w:spacing w:after="0" w:line="240" w:lineRule="auto"/>
    </w:pPr>
    <w:tblPr/>
  </w:style>
  <w:style w:type="table" w:styleId="931" w:customStyle="1">
    <w:name w:val="List Table 4 - Accent 3"/>
    <w:uiPriority w:val="99"/>
    <w:qFormat/>
    <w:pPr>
      <w:spacing w:after="0" w:line="240" w:lineRule="auto"/>
    </w:pPr>
    <w:tblPr/>
  </w:style>
  <w:style w:type="table" w:styleId="932" w:customStyle="1">
    <w:name w:val="List Table 4 - Accent 4"/>
    <w:uiPriority w:val="99"/>
    <w:qFormat/>
    <w:pPr>
      <w:spacing w:after="0" w:line="240" w:lineRule="auto"/>
    </w:pPr>
    <w:tblPr/>
  </w:style>
  <w:style w:type="table" w:styleId="933" w:customStyle="1">
    <w:name w:val="List Table 4 - Accent 5"/>
    <w:uiPriority w:val="99"/>
    <w:qFormat/>
    <w:pPr>
      <w:spacing w:after="0" w:line="240" w:lineRule="auto"/>
    </w:pPr>
    <w:tblPr/>
  </w:style>
  <w:style w:type="table" w:styleId="934" w:customStyle="1">
    <w:name w:val="List Table 4 - Accent 6"/>
    <w:uiPriority w:val="99"/>
    <w:qFormat/>
    <w:pPr>
      <w:spacing w:after="0" w:line="240" w:lineRule="auto"/>
    </w:pPr>
    <w:tblPr/>
  </w:style>
  <w:style w:type="table" w:styleId="935" w:customStyle="1">
    <w:name w:val="List Table 5 Dark"/>
    <w:uiPriority w:val="99"/>
    <w:qFormat/>
    <w:pPr>
      <w:spacing w:after="0" w:line="240" w:lineRule="auto"/>
    </w:pPr>
    <w:tblPr/>
  </w:style>
  <w:style w:type="table" w:styleId="936" w:customStyle="1">
    <w:name w:val="List Table 5 Dark - Accent 1"/>
    <w:uiPriority w:val="99"/>
    <w:qFormat/>
    <w:pPr>
      <w:spacing w:after="0" w:line="240" w:lineRule="auto"/>
    </w:pPr>
    <w:tblPr/>
  </w:style>
  <w:style w:type="table" w:styleId="937" w:customStyle="1">
    <w:name w:val="List Table 5 Dark - Accent 2"/>
    <w:uiPriority w:val="99"/>
    <w:qFormat/>
    <w:pPr>
      <w:spacing w:after="0" w:line="240" w:lineRule="auto"/>
    </w:pPr>
    <w:tblPr/>
  </w:style>
  <w:style w:type="table" w:styleId="938" w:customStyle="1">
    <w:name w:val="List Table 5 Dark - Accent 3"/>
    <w:uiPriority w:val="99"/>
    <w:qFormat/>
    <w:pPr>
      <w:spacing w:after="0" w:line="240" w:lineRule="auto"/>
    </w:pPr>
    <w:tblPr/>
  </w:style>
  <w:style w:type="table" w:styleId="939" w:customStyle="1">
    <w:name w:val="List Table 5 Dark - Accent 4"/>
    <w:uiPriority w:val="99"/>
    <w:qFormat/>
    <w:pPr>
      <w:spacing w:after="0" w:line="240" w:lineRule="auto"/>
    </w:pPr>
    <w:tblPr/>
  </w:style>
  <w:style w:type="table" w:styleId="940" w:customStyle="1">
    <w:name w:val="List Table 5 Dark - Accent 5"/>
    <w:uiPriority w:val="99"/>
    <w:qFormat/>
    <w:pPr>
      <w:spacing w:after="0" w:line="240" w:lineRule="auto"/>
    </w:pPr>
    <w:tblPr/>
  </w:style>
  <w:style w:type="table" w:styleId="941" w:customStyle="1">
    <w:name w:val="List Table 5 Dark - Accent 6"/>
    <w:uiPriority w:val="99"/>
    <w:qFormat/>
    <w:pPr>
      <w:spacing w:after="0" w:line="240" w:lineRule="auto"/>
    </w:pPr>
    <w:tblPr/>
  </w:style>
  <w:style w:type="table" w:styleId="942" w:customStyle="1">
    <w:name w:val="List Table 6 Colorful"/>
    <w:uiPriority w:val="99"/>
    <w:qFormat/>
    <w:pPr>
      <w:spacing w:after="0" w:line="240" w:lineRule="auto"/>
    </w:pPr>
    <w:tblPr/>
  </w:style>
  <w:style w:type="table" w:styleId="943" w:customStyle="1">
    <w:name w:val="List Table 6 Colorful - Accent 1"/>
    <w:uiPriority w:val="99"/>
    <w:qFormat/>
    <w:pPr>
      <w:spacing w:after="0" w:line="240" w:lineRule="auto"/>
    </w:pPr>
    <w:tblPr/>
  </w:style>
  <w:style w:type="table" w:styleId="944" w:customStyle="1">
    <w:name w:val="List Table 6 Colorful - Accent 2"/>
    <w:uiPriority w:val="99"/>
    <w:qFormat/>
    <w:pPr>
      <w:spacing w:after="0" w:line="240" w:lineRule="auto"/>
    </w:pPr>
    <w:tblPr/>
  </w:style>
  <w:style w:type="table" w:styleId="945" w:customStyle="1">
    <w:name w:val="List Table 6 Colorful - Accent 3"/>
    <w:uiPriority w:val="99"/>
    <w:qFormat/>
    <w:pPr>
      <w:spacing w:after="0" w:line="240" w:lineRule="auto"/>
    </w:pPr>
    <w:tblPr/>
  </w:style>
  <w:style w:type="table" w:styleId="946" w:customStyle="1">
    <w:name w:val="List Table 6 Colorful - Accent 4"/>
    <w:uiPriority w:val="99"/>
    <w:qFormat/>
    <w:pPr>
      <w:spacing w:after="0" w:line="240" w:lineRule="auto"/>
    </w:pPr>
    <w:tblPr/>
  </w:style>
  <w:style w:type="table" w:styleId="947" w:customStyle="1">
    <w:name w:val="List Table 6 Colorful - Accent 5"/>
    <w:uiPriority w:val="99"/>
    <w:qFormat/>
    <w:pPr>
      <w:spacing w:after="0" w:line="240" w:lineRule="auto"/>
    </w:pPr>
    <w:tblPr/>
  </w:style>
  <w:style w:type="table" w:styleId="948" w:customStyle="1">
    <w:name w:val="List Table 6 Colorful - Accent 6"/>
    <w:uiPriority w:val="99"/>
    <w:qFormat/>
    <w:pPr>
      <w:spacing w:after="0" w:line="240" w:lineRule="auto"/>
    </w:pPr>
    <w:tblPr/>
  </w:style>
  <w:style w:type="table" w:styleId="949" w:customStyle="1">
    <w:name w:val="List Table 7 Colorful"/>
    <w:uiPriority w:val="99"/>
    <w:qFormat/>
    <w:pPr>
      <w:spacing w:after="0" w:line="240" w:lineRule="auto"/>
    </w:pPr>
    <w:tblPr/>
  </w:style>
  <w:style w:type="table" w:styleId="950" w:customStyle="1">
    <w:name w:val="List Table 7 Colorful - Accent 1"/>
    <w:uiPriority w:val="99"/>
    <w:qFormat/>
    <w:pPr>
      <w:spacing w:after="0" w:line="240" w:lineRule="auto"/>
    </w:pPr>
    <w:tblPr/>
  </w:style>
  <w:style w:type="table" w:styleId="951" w:customStyle="1">
    <w:name w:val="List Table 7 Colorful - Accent 2"/>
    <w:uiPriority w:val="99"/>
    <w:qFormat/>
    <w:pPr>
      <w:spacing w:after="0" w:line="240" w:lineRule="auto"/>
    </w:pPr>
    <w:tblPr/>
  </w:style>
  <w:style w:type="table" w:styleId="952" w:customStyle="1">
    <w:name w:val="List Table 7 Colorful - Accent 3"/>
    <w:uiPriority w:val="99"/>
    <w:qFormat/>
    <w:pPr>
      <w:spacing w:after="0" w:line="240" w:lineRule="auto"/>
    </w:pPr>
    <w:tblPr/>
  </w:style>
  <w:style w:type="table" w:styleId="953" w:customStyle="1">
    <w:name w:val="List Table 7 Colorful - Accent 4"/>
    <w:uiPriority w:val="99"/>
    <w:qFormat/>
    <w:pPr>
      <w:spacing w:after="0" w:line="240" w:lineRule="auto"/>
    </w:pPr>
    <w:tblPr/>
  </w:style>
  <w:style w:type="table" w:styleId="954" w:customStyle="1">
    <w:name w:val="List Table 7 Colorful - Accent 5"/>
    <w:uiPriority w:val="99"/>
    <w:qFormat/>
    <w:pPr>
      <w:spacing w:after="0" w:line="240" w:lineRule="auto"/>
    </w:pPr>
    <w:tblPr/>
  </w:style>
  <w:style w:type="table" w:styleId="955" w:customStyle="1">
    <w:name w:val="List Table 7 Colorful - Accent 6"/>
    <w:uiPriority w:val="99"/>
    <w:qFormat/>
    <w:pPr>
      <w:spacing w:after="0" w:line="240" w:lineRule="auto"/>
    </w:pPr>
    <w:tblPr/>
  </w:style>
  <w:style w:type="table" w:styleId="956" w:customStyle="1">
    <w:name w:val="Lined - Accent"/>
    <w:uiPriority w:val="99"/>
    <w:qFormat/>
    <w:pPr>
      <w:spacing w:after="0" w:line="240" w:lineRule="auto"/>
    </w:pPr>
    <w:rPr>
      <w:color w:val="404040"/>
    </w:rPr>
    <w:tblPr/>
  </w:style>
  <w:style w:type="table" w:styleId="957" w:customStyle="1">
    <w:name w:val="Lined - Accent 1"/>
    <w:uiPriority w:val="99"/>
    <w:qFormat/>
    <w:pPr>
      <w:spacing w:after="0" w:line="240" w:lineRule="auto"/>
    </w:pPr>
    <w:rPr>
      <w:color w:val="404040"/>
    </w:rPr>
    <w:tblPr/>
  </w:style>
  <w:style w:type="table" w:styleId="958" w:customStyle="1">
    <w:name w:val="Lined - Accent 2"/>
    <w:uiPriority w:val="99"/>
    <w:qFormat/>
    <w:pPr>
      <w:spacing w:after="0" w:line="240" w:lineRule="auto"/>
    </w:pPr>
    <w:rPr>
      <w:color w:val="404040"/>
    </w:rPr>
    <w:tblPr/>
  </w:style>
  <w:style w:type="table" w:styleId="959" w:customStyle="1">
    <w:name w:val="Lined - Accent 3"/>
    <w:uiPriority w:val="99"/>
    <w:qFormat/>
    <w:pPr>
      <w:spacing w:after="0" w:line="240" w:lineRule="auto"/>
    </w:pPr>
    <w:rPr>
      <w:color w:val="404040"/>
    </w:rPr>
    <w:tblPr/>
  </w:style>
  <w:style w:type="table" w:styleId="960" w:customStyle="1">
    <w:name w:val="Lined - Accent 4"/>
    <w:uiPriority w:val="99"/>
    <w:qFormat/>
    <w:pPr>
      <w:spacing w:after="0" w:line="240" w:lineRule="auto"/>
    </w:pPr>
    <w:rPr>
      <w:color w:val="404040"/>
    </w:rPr>
    <w:tblPr/>
  </w:style>
  <w:style w:type="table" w:styleId="961" w:customStyle="1">
    <w:name w:val="Lined - Accent 5"/>
    <w:uiPriority w:val="99"/>
    <w:qFormat/>
    <w:pPr>
      <w:spacing w:after="0" w:line="240" w:lineRule="auto"/>
    </w:pPr>
    <w:rPr>
      <w:color w:val="404040"/>
    </w:rPr>
    <w:tblPr/>
  </w:style>
  <w:style w:type="table" w:styleId="962" w:customStyle="1">
    <w:name w:val="Lined - Accent 6"/>
    <w:uiPriority w:val="99"/>
    <w:qFormat/>
    <w:pPr>
      <w:spacing w:after="0" w:line="240" w:lineRule="auto"/>
    </w:pPr>
    <w:rPr>
      <w:color w:val="404040"/>
    </w:rPr>
    <w:tblPr/>
  </w:style>
  <w:style w:type="table" w:styleId="963" w:customStyle="1">
    <w:name w:val="Bordered &amp; Lined - Accent"/>
    <w:uiPriority w:val="99"/>
    <w:qFormat/>
    <w:pPr>
      <w:spacing w:after="0" w:line="240" w:lineRule="auto"/>
    </w:pPr>
    <w:rPr>
      <w:color w:val="404040"/>
    </w:rPr>
    <w:tblPr/>
  </w:style>
  <w:style w:type="table" w:styleId="964" w:customStyle="1">
    <w:name w:val="Bordered &amp; Lined - Accent 1"/>
    <w:uiPriority w:val="99"/>
    <w:qFormat/>
    <w:pPr>
      <w:spacing w:after="0" w:line="240" w:lineRule="auto"/>
    </w:pPr>
    <w:rPr>
      <w:color w:val="404040"/>
    </w:rPr>
    <w:tblPr/>
  </w:style>
  <w:style w:type="table" w:styleId="965" w:customStyle="1">
    <w:name w:val="Bordered &amp; Lined - Accent 2"/>
    <w:uiPriority w:val="99"/>
    <w:qFormat/>
    <w:pPr>
      <w:spacing w:after="0" w:line="240" w:lineRule="auto"/>
    </w:pPr>
    <w:rPr>
      <w:color w:val="404040"/>
    </w:rPr>
    <w:tblPr/>
  </w:style>
  <w:style w:type="table" w:styleId="966" w:customStyle="1">
    <w:name w:val="Bordered &amp; Lined - Accent 3"/>
    <w:uiPriority w:val="99"/>
    <w:qFormat/>
    <w:pPr>
      <w:spacing w:after="0" w:line="240" w:lineRule="auto"/>
    </w:pPr>
    <w:rPr>
      <w:color w:val="404040"/>
    </w:rPr>
    <w:tblPr/>
  </w:style>
  <w:style w:type="table" w:styleId="967" w:customStyle="1">
    <w:name w:val="Bordered &amp; Lined - Accent 4"/>
    <w:uiPriority w:val="99"/>
    <w:qFormat/>
    <w:pPr>
      <w:spacing w:after="0" w:line="240" w:lineRule="auto"/>
    </w:pPr>
    <w:rPr>
      <w:color w:val="404040"/>
    </w:rPr>
    <w:tblPr/>
  </w:style>
  <w:style w:type="table" w:styleId="968" w:customStyle="1">
    <w:name w:val="Bordered &amp; Lined - Accent 5"/>
    <w:uiPriority w:val="99"/>
    <w:qFormat/>
    <w:pPr>
      <w:spacing w:after="0" w:line="240" w:lineRule="auto"/>
    </w:pPr>
    <w:rPr>
      <w:color w:val="404040"/>
    </w:rPr>
    <w:tblPr/>
  </w:style>
  <w:style w:type="table" w:styleId="969" w:customStyle="1">
    <w:name w:val="Bordered &amp; Lined - Accent 6"/>
    <w:uiPriority w:val="99"/>
    <w:qFormat/>
    <w:pPr>
      <w:spacing w:after="0" w:line="240" w:lineRule="auto"/>
    </w:pPr>
    <w:rPr>
      <w:color w:val="404040"/>
    </w:rPr>
    <w:tblPr/>
  </w:style>
  <w:style w:type="table" w:styleId="970" w:customStyle="1">
    <w:name w:val="Bordered"/>
    <w:uiPriority w:val="99"/>
    <w:qFormat/>
    <w:pPr>
      <w:spacing w:after="0" w:line="240" w:lineRule="auto"/>
    </w:pPr>
    <w:tblPr/>
  </w:style>
  <w:style w:type="table" w:styleId="971" w:customStyle="1">
    <w:name w:val="Bordered - Accent 1"/>
    <w:uiPriority w:val="99"/>
    <w:qFormat/>
    <w:pPr>
      <w:spacing w:after="0" w:line="240" w:lineRule="auto"/>
    </w:pPr>
    <w:tblPr/>
  </w:style>
  <w:style w:type="table" w:styleId="972" w:customStyle="1">
    <w:name w:val="Bordered - Accent 2"/>
    <w:uiPriority w:val="99"/>
    <w:qFormat/>
    <w:pPr>
      <w:spacing w:after="0" w:line="240" w:lineRule="auto"/>
    </w:pPr>
    <w:tblPr/>
  </w:style>
  <w:style w:type="table" w:styleId="973" w:customStyle="1">
    <w:name w:val="Bordered - Accent 3"/>
    <w:uiPriority w:val="99"/>
    <w:qFormat/>
    <w:pPr>
      <w:spacing w:after="0" w:line="240" w:lineRule="auto"/>
    </w:pPr>
    <w:tblPr/>
  </w:style>
  <w:style w:type="table" w:styleId="974" w:customStyle="1">
    <w:name w:val="Bordered - Accent 4"/>
    <w:uiPriority w:val="99"/>
    <w:qFormat/>
    <w:pPr>
      <w:spacing w:after="0" w:line="240" w:lineRule="auto"/>
    </w:pPr>
    <w:tblPr/>
  </w:style>
  <w:style w:type="table" w:styleId="975" w:customStyle="1">
    <w:name w:val="Bordered - Accent 5"/>
    <w:uiPriority w:val="99"/>
    <w:qFormat/>
    <w:pPr>
      <w:spacing w:after="0" w:line="240" w:lineRule="auto"/>
    </w:pPr>
    <w:tblPr/>
  </w:style>
  <w:style w:type="table" w:styleId="976" w:customStyle="1">
    <w:name w:val="Bordered - Accent 6"/>
    <w:uiPriority w:val="99"/>
    <w:qFormat/>
    <w:pPr>
      <w:spacing w:after="0" w:line="240" w:lineRule="auto"/>
    </w:pPr>
    <w:tbl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21"/>
    <w:basedOn w:val="751"/>
    <w:next w:val="842"/>
    <w:link w:val="979"/>
    <w:uiPriority w:val="0"/>
    <w:qFormat/>
    <w:pPr>
      <w:jc w:val="center"/>
      <w:keepLines/>
      <w:keepNext/>
      <w:spacing w:before="260" w:after="260" w:line="416" w:lineRule="auto"/>
      <w:outlineLvl w:val="1"/>
    </w:pPr>
    <w:rPr>
      <w:rFonts w:ascii="Arial" w:hAnsi="Arial" w:eastAsia="幼圆"/>
      <w:b/>
      <w:bCs/>
      <w:sz w:val="44"/>
      <w:szCs w:val="44"/>
    </w:rPr>
  </w:style>
  <w:style w:type="character" w:styleId="979" w:customStyle="1">
    <w:name w:val="标题 2 Char"/>
    <w:link w:val="978"/>
    <w:uiPriority w:val="0"/>
    <w:qFormat/>
    <w:rPr>
      <w:rFonts w:ascii="Arial" w:hAnsi="Arial" w:eastAsia="幼圆" w:cs="Arial"/>
      <w:b/>
      <w:bCs/>
      <w:sz w:val="44"/>
      <w:szCs w:val="44"/>
    </w:rPr>
  </w:style>
  <w:style w:type="paragraph" w:styleId="980" w:customStyle="1">
    <w:name w:val="标题 411"/>
    <w:basedOn w:val="751"/>
    <w:next w:val="751"/>
    <w:link w:val="981"/>
    <w:uiPriority w:val="9"/>
    <w:qFormat/>
    <w:pPr>
      <w:keepLines/>
      <w:keepNext/>
      <w:spacing w:before="280" w:after="290" w:line="376" w:lineRule="auto"/>
      <w:outlineLvl w:val="3"/>
    </w:pPr>
    <w:rPr>
      <w:rFonts w:ascii="Arial" w:hAnsi="Arial" w:eastAsia="黑体"/>
      <w:b/>
      <w:bCs/>
      <w:sz w:val="28"/>
      <w:szCs w:val="28"/>
    </w:rPr>
  </w:style>
  <w:style w:type="character" w:styleId="981" w:customStyle="1">
    <w:name w:val="标题 4 Char"/>
    <w:link w:val="980"/>
    <w:uiPriority w:val="9"/>
    <w:qFormat/>
    <w:rPr>
      <w:rFonts w:ascii="Arial" w:hAnsi="Arial" w:eastAsia="黑体" w:cs="Arial"/>
      <w:b/>
      <w:bCs/>
      <w:sz w:val="28"/>
      <w:szCs w:val="28"/>
    </w:rPr>
  </w:style>
  <w:style w:type="paragraph" w:styleId="982" w:customStyle="1">
    <w:name w:val="标题 51"/>
    <w:basedOn w:val="751"/>
    <w:next w:val="842"/>
    <w:link w:val="983"/>
    <w:uiPriority w:val="0"/>
    <w:qFormat/>
    <w:pPr>
      <w:keepNext/>
      <w:outlineLvl w:val="4"/>
    </w:pPr>
    <w:rPr>
      <w:rFonts w:ascii="宋体"/>
      <w:color w:val="000000"/>
      <w:sz w:val="28"/>
      <w:szCs w:val="28"/>
    </w:rPr>
  </w:style>
  <w:style w:type="character" w:styleId="983" w:customStyle="1">
    <w:name w:val="标题 5 Char"/>
    <w:link w:val="982"/>
    <w:uiPriority w:val="0"/>
    <w:qFormat/>
    <w:rPr>
      <w:rFonts w:ascii="宋体" w:hAnsi="Times New Roman" w:eastAsia="宋体" w:cs="Times New Roman"/>
      <w:color w:val="000000"/>
      <w:sz w:val="28"/>
      <w:szCs w:val="28"/>
    </w:rPr>
  </w:style>
  <w:style w:type="paragraph" w:styleId="984" w:customStyle="1">
    <w:name w:val="标题 61"/>
    <w:basedOn w:val="751"/>
    <w:next w:val="751"/>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5" w:customStyle="1">
    <w:name w:val="标题 6 Char"/>
    <w:link w:val="984"/>
    <w:uiPriority w:val="0"/>
    <w:qFormat/>
    <w:rPr>
      <w:rFonts w:ascii="Arial" w:hAnsi="Arial" w:eastAsia="黑体" w:cs="Times New Roman"/>
      <w:b/>
      <w:bCs/>
      <w:sz w:val="24"/>
      <w:szCs w:val="24"/>
    </w:rPr>
  </w:style>
  <w:style w:type="paragraph" w:styleId="986" w:customStyle="1">
    <w:name w:val="标题 71"/>
    <w:basedOn w:val="751"/>
    <w:next w:val="751"/>
    <w:link w:val="987"/>
    <w:uiPriority w:val="0"/>
    <w:qFormat/>
    <w:pPr>
      <w:numPr>
        <w:ilvl w:val="6"/>
        <w:numId w:val="1"/>
      </w:numPr>
      <w:keepLines/>
      <w:keepNext/>
      <w:spacing w:before="240" w:after="64" w:line="320" w:lineRule="auto"/>
      <w:outlineLvl w:val="6"/>
    </w:pPr>
    <w:rPr>
      <w:b/>
      <w:bCs/>
      <w:sz w:val="24"/>
      <w:szCs w:val="24"/>
    </w:rPr>
  </w:style>
  <w:style w:type="character" w:styleId="987" w:customStyle="1">
    <w:name w:val="标题 7 Char"/>
    <w:link w:val="986"/>
    <w:uiPriority w:val="0"/>
    <w:qFormat/>
    <w:rPr>
      <w:rFonts w:ascii="Times New Roman" w:hAnsi="Times New Roman" w:eastAsia="宋体" w:cs="Times New Roman"/>
      <w:b/>
      <w:bCs/>
      <w:sz w:val="24"/>
      <w:szCs w:val="24"/>
    </w:rPr>
  </w:style>
  <w:style w:type="paragraph" w:styleId="988" w:customStyle="1">
    <w:name w:val="标题 81"/>
    <w:basedOn w:val="751"/>
    <w:next w:val="751"/>
    <w:link w:val="98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9" w:customStyle="1">
    <w:name w:val="标题 8 Char"/>
    <w:link w:val="988"/>
    <w:uiPriority w:val="0"/>
    <w:qFormat/>
    <w:rPr>
      <w:rFonts w:ascii="Arial" w:hAnsi="Arial" w:eastAsia="黑体" w:cs="Times New Roman"/>
      <w:sz w:val="24"/>
      <w:szCs w:val="24"/>
    </w:rPr>
  </w:style>
  <w:style w:type="paragraph" w:styleId="990" w:customStyle="1">
    <w:name w:val="标题 91"/>
    <w:basedOn w:val="751"/>
    <w:next w:val="751"/>
    <w:link w:val="991"/>
    <w:uiPriority w:val="0"/>
    <w:qFormat/>
    <w:pPr>
      <w:numPr>
        <w:ilvl w:val="8"/>
        <w:numId w:val="1"/>
      </w:numPr>
      <w:keepLines/>
      <w:keepNext/>
      <w:spacing w:before="240" w:after="64" w:line="320" w:lineRule="auto"/>
      <w:outlineLvl w:val="8"/>
    </w:pPr>
    <w:rPr>
      <w:rFonts w:ascii="Arial" w:hAnsi="Arial" w:eastAsia="黑体"/>
      <w:sz w:val="20"/>
    </w:rPr>
  </w:style>
  <w:style w:type="character" w:styleId="991" w:customStyle="1">
    <w:name w:val="标题 9 Char"/>
    <w:link w:val="990"/>
    <w:uiPriority w:val="0"/>
    <w:qFormat/>
    <w:rPr>
      <w:rFonts w:ascii="Arial" w:hAnsi="Arial" w:eastAsia="黑体" w:cs="Times New Roman"/>
      <w:szCs w:val="21"/>
    </w:rPr>
  </w:style>
  <w:style w:type="character" w:styleId="992" w:customStyle="1">
    <w:name w:val="默认段落字体1"/>
    <w:link w:val="751"/>
    <w:uiPriority w:val="1"/>
    <w:unhideWhenUsed/>
    <w:qFormat/>
  </w:style>
  <w:style w:type="table" w:styleId="993" w:customStyle="1">
    <w:name w:val="普通表格1"/>
    <w:uiPriority w:val="99"/>
    <w:unhideWhenUsed/>
    <w:qFormat/>
    <w:tblPr/>
  </w:style>
  <w:style w:type="paragraph" w:styleId="994" w:customStyle="1">
    <w:name w:val="列表 31"/>
    <w:basedOn w:val="751"/>
    <w:uiPriority w:val="0"/>
    <w:qFormat/>
    <w:pPr>
      <w:ind w:left="100" w:hanging="200"/>
    </w:pPr>
  </w:style>
  <w:style w:type="paragraph" w:styleId="995" w:customStyle="1">
    <w:name w:val="目录 71"/>
    <w:basedOn w:val="751"/>
    <w:next w:val="751"/>
    <w:uiPriority w:val="0"/>
    <w:semiHidden/>
    <w:qFormat/>
    <w:pPr>
      <w:ind w:left="1260"/>
      <w:jc w:val="left"/>
    </w:pPr>
  </w:style>
  <w:style w:type="paragraph" w:styleId="996" w:customStyle="1">
    <w:name w:val="文档结构图1"/>
    <w:basedOn w:val="751"/>
    <w:link w:val="997"/>
    <w:uiPriority w:val="0"/>
    <w:semiHidden/>
    <w:qFormat/>
    <w:pPr>
      <w:shd w:val="clear" w:color="auto" w:fill="000080"/>
    </w:pPr>
    <w:rPr>
      <w:sz w:val="20"/>
    </w:rPr>
  </w:style>
  <w:style w:type="character" w:styleId="997" w:customStyle="1">
    <w:name w:val="文档结构图 Char"/>
    <w:link w:val="996"/>
    <w:uiPriority w:val="0"/>
    <w:semiHidden/>
    <w:qFormat/>
    <w:rPr>
      <w:rFonts w:ascii="Times New Roman" w:hAnsi="Times New Roman" w:eastAsia="宋体" w:cs="Times New Roman"/>
      <w:szCs w:val="21"/>
      <w:shd w:val="clear" w:color="auto" w:fill="000080"/>
    </w:rPr>
  </w:style>
  <w:style w:type="paragraph" w:styleId="998" w:customStyle="1">
    <w:name w:val="批注文字1"/>
    <w:basedOn w:val="751"/>
    <w:link w:val="999"/>
    <w:uiPriority w:val="99"/>
    <w:semiHidden/>
    <w:qFormat/>
    <w:pPr>
      <w:jc w:val="left"/>
    </w:pPr>
    <w:rPr>
      <w:sz w:val="20"/>
    </w:rPr>
  </w:style>
  <w:style w:type="character" w:styleId="999" w:customStyle="1">
    <w:name w:val="批注文字 Char"/>
    <w:link w:val="998"/>
    <w:uiPriority w:val="99"/>
    <w:semiHidden/>
    <w:qFormat/>
    <w:rPr>
      <w:rFonts w:ascii="Times New Roman" w:hAnsi="Times New Roman" w:eastAsia="宋体" w:cs="Times New Roman"/>
      <w:szCs w:val="21"/>
    </w:rPr>
  </w:style>
  <w:style w:type="paragraph" w:styleId="1000" w:customStyle="1">
    <w:name w:val="正文文本 31"/>
    <w:basedOn w:val="751"/>
    <w:link w:val="1001"/>
    <w:uiPriority w:val="0"/>
    <w:qFormat/>
    <w:rPr>
      <w:rFonts w:ascii="仿宋_GB2312" w:hAnsi="Arial" w:eastAsia="仿宋_GB2312"/>
      <w:sz w:val="32"/>
      <w:szCs w:val="32"/>
    </w:rPr>
  </w:style>
  <w:style w:type="character" w:styleId="1001" w:customStyle="1">
    <w:name w:val="正文文本 3 Char"/>
    <w:link w:val="1000"/>
    <w:uiPriority w:val="0"/>
    <w:qFormat/>
    <w:rPr>
      <w:rFonts w:ascii="仿宋_GB2312" w:hAnsi="Arial" w:eastAsia="仿宋_GB2312" w:cs="Times New Roman"/>
      <w:sz w:val="32"/>
      <w:szCs w:val="32"/>
    </w:rPr>
  </w:style>
  <w:style w:type="paragraph" w:styleId="1002" w:customStyle="1">
    <w:name w:val="正文文本缩进1"/>
    <w:basedOn w:val="751"/>
    <w:next w:val="1003"/>
    <w:link w:val="1004"/>
    <w:uiPriority w:val="99"/>
    <w:qFormat/>
    <w:pPr>
      <w:ind w:firstLine="645"/>
    </w:pPr>
    <w:rPr>
      <w:rFonts w:ascii="楷体_GB2312" w:eastAsia="楷体_GB2312"/>
      <w:sz w:val="32"/>
      <w:szCs w:val="32"/>
    </w:rPr>
  </w:style>
  <w:style w:type="paragraph" w:styleId="1003" w:customStyle="1">
    <w:name w:val="寄信人地址1"/>
    <w:basedOn w:val="751"/>
    <w:uiPriority w:val="99"/>
    <w:unhideWhenUsed/>
    <w:qFormat/>
    <w:rPr>
      <w:rFonts w:hint="eastAsia" w:ascii="Arial" w:hAnsi="Arial" w:eastAsia="宋体" w:cs="Times New Roman"/>
      <w:sz w:val="24"/>
      <w:szCs w:val="24"/>
    </w:rPr>
  </w:style>
  <w:style w:type="character" w:styleId="1004" w:customStyle="1">
    <w:name w:val="正文文本缩进 Char"/>
    <w:link w:val="1002"/>
    <w:uiPriority w:val="0"/>
    <w:qFormat/>
    <w:rPr>
      <w:rFonts w:ascii="楷体_GB2312" w:hAnsi="Times New Roman" w:eastAsia="楷体_GB2312" w:cs="Times New Roman"/>
      <w:sz w:val="32"/>
      <w:szCs w:val="32"/>
    </w:rPr>
  </w:style>
  <w:style w:type="paragraph" w:styleId="1005" w:customStyle="1">
    <w:name w:val="列表 21"/>
    <w:basedOn w:val="751"/>
    <w:uiPriority w:val="0"/>
    <w:qFormat/>
    <w:pPr>
      <w:ind w:left="100" w:hanging="200"/>
    </w:pPr>
  </w:style>
  <w:style w:type="paragraph" w:styleId="1006" w:customStyle="1">
    <w:name w:val="索引 41"/>
    <w:basedOn w:val="751"/>
    <w:next w:val="751"/>
    <w:uiPriority w:val="99"/>
    <w:qFormat/>
    <w:pPr>
      <w:ind w:left="600"/>
    </w:pPr>
    <w:rPr>
      <w:rFonts w:ascii="Calibri" w:hAnsi="Calibri" w:eastAsia="宋体" w:cs="Times New Roman"/>
      <w:szCs w:val="24"/>
    </w:rPr>
  </w:style>
  <w:style w:type="paragraph" w:styleId="1007" w:customStyle="1">
    <w:name w:val="目录 51"/>
    <w:basedOn w:val="751"/>
    <w:next w:val="751"/>
    <w:uiPriority w:val="0"/>
    <w:semiHidden/>
    <w:qFormat/>
    <w:pPr>
      <w:ind w:left="840"/>
      <w:jc w:val="left"/>
    </w:pPr>
  </w:style>
  <w:style w:type="paragraph" w:styleId="1008" w:customStyle="1">
    <w:name w:val="目录 31"/>
    <w:basedOn w:val="751"/>
    <w:next w:val="751"/>
    <w:uiPriority w:val="0"/>
    <w:semiHidden/>
    <w:qFormat/>
    <w:pPr>
      <w:ind w:left="420"/>
      <w:jc w:val="left"/>
    </w:pPr>
    <w:rPr>
      <w:i/>
      <w:iCs/>
      <w:szCs w:val="24"/>
    </w:rPr>
  </w:style>
  <w:style w:type="paragraph" w:styleId="1009" w:customStyle="1">
    <w:name w:val="纯文本1"/>
    <w:basedOn w:val="751"/>
    <w:link w:val="1010"/>
    <w:uiPriority w:val="0"/>
    <w:qFormat/>
    <w:rPr>
      <w:rFonts w:ascii="宋体" w:hAnsi="Courier New"/>
      <w:sz w:val="20"/>
    </w:rPr>
  </w:style>
  <w:style w:type="character" w:styleId="1010" w:customStyle="1">
    <w:name w:val="纯文本 Char"/>
    <w:link w:val="1009"/>
    <w:uiPriority w:val="0"/>
    <w:qFormat/>
    <w:rPr>
      <w:rFonts w:ascii="宋体" w:hAnsi="Courier New" w:eastAsia="宋体" w:cs="Courier New"/>
      <w:szCs w:val="21"/>
    </w:rPr>
  </w:style>
  <w:style w:type="paragraph" w:styleId="1011" w:customStyle="1">
    <w:name w:val="目录 81"/>
    <w:basedOn w:val="751"/>
    <w:next w:val="751"/>
    <w:uiPriority w:val="0"/>
    <w:semiHidden/>
    <w:qFormat/>
    <w:pPr>
      <w:ind w:left="1470"/>
      <w:jc w:val="left"/>
    </w:pPr>
  </w:style>
  <w:style w:type="paragraph" w:styleId="1012" w:customStyle="1">
    <w:name w:val="日期1"/>
    <w:basedOn w:val="751"/>
    <w:next w:val="751"/>
    <w:link w:val="1013"/>
    <w:uiPriority w:val="0"/>
    <w:qFormat/>
    <w:rPr>
      <w:sz w:val="24"/>
      <w:szCs w:val="24"/>
    </w:rPr>
  </w:style>
  <w:style w:type="character" w:styleId="1013" w:customStyle="1">
    <w:name w:val="日期 Char"/>
    <w:link w:val="1012"/>
    <w:uiPriority w:val="0"/>
    <w:qFormat/>
    <w:rPr>
      <w:rFonts w:ascii="Times New Roman" w:hAnsi="Times New Roman" w:eastAsia="宋体" w:cs="Times New Roman"/>
      <w:sz w:val="24"/>
      <w:szCs w:val="24"/>
    </w:rPr>
  </w:style>
  <w:style w:type="paragraph" w:styleId="1014" w:customStyle="1">
    <w:name w:val="正文文本缩进 21"/>
    <w:basedOn w:val="751"/>
    <w:link w:val="1015"/>
    <w:uiPriority w:val="0"/>
    <w:qFormat/>
    <w:pPr>
      <w:ind w:left="630" w:firstLine="645"/>
    </w:pPr>
    <w:rPr>
      <w:rFonts w:ascii="Arial" w:hAnsi="Arial" w:eastAsia="仿宋_GB2312"/>
      <w:sz w:val="32"/>
      <w:szCs w:val="32"/>
    </w:rPr>
  </w:style>
  <w:style w:type="character" w:styleId="1015" w:customStyle="1">
    <w:name w:val="正文文本缩进 2 Char"/>
    <w:link w:val="1014"/>
    <w:uiPriority w:val="0"/>
    <w:qFormat/>
    <w:rPr>
      <w:rFonts w:ascii="Arial" w:hAnsi="Arial" w:eastAsia="仿宋_GB2312" w:cs="Arial"/>
      <w:sz w:val="32"/>
      <w:szCs w:val="32"/>
    </w:rPr>
  </w:style>
  <w:style w:type="paragraph" w:styleId="1016" w:customStyle="1">
    <w:name w:val="批注框文本1"/>
    <w:basedOn w:val="751"/>
    <w:link w:val="1017"/>
    <w:uiPriority w:val="0"/>
    <w:qFormat/>
    <w:rPr>
      <w:sz w:val="18"/>
      <w:szCs w:val="18"/>
    </w:rPr>
  </w:style>
  <w:style w:type="character" w:styleId="1017" w:customStyle="1">
    <w:name w:val="批注框文本 Char"/>
    <w:link w:val="1016"/>
    <w:uiPriority w:val="0"/>
    <w:qFormat/>
    <w:rPr>
      <w:rFonts w:ascii="Times New Roman" w:hAnsi="Times New Roman" w:eastAsia="宋体" w:cs="Times New Roman"/>
      <w:sz w:val="18"/>
      <w:szCs w:val="18"/>
    </w:rPr>
  </w:style>
  <w:style w:type="paragraph" w:styleId="1018" w:customStyle="1">
    <w:name w:val="页脚11"/>
    <w:basedOn w:val="751"/>
    <w:next w:val="1019"/>
    <w:link w:val="1020"/>
    <w:uiPriority w:val="0"/>
    <w:qFormat/>
    <w:pPr>
      <w:jc w:val="left"/>
      <w:tabs>
        <w:tab w:val="center" w:pos="4153" w:leader="none"/>
        <w:tab w:val="right" w:pos="8306" w:leader="none"/>
      </w:tabs>
    </w:pPr>
    <w:rPr>
      <w:sz w:val="18"/>
      <w:szCs w:val="18"/>
    </w:rPr>
  </w:style>
  <w:style w:type="paragraph" w:styleId="1019" w:customStyle="1">
    <w:name w:val="TOC Heading1"/>
    <w:next w:val="751"/>
    <w:uiPriority w:val="0"/>
    <w:qFormat/>
    <w:rPr>
      <w:rFonts w:hint="default" w:ascii="Times New Roman" w:hAnsi="Times New Roman" w:eastAsia="宋体" w:cs="Times New Roman"/>
      <w:sz w:val="32"/>
      <w:lang w:val="en-US" w:eastAsia="zh-CN" w:bidi="ar-SA"/>
    </w:rPr>
  </w:style>
  <w:style w:type="character" w:styleId="1020" w:customStyle="1">
    <w:name w:val="页脚 Char"/>
    <w:link w:val="1018"/>
    <w:uiPriority w:val="0"/>
    <w:qFormat/>
    <w:rPr>
      <w:rFonts w:ascii="Times New Roman" w:hAnsi="Times New Roman" w:eastAsia="宋体" w:cs="Times New Roman"/>
      <w:sz w:val="18"/>
      <w:szCs w:val="18"/>
    </w:rPr>
  </w:style>
  <w:style w:type="paragraph" w:styleId="1021" w:customStyle="1">
    <w:name w:val="页眉11"/>
    <w:basedOn w:val="751"/>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rFonts w:ascii="Times New Roman" w:hAnsi="Times New Roman" w:eastAsia="宋体" w:cs="Times New Roman"/>
      <w:sz w:val="18"/>
      <w:szCs w:val="18"/>
    </w:rPr>
  </w:style>
  <w:style w:type="paragraph" w:styleId="1023"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1024" w:customStyle="1">
    <w:name w:val="目录 41"/>
    <w:basedOn w:val="751"/>
    <w:next w:val="751"/>
    <w:uiPriority w:val="0"/>
    <w:semiHidden/>
    <w:qFormat/>
    <w:pPr>
      <w:ind w:left="630"/>
      <w:jc w:val="left"/>
    </w:pPr>
  </w:style>
  <w:style w:type="paragraph" w:styleId="1025" w:customStyle="1">
    <w:name w:val="列表1"/>
    <w:basedOn w:val="751"/>
    <w:uiPriority w:val="0"/>
    <w:qFormat/>
    <w:pPr>
      <w:ind w:left="200" w:hanging="200"/>
    </w:pPr>
  </w:style>
  <w:style w:type="paragraph" w:styleId="1026" w:customStyle="1">
    <w:name w:val="目录 61"/>
    <w:basedOn w:val="751"/>
    <w:next w:val="751"/>
    <w:uiPriority w:val="0"/>
    <w:semiHidden/>
    <w:qFormat/>
    <w:pPr>
      <w:ind w:left="1050"/>
      <w:jc w:val="left"/>
    </w:pPr>
  </w:style>
  <w:style w:type="paragraph" w:styleId="1027" w:customStyle="1">
    <w:name w:val="正文文本缩进 31"/>
    <w:basedOn w:val="751"/>
    <w:link w:val="1028"/>
    <w:uiPriority w:val="0"/>
    <w:qFormat/>
    <w:pPr>
      <w:ind w:left="645" w:firstLine="645"/>
    </w:pPr>
    <w:rPr>
      <w:rFonts w:ascii="Arial" w:hAnsi="Arial" w:eastAsia="仿宋_GB2312"/>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图表目录1"/>
    <w:basedOn w:val="751"/>
    <w:next w:val="751"/>
    <w:uiPriority w:val="0"/>
    <w:semiHidden/>
    <w:qFormat/>
    <w:pPr>
      <w:ind w:left="840" w:hanging="420"/>
    </w:pPr>
  </w:style>
  <w:style w:type="paragraph" w:styleId="1030" w:customStyle="1">
    <w:name w:val="目录 21"/>
    <w:basedOn w:val="751"/>
    <w:next w:val="751"/>
    <w:uiPriority w:val="0"/>
    <w:semiHidden/>
    <w:qFormat/>
    <w:pPr>
      <w:ind w:left="210"/>
      <w:jc w:val="left"/>
    </w:pPr>
    <w:rPr>
      <w:smallCaps/>
      <w:szCs w:val="24"/>
    </w:rPr>
  </w:style>
  <w:style w:type="paragraph" w:styleId="1031" w:customStyle="1">
    <w:name w:val="目录 91"/>
    <w:basedOn w:val="751"/>
    <w:next w:val="751"/>
    <w:uiPriority w:val="0"/>
    <w:semiHidden/>
    <w:qFormat/>
    <w:pPr>
      <w:ind w:left="1680"/>
      <w:jc w:val="left"/>
    </w:pPr>
  </w:style>
  <w:style w:type="paragraph" w:styleId="1032" w:customStyle="1">
    <w:name w:val="正文文本 21"/>
    <w:basedOn w:val="751"/>
    <w:link w:val="1033"/>
    <w:uiPriority w:val="0"/>
    <w:qFormat/>
    <w:pPr>
      <w:jc w:val="center"/>
      <w:widowControl/>
    </w:pPr>
    <w:rPr>
      <w:rFonts w:ascii="楷体_GB2312" w:eastAsia="楷体_GB2312"/>
      <w:sz w:val="28"/>
      <w:szCs w:val="28"/>
    </w:rPr>
  </w:style>
  <w:style w:type="character" w:styleId="1033" w:customStyle="1">
    <w:name w:val="正文文本 2 Char"/>
    <w:link w:val="1032"/>
    <w:uiPriority w:val="0"/>
    <w:qFormat/>
    <w:rPr>
      <w:rFonts w:ascii="楷体_GB2312" w:hAnsi="Times New Roman" w:eastAsia="楷体_GB2312" w:cs="Times New Roman"/>
      <w:sz w:val="28"/>
      <w:szCs w:val="28"/>
    </w:rPr>
  </w:style>
  <w:style w:type="paragraph" w:styleId="1034"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索引 11"/>
    <w:basedOn w:val="751"/>
    <w:next w:val="751"/>
    <w:uiPriority w:val="0"/>
    <w:semiHidden/>
    <w:qFormat/>
    <w:pPr>
      <w:spacing w:line="240" w:lineRule="atLeast"/>
    </w:pPr>
    <w:rPr>
      <w:b/>
      <w:bCs/>
    </w:rPr>
  </w:style>
  <w:style w:type="paragraph" w:styleId="1036" w:customStyle="1">
    <w:name w:val="批注主题1"/>
    <w:basedOn w:val="998"/>
    <w:next w:val="998"/>
    <w:link w:val="1037"/>
    <w:uiPriority w:val="0"/>
    <w:qFormat/>
    <w:rPr>
      <w:b/>
      <w:bCs/>
    </w:rPr>
  </w:style>
  <w:style w:type="character" w:styleId="1037" w:customStyle="1">
    <w:name w:val="批注主题 Char"/>
    <w:link w:val="1036"/>
    <w:uiPriority w:val="0"/>
    <w:qFormat/>
    <w:rPr>
      <w:rFonts w:ascii="Times New Roman" w:hAnsi="Times New Roman" w:eastAsia="宋体" w:cs="Times New Roman"/>
      <w:b/>
      <w:bCs/>
      <w:szCs w:val="21"/>
    </w:rPr>
  </w:style>
  <w:style w:type="paragraph" w:styleId="1038" w:customStyle="1">
    <w:name w:val="正文首行缩进1"/>
    <w:basedOn w:val="751"/>
    <w:link w:val="1039"/>
    <w:uiPriority w:val="99"/>
    <w:qFormat/>
    <w:pPr>
      <w:ind w:firstLine="200"/>
      <w:spacing w:line="360" w:lineRule="auto"/>
    </w:pPr>
    <w:rPr>
      <w:rFonts w:ascii="仿宋_GB2312" w:eastAsia="仿宋_GB2312"/>
      <w:sz w:val="30"/>
      <w:szCs w:val="30"/>
    </w:rPr>
  </w:style>
  <w:style w:type="character" w:styleId="1039" w:customStyle="1">
    <w:name w:val="正文首行缩进 Char"/>
    <w:link w:val="1038"/>
    <w:uiPriority w:val="0"/>
    <w:qFormat/>
    <w:rPr>
      <w:rFonts w:ascii="仿宋_GB2312" w:hAnsi="Times New Roman" w:eastAsia="仿宋_GB2312" w:cs="Times New Roman"/>
      <w:sz w:val="30"/>
      <w:szCs w:val="30"/>
    </w:rPr>
  </w:style>
  <w:style w:type="paragraph" w:styleId="1040" w:customStyle="1">
    <w:name w:val="正文首行缩进 21"/>
    <w:basedOn w:val="1002"/>
    <w:link w:val="1041"/>
    <w:uiPriority w:val="99"/>
    <w:qFormat/>
    <w:pPr>
      <w:ind w:firstLine="420"/>
      <w:spacing w:line="360" w:lineRule="auto"/>
    </w:pPr>
    <w:rPr>
      <w:rFonts w:ascii="宋体" w:hAnsi="宋体" w:eastAsia="宋体"/>
      <w:szCs w:val="20"/>
    </w:rPr>
  </w:style>
  <w:style w:type="character" w:styleId="1041" w:customStyle="1">
    <w:name w:val="正文首行缩进 2 Char"/>
    <w:link w:val="1040"/>
    <w:uiPriority w:val="0"/>
    <w:qFormat/>
    <w:rPr>
      <w:rFonts w:ascii="宋体" w:hAnsi="宋体" w:eastAsia="宋体" w:cs="Times New Roman"/>
      <w:sz w:val="32"/>
      <w:szCs w:val="20"/>
    </w:rPr>
  </w:style>
  <w:style w:type="table" w:styleId="1042" w:customStyle="1">
    <w:name w:val="网格型1"/>
    <w:basedOn w:val="993"/>
    <w:uiPriority w:val="0"/>
    <w:qFormat/>
    <w:pPr>
      <w:jc w:val="both"/>
      <w:widowControl w:val="off"/>
    </w:pPr>
    <w:rPr>
      <w:rFonts w:ascii="Times New Roman" w:hAnsi="Times New Roman" w:eastAsia="宋体" w:cs="Times New Roman"/>
      <w:sz w:val="20"/>
      <w:szCs w:val="20"/>
    </w:rPr>
    <w:tblPr/>
  </w:style>
  <w:style w:type="character" w:styleId="1043" w:customStyle="1">
    <w:name w:val="要点1"/>
    <w:link w:val="751"/>
    <w:uiPriority w:val="0"/>
    <w:qFormat/>
    <w:rPr>
      <w:b/>
      <w:bCs/>
    </w:rPr>
  </w:style>
  <w:style w:type="character" w:styleId="1044" w:customStyle="1">
    <w:name w:val="页码11"/>
    <w:link w:val="751"/>
    <w:uiPriority w:val="0"/>
    <w:qFormat/>
  </w:style>
  <w:style w:type="character" w:styleId="1045" w:customStyle="1">
    <w:name w:val="已访问的超链接1"/>
    <w:link w:val="751"/>
    <w:uiPriority w:val="99"/>
    <w:qFormat/>
    <w:rPr>
      <w:color w:val="800080"/>
      <w:u w:val="single"/>
    </w:rPr>
  </w:style>
  <w:style w:type="character" w:styleId="1046" w:customStyle="1">
    <w:name w:val="HTML 打字机1"/>
    <w:link w:val="751"/>
    <w:uiPriority w:val="99"/>
    <w:qFormat/>
    <w:rPr>
      <w:rFonts w:ascii="宋体" w:hAnsi="宋体" w:eastAsia="宋体" w:cs="宋体"/>
      <w:sz w:val="24"/>
      <w:szCs w:val="24"/>
    </w:rPr>
  </w:style>
  <w:style w:type="character" w:styleId="1047" w:customStyle="1">
    <w:name w:val="超链接1"/>
    <w:link w:val="751"/>
    <w:uiPriority w:val="99"/>
    <w:qFormat/>
    <w:rPr>
      <w:color w:val="0000ff"/>
      <w:u w:val="single"/>
    </w:rPr>
  </w:style>
  <w:style w:type="character" w:styleId="1048" w:customStyle="1">
    <w:name w:val="批注引用1"/>
    <w:link w:val="751"/>
    <w:uiPriority w:val="0"/>
    <w:qFormat/>
    <w:rPr>
      <w:sz w:val="21"/>
      <w:szCs w:val="21"/>
    </w:rPr>
  </w:style>
  <w:style w:type="paragraph" w:styleId="1049" w:customStyle="1">
    <w:name w:val="toc 11"/>
    <w:next w:val="751"/>
    <w:uiPriority w:val="0"/>
    <w:qFormat/>
    <w:pPr>
      <w:jc w:val="both"/>
    </w:pPr>
    <w:rPr>
      <w:rFonts w:hint="default" w:ascii="Times New Roman" w:hAnsi="Times New Roman" w:eastAsia="宋体" w:cs="Times New Roman"/>
      <w:sz w:val="21"/>
      <w:lang w:val="en-US" w:eastAsia="zh-CN" w:bidi="ar-SA"/>
    </w:rPr>
  </w:style>
  <w:style w:type="paragraph" w:styleId="10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51" w:customStyle="1">
    <w:name w:val="页码1"/>
    <w:link w:val="751"/>
    <w:uiPriority w:val="0"/>
    <w:qFormat/>
    <w:rPr>
      <w:sz w:val="21"/>
      <w:szCs w:val="21"/>
      <w:lang w:val="en-US" w:eastAsia="zh-CN" w:bidi="ar-SA"/>
    </w:rPr>
  </w:style>
  <w:style w:type="character" w:styleId="1052" w:customStyle="1">
    <w:name w:val="font5 Char"/>
    <w:link w:val="751"/>
    <w:uiPriority w:val="0"/>
    <w:qFormat/>
    <w:rPr>
      <w:rFonts w:ascii="宋体" w:hAnsi="宋体" w:eastAsia="宋体"/>
      <w:sz w:val="28"/>
      <w:szCs w:val="28"/>
      <w:lang w:val="en-US" w:eastAsia="zh-CN" w:bidi="ar-SA"/>
    </w:rPr>
  </w:style>
  <w:style w:type="character" w:styleId="1053" w:customStyle="1">
    <w:name w:val="二级目录 Char"/>
    <w:link w:val="1054"/>
    <w:uiPriority w:val="0"/>
    <w:qFormat/>
    <w:rPr>
      <w:b/>
      <w:sz w:val="30"/>
      <w:szCs w:val="28"/>
      <w:lang w:val="en-US" w:eastAsia="zh-CN" w:bidi="ar-SA"/>
    </w:rPr>
  </w:style>
  <w:style w:type="paragraph" w:styleId="1054" w:customStyle="1">
    <w:name w:val="二级目录"/>
    <w:next w:val="751"/>
    <w:link w:val="105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5" w:customStyle="1">
    <w:name w:val="列出段落 Char"/>
    <w:link w:val="1056"/>
    <w:uiPriority w:val="0"/>
    <w:qFormat/>
    <w:rPr>
      <w:rFonts w:ascii="Calibri" w:hAnsi="Calibri"/>
      <w:sz w:val="24"/>
      <w:szCs w:val="24"/>
      <w:lang w:eastAsia="en-US" w:bidi="en-US"/>
    </w:rPr>
  </w:style>
  <w:style w:type="paragraph" w:styleId="1056" w:customStyle="1">
    <w:name w:val="列出段落1"/>
    <w:basedOn w:val="751"/>
    <w:link w:val="1055"/>
    <w:uiPriority w:val="0"/>
    <w:qFormat/>
    <w:pPr>
      <w:contextualSpacing/>
      <w:ind w:left="720"/>
      <w:jc w:val="left"/>
      <w:widowControl/>
    </w:pPr>
    <w:rPr>
      <w:rFonts w:ascii="Calibri" w:hAnsi="Calibri"/>
      <w:sz w:val="24"/>
      <w:szCs w:val="24"/>
      <w:lang w:eastAsia="en-US" w:bidi="en-US"/>
    </w:rPr>
  </w:style>
  <w:style w:type="paragraph" w:styleId="1057" w:customStyle="1">
    <w:name w:val="Body Text(ch)"/>
    <w:basedOn w:val="751"/>
    <w:next w:val="838"/>
    <w:uiPriority w:val="0"/>
    <w:qFormat/>
    <w:pPr>
      <w:spacing w:after="120"/>
    </w:pPr>
    <w:rPr>
      <w:rFonts w:ascii="宋体" w:hAnsi="Arial"/>
      <w:bCs/>
      <w:iCs/>
      <w:szCs w:val="24"/>
    </w:rPr>
  </w:style>
  <w:style w:type="paragraph" w:styleId="1058"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customStyle="1">
    <w:name w:val="Char"/>
    <w:basedOn w:val="751"/>
    <w:uiPriority w:val="0"/>
    <w:qFormat/>
    <w:pPr>
      <w:ind w:firstLine="200"/>
      <w:tabs>
        <w:tab w:val="left" w:pos="360" w:leader="none"/>
      </w:tabs>
    </w:pPr>
    <w:rPr>
      <w:sz w:val="28"/>
      <w:szCs w:val="30"/>
    </w:rPr>
  </w:style>
  <w:style w:type="paragraph" w:styleId="1061" w:customStyle="1">
    <w:name w:val=" Char"/>
    <w:basedOn w:val="996"/>
    <w:uiPriority w:val="0"/>
    <w:qFormat/>
    <w:rPr>
      <w:rFonts w:ascii="Tahoma" w:hAnsi="Tahoma"/>
      <w:sz w:val="24"/>
      <w:szCs w:val="24"/>
    </w:rPr>
  </w:style>
  <w:style w:type="paragraph" w:styleId="1062"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63" w:customStyle="1">
    <w:name w:val="table_lines"/>
    <w:basedOn w:val="751"/>
    <w:uiPriority w:val="0"/>
    <w:qFormat/>
    <w:pPr>
      <w:jc w:val="left"/>
      <w:widowControl/>
    </w:pPr>
    <w:rPr>
      <w:sz w:val="20"/>
      <w:szCs w:val="20"/>
      <w:lang w:val="de-DE" w:eastAsia="de-DE"/>
    </w:rPr>
  </w:style>
  <w:style w:type="paragraph" w:styleId="106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5"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 Char Char Char Char"/>
    <w:basedOn w:val="996"/>
    <w:uiPriority w:val="0"/>
    <w:qFormat/>
    <w:pPr>
      <w:spacing w:line="360" w:lineRule="auto"/>
    </w:pPr>
    <w:rPr>
      <w:rFonts w:ascii="Tahoma" w:hAnsi="Tahoma"/>
      <w:sz w:val="24"/>
      <w:szCs w:val="24"/>
    </w:rPr>
  </w:style>
  <w:style w:type="paragraph" w:styleId="1067" w:customStyle="1">
    <w:name w:val="列出段落"/>
    <w:basedOn w:val="751"/>
    <w:uiPriority w:val="99"/>
    <w:qFormat/>
    <w:pPr>
      <w:contextualSpacing/>
      <w:ind w:left="720"/>
      <w:jc w:val="left"/>
      <w:widowControl/>
    </w:pPr>
    <w:rPr>
      <w:rFonts w:ascii="Calibri" w:hAnsi="Calibri"/>
      <w:sz w:val="24"/>
      <w:szCs w:val="24"/>
      <w:lang w:eastAsia="en-US" w:bidi="en-US"/>
    </w:rPr>
  </w:style>
  <w:style w:type="paragraph" w:styleId="1068" w:customStyle="1">
    <w:name w:val="4"/>
    <w:basedOn w:val="751"/>
    <w:next w:val="1027"/>
    <w:uiPriority w:val="0"/>
    <w:qFormat/>
    <w:pPr>
      <w:ind w:firstLine="420"/>
      <w:spacing w:line="360" w:lineRule="auto"/>
    </w:pPr>
    <w:rPr>
      <w:color w:val="ff0000"/>
      <w:sz w:val="24"/>
      <w:szCs w:val="24"/>
    </w:rPr>
  </w:style>
  <w:style w:type="paragraph" w:styleId="1069"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70" w:customStyle="1">
    <w:name w:val=" Char Char Char Char Char Char Char Char Char Char"/>
    <w:basedOn w:val="751"/>
    <w:uiPriority w:val="0"/>
    <w:qFormat/>
    <w:pPr>
      <w:spacing w:line="360" w:lineRule="auto"/>
    </w:pPr>
    <w:rPr>
      <w:sz w:val="24"/>
      <w:szCs w:val="20"/>
    </w:rPr>
  </w:style>
  <w:style w:type="paragraph" w:styleId="1071" w:customStyle="1">
    <w:name w:val="样式1"/>
    <w:basedOn w:val="751"/>
    <w:uiPriority w:val="0"/>
    <w:qFormat/>
    <w:pPr>
      <w:numPr>
        <w:ilvl w:val="0"/>
        <w:numId w:val="3"/>
      </w:numPr>
    </w:pPr>
    <w:rPr>
      <w:rFonts w:ascii="宋体" w:hAnsi="宋体"/>
    </w:rPr>
  </w:style>
  <w:style w:type="paragraph" w:styleId="1072"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73"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76"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79"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81"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82" w:customStyle="1">
    <w:name w:val="Char Char Char Char"/>
    <w:basedOn w:val="996"/>
    <w:uiPriority w:val="0"/>
    <w:qFormat/>
    <w:pPr>
      <w:spacing w:line="360" w:lineRule="auto"/>
    </w:pPr>
    <w:rPr>
      <w:rFonts w:ascii="Tahoma" w:hAnsi="Tahoma"/>
      <w:sz w:val="24"/>
      <w:szCs w:val="24"/>
    </w:rPr>
  </w:style>
  <w:style w:type="paragraph" w:styleId="1083" w:customStyle="1">
    <w:name w:val="table_1stline"/>
    <w:basedOn w:val="751"/>
    <w:uiPriority w:val="0"/>
    <w:qFormat/>
    <w:pPr>
      <w:jc w:val="left"/>
      <w:spacing w:before="120"/>
      <w:widowControl/>
    </w:pPr>
    <w:rPr>
      <w:bCs/>
      <w:sz w:val="20"/>
      <w:szCs w:val="20"/>
      <w:lang w:val="de-DE" w:eastAsia="de-DE"/>
    </w:rPr>
  </w:style>
  <w:style w:type="paragraph" w:styleId="1084"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85"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8" w:customStyle="1">
    <w:name w:val="普通文字"/>
    <w:basedOn w:val="751"/>
    <w:next w:val="751"/>
    <w:uiPriority w:val="99"/>
    <w:qFormat/>
    <w:rPr>
      <w:rFonts w:ascii="宋体" w:hAnsi="Times New Roman" w:eastAsia="宋体" w:cs="Times New Roman"/>
      <w:sz w:val="24"/>
      <w:szCs w:val="20"/>
      <w:u w:val="none"/>
    </w:rPr>
  </w:style>
  <w:style w:type="paragraph" w:styleId="1089" w:customStyle="1">
    <w:name w:val="目录 111"/>
    <w:basedOn w:val="751"/>
    <w:next w:val="751"/>
    <w:uiPriority w:val="39"/>
    <w:unhideWhenUsed/>
    <w:qFormat/>
    <w:pPr>
      <w:jc w:val="left"/>
      <w:spacing w:after="100" w:line="259" w:lineRule="auto"/>
      <w:widowControl/>
    </w:pPr>
    <w:rPr>
      <w:rFonts w:ascii="Calibri" w:hAnsi="Calibri" w:eastAsia="宋体"/>
      <w:sz w:val="22"/>
      <w:szCs w:val="22"/>
    </w:rPr>
  </w:style>
  <w:style w:type="character" w:styleId="1090" w:customStyle="1">
    <w:name w:val="font11"/>
    <w:link w:val="751"/>
    <w:uiPriority w:val="0"/>
    <w:qFormat/>
    <w:rPr>
      <w:rFonts w:hint="eastAsia" w:ascii="宋体" w:hAnsi="宋体" w:eastAsia="宋体" w:cs="宋体"/>
      <w:color w:val="000000"/>
      <w:sz w:val="20"/>
      <w:szCs w:val="20"/>
      <w:u w:val="none"/>
    </w:rPr>
  </w:style>
  <w:style w:type="paragraph" w:styleId="1091" w:customStyle="1">
    <w:name w:val="msonormal"/>
    <w:basedOn w:val="751"/>
    <w:uiPriority w:val="0"/>
    <w:qFormat/>
    <w:pPr>
      <w:jc w:val="left"/>
      <w:spacing w:before="100" w:beforeAutospacing="1" w:after="100" w:afterAutospacing="1"/>
      <w:widowControl/>
    </w:pPr>
    <w:rPr>
      <w:rFonts w:ascii="宋体" w:hAnsi="宋体" w:cs="宋体"/>
      <w:sz w:val="24"/>
      <w:szCs w:val="24"/>
    </w:rPr>
  </w:style>
  <w:style w:type="paragraph" w:styleId="1092" w:customStyle="1">
    <w:name w:val="xl66"/>
    <w:basedOn w:val="751"/>
    <w:uiPriority w:val="0"/>
    <w:qFormat/>
    <w:pPr>
      <w:jc w:val="left"/>
      <w:spacing w:before="100" w:beforeAutospacing="1" w:after="100" w:afterAutospacing="1"/>
      <w:widowControl/>
    </w:pPr>
    <w:rPr>
      <w:rFonts w:ascii="宋体" w:hAnsi="宋体" w:cs="宋体"/>
      <w:sz w:val="22"/>
      <w:szCs w:val="22"/>
    </w:rPr>
  </w:style>
  <w:style w:type="paragraph" w:styleId="1093" w:customStyle="1">
    <w:name w:val="xl67"/>
    <w:basedOn w:val="751"/>
    <w:uiPriority w:val="0"/>
    <w:qFormat/>
    <w:pPr>
      <w:jc w:val="left"/>
      <w:spacing w:before="100" w:beforeAutospacing="1" w:after="100" w:afterAutospacing="1"/>
      <w:widowControl/>
    </w:pPr>
    <w:rPr>
      <w:rFonts w:ascii="宋体" w:hAnsi="宋体" w:cs="宋体"/>
      <w:color w:val="000000"/>
      <w:sz w:val="22"/>
      <w:szCs w:val="22"/>
    </w:rPr>
  </w:style>
  <w:style w:type="paragraph" w:styleId="1094" w:customStyle="1">
    <w:name w:val="xl68"/>
    <w:basedOn w:val="751"/>
    <w:uiPriority w:val="0"/>
    <w:qFormat/>
    <w:pPr>
      <w:jc w:val="center"/>
      <w:spacing w:before="100" w:beforeAutospacing="1" w:after="100" w:afterAutospacing="1"/>
      <w:widowControl/>
    </w:pPr>
    <w:rPr>
      <w:rFonts w:ascii="宋体" w:hAnsi="宋体" w:cs="宋体"/>
      <w:sz w:val="22"/>
      <w:szCs w:val="22"/>
    </w:rPr>
  </w:style>
  <w:style w:type="paragraph" w:styleId="1095" w:customStyle="1">
    <w:name w:val="xl69"/>
    <w:basedOn w:val="751"/>
    <w:uiPriority w:val="0"/>
    <w:qFormat/>
    <w:pPr>
      <w:jc w:val="center"/>
      <w:spacing w:before="100" w:beforeAutospacing="1" w:after="100" w:afterAutospacing="1"/>
      <w:widowControl/>
    </w:pPr>
    <w:rPr>
      <w:rFonts w:ascii="宋体" w:hAnsi="宋体" w:cs="宋体"/>
      <w:sz w:val="18"/>
      <w:szCs w:val="18"/>
    </w:rPr>
  </w:style>
  <w:style w:type="paragraph" w:styleId="1096" w:customStyle="1">
    <w:name w:val="xl70"/>
    <w:basedOn w:val="751"/>
    <w:uiPriority w:val="0"/>
    <w:qFormat/>
    <w:pPr>
      <w:jc w:val="center"/>
      <w:spacing w:before="100" w:beforeAutospacing="1" w:after="100" w:afterAutospacing="1"/>
      <w:widowControl/>
    </w:pPr>
    <w:rPr>
      <w:rFonts w:ascii="宋体" w:hAnsi="宋体" w:cs="宋体"/>
      <w:color w:val="000000"/>
      <w:sz w:val="22"/>
      <w:szCs w:val="22"/>
    </w:rPr>
  </w:style>
  <w:style w:type="paragraph" w:styleId="1097" w:customStyle="1">
    <w:name w:val="xl7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98" w:customStyle="1">
    <w:name w:val="xl7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9" w:customStyle="1">
    <w:name w:val="xl73"/>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0" w:customStyle="1">
    <w:name w:val="xl7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1" w:customStyle="1">
    <w:name w:val="xl7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2" w:customStyle="1">
    <w:name w:val="xl76"/>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3" w:customStyle="1">
    <w:name w:val="xl7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7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xl7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xl8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7" w:customStyle="1">
    <w:name w:val="xl8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8" w:customStyle="1">
    <w:name w:val="xl82"/>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8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xl8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1" w:customStyle="1">
    <w:name w:val="xl8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12" w:customStyle="1">
    <w:name w:val="xl8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13" w:customStyle="1">
    <w:name w:val="xl8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4" w:customStyle="1">
    <w:name w:val="xl8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5" w:customStyle="1">
    <w:name w:val="xl89"/>
    <w:basedOn w:val="75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16" w:customStyle="1">
    <w:name w:val="xl90"/>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7" w:customStyle="1">
    <w:name w:val="xl9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8" w:customStyle="1">
    <w:name w:val="xl9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9" w:customStyle="1">
    <w:name w:val="xl93"/>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0" w:customStyle="1">
    <w:name w:val="xl9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1" w:customStyle="1">
    <w:name w:val="xl95"/>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22" w:customStyle="1">
    <w:name w:val="xl9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23" w:customStyle="1">
    <w:name w:val="xl9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4" w:customStyle="1">
    <w:name w:val="xl9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5" w:customStyle="1">
    <w:name w:val="xl9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6" w:customStyle="1">
    <w:name w:val="xl10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customStyle="1">
    <w:name w:val="xl10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customStyle="1">
    <w:name w:val="xl10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9" w:customStyle="1">
    <w:name w:val="xl103"/>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30" w:customStyle="1">
    <w:name w:val="xl104"/>
    <w:basedOn w:val="751"/>
    <w:uiPriority w:val="0"/>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131" w:customStyle="1">
    <w:name w:val="xl105"/>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2" w:customStyle="1">
    <w:name w:val="xl10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33" w:customStyle="1">
    <w:name w:val="xl10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34" w:customStyle="1">
    <w:name w:val="xl108"/>
    <w:basedOn w:val="751"/>
    <w:uiPriority w:val="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5" w:customStyle="1">
    <w:name w:val="xl109"/>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6" w:customStyle="1">
    <w:name w:val="xl110"/>
    <w:basedOn w:val="751"/>
    <w:uiPriority w:val="0"/>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37" w:customStyle="1">
    <w:name w:val="xl111"/>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xl11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13"/>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40" w:customStyle="1">
    <w:name w:val="xl114"/>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1" w:customStyle="1">
    <w:name w:val="xl115"/>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2" w:customStyle="1">
    <w:name w:val="xl116"/>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3" w:customStyle="1">
    <w:name w:val="xl11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4" w:customStyle="1">
    <w:name w:val="xl118"/>
    <w:basedOn w:val="751"/>
    <w:uiPriority w:val="0"/>
    <w:qFormat/>
    <w:pPr>
      <w:jc w:val="left"/>
      <w:spacing w:before="100" w:beforeAutospacing="1" w:after="100" w:afterAutospacing="1"/>
      <w:widowControl/>
    </w:pPr>
    <w:rPr>
      <w:rFonts w:ascii="宋体" w:hAnsi="宋体" w:cs="宋体"/>
      <w:sz w:val="24"/>
      <w:szCs w:val="24"/>
    </w:rPr>
  </w:style>
  <w:style w:type="paragraph" w:styleId="1145" w:customStyle="1">
    <w:name w:val="xl11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6" w:customStyle="1">
    <w:name w:val="xl12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47" w:customStyle="1">
    <w:name w:val="xl121"/>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8" w:customStyle="1">
    <w:name w:val="xl122"/>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9" w:customStyle="1">
    <w:name w:val="xl12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50" w:customStyle="1">
    <w:name w:val="xl124"/>
    <w:basedOn w:val="7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51" w:customStyle="1">
    <w:name w:val="xl125"/>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52" w:customStyle="1">
    <w:name w:val="xl126"/>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3" w:customStyle="1">
    <w:name w:val="xl127"/>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4" w:customStyle="1">
    <w:name w:val="xl128"/>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5" w:customStyle="1">
    <w:name w:val="xl12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56" w:customStyle="1">
    <w:name w:val="xl13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57" w:customStyle="1">
    <w:name w:val="xl131"/>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8" w:customStyle="1">
    <w:name w:val="xl132"/>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9" w:customStyle="1">
    <w:name w:val="xl133"/>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60" w:customStyle="1">
    <w:name w:val="xl134"/>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61" w:customStyle="1">
    <w:name w:val="xl135"/>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62" w:customStyle="1">
    <w:name w:val="xl136"/>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63" w:customStyle="1">
    <w:name w:val="xl137"/>
    <w:basedOn w:val="751"/>
    <w:uiPriority w:val="0"/>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64" w:customStyle="1">
    <w:name w:val="font101"/>
    <w:link w:val="751"/>
    <w:uiPriority w:val="0"/>
    <w:qFormat/>
    <w:rPr>
      <w:rFonts w:ascii="Times New Roman" w:hAnsi="Times New Roman" w:cs="Times New Roman"/>
      <w:color w:val="000000"/>
      <w:sz w:val="22"/>
      <w:szCs w:val="22"/>
      <w:u w:val="none"/>
    </w:rPr>
  </w:style>
  <w:style w:type="character" w:styleId="1165" w:customStyle="1">
    <w:name w:val="font71"/>
    <w:link w:val="751"/>
    <w:uiPriority w:val="0"/>
    <w:qFormat/>
    <w:rPr>
      <w:rFonts w:hint="eastAsia" w:ascii="宋体" w:hAnsi="宋体" w:eastAsia="宋体" w:cs="宋体"/>
      <w:color w:val="000000"/>
      <w:sz w:val="20"/>
      <w:szCs w:val="20"/>
      <w:u w:val="none"/>
    </w:rPr>
  </w:style>
  <w:style w:type="character" w:styleId="1166" w:customStyle="1">
    <w:name w:val="font31"/>
    <w:link w:val="751"/>
    <w:uiPriority w:val="0"/>
    <w:qFormat/>
    <w:rPr>
      <w:rFonts w:hint="eastAsia" w:ascii="宋体" w:hAnsi="宋体" w:eastAsia="宋体" w:cs="宋体"/>
      <w:b/>
      <w:bCs/>
      <w:color w:val="000000"/>
      <w:sz w:val="22"/>
      <w:szCs w:val="22"/>
      <w:u w:val="none"/>
    </w:rPr>
  </w:style>
  <w:style w:type="character" w:styleId="1167" w:customStyle="1">
    <w:name w:val="font01"/>
    <w:link w:val="751"/>
    <w:uiPriority w:val="0"/>
    <w:qFormat/>
    <w:rPr>
      <w:rFonts w:hint="eastAsia" w:ascii="宋体" w:hAnsi="宋体" w:eastAsia="宋体" w:cs="宋体"/>
      <w:color w:val="000000"/>
      <w:sz w:val="24"/>
      <w:szCs w:val="24"/>
      <w:u w:val="none"/>
    </w:rPr>
  </w:style>
  <w:style w:type="paragraph" w:styleId="1168" w:customStyle="1">
    <w:name w:val="正文文本首行缩进 21"/>
    <w:basedOn w:val="1002"/>
    <w:uiPriority w:val="0"/>
    <w:qFormat/>
    <w:pPr>
      <w:ind w:left="420" w:firstLine="420"/>
      <w:spacing w:after="120"/>
    </w:pPr>
    <w:rPr>
      <w:rFonts w:ascii="Calibri" w:hAnsi="Calibri" w:eastAsia="宋体" w:cs="Times New Roman"/>
      <w:sz w:val="21"/>
      <w:szCs w:val="24"/>
      <w:lang w:val="en-US" w:eastAsia="zh-CN"/>
    </w:rPr>
  </w:style>
  <w:style w:type="paragraph" w:styleId="1169" w:customStyle="1">
    <w:name w:val="段"/>
    <w:next w:val="751"/>
    <w:uiPriority w:val="0"/>
    <w:qFormat/>
    <w:pPr>
      <w:ind w:firstLine="200"/>
      <w:jc w:val="both"/>
    </w:pPr>
    <w:rPr>
      <w:rFonts w:hint="default" w:ascii="宋体" w:hAnsi="Times New Roman" w:eastAsia="宋体" w:cs="Times New Roman"/>
      <w:sz w:val="21"/>
      <w:lang w:val="en-US" w:eastAsia="zh-CN" w:bidi="ar-SA"/>
    </w:rPr>
  </w:style>
  <w:style w:type="paragraph" w:styleId="1170" w:customStyle="1">
    <w:name w:val="页眉1"/>
    <w:basedOn w:val="751"/>
    <w:uiPriority w:val="99"/>
    <w:qFormat/>
    <w:pPr>
      <w:jc w:val="center"/>
      <w:tabs>
        <w:tab w:val="center" w:pos="4153" w:leader="none"/>
        <w:tab w:val="right" w:pos="8306" w:leader="none"/>
      </w:tabs>
      <w:pBdr>
        <w:bottom w:val="single" w:color="000000" w:sz="6" w:space="1"/>
      </w:pBdr>
    </w:pPr>
    <w:rPr>
      <w:sz w:val="18"/>
      <w:szCs w:val="18"/>
    </w:rPr>
  </w:style>
  <w:style w:type="paragraph" w:styleId="1171" w:customStyle="1">
    <w:name w:val="页脚1"/>
    <w:basedOn w:val="751"/>
    <w:next w:val="1172"/>
    <w:uiPriority w:val="0"/>
    <w:qFormat/>
    <w:pPr>
      <w:jc w:val="left"/>
      <w:tabs>
        <w:tab w:val="center" w:pos="4153" w:leader="none"/>
        <w:tab w:val="right" w:pos="8306" w:leader="none"/>
      </w:tabs>
    </w:pPr>
    <w:rPr>
      <w:sz w:val="18"/>
      <w:szCs w:val="18"/>
    </w:rPr>
  </w:style>
  <w:style w:type="paragraph" w:styleId="1172">
    <w:name w:val="Intense Quote"/>
    <w:basedOn w:val="751"/>
    <w:next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3" w:customStyle="1">
    <w:name w:val="font121"/>
    <w:basedOn w:val="992"/>
    <w:link w:val="751"/>
    <w:uiPriority w:val="0"/>
    <w:qFormat/>
    <w:rPr>
      <w:rFonts w:hint="eastAsia" w:ascii="宋体" w:hAnsi="宋体" w:eastAsia="宋体" w:cs="宋体"/>
      <w:color w:val="000000"/>
      <w:sz w:val="18"/>
      <w:szCs w:val="18"/>
      <w:u w:val="none"/>
    </w:rPr>
  </w:style>
  <w:style w:type="character" w:styleId="1174" w:customStyle="1">
    <w:name w:val="font61"/>
    <w:basedOn w:val="992"/>
    <w:link w:val="751"/>
    <w:uiPriority w:val="0"/>
    <w:qFormat/>
    <w:rPr>
      <w:rFonts w:hint="eastAsia" w:ascii="宋体" w:hAnsi="宋体" w:eastAsia="宋体" w:cs="宋体"/>
      <w:b/>
      <w:bCs/>
      <w:color w:val="000000"/>
      <w:sz w:val="22"/>
      <w:szCs w:val="22"/>
      <w:u w:val="none"/>
    </w:rPr>
  </w:style>
  <w:style w:type="paragraph" w:styleId="117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76" w:customStyle="1">
    <w:name w:val="WPSOffice手动目录 1"/>
    <w:uiPriority w:val="0"/>
    <w:qFormat/>
    <w:rPr>
      <w:rFonts w:hint="default" w:ascii="Times New Roman" w:hAnsi="Times New Roman" w:eastAsia="宋体" w:cs="Times New Roman"/>
      <w:sz w:val="20"/>
      <w:szCs w:val="20"/>
    </w:rPr>
  </w:style>
  <w:style w:type="paragraph" w:styleId="1177" w:customStyle="1">
    <w:name w:val="_Style 1"/>
    <w:basedOn w:val="751"/>
    <w:uiPriority w:val="99"/>
    <w:qFormat/>
    <w:pPr>
      <w:ind w:firstLine="420"/>
    </w:pPr>
    <w:rPr>
      <w:rFonts w:ascii="Calibri" w:hAnsi="Calibri"/>
      <w:szCs w:val="22"/>
    </w:rPr>
  </w:style>
  <w:style w:type="paragraph" w:styleId="1178" w:customStyle="1">
    <w:name w:val="标题 41"/>
    <w:basedOn w:val="751"/>
    <w:next w:val="1179"/>
    <w:uiPriority w:val="0"/>
    <w:qFormat/>
    <w:pPr>
      <w:keepLines/>
      <w:keepNext/>
      <w:spacing w:before="280" w:after="290" w:line="376" w:lineRule="auto"/>
      <w:outlineLvl w:val="3"/>
    </w:pPr>
    <w:rPr>
      <w:rFonts w:ascii="Arial" w:hAnsi="Arial" w:eastAsia="黑体"/>
      <w:b/>
      <w:bCs/>
      <w:sz w:val="28"/>
      <w:szCs w:val="28"/>
    </w:rPr>
  </w:style>
  <w:style w:type="paragraph" w:styleId="1179" w:customStyle="1">
    <w:name w:val="正文缩进1"/>
    <w:basedOn w:val="751"/>
    <w:uiPriority w:val="0"/>
    <w:qFormat/>
    <w:pPr>
      <w:ind w:firstLine="420"/>
    </w:pPr>
    <w:rPr>
      <w:sz w:val="20"/>
    </w:rPr>
  </w:style>
  <w:style w:type="character" w:styleId="1180" w:customStyle="1">
    <w:name w:val="font201"/>
    <w:basedOn w:val="794"/>
    <w:link w:val="751"/>
    <w:uiPriority w:val="0"/>
    <w:qFormat/>
    <w:rPr>
      <w:rFonts w:ascii="Arial Narrow" w:hAnsi="Arial Narrow" w:eastAsia="Arial Narrow" w:cs="Arial Narrow"/>
      <w:color w:val="000000"/>
      <w:sz w:val="20"/>
      <w:szCs w:val="20"/>
      <w:u w:val="none"/>
    </w:rPr>
  </w:style>
  <w:style w:type="character" w:styleId="1181" w:customStyle="1">
    <w:name w:val="font212"/>
    <w:basedOn w:val="794"/>
    <w:link w:val="751"/>
    <w:uiPriority w:val="0"/>
    <w:qFormat/>
    <w:rPr>
      <w:rFonts w:hint="eastAsia" w:ascii="宋体" w:hAnsi="宋体" w:eastAsia="宋体" w:cs="宋体"/>
      <w:color w:val="000000"/>
      <w:sz w:val="20"/>
      <w:szCs w:val="20"/>
      <w:u w:val="none"/>
      <w:vertAlign w:val="superscript"/>
    </w:rPr>
  </w:style>
  <w:style w:type="character" w:styleId="1182" w:customStyle="1">
    <w:name w:val="15"/>
    <w:basedOn w:val="794"/>
    <w:link w:val="751"/>
    <w:uiPriority w:val="0"/>
    <w:qFormat/>
    <w:rPr>
      <w:rFonts w:ascii="Times New Roman" w:hAnsi="Times New Roman" w:cs="Times New Roman"/>
    </w:rPr>
  </w:style>
  <w:style w:type="paragraph" w:styleId="1183" w:customStyle="1">
    <w:name w:val="文本块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潘琳芳</cp:lastModifiedBy>
  <cp:revision>12</cp:revision>
  <dcterms:created xsi:type="dcterms:W3CDTF">2024-05-22T13:55:00Z</dcterms:created>
  <dcterms:modified xsi:type="dcterms:W3CDTF">2026-07-06T08:09:15Z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eyJoZGlkIjoiYzIyMmI3MzJkNjBhMjdkYjc3YTVkMWY3YTA4ZTVkYzYiLCJ1c2VySWQiOiIzMjc0MzkwMjQifQ==</vt:lpwstr>
  </property>
  <property fmtid="{D5CDD505-2E9C-101B-9397-08002B2CF9AE}" pid="3" name="KSOProductBuildVer">
    <vt:lpwstr>2052-12.1.0.26375</vt:lpwstr>
  </property>
  <property fmtid="{D5CDD505-2E9C-101B-9397-08002B2CF9AE}" pid="4" name="ICV">
    <vt:lpwstr>F359BC624D5D4C69874E9426203C02BC_12</vt:lpwstr>
  </property>
</Properties>
</file>