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sz w:val="40"/>
          <w:szCs w:val="40"/>
          <w:lang w:eastAsia="zh-CN"/>
        </w:rPr>
      </w:pPr>
      <w:r>
        <w:rPr>
          <w:rFonts w:hint="eastAsia" w:ascii="宋体" w:hAnsi="宋体" w:eastAsia="宋体" w:cs="宋体"/>
          <w:b/>
          <w:bCs/>
          <w:sz w:val="40"/>
          <w:szCs w:val="40"/>
          <w:lang w:eastAsia="zh-CN"/>
        </w:rPr>
        <w:t xml:space="preserve">2026年全县计划挂牌出让供应地块土壤</w:t>
      </w:r>
      <w:r/>
    </w:p>
    <w:p>
      <w:pPr>
        <w:jc w:val="center"/>
        <w:spacing w:before="120" w:after="120" w:line="360" w:lineRule="auto"/>
        <w:rPr>
          <w:rFonts w:hint="eastAsia" w:ascii="宋体" w:hAnsi="宋体" w:eastAsia="宋体" w:cs="宋体"/>
          <w:b/>
          <w:bCs/>
          <w:sz w:val="32"/>
          <w:szCs w:val="32"/>
        </w:rPr>
      </w:pPr>
      <w:r>
        <w:rPr>
          <w:rFonts w:hint="eastAsia" w:ascii="宋体" w:hAnsi="宋体" w:eastAsia="宋体" w:cs="宋体"/>
          <w:b/>
          <w:bCs/>
          <w:sz w:val="40"/>
          <w:szCs w:val="40"/>
          <w:lang w:eastAsia="zh-CN"/>
        </w:rPr>
        <w:t xml:space="preserve">污染状况调查项目</w:t>
      </w:r>
      <w:r/>
    </w:p>
    <w:p>
      <w:pPr>
        <w:spacing w:before="120" w:after="120" w:line="360" w:lineRule="auto"/>
        <w:rPr>
          <w:rFonts w:hint="eastAsia" w:ascii="宋体" w:hAnsi="宋体" w:eastAsia="宋体" w:cs="宋体"/>
          <w:b/>
          <w:bCs/>
          <w:sz w:val="72"/>
        </w:rPr>
      </w:pPr>
      <w:r>
        <w:rPr>
          <w:rFonts w:hint="eastAsia" w:ascii="宋体" w:hAnsi="宋体" w:eastAsia="宋体" w:cs="宋体"/>
          <w:b/>
          <w:bCs/>
          <w:sz w:val="72"/>
        </w:rPr>
      </w:r>
      <w:r/>
    </w:p>
    <w:p>
      <w:pPr>
        <w:jc w:val="center"/>
        <w:spacing w:before="120" w:after="120" w:line="360" w:lineRule="auto"/>
        <w:rPr>
          <w:rFonts w:hint="eastAsia" w:ascii="宋体" w:hAnsi="宋体" w:eastAsia="宋体" w:cs="宋体"/>
          <w:b/>
          <w:bCs/>
          <w:sz w:val="72"/>
        </w:rPr>
      </w:pPr>
      <w:r>
        <w:rPr>
          <w:rFonts w:hint="eastAsia" w:ascii="宋体" w:hAnsi="宋体" w:eastAsia="宋体" w:cs="宋体"/>
          <w:b/>
          <w:bCs/>
          <w:sz w:val="72"/>
        </w:rPr>
      </w:r>
      <w:r/>
    </w:p>
    <w:p>
      <w:pPr>
        <w:jc w:val="center"/>
        <w:spacing w:before="120" w:after="120" w:line="360" w:lineRule="auto"/>
        <w:rPr>
          <w:rFonts w:hint="eastAsia" w:ascii="宋体" w:hAnsi="宋体" w:eastAsia="宋体" w:cs="宋体"/>
          <w:b/>
          <w:bCs/>
          <w:sz w:val="72"/>
        </w:rPr>
      </w:pPr>
      <w:r>
        <w:rPr>
          <w:rFonts w:hint="eastAsia" w:ascii="宋体" w:hAnsi="宋体" w:eastAsia="宋体" w:cs="宋体"/>
          <w:b/>
          <w:bCs/>
          <w:sz w:val="72"/>
        </w:rPr>
        <w:t xml:space="preserve">招标文件</w:t>
      </w:r>
      <w:r/>
    </w:p>
    <w:p>
      <w:pP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sz w:val="30"/>
          <w:szCs w:val="30"/>
          <w:lang w:eastAsia="zh-CN"/>
        </w:rPr>
      </w:pPr>
      <w:r>
        <w:rPr>
          <w:rFonts w:hint="eastAsia" w:ascii="宋体" w:hAnsi="宋体" w:eastAsia="宋体" w:cs="宋体"/>
          <w:b/>
          <w:bCs/>
          <w:sz w:val="32"/>
          <w:szCs w:val="32"/>
        </w:rPr>
        <w:t xml:space="preserve">项目编号：JSZC-320723-RHRH-G2026-0003</w:t>
      </w:r>
      <w:r>
        <w:rPr>
          <w:rFonts w:hint="eastAsia" w:ascii="宋体" w:hAnsi="宋体" w:eastAsia="宋体" w:cs="宋体"/>
          <w:b/>
          <w:bCs/>
          <w:sz w:val="32"/>
          <w:szCs w:val="32"/>
          <w:lang w:val="en-US" w:eastAsia="zh-CN"/>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before="120" w:after="120" w:line="360" w:lineRule="auto"/>
        <w:rPr>
          <w:rFonts w:hint="eastAsia" w:ascii="宋体" w:hAnsi="宋体" w:eastAsia="宋体" w:cs="宋体"/>
          <w:b/>
          <w:bCs/>
          <w:sz w:val="32"/>
          <w:szCs w:val="24"/>
        </w:rPr>
        <w:outlineLvl w:val="0"/>
      </w:pPr>
      <w:r/>
      <w:bookmarkStart w:id="0" w:name="_Toc17408"/>
      <w:r/>
      <w:bookmarkStart w:id="1" w:name="_Toc10532"/>
      <w:r/>
      <w:bookmarkStart w:id="2" w:name="_Toc13903"/>
      <w:r/>
      <w:bookmarkStart w:id="3" w:name="_Toc7719"/>
      <w:r/>
      <w:r/>
    </w:p>
    <w:p>
      <w:pPr>
        <w:spacing w:before="120" w:after="120" w:line="360" w:lineRule="auto"/>
        <w:rPr>
          <w:rFonts w:hint="eastAsia" w:ascii="宋体" w:hAnsi="宋体" w:eastAsia="宋体" w:cs="宋体"/>
          <w:b/>
          <w:bCs/>
          <w:sz w:val="32"/>
          <w:szCs w:val="24"/>
        </w:rPr>
        <w:outlineLvl w:val="0"/>
      </w:pPr>
      <w:r>
        <w:rPr>
          <w:rFonts w:hint="eastAsia" w:ascii="宋体" w:hAnsi="宋体" w:eastAsia="宋体" w:cs="宋体"/>
          <w:b/>
          <w:bCs/>
          <w:sz w:val="32"/>
          <w:szCs w:val="24"/>
        </w:rPr>
      </w:r>
      <w:r/>
    </w:p>
    <w:p>
      <w:pPr>
        <w:pStyle w:val="651"/>
        <w:rPr>
          <w:rFonts w:hint="eastAsia" w:ascii="宋体" w:hAnsi="宋体" w:eastAsia="宋体" w:cs="宋体"/>
        </w:rPr>
      </w:pPr>
      <w:r>
        <w:rPr>
          <w:rFonts w:hint="eastAsia" w:ascii="宋体" w:hAnsi="宋体" w:eastAsia="宋体" w:cs="宋体"/>
        </w:rPr>
      </w:r>
      <w:r/>
    </w:p>
    <w:p>
      <w:pPr>
        <w:ind w:firstLine="1606"/>
        <w:spacing w:before="120" w:after="120" w:line="360" w:lineRule="auto"/>
        <w:rPr>
          <w:rFonts w:hint="eastAsia" w:ascii="宋体" w:hAnsi="宋体" w:eastAsia="宋体" w:cs="宋体"/>
          <w:b/>
          <w:bCs/>
          <w:sz w:val="32"/>
          <w:szCs w:val="24"/>
        </w:rPr>
        <w:outlineLvl w:val="0"/>
      </w:pPr>
      <w:r>
        <w:rPr>
          <w:rFonts w:hint="eastAsia" w:ascii="宋体" w:hAnsi="宋体" w:eastAsia="宋体" w:cs="宋体"/>
          <w:b/>
          <w:bCs/>
          <w:sz w:val="32"/>
          <w:szCs w:val="24"/>
        </w:rPr>
      </w:r>
      <w:r/>
    </w:p>
    <w:p>
      <w:pPr>
        <w:ind w:firstLine="480"/>
        <w:spacing w:before="120" w:after="120" w:line="360" w:lineRule="auto"/>
        <w:rPr>
          <w:rFonts w:hint="eastAsia" w:ascii="宋体" w:hAnsi="宋体" w:eastAsia="宋体" w:cs="宋体"/>
          <w:b/>
          <w:bCs/>
          <w:sz w:val="32"/>
          <w:szCs w:val="24"/>
          <w:lang w:eastAsia="zh-CN"/>
        </w:rPr>
        <w:outlineLvl w:val="0"/>
      </w:pPr>
      <w:r>
        <w:rPr>
          <w:rFonts w:hint="eastAsia" w:ascii="宋体" w:hAnsi="宋体" w:eastAsia="宋体" w:cs="宋体"/>
          <w:b/>
          <w:bCs/>
          <w:sz w:val="32"/>
          <w:szCs w:val="24"/>
        </w:rPr>
        <w:t xml:space="preserve">招   标  </w:t>
      </w:r>
      <w:r>
        <w:rPr>
          <w:rFonts w:hint="eastAsia" w:ascii="宋体" w:hAnsi="宋体" w:eastAsia="宋体" w:cs="宋体"/>
          <w:b/>
          <w:bCs/>
          <w:sz w:val="32"/>
          <w:szCs w:val="24"/>
          <w:lang w:val="en-US" w:eastAsia="zh-CN"/>
        </w:rPr>
        <w:t xml:space="preserve"> </w:t>
      </w:r>
      <w:r>
        <w:rPr>
          <w:rFonts w:hint="eastAsia" w:ascii="宋体" w:hAnsi="宋体" w:eastAsia="宋体" w:cs="宋体"/>
          <w:b/>
          <w:bCs/>
          <w:sz w:val="32"/>
          <w:szCs w:val="24"/>
        </w:rPr>
        <w:t xml:space="preserve">人：</w:t>
      </w:r>
      <w:bookmarkEnd w:id="0"/>
      <w:r/>
      <w:bookmarkEnd w:id="1"/>
      <w:r/>
      <w:bookmarkEnd w:id="2"/>
      <w:r/>
      <w:bookmarkEnd w:id="3"/>
      <w:r/>
      <w:bookmarkStart w:id="4" w:name="_Toc17956"/>
      <w:r/>
      <w:bookmarkStart w:id="5" w:name="_Toc31270"/>
      <w:r/>
      <w:bookmarkStart w:id="6" w:name="_Toc14767"/>
      <w:r/>
      <w:bookmarkStart w:id="7" w:name="_Toc25504"/>
      <w:r/>
      <w:bookmarkStart w:id="8" w:name="_Toc2460"/>
      <w:r/>
      <w:bookmarkStart w:id="9" w:name="_Toc931"/>
      <w:r/>
      <w:bookmarkStart w:id="10" w:name="_Toc1689"/>
      <w:r/>
      <w:bookmarkStart w:id="11" w:name="_Toc1865"/>
      <w:r>
        <w:rPr>
          <w:rFonts w:hint="eastAsia" w:ascii="宋体" w:hAnsi="宋体" w:eastAsia="宋体" w:cs="宋体"/>
          <w:b/>
          <w:bCs/>
          <w:sz w:val="32"/>
          <w:szCs w:val="24"/>
          <w:lang w:eastAsia="zh-CN"/>
        </w:rPr>
        <w:t xml:space="preserve">灌云县国有土地储备中心</w:t>
      </w:r>
      <w:r/>
    </w:p>
    <w:p>
      <w:pPr>
        <w:ind w:firstLine="480"/>
        <w:spacing w:before="120" w:after="120" w:line="360" w:lineRule="auto"/>
        <w:rPr>
          <w:rFonts w:hint="eastAsia" w:ascii="宋体" w:hAnsi="宋体" w:eastAsia="宋体" w:cs="宋体"/>
          <w:b/>
          <w:bCs/>
          <w:sz w:val="32"/>
          <w:szCs w:val="24"/>
        </w:rPr>
        <w:outlineLvl w:val="0"/>
      </w:pPr>
      <w:r>
        <w:rPr>
          <w:rFonts w:hint="eastAsia" w:ascii="宋体" w:hAnsi="宋体" w:eastAsia="宋体" w:cs="宋体"/>
          <w:b/>
          <w:bCs/>
          <w:sz w:val="32"/>
          <w:szCs w:val="24"/>
        </w:rPr>
        <w:t xml:space="preserve">招标代理机构：</w:t>
      </w:r>
      <w:bookmarkEnd w:id="4"/>
      <w:r/>
      <w:bookmarkEnd w:id="5"/>
      <w:r/>
      <w:bookmarkEnd w:id="6"/>
      <w:r/>
      <w:bookmarkEnd w:id="7"/>
      <w:r/>
      <w:bookmarkEnd w:id="8"/>
      <w:r/>
      <w:bookmarkEnd w:id="9"/>
      <w:r/>
      <w:bookmarkEnd w:id="10"/>
      <w:r/>
      <w:bookmarkEnd w:id="11"/>
      <w:r>
        <w:rPr>
          <w:rFonts w:hint="eastAsia" w:ascii="宋体" w:hAnsi="宋体" w:eastAsia="宋体" w:cs="宋体"/>
          <w:b/>
          <w:bCs/>
          <w:sz w:val="32"/>
          <w:szCs w:val="24"/>
        </w:rPr>
        <w:t xml:space="preserve">江苏如浩项目管理咨询有限公司</w:t>
      </w:r>
      <w:r/>
    </w:p>
    <w:p>
      <w:pPr>
        <w:jc w:val="center"/>
        <w:spacing w:before="120" w:after="120" w:line="360" w:lineRule="auto"/>
        <w:rPr>
          <w:rFonts w:hint="eastAsia" w:ascii="宋体" w:hAnsi="宋体" w:eastAsia="宋体" w:cs="宋体"/>
        </w:rPr>
      </w:pPr>
      <w:r>
        <w:rPr>
          <w:rFonts w:hint="eastAsia" w:ascii="宋体" w:hAnsi="宋体" w:eastAsia="宋体" w:cs="宋体"/>
          <w:b/>
          <w:bCs/>
          <w:sz w:val="32"/>
          <w:szCs w:val="24"/>
        </w:rPr>
        <w:t xml:space="preserve">202</w:t>
      </w:r>
      <w:r>
        <w:rPr>
          <w:rFonts w:hint="eastAsia" w:ascii="宋体" w:hAnsi="宋体" w:eastAsia="宋体" w:cs="宋体"/>
          <w:b/>
          <w:bCs/>
          <w:sz w:val="32"/>
          <w:szCs w:val="24"/>
          <w:lang w:val="en-US" w:eastAsia="zh-CN"/>
        </w:rPr>
        <w:t xml:space="preserve">6</w:t>
      </w:r>
      <w:r>
        <w:rPr>
          <w:rFonts w:hint="eastAsia" w:ascii="宋体" w:hAnsi="宋体" w:eastAsia="宋体" w:cs="宋体"/>
          <w:b/>
          <w:bCs/>
          <w:sz w:val="32"/>
          <w:szCs w:val="24"/>
        </w:rPr>
        <w:t xml:space="preserve">年</w:t>
      </w:r>
      <w:r>
        <w:rPr>
          <w:rFonts w:hint="eastAsia" w:ascii="宋体" w:hAnsi="宋体" w:eastAsia="宋体" w:cs="宋体"/>
          <w:b/>
          <w:bCs/>
          <w:sz w:val="32"/>
          <w:szCs w:val="24"/>
          <w:lang w:val="en-US" w:eastAsia="zh-CN"/>
        </w:rPr>
        <w:t xml:space="preserve">6</w:t>
      </w:r>
      <w:r>
        <w:rPr>
          <w:rFonts w:hint="eastAsia" w:ascii="宋体" w:hAnsi="宋体" w:eastAsia="宋体" w:cs="宋体"/>
          <w:b/>
          <w:bCs/>
          <w:sz w:val="32"/>
          <w:szCs w:val="24"/>
        </w:rPr>
        <w:t xml:space="preserve">月</w:t>
      </w:r>
      <w:r>
        <w:rPr>
          <w:rFonts w:hint="eastAsia" w:ascii="宋体" w:hAnsi="宋体" w:eastAsia="宋体" w:cs="宋体"/>
          <w:b/>
          <w:bCs/>
          <w:sz w:val="32"/>
          <w:szCs w:val="24"/>
          <w:lang w:val="en-US" w:eastAsia="zh-CN"/>
        </w:rPr>
        <w:t xml:space="preserve">24</w:t>
      </w:r>
      <w:r>
        <w:rPr>
          <w:rFonts w:hint="eastAsia" w:ascii="宋体" w:hAnsi="宋体" w:eastAsia="宋体" w:cs="宋体"/>
          <w:b/>
          <w:bCs/>
          <w:sz w:val="32"/>
          <w:szCs w:val="24"/>
        </w:rPr>
        <w:t xml:space="preserve">日</w:t>
      </w:r>
      <w:r>
        <w:rPr>
          <w:rFonts w:hint="eastAsia" w:ascii="宋体" w:hAnsi="宋体" w:eastAsia="宋体" w:cs="宋体"/>
        </w:rPr>
        <w:br w:type="page" w:clear="all"/>
      </w: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r/>
    </w:p>
    <w:p>
      <w:pPr>
        <w:pStyle w:val="639"/>
        <w:jc w:val="center"/>
        <w:spacing w:before="156" w:after="156" w:line="360" w:lineRule="auto"/>
        <w:rPr>
          <w:rFonts w:hint="eastAsia" w:ascii="宋体" w:hAnsi="宋体" w:eastAsia="宋体" w:cs="宋体"/>
          <w:b w:val="0"/>
        </w:rPr>
      </w:pPr>
      <w:r>
        <w:rPr>
          <w:rFonts w:hint="eastAsia" w:ascii="宋体" w:hAnsi="宋体" w:eastAsia="宋体" w:cs="宋体"/>
          <w:b w:val="0"/>
        </w:rPr>
        <w:t xml:space="preserve">目  录</w:t>
      </w:r>
      <w:r/>
    </w:p>
    <w:p>
      <w:pPr>
        <w:pStyle w:val="666"/>
        <w:tabs>
          <w:tab w:val="right" w:pos="8296" w:leader="dot"/>
        </w:tabs>
        <w:rPr>
          <w:rFonts w:hint="eastAsia" w:ascii="宋体" w:hAnsi="宋体" w:eastAsia="宋体" w:cs="宋体"/>
          <w:sz w:val="32"/>
        </w:rPr>
      </w:pPr>
      <w:r>
        <w:rPr>
          <w:rFonts w:hint="eastAsia" w:ascii="宋体" w:hAnsi="宋体" w:eastAsia="宋体" w:cs="宋体"/>
          <w:sz w:val="32"/>
        </w:rPr>
        <w:t xml:space="preserve">第一章  投标邀请</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_Toc155796356 \h </w:instrText>
      </w:r>
      <w:r>
        <w:rPr>
          <w:rFonts w:hint="eastAsia" w:ascii="宋体" w:hAnsi="宋体" w:eastAsia="宋体" w:cs="宋体"/>
          <w:sz w:val="32"/>
        </w:rPr>
        <w:fldChar w:fldCharType="separate"/>
      </w:r>
      <w:r>
        <w:rPr>
          <w:rFonts w:hint="eastAsia" w:ascii="宋体" w:hAnsi="宋体" w:eastAsia="宋体" w:cs="宋体"/>
          <w:sz w:val="32"/>
        </w:rPr>
        <w:t xml:space="preserve">1</w:t>
      </w:r>
      <w:r>
        <w:rPr>
          <w:rFonts w:hint="eastAsia" w:ascii="宋体" w:hAnsi="宋体" w:eastAsia="宋体" w:cs="宋体"/>
          <w:sz w:val="32"/>
        </w:rPr>
        <w:fldChar w:fldCharType="end"/>
      </w:r>
      <w:r/>
    </w:p>
    <w:p>
      <w:pPr>
        <w:pStyle w:val="666"/>
        <w:tabs>
          <w:tab w:val="right" w:pos="8296" w:leader="dot"/>
        </w:tabs>
        <w:rPr>
          <w:rFonts w:hint="eastAsia" w:ascii="宋体" w:hAnsi="宋体" w:eastAsia="宋体" w:cs="宋体"/>
          <w:sz w:val="32"/>
        </w:rPr>
      </w:pPr>
      <w:r>
        <w:rPr>
          <w:rFonts w:hint="eastAsia" w:ascii="宋体" w:hAnsi="宋体" w:eastAsia="宋体" w:cs="宋体"/>
          <w:sz w:val="32"/>
        </w:rPr>
        <w:t xml:space="preserve">第二章  投标人须知</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_Toc155796357 \h </w:instrText>
      </w:r>
      <w:r>
        <w:rPr>
          <w:rFonts w:hint="eastAsia" w:ascii="宋体" w:hAnsi="宋体" w:eastAsia="宋体" w:cs="宋体"/>
          <w:sz w:val="32"/>
        </w:rPr>
        <w:fldChar w:fldCharType="separate"/>
      </w:r>
      <w:r>
        <w:rPr>
          <w:rFonts w:hint="eastAsia" w:ascii="宋体" w:hAnsi="宋体" w:eastAsia="宋体" w:cs="宋体"/>
          <w:sz w:val="32"/>
        </w:rPr>
        <w:t xml:space="preserve">3</w:t>
      </w:r>
      <w:r>
        <w:rPr>
          <w:rFonts w:hint="eastAsia" w:ascii="宋体" w:hAnsi="宋体" w:eastAsia="宋体" w:cs="宋体"/>
          <w:sz w:val="32"/>
        </w:rPr>
        <w:fldChar w:fldCharType="end"/>
      </w:r>
      <w:r/>
    </w:p>
    <w:p>
      <w:pPr>
        <w:pStyle w:val="666"/>
        <w:tabs>
          <w:tab w:val="right" w:pos="8296" w:leader="dot"/>
        </w:tabs>
        <w:rPr>
          <w:rFonts w:hint="eastAsia" w:ascii="宋体" w:hAnsi="宋体" w:eastAsia="宋体" w:cs="宋体"/>
          <w:sz w:val="32"/>
        </w:rPr>
      </w:pPr>
      <w:r>
        <w:rPr>
          <w:rFonts w:hint="eastAsia" w:ascii="宋体" w:hAnsi="宋体" w:eastAsia="宋体" w:cs="宋体"/>
          <w:sz w:val="32"/>
        </w:rPr>
        <w:t xml:space="preserve">第三章  合同文本</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_Toc155796358 \h </w:instrText>
      </w:r>
      <w:r>
        <w:rPr>
          <w:rFonts w:hint="eastAsia" w:ascii="宋体" w:hAnsi="宋体" w:eastAsia="宋体" w:cs="宋体"/>
          <w:sz w:val="32"/>
        </w:rPr>
        <w:fldChar w:fldCharType="separate"/>
      </w:r>
      <w:r>
        <w:rPr>
          <w:rFonts w:hint="eastAsia" w:ascii="宋体" w:hAnsi="宋体" w:eastAsia="宋体" w:cs="宋体"/>
          <w:sz w:val="32"/>
        </w:rPr>
        <w:t xml:space="preserve">20</w:t>
      </w:r>
      <w:r>
        <w:rPr>
          <w:rFonts w:hint="eastAsia" w:ascii="宋体" w:hAnsi="宋体" w:eastAsia="宋体" w:cs="宋体"/>
          <w:sz w:val="32"/>
        </w:rPr>
        <w:fldChar w:fldCharType="end"/>
      </w:r>
      <w:r/>
    </w:p>
    <w:p>
      <w:pPr>
        <w:pStyle w:val="666"/>
        <w:tabs>
          <w:tab w:val="right" w:pos="8296" w:leader="dot"/>
        </w:tabs>
        <w:rPr>
          <w:rFonts w:hint="eastAsia" w:ascii="宋体" w:hAnsi="宋体" w:eastAsia="宋体" w:cs="宋体"/>
          <w:sz w:val="32"/>
        </w:rPr>
      </w:pPr>
      <w:r>
        <w:rPr>
          <w:rFonts w:hint="eastAsia" w:ascii="宋体" w:hAnsi="宋体" w:eastAsia="宋体" w:cs="宋体"/>
          <w:sz w:val="32"/>
        </w:rPr>
        <w:t xml:space="preserve">第四章  采购需求</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_Toc155796359 \h </w:instrText>
      </w:r>
      <w:r>
        <w:rPr>
          <w:rFonts w:hint="eastAsia" w:ascii="宋体" w:hAnsi="宋体" w:eastAsia="宋体" w:cs="宋体"/>
          <w:sz w:val="32"/>
        </w:rPr>
        <w:fldChar w:fldCharType="separate"/>
      </w:r>
      <w:r>
        <w:rPr>
          <w:rFonts w:hint="eastAsia" w:ascii="宋体" w:hAnsi="宋体" w:eastAsia="宋体" w:cs="宋体"/>
          <w:sz w:val="32"/>
        </w:rPr>
        <w:t xml:space="preserve">26</w:t>
      </w:r>
      <w:r>
        <w:rPr>
          <w:rFonts w:hint="eastAsia" w:ascii="宋体" w:hAnsi="宋体" w:eastAsia="宋体" w:cs="宋体"/>
          <w:sz w:val="32"/>
        </w:rPr>
        <w:fldChar w:fldCharType="end"/>
      </w:r>
      <w:r/>
    </w:p>
    <w:p>
      <w:pPr>
        <w:pStyle w:val="666"/>
        <w:tabs>
          <w:tab w:val="right" w:pos="8296" w:leader="dot"/>
        </w:tabs>
        <w:rPr>
          <w:rFonts w:hint="eastAsia" w:ascii="宋体" w:hAnsi="宋体" w:eastAsia="宋体" w:cs="宋体"/>
          <w:sz w:val="32"/>
        </w:rPr>
      </w:pPr>
      <w:r>
        <w:rPr>
          <w:rFonts w:hint="eastAsia" w:ascii="宋体" w:hAnsi="宋体" w:eastAsia="宋体" w:cs="宋体"/>
          <w:sz w:val="32"/>
        </w:rPr>
        <w:t xml:space="preserve">第五章  评标方法与评标标准</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_Toc155796360 \h </w:instrText>
      </w:r>
      <w:r>
        <w:rPr>
          <w:rFonts w:hint="eastAsia" w:ascii="宋体" w:hAnsi="宋体" w:eastAsia="宋体" w:cs="宋体"/>
          <w:sz w:val="32"/>
        </w:rPr>
        <w:fldChar w:fldCharType="separate"/>
      </w:r>
      <w:r>
        <w:rPr>
          <w:rFonts w:hint="eastAsia" w:ascii="宋体" w:hAnsi="宋体" w:eastAsia="宋体" w:cs="宋体"/>
          <w:sz w:val="32"/>
        </w:rPr>
        <w:t xml:space="preserve">28</w:t>
      </w:r>
      <w:r>
        <w:rPr>
          <w:rFonts w:hint="eastAsia" w:ascii="宋体" w:hAnsi="宋体" w:eastAsia="宋体" w:cs="宋体"/>
          <w:sz w:val="32"/>
        </w:rPr>
        <w:fldChar w:fldCharType="end"/>
      </w:r>
      <w:r/>
    </w:p>
    <w:p>
      <w:pPr>
        <w:pStyle w:val="666"/>
        <w:tabs>
          <w:tab w:val="right" w:pos="8296" w:leader="dot"/>
        </w:tabs>
        <w:rPr>
          <w:rFonts w:hint="eastAsia" w:ascii="宋体" w:hAnsi="宋体" w:eastAsia="宋体" w:cs="宋体"/>
          <w:sz w:val="32"/>
        </w:rPr>
      </w:pPr>
      <w:r>
        <w:rPr>
          <w:rFonts w:hint="eastAsia" w:ascii="宋体" w:hAnsi="宋体" w:eastAsia="宋体" w:cs="宋体"/>
          <w:sz w:val="32"/>
        </w:rPr>
        <w:t xml:space="preserve">第六章  投标文件格式</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_Toc155796361 \h </w:instrText>
      </w:r>
      <w:r>
        <w:rPr>
          <w:rFonts w:hint="eastAsia" w:ascii="宋体" w:hAnsi="宋体" w:eastAsia="宋体" w:cs="宋体"/>
          <w:sz w:val="32"/>
        </w:rPr>
        <w:fldChar w:fldCharType="separate"/>
      </w:r>
      <w:r>
        <w:rPr>
          <w:rFonts w:hint="eastAsia" w:ascii="宋体" w:hAnsi="宋体" w:eastAsia="宋体" w:cs="宋体"/>
          <w:sz w:val="32"/>
        </w:rPr>
        <w:t xml:space="preserve">32</w:t>
      </w:r>
      <w:r>
        <w:rPr>
          <w:rFonts w:hint="eastAsia" w:ascii="宋体" w:hAnsi="宋体" w:eastAsia="宋体" w:cs="宋体"/>
          <w:sz w:val="32"/>
        </w:rPr>
        <w:fldChar w:fldCharType="end"/>
      </w:r>
      <w:r/>
    </w:p>
    <w:p>
      <w:pPr>
        <w:jc w:val="left"/>
        <w:widowControl/>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r/>
    </w:p>
    <w:p>
      <w:pPr>
        <w:pStyle w:val="639"/>
        <w:jc w:val="center"/>
        <w:spacing w:before="156" w:after="156" w:line="360" w:lineRule="auto"/>
        <w:rPr>
          <w:rFonts w:hint="eastAsia" w:ascii="宋体" w:hAnsi="宋体" w:eastAsia="宋体" w:cs="宋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12" w:name="_Toc155796356"/>
      <w:r/>
      <w:r/>
    </w:p>
    <w:p>
      <w:pPr>
        <w:pStyle w:val="639"/>
        <w:jc w:val="center"/>
        <w:spacing w:before="156" w:after="156" w:line="360" w:lineRule="auto"/>
        <w:rPr>
          <w:rFonts w:hint="eastAsia" w:ascii="宋体" w:hAnsi="宋体" w:eastAsia="宋体" w:cs="宋体"/>
          <w:b w:val="0"/>
        </w:rPr>
      </w:pPr>
      <w:r>
        <w:rPr>
          <w:rFonts w:hint="eastAsia" w:ascii="宋体" w:hAnsi="宋体" w:eastAsia="宋体" w:cs="宋体"/>
          <w:b w:val="0"/>
        </w:rPr>
        <w:t xml:space="preserve">第一章  投标邀请</w:t>
      </w:r>
      <w:bookmarkEnd w:id="12"/>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lang w:eastAsia="zh-CN"/>
        </w:rPr>
        <w:t xml:space="preserve">灌云县国有土地储备中心</w:t>
      </w:r>
      <w:r>
        <w:rPr>
          <w:rFonts w:hint="eastAsia" w:ascii="宋体" w:hAnsi="宋体" w:eastAsia="宋体" w:cs="宋体"/>
          <w:sz w:val="24"/>
          <w:szCs w:val="24"/>
        </w:rPr>
        <w:t xml:space="preserve">的委托，江苏如浩项目管理咨询有限公司就</w:t>
      </w:r>
      <w:r>
        <w:rPr>
          <w:rFonts w:hint="eastAsia" w:ascii="宋体" w:hAnsi="宋体" w:eastAsia="宋体" w:cs="宋体"/>
          <w:sz w:val="24"/>
          <w:szCs w:val="24"/>
          <w:lang w:eastAsia="zh-CN"/>
        </w:rPr>
        <w:t xml:space="preserve">2026年全县计划挂牌出让供应地块土壤污染状况调查项目</w:t>
      </w:r>
      <w:r>
        <w:rPr>
          <w:rFonts w:hint="eastAsia" w:ascii="宋体" w:hAnsi="宋体" w:eastAsia="宋体" w:cs="宋体"/>
          <w:sz w:val="24"/>
          <w:szCs w:val="24"/>
        </w:rPr>
        <w:t xml:space="preserve">（JSZC-320723-RHRH-G2026-0003）进行公开招标采购，欢迎符合条件的供应商投标。</w:t>
      </w:r>
      <w:r/>
    </w:p>
    <w:tbl>
      <w:tblPr>
        <w:tblStyle w:val="6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项目概况</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u w:val="single"/>
                <w:lang w:eastAsia="zh-CN"/>
              </w:rPr>
              <w:t xml:space="preserve">2026年全县计划挂牌出让供应地块土壤污染状况调查项目</w:t>
            </w:r>
            <w:r>
              <w:rPr>
                <w:rFonts w:hint="eastAsia" w:ascii="宋体" w:hAnsi="宋体" w:eastAsia="宋体" w:cs="宋体"/>
                <w:sz w:val="24"/>
                <w:szCs w:val="24"/>
              </w:rPr>
              <w:t xml:space="preserve">招标项目的潜在投标人应在江苏政府采购网自行免费下载招标文件，并于</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年</w:t>
            </w:r>
            <w:r>
              <w:rPr>
                <w:rFonts w:hint="eastAsia" w:ascii="宋体" w:hAnsi="宋体" w:eastAsia="宋体" w:cs="宋体"/>
                <w:sz w:val="24"/>
                <w:szCs w:val="24"/>
                <w:u w:val="single"/>
                <w:lang w:val="en-US" w:eastAsia="zh-CN"/>
              </w:rPr>
              <w:t xml:space="preserve">7</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15</w:t>
            </w:r>
            <w:r>
              <w:rPr>
                <w:rFonts w:hint="eastAsia" w:ascii="宋体" w:hAnsi="宋体" w:eastAsia="宋体" w:cs="宋体"/>
                <w:sz w:val="24"/>
                <w:szCs w:val="24"/>
                <w:u w:val="single"/>
              </w:rPr>
              <w:t xml:space="preserve">日10:00:00</w:t>
            </w:r>
            <w:r>
              <w:rPr>
                <w:rFonts w:hint="eastAsia" w:ascii="宋体" w:hAnsi="宋体" w:eastAsia="宋体" w:cs="宋体"/>
                <w:sz w:val="24"/>
                <w:szCs w:val="24"/>
              </w:rPr>
              <w:t xml:space="preserve">（北京时间）前递交（上传）投标文件。</w:t>
            </w:r>
            <w:r/>
          </w:p>
        </w:tc>
      </w:tr>
    </w:tbl>
    <w:p>
      <w:pPr>
        <w:pStyle w:val="640"/>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一、项目基本情况</w:t>
      </w:r>
      <w:r/>
    </w:p>
    <w:p>
      <w:pPr>
        <w:ind w:firstLine="480"/>
        <w:jc w:val="left"/>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项目编号：JSZC-320723-RHRH-G2026-0003</w:t>
      </w:r>
      <w:r>
        <w:rPr>
          <w:rFonts w:hint="eastAsia" w:ascii="宋体" w:hAnsi="宋体" w:eastAsia="宋体" w:cs="宋体"/>
          <w:sz w:val="24"/>
          <w:szCs w:val="24"/>
          <w:lang w:val="en-US" w:eastAsia="zh-CN"/>
        </w:rPr>
        <w:t xml:space="preserve"> </w:t>
      </w:r>
      <w:r/>
    </w:p>
    <w:p>
      <w:pPr>
        <w:ind w:firstLine="480"/>
        <w:jc w:val="left"/>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2026年全县计划挂牌出让供应地块土壤污染状况调查项目</w:t>
      </w:r>
      <w:r/>
    </w:p>
    <w:p>
      <w:pPr>
        <w:ind w:firstLine="480"/>
        <w:jc w:val="left"/>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w:t>
      </w:r>
      <w:r>
        <w:rPr>
          <w:rFonts w:hint="eastAsia" w:ascii="宋体" w:hAnsi="宋体" w:eastAsia="宋体" w:cs="宋体"/>
          <w:color w:val="auto"/>
          <w:sz w:val="24"/>
          <w:szCs w:val="24"/>
          <w:lang w:val="en-US" w:eastAsia="zh-CN"/>
        </w:rPr>
        <w:t xml:space="preserve">216</w:t>
      </w:r>
      <w:r>
        <w:rPr>
          <w:rFonts w:hint="eastAsia" w:ascii="宋体" w:hAnsi="宋体" w:eastAsia="宋体" w:cs="宋体"/>
          <w:color w:val="auto"/>
          <w:sz w:val="24"/>
          <w:szCs w:val="24"/>
        </w:rPr>
        <w:t xml:space="preserve">万元</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最高限价</w:t>
      </w:r>
      <w:r>
        <w:rPr>
          <w:rFonts w:hint="eastAsia" w:ascii="宋体" w:hAnsi="宋体" w:eastAsia="宋体" w:cs="宋体"/>
          <w:b w:val="0"/>
          <w:bCs w:val="0"/>
          <w:color w:val="auto"/>
          <w:sz w:val="24"/>
          <w:szCs w:val="24"/>
          <w:lang w:val="en-US" w:eastAsia="zh-CN"/>
        </w:rPr>
        <w:t xml:space="preserve">（优惠率）</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lang w:val="en-US" w:eastAsia="zh-CN"/>
        </w:rPr>
        <w:t xml:space="preserve">本项目采用优惠率报价；最高优惠率为100.00%，投标报价（优惠率）超过最高限价（优惠率）的投标无效</w:t>
      </w:r>
      <w:r>
        <w:rPr>
          <w:rFonts w:hint="eastAsia" w:ascii="宋体" w:hAnsi="宋体" w:eastAsia="宋体" w:cs="宋体"/>
          <w:b/>
          <w:bCs/>
          <w:color w:val="auto"/>
          <w:sz w:val="24"/>
          <w:szCs w:val="24"/>
        </w:rPr>
        <w:t xml:space="preserve">。</w:t>
      </w:r>
      <w:r/>
    </w:p>
    <w:p>
      <w:pPr>
        <w:ind w:firstLine="480"/>
        <w:jc w:val="left"/>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采购方式：公开招标</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采购需求：2026年全县计划挂牌出让供应地块土壤污染状况调查，具体内容详见招标文件第四章采购需求。</w:t>
      </w:r>
      <w:r/>
    </w:p>
    <w:p>
      <w:pPr>
        <w:ind w:firstLine="482"/>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对本项目资格要求、采购需求、评标方法与评标标准等部分的询问、质疑请与招标人联系，由招标人负责答复。</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合同履行期限：</w:t>
      </w:r>
      <w:r>
        <w:rPr>
          <w:rFonts w:hint="eastAsia" w:ascii="宋体" w:hAnsi="宋体" w:eastAsia="宋体" w:cs="宋体"/>
          <w:color w:val="auto"/>
          <w:sz w:val="24"/>
          <w:szCs w:val="24"/>
          <w:highlight w:val="none"/>
          <w:lang w:eastAsia="zh-CN"/>
        </w:rPr>
        <w:t xml:space="preserve">合同签订之日起</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本项目（是/否√）接受联合体投标</w:t>
      </w:r>
      <w:r/>
    </w:p>
    <w:p>
      <w:pPr>
        <w:pStyle w:val="640"/>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二、申请人的资格要求</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（一）满足《中华人民共和国政府采购法》第二十二条规定，并提供下列材料：</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3.依法缴纳税收和社会保障资金的相关材料；</w:t>
      </w:r>
      <w:r/>
    </w:p>
    <w:p>
      <w:pPr>
        <w:ind w:firstLine="482"/>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（根据连财购〔2023〕4号文件精神，2、3项可以提供《财务状况报告及税收、社会保障资金缴纳情况承诺函》，详见第六章 投标文件格式）</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4.具备履行合同所必需的设备和专业技术能力的声明及证明材料；</w:t>
      </w:r>
      <w:r/>
    </w:p>
    <w:p>
      <w:pPr>
        <w:ind w:firstLine="480"/>
        <w:jc w:val="left"/>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5.参加政府采购活动前3年内在经营活动中没有重大违法记录的书面声明</w:t>
      </w:r>
      <w:r>
        <w:rPr>
          <w:rFonts w:hint="eastAsia" w:ascii="宋体" w:hAnsi="宋体" w:eastAsia="宋体" w:cs="宋体"/>
          <w:sz w:val="24"/>
          <w:szCs w:val="24"/>
          <w:lang w:eastAsia="zh-CN"/>
        </w:rPr>
        <w:t xml:space="preserve">。</w:t>
      </w:r>
      <w:r/>
    </w:p>
    <w:p>
      <w:pPr>
        <w:ind w:firstLine="48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（二）落实政府采购政策需满足的资格要求：</w:t>
      </w:r>
      <w:r>
        <w:rPr>
          <w:rFonts w:hint="eastAsia" w:ascii="宋体" w:hAnsi="宋体" w:eastAsia="宋体" w:cs="宋体"/>
          <w:sz w:val="24"/>
          <w:szCs w:val="24"/>
          <w:lang w:eastAsia="zh-CN"/>
        </w:rPr>
        <w:t xml:space="preserve">无</w:t>
      </w:r>
      <w:r>
        <w:rPr>
          <w:rFonts w:hint="eastAsia" w:ascii="宋体" w:hAnsi="宋体" w:eastAsia="宋体" w:cs="宋体"/>
          <w:b w:val="0"/>
          <w:bCs w:val="0"/>
          <w:sz w:val="24"/>
          <w:szCs w:val="24"/>
        </w:rPr>
        <w:t xml:space="preserve">。</w:t>
      </w:r>
      <w:r/>
    </w:p>
    <w:p>
      <w:pPr>
        <w:numPr>
          <w:ilvl w:val="0"/>
          <w:numId w:val="1"/>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本项目的特定资格要求：</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sz w:val="24"/>
          <w:szCs w:val="24"/>
        </w:rPr>
        <w:t xml:space="preserve">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.若投标人法定代表人参与投标，则仅需提供法定代表人身份证；若授权代理人参与投标，则需提供企业法人委托书、授权人身份证、被授权人身份证。</w:t>
      </w:r>
      <w:r/>
    </w:p>
    <w:p>
      <w:pPr>
        <w:pStyle w:val="640"/>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三、获取招标文件</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时间：自招标文件公告发布之日起5个工作日。</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地点：江苏政府采购网</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方式：投标人办理江苏省政府采购交易系统CA数字证书，登录“苏采云”政府采购交易系统，自行下载。</w:t>
      </w:r>
      <w:r/>
    </w:p>
    <w:p>
      <w:pPr>
        <w:pStyle w:val="640"/>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四、提交投标文件截止时间、开标时间和地点</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提交投标文件截止时间：202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日10:00:00（北京时间）</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开标时间：</w:t>
      </w:r>
      <w:r>
        <w:rPr>
          <w:rFonts w:hint="eastAsia" w:ascii="宋体" w:hAnsi="宋体" w:eastAsia="宋体" w:cs="宋体"/>
          <w:sz w:val="24"/>
          <w:szCs w:val="24"/>
          <w:lang w:eastAsia="zh-CN"/>
        </w:rPr>
        <w:t xml:space="preserve">同</w:t>
      </w:r>
      <w:r>
        <w:rPr>
          <w:rFonts w:hint="eastAsia" w:ascii="宋体" w:hAnsi="宋体" w:eastAsia="宋体" w:cs="宋体"/>
          <w:sz w:val="24"/>
          <w:szCs w:val="24"/>
        </w:rPr>
        <w:t xml:space="preserve">提交投标文件截止时间</w:t>
      </w:r>
      <w:r/>
    </w:p>
    <w:p>
      <w:pPr>
        <w:ind w:firstLine="480"/>
        <w:jc w:val="left"/>
        <w:pageBreakBefore w:val="0"/>
        <w:spacing w:line="360" w:lineRule="auto"/>
        <w:widowControl w:val="off"/>
        <w:rPr>
          <w:rFonts w:hint="eastAsia" w:ascii="宋体" w:hAnsi="宋体" w:eastAsia="宋体" w:cs="宋体"/>
        </w:rPr>
      </w:pPr>
      <w:r>
        <w:rPr>
          <w:rFonts w:hint="eastAsia" w:ascii="宋体" w:hAnsi="宋体" w:eastAsia="宋体" w:cs="宋体"/>
          <w:sz w:val="24"/>
          <w:szCs w:val="24"/>
        </w:rPr>
        <w:t xml:space="preserve">开标地点：“苏采云”政府采购交易系统网上开标大厅</w:t>
      </w:r>
      <w:r/>
    </w:p>
    <w:p>
      <w:pPr>
        <w:pStyle w:val="640"/>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五、公告期限</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640"/>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六、其他补充事宜</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1.根据苏财购[2020]52号规定，本项目不收取投标保证金。</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无论出于何种原因，招标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3.有关本次采购的事项若存在变动或修改，敬请及时关注“江苏政府采购网”发布的更正公告。</w:t>
      </w:r>
      <w:r/>
    </w:p>
    <w:p>
      <w:pPr>
        <w:pStyle w:val="640"/>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七、对本次招标提出询问，请按以下方式联系</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1.招标人信息</w:t>
      </w:r>
      <w:r/>
    </w:p>
    <w:p>
      <w:pPr>
        <w:ind w:firstLine="480"/>
        <w:jc w:val="left"/>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灌云县国有土地储备中心</w:t>
      </w:r>
      <w:r/>
    </w:p>
    <w:p>
      <w:pPr>
        <w:ind w:firstLine="480"/>
        <w:jc w:val="left"/>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地    址：连云港市</w:t>
      </w:r>
      <w:r>
        <w:rPr>
          <w:rFonts w:hint="eastAsia" w:ascii="宋体" w:hAnsi="宋体" w:eastAsia="宋体" w:cs="宋体"/>
          <w:sz w:val="24"/>
          <w:szCs w:val="24"/>
          <w:lang w:eastAsia="zh-CN"/>
        </w:rPr>
        <w:t xml:space="preserve">灌云县</w:t>
      </w:r>
      <w:r/>
    </w:p>
    <w:p>
      <w:pPr>
        <w:ind w:firstLine="480"/>
        <w:jc w:val="left"/>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 系 人：</w:t>
      </w:r>
      <w:r>
        <w:rPr>
          <w:rFonts w:hint="eastAsia" w:ascii="宋体" w:hAnsi="宋体" w:eastAsia="宋体" w:cs="宋体"/>
          <w:color w:val="auto"/>
          <w:sz w:val="24"/>
          <w:szCs w:val="24"/>
          <w:lang w:eastAsia="zh-CN"/>
        </w:rPr>
        <w:t xml:space="preserve">沙主任</w:t>
      </w:r>
      <w:r>
        <w:rPr>
          <w:rFonts w:hint="eastAsia" w:ascii="宋体" w:hAnsi="宋体" w:eastAsia="宋体" w:cs="宋体"/>
          <w:color w:val="auto"/>
          <w:sz w:val="24"/>
          <w:szCs w:val="24"/>
        </w:rPr>
        <w:t xml:space="preserve">     </w:t>
      </w:r>
      <w:r/>
    </w:p>
    <w:p>
      <w:pPr>
        <w:ind w:firstLine="480"/>
        <w:jc w:val="left"/>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ind w:firstLine="480"/>
        <w:jc w:val="left"/>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称：江苏如浩项目管理咨询有限公司</w:t>
      </w:r>
      <w:r/>
    </w:p>
    <w:p>
      <w:pPr>
        <w:ind w:firstLine="480"/>
        <w:jc w:val="left"/>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址：连云港市灌云县美都新城西门</w:t>
      </w:r>
      <w:r/>
    </w:p>
    <w:p>
      <w:pPr>
        <w:ind w:firstLine="480"/>
        <w:jc w:val="left"/>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 系 人：</w:t>
      </w:r>
      <w:r>
        <w:rPr>
          <w:rFonts w:hint="eastAsia" w:ascii="宋体" w:hAnsi="宋体" w:eastAsia="宋体" w:cs="宋体"/>
          <w:color w:val="auto"/>
          <w:sz w:val="24"/>
          <w:szCs w:val="24"/>
          <w:lang w:eastAsia="zh-CN"/>
        </w:rPr>
        <w:t xml:space="preserve">霍</w:t>
      </w:r>
      <w:r>
        <w:rPr>
          <w:rFonts w:hint="eastAsia" w:ascii="宋体" w:hAnsi="宋体" w:eastAsia="宋体" w:cs="宋体"/>
          <w:color w:val="auto"/>
          <w:sz w:val="24"/>
          <w:szCs w:val="24"/>
        </w:rPr>
        <w:t xml:space="preserve">工</w:t>
      </w:r>
      <w:r/>
    </w:p>
    <w:p>
      <w:pPr>
        <w:ind w:firstLine="480"/>
        <w:jc w:val="left"/>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联系电话：0518-85585080/13905131443</w:t>
      </w:r>
      <w:r/>
    </w:p>
    <w:p>
      <w:pPr>
        <w:ind w:firstLine="480"/>
        <w:jc w:val="left"/>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3.项目联系方式</w:t>
      </w:r>
      <w:r/>
    </w:p>
    <w:p>
      <w:pPr>
        <w:ind w:firstLine="480"/>
        <w:jc w:val="left"/>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项目联系人：</w:t>
      </w:r>
      <w:r>
        <w:rPr>
          <w:rFonts w:hint="eastAsia" w:ascii="宋体" w:hAnsi="宋体" w:eastAsia="宋体" w:cs="宋体"/>
          <w:color w:val="auto"/>
          <w:sz w:val="24"/>
          <w:szCs w:val="24"/>
          <w:lang w:eastAsia="zh-CN"/>
        </w:rPr>
        <w:t xml:space="preserve">沙主任</w:t>
      </w:r>
      <w:r/>
    </w:p>
    <w:p>
      <w:pPr>
        <w:ind w:firstLine="480"/>
        <w:jc w:val="left"/>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话：0518-88857761 </w:t>
      </w:r>
      <w:r/>
    </w:p>
    <w:p>
      <w:pPr>
        <w:pStyle w:val="640"/>
        <w:pageBreakBefore w:val="0"/>
        <w:spacing w:before="0" w:after="0" w:line="360" w:lineRule="auto"/>
        <w:widowControl w:val="off"/>
        <w:rPr>
          <w:rFonts w:hint="default" w:ascii="宋体" w:hAnsi="宋体" w:eastAsia="宋体" w:cs="宋体"/>
          <w:b w:val="0"/>
        </w:rPr>
      </w:pPr>
      <w:r/>
      <w:bookmarkStart w:id="13" w:name="_Toc155796357"/>
      <w:r>
        <w:rPr>
          <w:rFonts w:hint="eastAsia" w:ascii="宋体" w:hAnsi="宋体" w:eastAsia="宋体" w:cs="宋体"/>
          <w:b w:val="0"/>
        </w:rPr>
        <w:t xml:space="preserve">八、其他</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Times New Roman"/>
          <w:bCs/>
          <w:sz w:val="24"/>
          <w:szCs w:val="24"/>
        </w:rPr>
      </w:pPr>
      <w:r>
        <w:rPr>
          <w:rFonts w:hint="default" w:ascii="宋体" w:hAnsi="宋体" w:eastAsia="宋体" w:cs="Times New Roman"/>
          <w:color w:val="auto"/>
          <w:sz w:val="24"/>
        </w:rPr>
        <w:t xml:space="preserve">1</w:t>
      </w:r>
      <w:r>
        <w:rPr>
          <w:rFonts w:hint="eastAsia" w:ascii="宋体" w:hAnsi="宋体" w:eastAsia="宋体" w:cs="Times New Roman"/>
          <w:color w:val="auto"/>
          <w:sz w:val="24"/>
        </w:rPr>
        <w:t xml:space="preserve">.</w:t>
      </w:r>
      <w:r>
        <w:rPr>
          <w:rFonts w:hint="eastAsia" w:ascii="宋体" w:hAnsi="宋体" w:eastAsia="宋体" w:cs="Times New Roman"/>
          <w:bCs/>
          <w:color w:val="auto"/>
          <w:sz w:val="24"/>
          <w:szCs w:val="24"/>
        </w:rPr>
        <w:t xml:space="preserve">根据省财政厅《关于更换全省政府采购交易系统CA数字证书和电子签章的通知》（苏财购〔2023〕101号），</w:t>
      </w:r>
      <w:r>
        <w:rPr>
          <w:rFonts w:hint="eastAsia" w:ascii="宋体" w:hAnsi="宋体" w:eastAsia="宋体" w:cs="Times New Roman"/>
          <w:color w:val="auto"/>
          <w:sz w:val="24"/>
          <w:szCs w:val="24"/>
        </w:rPr>
        <w:t xml:space="preserve">“苏采云”政府采购交易系统（以下简称</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4"/>
        </w:rPr>
        <w:t xml:space="preserve">的CA数字证书、电子签章已更换为江苏省电子政务证书认证中心CA和方正国际软件（北京）有限公司电子签章。如果</w:t>
      </w:r>
      <w:r>
        <w:rPr>
          <w:rFonts w:hint="eastAsia" w:ascii="宋体" w:hAnsi="宋体" w:eastAsia="宋体" w:cs="Times New Roman"/>
          <w:bCs/>
          <w:sz w:val="24"/>
          <w:szCs w:val="24"/>
          <w:lang w:eastAsia="zh-CN"/>
        </w:rPr>
        <w:t xml:space="preserve">投标人</w:t>
      </w:r>
      <w:r>
        <w:rPr>
          <w:rFonts w:hint="eastAsia" w:ascii="宋体" w:hAnsi="宋体" w:eastAsia="宋体" w:cs="Times New Roman"/>
          <w:bCs/>
          <w:sz w:val="24"/>
          <w:szCs w:val="24"/>
        </w:rPr>
        <w:t xml:space="preserve">通过</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4"/>
        </w:rPr>
        <w:t xml:space="preserve">参与政府采购项目，需要更换CA数字证书和电子签章。具体办理指南和操作手册见链接</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fldChar w:fldCharType="begin"/>
      </w:r>
      <w:r>
        <w:rPr>
          <w:rFonts w:hint="eastAsia" w:ascii="宋体" w:hAnsi="宋体" w:eastAsia="宋体" w:cs="Times New Roman"/>
          <w:bCs/>
          <w:sz w:val="24"/>
          <w:szCs w:val="24"/>
        </w:rPr>
        <w:instrText xml:space="preserve"> HYPERLINK "http://www.ccgp-jiangsu.gov.cn/" </w:instrText>
      </w:r>
      <w:r>
        <w:rPr>
          <w:rFonts w:hint="eastAsia" w:ascii="宋体" w:hAnsi="宋体" w:eastAsia="宋体" w:cs="Times New Roman"/>
          <w:bCs/>
          <w:sz w:val="24"/>
          <w:szCs w:val="24"/>
        </w:rPr>
        <w:fldChar w:fldCharType="separate"/>
      </w:r>
      <w:r>
        <w:rPr>
          <w:rFonts w:hint="eastAsia" w:ascii="宋体" w:hAnsi="宋体" w:eastAsia="宋体" w:cs="Times New Roman"/>
          <w:bCs/>
          <w:sz w:val="24"/>
          <w:szCs w:val="24"/>
        </w:rPr>
        <w:t xml:space="preserve">http://www.ccgpjiangsu.gov.cn/</w:t>
      </w:r>
      <w:r>
        <w:rPr>
          <w:rFonts w:hint="eastAsia" w:ascii="宋体" w:hAnsi="宋体" w:eastAsia="宋体" w:cs="Times New Roman"/>
          <w:bCs/>
          <w:sz w:val="24"/>
          <w:szCs w:val="24"/>
        </w:rPr>
        <w:fldChar w:fldCharType="end"/>
      </w:r>
      <w:r>
        <w:rPr>
          <w:rFonts w:hint="eastAsia" w:ascii="宋体" w:hAnsi="宋体" w:eastAsia="宋体" w:cs="Times New Roman"/>
          <w:bCs/>
          <w:sz w:val="24"/>
          <w:szCs w:val="24"/>
        </w:rPr>
        <w:t xml:space="preserve">jiangsu/zlxz/ee/ee3a4bc5a3454aa2b0d9312230633ce9.html。领取CA和办理电子签章（具体联系方式见《苏采云系统</w:t>
      </w:r>
      <w:r>
        <w:rPr>
          <w:rFonts w:hint="eastAsia" w:ascii="宋体" w:hAnsi="宋体" w:eastAsia="宋体" w:cs="Times New Roman"/>
          <w:bCs/>
          <w:sz w:val="24"/>
          <w:szCs w:val="24"/>
          <w:lang w:eastAsia="zh-CN"/>
        </w:rPr>
        <w:t xml:space="preserve">投标人</w:t>
      </w:r>
      <w:r>
        <w:rPr>
          <w:rFonts w:hint="eastAsia" w:ascii="宋体" w:hAnsi="宋体" w:eastAsia="宋体" w:cs="Times New Roman"/>
          <w:bCs/>
          <w:sz w:val="24"/>
          <w:szCs w:val="24"/>
        </w:rPr>
        <w:t xml:space="preserve">操作手册》（以下简称《操作手册》））、进行注册并按《操作手册》要求制作、上传电子</w:t>
      </w:r>
      <w:r>
        <w:rPr>
          <w:rFonts w:hint="eastAsia" w:ascii="宋体" w:hAnsi="宋体" w:eastAsia="宋体" w:cs="Times New Roman"/>
          <w:bCs/>
          <w:sz w:val="24"/>
          <w:szCs w:val="24"/>
          <w:lang w:eastAsia="zh-CN"/>
        </w:rPr>
        <w:t xml:space="preserve">投标</w:t>
      </w:r>
      <w:r>
        <w:rPr>
          <w:rFonts w:hint="eastAsia" w:ascii="宋体" w:hAnsi="宋体" w:eastAsia="宋体" w:cs="Times New Roman"/>
          <w:bCs/>
          <w:sz w:val="24"/>
          <w:szCs w:val="24"/>
        </w:rPr>
        <w:t xml:space="preserve">文件。</w:t>
      </w:r>
      <w:r/>
    </w:p>
    <w:p>
      <w:pPr>
        <w:jc w:val="left"/>
        <w:widowControl/>
        <w:rPr>
          <w:rFonts w:hint="eastAsia" w:ascii="宋体" w:hAnsi="宋体" w:eastAsia="宋体" w:cs="宋体"/>
          <w:bCs/>
          <w:sz w:val="44"/>
          <w:szCs w:val="44"/>
        </w:rPr>
      </w:pPr>
      <w:r>
        <w:rPr>
          <w:rFonts w:hint="eastAsia" w:ascii="宋体" w:hAnsi="宋体" w:eastAsia="宋体" w:cs="宋体"/>
          <w:b/>
        </w:rPr>
        <w:br w:type="page" w:clear="all"/>
      </w:r>
      <w:r/>
    </w:p>
    <w:p>
      <w:pPr>
        <w:pStyle w:val="639"/>
        <w:ind w:firstLine="880"/>
        <w:jc w:val="center"/>
        <w:spacing w:before="0" w:after="0" w:line="360" w:lineRule="auto"/>
        <w:rPr>
          <w:rFonts w:hint="eastAsia" w:ascii="宋体" w:hAnsi="宋体" w:eastAsia="宋体" w:cs="宋体"/>
          <w:b w:val="0"/>
        </w:rPr>
      </w:pPr>
      <w:r>
        <w:rPr>
          <w:rFonts w:hint="eastAsia" w:ascii="宋体" w:hAnsi="宋体" w:eastAsia="宋体" w:cs="宋体"/>
          <w:b w:val="0"/>
        </w:rPr>
        <w:t xml:space="preserve">第二章  投标人须知</w:t>
      </w:r>
      <w:bookmarkEnd w:id="13"/>
      <w:r/>
      <w:r/>
    </w:p>
    <w:p>
      <w:pPr>
        <w:pStyle w:val="640"/>
        <w:ind w:firstLine="640"/>
        <w:spacing w:before="0" w:after="0" w:line="360" w:lineRule="auto"/>
        <w:rPr>
          <w:rFonts w:hint="eastAsia" w:ascii="宋体" w:hAnsi="宋体" w:eastAsia="宋体" w:cs="宋体"/>
          <w:b w:val="0"/>
        </w:rPr>
      </w:pPr>
      <w:r>
        <w:rPr>
          <w:rFonts w:hint="eastAsia" w:ascii="宋体" w:hAnsi="宋体" w:eastAsia="宋体" w:cs="宋体"/>
          <w:b w:val="0"/>
        </w:rPr>
        <w:t xml:space="preserve">一、总则</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1、采购方式</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2、合格的投标人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3、适用法律</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4、投标费用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投标人应自行承担所有与参与投标有关的费用，无论投标过程中的做法和结果如何，招标人和招标代理机构在任何情况下均无义务和责任承担这些费用。</w:t>
      </w:r>
      <w:r/>
    </w:p>
    <w:p>
      <w:pPr>
        <w:ind w:firstLine="480"/>
        <w:jc w:val="left"/>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4.2 本项目招标代理服务费</w:t>
      </w:r>
      <w:r>
        <w:rPr>
          <w:rFonts w:hint="eastAsia" w:ascii="宋体" w:hAnsi="宋体" w:eastAsia="宋体" w:cs="宋体"/>
          <w:sz w:val="24"/>
          <w:szCs w:val="24"/>
          <w:lang w:eastAsia="zh-CN"/>
        </w:rPr>
        <w:t xml:space="preserve">为</w:t>
      </w:r>
      <w:r>
        <w:rPr>
          <w:rFonts w:hint="eastAsia" w:ascii="宋体" w:hAnsi="宋体" w:eastAsia="宋体" w:cs="宋体"/>
          <w:sz w:val="24"/>
          <w:szCs w:val="24"/>
          <w:lang w:val="en-US" w:eastAsia="zh-CN"/>
        </w:rPr>
        <w:t xml:space="preserve">9800.00元</w:t>
      </w:r>
      <w:r>
        <w:rPr>
          <w:rFonts w:hint="eastAsia" w:ascii="宋体" w:hAnsi="宋体" w:eastAsia="宋体" w:cs="宋体"/>
          <w:sz w:val="24"/>
          <w:szCs w:val="24"/>
        </w:rPr>
        <w:t xml:space="preserve">，以上费用由中标人在领取中标通知书时一次性付清。投标单位在投标报价时应综合考虑以上费用。</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5、招标文件的约束力</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pStyle w:val="640"/>
        <w:ind w:firstLine="640"/>
        <w:spacing w:before="0" w:after="0" w:line="360" w:lineRule="auto"/>
        <w:rPr>
          <w:rFonts w:hint="eastAsia" w:ascii="宋体" w:hAnsi="宋体" w:eastAsia="宋体" w:cs="宋体"/>
          <w:b w:val="0"/>
        </w:rPr>
      </w:pPr>
      <w:r>
        <w:rPr>
          <w:rFonts w:hint="eastAsia" w:ascii="宋体" w:hAnsi="宋体" w:eastAsia="宋体" w:cs="宋体"/>
          <w:b w:val="0"/>
        </w:rPr>
        <w:t xml:space="preserve">二、招标文件</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6、招标文件的构成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 招标文件由以下部分构成：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7、招标文件的澄清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任何要求对招标文件进行澄清的投标人，应在投标截止时间十日前按招标公告中的通讯地址，以书面形式通知招标人或者招标代理机构。</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8、招标文件的修改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8.1 在投标截止时间前，招标人和招标代理机构可以对招标文件进行修改。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8.2 招标人和招标代理机构有权按照法定的要求推迟投标截止时间和开标时间。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640"/>
        <w:ind w:firstLine="640"/>
        <w:spacing w:before="0" w:after="0" w:line="360" w:lineRule="auto"/>
        <w:rPr>
          <w:rFonts w:hint="eastAsia" w:ascii="宋体" w:hAnsi="宋体" w:eastAsia="宋体" w:cs="宋体"/>
          <w:b w:val="0"/>
        </w:rPr>
      </w:pPr>
      <w:r>
        <w:rPr>
          <w:rFonts w:hint="eastAsia" w:ascii="宋体" w:hAnsi="宋体" w:eastAsia="宋体" w:cs="宋体"/>
          <w:b w:val="0"/>
        </w:rPr>
        <w:t xml:space="preserve">三、投标文件编制</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9、投标文件编写注意事项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10、投标文件的语言及度量衡单位</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招标人和招标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11、投标文件的构成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12、证明投标人及投标标的符合招标文件规定的文件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pStyle w:val="641"/>
        <w:ind w:firstLine="562"/>
        <w:jc w:val="left"/>
        <w:spacing w:before="0" w:after="0" w:line="360" w:lineRule="auto"/>
        <w:rPr>
          <w:rFonts w:hint="eastAsia" w:ascii="宋体" w:hAnsi="宋体" w:eastAsia="宋体" w:cs="宋体"/>
        </w:rPr>
      </w:pPr>
      <w:r>
        <w:rPr>
          <w:rFonts w:hint="eastAsia" w:ascii="宋体" w:hAnsi="宋体" w:eastAsia="宋体" w:cs="宋体"/>
          <w:sz w:val="28"/>
          <w:szCs w:val="28"/>
        </w:rPr>
        <w:t xml:space="preserve">13、投标分项报价表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投标人应根据投标报价要求在投标分项报价表中列明各项投标单价、总价等，未全部列示的作无效响应处理。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投标文件中的单价和总价无特殊规定的采用人民币报价，以元为单位标注。招标文件中另有规定的按规定执行。</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14、技术要求响应及偏离表、商务要求响应及偏离表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售后服务，保险等。投标人应对招标文件中的技术要求与商务要求逐项作出响应或偏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15、服务承诺、培训计划、人员安排及其他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 投标人应根据招标文件要求提供人员安排等。</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16、投标函和开标一览表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17、投标有效期</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pStyle w:val="640"/>
        <w:ind w:firstLine="640"/>
        <w:spacing w:before="0" w:after="0" w:line="360" w:lineRule="auto"/>
        <w:rPr>
          <w:rFonts w:hint="eastAsia" w:ascii="宋体" w:hAnsi="宋体" w:eastAsia="宋体" w:cs="宋体"/>
          <w:b w:val="0"/>
        </w:rPr>
      </w:pPr>
      <w:r>
        <w:rPr>
          <w:rFonts w:hint="eastAsia" w:ascii="宋体" w:hAnsi="宋体" w:eastAsia="宋体" w:cs="宋体"/>
          <w:b w:val="0"/>
        </w:rPr>
        <w:t xml:space="preserve">四、投标文件递交</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18、电子投标文件的递交</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19、投标截止时间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19.2 招标人和招标代理机构可以按照规定，通过修改招标文件酌情延长投标截止时间，在此情况下，投标人的所有权利和义务以及投标人受制的截止时间均应以延长后新的截止时间为准。</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20、投标文件的拒收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20.1 招标代理机构拒绝接收在招标文件规定的投标截止时间后递交（上传）的任何投标文件。</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21、投标文件的撤回和修改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pStyle w:val="640"/>
        <w:ind w:firstLine="640"/>
        <w:spacing w:before="0" w:after="0" w:line="360" w:lineRule="auto"/>
        <w:rPr>
          <w:rFonts w:hint="eastAsia" w:ascii="宋体" w:hAnsi="宋体" w:eastAsia="宋体" w:cs="宋体"/>
          <w:b w:val="0"/>
        </w:rPr>
      </w:pPr>
      <w:r>
        <w:rPr>
          <w:rFonts w:hint="eastAsia" w:ascii="宋体" w:hAnsi="宋体" w:eastAsia="宋体" w:cs="宋体"/>
          <w:b w:val="0"/>
        </w:rPr>
        <w:t xml:space="preserve">五、开标与评标</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22、开标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22.1 招标代理机构将在招标公告中规定的时间和地点组织公开开标。投标人应当按时参加开标活动，并在“苏采云”系统规定的时间内对其投标文件进行解密。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22.2 开标仪式由招标代理机构组织。“苏采云”系统将自动对项目进行开标，并宣布各投标人名称和投标价格。</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22.6 投标人在开标、评标全过程中应保持通讯畅通，及时登录“苏采云”系统查阅、答复相关信息，并安排专人与招标代理机构及评委会联系。</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23、评标委员会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23.1 开标后，招标代理机构将组织评委会进行评标。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23.2 评委会由招标人代表和有关技术、经济等方面的评审专家组成，且人员构成符合政府采购有关规定。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24、评标过程的保密与公正</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凡是与审查、澄清、评价和比较投标的有关资料以及授标建议等，招标人、评审专家、招标代理机构均不得向投标人或与评标无关的其他人员透露。</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 招标代理机构和评委会不向未中标的投标人解释未中标原因，也不公布评标过程中的相关细节。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25、投标文件的澄清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26、对投标文件的初审</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（1）资格审查：招标人依据法律法规和招标文件的规定，对投标文件中的资格证明文件进行审查。资格审查的结论，招标人以书面形式向评委会进行反馈。</w:t>
      </w:r>
      <w:r/>
    </w:p>
    <w:p>
      <w:p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招标人在进行资格审查的同时，将在信用中国网站（www.creditchina.gov.cn）、中国政府采购网（www.ccgp.gov.cn）查询投标人的信用记录，以确定投标人是否具备投标资格，查询结果留存并归档。</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pStyle w:val="853"/>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特别提醒：</w:t>
      </w:r>
      <w:r/>
    </w:p>
    <w:p>
      <w:pPr>
        <w:pStyle w:val="853"/>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（一）政府采购评审中出现下列情形之一的，评审委员会应当启动异常低价投标审查程序：</w:t>
      </w:r>
      <w:r/>
    </w:p>
    <w:p>
      <w:pPr>
        <w:pStyle w:val="853"/>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1.投标报价低于全部通过符合性审查供应商投标报价平均值</w:t>
      </w:r>
      <w:r>
        <w:rPr>
          <w:rFonts w:hint="eastAsia" w:ascii="宋体" w:hAnsi="宋体" w:cs="宋体"/>
          <w:b/>
          <w:bCs/>
          <w:color w:val="auto"/>
          <w:sz w:val="24"/>
          <w:szCs w:val="24"/>
          <w:lang w:val="en-US" w:eastAsia="zh-CN" w:bidi="ar-SA"/>
        </w:rPr>
        <w:t xml:space="preserve">50</w:t>
      </w:r>
      <w:r>
        <w:rPr>
          <w:rFonts w:hint="eastAsia" w:ascii="宋体" w:hAnsi="宋体" w:eastAsia="宋体" w:cs="宋体"/>
          <w:b/>
          <w:bCs/>
          <w:color w:val="auto"/>
          <w:sz w:val="24"/>
          <w:szCs w:val="24"/>
          <w:lang w:val="en-US" w:eastAsia="zh-CN" w:bidi="ar-SA"/>
        </w:rPr>
        <w:t xml:space="preserve">%的，即投标报价&lt;全部通过符合性审查供应商投标报价平均值×</w:t>
      </w:r>
      <w:r>
        <w:rPr>
          <w:rFonts w:hint="eastAsia" w:ascii="宋体" w:hAnsi="宋体" w:cs="宋体"/>
          <w:b/>
          <w:bCs/>
          <w:color w:val="auto"/>
          <w:sz w:val="24"/>
          <w:szCs w:val="24"/>
          <w:lang w:val="en-US" w:eastAsia="zh-CN" w:bidi="ar-SA"/>
        </w:rPr>
        <w:t xml:space="preserve">50</w:t>
      </w:r>
      <w:r>
        <w:rPr>
          <w:rFonts w:hint="eastAsia" w:ascii="宋体" w:hAnsi="宋体" w:eastAsia="宋体" w:cs="宋体"/>
          <w:b/>
          <w:bCs/>
          <w:color w:val="auto"/>
          <w:sz w:val="24"/>
          <w:szCs w:val="24"/>
          <w:lang w:val="en-US" w:eastAsia="zh-CN" w:bidi="ar-SA"/>
        </w:rPr>
        <w:t xml:space="preserve">%；</w:t>
      </w:r>
      <w:r/>
    </w:p>
    <w:p>
      <w:pPr>
        <w:pStyle w:val="853"/>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2.投标报价低于通过符合性审查的次低报价供应商投标报价</w:t>
      </w:r>
      <w:r>
        <w:rPr>
          <w:rFonts w:hint="eastAsia" w:ascii="宋体" w:hAnsi="宋体" w:cs="宋体"/>
          <w:b/>
          <w:bCs/>
          <w:color w:val="auto"/>
          <w:sz w:val="24"/>
          <w:szCs w:val="24"/>
          <w:lang w:val="en-US" w:eastAsia="zh-CN" w:bidi="ar-SA"/>
        </w:rPr>
        <w:t xml:space="preserve">50</w:t>
      </w:r>
      <w:r>
        <w:rPr>
          <w:rFonts w:hint="eastAsia" w:ascii="宋体" w:hAnsi="宋体" w:eastAsia="宋体" w:cs="宋体"/>
          <w:b/>
          <w:bCs/>
          <w:color w:val="auto"/>
          <w:sz w:val="24"/>
          <w:szCs w:val="24"/>
          <w:lang w:val="en-US" w:eastAsia="zh-CN" w:bidi="ar-SA"/>
        </w:rPr>
        <w:t xml:space="preserve">%的，即投标报价&lt;通过符合性审查的次低报价供应商投标报价×</w:t>
      </w:r>
      <w:r>
        <w:rPr>
          <w:rFonts w:hint="eastAsia" w:ascii="宋体" w:hAnsi="宋体" w:cs="宋体"/>
          <w:b/>
          <w:bCs/>
          <w:color w:val="auto"/>
          <w:sz w:val="24"/>
          <w:szCs w:val="24"/>
          <w:lang w:val="en-US" w:eastAsia="zh-CN" w:bidi="ar-SA"/>
        </w:rPr>
        <w:t xml:space="preserve">50</w:t>
      </w:r>
      <w:r>
        <w:rPr>
          <w:rFonts w:hint="eastAsia" w:ascii="宋体" w:hAnsi="宋体" w:eastAsia="宋体" w:cs="宋体"/>
          <w:b/>
          <w:bCs/>
          <w:color w:val="auto"/>
          <w:sz w:val="24"/>
          <w:szCs w:val="24"/>
          <w:lang w:val="en-US" w:eastAsia="zh-CN" w:bidi="ar-SA"/>
        </w:rPr>
        <w:t xml:space="preserve">%；</w:t>
      </w:r>
      <w:r/>
    </w:p>
    <w:p>
      <w:pPr>
        <w:pStyle w:val="853"/>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3.投标报价低于采购项目最高限价</w:t>
      </w:r>
      <w:r>
        <w:rPr>
          <w:rFonts w:hint="eastAsia" w:ascii="宋体" w:hAnsi="宋体" w:cs="宋体"/>
          <w:b/>
          <w:bCs/>
          <w:color w:val="auto"/>
          <w:sz w:val="24"/>
          <w:szCs w:val="24"/>
          <w:lang w:val="en-US" w:eastAsia="zh-CN" w:bidi="ar-SA"/>
        </w:rPr>
        <w:t xml:space="preserve">4</w:t>
      </w:r>
      <w:r>
        <w:rPr>
          <w:rFonts w:hint="eastAsia" w:ascii="宋体" w:hAnsi="宋体" w:eastAsia="宋体" w:cs="宋体"/>
          <w:b/>
          <w:bCs/>
          <w:color w:val="auto"/>
          <w:sz w:val="24"/>
          <w:szCs w:val="24"/>
          <w:lang w:val="en-US" w:eastAsia="zh-CN" w:bidi="ar-SA"/>
        </w:rPr>
        <w:t xml:space="preserve">5%的，即投标报价&lt;采购项目最高限价×</w:t>
      </w:r>
      <w:r>
        <w:rPr>
          <w:rFonts w:hint="eastAsia" w:ascii="宋体" w:hAnsi="宋体" w:cs="宋体"/>
          <w:b/>
          <w:bCs/>
          <w:color w:val="auto"/>
          <w:sz w:val="24"/>
          <w:szCs w:val="24"/>
          <w:lang w:val="en-US" w:eastAsia="zh-CN" w:bidi="ar-SA"/>
        </w:rPr>
        <w:t xml:space="preserve">4</w:t>
      </w:r>
      <w:r>
        <w:rPr>
          <w:rFonts w:hint="eastAsia" w:ascii="宋体" w:hAnsi="宋体" w:eastAsia="宋体" w:cs="宋体"/>
          <w:b/>
          <w:bCs/>
          <w:color w:val="auto"/>
          <w:sz w:val="24"/>
          <w:szCs w:val="24"/>
          <w:lang w:val="en-US" w:eastAsia="zh-CN" w:bidi="ar-SA"/>
        </w:rPr>
        <w:t xml:space="preserve">5%；</w:t>
      </w:r>
      <w:r/>
    </w:p>
    <w:p>
      <w:pPr>
        <w:pStyle w:val="853"/>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4.评审委员会基于专业判断，认为供应商报价过低，有可能影响产品质量或者不能诚信履约的其他情形。</w:t>
      </w:r>
      <w:r/>
    </w:p>
    <w:p>
      <w:pPr>
        <w:pStyle w:val="853"/>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投标人已随投标文件一并提交相关书面说明及必要的证明材料的，在评审现场可不再重复提交。</w:t>
      </w:r>
      <w:r/>
    </w:p>
    <w:p>
      <w:pPr>
        <w:pStyle w:val="853"/>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853"/>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3"/>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27、无效投标条款和废标条款</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评委会应当将其作为无效投标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（8）不符合招标文件规定的实质性要求和条件的。（本招标文件中标注★号的部分为实质性要求和条件）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（11）投标文件含有招标人不能接受的附加条件的。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出现投标截止时间结束后参加投标的供应商或者在评标期间对招标文件做出实质响应的供应商不足三家情况的，按照政府采购有关规定执行。</w:t>
      </w:r>
      <w:r/>
    </w:p>
    <w:p>
      <w:pPr>
        <w:pStyle w:val="640"/>
        <w:ind w:firstLine="640"/>
        <w:spacing w:before="0" w:after="0" w:line="360" w:lineRule="auto"/>
        <w:rPr>
          <w:rFonts w:hint="eastAsia" w:ascii="宋体" w:hAnsi="宋体" w:eastAsia="宋体" w:cs="宋体"/>
          <w:b w:val="0"/>
        </w:rPr>
      </w:pPr>
      <w:r>
        <w:rPr>
          <w:rFonts w:hint="eastAsia" w:ascii="宋体" w:hAnsi="宋体" w:eastAsia="宋体" w:cs="宋体"/>
          <w:b w:val="0"/>
        </w:rPr>
        <w:t xml:space="preserve">六、定标</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28、确定中标单位</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28.2 招标人应根据评委会推荐的中标候选人确定中标人。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28.3 招标代理机构将在江苏政府采购网发布中标公告，公告期限为1个工作日。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若有充分证据证明，中标人存在下列情形之一的，一经查实，将被取消中标资格：</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（3）与招标人、其他供应商或者招标代理机构恶意串通的。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（4）向招标人、招标代理机构行贿或者提供其他不正当利益的。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（5）在招标采购过程中与招标人进行协商谈判的。</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（6）属于本招标文件规定的无效情形，但在评标过程中又未被评委会发现的。</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29、中标通知书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29.1 中标结果确定后，招标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中标通知书将作为政府采购合同的一个组成部分。对招标人和中标人均具有法律效力。中标通知书发出后，招标人改变中标结果的，或者中标人放弃中标项目的，应当依法承担法律责任。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29.3 中标人应在中标后七个工作日内，向招标人和招标代理机构提供一正四副与电子投标文件一致的纸质打印胶装投标文件，封面、骑缝需加盖公章。</w:t>
      </w:r>
      <w:r/>
    </w:p>
    <w:p>
      <w:pPr>
        <w:pStyle w:val="640"/>
        <w:ind w:firstLine="640"/>
        <w:spacing w:before="0" w:after="0" w:line="360" w:lineRule="auto"/>
        <w:rPr>
          <w:rFonts w:hint="eastAsia" w:ascii="宋体" w:hAnsi="宋体" w:eastAsia="宋体" w:cs="宋体"/>
          <w:b w:val="0"/>
        </w:rPr>
      </w:pPr>
      <w:r>
        <w:rPr>
          <w:rFonts w:hint="eastAsia" w:ascii="宋体" w:hAnsi="宋体" w:eastAsia="宋体" w:cs="宋体"/>
          <w:b w:val="0"/>
        </w:rPr>
        <w:t xml:space="preserve">七、授予合同</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30、签订合同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中标人应当在中标通知书发出之日起三十日内，按照招标文件和中标人投标文件的规定，与招标人签订政府采购合同。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30.2 招标文件、中标人的投标文件及招标过程中有关澄清、承诺等文件均应作为合同附件。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30.3 签订合同后，中标人不得将合同标的转包。未经招标人同意，中标人也不得采用分包的形式履行合同，否则招标人有权终止合同。转包或分包造成招标人损失的，中标人应承担相应赔偿责任。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30.4 招标人应当在合同签订之日起2日内上传合同至苏采云公示。</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30.5履约保证金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30.5.1 </w:t>
      </w:r>
      <w:r>
        <w:rPr>
          <w:rFonts w:hint="eastAsia" w:ascii="宋体" w:hAnsi="宋体" w:eastAsia="宋体" w:cs="宋体"/>
          <w:color w:val="auto"/>
          <w:sz w:val="24"/>
          <w:szCs w:val="24"/>
          <w:lang w:eastAsia="zh-CN"/>
        </w:rPr>
        <w:t xml:space="preserve">本项目不收取</w:t>
      </w:r>
      <w:r>
        <w:rPr>
          <w:rFonts w:hint="eastAsia" w:ascii="宋体" w:hAnsi="宋体" w:eastAsia="宋体" w:cs="宋体"/>
          <w:color w:val="auto"/>
          <w:sz w:val="24"/>
          <w:szCs w:val="24"/>
        </w:rPr>
        <w:t xml:space="preserve">履约保证金。</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31、合同标的的追加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31.1 政府采购合同履行中，招标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32、政府采购履约资金扶持政策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640"/>
        <w:ind w:firstLine="640"/>
        <w:spacing w:before="0" w:after="0" w:line="360" w:lineRule="auto"/>
        <w:rPr>
          <w:rFonts w:hint="eastAsia" w:ascii="宋体" w:hAnsi="宋体" w:eastAsia="宋体" w:cs="宋体"/>
          <w:b w:val="0"/>
        </w:rPr>
      </w:pPr>
      <w:r>
        <w:rPr>
          <w:rFonts w:hint="eastAsia" w:ascii="宋体" w:hAnsi="宋体" w:eastAsia="宋体" w:cs="宋体"/>
          <w:b w:val="0"/>
        </w:rPr>
        <w:t xml:space="preserve">八、询问与质疑</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33、询问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招标人或者招标代理机构应当在3个工作日内对投标人依法提出的询问作出答复，但答复的内容不得涉及商业秘密。供应商提出的询问超出招标人对招标代理机构委托授权范围的，招标代理机构应当告知其向招标人提出。</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34、质疑提出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中标公告发布之日）起七个工作日内以书面形式向招标人、招标代理机构提出质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供应商应当在法定质疑期内一次性提出针对同一采购程序环节的质疑，供应商如在法定期限内对同一采购程序环节提出多次质疑的，招标人、招标代理机构将只对供应商第一次质疑作出答复。</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招标人、招标代理机构。招标人、招标代理机构不具有法定调查、认定权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质疑函应当使用范本，详见招标文件第六章。供应商提出质疑应当提交质疑函和必要的证明材料，应当包括下列内容：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pStyle w:val="641"/>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8"/>
          <w:szCs w:val="28"/>
        </w:rPr>
        <w:t xml:space="preserve">35、质疑函的受理和答复</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招标人、招标代理机构不负责搜集必要的证明材料等工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35.2 对符合法定要求的质疑，招标人、招标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35.3 对不符合质疑要求的，招标人、招标代理机构有权要求其补充必要的证明材料，质疑供应商未在法定时间内补充必要的证明材料的，视同放弃质疑。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（4）未参与采购活动或在采购活动中自身权益未受到损害的供应商提出的质疑。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35.5 招标人、招标代理机构依法受理的质疑，将按照政府采购有关规定，在法定期限内作出答复。</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36、质疑处理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36.1 质疑供应商未按照法定程序进行质疑投诉的，视为一般失信行为。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36.2 质疑供应商不配合或者采取不正当手段干扰政府采购质疑、投诉处理工作的，视为一般失信行为。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36.3 质疑供应商投诉受理期间，就同一事项多头举报，干扰财政部门投诉处理的，视为一般失信行为。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36.4 质疑供应商在全国范围12个月内三次以上质疑查无实据的，视为一般失信行为。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36.6 质疑供应商在全国范围12个月内三次以上投诉查无实据的，视为严重失信行为。</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36.7 未尽事宜，依照有关法律、法规执行。</w:t>
      </w:r>
      <w:r/>
    </w:p>
    <w:p>
      <w:pPr>
        <w:pStyle w:val="640"/>
        <w:ind w:firstLine="640"/>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九、政府采购政策功能</w:t>
      </w:r>
      <w:r/>
    </w:p>
    <w:p>
      <w:pPr>
        <w:pStyle w:val="641"/>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37、促进中小企业发展</w:t>
      </w:r>
      <w:r/>
    </w:p>
    <w:p>
      <w:p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.2 本项目对提供的服务全部由小型企业、微型企业、残疾人福利性单位和监狱企业承接的报价给予10%的扣除，用扣除后的价格参与评审。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.3 参加本项目政府采购活动的供应商享受价格评审优惠的应当提供的材料： </w:t>
      </w:r>
      <w:r/>
    </w:p>
    <w:p>
      <w:p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（1）供应商为小型企业、微型企业的，提供《中小企业声明函》（第六章 响应文件格式）。</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.4 残疾人福利单位、监狱企业属于小型、微型企业的，不重复享受政策。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.5享受扶持政策获得政府采购合同的，小微型企业不得将合同分包给大中型企业，中型企业不得将合同分包给大型企业。</w:t>
      </w:r>
      <w:r/>
    </w:p>
    <w:p>
      <w:pPr>
        <w:numPr>
          <w:ilvl w:val="0"/>
          <w:numId w:val="0"/>
        </w:numPr>
        <w:ind w:firstLine="480"/>
        <w:jc w:val="left"/>
        <w:spacing w:line="36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bidi="ar-SA"/>
        </w:rPr>
        <w:t xml:space="preserve">38、</w:t>
      </w:r>
      <w:r>
        <w:rPr>
          <w:rFonts w:hint="eastAsia" w:ascii="宋体" w:hAnsi="宋体" w:eastAsia="宋体" w:cs="宋体"/>
          <w:b/>
          <w:bCs/>
          <w:sz w:val="28"/>
          <w:szCs w:val="28"/>
        </w:rPr>
        <w:t xml:space="preserve">采购本国产品的支持政策</w:t>
      </w:r>
      <w:r/>
    </w:p>
    <w:p>
      <w:pPr>
        <w:numPr>
          <w:ilvl w:val="0"/>
          <w:numId w:val="0"/>
        </w:numPr>
        <w:ind w:firstLine="480"/>
        <w:jc w:val="left"/>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numPr>
          <w:ilvl w:val="0"/>
          <w:numId w:val="0"/>
        </w:numPr>
        <w:ind w:firstLine="480"/>
        <w:jc w:val="left"/>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38.2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jc w:val="left"/>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38.3 供应商需按照招标文件的要求提供《关于符合本国产品标准的声明函》（以下简称《声明函》），如不提供将不享受本国产品价格评审优惠。</w:t>
      </w:r>
      <w:r/>
    </w:p>
    <w:p>
      <w:pPr>
        <w:numPr>
          <w:ilvl w:val="0"/>
          <w:numId w:val="0"/>
        </w:numPr>
        <w:ind w:firstLine="480"/>
        <w:jc w:val="left"/>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jc w:val="left"/>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bidi="ar-SA"/>
        </w:rPr>
        <w:t xml:space="preserve">38.6政府采购中的本国产品标准及其他未尽事宜详见《国务院办公厅关于在政府采购中实施本国产品标准及相关政策的通知》（国办发〔2025〕34号）。</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39、</w:t>
      </w:r>
      <w:r>
        <w:rPr>
          <w:rFonts w:hint="eastAsia" w:ascii="宋体" w:hAnsi="宋体" w:eastAsia="宋体" w:cs="宋体"/>
          <w:sz w:val="28"/>
          <w:szCs w:val="28"/>
        </w:rPr>
        <w:t xml:space="preserve">支持绿色发展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 本项目执行《关于印发环境标志产品政府采购品目清单的通知》（财库〔2019〕18号）、《关于印发节能产品政府采购品目清单的通知》（财库〔2019〕19号）等有关规定，采购产品属于品目清单范围的，招标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41"/>
        <w:ind w:firstLine="562"/>
        <w:jc w:val="left"/>
        <w:spacing w:before="0" w:after="0"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40</w:t>
      </w:r>
      <w:r>
        <w:rPr>
          <w:rFonts w:hint="eastAsia" w:ascii="宋体" w:hAnsi="宋体" w:eastAsia="宋体" w:cs="宋体"/>
          <w:sz w:val="28"/>
          <w:szCs w:val="28"/>
        </w:rPr>
        <w:t xml:space="preserve">、政府采购需求标准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pStyle w:val="639"/>
        <w:jc w:val="center"/>
        <w:spacing w:before="156" w:after="156" w:line="360" w:lineRule="auto"/>
        <w:rPr>
          <w:rFonts w:hint="eastAsia" w:ascii="宋体" w:hAnsi="宋体" w:eastAsia="宋体" w:cs="宋体"/>
          <w:b w:val="0"/>
        </w:rPr>
      </w:pPr>
      <w:r/>
      <w:bookmarkStart w:id="14" w:name="_Toc155796358"/>
      <w:r>
        <w:rPr>
          <w:rFonts w:hint="eastAsia" w:ascii="宋体" w:hAnsi="宋体" w:eastAsia="宋体" w:cs="宋体"/>
          <w:b w:val="0"/>
        </w:rPr>
        <w:t xml:space="preserve">第三章  合同文本</w:t>
      </w:r>
      <w:bookmarkEnd w:id="14"/>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spacing w:line="500" w:lineRule="exact"/>
        <w:rPr>
          <w:rFonts w:hint="eastAsia" w:ascii="宋体" w:hAnsi="宋体" w:eastAsia="宋体" w:cs="宋体"/>
          <w:sz w:val="32"/>
          <w:szCs w:val="24"/>
        </w:rPr>
      </w:pPr>
      <w:r>
        <w:rPr>
          <w:rFonts w:hint="eastAsia" w:ascii="宋体" w:hAnsi="宋体" w:eastAsia="宋体" w:cs="宋体"/>
          <w:sz w:val="32"/>
          <w:szCs w:val="24"/>
        </w:rPr>
        <w:t xml:space="preserve">政府采购合同</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甲方：_________</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乙方：_________</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）公开招标的结果，签订本合同。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一、合同内容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 服务内容：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 服务要求：</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 服务标准：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1.4 补充条款：</w:t>
      </w:r>
      <w:r>
        <w:rPr>
          <w:rFonts w:hint="eastAsia" w:ascii="宋体" w:hAnsi="宋体" w:eastAsia="宋体" w:cs="宋体"/>
          <w:color w:val="auto"/>
          <w:sz w:val="24"/>
          <w:szCs w:val="24"/>
          <w:highlight w:val="none"/>
          <w:u w:val="single"/>
          <w:lang w:val="en-US" w:eastAsia="zh-CN"/>
        </w:rPr>
        <w:t xml:space="preserve">若初步采样分析结果超过相关评价标准，则需开展第二阶段详细采样分析工作的，不在本次合同范围内</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二、合同金额</w:t>
      </w:r>
      <w:r/>
    </w:p>
    <w:p>
      <w:pPr>
        <w:ind w:left="239" w:firstLine="307"/>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 本合同</w:t>
      </w:r>
      <w:r>
        <w:rPr>
          <w:rFonts w:hint="eastAsia" w:ascii="宋体" w:hAnsi="宋体" w:eastAsia="宋体" w:cs="宋体"/>
          <w:color w:val="auto"/>
          <w:sz w:val="24"/>
          <w:szCs w:val="24"/>
          <w:highlight w:val="none"/>
          <w:lang w:eastAsia="zh-CN"/>
        </w:rPr>
        <w:t xml:space="preserve">中标优惠率为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（开</w:t>
      </w:r>
      <w:r>
        <w:rPr>
          <w:rFonts w:hint="eastAsia" w:ascii="宋体" w:hAnsi="宋体" w:eastAsia="宋体" w:cs="宋体"/>
          <w:color w:val="auto"/>
          <w:sz w:val="24"/>
          <w:szCs w:val="24"/>
          <w:highlight w:val="none"/>
          <w:lang w:val="en-US" w:eastAsia="zh-CN"/>
        </w:rPr>
        <w:t xml:space="preserve">展一阶段土壤调查10亩以内的为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万元，每增加一亩增加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万元；开展二阶段土壤调查10亩以内的为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万元，每增加一亩增加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合同价款按最终中标优惠率乘以实际工作量计算。最终结算金额不超过预算金额的按实际金额支付，超过预算金额的按预算金额支付。</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注：签约合同价以优惠率低的价格作为合同签约价。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三、技术资料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 乙方应按招标文件规定的时间向甲方提供有关技术资料。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四、知识产权</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4.2 乙方所完成的服务成果的所有权利，包括但不限于知识产权、专利申请权和所有权，归甲方所有。</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4.3 甲方利用乙方的服务成果所完成的新的成果的所有权利，包括但不限于知识产权、专利申请权和所有权，归甲方所有。</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4.4 乙方未经甲方书面同意，不得使用本合同中涉及的内容与信息做任何形式的推广。</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五、产权担保</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5.1 乙方保证所交付标的的所有权完全属于乙方且无任何抵押、查封等产权瑕疵。</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六、履约保证金</w:t>
      </w:r>
      <w:r>
        <w:rPr>
          <w:rFonts w:hint="eastAsia" w:ascii="宋体" w:hAnsi="宋体" w:eastAsia="宋体" w:cs="宋体"/>
          <w:color w:val="auto"/>
          <w:sz w:val="24"/>
          <w:szCs w:val="24"/>
          <w:highlight w:val="none"/>
          <w:lang w:eastAsia="zh-CN"/>
        </w:rPr>
        <w:t xml:space="preserve">要求：本项目不收取履约保证金。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七、合同转包或分包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7.1 本合同范围内产品或服务，应由乙方直接供应，不得转让他人供应或部分分包给他人供应。</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7.2 如有转让和未经甲方同意的分包行为，甲方有权终止合同。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八、服务时间</w:t>
      </w:r>
      <w:r/>
    </w:p>
    <w:p>
      <w:pPr>
        <w:ind w:firstLine="480"/>
        <w:jc w:val="left"/>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8.1 服务时间：</w:t>
      </w:r>
      <w:r>
        <w:rPr>
          <w:rFonts w:hint="eastAsia" w:ascii="宋体" w:hAnsi="宋体" w:eastAsia="宋体" w:cs="宋体"/>
          <w:sz w:val="24"/>
          <w:szCs w:val="24"/>
          <w:u w:val="single"/>
          <w:lang w:val="en-US" w:eastAsia="zh-CN"/>
        </w:rPr>
        <w:t xml:space="preserve">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九、合同内容的交付</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9.1 交付方式：</w:t>
      </w:r>
      <w:r>
        <w:rPr>
          <w:rFonts w:hint="eastAsia" w:ascii="宋体" w:hAnsi="宋体" w:eastAsia="宋体" w:cs="宋体"/>
          <w:sz w:val="24"/>
          <w:szCs w:val="24"/>
          <w:u w:val="single"/>
        </w:rPr>
        <w:t xml:space="preserve">纸质或电子，按甲方要求执行</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9.2 交付地点：</w:t>
      </w:r>
      <w:r>
        <w:rPr>
          <w:rFonts w:hint="eastAsia" w:ascii="宋体" w:hAnsi="宋体" w:eastAsia="宋体" w:cs="宋体"/>
          <w:sz w:val="24"/>
          <w:szCs w:val="24"/>
          <w:u w:val="single"/>
        </w:rPr>
        <w:t xml:space="preserve">连云港市</w:t>
      </w:r>
      <w:r>
        <w:rPr>
          <w:rFonts w:hint="eastAsia" w:ascii="宋体" w:hAnsi="宋体" w:eastAsia="宋体" w:cs="宋体"/>
          <w:sz w:val="24"/>
          <w:szCs w:val="24"/>
          <w:u w:val="single"/>
          <w:lang w:eastAsia="zh-CN"/>
        </w:rPr>
        <w:t xml:space="preserve">灌云县</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十、合同款支付</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10.1 付款方式：_________。</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十一、税费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11.1 本合同执行中相关的一切税费均由乙方负担。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十二、责任与义务</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12.1甲方的责任与义务</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（1）甲方有权随时向乙方了解项目进度并要求乙方提供项目相关资料。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（2）甲方根据项目的具体情况和技术要求确定合理的工作量及工作周期，并按合同有关规定支付费用。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12.2乙方的责任与义务</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（1）乙方应根据招标文件和签订的合同，按照相关规定，完成本合同项目的服务工作。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（2）乙方对其提供的技术成果及数据资料的完整性、正确性及时限负责。乙方所提供的技术成果及数据必须符合相关部门规范要求。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乙方编制的报告须接受甲方、甲方委托单位或甲方上级主管单位的评审；若调查报告出现两次评审不通过的情况，甲方有权自动解除本合同</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（4）人员保证与变更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①乙方应按</w:t>
      </w:r>
      <w:r>
        <w:rPr>
          <w:rFonts w:hint="eastAsia" w:ascii="宋体" w:hAnsi="宋体" w:eastAsia="宋体" w:cs="宋体"/>
          <w:sz w:val="24"/>
          <w:szCs w:val="24"/>
          <w:lang w:eastAsia="zh-CN"/>
        </w:rPr>
        <w:t xml:space="preserve">投标</w:t>
      </w:r>
      <w:r>
        <w:rPr>
          <w:rFonts w:hint="eastAsia" w:ascii="宋体" w:hAnsi="宋体" w:eastAsia="宋体" w:cs="宋体"/>
          <w:sz w:val="24"/>
          <w:szCs w:val="24"/>
        </w:rPr>
        <w:t xml:space="preserve">文件中承诺的人员投入工作，在服务过程应保持人员的相对稳定。确需调整，应报经甲方批准。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②当技术团队人员不能满足合同服务的进度计划或质量要求时，甲方有权要求乙方继续增派(和/或更换)人员。乙方在接到通知7天内，增派(和/或更换)的人员应到岗。</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③当甲方需要现场服务时，除正常驻点办公人员外的其他人员须在24小时之内到位。</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如上述未能达到甲方要求，则按照1000元人民币/人/天的标准向甲方支付违约金，由甲方从待付合同款中扣除。</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（5）乙方在服务过程中，如果发生侵犯专利权等行为而引起索赔或诉讼，则乙方应承担全部责任，并保障甲方免于承担由此造成的一切损害和损失。</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（6）在项目实施过程中必须严格执行安全管理制度，</w:t>
      </w:r>
      <w:r>
        <w:rPr>
          <w:rFonts w:hint="eastAsia" w:ascii="宋体" w:hAnsi="宋体" w:eastAsia="宋体" w:cs="宋体"/>
          <w:sz w:val="24"/>
          <w:szCs w:val="24"/>
          <w:lang w:val="zh-CN"/>
        </w:rPr>
        <w:t xml:space="preserve">做好安全保障工作，不因项目实施而危及自身及第三方人员、财产安全。乙方应及时为项目投入人员购买人身意外等保险，若发生任何安全事故，由</w:t>
      </w: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zh-CN"/>
        </w:rPr>
        <w:t xml:space="preserve">自行承担</w:t>
      </w:r>
      <w:r>
        <w:rPr>
          <w:rFonts w:hint="eastAsia" w:ascii="宋体" w:hAnsi="宋体" w:eastAsia="宋体" w:cs="宋体"/>
          <w:sz w:val="24"/>
          <w:szCs w:val="24"/>
        </w:rPr>
        <w:t xml:space="preserve">相关责任</w:t>
      </w:r>
      <w:r>
        <w:rPr>
          <w:rFonts w:hint="eastAsia" w:ascii="宋体" w:hAnsi="宋体" w:eastAsia="宋体" w:cs="宋体"/>
          <w:sz w:val="24"/>
          <w:szCs w:val="24"/>
          <w:lang w:val="zh-CN"/>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CN"/>
        </w:rPr>
        <w:t xml:space="preserve">乙方</w:t>
      </w:r>
      <w:r>
        <w:rPr>
          <w:rFonts w:hint="eastAsia" w:ascii="宋体" w:hAnsi="宋体" w:eastAsia="宋体" w:cs="宋体"/>
          <w:sz w:val="24"/>
          <w:szCs w:val="24"/>
          <w:lang w:eastAsia="zh-CN"/>
        </w:rPr>
        <w:t xml:space="preserve">对本项目涉及的所有信息及数据具有保密义务，在工作过程中要严格遵守工作保密制度，不经过甲方同意不得向任何第三方提供项目相关信息，如造成信息泄露或其他损失由</w:t>
      </w:r>
      <w:r>
        <w:rPr>
          <w:rFonts w:hint="eastAsia" w:ascii="宋体" w:hAnsi="宋体" w:eastAsia="宋体" w:cs="宋体"/>
          <w:sz w:val="24"/>
          <w:szCs w:val="24"/>
          <w:lang w:val="zh-CN"/>
        </w:rPr>
        <w:t xml:space="preserve">乙方</w:t>
      </w:r>
      <w:r>
        <w:rPr>
          <w:rFonts w:hint="eastAsia" w:ascii="宋体" w:hAnsi="宋体" w:eastAsia="宋体" w:cs="宋体"/>
          <w:sz w:val="24"/>
          <w:szCs w:val="24"/>
          <w:lang w:eastAsia="zh-CN"/>
        </w:rPr>
        <w:t xml:space="preserve">承担。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十三、项目验收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甲方依法组织履约验收工作。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13.3 如有必要，甲方邀请参加本项目的其他供应商或第三方专业机构及专家参与验收，相关意见将作为验收书的参考资料。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验收合格的，甲方根据采购合同的约定及时向乙方支付合同款项、退还履约保证金。验收不合格的，乙方依法及时处理并承担一切费用。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乙方在履约过程中有政府采购法律法规规定的违法违规情形的，甲方将及时报告本级财政部门。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十四、违约责任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甲方无故逾期验收和办理合同款支付手续的，甲方应按逾期付款总额每</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u w:val="single"/>
        </w:rPr>
        <w:t xml:space="preserve">万分之一</w:t>
      </w:r>
      <w:r>
        <w:rPr>
          <w:rFonts w:hint="eastAsia" w:ascii="宋体" w:hAnsi="宋体" w:eastAsia="宋体" w:cs="宋体"/>
          <w:color w:val="auto"/>
          <w:sz w:val="24"/>
          <w:szCs w:val="24"/>
        </w:rPr>
        <w:t xml:space="preserve">向乙方</w:t>
      </w:r>
      <w:r>
        <w:rPr>
          <w:rFonts w:hint="eastAsia" w:ascii="宋体" w:hAnsi="宋体" w:eastAsia="宋体" w:cs="宋体"/>
          <w:sz w:val="24"/>
          <w:szCs w:val="24"/>
        </w:rPr>
        <w:t xml:space="preserve">支付违约金。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rPr>
        <w:t xml:space="preserve">14.2乙方未能按本合同约定按期提供服务的</w:t>
      </w:r>
      <w:r>
        <w:rPr>
          <w:rFonts w:hint="eastAsia" w:ascii="宋体" w:hAnsi="宋体" w:eastAsia="宋体" w:cs="宋体"/>
          <w:sz w:val="24"/>
          <w:szCs w:val="24"/>
        </w:rPr>
        <w:t xml:space="preserve">，乙方应按逾期交付总额每日</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向甲方支付违约金，由甲方从待付合同款中扣除，</w:t>
      </w:r>
      <w:r>
        <w:rPr>
          <w:rFonts w:hint="eastAsia" w:ascii="宋体" w:hAnsi="宋体" w:eastAsia="宋体" w:cs="宋体"/>
          <w:color w:val="000000"/>
          <w:sz w:val="24"/>
          <w:szCs w:val="24"/>
        </w:rPr>
        <w:t xml:space="preserve">最高限额为本合同总额的</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。逾期超过</w:t>
      </w:r>
      <w:r>
        <w:rPr>
          <w:rFonts w:hint="eastAsia" w:ascii="宋体" w:hAnsi="宋体" w:eastAsia="宋体" w:cs="宋体"/>
          <w:sz w:val="24"/>
          <w:szCs w:val="24"/>
          <w:u w:val="single"/>
        </w:rPr>
        <w:t xml:space="preserve">10个工作日</w:t>
      </w:r>
      <w:r>
        <w:rPr>
          <w:rFonts w:hint="eastAsia" w:ascii="宋体" w:hAnsi="宋体" w:eastAsia="宋体" w:cs="宋体"/>
          <w:sz w:val="24"/>
          <w:szCs w:val="24"/>
        </w:rPr>
        <w:t xml:space="preserve">的不能交付的，甲方有权终止本合同。乙方因逾期交付或因其他违约行为导致甲方解除合同的，乙方应向甲方支付合同总额</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的违约金，如造成甲方损失超过违约金的，超出部分由乙方继续承担赔偿责任。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14.3 乙方提供的服务不符合</w:t>
      </w:r>
      <w:r>
        <w:rPr>
          <w:rFonts w:hint="eastAsia" w:ascii="宋体" w:hAnsi="宋体" w:eastAsia="宋体" w:cs="宋体"/>
          <w:color w:val="000000"/>
          <w:sz w:val="24"/>
        </w:rPr>
        <w:t xml:space="preserve">本合同要求的</w:t>
      </w:r>
      <w:r>
        <w:rPr>
          <w:rFonts w:hint="eastAsia" w:ascii="宋体" w:hAnsi="宋体" w:eastAsia="宋体" w:cs="宋体"/>
          <w:sz w:val="24"/>
          <w:szCs w:val="24"/>
        </w:rPr>
        <w:t xml:space="preserve">，</w:t>
      </w:r>
      <w:r>
        <w:rPr>
          <w:rFonts w:hint="eastAsia" w:ascii="宋体" w:hAnsi="宋体" w:eastAsia="宋体" w:cs="宋体"/>
          <w:color w:val="000000"/>
          <w:sz w:val="24"/>
        </w:rPr>
        <w:t xml:space="preserve">乙方应当按照甲方要求更正和修改，并承担由此产生的全部费用</w:t>
      </w:r>
      <w:r>
        <w:rPr>
          <w:rFonts w:hint="eastAsia" w:ascii="宋体" w:hAnsi="宋体" w:eastAsia="宋体" w:cs="宋体"/>
          <w:sz w:val="24"/>
          <w:szCs w:val="24"/>
        </w:rPr>
        <w:t xml:space="preserve">。乙方拒绝</w:t>
      </w:r>
      <w:r>
        <w:rPr>
          <w:rFonts w:hint="eastAsia" w:ascii="宋体" w:hAnsi="宋体" w:eastAsia="宋体" w:cs="宋体"/>
          <w:color w:val="000000"/>
          <w:sz w:val="24"/>
        </w:rPr>
        <w:t xml:space="preserve">更正和修改</w:t>
      </w:r>
      <w:r>
        <w:rPr>
          <w:rFonts w:hint="eastAsia" w:ascii="宋体" w:hAnsi="宋体" w:eastAsia="宋体" w:cs="宋体"/>
          <w:sz w:val="24"/>
          <w:szCs w:val="24"/>
        </w:rPr>
        <w:t xml:space="preserve">的，甲方可单方面解除合同，并由乙方赔偿由此造成的甲方全部损失。</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十五、不可抗力事件处理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在合同有效期内，任何一方因不可抗力事件导致不能履行合同的，则合同履行期可延长，其延长期与不可抗力影响期相同。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 不可抗力事件发生后，应立即通知对方，并寄送有关权威机构出具的证明。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15.3 不可抗力事件延续120天以上，双方应通过友好协商，确定是否继续履行合同。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十六、解决争议的方法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16.1 甲乙双方因合同签订、履行而发生的一切争议，应通过友好协商解决。如协商不成，按下列第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种方式解决：</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（1）向连云港仲裁委员会申请仲裁。</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（2）向合同签订地法院起诉，合同签订地在此约定为</w:t>
      </w:r>
      <w:r>
        <w:rPr>
          <w:rFonts w:hint="eastAsia" w:ascii="宋体" w:hAnsi="宋体" w:eastAsia="宋体" w:cs="宋体"/>
          <w:sz w:val="24"/>
          <w:szCs w:val="24"/>
          <w:lang w:eastAsia="zh-CN"/>
        </w:rPr>
        <w:t xml:space="preserve">灌云县</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十七、合同生效及其他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17.1 合同经双方法定代表人或授权代表签字并加盖单位公章后生效。</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17.2 本合同未尽事宜，遵照</w:t>
      </w:r>
      <w:r>
        <w:rPr>
          <w:rFonts w:hint="eastAsia" w:ascii="宋体" w:hAnsi="宋体" w:eastAsia="宋体" w:cs="宋体"/>
          <w:color w:val="000000"/>
          <w:sz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color w:val="000000"/>
          <w:sz w:val="24"/>
        </w:rPr>
        <w:t xml:space="preserve">中华人民共和国</w:t>
      </w:r>
      <w:r>
        <w:rPr>
          <w:rFonts w:hint="eastAsia" w:ascii="宋体" w:hAnsi="宋体" w:eastAsia="宋体" w:cs="宋体"/>
          <w:sz w:val="24"/>
          <w:szCs w:val="24"/>
        </w:rPr>
        <w:t xml:space="preserve">政府采购法》有关条文执行。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17.3 本合同正本一式五份，具有同等法律效力，甲方执二份、乙方执二份，甲方报一份至政府采购监督管理部门。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签订日期：       年    月    日</w:t>
      </w:r>
      <w:r>
        <w:rPr>
          <w:rFonts w:hint="eastAsia" w:ascii="宋体" w:hAnsi="宋体" w:eastAsia="宋体" w:cs="宋体"/>
          <w:sz w:val="24"/>
          <w:szCs w:val="24"/>
        </w:rPr>
        <w:br w:type="page" w:clear="all"/>
      </w:r>
      <w:r/>
    </w:p>
    <w:p>
      <w:pPr>
        <w:pStyle w:val="639"/>
        <w:jc w:val="center"/>
        <w:spacing w:before="156" w:after="156" w:line="360" w:lineRule="auto"/>
        <w:rPr>
          <w:rFonts w:hint="eastAsia" w:ascii="宋体" w:hAnsi="宋体" w:eastAsia="宋体" w:cs="宋体"/>
          <w:b w:val="0"/>
        </w:rPr>
      </w:pPr>
      <w:r/>
      <w:bookmarkStart w:id="15" w:name="_Toc155796359"/>
      <w:r>
        <w:rPr>
          <w:rFonts w:hint="eastAsia" w:ascii="宋体" w:hAnsi="宋体" w:eastAsia="宋体" w:cs="宋体"/>
          <w:b w:val="0"/>
        </w:rPr>
        <w:t xml:space="preserve">第四章  采购需求</w:t>
      </w:r>
      <w:bookmarkEnd w:id="15"/>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说明：本项目属性为</w:t>
      </w:r>
      <w:r>
        <w:rPr>
          <w:rFonts w:hint="eastAsia" w:ascii="宋体" w:hAnsi="宋体" w:eastAsia="宋体" w:cs="宋体"/>
          <w:b/>
          <w:sz w:val="24"/>
          <w:szCs w:val="24"/>
        </w:rPr>
        <w:t xml:space="preserve">服务</w:t>
      </w:r>
      <w:r>
        <w:rPr>
          <w:rFonts w:hint="eastAsia" w:ascii="宋体" w:hAnsi="宋体" w:eastAsia="宋体" w:cs="宋体"/>
          <w:sz w:val="24"/>
          <w:szCs w:val="24"/>
        </w:rPr>
        <w:t xml:space="preserve">，采购标的对应的中小企业划分标准所属行业为：</w:t>
      </w:r>
      <w:r>
        <w:rPr>
          <w:rFonts w:hint="eastAsia" w:ascii="宋体" w:hAnsi="宋体" w:eastAsia="宋体" w:cs="宋体"/>
          <w:b/>
          <w:bCs/>
          <w:sz w:val="24"/>
          <w:szCs w:val="24"/>
          <w:u w:val="single"/>
        </w:rPr>
        <w:t xml:space="preserve">其他未列明行业</w:t>
      </w:r>
      <w:r>
        <w:rPr>
          <w:rFonts w:hint="eastAsia" w:ascii="宋体" w:hAnsi="宋体" w:eastAsia="宋体" w:cs="宋体"/>
          <w:b/>
          <w:bCs/>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根据《政府采购需求管理办法》等有关规定，招标人确定采购需求。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本招标文件中标注★号的部分为实质性要求和条件</w:t>
      </w:r>
      <w:r>
        <w:rPr>
          <w:rFonts w:hint="eastAsia" w:ascii="宋体" w:hAnsi="宋体" w:eastAsia="宋体" w:cs="宋体"/>
          <w:sz w:val="24"/>
          <w:szCs w:val="24"/>
        </w:rPr>
        <w:t xml:space="preserve">，由招标人根据实际情况设置，投标人须逐条明确作出满足实质性要求和条件的响应，否则将按无效响应处理。</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一、项目概况</w:t>
      </w:r>
      <w:r/>
    </w:p>
    <w:p>
      <w:pPr>
        <w:ind w:firstLine="48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根据《中华人民共和国土壤污染防治法》第五十九条：“对土壤污染状况普查、详查和监测、现场检查表明有土壤污染风险的建设用地地块，地方人民政府生态环境主管部门应当要求土地使用权人按照规定进行土壤污染状况调查。用途变更为住宅、公共管理与公共服务用地的，变更前应当按照规定进行土壤污染状况调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p>
    <w:p>
      <w:pPr>
        <w:ind w:firstLine="562"/>
        <w:spacing w:line="360" w:lineRule="auto"/>
        <w:rPr>
          <w:rFonts w:hint="eastAsia" w:ascii="宋体" w:hAnsi="宋体" w:eastAsia="宋体" w:cs="宋体"/>
          <w:sz w:val="24"/>
        </w:rPr>
      </w:pPr>
      <w:r>
        <w:rPr>
          <w:rFonts w:hint="eastAsia" w:ascii="宋体" w:hAnsi="宋体" w:eastAsia="宋体" w:cs="宋体"/>
          <w:b/>
          <w:sz w:val="28"/>
          <w:szCs w:val="28"/>
        </w:rPr>
        <w:t xml:space="preserve">二、采购需求</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招标人在国有土地出让前，对用途变更为住宅和公共管理、公共服务的地块，应开展土壤污染状况调查工作。</w:t>
      </w:r>
      <w:r/>
    </w:p>
    <w:p>
      <w:pPr>
        <w:ind w:firstLine="562"/>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三、工作内容</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根据《建设用地土壤污染状况调查技术导则》（HJ25.1-2019）等技术规定开展土壤污染状况调查工作。</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（1）对于仅需开展第一阶段土壤污染状况调查工作的地块：工作内容包括不限于资料收集、现场踏勘访谈及编制调查报告并通过相关部门组织专家评审及报告备案等。</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对于需开展第二阶段土壤污染状况调查工作的地块，工作内容包括不限于资料收集、现场踏勘访谈、初步采样分析方案制定、现场样品采集及检测、检测结果分析、编制调查报告并通过相关部门组织专家评审及报告备案等。</w:t>
      </w:r>
      <w:r/>
    </w:p>
    <w:p>
      <w:pPr>
        <w:ind w:firstLine="48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注：若初步采样分析结果超过相关评价标准，则需开展第二阶段详细采样分析工作的，不在本次招标范围内。</w:t>
      </w:r>
      <w:r/>
    </w:p>
    <w:p>
      <w:pPr>
        <w:ind w:firstLine="56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四、实施要求</w:t>
      </w:r>
      <w:r/>
    </w:p>
    <w:p>
      <w:pPr>
        <w:ind w:firstLine="480"/>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中标人应根据招标人的工作任务安排，及时开展任务地块的调查工作，确保调查工作符合相关调查规范和流程，确保调查结果和调查质量真实性和合法性。调查工作要在</w:t>
      </w:r>
      <w:r>
        <w:rPr>
          <w:rFonts w:hint="eastAsia" w:ascii="宋体" w:hAnsi="宋体" w:eastAsia="宋体" w:cs="宋体"/>
          <w:b w:val="0"/>
          <w:bCs w:val="0"/>
          <w:sz w:val="24"/>
          <w:szCs w:val="24"/>
          <w:lang w:eastAsia="zh-CN"/>
        </w:rPr>
        <w:t xml:space="preserve">招标人</w:t>
      </w:r>
      <w:r>
        <w:rPr>
          <w:rFonts w:hint="eastAsia" w:ascii="宋体" w:hAnsi="宋体" w:eastAsia="宋体" w:cs="宋体"/>
          <w:b w:val="0"/>
          <w:bCs w:val="0"/>
          <w:sz w:val="24"/>
          <w:szCs w:val="24"/>
        </w:rPr>
        <w:t xml:space="preserve">规定的时间内完成，确保按时通过专家评审并在系统完成备案工作</w:t>
      </w:r>
      <w:r>
        <w:rPr>
          <w:rFonts w:hint="eastAsia" w:ascii="宋体" w:hAnsi="宋体" w:eastAsia="宋体" w:cs="宋体"/>
          <w:b w:val="0"/>
          <w:bCs w:val="0"/>
          <w:sz w:val="24"/>
          <w:szCs w:val="24"/>
          <w:lang w:eastAsia="zh-CN"/>
        </w:rPr>
        <w:t xml:space="preserve">。</w:t>
      </w:r>
      <w:r/>
    </w:p>
    <w:p>
      <w:pPr>
        <w:numPr>
          <w:ilvl w:val="0"/>
          <w:numId w:val="0"/>
        </w:numPr>
        <w:ind w:firstLine="562"/>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五、</w:t>
      </w:r>
      <w:r>
        <w:rPr>
          <w:rFonts w:hint="eastAsia" w:ascii="宋体" w:hAnsi="宋体" w:eastAsia="宋体" w:cs="宋体"/>
          <w:b/>
          <w:bCs/>
          <w:color w:val="auto"/>
          <w:sz w:val="28"/>
          <w:szCs w:val="28"/>
          <w:highlight w:val="none"/>
          <w:lang w:eastAsia="zh-CN"/>
        </w:rPr>
        <w:t xml:space="preserve">采购预算单价</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楷体" w:hAnsi="楷体" w:eastAsia="楷体" w:cs="楷体"/>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开展一阶段土壤调查10亩以内的</w:t>
      </w:r>
      <w:r>
        <w:rPr>
          <w:rFonts w:hint="eastAsia" w:ascii="宋体" w:hAnsi="宋体" w:eastAsia="宋体" w:cs="宋体"/>
          <w:b w:val="0"/>
          <w:bCs w:val="0"/>
          <w:color w:val="auto"/>
          <w:sz w:val="24"/>
          <w:szCs w:val="24"/>
          <w:highlight w:val="none"/>
          <w:lang w:eastAsia="zh-CN"/>
        </w:rPr>
        <w:t xml:space="preserve">最高限价</w:t>
      </w:r>
      <w:r>
        <w:rPr>
          <w:rFonts w:hint="eastAsia" w:ascii="宋体" w:hAnsi="宋体" w:eastAsia="宋体" w:cs="宋体"/>
          <w:b w:val="0"/>
          <w:bCs w:val="0"/>
          <w:color w:val="auto"/>
          <w:sz w:val="24"/>
          <w:szCs w:val="24"/>
          <w:highlight w:val="none"/>
        </w:rPr>
        <w:t xml:space="preserve">为5.7万元，每增加一亩增加0.14万元；开展二阶段土壤调查10亩以内的</w:t>
      </w:r>
      <w:r>
        <w:rPr>
          <w:rFonts w:hint="eastAsia" w:ascii="宋体" w:hAnsi="宋体" w:eastAsia="宋体" w:cs="宋体"/>
          <w:b w:val="0"/>
          <w:bCs w:val="0"/>
          <w:color w:val="auto"/>
          <w:sz w:val="24"/>
          <w:szCs w:val="24"/>
          <w:highlight w:val="none"/>
          <w:lang w:eastAsia="zh-CN"/>
        </w:rPr>
        <w:t xml:space="preserve">最高限价</w:t>
      </w:r>
      <w:r>
        <w:rPr>
          <w:rFonts w:hint="eastAsia" w:ascii="宋体" w:hAnsi="宋体" w:eastAsia="宋体" w:cs="宋体"/>
          <w:b w:val="0"/>
          <w:bCs w:val="0"/>
          <w:color w:val="auto"/>
          <w:sz w:val="24"/>
          <w:szCs w:val="24"/>
          <w:highlight w:val="none"/>
        </w:rPr>
        <w:t xml:space="preserve">为9.59万元，每增加一亩增加0.55万元。</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注：报价以“采购预算单价”为基础，按优惠率报价。</w:t>
      </w:r>
      <w:r/>
    </w:p>
    <w:p>
      <w:pPr>
        <w:numPr>
          <w:ilvl w:val="0"/>
          <w:numId w:val="0"/>
        </w:numPr>
        <w:ind w:firstLine="562"/>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bidi="ar-SA"/>
        </w:rPr>
        <w:t xml:space="preserve">六、</w:t>
      </w:r>
      <w:r>
        <w:rPr>
          <w:rFonts w:hint="eastAsia" w:ascii="宋体" w:hAnsi="宋体" w:eastAsia="宋体" w:cs="宋体"/>
          <w:b/>
          <w:color w:val="auto"/>
          <w:sz w:val="28"/>
          <w:szCs w:val="28"/>
          <w:highlight w:val="none"/>
        </w:rPr>
        <w:t xml:space="preserve">付款方式与履约保证金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本项目采用每半年为一个周期的分期支付方式，付款周期自合同签订之日起，每半年为一期。每期服务期满后，中标人完成对应阶段工作（在全国建设用地土壤环境管理信息系统完成任务地块调查报告的上传），即支付当期合同款项，直至项目全部履约完毕、款项付清。</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履约保证金</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本项目不收取履约保证金。</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lang w:eastAsia="zh-CN"/>
        </w:rPr>
        <w:t xml:space="preserve">七</w:t>
      </w:r>
      <w:r>
        <w:rPr>
          <w:rFonts w:hint="eastAsia" w:ascii="宋体" w:hAnsi="宋体" w:eastAsia="宋体" w:cs="宋体"/>
          <w:b/>
          <w:sz w:val="28"/>
          <w:szCs w:val="28"/>
        </w:rPr>
        <w:t xml:space="preserve">、报价要求</w:t>
      </w:r>
      <w:r/>
    </w:p>
    <w:p>
      <w:pPr>
        <w:ind w:firstLine="562"/>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1.本项目报价不得超过最高限价</w:t>
      </w:r>
      <w:r>
        <w:rPr>
          <w:rFonts w:hint="eastAsia" w:ascii="宋体" w:hAnsi="宋体" w:eastAsia="宋体" w:cs="宋体"/>
          <w:bCs/>
          <w:sz w:val="24"/>
          <w:szCs w:val="24"/>
          <w:lang w:val="en-US" w:eastAsia="zh-CN"/>
        </w:rPr>
        <w:t xml:space="preserve">（优惠率）</w:t>
      </w:r>
      <w:r>
        <w:rPr>
          <w:rFonts w:hint="eastAsia" w:ascii="宋体" w:hAnsi="宋体" w:eastAsia="宋体" w:cs="宋体"/>
          <w:bCs/>
          <w:sz w:val="24"/>
          <w:szCs w:val="24"/>
        </w:rPr>
        <w:t xml:space="preserve">。</w:t>
      </w:r>
      <w:r/>
    </w:p>
    <w:p>
      <w:pPr>
        <w:ind w:firstLine="562"/>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报价应包含与本次采购项目有关的所有费用。报价包含但不限于为完成服务最终成果而产生的一切附带服务费用等（包含所有隐含费用）；投标报价包括完成招标范围内的所有工作的全部费用，包括但不限于人工、材料、机械、差旅、采样、检测、编制、评审、管理、利润、规费、税金等费用。投标人应充分了解该项目的总体情况、各类市场风险以及影响投标报价的其他要素风险</w:t>
      </w:r>
      <w:r>
        <w:rPr>
          <w:rFonts w:hint="eastAsia" w:ascii="宋体" w:hAnsi="宋体" w:eastAsia="宋体" w:cs="宋体"/>
          <w:bCs/>
          <w:sz w:val="24"/>
          <w:szCs w:val="24"/>
          <w:lang w:eastAsia="zh-CN"/>
        </w:rPr>
        <w:t xml:space="preserve">。</w:t>
      </w:r>
      <w:r/>
    </w:p>
    <w:p>
      <w:pPr>
        <w:ind w:firstLine="562"/>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3.投标人的任何错漏、优惠、竞争性报价不得作为减轻责任、减少服务、增加收费、降低服务质量的理由；</w:t>
      </w:r>
      <w:r/>
    </w:p>
    <w:p>
      <w:pPr>
        <w:ind w:firstLine="562"/>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4.投标人报价除包含招标文件中列明的项目外还应包括保障服务正常运行应当具有的备件和服务，对服务正常运行应当具有的备件和服务理解不一致的以招标人理解为准。</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lang w:eastAsia="zh-CN"/>
        </w:rPr>
        <w:t xml:space="preserve">八</w:t>
      </w:r>
      <w:r>
        <w:rPr>
          <w:rFonts w:hint="eastAsia" w:ascii="宋体" w:hAnsi="宋体" w:eastAsia="宋体" w:cs="宋体"/>
          <w:b/>
          <w:sz w:val="28"/>
          <w:szCs w:val="28"/>
        </w:rPr>
        <w:t xml:space="preserve">、其他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rPr>
        <w:t xml:space="preserve">特别提醒投标人：应根据国家收费标准并结合市场实际进行报价，总价包干。工作中涉及的敏感资料、电子数据等相关信息，中标人应严格执行保密的相关规定，不得以任何方式向任何第三人披露、泄露或许可第三人使用，否则追究其相应法律责任。</w:t>
      </w:r>
      <w:r/>
    </w:p>
    <w:p>
      <w:pPr>
        <w:jc w:val="left"/>
        <w:widowControl/>
        <w:rPr>
          <w:rFonts w:hint="eastAsia" w:ascii="宋体" w:hAnsi="宋体" w:eastAsia="宋体" w:cs="宋体"/>
          <w:bCs/>
          <w:sz w:val="44"/>
          <w:szCs w:val="44"/>
        </w:rPr>
      </w:pPr>
      <w:r/>
      <w:bookmarkStart w:id="16" w:name="_Toc155796360"/>
      <w:r>
        <w:rPr>
          <w:rFonts w:hint="eastAsia" w:ascii="宋体" w:hAnsi="宋体" w:eastAsia="宋体" w:cs="宋体"/>
          <w:b/>
        </w:rPr>
        <w:br w:type="page" w:clear="all"/>
      </w:r>
      <w:r/>
    </w:p>
    <w:p>
      <w:pPr>
        <w:pStyle w:val="639"/>
        <w:jc w:val="center"/>
        <w:spacing w:before="156" w:after="156" w:line="360" w:lineRule="auto"/>
        <w:rPr>
          <w:rFonts w:hint="eastAsia" w:ascii="宋体" w:hAnsi="宋体" w:eastAsia="宋体" w:cs="宋体"/>
          <w:b w:val="0"/>
        </w:rPr>
      </w:pPr>
      <w:r>
        <w:rPr>
          <w:rFonts w:hint="eastAsia" w:ascii="宋体" w:hAnsi="宋体" w:eastAsia="宋体" w:cs="宋体"/>
          <w:b w:val="0"/>
        </w:rPr>
        <w:t xml:space="preserve">第五章  评标方法与评标标准</w:t>
      </w:r>
      <w:bookmarkEnd w:id="16"/>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一、评标方法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综合评分法：评标结果按评审后得分由高到低顺序排列。得分相同的，按投标报价由低到高顺序排列。投标文件满足招标文件全部实质性要求，且按照评审因素的量化指标评审得分最高的投标人为</w:t>
      </w:r>
      <w:r>
        <w:rPr>
          <w:rFonts w:hint="eastAsia" w:ascii="宋体" w:hAnsi="宋体" w:eastAsia="宋体" w:cs="宋体"/>
          <w:sz w:val="24"/>
          <w:szCs w:val="24"/>
          <w:lang w:eastAsia="zh-CN"/>
        </w:rPr>
        <w:t xml:space="preserve">候选成交供应商</w:t>
      </w:r>
      <w:r>
        <w:rPr>
          <w:rFonts w:hint="eastAsia" w:ascii="宋体" w:hAnsi="宋体" w:eastAsia="宋体" w:cs="宋体"/>
          <w:sz w:val="24"/>
          <w:szCs w:val="24"/>
        </w:rPr>
        <w:t xml:space="preserve">。</w:t>
      </w:r>
      <w:r/>
    </w:p>
    <w:p>
      <w:pPr>
        <w:ind w:firstLine="480"/>
        <w:jc w:val="left"/>
        <w:spacing w:line="500" w:lineRule="exact"/>
        <w:rPr>
          <w:rFonts w:hint="eastAsia" w:eastAsia="宋体"/>
          <w:color w:val="auto"/>
          <w:lang w:eastAsia="zh-CN"/>
        </w:rPr>
      </w:pPr>
      <w:r>
        <w:rPr>
          <w:rFonts w:hint="eastAsia" w:ascii="宋体" w:hAnsi="宋体" w:eastAsia="宋体" w:cs="宋体"/>
          <w:b/>
          <w:bCs/>
          <w:color w:val="auto"/>
          <w:sz w:val="24"/>
          <w:szCs w:val="24"/>
          <w:lang w:eastAsia="zh-CN"/>
        </w:rPr>
        <w:t xml:space="preserve">注：经评审后，若有效供应商数量达到或超过3家，将</w:t>
      </w:r>
      <w:r>
        <w:rPr>
          <w:rFonts w:hint="eastAsia" w:ascii="宋体" w:hAnsi="宋体" w:eastAsia="宋体" w:cs="宋体"/>
          <w:b/>
          <w:bCs/>
          <w:color w:val="auto"/>
          <w:sz w:val="24"/>
          <w:szCs w:val="24"/>
          <w:lang w:val="en-US" w:eastAsia="zh-CN"/>
        </w:rPr>
        <w:t xml:space="preserve">根据评审得分排名，选取前2名作为成交供应商，承担2026年全县计划挂牌出让供应地块的土壤污染状况调查项目。</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二、评标标准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（3）总得分=价格分+技术分+商务分。</w:t>
      </w:r>
      <w:r/>
    </w:p>
    <w:p>
      <w:pPr>
        <w:jc w:val="center"/>
        <w:spacing w:line="500" w:lineRule="exact"/>
        <w:rPr>
          <w:rFonts w:hint="eastAsia" w:ascii="宋体" w:hAnsi="宋体" w:eastAsia="宋体" w:cs="宋体"/>
          <w:sz w:val="32"/>
          <w:szCs w:val="24"/>
        </w:rPr>
      </w:pPr>
      <w:r>
        <w:rPr>
          <w:rFonts w:hint="eastAsia" w:ascii="宋体" w:hAnsi="宋体" w:eastAsia="宋体" w:cs="宋体"/>
          <w:sz w:val="32"/>
          <w:szCs w:val="24"/>
        </w:rPr>
        <w:t xml:space="preserve">综合评分法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（1）价格分（10分）</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用优惠率优先法计算，即满足招标文件要求且“（1-优惠率）”最低的投标人的“（1-优惠率）”为评标基准价，其价格得分为满分；投标人价格得分=评标基准价÷（1-投标人优惠率）×10（按四舍五入取至小数点后两位）。</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（2）技术分（</w:t>
      </w:r>
      <w:r>
        <w:rPr>
          <w:rFonts w:hint="eastAsia" w:ascii="宋体" w:hAnsi="宋体" w:eastAsia="宋体" w:cs="宋体"/>
          <w:color w:val="auto"/>
          <w:sz w:val="24"/>
          <w:szCs w:val="24"/>
          <w:lang w:val="en-US" w:eastAsia="zh-CN"/>
        </w:rPr>
        <w:t xml:space="preserve">50</w:t>
      </w:r>
      <w:r>
        <w:rPr>
          <w:rFonts w:hint="eastAsia" w:ascii="宋体" w:hAnsi="宋体" w:eastAsia="宋体" w:cs="宋体"/>
          <w:color w:val="auto"/>
          <w:sz w:val="24"/>
          <w:szCs w:val="24"/>
        </w:rPr>
        <w:t xml:space="preserve">分）</w:t>
      </w:r>
      <w:r/>
    </w:p>
    <w:tbl>
      <w:tblPr>
        <w:tblStyle w:val="649"/>
        <w:tblW w:w="82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621"/>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662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项目理解    （</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W w:w="6621" w:type="dxa"/>
            <w:vAlign w:val="center"/>
            <w:textDirection w:val="lrTb"/>
            <w:noWrap w:val="false"/>
          </w:tcPr>
          <w:p>
            <w:pPr>
              <w:jc w:val="left"/>
              <w:spacing w:line="276"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根据投标人</w:t>
            </w:r>
            <w:r>
              <w:rPr>
                <w:rFonts w:hint="eastAsia" w:ascii="宋体" w:hAnsi="宋体" w:eastAsia="宋体" w:cs="宋体"/>
                <w:sz w:val="24"/>
                <w:szCs w:val="24"/>
              </w:rPr>
              <w:t xml:space="preserve">对本项目的总体情况掌握程度、工作方案的思路、工作内容的合理性</w:t>
            </w:r>
            <w:r>
              <w:rPr>
                <w:rFonts w:hint="eastAsia" w:ascii="宋体" w:hAnsi="宋体" w:eastAsia="宋体" w:cs="宋体"/>
                <w:sz w:val="24"/>
                <w:szCs w:val="24"/>
                <w:lang w:val="en-US" w:eastAsia="zh-CN"/>
              </w:rPr>
              <w:t xml:space="preserve">等方面进行综合评审。 </w:t>
            </w:r>
            <w:r/>
          </w:p>
          <w:p>
            <w:pPr>
              <w:jc w:val="left"/>
              <w:spacing w:line="276"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充分了解项目情况，提供的方案科学、合理，描述详细完整，针对性和操作性强的</w:t>
            </w:r>
            <w:r>
              <w:rPr>
                <w:rFonts w:hint="eastAsia" w:ascii="宋体" w:hAnsi="宋体" w:eastAsia="宋体" w:cs="宋体"/>
                <w:sz w:val="24"/>
                <w:szCs w:val="24"/>
                <w:lang w:val="en-US" w:eastAsia="zh-CN"/>
              </w:rPr>
              <w:t xml:space="preserve">得10分；</w:t>
            </w:r>
            <w:r/>
          </w:p>
          <w:p>
            <w:pPr>
              <w:jc w:val="left"/>
              <w:spacing w:line="276"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了解项目情况，提供的方案较科学合理，描述较完整，有针对性、但略有疏漏的</w:t>
            </w:r>
            <w:r>
              <w:rPr>
                <w:rFonts w:hint="eastAsia" w:ascii="宋体" w:hAnsi="宋体" w:eastAsia="宋体" w:cs="宋体"/>
                <w:sz w:val="24"/>
                <w:szCs w:val="24"/>
                <w:lang w:val="en-US" w:eastAsia="zh-CN"/>
              </w:rPr>
              <w:t xml:space="preserve">得7分；</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项目情况了解不深入，提供的方案合理性、描述一般，有可行性的</w:t>
            </w:r>
            <w:r>
              <w:rPr>
                <w:rFonts w:hint="eastAsia" w:ascii="宋体" w:hAnsi="宋体" w:eastAsia="宋体" w:cs="宋体"/>
                <w:sz w:val="24"/>
                <w:szCs w:val="24"/>
                <w:lang w:val="en-US" w:eastAsia="zh-CN"/>
              </w:rPr>
              <w:t xml:space="preserve">得4分；</w:t>
            </w:r>
            <w:r/>
          </w:p>
          <w:p>
            <w:pPr>
              <w:jc w:val="left"/>
              <w:spacing w:line="276" w:lineRule="auto"/>
              <w:rPr>
                <w:rFonts w:hint="eastAsia" w:ascii="宋体" w:hAnsi="宋体" w:eastAsia="宋体" w:cs="宋体"/>
                <w:sz w:val="24"/>
                <w:szCs w:val="24"/>
              </w:rPr>
            </w:pP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调查方案编制</w:t>
            </w:r>
            <w:r/>
          </w:p>
          <w:p>
            <w:pPr>
              <w:jc w:val="center"/>
              <w:spacing w:line="276"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(10分)</w:t>
            </w:r>
            <w:r/>
          </w:p>
        </w:tc>
        <w:tc>
          <w:tcPr>
            <w:tcW w:w="6621" w:type="dxa"/>
            <w:vAlign w:val="center"/>
            <w:textDirection w:val="lrTb"/>
            <w:noWrap w:val="false"/>
          </w:tcPr>
          <w:p>
            <w:pPr>
              <w:jc w:val="left"/>
              <w:spacing w:line="276"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 xml:space="preserve">根据投标人</w:t>
            </w:r>
            <w:r>
              <w:rPr>
                <w:rFonts w:hint="eastAsia" w:ascii="宋体" w:hAnsi="宋体" w:eastAsia="宋体" w:cs="宋体"/>
                <w:b w:val="0"/>
                <w:bCs w:val="0"/>
                <w:sz w:val="24"/>
                <w:szCs w:val="24"/>
              </w:rPr>
              <w:t xml:space="preserve">对本项目制定的</w:t>
            </w:r>
            <w:r>
              <w:rPr>
                <w:rFonts w:hint="eastAsia" w:ascii="宋体" w:hAnsi="宋体" w:eastAsia="宋体" w:cs="宋体"/>
                <w:b w:val="0"/>
                <w:bCs w:val="0"/>
                <w:sz w:val="24"/>
                <w:szCs w:val="24"/>
                <w:lang w:eastAsia="zh-CN"/>
              </w:rPr>
              <w:t xml:space="preserve">包括但不限于</w:t>
            </w:r>
            <w:r>
              <w:rPr>
                <w:rFonts w:hint="eastAsia" w:ascii="宋体" w:hAnsi="宋体" w:eastAsia="宋体" w:cs="宋体"/>
                <w:b w:val="0"/>
                <w:bCs w:val="0"/>
                <w:sz w:val="24"/>
                <w:szCs w:val="24"/>
              </w:rPr>
              <w:t xml:space="preserve">调查方案编制工作总体计划、工作内容技术路线、人员安排</w:t>
            </w:r>
            <w:r>
              <w:rPr>
                <w:rFonts w:hint="eastAsia" w:ascii="宋体" w:hAnsi="宋体" w:eastAsia="宋体" w:cs="宋体"/>
                <w:sz w:val="24"/>
                <w:szCs w:val="24"/>
                <w:lang w:val="en-US" w:eastAsia="zh-CN"/>
              </w:rPr>
              <w:t xml:space="preserve">等方面进行综合评审</w:t>
            </w:r>
            <w:r>
              <w:rPr>
                <w:rFonts w:hint="eastAsia" w:ascii="宋体" w:hAnsi="宋体" w:eastAsia="宋体" w:cs="宋体"/>
                <w:b w:val="0"/>
                <w:bCs w:val="0"/>
                <w:sz w:val="24"/>
                <w:szCs w:val="24"/>
                <w:lang w:val="en-US" w:eastAsia="zh-CN"/>
              </w:rPr>
              <w:t xml:space="preserve">。</w:t>
            </w:r>
            <w:r/>
          </w:p>
          <w:p>
            <w:pPr>
              <w:jc w:val="left"/>
              <w:spacing w:line="276"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方案描述详细、贴合实际要求，优于采购需求的得</w:t>
            </w: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p>
            <w:pPr>
              <w:jc w:val="left"/>
              <w:spacing w:line="276"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方案内容基本完整、内容基本详实，满足采购需求的得</w:t>
            </w: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rPr>
              <w:t xml:space="preserve">分；</w:t>
            </w:r>
            <w:r/>
          </w:p>
          <w:p>
            <w:pPr>
              <w:jc w:val="left"/>
              <w:spacing w:line="276"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方案内容粗略，通过后期优化能够实现采购需求要求</w:t>
            </w:r>
            <w:r>
              <w:rPr>
                <w:rFonts w:hint="eastAsia" w:ascii="宋体" w:hAnsi="宋体" w:eastAsia="宋体" w:cs="宋体"/>
                <w:b w:val="0"/>
                <w:bCs w:val="0"/>
                <w:sz w:val="24"/>
                <w:szCs w:val="24"/>
                <w:lang w:eastAsia="zh-CN"/>
              </w:rPr>
              <w:t xml:space="preserve">的</w:t>
            </w:r>
            <w:r>
              <w:rPr>
                <w:rFonts w:hint="eastAsia" w:ascii="宋体" w:hAnsi="宋体" w:eastAsia="宋体" w:cs="宋体"/>
                <w:b w:val="0"/>
                <w:bCs w:val="0"/>
                <w:sz w:val="24"/>
                <w:szCs w:val="24"/>
              </w:rPr>
              <w:t xml:space="preserve">得</w:t>
            </w: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分</w:t>
            </w:r>
            <w:r>
              <w:rPr>
                <w:rFonts w:hint="eastAsia" w:ascii="宋体" w:hAnsi="宋体" w:eastAsia="宋体" w:cs="宋体"/>
                <w:b w:val="0"/>
                <w:bCs w:val="0"/>
                <w:sz w:val="24"/>
                <w:szCs w:val="24"/>
                <w:lang w:eastAsia="zh-CN"/>
              </w:rPr>
              <w:t xml:space="preserve">；</w:t>
            </w:r>
            <w:r/>
          </w:p>
          <w:p>
            <w:pPr>
              <w:jc w:val="left"/>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采样及检测方案（</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6621" w:type="dxa"/>
            <w:vAlign w:val="center"/>
            <w:textDirection w:val="lrTb"/>
            <w:noWrap w:val="false"/>
          </w:tcPr>
          <w:p>
            <w:pPr>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对</w:t>
            </w:r>
            <w:r>
              <w:rPr>
                <w:rFonts w:hint="eastAsia" w:ascii="宋体" w:hAnsi="宋体" w:eastAsia="宋体" w:cs="宋体"/>
                <w:sz w:val="24"/>
                <w:szCs w:val="24"/>
                <w:lang w:eastAsia="zh-CN"/>
              </w:rPr>
              <w:t xml:space="preserve">本</w:t>
            </w:r>
            <w:r>
              <w:rPr>
                <w:rFonts w:hint="eastAsia" w:ascii="宋体" w:hAnsi="宋体" w:eastAsia="宋体" w:cs="宋体"/>
                <w:sz w:val="24"/>
                <w:szCs w:val="24"/>
              </w:rPr>
              <w:t xml:space="preserve">项目的采样及检测方案，包括</w:t>
            </w:r>
            <w:r>
              <w:rPr>
                <w:rFonts w:hint="eastAsia" w:ascii="宋体" w:hAnsi="宋体" w:eastAsia="宋体" w:cs="宋体"/>
                <w:sz w:val="24"/>
                <w:szCs w:val="24"/>
                <w:lang w:eastAsia="zh-CN"/>
              </w:rPr>
              <w:t xml:space="preserve">但不限于</w:t>
            </w:r>
            <w:r>
              <w:rPr>
                <w:rFonts w:hint="eastAsia" w:ascii="宋体" w:hAnsi="宋体" w:eastAsia="宋体" w:cs="宋体"/>
                <w:sz w:val="24"/>
                <w:szCs w:val="24"/>
              </w:rPr>
              <w:t xml:space="preserve">点位布设、采样采集、样品筛选、检测分析因子确定</w:t>
            </w:r>
            <w:r>
              <w:rPr>
                <w:rFonts w:hint="eastAsia" w:ascii="宋体" w:hAnsi="宋体" w:eastAsia="宋体" w:cs="宋体"/>
                <w:sz w:val="24"/>
                <w:szCs w:val="24"/>
                <w:lang w:val="en-US" w:eastAsia="zh-CN"/>
              </w:rPr>
              <w:t xml:space="preserve">等方面进行综合评审</w:t>
            </w:r>
            <w:r>
              <w:rPr>
                <w:rFonts w:hint="eastAsia" w:ascii="宋体" w:hAnsi="宋体" w:eastAsia="宋体" w:cs="宋体"/>
                <w:sz w:val="24"/>
                <w:szCs w:val="24"/>
              </w:rPr>
              <w:t xml:space="preserve">。</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方案描述详细、贴合实际要求，优于采购需求的得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方案内容基本完整、内容基本详实，满足采购需求的得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jc w:val="left"/>
              <w:spacing w:line="276" w:lineRule="auto"/>
              <w:rPr>
                <w:rFonts w:hint="eastAsia" w:ascii="宋体" w:hAnsi="宋体" w:eastAsia="宋体" w:cs="宋体"/>
                <w:sz w:val="24"/>
                <w:szCs w:val="24"/>
                <w:lang w:eastAsia="zh-CN"/>
              </w:rPr>
            </w:pPr>
            <w:r>
              <w:rPr>
                <w:rFonts w:hint="eastAsia" w:ascii="宋体" w:hAnsi="宋体" w:eastAsia="宋体" w:cs="宋体"/>
                <w:sz w:val="24"/>
                <w:szCs w:val="24"/>
              </w:rPr>
              <w:t xml:space="preserve">方案内容粗略，通过后期优化能够实现采购需求要求</w:t>
            </w:r>
            <w:r>
              <w:rPr>
                <w:rFonts w:hint="eastAsia" w:ascii="宋体" w:hAnsi="宋体" w:eastAsia="宋体" w:cs="宋体"/>
                <w:sz w:val="24"/>
                <w:szCs w:val="24"/>
                <w:lang w:eastAsia="zh-CN"/>
              </w:rPr>
              <w:t xml:space="preserve">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jc w:val="left"/>
              <w:spacing w:line="276" w:lineRule="auto"/>
              <w:rPr>
                <w:rFonts w:hint="eastAsia" w:ascii="宋体" w:hAnsi="宋体" w:eastAsia="宋体" w:cs="宋体"/>
                <w:sz w:val="24"/>
                <w:szCs w:val="24"/>
              </w:rPr>
            </w:pP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二次污染防治措施</w:t>
            </w:r>
            <w:r/>
          </w:p>
          <w:p>
            <w:pPr>
              <w:jc w:val="center"/>
              <w:spacing w:line="27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10分</w:t>
            </w:r>
            <w:r>
              <w:rPr>
                <w:rFonts w:hint="eastAsia" w:ascii="宋体" w:hAnsi="宋体" w:eastAsia="宋体" w:cs="宋体"/>
                <w:sz w:val="24"/>
                <w:szCs w:val="24"/>
                <w:lang w:eastAsia="zh-CN"/>
              </w:rPr>
              <w:t xml:space="preserve">）</w:t>
            </w:r>
            <w:r/>
          </w:p>
        </w:tc>
        <w:tc>
          <w:tcPr>
            <w:tcW w:w="6621" w:type="dxa"/>
            <w:vAlign w:val="center"/>
            <w:textDirection w:val="lrTb"/>
            <w:noWrap w:val="false"/>
          </w:tcPr>
          <w:p>
            <w:pPr>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制定的二次污染防治措施，包括防止调查过程中土壤、地下水造成的二次污染防治方案</w:t>
            </w:r>
            <w:r>
              <w:rPr>
                <w:rFonts w:hint="eastAsia" w:ascii="宋体" w:hAnsi="宋体" w:eastAsia="宋体" w:cs="宋体"/>
                <w:sz w:val="24"/>
                <w:szCs w:val="24"/>
                <w:lang w:val="en-US" w:eastAsia="zh-CN"/>
              </w:rPr>
              <w:t xml:space="preserve">等方面进行综合评审</w:t>
            </w:r>
            <w:r>
              <w:rPr>
                <w:rFonts w:hint="eastAsia" w:ascii="宋体" w:hAnsi="宋体" w:eastAsia="宋体" w:cs="宋体"/>
                <w:sz w:val="24"/>
                <w:szCs w:val="24"/>
              </w:rPr>
              <w:t xml:space="preserve">。</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方案描述详细、贴合实际要求，优于采购需求的得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方案内容基本完整、内容基本详实，满足采购需求的得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jc w:val="left"/>
              <w:spacing w:line="276" w:lineRule="auto"/>
              <w:rPr>
                <w:rFonts w:hint="eastAsia" w:ascii="宋体" w:hAnsi="宋体" w:eastAsia="宋体" w:cs="宋体"/>
                <w:sz w:val="24"/>
                <w:szCs w:val="24"/>
                <w:lang w:eastAsia="zh-CN"/>
              </w:rPr>
            </w:pPr>
            <w:r>
              <w:rPr>
                <w:rFonts w:hint="eastAsia" w:ascii="宋体" w:hAnsi="宋体" w:eastAsia="宋体" w:cs="宋体"/>
                <w:sz w:val="24"/>
                <w:szCs w:val="24"/>
              </w:rPr>
              <w:t xml:space="preserve">方案内容粗略，通过后期优化能够实现采购需求要求的得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jc w:val="left"/>
              <w:spacing w:line="276" w:lineRule="auto"/>
              <w:rPr>
                <w:rFonts w:hint="eastAsia" w:ascii="宋体" w:hAnsi="宋体" w:eastAsia="宋体" w:cs="宋体"/>
                <w:sz w:val="24"/>
                <w:szCs w:val="24"/>
              </w:rPr>
            </w:pPr>
            <w:r>
              <w:rPr>
                <w:rFonts w:hint="eastAsia" w:ascii="宋体" w:hAnsi="宋体" w:eastAsia="宋体" w:cs="宋体"/>
                <w:b/>
                <w:bCs/>
                <w:sz w:val="24"/>
                <w:szCs w:val="24"/>
              </w:rPr>
              <w:t xml:space="preserve">未见阐述不得分。</w:t>
            </w:r>
            <w:r/>
          </w:p>
        </w:tc>
      </w:tr>
      <w:tr>
        <w:trPr>
          <w:jc w:val="center"/>
          <w:trHeight w:val="321"/>
        </w:trPr>
        <w:tc>
          <w:tcPr>
            <w:tcW w:w="1660" w:type="dxa"/>
            <w:vAlign w:val="center"/>
            <w:textDirection w:val="lrTb"/>
            <w:noWrap w:val="false"/>
          </w:tcPr>
          <w:p>
            <w:pPr>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售后服务及保证措施</w:t>
            </w:r>
            <w:r/>
          </w:p>
          <w:p>
            <w:pPr>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W w:w="6621" w:type="dxa"/>
            <w:vAlign w:val="center"/>
            <w:textDirection w:val="lrTb"/>
            <w:noWrap w:val="false"/>
          </w:tcPr>
          <w:p>
            <w:pPr>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根据投标人提供的项目售后服务承诺方案，包括但不限于售后服务承诺、售后服务内容、响应时间与响应方式等进行评审。</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(1)售后服务内容及承诺全面，有详细的响应措施的，得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(2)售后服务内容及承诺较全面，有较具体的响应措施的，得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(3)售后服务承诺较差、响应措施不合理的，得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jc w:val="left"/>
              <w:spacing w:line="276" w:lineRule="auto"/>
              <w:rPr>
                <w:rFonts w:hint="eastAsia" w:ascii="宋体" w:hAnsi="宋体" w:eastAsia="宋体" w:cs="宋体"/>
                <w:sz w:val="24"/>
                <w:szCs w:val="24"/>
              </w:rPr>
            </w:pPr>
            <w:r>
              <w:rPr>
                <w:rFonts w:hint="eastAsia" w:ascii="宋体" w:hAnsi="宋体" w:eastAsia="宋体" w:cs="宋体"/>
                <w:b/>
                <w:bCs/>
                <w:sz w:val="24"/>
                <w:szCs w:val="24"/>
              </w:rPr>
              <w:t xml:space="preserve">未见阐述不得分。</w:t>
            </w:r>
            <w:r/>
          </w:p>
        </w:tc>
      </w:tr>
    </w:tbl>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sz w:val="24"/>
          <w:szCs w:val="24"/>
        </w:rPr>
        <w:t xml:space="preserve">（3）商务分</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40</w:t>
      </w:r>
      <w:r>
        <w:rPr>
          <w:rFonts w:hint="eastAsia" w:ascii="宋体" w:hAnsi="宋体" w:eastAsia="宋体" w:cs="宋体"/>
          <w:color w:val="auto"/>
          <w:sz w:val="24"/>
          <w:szCs w:val="24"/>
        </w:rPr>
        <w:t xml:space="preserve">分）</w:t>
      </w:r>
      <w:r/>
    </w:p>
    <w:tbl>
      <w:tblPr>
        <w:tblStyle w:val="649"/>
        <w:tblW w:w="8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0"/>
        <w:gridCol w:w="6644"/>
      </w:tblGrid>
      <w:tr>
        <w:trPr>
          <w:jc w:val="center"/>
          <w:trHeight w:val="624"/>
        </w:trPr>
        <w:tc>
          <w:tcPr>
            <w:tcW w:w="168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664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1150"/>
        </w:trPr>
        <w:tc>
          <w:tcPr>
            <w:tcW w:w="1680" w:type="dxa"/>
            <w:vAlign w:val="center"/>
            <w:textDirection w:val="lrTb"/>
            <w:noWrap w:val="false"/>
          </w:tcPr>
          <w:p>
            <w:pPr>
              <w:jc w:val="center"/>
              <w:spacing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人员配置</w:t>
            </w:r>
            <w:r/>
          </w:p>
          <w:p>
            <w:pPr>
              <w:jc w:val="center"/>
              <w:spacing w:line="276"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w:t>
            </w:r>
            <w:r/>
          </w:p>
        </w:tc>
        <w:tc>
          <w:tcPr>
            <w:tcW w:w="6644" w:type="dxa"/>
            <w:vAlign w:val="center"/>
            <w:textDirection w:val="lrTb"/>
            <w:noWrap w:val="false"/>
          </w:tcPr>
          <w:p>
            <w:pPr>
              <w:jc w:val="left"/>
              <w:spacing w:line="360" w:lineRule="auto"/>
              <w:tabs>
                <w:tab w:val="center" w:pos="4153" w:leader="none"/>
                <w:tab w:val="right" w:pos="8306"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①拟派项目负责人具有土壤类或环境类或物化遥或地质类专业的</w:t>
            </w:r>
            <w:r>
              <w:rPr>
                <w:rFonts w:hint="eastAsia" w:ascii="宋体" w:hAnsi="宋体" w:eastAsia="宋体" w:cs="宋体"/>
                <w:color w:val="auto"/>
                <w:sz w:val="24"/>
                <w:szCs w:val="24"/>
                <w:lang w:eastAsia="zh-CN"/>
              </w:rPr>
              <w:t xml:space="preserve">正</w:t>
            </w:r>
            <w:r>
              <w:rPr>
                <w:rFonts w:hint="eastAsia" w:ascii="宋体" w:hAnsi="宋体" w:eastAsia="宋体" w:cs="宋体"/>
                <w:color w:val="auto"/>
                <w:sz w:val="24"/>
                <w:szCs w:val="24"/>
              </w:rPr>
              <w:t xml:space="preserve">高级职称</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，具有副高级职称的得</w:t>
            </w:r>
            <w:r>
              <w:rPr>
                <w:rFonts w:hint="eastAsia" w:ascii="宋体" w:hAnsi="宋体" w:eastAsia="宋体" w:cs="宋体"/>
                <w:color w:val="auto"/>
                <w:sz w:val="24"/>
                <w:szCs w:val="24"/>
                <w:lang w:val="en-US" w:eastAsia="zh-CN"/>
              </w:rPr>
              <w:t xml:space="preserve">2分，本项最高得4分。</w:t>
            </w:r>
            <w:r/>
          </w:p>
          <w:p>
            <w:pPr>
              <w:jc w:val="left"/>
              <w:spacing w:line="360" w:lineRule="auto"/>
              <w:tabs>
                <w:tab w:val="center" w:pos="4153" w:leader="none"/>
                <w:tab w:val="right" w:pos="8306"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②拟派技术负责人具有水文地质类或水工环类专业的高级及以上职称的得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分，具有中级职称的得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分，本项最高得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分</w:t>
            </w:r>
            <w:r>
              <w:rPr>
                <w:rFonts w:hint="eastAsia" w:ascii="宋体" w:hAnsi="宋体" w:eastAsia="宋体" w:cs="宋体"/>
                <w:color w:val="auto"/>
                <w:sz w:val="24"/>
                <w:szCs w:val="24"/>
                <w:lang w:val="en-US" w:eastAsia="zh-CN"/>
              </w:rPr>
              <w:t xml:space="preserve">。</w:t>
            </w:r>
            <w:r/>
          </w:p>
          <w:p>
            <w:pPr>
              <w:jc w:val="left"/>
              <w:spacing w:line="360" w:lineRule="auto"/>
              <w:tabs>
                <w:tab w:val="center" w:pos="4153" w:leader="none"/>
                <w:tab w:val="right" w:pos="8306" w:leader="none"/>
              </w:tabs>
              <w:rPr>
                <w:rFonts w:hint="eastAsia" w:ascii="宋体" w:hAnsi="宋体" w:eastAsia="宋体" w:cs="宋体"/>
                <w:color w:val="ff0000"/>
                <w:sz w:val="24"/>
                <w:szCs w:val="24"/>
                <w:lang w:val="en-US" w:eastAsia="zh-CN"/>
              </w:rPr>
            </w:pPr>
            <w:r>
              <w:rPr>
                <w:rFonts w:hint="default" w:ascii="宋体" w:hAnsi="宋体" w:eastAsia="宋体" w:cs="宋体"/>
                <w:color w:val="auto"/>
                <w:sz w:val="24"/>
                <w:szCs w:val="24"/>
                <w:lang w:eastAsia="zh-CN"/>
              </w:rPr>
              <w:t xml:space="preserve">③</w:t>
            </w:r>
            <w:r>
              <w:rPr>
                <w:rFonts w:hint="eastAsia" w:ascii="宋体" w:hAnsi="宋体" w:eastAsia="宋体" w:cs="宋体"/>
                <w:color w:val="auto"/>
                <w:sz w:val="24"/>
                <w:szCs w:val="24"/>
                <w:lang w:eastAsia="zh-CN"/>
              </w:rPr>
              <w:t xml:space="preserve">拟派的项目组成员中</w:t>
            </w:r>
            <w:r>
              <w:rPr>
                <w:rFonts w:hint="eastAsia" w:ascii="宋体" w:hAnsi="宋体" w:eastAsia="宋体" w:cs="宋体"/>
                <w:color w:val="auto"/>
                <w:sz w:val="24"/>
                <w:szCs w:val="24"/>
                <w:lang w:val="en-US" w:eastAsia="zh-CN"/>
              </w:rPr>
              <w:t xml:space="preserve">(项目负责人、技术负责人除外)</w:t>
            </w:r>
            <w:r>
              <w:rPr>
                <w:rFonts w:hint="eastAsia" w:ascii="宋体" w:hAnsi="宋体" w:eastAsia="宋体" w:cs="宋体"/>
                <w:color w:val="auto"/>
                <w:sz w:val="24"/>
                <w:szCs w:val="24"/>
              </w:rPr>
              <w:t xml:space="preserve">具有土壤类</w:t>
            </w:r>
            <w:r>
              <w:rPr>
                <w:rFonts w:hint="eastAsia" w:ascii="宋体" w:hAnsi="宋体" w:eastAsia="宋体" w:cs="宋体"/>
                <w:color w:val="auto"/>
                <w:sz w:val="24"/>
                <w:szCs w:val="24"/>
                <w:lang w:eastAsia="zh-CN"/>
              </w:rPr>
              <w:t xml:space="preserve">或</w:t>
            </w:r>
            <w:r>
              <w:rPr>
                <w:rFonts w:hint="eastAsia" w:ascii="宋体" w:hAnsi="宋体" w:eastAsia="宋体" w:cs="宋体"/>
                <w:color w:val="auto"/>
                <w:sz w:val="24"/>
                <w:szCs w:val="24"/>
              </w:rPr>
              <w:t xml:space="preserve">环境类</w:t>
            </w:r>
            <w:r>
              <w:rPr>
                <w:rFonts w:hint="eastAsia" w:ascii="宋体" w:hAnsi="宋体" w:eastAsia="宋体" w:cs="宋体"/>
                <w:color w:val="auto"/>
                <w:sz w:val="24"/>
                <w:szCs w:val="24"/>
                <w:lang w:eastAsia="zh-CN"/>
              </w:rPr>
              <w:t xml:space="preserve">或</w:t>
            </w:r>
            <w:r>
              <w:rPr>
                <w:rFonts w:hint="eastAsia" w:ascii="宋体" w:hAnsi="宋体" w:eastAsia="宋体" w:cs="宋体"/>
                <w:color w:val="auto"/>
                <w:sz w:val="24"/>
                <w:szCs w:val="24"/>
              </w:rPr>
              <w:t xml:space="preserve">物化遥</w:t>
            </w:r>
            <w:r>
              <w:rPr>
                <w:rFonts w:hint="eastAsia" w:ascii="宋体" w:hAnsi="宋体" w:eastAsia="宋体" w:cs="宋体"/>
                <w:color w:val="auto"/>
                <w:sz w:val="24"/>
                <w:szCs w:val="24"/>
                <w:lang w:eastAsia="zh-CN"/>
              </w:rPr>
              <w:t xml:space="preserve">或</w:t>
            </w:r>
            <w:r>
              <w:rPr>
                <w:rFonts w:hint="eastAsia" w:ascii="宋体" w:hAnsi="宋体" w:eastAsia="宋体" w:cs="宋体"/>
                <w:color w:val="auto"/>
                <w:sz w:val="24"/>
                <w:szCs w:val="24"/>
              </w:rPr>
              <w:t xml:space="preserve">地质</w:t>
            </w:r>
            <w:r>
              <w:rPr>
                <w:rFonts w:hint="eastAsia" w:ascii="宋体" w:hAnsi="宋体" w:eastAsia="宋体" w:cs="宋体"/>
                <w:color w:val="auto"/>
                <w:sz w:val="24"/>
                <w:szCs w:val="24"/>
                <w:lang w:eastAsia="zh-CN"/>
              </w:rPr>
              <w:t xml:space="preserve">类</w:t>
            </w:r>
            <w:r>
              <w:rPr>
                <w:rFonts w:hint="eastAsia" w:ascii="宋体" w:hAnsi="宋体" w:eastAsia="宋体" w:cs="宋体"/>
                <w:color w:val="auto"/>
                <w:sz w:val="24"/>
                <w:szCs w:val="24"/>
              </w:rPr>
              <w:t xml:space="preserve">专业</w:t>
            </w:r>
            <w:r>
              <w:rPr>
                <w:rFonts w:hint="eastAsia" w:ascii="宋体" w:hAnsi="宋体" w:eastAsia="宋体" w:cs="宋体"/>
                <w:color w:val="auto"/>
                <w:sz w:val="24"/>
                <w:szCs w:val="24"/>
                <w:lang w:val="en-US" w:eastAsia="zh-CN"/>
              </w:rPr>
              <w:t xml:space="preserve">高级及以上职称的，每提供一人得1分；具有中</w:t>
            </w:r>
            <w:r>
              <w:rPr>
                <w:rFonts w:hint="eastAsia" w:ascii="宋体" w:hAnsi="宋体" w:eastAsia="宋体" w:cs="宋体"/>
                <w:color w:val="auto"/>
                <w:sz w:val="24"/>
                <w:szCs w:val="24"/>
                <w:lang w:eastAsia="zh-CN"/>
              </w:rPr>
              <w:t xml:space="preserve">级职称的，每提供1人得</w:t>
            </w:r>
            <w:r>
              <w:rPr>
                <w:rFonts w:hint="eastAsia" w:ascii="宋体" w:hAnsi="宋体" w:eastAsia="宋体" w:cs="宋体"/>
                <w:color w:val="auto"/>
                <w:sz w:val="24"/>
                <w:szCs w:val="24"/>
                <w:lang w:val="en-US" w:eastAsia="zh-CN"/>
              </w:rPr>
              <w:t xml:space="preserve">0.5</w:t>
            </w:r>
            <w:r>
              <w:rPr>
                <w:rFonts w:hint="eastAsia" w:ascii="宋体" w:hAnsi="宋体" w:eastAsia="宋体" w:cs="宋体"/>
                <w:color w:val="auto"/>
                <w:sz w:val="24"/>
                <w:szCs w:val="24"/>
                <w:lang w:eastAsia="zh-CN"/>
              </w:rPr>
              <w:t xml:space="preserve">分；本项最高得</w:t>
            </w:r>
            <w:r>
              <w:rPr>
                <w:rFonts w:hint="eastAsia" w:ascii="宋体" w:hAnsi="宋体" w:eastAsia="宋体" w:cs="宋体"/>
                <w:color w:val="auto"/>
                <w:sz w:val="24"/>
                <w:szCs w:val="24"/>
                <w:lang w:val="en-US" w:eastAsia="zh-CN"/>
              </w:rPr>
              <w:t xml:space="preserve">8分。</w:t>
            </w:r>
            <w:r/>
          </w:p>
          <w:p>
            <w:pPr>
              <w:jc w:val="left"/>
              <w:spacing w:line="360" w:lineRule="auto"/>
              <w:tabs>
                <w:tab w:val="center" w:pos="4153" w:leader="none"/>
                <w:tab w:val="right" w:pos="8306" w:leader="none"/>
              </w:tabs>
              <w:rPr>
                <w:rFonts w:hint="default"/>
                <w:color w:val="auto"/>
                <w:lang w:val="en-US" w:eastAsia="zh-CN"/>
              </w:rPr>
            </w:pPr>
            <w:r>
              <w:rPr>
                <w:rFonts w:hint="eastAsia" w:ascii="宋体" w:hAnsi="宋体" w:eastAsia="宋体" w:cs="宋体"/>
                <w:b/>
                <w:bCs/>
                <w:color w:val="auto"/>
                <w:sz w:val="24"/>
                <w:szCs w:val="24"/>
                <w:lang w:val="en-US" w:eastAsia="zh-CN"/>
              </w:rPr>
              <w:t xml:space="preserve">注：须提供人员证书及2026年1月（含）以来任意一个月由社保机构出具社会保险（或养老保险）证明材料原件彩色扫描件上传至电子投标文件中，否则不得分。（专业划分以注册证书或职称证书或学历证书为依据）</w:t>
            </w:r>
            <w:r/>
          </w:p>
        </w:tc>
      </w:tr>
      <w:tr>
        <w:trPr>
          <w:jc w:val="center"/>
          <w:trHeight w:val="1536"/>
        </w:trPr>
        <w:tc>
          <w:tcPr>
            <w:tcW w:w="1680" w:type="dxa"/>
            <w:vAlign w:val="center"/>
            <w:textDirection w:val="lrTb"/>
            <w:noWrap w:val="false"/>
          </w:tcPr>
          <w:p>
            <w:pPr>
              <w:jc w:val="center"/>
              <w:spacing w:line="276"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综合实力</w:t>
            </w:r>
            <w:r/>
          </w:p>
          <w:p>
            <w:pPr>
              <w:jc w:val="center"/>
              <w:spacing w:line="276"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13</w:t>
            </w:r>
            <w:bookmarkStart w:id="31" w:name="_GoBack"/>
            <w:r/>
            <w:bookmarkEnd w:id="31"/>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lang w:eastAsia="zh-CN"/>
              </w:rPr>
              <w:t xml:space="preserve">）</w:t>
            </w:r>
            <w:r/>
          </w:p>
        </w:tc>
        <w:tc>
          <w:tcPr>
            <w:tcW w:w="6644" w:type="dxa"/>
            <w:vAlign w:val="center"/>
            <w:textDirection w:val="lrTb"/>
            <w:noWrap w:val="false"/>
          </w:tcPr>
          <w:p>
            <w:pPr>
              <w:numPr>
                <w:ilvl w:val="0"/>
                <w:numId w:val="0"/>
              </w:numPr>
              <w:jc w:val="left"/>
              <w:spacing w:line="360" w:lineRule="auto"/>
              <w:tabs>
                <w:tab w:val="center" w:pos="4153" w:leader="none"/>
                <w:tab w:val="right" w:pos="8306"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lang w:val="en-US" w:eastAsia="zh-CN"/>
              </w:rPr>
              <w:t xml:space="preserve">投标人具有检测实验室能力附表中所列测试项目的检测因子数量，900个及以上得10分，750-899个得7分，550-749个得4分，550个以下得1分。本项最高得10分。</w:t>
            </w:r>
            <w:r>
              <w:rPr>
                <w:rFonts w:hint="eastAsia" w:ascii="宋体" w:hAnsi="宋体" w:eastAsia="宋体" w:cs="宋体"/>
                <w:b/>
                <w:bCs/>
                <w:color w:val="auto"/>
                <w:sz w:val="24"/>
                <w:szCs w:val="24"/>
                <w:lang w:val="en-US" w:eastAsia="zh-CN"/>
              </w:rPr>
              <w:t xml:space="preserve">须提供网站查询网址及网站截图或资质附表证明，上述材料的原件彩色扫描件均须上传至电子投标文件中，否则本项不得分。</w:t>
            </w:r>
            <w:r/>
          </w:p>
          <w:p>
            <w:pPr>
              <w:numPr>
                <w:ilvl w:val="0"/>
                <w:numId w:val="0"/>
              </w:numPr>
              <w:jc w:val="left"/>
              <w:spacing w:line="360" w:lineRule="auto"/>
              <w:tabs>
                <w:tab w:val="center" w:pos="4153" w:leader="none"/>
                <w:tab w:val="right" w:pos="8306" w:leader="none"/>
              </w:tabs>
              <w:rPr>
                <w:rFonts w:hint="eastAsia"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 xml:space="preserve">投标人委托第三方检测实验室能力附表中所列测试项目的检测因子数量，900个及以上得6分，750-899个得4分，550-749个得2分，550个以下得1分。本项最高得6分。</w:t>
            </w:r>
            <w:r>
              <w:rPr>
                <w:rFonts w:hint="eastAsia" w:ascii="宋体" w:hAnsi="宋体" w:eastAsia="宋体" w:cs="宋体"/>
                <w:b/>
                <w:bCs/>
                <w:color w:val="auto"/>
                <w:sz w:val="24"/>
                <w:szCs w:val="24"/>
                <w:lang w:val="en-US" w:eastAsia="zh-CN"/>
              </w:rPr>
              <w:t xml:space="preserve">须提供委托第三方的委托协议和网站查询网址及网站截图或资质附表证明，上述材料的原件彩色扫描件均须上传至电子投标文件中，否则本项不得分。</w:t>
            </w:r>
            <w:r/>
          </w:p>
          <w:p>
            <w:pPr>
              <w:numPr>
                <w:ilvl w:val="0"/>
                <w:numId w:val="0"/>
              </w:numPr>
              <w:jc w:val="left"/>
              <w:spacing w:line="360" w:lineRule="auto"/>
              <w:tabs>
                <w:tab w:val="center" w:pos="4153" w:leader="none"/>
                <w:tab w:val="right" w:pos="8306" w:leader="none"/>
              </w:tabs>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注：本项投标人仅可选择其中一种计分，不累计得分。</w:t>
            </w:r>
            <w:r/>
          </w:p>
          <w:p>
            <w:pPr>
              <w:numPr>
                <w:ilvl w:val="0"/>
                <w:numId w:val="0"/>
              </w:numPr>
              <w:jc w:val="left"/>
              <w:spacing w:line="360" w:lineRule="auto"/>
              <w:tabs>
                <w:tab w:val="center" w:pos="4153" w:leader="none"/>
                <w:tab w:val="right" w:pos="8306" w:leader="none"/>
              </w:tabs>
              <w:rPr>
                <w:rFonts w:hint="eastAsia"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bidi="ar-SA"/>
              </w:rPr>
              <w:t xml:space="preserve">（2）</w:t>
            </w:r>
            <w:r>
              <w:rPr>
                <w:rFonts w:hint="eastAsia" w:ascii="宋体" w:hAnsi="宋体" w:eastAsia="宋体" w:cs="宋体"/>
                <w:b w:val="0"/>
                <w:bCs w:val="0"/>
                <w:color w:val="auto"/>
                <w:sz w:val="24"/>
                <w:szCs w:val="24"/>
                <w:lang w:val="en-US" w:eastAsia="zh-CN"/>
              </w:rPr>
              <w:t xml:space="preserve">投标人具有光离子气体检测仪(PID)、X射线荧光光谱仪(XRF)、无人机设备的，每提供一个1分，最高得3分。</w:t>
            </w:r>
            <w:r/>
          </w:p>
          <w:p>
            <w:pPr>
              <w:numPr>
                <w:ilvl w:val="0"/>
                <w:numId w:val="0"/>
              </w:numPr>
              <w:jc w:val="left"/>
              <w:spacing w:line="360" w:lineRule="auto"/>
              <w:tabs>
                <w:tab w:val="center" w:pos="4153" w:leader="none"/>
                <w:tab w:val="right" w:pos="8306" w:leader="none"/>
              </w:tabs>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若为租赁则得分减半。</w:t>
            </w:r>
            <w:r/>
          </w:p>
          <w:p>
            <w:pPr>
              <w:numPr>
                <w:ilvl w:val="0"/>
                <w:numId w:val="0"/>
              </w:numPr>
              <w:jc w:val="left"/>
              <w:spacing w:line="360" w:lineRule="auto"/>
              <w:tabs>
                <w:tab w:val="center" w:pos="4153" w:leader="none"/>
                <w:tab w:val="right" w:pos="8306"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注：若为自有设备，须提供购买发票及仪器鉴定证书的原件彩色扫描件并上传至响应文件；若为租赁设备，须提供租赁合同（协议）（合同须包含本项目履行期限）。未按要求提供材料的，相关设备不予认可。如设备名称表述不明确但功能相近，须附产品说明书等证明材料，由评委统一认定。</w:t>
            </w:r>
            <w:r/>
          </w:p>
        </w:tc>
      </w:tr>
      <w:tr>
        <w:trPr>
          <w:jc w:val="center"/>
          <w:trHeight w:val="624"/>
        </w:trPr>
        <w:tc>
          <w:tcPr>
            <w:tcW w:w="1680" w:type="dxa"/>
            <w:vAlign w:val="center"/>
            <w:textDirection w:val="lrTb"/>
            <w:noWrap w:val="false"/>
          </w:tcPr>
          <w:p>
            <w:pPr>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类似业绩</w:t>
            </w:r>
            <w:r/>
          </w:p>
          <w:p>
            <w:pPr>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tcW w:w="6644" w:type="dxa"/>
            <w:vAlign w:val="center"/>
            <w:textDirection w:val="lrTb"/>
            <w:noWrap w:val="false"/>
          </w:tcPr>
          <w:p>
            <w:pPr>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投标人自2022年1月1日至今（</w:t>
            </w:r>
            <w:r>
              <w:rPr>
                <w:rFonts w:hint="eastAsia" w:ascii="宋体" w:hAnsi="宋体" w:eastAsia="宋体" w:cs="宋体"/>
                <w:sz w:val="24"/>
                <w:szCs w:val="24"/>
                <w:lang w:eastAsia="zh-CN"/>
              </w:rPr>
              <w:t xml:space="preserve">时间</w:t>
            </w:r>
            <w:r>
              <w:rPr>
                <w:rFonts w:hint="eastAsia" w:ascii="宋体" w:hAnsi="宋体" w:eastAsia="宋体" w:cs="宋体"/>
                <w:sz w:val="24"/>
                <w:szCs w:val="24"/>
              </w:rPr>
              <w:t xml:space="preserve">以合同签订日期为准），承担过</w:t>
            </w:r>
            <w:r>
              <w:rPr>
                <w:rFonts w:hint="eastAsia" w:ascii="宋体" w:hAnsi="宋体" w:eastAsia="宋体" w:cs="宋体"/>
                <w:sz w:val="24"/>
                <w:szCs w:val="24"/>
                <w:lang w:eastAsia="zh-CN"/>
              </w:rPr>
              <w:t xml:space="preserve">土壤污染状况调查</w:t>
            </w:r>
            <w:r>
              <w:rPr>
                <w:rFonts w:hint="eastAsia" w:ascii="宋体" w:hAnsi="宋体" w:eastAsia="宋体" w:cs="宋体"/>
                <w:sz w:val="24"/>
                <w:szCs w:val="24"/>
              </w:rPr>
              <w:t xml:space="preserve">项目</w:t>
            </w:r>
            <w:r>
              <w:rPr>
                <w:rFonts w:hint="eastAsia" w:ascii="宋体" w:hAnsi="宋体" w:eastAsia="宋体" w:cs="宋体"/>
                <w:sz w:val="24"/>
                <w:szCs w:val="24"/>
                <w:lang w:val="en-US" w:eastAsia="zh-CN"/>
              </w:rPr>
              <w:t xml:space="preserve">类似业绩的</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每提供一个得4分，最高得12分</w:t>
            </w:r>
            <w:r>
              <w:rPr>
                <w:rFonts w:hint="eastAsia" w:ascii="宋体" w:hAnsi="宋体" w:eastAsia="宋体" w:cs="宋体"/>
                <w:sz w:val="24"/>
                <w:szCs w:val="24"/>
              </w:rPr>
              <w:t xml:space="preserve">。</w:t>
            </w:r>
            <w:r/>
          </w:p>
          <w:p>
            <w:pPr>
              <w:jc w:val="left"/>
              <w:spacing w:line="276" w:lineRule="auto"/>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注：提供合同原件彩色扫描件上传至电子投标文件中，合同须体现甲乙双方单位名称及签订时间，否则不得分。</w:t>
            </w:r>
            <w:r/>
          </w:p>
        </w:tc>
      </w:tr>
    </w:tbl>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pStyle w:val="639"/>
        <w:jc w:val="center"/>
        <w:spacing w:before="156" w:after="156" w:line="360" w:lineRule="auto"/>
        <w:rPr>
          <w:rFonts w:hint="eastAsia" w:ascii="宋体" w:hAnsi="宋体" w:eastAsia="宋体" w:cs="宋体"/>
          <w:b w:val="0"/>
        </w:rPr>
      </w:pPr>
      <w:r/>
      <w:bookmarkStart w:id="17" w:name="_Toc155796361"/>
      <w:r>
        <w:rPr>
          <w:rFonts w:hint="eastAsia" w:ascii="宋体" w:hAnsi="宋体" w:eastAsia="宋体" w:cs="宋体"/>
          <w:b w:val="0"/>
        </w:rPr>
        <w:t xml:space="preserve">第六章  投标文件格式</w:t>
      </w:r>
      <w:bookmarkEnd w:id="17"/>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rPr>
          <w:rFonts w:hint="eastAsia" w:ascii="宋体" w:hAnsi="宋体" w:eastAsia="宋体" w:cs="宋体"/>
          <w:b/>
          <w:color w:val="000000"/>
          <w:sz w:val="36"/>
          <w:szCs w:val="21"/>
          <w:u w:val="single"/>
        </w:rPr>
        <w:t xml:space="preserve">                   </w:t>
      </w:r>
      <w:r/>
    </w:p>
    <w:p>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rPr>
          <w:rFonts w:hint="eastAsia" w:ascii="宋体" w:hAnsi="宋体" w:eastAsia="宋体" w:cs="宋体"/>
          <w:b/>
          <w:color w:val="000000"/>
          <w:sz w:val="36"/>
          <w:szCs w:val="21"/>
          <w:u w:val="single"/>
        </w:rPr>
        <w:t xml:space="preserve">                   </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（加盖CA电子公章）</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rPr>
          <w:rFonts w:hint="eastAsia" w:ascii="宋体" w:hAnsi="宋体" w:eastAsia="宋体" w:cs="宋体"/>
          <w:b/>
          <w:color w:val="000000"/>
          <w:sz w:val="36"/>
          <w:szCs w:val="21"/>
          <w:u w:val="single"/>
        </w:rPr>
        <w:t xml:space="preserve">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6"/>
          <w:u w:val="single"/>
        </w:rPr>
        <w:outlineLvl w:val="1"/>
      </w:pPr>
      <w:r>
        <w:rPr>
          <w:rFonts w:hint="eastAsia" w:ascii="宋体" w:hAnsi="宋体" w:eastAsia="宋体" w:cs="宋体"/>
          <w:i/>
          <w:sz w:val="36"/>
          <w:u w:val="single"/>
        </w:rPr>
      </w:r>
      <w:r/>
    </w:p>
    <w:p>
      <w:pPr>
        <w:rPr>
          <w:rFonts w:hint="eastAsia" w:ascii="宋体" w:hAnsi="宋体" w:eastAsia="宋体" w:cs="宋体"/>
          <w:i/>
          <w:sz w:val="36"/>
          <w:u w:val="single"/>
        </w:rPr>
      </w:pPr>
      <w:r>
        <w:rPr>
          <w:rFonts w:hint="eastAsia" w:ascii="宋体" w:hAnsi="宋体" w:eastAsia="宋体" w:cs="宋体"/>
          <w:i/>
          <w:sz w:val="36"/>
          <w:u w:val="single"/>
        </w:rPr>
        <w:br w:type="page" w:clear="all"/>
      </w:r>
      <w:r/>
    </w:p>
    <w:p>
      <w:pPr>
        <w:jc w:val="left"/>
        <w:keepLines/>
        <w:keepNext/>
        <w:spacing w:before="360" w:after="200" w:line="360" w:lineRule="auto"/>
        <w:rPr>
          <w:rFonts w:hint="eastAsia" w:ascii="宋体" w:hAnsi="宋体" w:eastAsia="宋体" w:cs="宋体"/>
          <w:i/>
          <w:sz w:val="36"/>
          <w:u w:val="single"/>
        </w:rPr>
        <w:outlineLvl w:val="1"/>
      </w:pPr>
      <w:r>
        <w:rPr>
          <w:rFonts w:hint="eastAsia" w:ascii="宋体" w:hAnsi="宋体" w:eastAsia="宋体" w:cs="宋体"/>
          <w:i/>
          <w:sz w:val="36"/>
          <w:u w:val="single"/>
        </w:rPr>
        <w:t xml:space="preserve">二、具有良好的商业信誉和健全的财务会计制度</w:t>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财务状况报告及税收、社会保障资金缴纳情况承诺函</w:t>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招标人名称</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供应商（公章）：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i/>
          <w:iCs/>
          <w:sz w:val="36"/>
          <w:u w:val="single"/>
        </w:rPr>
      </w:pPr>
      <w:r>
        <w:rPr>
          <w:rFonts w:hint="eastAsia" w:ascii="宋体" w:hAnsi="宋体" w:eastAsia="宋体" w:cs="宋体"/>
          <w:i/>
          <w:iCs/>
          <w:sz w:val="36"/>
          <w:u w:val="single"/>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三、依法缴纳税收和社会保障资金的相关材料</w:t>
      </w:r>
      <w:r/>
    </w:p>
    <w:p>
      <w:pP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财务状况报告及税收、社会保障资金缴纳情况承诺函</w:t>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招标人名称</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供应商（公章）：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四、具备履行合同所必需的设备和专业技术能力的声明及证明材料</w:t>
      </w:r>
      <w:r/>
    </w:p>
    <w:p>
      <w:pPr>
        <w:jc w:val="center"/>
        <w:spacing w:line="460" w:lineRule="exact"/>
        <w:rPr>
          <w:rFonts w:hint="eastAsia" w:ascii="宋体" w:hAnsi="宋体" w:eastAsia="宋体" w:cs="宋体"/>
          <w:sz w:val="24"/>
          <w:szCs w:val="24"/>
        </w:rPr>
      </w:pPr>
      <w:r>
        <w:rPr>
          <w:rFonts w:hint="eastAsia" w:ascii="宋体" w:hAnsi="宋体" w:eastAsia="宋体" w:cs="宋体"/>
          <w:bCs/>
          <w:sz w:val="36"/>
          <w:szCs w:val="28"/>
        </w:rPr>
        <w:t xml:space="preserve">具备履行合同所必需的设备和专业技术能力的声明及证明材料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。（须附证明材料）</w:t>
      </w:r>
      <w:r/>
    </w:p>
    <w:p>
      <w:pPr>
        <w:jc w:val="left"/>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。（须附证明材料）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附主要设备和主要专业技术能力的证明材料如下：</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000000"/>
          <w:sz w:val="44"/>
          <w:szCs w:val="44"/>
        </w:rPr>
      </w:pPr>
      <w:r>
        <w:rPr>
          <w:rFonts w:hint="eastAsia" w:ascii="宋体" w:hAnsi="宋体" w:eastAsia="宋体" w:cs="宋体"/>
          <w:bCs/>
          <w:sz w:val="36"/>
          <w:szCs w:val="28"/>
        </w:rPr>
        <w:t xml:space="preserve">声  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六、法律、行政法规规定的其他条件的证明文件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七、落实政府采购政策需满足的资格要求的证明文件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八、特定资格要求的证明文件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九、授权委托书与法定代表人（单位负责人）身份证明</w:t>
      </w:r>
      <w:r/>
    </w:p>
    <w:p>
      <w:pPr>
        <w:jc w:val="center"/>
        <w:spacing w:line="36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授权委托书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采购单位</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本人</w:t>
      </w:r>
      <w:r>
        <w:rPr>
          <w:rFonts w:hint="eastAsia" w:ascii="宋体" w:hAnsi="宋体" w:eastAsia="宋体" w:cs="宋体"/>
          <w:sz w:val="24"/>
          <w:szCs w:val="24"/>
          <w:u w:val="single"/>
        </w:rPr>
        <w:t xml:space="preserve"> （姓名） </w:t>
      </w: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 xml:space="preserve">的法定代表人（单位负责人），现委托</w:t>
      </w:r>
      <w:r>
        <w:rPr>
          <w:rFonts w:hint="eastAsia" w:ascii="宋体" w:hAnsi="宋体" w:eastAsia="宋体" w:cs="宋体"/>
          <w:sz w:val="24"/>
          <w:szCs w:val="24"/>
          <w:u w:val="single"/>
        </w:rPr>
        <w:t xml:space="preserve"> （姓名） </w:t>
      </w:r>
      <w:r>
        <w:rPr>
          <w:rFonts w:hint="eastAsia" w:ascii="宋体" w:hAnsi="宋体" w:eastAsia="宋体" w:cs="宋体"/>
          <w:sz w:val="24"/>
          <w:szCs w:val="24"/>
        </w:rPr>
        <w:t xml:space="preserve">为我方代理人。代理人根据授权，以我方名义签署、澄清确认、递交、撤回、修改</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）投标文件和处理有关事宜，其法律后果由我方承担。</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br/>
      </w:r>
      <w:r>
        <w:rPr>
          <w:rFonts w:hint="eastAsia" w:ascii="宋体" w:hAnsi="宋体" w:eastAsia="宋体" w:cs="宋体"/>
          <w:sz w:val="24"/>
          <w:szCs w:val="24"/>
        </w:rPr>
        <w:t xml:space="preserve">投标人名称（加盖公章）：</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委托代理人（签字/签章）：</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法定代表人（单位负责人）有效期内的身份证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p>
    <w:tbl>
      <w:tblPr>
        <w:tblStyle w:val="6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935"/>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委托代理人有效期内的身份证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p>
    <w:tbl>
      <w:tblPr>
        <w:tblStyle w:val="6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425"/>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填报说明：</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3、供应商为自然人的情形，可不提供本《授权委托书》。</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color w:val="000000"/>
          <w:sz w:val="36"/>
          <w:szCs w:val="36"/>
        </w:rPr>
      </w:pPr>
      <w:r>
        <w:rPr>
          <w:rFonts w:hint="eastAsia" w:ascii="宋体" w:hAnsi="宋体" w:eastAsia="宋体" w:cs="宋体"/>
          <w:b/>
          <w:color w:val="000000"/>
          <w:sz w:val="36"/>
          <w:szCs w:val="36"/>
        </w:rPr>
        <w:br w:type="page" w:clear="all"/>
      </w:r>
      <w:r/>
    </w:p>
    <w:p>
      <w:pPr>
        <w:jc w:val="center"/>
        <w:spacing w:line="36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法定代表人（单位负责人）身份证明</w:t>
      </w:r>
      <w:r/>
    </w:p>
    <w:p>
      <w:pPr>
        <w:spacing w:line="200" w:lineRule="exact"/>
        <w:rPr>
          <w:rFonts w:hint="eastAsia" w:ascii="宋体" w:hAnsi="宋体" w:eastAsia="宋体" w:cs="宋体"/>
          <w:sz w:val="20"/>
          <w:szCs w:val="20"/>
        </w:rPr>
      </w:pPr>
      <w:r>
        <w:rPr>
          <w:rFonts w:hint="eastAsia" w:ascii="宋体" w:hAnsi="宋体" w:eastAsia="宋体" w:cs="宋体"/>
          <w:sz w:val="20"/>
          <w:szCs w:val="20"/>
        </w:rPr>
      </w:r>
      <w:r/>
    </w:p>
    <w:p>
      <w:pPr>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性别：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职务：</w:t>
      </w:r>
      <w:r>
        <w:rPr>
          <w:rFonts w:hint="eastAsia" w:ascii="宋体" w:hAnsi="宋体" w:eastAsia="宋体" w:cs="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ind w:right="-46"/>
        <w:spacing w:before="120" w:line="583"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p>
    <w:tbl>
      <w:tblPr>
        <w:tblStyle w:val="6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ind w:right="4305"/>
        <w:spacing w:before="120" w:line="583"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pageBreakBefore w:val="0"/>
        <w:spacing w:before="260" w:after="260" w:line="240" w:lineRule="auto"/>
        <w:widowControl w:val="off"/>
        <w:rPr>
          <w:rFonts w:hint="eastAsia" w:ascii="宋体" w:hAnsi="宋体" w:eastAsia="宋体" w:cs="宋体"/>
          <w:b/>
          <w:i/>
          <w:color w:val="000000"/>
          <w:sz w:val="32"/>
          <w:szCs w:val="32"/>
          <w:u w:val="single"/>
        </w:rPr>
        <w:outlineLvl w:val="1"/>
      </w:pPr>
      <w:r>
        <w:rPr>
          <w:rFonts w:hint="eastAsia" w:ascii="宋体" w:hAnsi="宋体" w:eastAsia="宋体" w:cs="宋体"/>
          <w:i/>
          <w:iCs/>
          <w:sz w:val="36"/>
          <w:u w:val="single"/>
        </w:rPr>
        <w:t xml:space="preserve">十、投标函</w:t>
      </w:r>
      <w:r/>
    </w:p>
    <w:p>
      <w:pPr>
        <w:jc w:val="center"/>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投标函</w:t>
      </w:r>
      <w:r/>
    </w:p>
    <w:p>
      <w:pPr>
        <w:jc w:val="left"/>
        <w:spacing w:line="500" w:lineRule="exact"/>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致：</w:t>
      </w:r>
      <w:r>
        <w:rPr>
          <w:rFonts w:hint="eastAsia" w:ascii="宋体" w:hAnsi="宋体" w:eastAsia="宋体" w:cs="宋体"/>
          <w:color w:val="000000"/>
          <w:sz w:val="24"/>
          <w:szCs w:val="21"/>
          <w:lang w:eastAsia="zh-CN"/>
        </w:rPr>
        <w:t xml:space="preserve">灌云县国有土地储备中心</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据此函，__________签字人兹宣布同意如下：</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1.按招标文件规定的各项要求，向买方提供所需服务（包含与服务相关的货物、工程）。</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2.我们完全理解贵方不一定将合同授予最低报价的投标人。</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7.与本投标有关的正式通讯地址为：</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投标人开户行：</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账        号： </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36"/>
        </w:rPr>
      </w:pPr>
      <w:r>
        <w:rPr>
          <w:rFonts w:hint="eastAsia" w:ascii="宋体" w:hAnsi="宋体" w:eastAsia="宋体" w:cs="宋体"/>
          <w:sz w:val="36"/>
        </w:rPr>
        <w:br w:type="page" w:clear="all"/>
      </w:r>
      <w:r/>
    </w:p>
    <w:p>
      <w:pPr>
        <w:jc w:val="left"/>
        <w:keepLines/>
        <w:keepNext/>
        <w:spacing w:before="360" w:after="200" w:line="360" w:lineRule="auto"/>
        <w:rPr>
          <w:rFonts w:hint="eastAsia" w:ascii="宋体" w:hAnsi="宋体" w:eastAsia="宋体" w:cs="宋体"/>
          <w:sz w:val="36"/>
        </w:rPr>
        <w:outlineLvl w:val="1"/>
      </w:pPr>
      <w:r>
        <w:rPr>
          <w:rFonts w:hint="eastAsia" w:ascii="宋体" w:hAnsi="宋体" w:eastAsia="宋体" w:cs="宋体"/>
          <w:sz w:val="36"/>
        </w:rPr>
        <w:t xml:space="preserve">十一、中小企业声明函（服务）</w:t>
      </w:r>
      <w:r/>
    </w:p>
    <w:p>
      <w:pPr>
        <w:jc w:val="center"/>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中小企业声明函</w:t>
      </w:r>
      <w:r/>
    </w:p>
    <w:p>
      <w:pPr>
        <w:ind w:firstLine="480"/>
        <w:spacing w:line="500" w:lineRule="exact"/>
        <w:rPr>
          <w:rFonts w:hint="eastAsia" w:ascii="宋体" w:hAnsi="宋体" w:eastAsia="宋体" w:cs="宋体"/>
          <w:sz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，分包号：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）采购活动，提供的</w:t>
      </w:r>
      <w:r>
        <w:rPr>
          <w:rFonts w:hint="eastAsia" w:ascii="宋体" w:hAnsi="宋体" w:eastAsia="宋体" w:cs="宋体"/>
          <w:sz w:val="24"/>
        </w:rPr>
        <w:t xml:space="preserve">服务全部由符合政策要求的中小企业承接。</w:t>
      </w:r>
      <w:r/>
    </w:p>
    <w:p>
      <w:pPr>
        <w:ind w:firstLine="480"/>
        <w:spacing w:line="50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firstLine="480"/>
        <w:spacing w:line="5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62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p>
    <w:p>
      <w:pPr>
        <w:ind w:right="114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2、请供应商如实填写，</w:t>
      </w:r>
      <w:r>
        <w:rPr>
          <w:rFonts w:hint="eastAsia" w:ascii="宋体" w:hAnsi="宋体" w:eastAsia="宋体" w:cs="宋体"/>
          <w:sz w:val="24"/>
        </w:rPr>
        <w:t xml:space="preserve">所填内容将作为评审的依据</w:t>
      </w:r>
      <w:r>
        <w:rPr>
          <w:rFonts w:hint="eastAsia" w:ascii="宋体" w:hAnsi="宋体" w:eastAsia="宋体" w:cs="宋体"/>
          <w:sz w:val="24"/>
          <w:szCs w:val="24"/>
        </w:rPr>
        <w:t xml:space="preserve">，如填写不完整或不一致或填写有误，将不享受扶持政策。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sz w:val="36"/>
        </w:rPr>
        <w:outlineLvl w:val="1"/>
      </w:pPr>
      <w:r>
        <w:rPr>
          <w:rFonts w:hint="eastAsia" w:ascii="宋体" w:hAnsi="宋体" w:eastAsia="宋体" w:cs="宋体"/>
          <w:sz w:val="36"/>
        </w:rPr>
        <w:t xml:space="preserve">十二、残疾人福利性单位声明函</w:t>
      </w:r>
      <w:r/>
    </w:p>
    <w:p>
      <w:pPr>
        <w:jc w:val="center"/>
        <w:spacing w:line="360" w:lineRule="auto"/>
        <w:tabs>
          <w:tab w:val="left" w:pos="360" w:leader="none"/>
        </w:tabs>
        <w:rPr>
          <w:rFonts w:hint="eastAsia" w:ascii="宋体" w:hAnsi="宋体" w:eastAsia="宋体" w:cs="宋体"/>
          <w:color w:val="000000"/>
          <w:sz w:val="24"/>
          <w:szCs w:val="21"/>
        </w:rPr>
      </w:pPr>
      <w:r>
        <w:rPr>
          <w:rFonts w:hint="eastAsia" w:ascii="宋体" w:hAnsi="宋体" w:eastAsia="宋体" w:cs="宋体"/>
          <w:bCs/>
          <w:sz w:val="36"/>
          <w:szCs w:val="28"/>
        </w:rPr>
        <w:t xml:space="preserve">残疾人福利性单位声明函</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单位的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项目（</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，分包号：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1"/>
        </w:rPr>
        <w:t xml:space="preserve">）采购活动由本单位提供全部服务。</w:t>
      </w:r>
      <w:r/>
    </w:p>
    <w:p>
      <w:pPr>
        <w:ind w:firstLine="480"/>
        <w:spacing w:line="500" w:lineRule="exact"/>
        <w:rPr>
          <w:rFonts w:hint="default" w:ascii="宋体" w:hAnsi="宋体" w:eastAsia="宋体" w:cs="宋体"/>
          <w:color w:val="000000"/>
          <w:sz w:val="24"/>
          <w:szCs w:val="21"/>
          <w:lang w:val="en-US" w:eastAsia="zh-CN"/>
        </w:rPr>
      </w:pPr>
      <w:r>
        <w:rPr>
          <w:rFonts w:hint="eastAsia" w:ascii="宋体" w:hAnsi="宋体" w:eastAsia="宋体" w:cs="宋体"/>
          <w:color w:val="000000"/>
          <w:sz w:val="24"/>
          <w:szCs w:val="21"/>
          <w:lang w:val="en-US" w:eastAsia="zh-CN"/>
        </w:rPr>
        <w:t xml:space="preserve">......</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right="162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p>
    <w:p>
      <w:pPr>
        <w:ind w:right="114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请供应商如实填写，</w:t>
      </w:r>
      <w:r>
        <w:rPr>
          <w:rFonts w:hint="eastAsia" w:ascii="宋体" w:hAnsi="宋体" w:eastAsia="宋体" w:cs="宋体"/>
          <w:bCs/>
          <w:sz w:val="24"/>
        </w:rPr>
        <w:t xml:space="preserve">所填内容将作为评审的依据</w:t>
      </w:r>
      <w:r>
        <w:rPr>
          <w:rFonts w:hint="eastAsia" w:ascii="宋体" w:hAnsi="宋体" w:eastAsia="宋体" w:cs="宋体"/>
          <w:sz w:val="24"/>
          <w:szCs w:val="24"/>
        </w:rPr>
        <w:t xml:space="preserve">，如填写不完整或不一致或填写有误，将不享受扶持政策。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36"/>
        </w:rPr>
      </w:pPr>
      <w:r>
        <w:rPr>
          <w:rFonts w:hint="eastAsia" w:ascii="宋体" w:hAnsi="宋体" w:eastAsia="宋体" w:cs="宋体"/>
          <w:sz w:val="36"/>
        </w:rPr>
        <w:br w:type="page" w:clear="all"/>
      </w:r>
      <w:r/>
    </w:p>
    <w:p>
      <w:pPr>
        <w:jc w:val="left"/>
        <w:keepLines/>
        <w:keepNext/>
        <w:spacing w:before="360" w:after="200" w:line="360" w:lineRule="auto"/>
        <w:rPr>
          <w:rFonts w:hint="eastAsia" w:ascii="宋体" w:hAnsi="宋体" w:eastAsia="宋体" w:cs="宋体"/>
          <w:sz w:val="36"/>
        </w:rPr>
        <w:outlineLvl w:val="1"/>
      </w:pPr>
      <w:r>
        <w:rPr>
          <w:rFonts w:hint="eastAsia" w:ascii="宋体" w:hAnsi="宋体" w:eastAsia="宋体" w:cs="宋体"/>
          <w:sz w:val="36"/>
        </w:rPr>
        <w:t xml:space="preserve">十三、关于符合本国产品标准的声明函</w:t>
      </w:r>
      <w:r/>
    </w:p>
    <w:p>
      <w:pPr>
        <w:jc w:val="center"/>
        <w:keepLines/>
        <w:keepNext/>
        <w:pageBreakBefore w:val="0"/>
        <w:spacing w:line="240" w:lineRule="auto"/>
        <w:widowControl w:val="off"/>
        <w:rPr>
          <w:rFonts w:hint="eastAsia" w:ascii="宋体" w:hAnsi="宋体" w:eastAsia="宋体" w:cs="宋体"/>
          <w:sz w:val="36"/>
        </w:rPr>
        <w:outlineLvl w:val="1"/>
      </w:pPr>
      <w:r>
        <w:rPr>
          <w:rFonts w:hint="eastAsia" w:ascii="宋体" w:hAnsi="宋体" w:eastAsia="宋体" w:cs="宋体"/>
          <w:sz w:val="36"/>
        </w:rPr>
        <w:t xml:space="preserve">关于符合本国产品标准的声明函</w:t>
      </w:r>
      <w:r/>
    </w:p>
    <w:p>
      <w:pPr>
        <w:ind w:firstLine="420"/>
        <w:jc w:val="left"/>
        <w:spacing w:before="0" w:beforeAutospacing="0" w:after="0" w:afterAutospacing="0" w:line="360" w:lineRule="auto"/>
        <w:rPr>
          <w:rFonts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0" o:spid="_x0000_s0" style="position:absolute;z-index:251660288;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 o:spid="_x0000_s1" style="position:absolute;z-index:251659264;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9504;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1564005</wp:posOffset>
                </wp:positionH>
                <wp:positionV relativeFrom="paragraph">
                  <wp:posOffset>741045</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123.1pt;mso-position-horizontal:absolute;mso-position-vertical-relative:text;margin-top:58.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695960</wp:posOffset>
                </wp:positionH>
                <wp:positionV relativeFrom="paragraph">
                  <wp:posOffset>738505</wp:posOffset>
                </wp:positionV>
                <wp:extent cx="364490"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54.8pt;mso-position-horizontal:absolute;mso-position-vertical-relative:text;margin-top:58.1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4843145</wp:posOffset>
                </wp:positionH>
                <wp:positionV relativeFrom="paragraph">
                  <wp:posOffset>115570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381.3pt;mso-position-horizontal:absolute;mso-position-vertical-relative:text;margin-top:9.1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4"/>
          <w:szCs w:val="24"/>
          <w:u w:val="single"/>
          <w:shd w:val="clear" w:color="auto" w:fill="ffffff"/>
          <w:lang w:val="en-US" w:eastAsia="zh-CN" w:bidi="ar-SA"/>
        </w:rPr>
        <w:t xml:space="preserve">（产品名称1）</w:t>
      </w:r>
      <w:r>
        <w:rPr>
          <w:rFonts w:hint="eastAsia" w:ascii="宋体" w:hAnsi="宋体" w:eastAsia="宋体" w:cs="宋体"/>
          <w:i w:val="0"/>
          <w:sz w:val="24"/>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4"/>
          <w:szCs w:val="24"/>
          <w:u w:val="single"/>
          <w:shd w:val="clear" w:color="auto" w:fill="ffffff"/>
          <w:lang w:val="en-US" w:eastAsia="zh-CN" w:bidi="ar-SA"/>
        </w:rPr>
        <w:t xml:space="preserve">（厂名）</w:t>
      </w:r>
      <w:r>
        <w:rPr>
          <w:rFonts w:hint="eastAsia" w:ascii="宋体" w:hAnsi="宋体" w:eastAsia="宋体" w:cs="宋体"/>
          <w:i w:val="0"/>
          <w:sz w:val="24"/>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4"/>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4"/>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4"/>
          <w:szCs w:val="24"/>
          <w:u w:val="single"/>
          <w:shd w:val="clear" w:color="auto" w:fill="ffffff"/>
          <w:lang w:val="en-US" w:eastAsia="zh-CN" w:bidi="ar-SA"/>
        </w:rPr>
        <w:t xml:space="preserve">（规定比例）</w:t>
      </w:r>
      <w:r>
        <w:rPr>
          <w:rFonts w:hint="eastAsia" w:ascii="宋体" w:hAnsi="宋体" w:eastAsia="宋体" w:cs="宋体"/>
          <w:i w:val="0"/>
          <w:sz w:val="24"/>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4"/>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4"/>
          <w:szCs w:val="24"/>
          <w:u w:val="single"/>
          <w:shd w:val="clear" w:color="auto" w:fill="ffffff"/>
          <w:lang w:val="en-US" w:eastAsia="zh-CN" w:bidi="ar-SA"/>
        </w:rPr>
        <w:t xml:space="preserve">（关键组件）</w:t>
      </w:r>
      <w:r>
        <w:rPr>
          <w:rFonts w:hint="eastAsia" w:ascii="宋体" w:hAnsi="宋体" w:eastAsia="宋体" w:cs="宋体"/>
          <w:i w:val="0"/>
          <w:sz w:val="24"/>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4"/>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4"/>
          <w:szCs w:val="24"/>
          <w:u w:val="single"/>
          <w:shd w:val="clear" w:color="auto" w:fill="ffffff"/>
          <w:lang w:val="en-US" w:eastAsia="zh-CN" w:bidi="ar-SA"/>
        </w:rPr>
        <w:t xml:space="preserve">（关键工序）</w:t>
      </w:r>
      <w:r>
        <w:rPr>
          <w:rFonts w:hint="eastAsia" w:ascii="宋体" w:hAnsi="宋体" w:eastAsia="宋体" w:cs="宋体"/>
          <w:i w:val="0"/>
          <w:sz w:val="24"/>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4714240</wp:posOffset>
                </wp:positionH>
                <wp:positionV relativeFrom="paragraph">
                  <wp:posOffset>78740</wp:posOffset>
                </wp:positionV>
                <wp:extent cx="71818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70528;o:allowoverlap:true;o:allowincell:true;mso-position-horizontal-relative:text;margin-left:371.2pt;mso-position-horizontal:absolute;mso-position-vertical-relative:text;margin-top: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1210310</wp:posOffset>
                </wp:positionH>
                <wp:positionV relativeFrom="paragraph">
                  <wp:posOffset>673735</wp:posOffset>
                </wp:positionV>
                <wp:extent cx="908685" cy="1409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64384;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1718945</wp:posOffset>
                </wp:positionH>
                <wp:positionV relativeFrom="paragraph">
                  <wp:posOffset>324485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68480;o:allowoverlap:true;o:allowincell:true;mso-position-horizontal-relative:text;margin-left:135.3pt;mso-position-horizontal:absolute;mso-position-vertical-relative:text;margin-top:25.5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7155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4"/>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4"/>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4"/>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4"/>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4"/>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4"/>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4"/>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4"/>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4"/>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p>
    <w:p>
      <w:pPr>
        <w:ind w:right="480" w:firstLine="4728"/>
        <w:jc w:val="left"/>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  日         1.产品如有型号，请在“产品名称”栏一并填写。</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6.用斜线划除的地方无需填写。</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rPr>
        <w:t xml:space="preserve">7.请供应商如实</w:t>
      </w:r>
      <w:r>
        <w:rPr>
          <w:rFonts w:hint="eastAsia" w:ascii="宋体" w:hAnsi="宋体" w:eastAsia="宋体" w:cs="宋体"/>
          <w:sz w:val="24"/>
          <w:szCs w:val="24"/>
          <w:shd w:val="clear" w:color="auto" w:fill="ffffff"/>
          <w:lang w:val="en-US" w:eastAsia="zh-CN" w:bidi="ar-SA"/>
        </w:rPr>
        <w:t xml:space="preserve">填写，如填写有误，将承担一切不利后果。</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8.供应商提供虚假《声明函》、虚假证明文件谋取中标的，依照《中华人民共和国政府采购法》等法律法规规定追究相应责任。</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9.中标人的《声明函》或有关证明文件随中标结果公开，接受社会监督。</w:t>
      </w:r>
      <w:r/>
    </w:p>
    <w:p>
      <w:pPr>
        <w:rPr>
          <w:rFonts w:hint="eastAsia" w:ascii="宋体" w:hAnsi="宋体" w:eastAsia="宋体" w:cs="宋体"/>
          <w:sz w:val="36"/>
        </w:rPr>
      </w:pPr>
      <w:r>
        <w:rPr>
          <w:rFonts w:hint="eastAsia" w:ascii="宋体" w:hAnsi="宋体" w:eastAsia="宋体" w:cs="宋体"/>
          <w:sz w:val="36"/>
        </w:rPr>
        <w:br w:type="page" w:clear="all"/>
      </w:r>
      <w:r/>
    </w:p>
    <w:p>
      <w:pPr>
        <w:spacing w:line="500" w:lineRule="exact"/>
        <w:rPr>
          <w:rFonts w:hint="eastAsia" w:ascii="宋体" w:hAnsi="宋体" w:eastAsia="宋体" w:cs="宋体"/>
          <w:i/>
          <w:iCs/>
          <w:sz w:val="36"/>
          <w:u w:val="single"/>
        </w:rPr>
      </w:pPr>
      <w:r>
        <w:rPr>
          <w:rFonts w:hint="eastAsia" w:ascii="宋体" w:hAnsi="宋体" w:eastAsia="宋体" w:cs="宋体"/>
          <w:sz w:val="36"/>
        </w:rPr>
        <w:t xml:space="preserve">十</w:t>
      </w:r>
      <w:r>
        <w:rPr>
          <w:rFonts w:hint="eastAsia" w:ascii="宋体" w:hAnsi="宋体" w:eastAsia="宋体" w:cs="宋体"/>
          <w:sz w:val="36"/>
          <w:lang w:eastAsia="zh-CN"/>
        </w:rPr>
        <w:t xml:space="preserve">四、</w:t>
      </w:r>
      <w:r>
        <w:rPr>
          <w:rFonts w:hint="eastAsia" w:ascii="宋体" w:hAnsi="宋体" w:eastAsia="宋体" w:cs="宋体"/>
          <w:i/>
          <w:iCs/>
          <w:sz w:val="36"/>
          <w:u w:val="single"/>
        </w:rPr>
        <w:t xml:space="preserve">投标分项报价表</w:t>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投标分项报价表</w:t>
      </w:r>
      <w:r/>
    </w:p>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项目名称：      项目编号：      分包号：</w:t>
      </w:r>
      <w:r>
        <w:rPr>
          <w:rFonts w:hint="eastAsia" w:ascii="宋体" w:hAnsi="宋体" w:eastAsia="宋体" w:cs="宋体"/>
          <w:bCs/>
          <w:color w:val="000000"/>
          <w:sz w:val="24"/>
          <w:szCs w:val="24"/>
        </w:rPr>
        <w:t xml:space="preserve"> </w:t>
      </w:r>
      <w:r/>
    </w:p>
    <w:p>
      <w:pPr>
        <w:jc w:val="righ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单位：元</w:t>
      </w:r>
      <w:r/>
    </w:p>
    <w:tbl>
      <w:tblPr>
        <w:tblStyle w:val="64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1756"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产品、服务（标的）名称</w:t>
            </w:r>
            <w:r/>
          </w:p>
        </w:tc>
        <w:tc>
          <w:tcPr>
            <w:tcW w:w="1417"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分项单位</w:t>
            </w:r>
            <w:r/>
          </w:p>
        </w:tc>
        <w:tc>
          <w:tcPr>
            <w:tcW w:w="993"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数量</w:t>
            </w:r>
            <w:r/>
          </w:p>
        </w:tc>
        <w:tc>
          <w:tcPr>
            <w:tcW w:w="1093"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单价</w:t>
            </w:r>
            <w:r/>
          </w:p>
        </w:tc>
        <w:tc>
          <w:tcPr>
            <w:tcW w:w="2350"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单项</w:t>
            </w:r>
            <w:r/>
          </w:p>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93"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350"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93"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350"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93"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350"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总计（元）</w:t>
            </w:r>
            <w:r/>
          </w:p>
        </w:tc>
        <w:tc>
          <w:tcPr>
            <w:tcW w:w="2350" w:type="dxa"/>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法定代表人（单位负责人）或委托代理人（签字或盖章）：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ind w:firstLine="480"/>
        <w:spacing w:line="5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十</w:t>
      </w:r>
      <w:r>
        <w:rPr>
          <w:rFonts w:hint="eastAsia" w:ascii="宋体" w:hAnsi="宋体" w:eastAsia="宋体" w:cs="宋体"/>
          <w:i/>
          <w:iCs/>
          <w:sz w:val="36"/>
          <w:u w:val="single"/>
          <w:lang w:eastAsia="zh-CN"/>
        </w:rPr>
        <w:t xml:space="preserve">五</w:t>
      </w:r>
      <w:r>
        <w:rPr>
          <w:rFonts w:hint="eastAsia" w:ascii="宋体" w:hAnsi="宋体" w:eastAsia="宋体" w:cs="宋体"/>
          <w:i/>
          <w:iCs/>
          <w:sz w:val="36"/>
          <w:u w:val="single"/>
        </w:rPr>
        <w:t xml:space="preserve">、技术要求响应及偏离表</w:t>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技术要求响应及偏离表</w:t>
      </w:r>
      <w:r/>
    </w:p>
    <w:p>
      <w:pPr>
        <w:jc w:val="left"/>
        <w:spacing w:line="360" w:lineRule="auto"/>
        <w:rPr>
          <w:rFonts w:hint="eastAsia" w:ascii="宋体" w:hAnsi="宋体" w:eastAsia="宋体" w:cs="宋体"/>
          <w:sz w:val="36"/>
        </w:rPr>
      </w:pPr>
      <w:r>
        <w:rPr>
          <w:rFonts w:hint="eastAsia" w:ascii="宋体" w:hAnsi="宋体" w:eastAsia="宋体" w:cs="宋体"/>
          <w:color w:val="000000"/>
          <w:sz w:val="24"/>
          <w:szCs w:val="24"/>
        </w:rPr>
        <w:t xml:space="preserve">项目名称：      项目编号：      分包号：</w:t>
      </w:r>
      <w:r>
        <w:rPr>
          <w:rFonts w:hint="eastAsia" w:ascii="宋体" w:hAnsi="宋体" w:eastAsia="宋体" w:cs="宋体"/>
          <w:bCs/>
          <w:color w:val="000000"/>
          <w:sz w:val="24"/>
          <w:szCs w:val="24"/>
        </w:rPr>
        <w:t xml:space="preserve"> </w:t>
      </w:r>
      <w:r/>
    </w:p>
    <w:tbl>
      <w:tblPr>
        <w:tblStyle w:val="6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bookmarkStart w:id="18" w:name="_Hlt26955054"/>
      <w:r/>
      <w:bookmarkEnd w:id="18"/>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十</w:t>
      </w:r>
      <w:r>
        <w:rPr>
          <w:rFonts w:hint="eastAsia" w:ascii="宋体" w:hAnsi="宋体" w:eastAsia="宋体" w:cs="宋体"/>
          <w:i/>
          <w:iCs/>
          <w:sz w:val="36"/>
          <w:u w:val="single"/>
          <w:lang w:eastAsia="zh-CN"/>
        </w:rPr>
        <w:t xml:space="preserve">六</w:t>
      </w:r>
      <w:r>
        <w:rPr>
          <w:rFonts w:hint="eastAsia" w:ascii="宋体" w:hAnsi="宋体" w:eastAsia="宋体" w:cs="宋体"/>
          <w:i/>
          <w:iCs/>
          <w:sz w:val="36"/>
          <w:u w:val="single"/>
        </w:rPr>
        <w:t xml:space="preserve">、商务要求响应及偏离表</w:t>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商务要求响应及偏离表</w:t>
      </w:r>
      <w:r/>
    </w:p>
    <w:p>
      <w:pPr>
        <w:jc w:val="left"/>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分包号：</w:t>
      </w:r>
      <w:r>
        <w:rPr>
          <w:rFonts w:hint="eastAsia" w:ascii="宋体" w:hAnsi="宋体" w:eastAsia="宋体" w:cs="宋体"/>
          <w:bCs/>
          <w:color w:val="000000"/>
          <w:sz w:val="24"/>
          <w:szCs w:val="24"/>
        </w:rPr>
        <w:t xml:space="preserve"> </w:t>
      </w:r>
      <w:r/>
    </w:p>
    <w:tbl>
      <w:tblPr>
        <w:tblStyle w:val="64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000000"/>
                <w:sz w:val="24"/>
                <w:szCs w:val="24"/>
              </w:rPr>
            </w:pPr>
            <w:r/>
            <w:bookmarkStart w:id="19" w:name="_Hlt26782999"/>
            <w:r/>
            <w:bookmarkEnd w:id="19"/>
            <w:r/>
            <w:bookmarkStart w:id="20" w:name="_Hlt26609391"/>
            <w:r/>
            <w:bookmarkEnd w:id="20"/>
            <w:r/>
            <w:bookmarkStart w:id="21" w:name="_Hlt26955056"/>
            <w:r/>
            <w:bookmarkEnd w:id="21"/>
            <w:r/>
            <w:bookmarkStart w:id="22" w:name="_Hlt24879081"/>
            <w:r/>
            <w:bookmarkEnd w:id="22"/>
            <w:r/>
            <w:bookmarkStart w:id="23" w:name="_Hlt26671343"/>
            <w:r/>
            <w:bookmarkEnd w:id="23"/>
            <w:r/>
            <w:bookmarkStart w:id="24" w:name="_Hlt26671372"/>
            <w:r/>
            <w:bookmarkEnd w:id="24"/>
            <w:r/>
            <w:bookmarkStart w:id="25" w:name="_Hlt26580838"/>
            <w:r/>
            <w:bookmarkEnd w:id="25"/>
            <w:r/>
            <w:bookmarkStart w:id="26" w:name="_Hlt26955064"/>
            <w:r/>
            <w:bookmarkEnd w:id="26"/>
            <w:r>
              <w:rPr>
                <w:rFonts w:hint="eastAsia" w:ascii="宋体" w:hAnsi="宋体" w:eastAsia="宋体" w:cs="宋体"/>
                <w:color w:val="000000"/>
                <w:sz w:val="24"/>
                <w:szCs w:val="24"/>
              </w:rPr>
              <w:t xml:space="preserve">序号</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rPr>
      </w:pPr>
      <w:r/>
      <w:bookmarkStart w:id="27" w:name="_格式2__法定代表人授权书"/>
      <w:r/>
      <w:bookmarkEnd w:id="27"/>
      <w:r/>
      <w:bookmarkStart w:id="28" w:name="_Hlt26671374"/>
      <w:r/>
      <w:bookmarkEnd w:id="28"/>
      <w:r/>
      <w:bookmarkStart w:id="29" w:name="_Hlt26609389"/>
      <w:r/>
      <w:bookmarkEnd w:id="29"/>
      <w:r/>
      <w:bookmarkStart w:id="30" w:name="_Hlt26955066"/>
      <w:r/>
      <w:bookmarkEnd w:id="30"/>
      <w:r/>
      <w:r/>
    </w:p>
    <w:p>
      <w:pPr>
        <w:rPr>
          <w:rFonts w:hint="eastAsia" w:ascii="宋体" w:hAnsi="宋体" w:eastAsia="宋体" w:cs="宋体"/>
          <w:iCs/>
          <w:sz w:val="36"/>
        </w:rPr>
      </w:pPr>
      <w:r>
        <w:rPr>
          <w:rFonts w:hint="eastAsia" w:ascii="宋体" w:hAnsi="宋体" w:eastAsia="宋体" w:cs="宋体"/>
          <w:iCs/>
          <w:sz w:val="36"/>
        </w:rPr>
        <w:br w:type="page" w:clear="all"/>
      </w:r>
      <w:r/>
    </w:p>
    <w:p>
      <w:pPr>
        <w:jc w:val="left"/>
        <w:keepLines/>
        <w:keepNext/>
        <w:spacing w:before="360" w:after="200" w:line="360" w:lineRule="auto"/>
        <w:rPr>
          <w:rFonts w:hint="eastAsia" w:ascii="宋体" w:hAnsi="宋体" w:eastAsia="宋体" w:cs="宋体"/>
          <w:iCs/>
          <w:sz w:val="36"/>
        </w:rPr>
        <w:outlineLvl w:val="1"/>
      </w:pPr>
      <w:r>
        <w:rPr>
          <w:rFonts w:hint="eastAsia" w:ascii="宋体" w:hAnsi="宋体" w:eastAsia="宋体" w:cs="宋体"/>
          <w:iCs/>
          <w:sz w:val="36"/>
        </w:rPr>
        <w:t xml:space="preserve">十</w:t>
      </w:r>
      <w:r>
        <w:rPr>
          <w:rFonts w:hint="eastAsia" w:ascii="宋体" w:hAnsi="宋体" w:eastAsia="宋体" w:cs="宋体"/>
          <w:iCs/>
          <w:sz w:val="36"/>
          <w:lang w:eastAsia="zh-CN"/>
        </w:rPr>
        <w:t xml:space="preserve">七</w:t>
      </w:r>
      <w:r>
        <w:rPr>
          <w:rFonts w:hint="eastAsia" w:ascii="宋体" w:hAnsi="宋体" w:eastAsia="宋体" w:cs="宋体"/>
          <w:iCs/>
          <w:sz w:val="36"/>
        </w:rPr>
        <w:t xml:space="preserve">、类似项目业绩一览表</w:t>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类似项目业绩一览表</w:t>
      </w:r>
      <w:r/>
    </w:p>
    <w:p>
      <w:pPr>
        <w:jc w:val="left"/>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分包号：</w:t>
      </w:r>
      <w:r>
        <w:rPr>
          <w:rFonts w:hint="eastAsia" w:ascii="宋体" w:hAnsi="宋体" w:eastAsia="宋体" w:cs="宋体"/>
          <w:bCs/>
          <w:color w:val="000000"/>
          <w:sz w:val="24"/>
          <w:szCs w:val="24"/>
        </w:rPr>
        <w:t xml:space="preserve"> </w:t>
      </w:r>
      <w:r/>
    </w:p>
    <w:tbl>
      <w:tblPr>
        <w:tblStyle w:val="6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85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w:t>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Cs/>
          <w:sz w:val="36"/>
        </w:rPr>
      </w:pPr>
      <w:r>
        <w:rPr>
          <w:rFonts w:hint="eastAsia" w:ascii="宋体" w:hAnsi="宋体" w:eastAsia="宋体" w:cs="宋体"/>
          <w:iCs/>
          <w:sz w:val="36"/>
        </w:rPr>
        <w:br w:type="page" w:clear="all"/>
      </w:r>
      <w:r/>
    </w:p>
    <w:p>
      <w:pPr>
        <w:jc w:val="left"/>
        <w:keepLines/>
        <w:keepNext/>
        <w:spacing w:before="360" w:after="200" w:line="360" w:lineRule="auto"/>
        <w:rPr>
          <w:rFonts w:hint="eastAsia" w:ascii="宋体" w:hAnsi="宋体" w:eastAsia="宋体" w:cs="宋体"/>
          <w:iCs/>
          <w:sz w:val="36"/>
        </w:rPr>
        <w:outlineLvl w:val="1"/>
      </w:pPr>
      <w:r>
        <w:rPr>
          <w:rFonts w:hint="eastAsia" w:ascii="宋体" w:hAnsi="宋体" w:eastAsia="宋体" w:cs="宋体"/>
          <w:iCs/>
          <w:sz w:val="36"/>
        </w:rPr>
        <w:t xml:space="preserve">十</w:t>
      </w:r>
      <w:r>
        <w:rPr>
          <w:rFonts w:hint="eastAsia" w:ascii="宋体" w:hAnsi="宋体" w:eastAsia="宋体" w:cs="宋体"/>
          <w:iCs/>
          <w:sz w:val="36"/>
          <w:lang w:eastAsia="zh-CN"/>
        </w:rPr>
        <w:t xml:space="preserve">八</w:t>
      </w:r>
      <w:r>
        <w:rPr>
          <w:rFonts w:hint="eastAsia" w:ascii="宋体" w:hAnsi="宋体" w:eastAsia="宋体" w:cs="宋体"/>
          <w:iCs/>
          <w:sz w:val="36"/>
        </w:rPr>
        <w:t xml:space="preserve">、项目团队人员一览表</w:t>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项目团队人员一览表</w:t>
      </w:r>
      <w:r/>
    </w:p>
    <w:p>
      <w:pPr>
        <w:jc w:val="left"/>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分包号：</w:t>
      </w:r>
      <w:r>
        <w:rPr>
          <w:rFonts w:hint="eastAsia" w:ascii="宋体" w:hAnsi="宋体" w:eastAsia="宋体" w:cs="宋体"/>
          <w:bCs/>
          <w:color w:val="000000"/>
          <w:sz w:val="24"/>
          <w:szCs w:val="24"/>
        </w:rPr>
        <w:t xml:space="preserve"> </w:t>
      </w:r>
      <w:r/>
    </w:p>
    <w:tbl>
      <w:tblPr>
        <w:tblStyle w:val="6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学历</w:t>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年龄</w:t>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36"/>
          <w:u w:val="single"/>
        </w:rPr>
      </w:pPr>
      <w:r>
        <w:rPr>
          <w:rFonts w:hint="eastAsia" w:ascii="宋体" w:hAnsi="宋体" w:eastAsia="宋体" w:cs="宋体"/>
          <w:i/>
          <w:sz w:val="36"/>
          <w:u w:val="single"/>
        </w:rPr>
        <w:br w:type="page" w:clear="all"/>
      </w:r>
      <w:r/>
    </w:p>
    <w:p>
      <w:pPr>
        <w:jc w:val="left"/>
        <w:keepLines/>
        <w:keepNext/>
        <w:spacing w:before="360" w:after="200" w:line="360" w:lineRule="auto"/>
        <w:rPr>
          <w:rFonts w:hint="eastAsia" w:ascii="宋体" w:hAnsi="宋体" w:eastAsia="宋体" w:cs="宋体"/>
          <w:i/>
          <w:sz w:val="36"/>
          <w:u w:val="single"/>
        </w:rPr>
        <w:outlineLvl w:val="1"/>
      </w:pPr>
      <w:r>
        <w:rPr>
          <w:rFonts w:hint="eastAsia" w:ascii="宋体" w:hAnsi="宋体" w:eastAsia="宋体" w:cs="宋体"/>
          <w:i/>
          <w:sz w:val="36"/>
          <w:u w:val="single"/>
        </w:rPr>
        <w:t xml:space="preserve">十</w:t>
      </w:r>
      <w:r>
        <w:rPr>
          <w:rFonts w:hint="eastAsia" w:ascii="宋体" w:hAnsi="宋体" w:eastAsia="宋体" w:cs="宋体"/>
          <w:i/>
          <w:sz w:val="36"/>
          <w:u w:val="single"/>
          <w:lang w:eastAsia="zh-CN"/>
        </w:rPr>
        <w:t xml:space="preserve">九</w:t>
      </w:r>
      <w:r>
        <w:rPr>
          <w:rFonts w:hint="eastAsia" w:ascii="宋体" w:hAnsi="宋体" w:eastAsia="宋体" w:cs="宋体"/>
          <w:i/>
          <w:sz w:val="36"/>
          <w:u w:val="single"/>
        </w:rPr>
        <w:t xml:space="preserve">、开标一览表</w:t>
      </w:r>
      <w:r/>
    </w:p>
    <w:p>
      <w:pPr>
        <w:jc w:val="left"/>
        <w:spacing w:line="360" w:lineRule="auto"/>
        <w:rPr>
          <w:rFonts w:hint="eastAsia" w:ascii="宋体" w:hAnsi="宋体" w:eastAsia="宋体" w:cs="宋体"/>
          <w:color w:val="000000" w:themeColor="text1"/>
          <w:sz w:val="36"/>
        </w:rPr>
      </w:pPr>
      <w:r>
        <w:rPr>
          <w:rFonts w:hint="eastAsia" w:ascii="宋体" w:hAnsi="宋体" w:eastAsia="宋体" w:cs="宋体"/>
          <w:color w:val="000000" w:themeColor="text1"/>
          <w:sz w:val="24"/>
          <w:szCs w:val="24"/>
        </w:rPr>
        <w:t xml:space="preserve">项目编号：      分包号：</w:t>
      </w:r>
      <w:r>
        <w:rPr>
          <w:rFonts w:hint="eastAsia" w:ascii="宋体" w:hAnsi="宋体" w:eastAsia="宋体" w:cs="宋体"/>
          <w:bCs/>
          <w:color w:val="000000" w:themeColor="text1"/>
          <w:sz w:val="24"/>
          <w:szCs w:val="24"/>
        </w:rPr>
        <w:t xml:space="preserve"> </w:t>
      </w:r>
      <w:r/>
    </w:p>
    <w:tbl>
      <w:tblPr>
        <w:tblStyle w:val="6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项目名称</w:t>
            </w:r>
            <w:r/>
          </w:p>
        </w:tc>
        <w:tc>
          <w:tcPr>
            <w:tcW w:w="2841" w:type="dxa"/>
            <w:textDirection w:val="lrTb"/>
            <w:noWrap w:val="false"/>
          </w:tcPr>
          <w:p>
            <w:pPr>
              <w:jc w:val="center"/>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项目内容</w:t>
            </w:r>
            <w:r/>
          </w:p>
        </w:tc>
        <w:tc>
          <w:tcPr>
            <w:tcW w:w="2841" w:type="dxa"/>
            <w:textDirection w:val="lrTb"/>
            <w:noWrap w:val="false"/>
          </w:tcPr>
          <w:p>
            <w:pPr>
              <w:jc w:val="center"/>
              <w:spacing w:line="500" w:lineRule="exact"/>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优惠率</w:t>
            </w:r>
            <w:r/>
          </w:p>
        </w:tc>
      </w:tr>
      <w:tr>
        <w:trPr/>
        <w:tc>
          <w:tcPr>
            <w:tcW w:w="2840" w:type="dxa"/>
            <w:textDirection w:val="lrTb"/>
            <w:noWrap w:val="false"/>
          </w:tcPr>
          <w:p>
            <w:pPr>
              <w:jc w:val="center"/>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2841" w:type="dxa"/>
            <w:textDirection w:val="lrTb"/>
            <w:noWrap w:val="false"/>
          </w:tcPr>
          <w:p>
            <w:pPr>
              <w:jc w:val="center"/>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详见投标文件</w:t>
            </w:r>
            <w:r/>
          </w:p>
        </w:tc>
        <w:tc>
          <w:tcPr>
            <w:tcW w:w="2841" w:type="dxa"/>
            <w:textDirection w:val="lrTb"/>
            <w:noWrap w:val="false"/>
          </w:tcPr>
          <w:p>
            <w:pPr>
              <w:jc w:val="center"/>
              <w:spacing w:line="500" w:lineRule="exact"/>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val="en-US" w:eastAsia="zh-CN"/>
              </w:rPr>
              <w:t xml:space="preserve">%</w:t>
            </w:r>
            <w:r/>
          </w:p>
        </w:tc>
      </w:tr>
      <w:tr>
        <w:trPr/>
        <w:tc>
          <w:tcPr>
            <w:tcW w:w="2840" w:type="dxa"/>
            <w:textDirection w:val="lrTb"/>
            <w:noWrap w:val="false"/>
          </w:tcPr>
          <w:p>
            <w:pPr>
              <w:jc w:val="center"/>
              <w:spacing w:line="500" w:lineRule="exact"/>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投标优惠率报价（</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color w:val="000000" w:themeColor="text1"/>
                <w:sz w:val="24"/>
                <w:szCs w:val="24"/>
                <w:lang w:eastAsia="zh-CN"/>
              </w:rPr>
              <w:t xml:space="preserve">）</w:t>
            </w:r>
            <w:r/>
          </w:p>
        </w:tc>
        <w:tc>
          <w:tcPr>
            <w:gridSpan w:val="2"/>
            <w:tcW w:w="5682" w:type="dxa"/>
            <w:textDirection w:val="lrTb"/>
            <w:noWrap w:val="false"/>
          </w:tcPr>
          <w:p>
            <w:pPr>
              <w:jc w:val="center"/>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bl>
    <w:p>
      <w:pPr>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投标人公章：   （电子签章）</w:t>
      </w:r>
      <w:r/>
    </w:p>
    <w:p>
      <w:pPr>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①本项目为优惠率报价，请各响应单位正确理解优惠率报价含义，如导致不利的后果由响应单位自行承担。</w:t>
      </w:r>
      <w:r/>
    </w:p>
    <w:p>
      <w:pPr>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②“苏采云”系统中填报优惠率，优惠率=100%-折扣。举例：若折扣为八折（80%），则“苏采云”系统填报优惠率为100%-80%=20%，以此类推。</w:t>
      </w:r>
      <w:r/>
    </w:p>
    <w:p>
      <w:pPr>
        <w:spacing w:line="5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p>
      <w:pPr>
        <w:ind w:firstLine="480"/>
        <w:spacing w:line="5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p>
      <w:pPr>
        <w:rPr>
          <w:rFonts w:hint="eastAsia"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t xml:space="preserve">质疑函范本</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一、质疑供应商基本信息</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招标人名称：</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p>
    <w:p>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MS Mincho">
    <w:panose1 w:val="02020603050405090304"/>
  </w:font>
  <w:font w:name="黑体">
    <w:panose1 w:val="02010609060101010101"/>
  </w:font>
  <w:font w:name="Calibri">
    <w:panose1 w:val="020F0502020204030204"/>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jc w:val="center"/>
    </w:pPr>
    <w:r/>
    <w:r/>
  </w:p>
  <w:p>
    <w:pPr>
      <w:pStyle w:val="6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64"/>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6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default="1">
    <w:name w:val="Normal"/>
    <w:next w:val="650"/>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39">
    <w:name w:val="Heading 1"/>
    <w:basedOn w:val="638"/>
    <w:next w:val="638"/>
    <w:link w:val="846"/>
    <w:uiPriority w:val="9"/>
    <w:qFormat/>
    <w:pPr>
      <w:keepLines/>
      <w:keepNext/>
      <w:spacing w:before="340" w:after="330" w:line="578" w:lineRule="auto"/>
      <w:outlineLvl w:val="0"/>
    </w:pPr>
    <w:rPr>
      <w:b/>
      <w:bCs/>
      <w:sz w:val="44"/>
      <w:szCs w:val="44"/>
    </w:rPr>
  </w:style>
  <w:style w:type="paragraph" w:styleId="640">
    <w:name w:val="Heading 2"/>
    <w:basedOn w:val="638"/>
    <w:next w:val="638"/>
    <w:link w:val="84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1">
    <w:name w:val="Heading 3"/>
    <w:basedOn w:val="638"/>
    <w:next w:val="638"/>
    <w:link w:val="849"/>
    <w:uiPriority w:val="9"/>
    <w:unhideWhenUsed/>
    <w:qFormat/>
    <w:pPr>
      <w:keepLines/>
      <w:keepNext/>
      <w:spacing w:before="260" w:after="260" w:line="416" w:lineRule="auto"/>
      <w:outlineLvl w:val="2"/>
    </w:pPr>
    <w:rPr>
      <w:b/>
      <w:bCs/>
      <w:sz w:val="32"/>
      <w:szCs w:val="32"/>
    </w:rPr>
  </w:style>
  <w:style w:type="paragraph" w:styleId="642">
    <w:name w:val="Heading 4"/>
    <w:basedOn w:val="638"/>
    <w:next w:val="638"/>
    <w:link w:val="700"/>
    <w:uiPriority w:val="9"/>
    <w:unhideWhenUsed/>
    <w:qFormat/>
    <w:pPr>
      <w:keepLines/>
      <w:keepNext/>
      <w:spacing w:before="320" w:after="200"/>
      <w:outlineLvl w:val="3"/>
    </w:pPr>
    <w:rPr>
      <w:rFonts w:ascii="Arial" w:hAnsi="Arial" w:eastAsia="Arial" w:cs="Arial"/>
      <w:b/>
      <w:bCs/>
      <w:sz w:val="26"/>
      <w:szCs w:val="26"/>
    </w:rPr>
  </w:style>
  <w:style w:type="paragraph" w:styleId="643">
    <w:name w:val="Heading 5"/>
    <w:basedOn w:val="638"/>
    <w:next w:val="638"/>
    <w:link w:val="701"/>
    <w:uiPriority w:val="9"/>
    <w:unhideWhenUsed/>
    <w:qFormat/>
    <w:pPr>
      <w:keepLines/>
      <w:keepNext/>
      <w:spacing w:before="320" w:after="200"/>
      <w:outlineLvl w:val="4"/>
    </w:pPr>
    <w:rPr>
      <w:rFonts w:ascii="Arial" w:hAnsi="Arial" w:eastAsia="Arial" w:cs="Arial"/>
      <w:b/>
      <w:bCs/>
      <w:sz w:val="24"/>
      <w:szCs w:val="24"/>
    </w:rPr>
  </w:style>
  <w:style w:type="paragraph" w:styleId="644">
    <w:name w:val="Heading 6"/>
    <w:basedOn w:val="638"/>
    <w:next w:val="638"/>
    <w:link w:val="702"/>
    <w:uiPriority w:val="9"/>
    <w:unhideWhenUsed/>
    <w:qFormat/>
    <w:pPr>
      <w:keepLines/>
      <w:keepNext/>
      <w:spacing w:before="320" w:after="200"/>
      <w:outlineLvl w:val="5"/>
    </w:pPr>
    <w:rPr>
      <w:rFonts w:ascii="Arial" w:hAnsi="Arial" w:eastAsia="Arial" w:cs="Arial"/>
      <w:b/>
      <w:bCs/>
      <w:sz w:val="22"/>
      <w:szCs w:val="22"/>
    </w:rPr>
  </w:style>
  <w:style w:type="paragraph" w:styleId="645">
    <w:name w:val="Heading 7"/>
    <w:basedOn w:val="638"/>
    <w:next w:val="638"/>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46">
    <w:name w:val="Heading 8"/>
    <w:basedOn w:val="638"/>
    <w:next w:val="638"/>
    <w:link w:val="704"/>
    <w:uiPriority w:val="9"/>
    <w:unhideWhenUsed/>
    <w:qFormat/>
    <w:pPr>
      <w:keepLines/>
      <w:keepNext/>
      <w:spacing w:before="320" w:after="200"/>
      <w:outlineLvl w:val="7"/>
    </w:pPr>
    <w:rPr>
      <w:rFonts w:ascii="Arial" w:hAnsi="Arial" w:eastAsia="Arial" w:cs="Arial"/>
      <w:i/>
      <w:iCs/>
      <w:sz w:val="22"/>
      <w:szCs w:val="22"/>
    </w:rPr>
  </w:style>
  <w:style w:type="paragraph" w:styleId="647">
    <w:name w:val="Heading 9"/>
    <w:basedOn w:val="638"/>
    <w:next w:val="638"/>
    <w:link w:val="705"/>
    <w:uiPriority w:val="9"/>
    <w:unhideWhenUsed/>
    <w:qFormat/>
    <w:pPr>
      <w:keepLines/>
      <w:keepNext/>
      <w:spacing w:before="320" w:after="200"/>
      <w:outlineLvl w:val="8"/>
    </w:pPr>
    <w:rPr>
      <w:rFonts w:ascii="Arial" w:hAnsi="Arial" w:eastAsia="Arial" w:cs="Arial"/>
      <w:i/>
      <w:iCs/>
      <w:sz w:val="21"/>
      <w:szCs w:val="21"/>
    </w:rPr>
  </w:style>
  <w:style w:type="character" w:styleId="648" w:default="1">
    <w:name w:val="Default Paragraph Font"/>
    <w:uiPriority w:val="1"/>
    <w:semiHidden/>
    <w:unhideWhenUsed/>
    <w:qFormat/>
  </w:style>
  <w:style w:type="table" w:styleId="649" w:default="1">
    <w:name w:val="Normal Table"/>
    <w:uiPriority w:val="99"/>
    <w:semiHidden/>
    <w:unhideWhenUsed/>
    <w:qFormat/>
    <w:tblPr>
      <w:tblCellMar>
        <w:left w:w="108" w:type="dxa"/>
        <w:top w:w="0" w:type="dxa"/>
        <w:right w:w="108" w:type="dxa"/>
        <w:bottom w:w="0" w:type="dxa"/>
      </w:tblCellMar>
    </w:tblPr>
  </w:style>
  <w:style w:type="paragraph" w:styleId="650">
    <w:name w:val="Body Text First Indent"/>
    <w:basedOn w:val="651"/>
    <w:uiPriority w:val="99"/>
    <w:semiHidden/>
    <w:unhideWhenUsed/>
    <w:qFormat/>
    <w:pPr>
      <w:ind w:firstLine="420"/>
    </w:pPr>
  </w:style>
  <w:style w:type="paragraph" w:styleId="651">
    <w:name w:val="Body Text"/>
    <w:basedOn w:val="638"/>
    <w:next w:val="638"/>
    <w:uiPriority w:val="99"/>
    <w:unhideWhenUsed/>
    <w:qFormat/>
    <w:pPr>
      <w:spacing w:after="120"/>
    </w:pPr>
  </w:style>
  <w:style w:type="paragraph" w:styleId="652">
    <w:name w:val="toc 7"/>
    <w:basedOn w:val="638"/>
    <w:next w:val="638"/>
    <w:uiPriority w:val="39"/>
    <w:unhideWhenUsed/>
    <w:qFormat/>
    <w:pPr>
      <w:ind w:left="1701" w:right="0" w:firstLine="0"/>
      <w:spacing w:after="57"/>
    </w:pPr>
  </w:style>
  <w:style w:type="paragraph" w:styleId="653">
    <w:name w:val="Caption"/>
    <w:basedOn w:val="638"/>
    <w:next w:val="638"/>
    <w:uiPriority w:val="35"/>
    <w:semiHidden/>
    <w:unhideWhenUsed/>
    <w:qFormat/>
    <w:pPr>
      <w:spacing w:line="276" w:lineRule="auto"/>
    </w:pPr>
    <w:rPr>
      <w:b/>
      <w:bCs/>
      <w:color w:val="4f81bd" w:themeColor="accent1"/>
      <w:sz w:val="18"/>
      <w:szCs w:val="18"/>
    </w:rPr>
  </w:style>
  <w:style w:type="paragraph" w:styleId="654">
    <w:name w:val="Document Map"/>
    <w:basedOn w:val="638"/>
    <w:link w:val="847"/>
    <w:uiPriority w:val="99"/>
    <w:semiHidden/>
    <w:unhideWhenUsed/>
    <w:qFormat/>
    <w:rPr>
      <w:rFonts w:ascii="宋体" w:eastAsia="宋体"/>
      <w:sz w:val="18"/>
      <w:szCs w:val="18"/>
    </w:rPr>
  </w:style>
  <w:style w:type="paragraph" w:styleId="655">
    <w:name w:val="annotation text"/>
    <w:basedOn w:val="638"/>
    <w:link w:val="851"/>
    <w:uiPriority w:val="0"/>
    <w:qFormat/>
    <w:pPr>
      <w:ind w:firstLine="922"/>
      <w:jc w:val="left"/>
      <w:spacing w:line="360" w:lineRule="auto"/>
    </w:pPr>
    <w:rPr>
      <w:rFonts w:ascii="Times New Roman" w:hAnsi="Times New Roman" w:eastAsia="宋体" w:cs="Times New Roman"/>
      <w:szCs w:val="24"/>
    </w:rPr>
  </w:style>
  <w:style w:type="paragraph" w:styleId="656">
    <w:name w:val="Body Text Indent"/>
    <w:uiPriority w:val="0"/>
    <w:qFormat/>
    <w:pPr>
      <w:ind w:left="420"/>
      <w:jc w:val="both"/>
      <w:spacing w:after="120"/>
      <w:widowControl w:val="off"/>
    </w:pPr>
    <w:rPr>
      <w:rFonts w:hint="default" w:ascii="Times New Roman" w:hAnsi="Times New Roman" w:eastAsia="宋体" w:cs="Times New Roman"/>
      <w:sz w:val="22"/>
      <w:szCs w:val="22"/>
      <w:lang w:val="en-US" w:eastAsia="en-US" w:bidi="en-US"/>
    </w:rPr>
  </w:style>
  <w:style w:type="paragraph" w:styleId="657">
    <w:name w:val="toc 5"/>
    <w:basedOn w:val="638"/>
    <w:next w:val="638"/>
    <w:uiPriority w:val="39"/>
    <w:unhideWhenUsed/>
    <w:qFormat/>
    <w:pPr>
      <w:ind w:left="1134" w:right="0" w:firstLine="0"/>
      <w:spacing w:after="57"/>
    </w:pPr>
  </w:style>
  <w:style w:type="paragraph" w:styleId="658">
    <w:name w:val="toc 3"/>
    <w:basedOn w:val="638"/>
    <w:next w:val="638"/>
    <w:uiPriority w:val="39"/>
    <w:unhideWhenUsed/>
    <w:qFormat/>
    <w:pPr>
      <w:ind w:left="567" w:right="0" w:firstLine="0"/>
      <w:spacing w:after="57"/>
    </w:pPr>
  </w:style>
  <w:style w:type="paragraph" w:styleId="659">
    <w:name w:val="Plain Text"/>
    <w:basedOn w:val="638"/>
    <w:link w:val="855"/>
    <w:uiPriority w:val="0"/>
    <w:qFormat/>
    <w:rPr>
      <w:rFonts w:ascii="宋体" w:hAnsi="Courier New" w:eastAsia="宋体" w:cs="Times New Roman"/>
      <w:szCs w:val="20"/>
    </w:rPr>
  </w:style>
  <w:style w:type="paragraph" w:styleId="660">
    <w:name w:val="toc 8"/>
    <w:basedOn w:val="638"/>
    <w:next w:val="638"/>
    <w:uiPriority w:val="39"/>
    <w:unhideWhenUsed/>
    <w:qFormat/>
    <w:pPr>
      <w:ind w:left="1984" w:right="0" w:firstLine="0"/>
      <w:spacing w:after="57"/>
    </w:pPr>
  </w:style>
  <w:style w:type="paragraph" w:styleId="661">
    <w:name w:val="Date"/>
    <w:basedOn w:val="638"/>
    <w:next w:val="638"/>
    <w:link w:val="850"/>
    <w:uiPriority w:val="99"/>
    <w:semiHidden/>
    <w:unhideWhenUsed/>
    <w:qFormat/>
    <w:pPr>
      <w:ind w:left="100"/>
    </w:pPr>
  </w:style>
  <w:style w:type="paragraph" w:styleId="662">
    <w:name w:val="endnote text"/>
    <w:basedOn w:val="638"/>
    <w:link w:val="842"/>
    <w:uiPriority w:val="99"/>
    <w:semiHidden/>
    <w:unhideWhenUsed/>
    <w:qFormat/>
    <w:pPr>
      <w:spacing w:after="0" w:line="240" w:lineRule="auto"/>
    </w:pPr>
    <w:rPr>
      <w:sz w:val="20"/>
    </w:rPr>
  </w:style>
  <w:style w:type="paragraph" w:styleId="663">
    <w:name w:val="Balloon Text"/>
    <w:basedOn w:val="638"/>
    <w:link w:val="852"/>
    <w:uiPriority w:val="99"/>
    <w:semiHidden/>
    <w:unhideWhenUsed/>
    <w:qFormat/>
    <w:rPr>
      <w:sz w:val="18"/>
      <w:szCs w:val="18"/>
    </w:rPr>
  </w:style>
  <w:style w:type="paragraph" w:styleId="664">
    <w:name w:val="Footer"/>
    <w:basedOn w:val="638"/>
    <w:link w:val="845"/>
    <w:uiPriority w:val="99"/>
    <w:unhideWhenUsed/>
    <w:qFormat/>
    <w:pPr>
      <w:jc w:val="left"/>
      <w:tabs>
        <w:tab w:val="center" w:pos="4153" w:leader="none"/>
        <w:tab w:val="right" w:pos="8306" w:leader="none"/>
      </w:tabs>
    </w:pPr>
    <w:rPr>
      <w:sz w:val="18"/>
      <w:szCs w:val="18"/>
    </w:rPr>
  </w:style>
  <w:style w:type="paragraph" w:styleId="665">
    <w:name w:val="Header"/>
    <w:basedOn w:val="638"/>
    <w:link w:val="84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6">
    <w:name w:val="toc 1"/>
    <w:basedOn w:val="638"/>
    <w:next w:val="638"/>
    <w:uiPriority w:val="39"/>
    <w:unhideWhenUsed/>
    <w:qFormat/>
  </w:style>
  <w:style w:type="paragraph" w:styleId="667">
    <w:name w:val="toc 4"/>
    <w:basedOn w:val="638"/>
    <w:next w:val="638"/>
    <w:uiPriority w:val="39"/>
    <w:unhideWhenUsed/>
    <w:qFormat/>
    <w:pPr>
      <w:ind w:left="850" w:right="0" w:firstLine="0"/>
      <w:spacing w:after="57"/>
    </w:pPr>
  </w:style>
  <w:style w:type="paragraph" w:styleId="668">
    <w:name w:val="Subtitle"/>
    <w:basedOn w:val="638"/>
    <w:next w:val="638"/>
    <w:link w:val="708"/>
    <w:uiPriority w:val="11"/>
    <w:qFormat/>
    <w:pPr>
      <w:spacing w:before="200" w:after="200"/>
    </w:pPr>
    <w:rPr>
      <w:sz w:val="24"/>
      <w:szCs w:val="24"/>
    </w:rPr>
  </w:style>
  <w:style w:type="paragraph" w:styleId="669">
    <w:name w:val="footnote text"/>
    <w:basedOn w:val="638"/>
    <w:link w:val="841"/>
    <w:uiPriority w:val="99"/>
    <w:semiHidden/>
    <w:unhideWhenUsed/>
    <w:qFormat/>
    <w:pPr>
      <w:spacing w:after="40" w:line="240" w:lineRule="auto"/>
    </w:pPr>
    <w:rPr>
      <w:sz w:val="18"/>
    </w:rPr>
  </w:style>
  <w:style w:type="paragraph" w:styleId="670">
    <w:name w:val="toc 6"/>
    <w:basedOn w:val="638"/>
    <w:next w:val="638"/>
    <w:uiPriority w:val="39"/>
    <w:unhideWhenUsed/>
    <w:qFormat/>
    <w:pPr>
      <w:ind w:left="1417" w:right="0" w:firstLine="0"/>
      <w:spacing w:after="57"/>
    </w:pPr>
  </w:style>
  <w:style w:type="paragraph" w:styleId="671">
    <w:name w:val="table of figures"/>
    <w:basedOn w:val="638"/>
    <w:next w:val="638"/>
    <w:uiPriority w:val="99"/>
    <w:unhideWhenUsed/>
    <w:qFormat/>
    <w:pPr>
      <w:spacing w:after="0" w:afterAutospacing="0"/>
    </w:pPr>
  </w:style>
  <w:style w:type="paragraph" w:styleId="672">
    <w:name w:val="toc 2"/>
    <w:basedOn w:val="638"/>
    <w:next w:val="638"/>
    <w:uiPriority w:val="39"/>
    <w:qFormat/>
    <w:pPr>
      <w:tabs>
        <w:tab w:val="right" w:pos="9060" w:leader="dot"/>
      </w:tabs>
    </w:pPr>
    <w:rPr>
      <w:rFonts w:ascii="宋体" w:hAnsi="宋体"/>
      <w:b/>
      <w:bCs/>
    </w:rPr>
  </w:style>
  <w:style w:type="paragraph" w:styleId="673">
    <w:name w:val="toc 9"/>
    <w:basedOn w:val="638"/>
    <w:next w:val="638"/>
    <w:uiPriority w:val="39"/>
    <w:unhideWhenUsed/>
    <w:qFormat/>
    <w:pPr>
      <w:ind w:left="2268" w:right="0" w:firstLine="0"/>
      <w:spacing w:after="57"/>
    </w:pPr>
  </w:style>
  <w:style w:type="paragraph" w:styleId="674">
    <w:name w:val="Normal (Web)"/>
    <w:basedOn w:val="638"/>
    <w:uiPriority w:val="99"/>
    <w:semiHidden/>
    <w:unhideWhenUsed/>
    <w:qFormat/>
    <w:pPr>
      <w:jc w:val="left"/>
    </w:pPr>
    <w:rPr>
      <w:rFonts w:cs="Times New Roman"/>
      <w:sz w:val="24"/>
    </w:rPr>
  </w:style>
  <w:style w:type="paragraph" w:styleId="675">
    <w:name w:val="Title"/>
    <w:basedOn w:val="638"/>
    <w:next w:val="638"/>
    <w:link w:val="707"/>
    <w:uiPriority w:val="10"/>
    <w:qFormat/>
    <w:pPr>
      <w:contextualSpacing/>
      <w:spacing w:before="300" w:after="200"/>
    </w:pPr>
    <w:rPr>
      <w:sz w:val="48"/>
      <w:szCs w:val="48"/>
    </w:rPr>
  </w:style>
  <w:style w:type="paragraph" w:styleId="676">
    <w:name w:val="Body Text First Indent 2"/>
    <w:uiPriority w:val="0"/>
    <w:qFormat/>
    <w:pPr>
      <w:ind w:left="420" w:firstLine="420"/>
      <w:jc w:val="both"/>
      <w:spacing w:after="120" w:line="380" w:lineRule="exact"/>
      <w:widowControl w:val="off"/>
    </w:pPr>
    <w:rPr>
      <w:rFonts w:hint="default" w:ascii="Times New Roman" w:hAnsi="Times New Roman" w:eastAsia="宋体" w:cs="Times New Roman"/>
      <w:sz w:val="21"/>
      <w:szCs w:val="24"/>
      <w:lang w:val="en-US" w:eastAsia="en-US" w:bidi="en-US"/>
    </w:rPr>
  </w:style>
  <w:style w:type="table" w:styleId="677">
    <w:name w:val="Table Grid"/>
    <w:basedOn w:val="6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8">
    <w:name w:val="Strong"/>
    <w:basedOn w:val="648"/>
    <w:uiPriority w:val="22"/>
    <w:qFormat/>
    <w:rPr>
      <w:b/>
    </w:rPr>
  </w:style>
  <w:style w:type="character" w:styleId="679">
    <w:name w:val="endnote reference"/>
    <w:basedOn w:val="648"/>
    <w:uiPriority w:val="99"/>
    <w:semiHidden/>
    <w:unhideWhenUsed/>
    <w:qFormat/>
    <w:rPr>
      <w:vertAlign w:val="superscript"/>
    </w:rPr>
  </w:style>
  <w:style w:type="character" w:styleId="680">
    <w:name w:val="FollowedHyperlink"/>
    <w:basedOn w:val="648"/>
    <w:uiPriority w:val="99"/>
    <w:semiHidden/>
    <w:unhideWhenUsed/>
    <w:qFormat/>
    <w:rPr>
      <w:color w:val="800080"/>
      <w:u w:val="none"/>
    </w:rPr>
  </w:style>
  <w:style w:type="character" w:styleId="681">
    <w:name w:val="HTML Definition"/>
    <w:basedOn w:val="648"/>
    <w:uiPriority w:val="99"/>
    <w:semiHidden/>
    <w:unhideWhenUsed/>
    <w:qFormat/>
  </w:style>
  <w:style w:type="character" w:styleId="682">
    <w:name w:val="HTML Typewriter"/>
    <w:basedOn w:val="648"/>
    <w:uiPriority w:val="99"/>
    <w:semiHidden/>
    <w:unhideWhenUsed/>
    <w:qFormat/>
    <w:rPr>
      <w:rFonts w:ascii="monospace" w:hAnsi="monospace" w:eastAsia="monospace" w:cs="monospace"/>
      <w:sz w:val="20"/>
    </w:rPr>
  </w:style>
  <w:style w:type="character" w:styleId="683">
    <w:name w:val="HTML Acronym"/>
    <w:basedOn w:val="648"/>
    <w:uiPriority w:val="99"/>
    <w:semiHidden/>
    <w:unhideWhenUsed/>
    <w:qFormat/>
  </w:style>
  <w:style w:type="character" w:styleId="684">
    <w:name w:val="HTML Variable"/>
    <w:basedOn w:val="648"/>
    <w:uiPriority w:val="99"/>
    <w:semiHidden/>
    <w:unhideWhenUsed/>
    <w:qFormat/>
  </w:style>
  <w:style w:type="character" w:styleId="685">
    <w:name w:val="Hyperlink"/>
    <w:uiPriority w:val="99"/>
    <w:qFormat/>
    <w:rPr>
      <w:color w:val="0000ff"/>
      <w:u w:val="none"/>
    </w:rPr>
  </w:style>
  <w:style w:type="character" w:styleId="686">
    <w:name w:val="HTML Code"/>
    <w:basedOn w:val="648"/>
    <w:uiPriority w:val="99"/>
    <w:semiHidden/>
    <w:unhideWhenUsed/>
    <w:qFormat/>
    <w:rPr>
      <w:rFonts w:hint="default" w:ascii="monospace" w:hAnsi="monospace" w:eastAsia="monospace" w:cs="monospace"/>
      <w:sz w:val="20"/>
    </w:rPr>
  </w:style>
  <w:style w:type="character" w:styleId="687">
    <w:name w:val="annotation reference"/>
    <w:uiPriority w:val="0"/>
    <w:qFormat/>
    <w:rPr>
      <w:sz w:val="21"/>
      <w:szCs w:val="21"/>
    </w:rPr>
  </w:style>
  <w:style w:type="character" w:styleId="688">
    <w:name w:val="HTML Cite"/>
    <w:basedOn w:val="648"/>
    <w:uiPriority w:val="99"/>
    <w:semiHidden/>
    <w:unhideWhenUsed/>
    <w:qFormat/>
  </w:style>
  <w:style w:type="character" w:styleId="689">
    <w:name w:val="footnote reference"/>
    <w:basedOn w:val="648"/>
    <w:uiPriority w:val="99"/>
    <w:unhideWhenUsed/>
    <w:qFormat/>
    <w:rPr>
      <w:vertAlign w:val="superscript"/>
    </w:rPr>
  </w:style>
  <w:style w:type="character" w:styleId="690">
    <w:name w:val="HTML Keyboard"/>
    <w:basedOn w:val="648"/>
    <w:uiPriority w:val="99"/>
    <w:semiHidden/>
    <w:unhideWhenUsed/>
    <w:qFormat/>
    <w:rPr>
      <w:rFonts w:hint="default" w:ascii="monospace" w:hAnsi="monospace" w:eastAsia="monospace" w:cs="monospace"/>
      <w:sz w:val="20"/>
    </w:rPr>
  </w:style>
  <w:style w:type="character" w:styleId="691">
    <w:name w:val="HTML Sample"/>
    <w:basedOn w:val="648"/>
    <w:uiPriority w:val="99"/>
    <w:semiHidden/>
    <w:unhideWhenUsed/>
    <w:qFormat/>
    <w:rPr>
      <w:rFonts w:hint="default" w:ascii="monospace" w:hAnsi="monospace" w:eastAsia="monospace" w:cs="monospace"/>
    </w:rPr>
  </w:style>
  <w:style w:type="paragraph" w:styleId="692" w:customStyle="1">
    <w:name w:val="正文1"/>
    <w:next w:val="693"/>
    <w:uiPriority w:val="99"/>
    <w:qFormat/>
    <w:pPr>
      <w:jc w:val="both"/>
    </w:pPr>
    <w:rPr>
      <w:rFonts w:hint="default" w:ascii="Times New Roman" w:hAnsi="Times New Roman" w:eastAsia="宋体" w:cs="Times New Roman"/>
      <w:sz w:val="21"/>
      <w:szCs w:val="21"/>
      <w:lang w:val="en-US" w:eastAsia="zh-CN" w:bidi="ar-SA"/>
    </w:rPr>
  </w:style>
  <w:style w:type="paragraph" w:styleId="693" w:customStyle="1">
    <w:name w:val="正文文本1"/>
    <w:next w:val="694"/>
    <w:uiPriority w:val="0"/>
    <w:qFormat/>
    <w:pPr>
      <w:jc w:val="left"/>
      <w:spacing w:after="120" w:line="360" w:lineRule="atLeast"/>
      <w:widowControl w:val="off"/>
    </w:pPr>
    <w:rPr>
      <w:rFonts w:ascii="宋体" w:hAnsi="Calibri" w:eastAsia="宋体" w:cs="Times New Roman"/>
      <w:sz w:val="24"/>
      <w:szCs w:val="20"/>
      <w:lang w:val="en-US" w:eastAsia="en-US" w:bidi="ar-SA"/>
    </w:rPr>
  </w:style>
  <w:style w:type="paragraph" w:styleId="694" w:customStyle="1">
    <w:name w:val="一级条标题"/>
    <w:basedOn w:val="695"/>
    <w:next w:val="696"/>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695" w:customStyle="1">
    <w:name w:val="章标题"/>
    <w:next w:val="63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696" w:customStyle="1">
    <w:name w:val="段"/>
    <w:next w:val="638"/>
    <w:uiPriority w:val="0"/>
    <w:qFormat/>
    <w:pPr>
      <w:ind w:firstLine="200"/>
      <w:jc w:val="left"/>
      <w:spacing w:line="360" w:lineRule="atLeast"/>
      <w:widowControl/>
    </w:pPr>
    <w:rPr>
      <w:rFonts w:ascii="宋体" w:hAnsi="Calibri" w:eastAsia="宋体" w:cs="Times New Roman"/>
      <w:sz w:val="20"/>
      <w:szCs w:val="20"/>
      <w:lang w:val="en-US" w:eastAsia="zh-CN" w:bidi="ar-SA"/>
    </w:rPr>
  </w:style>
  <w:style w:type="character" w:styleId="697" w:customStyle="1">
    <w:name w:val="Heading 1 Char"/>
    <w:basedOn w:val="648"/>
    <w:uiPriority w:val="9"/>
    <w:qFormat/>
    <w:rPr>
      <w:rFonts w:ascii="Arial" w:hAnsi="Arial" w:eastAsia="Arial" w:cs="Arial"/>
      <w:sz w:val="40"/>
      <w:szCs w:val="40"/>
    </w:rPr>
  </w:style>
  <w:style w:type="character" w:styleId="698" w:customStyle="1">
    <w:name w:val="Heading 2 Char"/>
    <w:basedOn w:val="648"/>
    <w:uiPriority w:val="9"/>
    <w:qFormat/>
    <w:rPr>
      <w:rFonts w:ascii="Arial" w:hAnsi="Arial" w:eastAsia="Arial" w:cs="Arial"/>
      <w:sz w:val="34"/>
    </w:rPr>
  </w:style>
  <w:style w:type="character" w:styleId="699" w:customStyle="1">
    <w:name w:val="Heading 3 Char"/>
    <w:basedOn w:val="648"/>
    <w:uiPriority w:val="9"/>
    <w:qFormat/>
    <w:rPr>
      <w:rFonts w:ascii="Arial" w:hAnsi="Arial" w:eastAsia="Arial" w:cs="Arial"/>
      <w:sz w:val="30"/>
      <w:szCs w:val="30"/>
    </w:rPr>
  </w:style>
  <w:style w:type="character" w:styleId="700" w:customStyle="1">
    <w:name w:val="Heading 4 Char"/>
    <w:basedOn w:val="648"/>
    <w:link w:val="642"/>
    <w:uiPriority w:val="9"/>
    <w:qFormat/>
    <w:rPr>
      <w:rFonts w:ascii="Arial" w:hAnsi="Arial" w:eastAsia="Arial" w:cs="Arial"/>
      <w:b/>
      <w:bCs/>
      <w:sz w:val="26"/>
      <w:szCs w:val="26"/>
    </w:rPr>
  </w:style>
  <w:style w:type="character" w:styleId="701" w:customStyle="1">
    <w:name w:val="Heading 5 Char"/>
    <w:basedOn w:val="648"/>
    <w:link w:val="643"/>
    <w:uiPriority w:val="9"/>
    <w:qFormat/>
    <w:rPr>
      <w:rFonts w:ascii="Arial" w:hAnsi="Arial" w:eastAsia="Arial" w:cs="Arial"/>
      <w:b/>
      <w:bCs/>
      <w:sz w:val="24"/>
      <w:szCs w:val="24"/>
    </w:rPr>
  </w:style>
  <w:style w:type="character" w:styleId="702" w:customStyle="1">
    <w:name w:val="Heading 6 Char"/>
    <w:basedOn w:val="648"/>
    <w:link w:val="644"/>
    <w:uiPriority w:val="9"/>
    <w:qFormat/>
    <w:rPr>
      <w:rFonts w:ascii="Arial" w:hAnsi="Arial" w:eastAsia="Arial" w:cs="Arial"/>
      <w:b/>
      <w:bCs/>
      <w:sz w:val="22"/>
      <w:szCs w:val="22"/>
    </w:rPr>
  </w:style>
  <w:style w:type="character" w:styleId="703" w:customStyle="1">
    <w:name w:val="Heading 7 Char"/>
    <w:basedOn w:val="648"/>
    <w:link w:val="645"/>
    <w:uiPriority w:val="9"/>
    <w:qFormat/>
    <w:rPr>
      <w:rFonts w:ascii="Arial" w:hAnsi="Arial" w:eastAsia="Arial" w:cs="Arial"/>
      <w:b/>
      <w:bCs/>
      <w:i/>
      <w:iCs/>
      <w:sz w:val="22"/>
      <w:szCs w:val="22"/>
    </w:rPr>
  </w:style>
  <w:style w:type="character" w:styleId="704" w:customStyle="1">
    <w:name w:val="Heading 8 Char"/>
    <w:basedOn w:val="648"/>
    <w:link w:val="646"/>
    <w:uiPriority w:val="9"/>
    <w:qFormat/>
    <w:rPr>
      <w:rFonts w:ascii="Arial" w:hAnsi="Arial" w:eastAsia="Arial" w:cs="Arial"/>
      <w:i/>
      <w:iCs/>
      <w:sz w:val="22"/>
      <w:szCs w:val="22"/>
    </w:rPr>
  </w:style>
  <w:style w:type="character" w:styleId="705" w:customStyle="1">
    <w:name w:val="Heading 9 Char"/>
    <w:basedOn w:val="648"/>
    <w:link w:val="647"/>
    <w:uiPriority w:val="9"/>
    <w:qFormat/>
    <w:rPr>
      <w:rFonts w:ascii="Arial" w:hAnsi="Arial" w:eastAsia="Arial" w:cs="Arial"/>
      <w:i/>
      <w:iCs/>
      <w:sz w:val="21"/>
      <w:szCs w:val="21"/>
    </w:rPr>
  </w:style>
  <w:style w:type="paragraph" w:styleId="706">
    <w:name w:val="No Spacing"/>
    <w:uiPriority w:val="1"/>
    <w:qFormat/>
    <w:pPr>
      <w:spacing w:before="0" w:after="0" w:line="240" w:lineRule="auto"/>
    </w:pPr>
    <w:rPr>
      <w:rFonts w:hint="default" w:ascii="Times New Roman" w:hAnsi="Times New Roman" w:eastAsia="宋体" w:cs="Times New Roman"/>
    </w:rPr>
  </w:style>
  <w:style w:type="character" w:styleId="707" w:customStyle="1">
    <w:name w:val="Title Char"/>
    <w:basedOn w:val="648"/>
    <w:link w:val="675"/>
    <w:uiPriority w:val="10"/>
    <w:qFormat/>
    <w:rPr>
      <w:sz w:val="48"/>
      <w:szCs w:val="48"/>
    </w:rPr>
  </w:style>
  <w:style w:type="character" w:styleId="708" w:customStyle="1">
    <w:name w:val="Subtitle Char"/>
    <w:basedOn w:val="648"/>
    <w:link w:val="668"/>
    <w:uiPriority w:val="11"/>
    <w:qFormat/>
    <w:rPr>
      <w:sz w:val="24"/>
      <w:szCs w:val="24"/>
    </w:rPr>
  </w:style>
  <w:style w:type="paragraph" w:styleId="709">
    <w:name w:val="Quote"/>
    <w:basedOn w:val="638"/>
    <w:next w:val="638"/>
    <w:link w:val="710"/>
    <w:uiPriority w:val="29"/>
    <w:qFormat/>
    <w:pPr>
      <w:ind w:left="720" w:right="720"/>
    </w:pPr>
    <w:rPr>
      <w:i/>
    </w:rPr>
  </w:style>
  <w:style w:type="character" w:styleId="710" w:customStyle="1">
    <w:name w:val="Quote Char"/>
    <w:link w:val="709"/>
    <w:uiPriority w:val="29"/>
    <w:qFormat/>
    <w:rPr>
      <w:i/>
    </w:rPr>
  </w:style>
  <w:style w:type="paragraph" w:styleId="711">
    <w:name w:val="Intense Quote"/>
    <w:basedOn w:val="638"/>
    <w:next w:val="638"/>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customStyle="1">
    <w:name w:val="Intense Quote Char"/>
    <w:link w:val="711"/>
    <w:uiPriority w:val="30"/>
    <w:qFormat/>
    <w:rPr>
      <w:i/>
    </w:rPr>
  </w:style>
  <w:style w:type="character" w:styleId="713" w:customStyle="1">
    <w:name w:val="Header Char"/>
    <w:basedOn w:val="648"/>
    <w:uiPriority w:val="99"/>
    <w:qFormat/>
  </w:style>
  <w:style w:type="character" w:styleId="714" w:customStyle="1">
    <w:name w:val="Footer Char"/>
    <w:basedOn w:val="648"/>
    <w:uiPriority w:val="99"/>
    <w:qFormat/>
  </w:style>
  <w:style w:type="character" w:styleId="715" w:customStyle="1">
    <w:name w:val="Caption Char"/>
    <w:uiPriority w:val="99"/>
    <w:qFormat/>
  </w:style>
  <w:style w:type="table" w:styleId="716" w:customStyle="1">
    <w:name w:val="Table Grid Light"/>
    <w:basedOn w:val="6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7" w:customStyle="1">
    <w:name w:val="Plain Table 1"/>
    <w:basedOn w:val="6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2"/>
    <w:basedOn w:val="6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3"/>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Plain Table 4"/>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Plain Table 5"/>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Grid Table 1 Light"/>
    <w:basedOn w:val="6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1"/>
    <w:basedOn w:val="6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2"/>
    <w:basedOn w:val="6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3"/>
    <w:basedOn w:val="6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4"/>
    <w:basedOn w:val="6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5"/>
    <w:basedOn w:val="6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6"/>
    <w:basedOn w:val="6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9" w:customStyle="1">
    <w:name w:val="Grid Table 2"/>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2 - Accent 1"/>
    <w:basedOn w:val="6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1" w:customStyle="1">
    <w:name w:val="Grid Table 2 - Accent 2"/>
    <w:basedOn w:val="6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2" w:customStyle="1">
    <w:name w:val="Grid Table 2 - Accent 3"/>
    <w:basedOn w:val="6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3" w:customStyle="1">
    <w:name w:val="Grid Table 2 - Accent 4"/>
    <w:basedOn w:val="6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4" w:customStyle="1">
    <w:name w:val="Grid Table 2 - Accent 5"/>
    <w:basedOn w:val="6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5" w:customStyle="1">
    <w:name w:val="Grid Table 2 - Accent 6"/>
    <w:basedOn w:val="6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6" w:customStyle="1">
    <w:name w:val="Grid Table 3"/>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1"/>
    <w:basedOn w:val="6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2"/>
    <w:basedOn w:val="6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3"/>
    <w:basedOn w:val="6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4"/>
    <w:basedOn w:val="6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5"/>
    <w:basedOn w:val="6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6"/>
    <w:basedOn w:val="6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6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4 - Accent 1"/>
    <w:basedOn w:val="64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5" w:customStyle="1">
    <w:name w:val="Grid Table 4 - Accent 2"/>
    <w:basedOn w:val="64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6" w:customStyle="1">
    <w:name w:val="Grid Table 4 - Accent 3"/>
    <w:basedOn w:val="64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7" w:customStyle="1">
    <w:name w:val="Grid Table 4 - Accent 4"/>
    <w:basedOn w:val="64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8" w:customStyle="1">
    <w:name w:val="Grid Table 4 - Accent 5"/>
    <w:basedOn w:val="64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9" w:customStyle="1">
    <w:name w:val="Grid Table 4 - Accent 6"/>
    <w:basedOn w:val="64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0" w:customStyle="1">
    <w:name w:val="Grid Table 5 Dark"/>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5 Dark- Accent 1"/>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2" w:customStyle="1">
    <w:name w:val="Grid Table 5 Dark - Accent 2"/>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3" w:customStyle="1">
    <w:name w:val="Grid Table 5 Dark - Accent 3"/>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4" w:customStyle="1">
    <w:name w:val="Grid Table 5 Dark- Accent 4"/>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5" w:customStyle="1">
    <w:name w:val="Grid Table 5 Dark - Accent 5"/>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6" w:customStyle="1">
    <w:name w:val="Grid Table 5 Dark - Accent 6"/>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7" w:customStyle="1">
    <w:name w:val="Grid Table 6 Colorful"/>
    <w:basedOn w:val="6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8" w:customStyle="1">
    <w:name w:val="Grid Table 6 Colorful - Accent 1"/>
    <w:basedOn w:val="64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9" w:customStyle="1">
    <w:name w:val="Grid Table 6 Colorful - Accent 2"/>
    <w:basedOn w:val="6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0" w:customStyle="1">
    <w:name w:val="Grid Table 6 Colorful - Accent 3"/>
    <w:basedOn w:val="64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1" w:customStyle="1">
    <w:name w:val="Grid Table 6 Colorful - Accent 4"/>
    <w:basedOn w:val="6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2" w:customStyle="1">
    <w:name w:val="Grid Table 6 Colorful - Accent 5"/>
    <w:basedOn w:val="64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3" w:customStyle="1">
    <w:name w:val="Grid Table 6 Colorful - Accent 6"/>
    <w:basedOn w:val="64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4" w:customStyle="1">
    <w:name w:val="Grid Table 7 Colorful"/>
    <w:basedOn w:val="6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Grid Table 7 Colorful - Accent 1"/>
    <w:basedOn w:val="64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6" w:customStyle="1">
    <w:name w:val="Grid Table 7 Colorful - Accent 2"/>
    <w:basedOn w:val="64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7 Colorful - Accent 3"/>
    <w:basedOn w:val="64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7 Colorful - Accent 4"/>
    <w:basedOn w:val="64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7 Colorful - Accent 5"/>
    <w:basedOn w:val="64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0" w:customStyle="1">
    <w:name w:val="Grid Table 7 Colorful - Accent 6"/>
    <w:basedOn w:val="64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1" w:customStyle="1">
    <w:name w:val="List Table 1 Light"/>
    <w:basedOn w:val="6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1 Light - Accent 1"/>
    <w:basedOn w:val="64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3" w:customStyle="1">
    <w:name w:val="List Table 1 Light - Accent 2"/>
    <w:basedOn w:val="64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4" w:customStyle="1">
    <w:name w:val="List Table 1 Light - Accent 3"/>
    <w:basedOn w:val="64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5" w:customStyle="1">
    <w:name w:val="List Table 1 Light - Accent 4"/>
    <w:basedOn w:val="64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6" w:customStyle="1">
    <w:name w:val="List Table 1 Light - Accent 5"/>
    <w:basedOn w:val="64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List Table 1 Light - Accent 6"/>
    <w:basedOn w:val="64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List Table 2"/>
    <w:basedOn w:val="6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2 - Accent 1"/>
    <w:basedOn w:val="64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0" w:customStyle="1">
    <w:name w:val="List Table 2 - Accent 2"/>
    <w:basedOn w:val="64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1" w:customStyle="1">
    <w:name w:val="List Table 2 - Accent 3"/>
    <w:basedOn w:val="64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2" w:customStyle="1">
    <w:name w:val="List Table 2 - Accent 4"/>
    <w:basedOn w:val="64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3" w:customStyle="1">
    <w:name w:val="List Table 2 - Accent 5"/>
    <w:basedOn w:val="64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4" w:customStyle="1">
    <w:name w:val="List Table 2 - Accent 6"/>
    <w:basedOn w:val="64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5" w:customStyle="1">
    <w:name w:val="List Table 3"/>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3 - Accent 1"/>
    <w:basedOn w:val="64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3 - Accent 2"/>
    <w:basedOn w:val="6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8" w:customStyle="1">
    <w:name w:val="List Table 3 - Accent 3"/>
    <w:basedOn w:val="64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9" w:customStyle="1">
    <w:name w:val="List Table 3 - Accent 4"/>
    <w:basedOn w:val="6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0" w:customStyle="1">
    <w:name w:val="List Table 3 - Accent 5"/>
    <w:basedOn w:val="64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1" w:customStyle="1">
    <w:name w:val="List Table 3 - Accent 6"/>
    <w:basedOn w:val="64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2" w:customStyle="1">
    <w:name w:val="List Table 4"/>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 Accent 1"/>
    <w:basedOn w:val="64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4 - Accent 2"/>
    <w:basedOn w:val="64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5" w:customStyle="1">
    <w:name w:val="List Table 4 - Accent 3"/>
    <w:basedOn w:val="64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6" w:customStyle="1">
    <w:name w:val="List Table 4 - Accent 4"/>
    <w:basedOn w:val="64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7" w:customStyle="1">
    <w:name w:val="List Table 4 - Accent 5"/>
    <w:basedOn w:val="64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8" w:customStyle="1">
    <w:name w:val="List Table 4 - Accent 6"/>
    <w:basedOn w:val="64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9" w:customStyle="1">
    <w:name w:val="List Table 5 Dark"/>
    <w:basedOn w:val="6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0" w:customStyle="1">
    <w:name w:val="List Table 5 Dark - Accent 1"/>
    <w:basedOn w:val="64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1" w:customStyle="1">
    <w:name w:val="List Table 5 Dark - Accent 2"/>
    <w:basedOn w:val="64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2" w:customStyle="1">
    <w:name w:val="List Table 5 Dark - Accent 3"/>
    <w:basedOn w:val="64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3" w:customStyle="1">
    <w:name w:val="List Table 5 Dark - Accent 4"/>
    <w:basedOn w:val="64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4" w:customStyle="1">
    <w:name w:val="List Table 5 Dark - Accent 5"/>
    <w:basedOn w:val="64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5" w:customStyle="1">
    <w:name w:val="List Table 5 Dark - Accent 6"/>
    <w:basedOn w:val="64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6" w:customStyle="1">
    <w:name w:val="List Table 6 Colorful"/>
    <w:basedOn w:val="6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7" w:customStyle="1">
    <w:name w:val="List Table 6 Colorful - Accent 1"/>
    <w:basedOn w:val="64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08" w:customStyle="1">
    <w:name w:val="List Table 6 Colorful - Accent 2"/>
    <w:basedOn w:val="64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09" w:customStyle="1">
    <w:name w:val="List Table 6 Colorful - Accent 3"/>
    <w:basedOn w:val="64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0" w:customStyle="1">
    <w:name w:val="List Table 6 Colorful - Accent 4"/>
    <w:basedOn w:val="64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1" w:customStyle="1">
    <w:name w:val="List Table 6 Colorful - Accent 5"/>
    <w:basedOn w:val="64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2" w:customStyle="1">
    <w:name w:val="List Table 6 Colorful - Accent 6"/>
    <w:basedOn w:val="64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3" w:customStyle="1">
    <w:name w:val="List Table 7 Colorful"/>
    <w:basedOn w:val="649"/>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7 Colorful - Accent 1"/>
    <w:basedOn w:val="64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7 Colorful - Accent 2"/>
    <w:basedOn w:val="649"/>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List Table 7 Colorful - Accent 3"/>
    <w:basedOn w:val="649"/>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7" w:customStyle="1">
    <w:name w:val="List Table 7 Colorful - Accent 4"/>
    <w:basedOn w:val="649"/>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List Table 7 Colorful - Accent 5"/>
    <w:basedOn w:val="649"/>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9" w:customStyle="1">
    <w:name w:val="List Table 7 Colorful - Accent 6"/>
    <w:basedOn w:val="64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0" w:customStyle="1">
    <w:name w:val="Lined - Accent"/>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Lined - Accent 1"/>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Lined - Accent 2"/>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Lined - Accent 3"/>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Lined - Accent 4"/>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Lined - Accent 5"/>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Lined - Accent 6"/>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amp; Lined - Accent"/>
    <w:basedOn w:val="6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Bordered &amp; Lined - Accent 1"/>
    <w:basedOn w:val="64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Bordered &amp; Lined - Accent 2"/>
    <w:basedOn w:val="64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Bordered &amp; Lined - Accent 3"/>
    <w:basedOn w:val="64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Bordered &amp; Lined - Accent 4"/>
    <w:basedOn w:val="64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Bordered &amp; Lined - Accent 5"/>
    <w:basedOn w:val="64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Bordered &amp; Lined - Accent 6"/>
    <w:basedOn w:val="64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w:basedOn w:val="6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5" w:customStyle="1">
    <w:name w:val="Bordered - Accent 1"/>
    <w:basedOn w:val="6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6" w:customStyle="1">
    <w:name w:val="Bordered - Accent 2"/>
    <w:basedOn w:val="6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7" w:customStyle="1">
    <w:name w:val="Bordered - Accent 3"/>
    <w:basedOn w:val="6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8" w:customStyle="1">
    <w:name w:val="Bordered - Accent 4"/>
    <w:basedOn w:val="6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9" w:customStyle="1">
    <w:name w:val="Bordered - Accent 5"/>
    <w:basedOn w:val="6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0" w:customStyle="1">
    <w:name w:val="Bordered - Accent 6"/>
    <w:basedOn w:val="6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1" w:customStyle="1">
    <w:name w:val="Footnote Text Char"/>
    <w:link w:val="669"/>
    <w:uiPriority w:val="99"/>
    <w:qFormat/>
    <w:rPr>
      <w:sz w:val="18"/>
    </w:rPr>
  </w:style>
  <w:style w:type="character" w:styleId="842" w:customStyle="1">
    <w:name w:val="Endnote Text Char"/>
    <w:link w:val="662"/>
    <w:uiPriority w:val="99"/>
    <w:qFormat/>
    <w:rPr>
      <w:sz w:val="20"/>
    </w:rPr>
  </w:style>
  <w:style w:type="paragraph" w:styleId="843" w:customStyle="1">
    <w:name w:val="TOC Heading"/>
    <w:uiPriority w:val="39"/>
    <w:unhideWhenUsed/>
    <w:qFormat/>
    <w:rPr>
      <w:rFonts w:hint="default" w:ascii="Times New Roman" w:hAnsi="Times New Roman" w:eastAsia="宋体" w:cs="Times New Roman"/>
    </w:rPr>
  </w:style>
  <w:style w:type="character" w:styleId="844" w:customStyle="1">
    <w:name w:val="页眉 字符"/>
    <w:basedOn w:val="648"/>
    <w:link w:val="665"/>
    <w:uiPriority w:val="99"/>
    <w:qFormat/>
    <w:rPr>
      <w:sz w:val="18"/>
      <w:szCs w:val="18"/>
    </w:rPr>
  </w:style>
  <w:style w:type="character" w:styleId="845" w:customStyle="1">
    <w:name w:val="页脚 字符"/>
    <w:basedOn w:val="648"/>
    <w:link w:val="664"/>
    <w:uiPriority w:val="99"/>
    <w:qFormat/>
    <w:rPr>
      <w:sz w:val="18"/>
      <w:szCs w:val="18"/>
    </w:rPr>
  </w:style>
  <w:style w:type="character" w:styleId="846" w:customStyle="1">
    <w:name w:val="标题 1 字符"/>
    <w:basedOn w:val="648"/>
    <w:link w:val="639"/>
    <w:uiPriority w:val="9"/>
    <w:qFormat/>
    <w:rPr>
      <w:b/>
      <w:bCs/>
      <w:sz w:val="44"/>
      <w:szCs w:val="44"/>
    </w:rPr>
  </w:style>
  <w:style w:type="character" w:styleId="847" w:customStyle="1">
    <w:name w:val="文档结构图 字符"/>
    <w:basedOn w:val="648"/>
    <w:link w:val="654"/>
    <w:uiPriority w:val="99"/>
    <w:semiHidden/>
    <w:qFormat/>
    <w:rPr>
      <w:rFonts w:ascii="宋体" w:eastAsia="宋体"/>
      <w:sz w:val="18"/>
      <w:szCs w:val="18"/>
    </w:rPr>
  </w:style>
  <w:style w:type="character" w:styleId="848" w:customStyle="1">
    <w:name w:val="标题 2 字符"/>
    <w:basedOn w:val="648"/>
    <w:link w:val="640"/>
    <w:uiPriority w:val="9"/>
    <w:qFormat/>
    <w:rPr>
      <w:rFonts w:asciiTheme="majorHAnsi" w:hAnsiTheme="majorHAnsi" w:eastAsiaTheme="majorEastAsia" w:cstheme="majorBidi"/>
      <w:b/>
      <w:bCs/>
      <w:sz w:val="32"/>
      <w:szCs w:val="32"/>
    </w:rPr>
  </w:style>
  <w:style w:type="character" w:styleId="849" w:customStyle="1">
    <w:name w:val="标题 3 字符"/>
    <w:basedOn w:val="648"/>
    <w:link w:val="641"/>
    <w:uiPriority w:val="9"/>
    <w:qFormat/>
    <w:rPr>
      <w:b/>
      <w:bCs/>
      <w:sz w:val="32"/>
      <w:szCs w:val="32"/>
    </w:rPr>
  </w:style>
  <w:style w:type="character" w:styleId="850" w:customStyle="1">
    <w:name w:val="日期 字符"/>
    <w:basedOn w:val="648"/>
    <w:link w:val="661"/>
    <w:uiPriority w:val="99"/>
    <w:semiHidden/>
    <w:qFormat/>
  </w:style>
  <w:style w:type="character" w:styleId="851" w:customStyle="1">
    <w:name w:val="批注文字 字符"/>
    <w:basedOn w:val="648"/>
    <w:link w:val="655"/>
    <w:uiPriority w:val="0"/>
    <w:qFormat/>
    <w:rPr>
      <w:rFonts w:ascii="Times New Roman" w:hAnsi="Times New Roman" w:eastAsia="宋体" w:cs="Times New Roman"/>
      <w:szCs w:val="24"/>
    </w:rPr>
  </w:style>
  <w:style w:type="character" w:styleId="852" w:customStyle="1">
    <w:name w:val="批注框文本 字符"/>
    <w:basedOn w:val="648"/>
    <w:link w:val="663"/>
    <w:uiPriority w:val="99"/>
    <w:semiHidden/>
    <w:qFormat/>
    <w:rPr>
      <w:sz w:val="18"/>
      <w:szCs w:val="18"/>
    </w:rPr>
  </w:style>
  <w:style w:type="paragraph" w:styleId="853" w:customStyle="1">
    <w:name w:val="Default"/>
    <w:link w:val="854"/>
    <w:uiPriority w:val="99"/>
    <w:qFormat/>
    <w:pPr>
      <w:widowControl w:val="off"/>
    </w:pPr>
    <w:rPr>
      <w:rFonts w:hint="default" w:ascii="MS Mincho" w:hAnsi="Calibri" w:eastAsia="宋体" w:cs="Times New Roman"/>
      <w:color w:val="000000"/>
      <w:sz w:val="21"/>
      <w:szCs w:val="24"/>
      <w:lang w:val="en-US" w:eastAsia="zh-CN" w:bidi="ar-SA"/>
    </w:rPr>
  </w:style>
  <w:style w:type="character" w:styleId="854" w:customStyle="1">
    <w:name w:val="Default Char"/>
    <w:link w:val="853"/>
    <w:uiPriority w:val="99"/>
    <w:qFormat/>
    <w:rPr>
      <w:rFonts w:ascii="MS Mincho" w:hAnsi="Calibri" w:eastAsia="宋体" w:cs="Times New Roman"/>
      <w:color w:val="000000"/>
      <w:szCs w:val="24"/>
    </w:rPr>
  </w:style>
  <w:style w:type="character" w:styleId="855" w:customStyle="1">
    <w:name w:val="纯文本 字符"/>
    <w:basedOn w:val="648"/>
    <w:link w:val="659"/>
    <w:uiPriority w:val="0"/>
    <w:qFormat/>
    <w:rPr>
      <w:rFonts w:ascii="宋体" w:hAnsi="Courier New" w:eastAsia="宋体" w:cs="Times New Roman"/>
      <w:szCs w:val="20"/>
    </w:rPr>
  </w:style>
  <w:style w:type="character" w:styleId="856" w:customStyle="1">
    <w:name w:val="hover"/>
    <w:basedOn w:val="648"/>
    <w:uiPriority w:val="0"/>
    <w:qFormat/>
    <w:rPr>
      <w:color w:val="5fb878"/>
    </w:rPr>
  </w:style>
  <w:style w:type="character" w:styleId="857" w:customStyle="1">
    <w:name w:val="hover1"/>
    <w:basedOn w:val="648"/>
    <w:uiPriority w:val="0"/>
    <w:qFormat/>
    <w:rPr>
      <w:color w:val="5fb878"/>
    </w:rPr>
  </w:style>
  <w:style w:type="character" w:styleId="858" w:customStyle="1">
    <w:name w:val="hover2"/>
    <w:basedOn w:val="648"/>
    <w:uiPriority w:val="0"/>
    <w:qFormat/>
    <w:rPr>
      <w:color w:val="ffffff"/>
    </w:rPr>
  </w:style>
  <w:style w:type="character" w:styleId="859" w:customStyle="1">
    <w:name w:val="NormalCharacter"/>
    <w:uiPriority w:val="0"/>
    <w:semiHidden/>
    <w:qFormat/>
  </w:style>
  <w:style w:type="paragraph" w:styleId="860">
    <w:name w:val="List Paragraph"/>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character" w:styleId="861" w:customStyle="1">
    <w:name w:val="apple-style-span"/>
    <w:uiPriority w:val="99"/>
    <w:qFormat/>
    <w:rPr>
      <w:rFonts w:cs="Times New Roman"/>
    </w:rPr>
  </w:style>
  <w:style w:type="paragraph" w:styleId="862" w:customStyle="1">
    <w:name w:val="普通(网站)1"/>
    <w:basedOn w:val="638"/>
    <w:uiPriority w:val="99"/>
    <w:unhideWhenUsed/>
    <w:qFormat/>
    <w:pPr>
      <w:ind w:left="0" w:right="0"/>
      <w:jc w:val="left"/>
      <w:spacing w:before="100" w:beforeAutospacing="1" w:after="100" w:afterAutospacing="1"/>
    </w:pPr>
    <w:rPr>
      <w:sz w:val="24"/>
      <w:lang w:val="en-US" w:eastAsia="zh-CN" w:bidi="ar"/>
    </w:rPr>
  </w:style>
  <w:style w:type="paragraph" w:styleId="863" w:customStyle="1">
    <w:name w:val="UserStyle_7"/>
    <w:basedOn w:val="638"/>
    <w:uiPriority w:val="0"/>
    <w:qFormat/>
    <w:pPr>
      <w:ind w:firstLine="480"/>
      <w:jc w:val="left"/>
      <w:spacing w:before="120" w:after="120" w:line="360" w:lineRule="auto"/>
    </w:pPr>
    <w:rPr>
      <w:rFonts w:ascii="Arial" w:hAnsi="Arial"/>
      <w:sz w:val="24"/>
    </w:rPr>
  </w:style>
  <w:style w:type="paragraph" w:styleId="864" w:customStyle="1">
    <w:name w:val="null3"/>
    <w:hidden/>
    <w:uiPriority w:val="0"/>
    <w:qFormat/>
    <w:rPr>
      <w:rFonts w:hint="eastAsia" w:asciiTheme="minorHAnsi" w:hAnsiTheme="minorHAnsi" w:eastAsiaTheme="minorEastAsia" w:cstheme="minorBidi"/>
      <w:sz w:val="20"/>
      <w:szCs w:val="20"/>
      <w:lang w:val="en-US" w:eastAsia="zh-Hans" w:bidi="ar-SA"/>
    </w:rPr>
  </w:style>
  <w:style w:type="numbering" w:styleId="66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Info spid="_x0000_s1026"/>
    <customShpInfo spid="_x0000_s1036"/>
    <customShpInfo spid="_x0000_s1037"/>
    <customShpInfo spid="_x0000_s103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李刚</cp:lastModifiedBy>
  <cp:revision>30</cp:revision>
  <dcterms:created xsi:type="dcterms:W3CDTF">2024-01-04T03:50:00Z</dcterms:created>
  <dcterms:modified xsi:type="dcterms:W3CDTF">2026-06-24T02:21:26Z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8441C7F7D0334572BB549E57CE04B749_12</vt:lpwstr>
  </property>
  <property fmtid="{D5CDD505-2E9C-101B-9397-08002B2CF9AE}" pid="4" name="KSOTemplateDocerSaveRecord">
    <vt:lpwstr>eyJoZGlkIjoiZWQzMDE5ZGI2MmNiNjI4OGM2ZmUxOTFmYzk1MTAzNWYiLCJ1c2VySWQiOiIzODk3Njg1NzgifQ==</vt:lpwstr>
  </property>
</Properties>
</file>