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0D268">
      <w:pPr>
        <w:spacing w:line="360" w:lineRule="auto"/>
        <w:jc w:val="center"/>
        <w:outlineLvl w:val="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t>单一来源采购通知</w:t>
      </w:r>
    </w:p>
    <w:p w14:paraId="314FF0B1">
      <w:pPr>
        <w:keepNext w:val="0"/>
        <w:keepLines w:val="0"/>
        <w:pageBreakBefore w:val="0"/>
        <w:spacing w:line="360" w:lineRule="auto"/>
        <w:ind w:left="0" w:firstLine="49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基本情况：根据张家港市政府采购的有关文件规定，</w:t>
      </w:r>
      <w:r>
        <w:rPr>
          <w:rFonts w:hint="eastAsia" w:ascii="宋体" w:hAnsi="宋体" w:cs="宋体"/>
          <w:color w:val="000000" w:themeColor="text1"/>
          <w:sz w:val="24"/>
          <w:szCs w:val="24"/>
          <w:highlight w:val="none"/>
          <w:lang w:eastAsia="zh-CN"/>
          <w14:textFill>
            <w14:solidFill>
              <w14:schemeClr w14:val="tx1"/>
            </w14:solidFill>
          </w14:textFill>
        </w:rPr>
        <w:t>张家港润信项目咨询有限公司</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cs="宋体"/>
          <w:color w:val="000000" w:themeColor="text1"/>
          <w:sz w:val="24"/>
          <w:szCs w:val="24"/>
          <w:highlight w:val="none"/>
          <w:lang w:eastAsia="zh-CN"/>
          <w14:textFill>
            <w14:solidFill>
              <w14:schemeClr w14:val="tx1"/>
            </w14:solidFill>
          </w14:textFill>
        </w:rPr>
        <w:t>2026年张家港市产商品质量监督抽查（采购包3）</w:t>
      </w:r>
      <w:r>
        <w:rPr>
          <w:rFonts w:hint="eastAsia" w:ascii="宋体" w:hAnsi="宋体" w:eastAsia="宋体" w:cs="宋体"/>
          <w:color w:val="000000" w:themeColor="text1"/>
          <w:sz w:val="24"/>
          <w:szCs w:val="24"/>
          <w:highlight w:val="none"/>
          <w14:textFill>
            <w14:solidFill>
              <w14:schemeClr w14:val="tx1"/>
            </w14:solidFill>
          </w14:textFill>
        </w:rPr>
        <w:t>采取单一来源方式采购，现将有关事项通知如下：</w:t>
      </w:r>
    </w:p>
    <w:p w14:paraId="2D98DBC6">
      <w:pPr>
        <w:keepNext w:val="0"/>
        <w:keepLines w:val="0"/>
        <w:pageBreakBefore w:val="0"/>
        <w:numPr>
          <w:ilvl w:val="0"/>
          <w:numId w:val="0"/>
        </w:numPr>
        <w:spacing w:line="360" w:lineRule="auto"/>
        <w:ind w:left="-720" w:firstLine="1205"/>
        <w:outlineLvl w:val="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14:textFill>
            <w14:solidFill>
              <w14:schemeClr w14:val="tx1"/>
            </w14:solidFill>
          </w14:textFill>
        </w:rPr>
        <w:t>基本情况：</w:t>
      </w:r>
    </w:p>
    <w:p w14:paraId="10D28322">
      <w:pPr>
        <w:keepNext w:val="0"/>
        <w:keepLines w:val="0"/>
        <w:pageBreakBefore w:val="0"/>
        <w:numPr>
          <w:ilvl w:val="0"/>
          <w:numId w:val="4"/>
        </w:numPr>
        <w:spacing w:line="360" w:lineRule="auto"/>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项目编号：JSZC-320582-RXDL-D2026-0008</w:t>
      </w:r>
    </w:p>
    <w:p w14:paraId="502B69CB">
      <w:pPr>
        <w:keepNext w:val="0"/>
        <w:keepLines w:val="0"/>
        <w:pageBreakBefore w:val="0"/>
        <w:numPr>
          <w:ilvl w:val="0"/>
          <w:numId w:val="4"/>
        </w:numPr>
        <w:spacing w:line="360" w:lineRule="auto"/>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2026年张家港市产商品质量监督抽查（采购包3）</w:t>
      </w:r>
    </w:p>
    <w:p w14:paraId="6D90EF89">
      <w:pPr>
        <w:keepNext w:val="0"/>
        <w:keepLines w:val="0"/>
        <w:pageBreakBefore w:val="0"/>
        <w:numPr>
          <w:ilvl w:val="0"/>
          <w:numId w:val="4"/>
        </w:numPr>
        <w:spacing w:line="360" w:lineRule="auto"/>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资金来源：财政资金</w:t>
      </w:r>
    </w:p>
    <w:p w14:paraId="4C0F74A5">
      <w:pPr>
        <w:keepNext w:val="0"/>
        <w:keepLines w:val="0"/>
        <w:pageBreakBefore w:val="0"/>
        <w:numPr>
          <w:ilvl w:val="0"/>
          <w:numId w:val="4"/>
        </w:numPr>
        <w:spacing w:line="360" w:lineRule="auto"/>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预算金额：49万元</w:t>
      </w:r>
    </w:p>
    <w:p w14:paraId="15ABC141">
      <w:pPr>
        <w:keepNext w:val="0"/>
        <w:keepLines w:val="0"/>
        <w:pageBreakBefore w:val="0"/>
        <w:numPr>
          <w:ilvl w:val="0"/>
          <w:numId w:val="4"/>
        </w:numPr>
        <w:spacing w:line="360" w:lineRule="auto"/>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最高限价：49万元（优惠率≥0%）</w:t>
      </w:r>
    </w:p>
    <w:p w14:paraId="28550D1A">
      <w:pPr>
        <w:keepNext w:val="0"/>
        <w:keepLines w:val="0"/>
        <w:pageBreakBefore w:val="0"/>
        <w:numPr>
          <w:ilvl w:val="0"/>
          <w:numId w:val="4"/>
        </w:numPr>
        <w:spacing w:line="360" w:lineRule="auto"/>
        <w:ind w:left="0"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技术要求：</w:t>
      </w:r>
    </w:p>
    <w:p w14:paraId="7E28BDBA">
      <w:pPr>
        <w:pStyle w:val="243"/>
        <w:keepNext w:val="0"/>
        <w:keepLines w:val="0"/>
        <w:pageBreakBefore w:val="0"/>
        <w:spacing w:line="360" w:lineRule="auto"/>
        <w:ind w:left="0" w:firstLine="500"/>
        <w:outlineLvl w:val="9"/>
        <w:rPr>
          <w:rStyle w:val="191"/>
          <w:rFonts w:hint="eastAsia" w:ascii="宋体" w:hAnsi="宋体" w:eastAsia="宋体" w:cs="宋体"/>
          <w:b w:val="0"/>
          <w:color w:val="000000" w:themeColor="text1"/>
          <w:spacing w:val="7"/>
          <w:sz w:val="24"/>
          <w:szCs w:val="24"/>
          <w:highlight w:val="none"/>
          <w14:textFill>
            <w14:solidFill>
              <w14:schemeClr w14:val="tx1"/>
            </w14:solidFill>
          </w14:textFill>
        </w:rPr>
      </w:pPr>
      <w:r>
        <w:rPr>
          <w:rStyle w:val="191"/>
          <w:rFonts w:hint="eastAsia" w:ascii="宋体" w:hAnsi="宋体" w:eastAsia="宋体" w:cs="宋体"/>
          <w:b w:val="0"/>
          <w:color w:val="000000" w:themeColor="text1"/>
          <w:spacing w:val="7"/>
          <w:sz w:val="24"/>
          <w:szCs w:val="24"/>
          <w:highlight w:val="none"/>
          <w:lang w:val="en-US" w:eastAsia="zh-CN"/>
          <w14:textFill>
            <w14:solidFill>
              <w14:schemeClr w14:val="tx1"/>
            </w14:solidFill>
          </w14:textFill>
        </w:rPr>
        <w:t>6.</w:t>
      </w:r>
      <w:r>
        <w:rPr>
          <w:rStyle w:val="191"/>
          <w:rFonts w:hint="eastAsia" w:ascii="宋体" w:hAnsi="宋体" w:eastAsia="宋体" w:cs="宋体"/>
          <w:b w:val="0"/>
          <w:color w:val="000000" w:themeColor="text1"/>
          <w:spacing w:val="7"/>
          <w:sz w:val="24"/>
          <w:szCs w:val="24"/>
          <w:highlight w:val="none"/>
          <w14:textFill>
            <w14:solidFill>
              <w14:schemeClr w14:val="tx1"/>
            </w14:solidFill>
          </w14:textFill>
        </w:rPr>
        <w:t>1</w:t>
      </w:r>
      <w:r>
        <w:rPr>
          <w:rStyle w:val="191"/>
          <w:rFonts w:hint="eastAsia" w:ascii="宋体" w:hAnsi="宋体" w:eastAsia="宋体" w:cs="宋体"/>
          <w:b w:val="0"/>
          <w:color w:val="000000" w:themeColor="text1"/>
          <w:spacing w:val="7"/>
          <w:sz w:val="24"/>
          <w:szCs w:val="24"/>
          <w:highlight w:val="none"/>
          <w:lang w:eastAsia="zh-CN"/>
          <w14:textFill>
            <w14:solidFill>
              <w14:schemeClr w14:val="tx1"/>
            </w14:solidFill>
          </w14:textFill>
        </w:rPr>
        <w:t>、</w:t>
      </w:r>
      <w:r>
        <w:rPr>
          <w:rStyle w:val="191"/>
          <w:rFonts w:hint="eastAsia" w:ascii="宋体" w:hAnsi="宋体" w:eastAsia="宋体" w:cs="宋体"/>
          <w:b w:val="0"/>
          <w:color w:val="000000" w:themeColor="text1"/>
          <w:spacing w:val="7"/>
          <w:sz w:val="24"/>
          <w:szCs w:val="24"/>
          <w:highlight w:val="none"/>
          <w14:textFill>
            <w14:solidFill>
              <w14:schemeClr w14:val="tx1"/>
            </w14:solidFill>
          </w14:textFill>
        </w:rPr>
        <w:t>清单</w:t>
      </w:r>
    </w:p>
    <w:tbl>
      <w:tblPr>
        <w:tblStyle w:val="33"/>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4"/>
        <w:gridCol w:w="1767"/>
        <w:gridCol w:w="748"/>
        <w:gridCol w:w="708"/>
        <w:gridCol w:w="698"/>
        <w:gridCol w:w="3191"/>
        <w:gridCol w:w="907"/>
        <w:gridCol w:w="881"/>
      </w:tblGrid>
      <w:tr w14:paraId="01A0D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B3E542">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95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36DD37">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名称</w:t>
            </w:r>
          </w:p>
        </w:tc>
        <w:tc>
          <w:tcPr>
            <w:tcW w:w="40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8EE1B4">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数量</w:t>
            </w:r>
          </w:p>
        </w:tc>
        <w:tc>
          <w:tcPr>
            <w:tcW w:w="3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B18889">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单位</w:t>
            </w:r>
          </w:p>
        </w:tc>
        <w:tc>
          <w:tcPr>
            <w:tcW w:w="37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279F9C">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图片</w:t>
            </w:r>
          </w:p>
        </w:tc>
        <w:tc>
          <w:tcPr>
            <w:tcW w:w="171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EFEF32">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所属行业</w:t>
            </w:r>
          </w:p>
        </w:tc>
        <w:tc>
          <w:tcPr>
            <w:tcW w:w="4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C75747">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标的类型</w:t>
            </w:r>
          </w:p>
        </w:tc>
        <w:tc>
          <w:tcPr>
            <w:tcW w:w="4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8C1EF2">
            <w:pPr>
              <w:pStyle w:val="246"/>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标的属性</w:t>
            </w:r>
          </w:p>
        </w:tc>
      </w:tr>
      <w:tr w14:paraId="4F9B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460C2E">
            <w:pPr>
              <w:pStyle w:val="246"/>
              <w:keepNext w:val="0"/>
              <w:keepLines w:val="0"/>
              <w:pageBreakBefore w:val="0"/>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95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188F87">
            <w:pPr>
              <w:pStyle w:val="246"/>
              <w:keepNext w:val="0"/>
              <w:keepLines w:val="0"/>
              <w:pageBreakBefore w:val="0"/>
              <w:spacing w:line="440" w:lineRule="exact"/>
              <w:jc w:val="center"/>
              <w:rPr>
                <w:rFonts w:hint="eastAsia" w:ascii="宋体" w:hAnsi="宋体" w:eastAsia="宋体" w:cs="宋体"/>
                <w:color w:val="auto"/>
                <w:highlight w:val="none"/>
              </w:rPr>
            </w:pPr>
            <w:r>
              <w:rPr>
                <w:rFonts w:hint="eastAsia" w:ascii="宋体" w:hAnsi="宋体" w:eastAsia="宋体" w:cs="宋体"/>
                <w:color w:val="auto"/>
                <w:spacing w:val="7"/>
                <w:sz w:val="24"/>
                <w:szCs w:val="24"/>
                <w:highlight w:val="none"/>
                <w:lang w:val="en-US" w:eastAsia="zh-CN" w:bidi="ar-SA"/>
              </w:rPr>
              <w:t>2026年张家港市产商品质量监督抽查（采购包3）</w:t>
            </w:r>
          </w:p>
        </w:tc>
        <w:tc>
          <w:tcPr>
            <w:tcW w:w="40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8E4201">
            <w:pPr>
              <w:pStyle w:val="246"/>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3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67CEB5">
            <w:pPr>
              <w:pStyle w:val="246"/>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37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3C459A">
            <w:pPr>
              <w:pStyle w:val="246"/>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171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3DADCD">
            <w:pPr>
              <w:pStyle w:val="246"/>
              <w:keepNext w:val="0"/>
              <w:keepLines w:val="0"/>
              <w:pageBreakBefore w:val="0"/>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其他未列明行业（包括科学研究和技术服务业，水利、环境和公共设施管理业，居民服务、修理和其他服务业，社会工作，文化、体育和娱乐业等）</w:t>
            </w:r>
          </w:p>
        </w:tc>
        <w:tc>
          <w:tcPr>
            <w:tcW w:w="4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378209">
            <w:pPr>
              <w:pStyle w:val="246"/>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主要采购标的</w:t>
            </w:r>
          </w:p>
        </w:tc>
        <w:tc>
          <w:tcPr>
            <w:tcW w:w="4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4C74C9">
            <w:pPr>
              <w:pStyle w:val="246"/>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w:t>
            </w:r>
          </w:p>
        </w:tc>
      </w:tr>
    </w:tbl>
    <w:p w14:paraId="676FA93D">
      <w:pPr>
        <w:pStyle w:val="247"/>
        <w:keepNext w:val="0"/>
        <w:keepLines w:val="0"/>
        <w:pageBreakBefore w:val="0"/>
        <w:spacing w:line="360" w:lineRule="auto"/>
        <w:ind w:firstLine="508"/>
        <w:rPr>
          <w:rFonts w:hint="eastAsia" w:ascii="宋体" w:hAnsi="宋体" w:eastAsia="宋体" w:cs="宋体"/>
          <w:color w:val="000000" w:themeColor="text1"/>
          <w:spacing w:val="7"/>
          <w:sz w:val="24"/>
          <w:szCs w:val="24"/>
          <w14:textFill>
            <w14:solidFill>
              <w14:schemeClr w14:val="tx1"/>
            </w14:solidFill>
          </w14:textFill>
        </w:rPr>
      </w:pPr>
    </w:p>
    <w:p w14:paraId="28E89894">
      <w:pPr>
        <w:pStyle w:val="244"/>
        <w:keepNext w:val="0"/>
        <w:keepLines w:val="0"/>
        <w:pageBreakBefore w:val="0"/>
        <w:spacing w:line="360" w:lineRule="auto"/>
        <w:ind w:left="0"/>
        <w:jc w:val="left"/>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ADE0CB2">
      <w:pPr>
        <w:pStyle w:val="244"/>
        <w:keepNext w:val="0"/>
        <w:keepLines w:val="0"/>
        <w:pageBreakBefore w:val="0"/>
        <w:spacing w:line="360" w:lineRule="auto"/>
        <w:ind w:left="0"/>
        <w:jc w:val="left"/>
        <w:rPr>
          <w:rStyle w:val="191"/>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91"/>
          <w:rFonts w:hint="eastAsia" w:ascii="宋体" w:hAnsi="宋体" w:eastAsia="宋体" w:cs="宋体"/>
          <w:color w:val="000000" w:themeColor="text1"/>
          <w:sz w:val="24"/>
          <w:szCs w:val="24"/>
          <w:highlight w:val="none"/>
          <w:lang w:val="en-US" w:eastAsia="zh-CN"/>
          <w14:textFill>
            <w14:solidFill>
              <w14:schemeClr w14:val="tx1"/>
            </w14:solidFill>
          </w14:textFill>
        </w:rPr>
        <w:t>6.2、技术（服务）要求</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4"/>
        <w:gridCol w:w="943"/>
        <w:gridCol w:w="7574"/>
      </w:tblGrid>
      <w:tr w14:paraId="5D770F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126ADF0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序号</w:t>
            </w:r>
          </w:p>
        </w:tc>
        <w:tc>
          <w:tcPr>
            <w:tcW w:w="990"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6899FA6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highlight w:val="none"/>
              </w:rPr>
            </w:pPr>
            <w:r>
              <w:rPr>
                <w:rFonts w:ascii="宋体" w:hAnsi="宋体" w:eastAsia="宋体" w:cs="宋体"/>
                <w:color w:val="auto"/>
                <w:sz w:val="24"/>
                <w:highlight w:val="none"/>
              </w:rPr>
              <w:t>名称</w:t>
            </w:r>
          </w:p>
        </w:tc>
        <w:tc>
          <w:tcPr>
            <w:tcW w:w="8052"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4E38177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auto"/>
                <w:highlight w:val="none"/>
              </w:rPr>
            </w:pPr>
            <w:r>
              <w:rPr>
                <w:rFonts w:ascii="宋体" w:hAnsi="宋体" w:eastAsia="宋体" w:cs="宋体"/>
                <w:color w:val="auto"/>
                <w:sz w:val="24"/>
                <w:highlight w:val="none"/>
              </w:rPr>
              <w:t>内容</w:t>
            </w:r>
          </w:p>
        </w:tc>
      </w:tr>
      <w:tr w14:paraId="502317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tcBorders>
              <w:top w:val="single" w:color="000000" w:sz="4" w:space="0"/>
              <w:left w:val="single" w:color="000000" w:sz="4" w:space="0"/>
              <w:bottom w:val="single" w:color="auto" w:sz="4" w:space="0"/>
              <w:right w:val="single" w:color="000000" w:sz="4" w:space="0"/>
            </w:tcBorders>
            <w:noWrap/>
            <w:tcMar>
              <w:top w:w="100" w:type="dxa"/>
              <w:left w:w="108" w:type="dxa"/>
              <w:bottom w:w="100" w:type="dxa"/>
              <w:right w:w="108" w:type="dxa"/>
            </w:tcMar>
            <w:vAlign w:val="center"/>
          </w:tcPr>
          <w:p w14:paraId="04CC061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eastAsia="宋体"/>
                <w:color w:val="auto"/>
                <w:highlight w:val="none"/>
                <w:lang w:val="en-US" w:eastAsia="zh-CN"/>
              </w:rPr>
            </w:pPr>
            <w:r>
              <w:rPr>
                <w:rFonts w:hint="eastAsia"/>
                <w:color w:val="auto"/>
                <w:highlight w:val="none"/>
                <w:lang w:val="en-US" w:eastAsia="zh-CN"/>
              </w:rPr>
              <w:t>1</w:t>
            </w:r>
          </w:p>
        </w:tc>
        <w:tc>
          <w:tcPr>
            <w:tcW w:w="990" w:type="dxa"/>
            <w:tcBorders>
              <w:top w:val="single" w:color="000000" w:sz="4" w:space="0"/>
              <w:left w:val="single" w:color="000000" w:sz="4" w:space="0"/>
              <w:bottom w:val="single" w:color="auto" w:sz="4" w:space="0"/>
              <w:right w:val="single" w:color="000000" w:sz="4" w:space="0"/>
            </w:tcBorders>
            <w:noWrap/>
            <w:tcMar>
              <w:top w:w="100" w:type="dxa"/>
              <w:left w:w="108" w:type="dxa"/>
              <w:bottom w:w="100" w:type="dxa"/>
              <w:right w:w="108" w:type="dxa"/>
            </w:tcMar>
            <w:vAlign w:val="center"/>
          </w:tcPr>
          <w:p w14:paraId="5DC793A0">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rPr>
            </w:pPr>
            <w:r>
              <w:rPr>
                <w:rFonts w:hint="eastAsia" w:ascii="宋体" w:hAnsi="宋体" w:cs="宋体"/>
                <w:color w:val="auto"/>
                <w:sz w:val="24"/>
                <w:highlight w:val="none"/>
              </w:rPr>
              <w:t>工作方案</w:t>
            </w:r>
          </w:p>
          <w:p w14:paraId="7A4291F9">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8052" w:type="dxa"/>
            <w:tcBorders>
              <w:top w:val="single" w:color="000000" w:sz="4" w:space="0"/>
              <w:left w:val="single" w:color="000000" w:sz="4" w:space="0"/>
              <w:bottom w:val="single" w:color="000000" w:sz="4" w:space="0"/>
              <w:right w:val="single" w:color="000000" w:sz="4" w:space="0"/>
            </w:tcBorders>
            <w:noWrap/>
            <w:tcMar>
              <w:top w:w="100" w:type="dxa"/>
              <w:left w:w="108" w:type="dxa"/>
              <w:bottom w:w="100" w:type="dxa"/>
              <w:right w:w="108" w:type="dxa"/>
            </w:tcMar>
            <w:vAlign w:val="center"/>
          </w:tcPr>
          <w:p w14:paraId="11B9BE6B">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cs="宋体"/>
                <w:i w:val="0"/>
                <w:iCs w:val="0"/>
                <w:color w:val="auto"/>
                <w:sz w:val="24"/>
                <w:highlight w:val="none"/>
                <w:u w:val="none"/>
              </w:rPr>
            </w:pPr>
            <w:r>
              <w:rPr>
                <w:rFonts w:hint="default" w:ascii="宋体" w:hAnsi="宋体" w:cs="宋体"/>
                <w:i w:val="0"/>
                <w:iCs w:val="0"/>
                <w:color w:val="auto"/>
                <w:sz w:val="24"/>
                <w:highlight w:val="none"/>
                <w:u w:val="none"/>
              </w:rPr>
              <w:t>根据张家港市市场监督管理局（以下简称 “采购人”）下发的抽检任务要求确定抽样检测工作计划，计划包括：抽样人员、抽样时间、抽样地点和抽样品种以及样品接收、检验、处置、信息汇总、结果反馈等全部内容，确保任务按时、按质完成。</w:t>
            </w:r>
          </w:p>
        </w:tc>
      </w:tr>
      <w:tr w14:paraId="459159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restart"/>
            <w:tcBorders>
              <w:top w:val="single" w:color="auto" w:sz="4" w:space="0"/>
              <w:left w:val="single" w:color="auto" w:sz="4" w:space="0"/>
              <w:right w:val="single" w:color="auto" w:sz="4" w:space="0"/>
            </w:tcBorders>
            <w:noWrap w:val="0"/>
            <w:vAlign w:val="center"/>
          </w:tcPr>
          <w:p w14:paraId="4D690B0A">
            <w:pPr>
              <w:spacing w:after="0" w:line="240" w:lineRule="auto"/>
              <w:jc w:val="center"/>
              <w:rPr>
                <w:rFonts w:hint="default" w:eastAsia="宋体"/>
                <w:color w:val="auto"/>
                <w:highlight w:val="none"/>
                <w:lang w:val="en-US" w:eastAsia="zh-CN"/>
              </w:rPr>
            </w:pPr>
            <w:r>
              <w:rPr>
                <w:rFonts w:hint="eastAsia"/>
                <w:color w:val="auto"/>
                <w:highlight w:val="none"/>
                <w:lang w:val="en-US" w:eastAsia="zh-CN"/>
              </w:rPr>
              <w:t>2</w:t>
            </w:r>
          </w:p>
        </w:tc>
        <w:tc>
          <w:tcPr>
            <w:tcW w:w="990" w:type="dxa"/>
            <w:vMerge w:val="restart"/>
            <w:tcBorders>
              <w:top w:val="single" w:color="auto" w:sz="4" w:space="0"/>
              <w:left w:val="single" w:color="auto" w:sz="4" w:space="0"/>
              <w:right w:val="single" w:color="auto" w:sz="4" w:space="0"/>
            </w:tcBorders>
            <w:noWrap w:val="0"/>
            <w:vAlign w:val="center"/>
          </w:tcPr>
          <w:p w14:paraId="219C241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抽样流程</w:t>
            </w: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265A084E">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i w:val="0"/>
                <w:iCs w:val="0"/>
                <w:color w:val="auto"/>
                <w:sz w:val="24"/>
                <w:highlight w:val="none"/>
                <w:u w:val="none"/>
                <w:lang w:eastAsia="zh-CN"/>
              </w:rPr>
            </w:pPr>
            <w:r>
              <w:rPr>
                <w:rFonts w:hint="eastAsia" w:ascii="宋体" w:hAnsi="宋体" w:cs="宋体"/>
                <w:i w:val="0"/>
                <w:iCs w:val="0"/>
                <w:color w:val="auto"/>
                <w:sz w:val="24"/>
                <w:highlight w:val="none"/>
                <w:u w:val="none"/>
                <w:lang w:val="en-US" w:eastAsia="zh-CN"/>
              </w:rPr>
              <w:t>1.</w:t>
            </w:r>
            <w:r>
              <w:rPr>
                <w:rFonts w:hint="default" w:ascii="宋体" w:hAnsi="宋体" w:cs="宋体"/>
                <w:i w:val="0"/>
                <w:iCs w:val="0"/>
                <w:color w:val="auto"/>
                <w:sz w:val="24"/>
                <w:highlight w:val="none"/>
                <w:u w:val="none"/>
                <w:lang w:val="en-US" w:eastAsia="zh-CN"/>
              </w:rPr>
              <w:t>根据采购人下达的监督抽查计划任务要求，制定针对性的产品监督抽查实施方案，方案需符合《江苏省省级产品质量监督抽查工作规范》附件《产品质量监督抽查实施方案编写要求》。</w:t>
            </w:r>
          </w:p>
        </w:tc>
      </w:tr>
      <w:tr w14:paraId="2A443A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right w:val="single" w:color="auto" w:sz="4" w:space="0"/>
            </w:tcBorders>
            <w:noWrap w:val="0"/>
            <w:vAlign w:val="center"/>
          </w:tcPr>
          <w:p w14:paraId="66AA326F">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990" w:type="dxa"/>
            <w:vMerge w:val="continue"/>
            <w:tcBorders>
              <w:left w:val="single" w:color="auto" w:sz="4" w:space="0"/>
              <w:right w:val="single" w:color="auto" w:sz="4" w:space="0"/>
            </w:tcBorders>
            <w:noWrap w:val="0"/>
            <w:vAlign w:val="center"/>
          </w:tcPr>
          <w:p w14:paraId="38562957">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045C96A9">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cs="宋体"/>
                <w:i w:val="0"/>
                <w:iCs w:val="0"/>
                <w:color w:val="auto"/>
                <w:sz w:val="24"/>
                <w:highlight w:val="none"/>
                <w:u w:val="none"/>
                <w:lang w:val="en-US" w:eastAsia="zh-CN"/>
              </w:rPr>
            </w:pPr>
            <w:r>
              <w:rPr>
                <w:rFonts w:hint="eastAsia" w:ascii="宋体" w:hAnsi="宋体" w:cs="宋体"/>
                <w:i w:val="0"/>
                <w:iCs w:val="0"/>
                <w:color w:val="auto"/>
                <w:sz w:val="24"/>
                <w:highlight w:val="none"/>
                <w:u w:val="none"/>
                <w:lang w:val="en-US" w:eastAsia="zh-CN"/>
              </w:rPr>
              <w:t>2</w:t>
            </w:r>
            <w:r>
              <w:rPr>
                <w:rFonts w:hint="default" w:ascii="宋体" w:hAnsi="宋体" w:cs="宋体"/>
                <w:i w:val="0"/>
                <w:iCs w:val="0"/>
                <w:color w:val="auto"/>
                <w:sz w:val="24"/>
                <w:highlight w:val="none"/>
                <w:u w:val="none"/>
                <w:lang w:val="en-US" w:eastAsia="zh-CN"/>
              </w:rPr>
              <w:t>. 配备足额、合格的本单位在职抽样人员（抽样人员不得少于2人，需熟悉相关法规及抽样规范），确保能够按照任务进度顺利完成抽样工作。</w:t>
            </w:r>
          </w:p>
        </w:tc>
      </w:tr>
      <w:tr w14:paraId="5969DC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right w:val="single" w:color="auto" w:sz="4" w:space="0"/>
            </w:tcBorders>
            <w:noWrap w:val="0"/>
            <w:vAlign w:val="center"/>
          </w:tcPr>
          <w:p w14:paraId="06EB1193">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right w:val="single" w:color="auto" w:sz="4" w:space="0"/>
            </w:tcBorders>
            <w:noWrap w:val="0"/>
            <w:vAlign w:val="center"/>
          </w:tcPr>
          <w:p w14:paraId="271F3AF0">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66424D34">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cs="宋体"/>
                <w:i w:val="0"/>
                <w:iCs w:val="0"/>
                <w:color w:val="auto"/>
                <w:sz w:val="24"/>
                <w:highlight w:val="none"/>
                <w:u w:val="none"/>
                <w:lang w:val="en-US" w:eastAsia="zh-CN"/>
              </w:rPr>
            </w:pPr>
            <w:r>
              <w:rPr>
                <w:rFonts w:hint="eastAsia" w:ascii="宋体" w:hAnsi="宋体" w:cs="宋体"/>
                <w:i w:val="0"/>
                <w:iCs w:val="0"/>
                <w:color w:val="auto"/>
                <w:sz w:val="24"/>
                <w:highlight w:val="none"/>
                <w:u w:val="none"/>
                <w:lang w:val="en-US" w:eastAsia="zh-CN"/>
              </w:rPr>
              <w:t>3</w:t>
            </w:r>
            <w:r>
              <w:rPr>
                <w:rFonts w:hint="default" w:ascii="宋体" w:hAnsi="宋体" w:cs="宋体"/>
                <w:i w:val="0"/>
                <w:iCs w:val="0"/>
                <w:color w:val="auto"/>
                <w:sz w:val="24"/>
                <w:highlight w:val="none"/>
                <w:u w:val="none"/>
                <w:lang w:val="en-US" w:eastAsia="zh-CN"/>
              </w:rPr>
              <w:t>. 抽样时，严格落实《产品质量监督抽查管理暂行办法》（国家市场监督管理总局令第 18 号）、《江苏省产品质量监督办法》（省政府令第 173 号）等规定，参照《江苏省省级产品质量监督抽查工作规范》及对应产品监督抽查实施细则（按江苏省市场监督管理局年度最新版本执行）要求，按实施方案完成样品抽查。</w:t>
            </w:r>
          </w:p>
        </w:tc>
      </w:tr>
      <w:tr w14:paraId="763C59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right w:val="single" w:color="auto" w:sz="4" w:space="0"/>
            </w:tcBorders>
            <w:noWrap w:val="0"/>
            <w:vAlign w:val="center"/>
          </w:tcPr>
          <w:p w14:paraId="41AE40EC">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right w:val="single" w:color="auto" w:sz="4" w:space="0"/>
            </w:tcBorders>
            <w:noWrap w:val="0"/>
            <w:vAlign w:val="center"/>
          </w:tcPr>
          <w:p w14:paraId="294910A6">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02B6FD4E">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 xml:space="preserve">3. </w:t>
            </w:r>
            <w:r>
              <w:rPr>
                <w:rFonts w:hint="eastAsia" w:ascii="宋体" w:hAnsi="宋体" w:cs="宋体"/>
                <w:i w:val="0"/>
                <w:iCs w:val="0"/>
                <w:color w:val="auto"/>
                <w:sz w:val="24"/>
                <w:highlight w:val="none"/>
                <w:u w:val="none"/>
                <w:lang w:val="en-US" w:eastAsia="zh-CN"/>
              </w:rPr>
              <w:t>配备</w:t>
            </w:r>
            <w:r>
              <w:rPr>
                <w:rFonts w:hint="default" w:ascii="宋体" w:hAnsi="宋体" w:cs="宋体"/>
                <w:i w:val="0"/>
                <w:iCs w:val="0"/>
                <w:color w:val="auto"/>
                <w:sz w:val="24"/>
                <w:highlight w:val="none"/>
                <w:u w:val="none"/>
                <w:lang w:val="en-US" w:eastAsia="zh-CN"/>
              </w:rPr>
              <w:t>符合要求的抽样工具和专用车辆，严格执行“抽样、检测分离”制度，抽样人员与检验人员不得为同一批人员，严禁混岗。</w:t>
            </w:r>
          </w:p>
        </w:tc>
      </w:tr>
      <w:tr w14:paraId="33746F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747" w:type="dxa"/>
            <w:vMerge w:val="continue"/>
            <w:tcBorders>
              <w:left w:val="single" w:color="auto" w:sz="4" w:space="0"/>
              <w:right w:val="single" w:color="auto" w:sz="4" w:space="0"/>
            </w:tcBorders>
            <w:noWrap w:val="0"/>
            <w:vAlign w:val="center"/>
          </w:tcPr>
          <w:p w14:paraId="6761DDD5">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right w:val="single" w:color="auto" w:sz="4" w:space="0"/>
            </w:tcBorders>
            <w:noWrap w:val="0"/>
            <w:vAlign w:val="center"/>
          </w:tcPr>
          <w:p w14:paraId="480D96FA">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11436D0A">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4. 抽样过程中不得向被抽检企业收取任何费用，不得在承检期间向其宣传、推销自身业务；抽样时需对抽样场所、贮存环境、产品标识及抽样过程拍照或录像留存证据，必要时全程录像，抽样文书需经抽样人员和被抽样生产者、销售者签字确认。</w:t>
            </w:r>
          </w:p>
        </w:tc>
      </w:tr>
      <w:tr w14:paraId="0AB788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4" w:hRule="atLeast"/>
        </w:trPr>
        <w:tc>
          <w:tcPr>
            <w:tcW w:w="747" w:type="dxa"/>
            <w:vMerge w:val="continue"/>
            <w:tcBorders>
              <w:left w:val="single" w:color="auto" w:sz="4" w:space="0"/>
              <w:bottom w:val="single" w:color="auto" w:sz="4" w:space="0"/>
              <w:right w:val="single" w:color="auto" w:sz="4" w:space="0"/>
            </w:tcBorders>
            <w:noWrap w:val="0"/>
            <w:vAlign w:val="center"/>
          </w:tcPr>
          <w:p w14:paraId="5F644BC9">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990" w:type="dxa"/>
            <w:vMerge w:val="continue"/>
            <w:tcBorders>
              <w:left w:val="single" w:color="auto" w:sz="4" w:space="0"/>
              <w:bottom w:val="single" w:color="auto" w:sz="4" w:space="0"/>
              <w:right w:val="single" w:color="auto" w:sz="4" w:space="0"/>
            </w:tcBorders>
            <w:noWrap w:val="0"/>
            <w:vAlign w:val="center"/>
          </w:tcPr>
          <w:p w14:paraId="371FDE97">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eastAsia="宋体" w:cs="宋体"/>
                <w:color w:val="auto"/>
                <w:sz w:val="24"/>
                <w:szCs w:val="24"/>
                <w:highlight w:val="none"/>
                <w:lang w:val="en-US" w:eastAsia="zh-CN" w:bidi="ar"/>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6AD996F6">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5. 严格区分检验样品与备用样品，按规定采取防拆封措施封样，确保样品运输、贮存过程中无损坏、无污染、无篡改。</w:t>
            </w:r>
          </w:p>
        </w:tc>
      </w:tr>
      <w:tr w14:paraId="470473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3E828FA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eastAsia="宋体"/>
                <w:color w:val="auto"/>
                <w:highlight w:val="none"/>
                <w:lang w:val="en-US" w:eastAsia="zh-CN"/>
              </w:rPr>
            </w:pPr>
            <w:r>
              <w:rPr>
                <w:rFonts w:hint="eastAsia"/>
                <w:color w:val="auto"/>
                <w:highlight w:val="none"/>
                <w:lang w:val="en-US" w:eastAsia="zh-CN"/>
              </w:rPr>
              <w:t>3</w:t>
            </w:r>
          </w:p>
        </w:tc>
        <w:tc>
          <w:tcPr>
            <w:tcW w:w="990"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13E25A1F">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rPr>
                <w:rFonts w:hint="eastAsia" w:ascii="宋体" w:hAnsi="宋体" w:cs="宋体"/>
                <w:color w:val="auto"/>
                <w:sz w:val="24"/>
                <w:highlight w:val="none"/>
              </w:rPr>
            </w:pPr>
            <w:r>
              <w:rPr>
                <w:rFonts w:hint="eastAsia" w:ascii="宋体" w:hAnsi="宋体" w:cs="宋体"/>
                <w:color w:val="auto"/>
                <w:sz w:val="24"/>
                <w:highlight w:val="none"/>
                <w:lang w:val="en-US" w:eastAsia="zh-CN"/>
              </w:rPr>
              <w:t>检验、检验报告出具以及检验结果的确认</w:t>
            </w: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6FFA868F">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eastAsia="宋体" w:cs="宋体"/>
                <w:i w:val="0"/>
                <w:iCs w:val="0"/>
                <w:color w:val="auto"/>
                <w:sz w:val="24"/>
                <w:highlight w:val="none"/>
                <w:u w:val="none"/>
                <w:lang w:eastAsia="zh-CN"/>
              </w:rPr>
            </w:pPr>
            <w:r>
              <w:rPr>
                <w:rFonts w:hint="eastAsia" w:ascii="宋体" w:hAnsi="宋体" w:cs="宋体"/>
                <w:i w:val="0"/>
                <w:iCs w:val="0"/>
                <w:color w:val="auto"/>
                <w:sz w:val="24"/>
                <w:highlight w:val="none"/>
                <w:u w:val="none"/>
                <w:lang w:eastAsia="zh-CN"/>
              </w:rPr>
              <w:t>1.检验工作</w:t>
            </w:r>
            <w:r>
              <w:rPr>
                <w:rFonts w:hint="default" w:ascii="宋体" w:hAnsi="宋体" w:cs="宋体"/>
                <w:i w:val="0"/>
                <w:iCs w:val="0"/>
                <w:color w:val="auto"/>
                <w:sz w:val="24"/>
                <w:highlight w:val="none"/>
                <w:u w:val="none"/>
                <w:lang w:val="en-US" w:eastAsia="zh-CN"/>
              </w:rPr>
              <w:t>严格按照现行有效国家标准、行业标准及采购人下达的监督抽查实施方案执行，明确检验项目、检验依据及判定规则，不得擅自增减检验项目、修改检验方法。</w:t>
            </w:r>
          </w:p>
        </w:tc>
      </w:tr>
      <w:tr w14:paraId="646FB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5B2E3D2F">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7CA3A735">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29BC6C63">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i w:val="0"/>
                <w:iCs w:val="0"/>
                <w:color w:val="auto"/>
                <w:sz w:val="24"/>
                <w:highlight w:val="none"/>
                <w:u w:val="none"/>
              </w:rPr>
            </w:pPr>
            <w:r>
              <w:rPr>
                <w:rFonts w:hint="default" w:ascii="宋体" w:hAnsi="宋体" w:cs="宋体"/>
                <w:i w:val="0"/>
                <w:iCs w:val="0"/>
                <w:color w:val="auto"/>
                <w:sz w:val="24"/>
                <w:highlight w:val="none"/>
                <w:u w:val="none"/>
                <w:lang w:val="en-US" w:eastAsia="zh-CN"/>
              </w:rPr>
              <w:t>2.采用与检验项目匹配的标准检验方法，规范操作流程，确保检验数据准确、全程可追溯，严禁篡改检验数据、伪造检验结果。</w:t>
            </w:r>
          </w:p>
        </w:tc>
      </w:tr>
      <w:tr w14:paraId="3C23BA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49967C37">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66AF0491">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47A4AFFE">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ascii="宋体" w:hAnsi="宋体" w:cs="宋体"/>
                <w:i w:val="0"/>
                <w:iCs w:val="0"/>
                <w:color w:val="auto"/>
                <w:sz w:val="24"/>
                <w:highlight w:val="none"/>
                <w:u w:val="none"/>
                <w:lang w:val="en-US" w:eastAsia="zh-CN"/>
              </w:rPr>
            </w:pPr>
            <w:r>
              <w:rPr>
                <w:rFonts w:hint="default" w:ascii="宋体" w:hAnsi="宋体" w:cs="宋体"/>
                <w:i w:val="0"/>
                <w:iCs w:val="0"/>
                <w:color w:val="auto"/>
                <w:sz w:val="24"/>
                <w:highlight w:val="none"/>
                <w:u w:val="none"/>
                <w:lang w:val="en-US" w:eastAsia="zh-CN"/>
              </w:rPr>
              <w:t>3.未经采购人书面同意，不得擅自发布、泄露抽样检测结果及相关数据信息；检验完成后，依法出具规范的检验报告，确保报告信息完整、数据准确，符合相关规范要求。</w:t>
            </w:r>
          </w:p>
        </w:tc>
      </w:tr>
      <w:tr w14:paraId="057B18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8"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52293F0C">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2B433056">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32E8822C">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ascii="宋体" w:hAnsi="宋体" w:eastAsia="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rPr>
              <w:t>4.</w:t>
            </w:r>
            <w:r>
              <w:rPr>
                <w:rFonts w:hint="default" w:ascii="宋体" w:hAnsi="宋体" w:cs="宋体"/>
                <w:i w:val="0"/>
                <w:iCs w:val="0"/>
                <w:color w:val="auto"/>
                <w:sz w:val="24"/>
                <w:highlight w:val="none"/>
                <w:u w:val="none"/>
                <w:lang w:val="en-US" w:eastAsia="zh-CN"/>
              </w:rPr>
              <w:t>检验结束后，及时汇总检验数据，形成完整检验报告，经采购人确认后归档留存，严禁擅自发布检验结果、篡改检验数据。</w:t>
            </w:r>
          </w:p>
        </w:tc>
      </w:tr>
      <w:tr w14:paraId="4C74C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tcBorders>
              <w:top w:val="single" w:color="auto" w:sz="4" w:space="0"/>
              <w:left w:val="single" w:color="auto" w:sz="4" w:space="0"/>
              <w:bottom w:val="single" w:color="auto" w:sz="4" w:space="0"/>
              <w:right w:val="single" w:color="auto" w:sz="4" w:space="0"/>
            </w:tcBorders>
            <w:noWrap w:val="0"/>
            <w:vAlign w:val="center"/>
          </w:tcPr>
          <w:p w14:paraId="6A87C828">
            <w:pPr>
              <w:spacing w:after="0" w:line="240" w:lineRule="auto"/>
              <w:jc w:val="center"/>
              <w:rPr>
                <w:rFonts w:hint="eastAsia" w:eastAsia="宋体"/>
                <w:color w:val="auto"/>
                <w:highlight w:val="none"/>
                <w:lang w:val="en-US" w:eastAsia="zh-CN"/>
              </w:rPr>
            </w:pPr>
            <w:r>
              <w:rPr>
                <w:rFonts w:hint="eastAsia"/>
                <w:color w:val="auto"/>
                <w:highlight w:val="none"/>
                <w:lang w:val="en-US" w:eastAsia="zh-CN"/>
              </w:rPr>
              <w:t>4</w:t>
            </w:r>
          </w:p>
        </w:tc>
        <w:tc>
          <w:tcPr>
            <w:tcW w:w="990" w:type="dxa"/>
            <w:tcBorders>
              <w:top w:val="single" w:color="auto" w:sz="4" w:space="0"/>
              <w:left w:val="single" w:color="auto" w:sz="4" w:space="0"/>
              <w:bottom w:val="single" w:color="auto" w:sz="4" w:space="0"/>
              <w:right w:val="single" w:color="auto" w:sz="4" w:space="0"/>
            </w:tcBorders>
            <w:noWrap w:val="0"/>
            <w:vAlign w:val="center"/>
          </w:tcPr>
          <w:p w14:paraId="0968A4E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配合异议处理工作</w:t>
            </w:r>
          </w:p>
        </w:tc>
        <w:tc>
          <w:tcPr>
            <w:tcW w:w="8052" w:type="dxa"/>
            <w:tcBorders>
              <w:top w:val="nil"/>
              <w:left w:val="single" w:color="auto" w:sz="4" w:space="0"/>
              <w:bottom w:val="single" w:color="000000" w:sz="8" w:space="0"/>
              <w:right w:val="single" w:color="000000" w:sz="8" w:space="0"/>
            </w:tcBorders>
            <w:noWrap/>
            <w:tcMar>
              <w:top w:w="100" w:type="dxa"/>
              <w:left w:w="108" w:type="dxa"/>
              <w:bottom w:w="100" w:type="dxa"/>
              <w:right w:w="108" w:type="dxa"/>
            </w:tcMar>
            <w:vAlign w:val="center"/>
          </w:tcPr>
          <w:p w14:paraId="15C34A87">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bidi="ar"/>
              </w:rPr>
              <w:t>检验工作结束后3日内，将检验结果及相关材料报送采购人，配合采购人做好检验结果书面告知工作（含被抽样生产者、销售者、标称生产者等相关主体）。对经检验不合格的产商品，及时配合采购人做好样品复检相关工作，按要求提供复检所需的检验原始记录、样品等资料，协助采购人核查异议事项。被抽样生产者、销售者提出异议的，配合采购人在法定时限（收到检验结论书面告知之日起15日内）处理异议，如实提供相关说明及佐证材料。</w:t>
            </w:r>
          </w:p>
        </w:tc>
      </w:tr>
      <w:tr w14:paraId="6A679A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6" w:hRule="atLeast"/>
        </w:trPr>
        <w:tc>
          <w:tcPr>
            <w:tcW w:w="747"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0094E59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eastAsia="宋体"/>
                <w:color w:val="auto"/>
                <w:highlight w:val="none"/>
                <w:lang w:val="en-US" w:eastAsia="zh-CN"/>
              </w:rPr>
            </w:pPr>
            <w:r>
              <w:rPr>
                <w:rFonts w:hint="eastAsia"/>
                <w:color w:val="auto"/>
                <w:highlight w:val="none"/>
                <w:lang w:val="en-US" w:eastAsia="zh-CN"/>
              </w:rPr>
              <w:t>5</w:t>
            </w:r>
          </w:p>
        </w:tc>
        <w:tc>
          <w:tcPr>
            <w:tcW w:w="990" w:type="dxa"/>
            <w:vMerge w:val="restart"/>
            <w:tcBorders>
              <w:top w:val="single" w:color="auto" w:sz="4" w:space="0"/>
              <w:left w:val="single" w:color="auto" w:sz="4" w:space="0"/>
              <w:right w:val="single" w:color="auto" w:sz="4" w:space="0"/>
            </w:tcBorders>
            <w:noWrap/>
            <w:tcMar>
              <w:top w:w="100" w:type="dxa"/>
              <w:left w:w="108" w:type="dxa"/>
              <w:bottom w:w="100" w:type="dxa"/>
              <w:right w:w="108" w:type="dxa"/>
            </w:tcMar>
            <w:vAlign w:val="center"/>
          </w:tcPr>
          <w:p w14:paraId="2BEB7621">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cs="宋体"/>
                <w:color w:val="auto"/>
                <w:sz w:val="24"/>
                <w:highlight w:val="none"/>
              </w:rPr>
            </w:pPr>
            <w:r>
              <w:rPr>
                <w:rFonts w:hint="eastAsia" w:ascii="宋体" w:hAnsi="宋体" w:cs="宋体"/>
                <w:color w:val="auto"/>
                <w:sz w:val="24"/>
                <w:highlight w:val="none"/>
              </w:rPr>
              <w:t>汇总材料及上报</w:t>
            </w:r>
          </w:p>
        </w:tc>
        <w:tc>
          <w:tcPr>
            <w:tcW w:w="8052" w:type="dxa"/>
            <w:tcBorders>
              <w:top w:val="single" w:color="000000" w:sz="4" w:space="0"/>
              <w:left w:val="single" w:color="auto" w:sz="4" w:space="0"/>
              <w:bottom w:val="single" w:color="000000" w:sz="4" w:space="0"/>
              <w:right w:val="single" w:color="000000" w:sz="4" w:space="0"/>
            </w:tcBorders>
            <w:noWrap/>
            <w:tcMar>
              <w:top w:w="100" w:type="dxa"/>
              <w:left w:w="108" w:type="dxa"/>
              <w:bottom w:w="100" w:type="dxa"/>
              <w:right w:w="108" w:type="dxa"/>
            </w:tcMar>
            <w:vAlign w:val="center"/>
          </w:tcPr>
          <w:p w14:paraId="2931BC7F">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i w:val="0"/>
                <w:iCs w:val="0"/>
                <w:color w:val="auto"/>
                <w:sz w:val="24"/>
                <w:highlight w:val="none"/>
                <w:u w:val="none"/>
                <w:lang w:val="en-US" w:eastAsia="zh-CN" w:bidi="ar"/>
              </w:rPr>
            </w:pPr>
            <w:r>
              <w:rPr>
                <w:rFonts w:hint="eastAsia" w:ascii="宋体" w:hAnsi="宋体" w:eastAsia="宋体" w:cs="宋体"/>
                <w:i w:val="0"/>
                <w:iCs w:val="0"/>
                <w:color w:val="auto"/>
                <w:sz w:val="24"/>
                <w:szCs w:val="22"/>
                <w:highlight w:val="none"/>
                <w:u w:val="none"/>
                <w:lang w:val="en-US" w:eastAsia="zh-CN" w:bidi="ar"/>
              </w:rPr>
              <w:t xml:space="preserve">1. </w:t>
            </w:r>
            <w:r>
              <w:rPr>
                <w:rFonts w:hint="eastAsia" w:ascii="宋体" w:hAnsi="宋体" w:cs="宋体"/>
                <w:i w:val="0"/>
                <w:iCs w:val="0"/>
                <w:color w:val="auto"/>
                <w:sz w:val="24"/>
                <w:highlight w:val="none"/>
                <w:u w:val="none"/>
                <w:lang w:val="en-US" w:eastAsia="zh-CN" w:bidi="ar"/>
              </w:rPr>
              <w:t>在辖区范围内开展产商品监督抽查检验检测业务所形成的所有信息、数据、原始记录、检验报告、抽样文书等资料，全部归采购人所有，投标人不得擅自留存、泄露或用于其他用途，严格遵守数据保密规定。</w:t>
            </w:r>
          </w:p>
        </w:tc>
      </w:tr>
      <w:tr w14:paraId="22514E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6" w:hRule="atLeast"/>
        </w:trPr>
        <w:tc>
          <w:tcPr>
            <w:tcW w:w="747"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51839163">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990" w:type="dxa"/>
            <w:vMerge w:val="continue"/>
            <w:tcBorders>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73600033">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auto"/>
                <w:highlight w:val="none"/>
              </w:rPr>
            </w:pPr>
          </w:p>
        </w:tc>
        <w:tc>
          <w:tcPr>
            <w:tcW w:w="8052" w:type="dxa"/>
            <w:tcBorders>
              <w:top w:val="single" w:color="000000" w:sz="4" w:space="0"/>
              <w:left w:val="single" w:color="auto" w:sz="4" w:space="0"/>
              <w:bottom w:val="single" w:color="auto" w:sz="4" w:space="0"/>
              <w:right w:val="single" w:color="000000" w:sz="4" w:space="0"/>
            </w:tcBorders>
            <w:noWrap/>
            <w:tcMar>
              <w:top w:w="100" w:type="dxa"/>
              <w:left w:w="108" w:type="dxa"/>
              <w:bottom w:w="100" w:type="dxa"/>
              <w:right w:w="108" w:type="dxa"/>
            </w:tcMar>
            <w:vAlign w:val="center"/>
          </w:tcPr>
          <w:p w14:paraId="7DEB25DF">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eastAsia="宋体" w:cs="宋体"/>
                <w:i w:val="0"/>
                <w:iCs w:val="0"/>
                <w:color w:val="auto"/>
                <w:sz w:val="24"/>
                <w:szCs w:val="22"/>
                <w:highlight w:val="none"/>
                <w:u w:val="none"/>
                <w:lang w:val="en-US" w:eastAsia="zh-CN" w:bidi="ar"/>
              </w:rPr>
            </w:pPr>
            <w:r>
              <w:rPr>
                <w:rFonts w:hint="eastAsia" w:ascii="宋体" w:hAnsi="宋体" w:eastAsia="宋体" w:cs="宋体"/>
                <w:i w:val="0"/>
                <w:iCs w:val="0"/>
                <w:color w:val="auto"/>
                <w:sz w:val="24"/>
                <w:szCs w:val="22"/>
                <w:highlight w:val="none"/>
                <w:u w:val="none"/>
                <w:lang w:val="en-US" w:eastAsia="zh-CN" w:bidi="ar"/>
              </w:rPr>
              <w:t xml:space="preserve">2. </w:t>
            </w:r>
            <w:r>
              <w:rPr>
                <w:rFonts w:hint="eastAsia" w:ascii="宋体" w:hAnsi="宋体" w:cs="宋体"/>
                <w:i w:val="0"/>
                <w:iCs w:val="0"/>
                <w:color w:val="auto"/>
                <w:sz w:val="24"/>
                <w:highlight w:val="none"/>
                <w:u w:val="none"/>
                <w:lang w:val="en-US" w:eastAsia="zh-CN" w:bidi="ar"/>
              </w:rPr>
              <w:t>同步做好相关数据、资料的收集、整理、归档工作（归档需规范、完整，便于采购人核查、追溯），积极配合采购人开展数据综合分析、开发利用及后续监督检查工作。</w:t>
            </w:r>
          </w:p>
        </w:tc>
      </w:tr>
      <w:tr w14:paraId="344FDF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restart"/>
            <w:tcBorders>
              <w:top w:val="single" w:color="auto" w:sz="4" w:space="0"/>
              <w:left w:val="single" w:color="auto" w:sz="4" w:space="0"/>
              <w:bottom w:val="single" w:color="auto" w:sz="4" w:space="0"/>
              <w:right w:val="single" w:color="auto" w:sz="4" w:space="0"/>
            </w:tcBorders>
            <w:noWrap w:val="0"/>
            <w:vAlign w:val="center"/>
          </w:tcPr>
          <w:p w14:paraId="643F60D9">
            <w:pPr>
              <w:spacing w:after="0" w:line="240" w:lineRule="auto"/>
              <w:jc w:val="center"/>
              <w:rPr>
                <w:rFonts w:hint="eastAsia" w:eastAsia="宋体"/>
                <w:color w:val="auto"/>
                <w:highlight w:val="none"/>
                <w:lang w:val="en-US" w:eastAsia="zh-CN"/>
              </w:rPr>
            </w:pPr>
            <w:r>
              <w:rPr>
                <w:rFonts w:hint="eastAsia"/>
                <w:color w:val="auto"/>
                <w:highlight w:val="none"/>
                <w:lang w:val="en-US" w:eastAsia="zh-CN"/>
              </w:rPr>
              <w:t>6</w:t>
            </w:r>
          </w:p>
        </w:tc>
        <w:tc>
          <w:tcPr>
            <w:tcW w:w="990" w:type="dxa"/>
            <w:vMerge w:val="restart"/>
            <w:tcBorders>
              <w:top w:val="single" w:color="auto" w:sz="4" w:space="0"/>
              <w:left w:val="single" w:color="auto" w:sz="4" w:space="0"/>
              <w:bottom w:val="single" w:color="auto" w:sz="4" w:space="0"/>
              <w:right w:val="single" w:color="auto" w:sz="4" w:space="0"/>
            </w:tcBorders>
            <w:noWrap w:val="0"/>
            <w:vAlign w:val="center"/>
          </w:tcPr>
          <w:p w14:paraId="1CEC6B0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内部管理</w:t>
            </w:r>
          </w:p>
        </w:tc>
        <w:tc>
          <w:tcPr>
            <w:tcW w:w="8052" w:type="dxa"/>
            <w:tcBorders>
              <w:top w:val="single" w:color="auto" w:sz="4" w:space="0"/>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00782EE4">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1.投标人负责项目实施的团队岗位配置合理，包括项目负责人员、抽样人员、样品接收人员、检验人员（包括检测人员、报告审核人员、授权签字人等）分工明确，专业能力覆盖所投采购包检测要求。</w:t>
            </w:r>
          </w:p>
        </w:tc>
      </w:tr>
      <w:tr w14:paraId="497843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top w:val="single" w:color="auto" w:sz="4" w:space="0"/>
              <w:left w:val="single" w:color="auto" w:sz="4" w:space="0"/>
              <w:bottom w:val="single" w:color="auto" w:sz="4" w:space="0"/>
              <w:right w:val="single" w:color="auto" w:sz="4" w:space="0"/>
            </w:tcBorders>
            <w:noWrap w:val="0"/>
            <w:vAlign w:val="center"/>
          </w:tcPr>
          <w:p w14:paraId="10D0CB06">
            <w:pPr>
              <w:spacing w:after="0" w:line="240" w:lineRule="auto"/>
              <w:jc w:val="center"/>
              <w:rPr>
                <w:rFonts w:hint="eastAsia" w:eastAsia="宋体"/>
                <w:color w:val="auto"/>
                <w:highlight w:val="none"/>
                <w:lang w:val="en-US" w:eastAsia="zh-CN"/>
              </w:rPr>
            </w:pPr>
          </w:p>
        </w:tc>
        <w:tc>
          <w:tcPr>
            <w:tcW w:w="990" w:type="dxa"/>
            <w:vMerge w:val="continue"/>
            <w:tcBorders>
              <w:top w:val="single" w:color="auto" w:sz="4" w:space="0"/>
              <w:left w:val="single" w:color="auto" w:sz="4" w:space="0"/>
              <w:bottom w:val="single" w:color="auto" w:sz="4" w:space="0"/>
              <w:right w:val="single" w:color="auto" w:sz="4" w:space="0"/>
            </w:tcBorders>
            <w:noWrap w:val="0"/>
            <w:vAlign w:val="center"/>
          </w:tcPr>
          <w:p w14:paraId="1775DB1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color w:val="auto"/>
                <w:sz w:val="24"/>
                <w:highlight w:val="none"/>
                <w:lang w:val="en-US" w:eastAsia="zh-CN"/>
              </w:rPr>
            </w:pPr>
          </w:p>
        </w:tc>
        <w:tc>
          <w:tcPr>
            <w:tcW w:w="8052" w:type="dxa"/>
            <w:tcBorders>
              <w:top w:val="single" w:color="auto" w:sz="4" w:space="0"/>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6BE8FDDD">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2.投标人具备满足所投项目采购包任务所需的检验检测设备、设施环境。试验场所、产品检验环境条件控制完备，满足产品检验对环境设施要求。</w:t>
            </w:r>
          </w:p>
        </w:tc>
      </w:tr>
      <w:tr w14:paraId="560DF6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top w:val="single" w:color="auto" w:sz="4" w:space="0"/>
              <w:left w:val="single" w:color="auto" w:sz="4" w:space="0"/>
              <w:bottom w:val="single" w:color="auto" w:sz="4" w:space="0"/>
              <w:right w:val="single" w:color="auto" w:sz="4" w:space="0"/>
            </w:tcBorders>
            <w:noWrap w:val="0"/>
            <w:vAlign w:val="center"/>
          </w:tcPr>
          <w:p w14:paraId="7702ED77">
            <w:pPr>
              <w:spacing w:after="0" w:line="240" w:lineRule="auto"/>
              <w:jc w:val="center"/>
              <w:rPr>
                <w:color w:val="auto"/>
                <w:highlight w:val="none"/>
              </w:rPr>
            </w:pPr>
          </w:p>
        </w:tc>
        <w:tc>
          <w:tcPr>
            <w:tcW w:w="990" w:type="dxa"/>
            <w:vMerge w:val="continue"/>
            <w:tcBorders>
              <w:top w:val="single" w:color="auto" w:sz="4" w:space="0"/>
              <w:left w:val="single" w:color="auto" w:sz="4" w:space="0"/>
              <w:bottom w:val="single" w:color="auto" w:sz="4" w:space="0"/>
              <w:right w:val="single" w:color="auto" w:sz="4" w:space="0"/>
            </w:tcBorders>
            <w:noWrap w:val="0"/>
            <w:vAlign w:val="center"/>
          </w:tcPr>
          <w:p w14:paraId="28A53C5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cs="宋体"/>
                <w:color w:val="auto"/>
                <w:sz w:val="24"/>
                <w:highlight w:val="none"/>
              </w:rPr>
            </w:pPr>
          </w:p>
        </w:tc>
        <w:tc>
          <w:tcPr>
            <w:tcW w:w="8052" w:type="dxa"/>
            <w:tcBorders>
              <w:top w:val="single" w:color="auto" w:sz="4" w:space="0"/>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18B64ADB">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3.投标单位拥有自有或租赁的抽样车辆，能够保障项目顺利实施。</w:t>
            </w:r>
          </w:p>
        </w:tc>
      </w:tr>
      <w:tr w14:paraId="0C7B3E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trPr>
        <w:tc>
          <w:tcPr>
            <w:tcW w:w="747" w:type="dxa"/>
            <w:vMerge w:val="continue"/>
            <w:tcBorders>
              <w:top w:val="single" w:color="auto" w:sz="4" w:space="0"/>
              <w:left w:val="single" w:color="auto" w:sz="4" w:space="0"/>
              <w:bottom w:val="single" w:color="auto" w:sz="4" w:space="0"/>
              <w:right w:val="single" w:color="auto" w:sz="4" w:space="0"/>
            </w:tcBorders>
            <w:noWrap w:val="0"/>
            <w:vAlign w:val="center"/>
          </w:tcPr>
          <w:p w14:paraId="4F50234D">
            <w:pPr>
              <w:spacing w:after="0" w:line="240" w:lineRule="auto"/>
              <w:jc w:val="center"/>
              <w:rPr>
                <w:color w:val="auto"/>
                <w:highlight w:val="none"/>
              </w:rPr>
            </w:pPr>
          </w:p>
        </w:tc>
        <w:tc>
          <w:tcPr>
            <w:tcW w:w="990" w:type="dxa"/>
            <w:vMerge w:val="continue"/>
            <w:tcBorders>
              <w:top w:val="single" w:color="auto" w:sz="4" w:space="0"/>
              <w:left w:val="single" w:color="auto" w:sz="4" w:space="0"/>
              <w:bottom w:val="single" w:color="auto" w:sz="4" w:space="0"/>
              <w:right w:val="single" w:color="auto" w:sz="4" w:space="0"/>
            </w:tcBorders>
            <w:noWrap w:val="0"/>
            <w:vAlign w:val="center"/>
          </w:tcPr>
          <w:p w14:paraId="47D47CB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cs="宋体"/>
                <w:color w:val="auto"/>
                <w:sz w:val="24"/>
                <w:highlight w:val="none"/>
              </w:rPr>
            </w:pPr>
          </w:p>
        </w:tc>
        <w:tc>
          <w:tcPr>
            <w:tcW w:w="8052" w:type="dxa"/>
            <w:tcBorders>
              <w:top w:val="single" w:color="auto" w:sz="4" w:space="0"/>
              <w:left w:val="single" w:color="auto" w:sz="4" w:space="0"/>
              <w:bottom w:val="single" w:color="auto" w:sz="4" w:space="0"/>
              <w:right w:val="single" w:color="auto" w:sz="4" w:space="0"/>
            </w:tcBorders>
            <w:noWrap/>
            <w:tcMar>
              <w:top w:w="100" w:type="dxa"/>
              <w:left w:w="108" w:type="dxa"/>
              <w:bottom w:w="100" w:type="dxa"/>
              <w:right w:w="108" w:type="dxa"/>
            </w:tcMar>
            <w:vAlign w:val="center"/>
          </w:tcPr>
          <w:p w14:paraId="11668022">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4.投标单位组织架构清晰，管理体系健全，具备针对保障项目实施所需的各项管理制度：</w:t>
            </w:r>
          </w:p>
          <w:p w14:paraId="76FB5969">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①</w:t>
            </w:r>
            <w:r>
              <w:rPr>
                <w:rFonts w:hint="eastAsia" w:ascii="宋体" w:hAnsi="宋体" w:cs="宋体"/>
                <w:color w:val="auto"/>
                <w:sz w:val="24"/>
                <w:highlight w:val="none"/>
                <w:lang w:val="en-US" w:eastAsia="zh-CN"/>
              </w:rPr>
              <w:t>抽样、检验工作管理制度：包括但不限于目标依据，适用范围，基本原则，职责分工，抽样管理，检验管理，结果处理，监督管理等。</w:t>
            </w:r>
          </w:p>
          <w:p w14:paraId="71525580">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②</w:t>
            </w:r>
            <w:r>
              <w:rPr>
                <w:rFonts w:hint="eastAsia" w:ascii="宋体" w:hAnsi="宋体" w:cs="宋体"/>
                <w:color w:val="auto"/>
                <w:sz w:val="24"/>
                <w:highlight w:val="none"/>
                <w:lang w:val="en-US" w:eastAsia="zh-CN"/>
              </w:rPr>
              <w:t>样品管理、处置工作管理制度:包括但不限于样品管理（样品抽取、封样、保存）制度；样品处置（合格样品、不合格样品及特殊样品处置）制度；关键控制点与责任追溯制度。</w:t>
            </w:r>
          </w:p>
          <w:p w14:paraId="109246A0">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③</w:t>
            </w:r>
            <w:r>
              <w:rPr>
                <w:rFonts w:hint="eastAsia" w:ascii="宋体" w:hAnsi="宋体" w:cs="宋体"/>
                <w:color w:val="auto"/>
                <w:sz w:val="24"/>
                <w:highlight w:val="none"/>
                <w:lang w:val="en-US" w:eastAsia="zh-CN"/>
              </w:rPr>
              <w:t>异议处理、复检及结果上报管理制度，包括但不限于异议申请与受理，异议审核与调查，处理结论制度，复检程序管理制度，结果上报与信息公开制度，配套保障措施等制度。</w:t>
            </w:r>
          </w:p>
        </w:tc>
      </w:tr>
    </w:tbl>
    <w:p w14:paraId="32595B46">
      <w:pPr>
        <w:pStyle w:val="244"/>
        <w:keepNext w:val="0"/>
        <w:keepLines w:val="0"/>
        <w:pageBreakBefore w:val="0"/>
        <w:spacing w:line="360" w:lineRule="auto"/>
        <w:ind w:left="0"/>
        <w:jc w:val="left"/>
        <w:rPr>
          <w:rStyle w:val="191"/>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11B67A16">
      <w:pPr>
        <w:pStyle w:val="244"/>
        <w:keepNext w:val="0"/>
        <w:keepLines w:val="0"/>
        <w:pageBreakBefore w:val="0"/>
        <w:spacing w:line="360" w:lineRule="auto"/>
        <w:ind w:left="0"/>
        <w:jc w:val="left"/>
        <w:rPr>
          <w:rStyle w:val="191"/>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71C5B311">
      <w:pPr>
        <w:pStyle w:val="244"/>
        <w:keepNext w:val="0"/>
        <w:keepLines w:val="0"/>
        <w:pageBreakBefore w:val="0"/>
        <w:spacing w:line="360" w:lineRule="auto"/>
        <w:ind w:left="0"/>
        <w:jc w:val="left"/>
        <w:rPr>
          <w:rStyle w:val="191"/>
          <w:rFonts w:hint="eastAsia" w:ascii="宋体" w:hAnsi="宋体" w:eastAsia="宋体" w:cs="宋体"/>
          <w:b/>
          <w:bCs/>
          <w:color w:val="000000" w:themeColor="text1"/>
          <w:sz w:val="24"/>
          <w:szCs w:val="24"/>
          <w:highlight w:val="none"/>
          <w14:textFill>
            <w14:solidFill>
              <w14:schemeClr w14:val="tx1"/>
            </w14:solidFill>
          </w14:textFill>
        </w:rPr>
      </w:pPr>
      <w:r>
        <w:rPr>
          <w:rStyle w:val="191"/>
          <w:rFonts w:hint="eastAsia" w:ascii="宋体" w:hAnsi="宋体" w:eastAsia="宋体" w:cs="宋体"/>
          <w:b/>
          <w:bCs/>
          <w:color w:val="000000" w:themeColor="text1"/>
          <w:sz w:val="24"/>
          <w:szCs w:val="24"/>
          <w:highlight w:val="none"/>
          <w:lang w:val="en-US" w:eastAsia="zh-CN"/>
          <w14:textFill>
            <w14:solidFill>
              <w14:schemeClr w14:val="tx1"/>
            </w14:solidFill>
          </w14:textFill>
        </w:rPr>
        <w:t>6.3商务条款</w:t>
      </w:r>
    </w:p>
    <w:p w14:paraId="79E8F2DC">
      <w:pPr>
        <w:pStyle w:val="256"/>
        <w:spacing w:line="440" w:lineRule="exact"/>
        <w:ind w:firstLine="500"/>
        <w:rPr>
          <w:rFonts w:hint="eastAsia" w:ascii="宋体" w:hAnsi="宋体" w:eastAsia="宋体" w:cs="宋体"/>
          <w:b/>
          <w:color w:val="auto"/>
          <w:spacing w:val="7"/>
          <w:highlight w:val="none"/>
        </w:rPr>
      </w:pPr>
      <w:r>
        <w:rPr>
          <w:rFonts w:ascii="宋体" w:hAnsi="宋体" w:eastAsia="宋体" w:cs="宋体"/>
          <w:b/>
          <w:color w:val="auto"/>
          <w:spacing w:val="7"/>
          <w:highlight w:val="none"/>
        </w:rPr>
        <w:t>1 服务期限</w:t>
      </w:r>
    </w:p>
    <w:p w14:paraId="0A132D17">
      <w:pPr>
        <w:pStyle w:val="256"/>
        <w:spacing w:line="440" w:lineRule="exact"/>
        <w:ind w:firstLine="500"/>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自合同签订生效之日至2027年2月15日。</w:t>
      </w:r>
    </w:p>
    <w:p w14:paraId="720A30E6">
      <w:pPr>
        <w:pStyle w:val="256"/>
        <w:spacing w:line="440" w:lineRule="exact"/>
        <w:ind w:firstLine="500"/>
        <w:rPr>
          <w:rFonts w:hint="eastAsia" w:ascii="宋体" w:hAnsi="宋体" w:eastAsia="宋体" w:cs="宋体"/>
          <w:b/>
          <w:color w:val="auto"/>
          <w:spacing w:val="7"/>
          <w:highlight w:val="none"/>
        </w:rPr>
      </w:pPr>
      <w:r>
        <w:rPr>
          <w:rFonts w:ascii="宋体" w:hAnsi="宋体" w:eastAsia="宋体" w:cs="宋体"/>
          <w:b/>
          <w:color w:val="auto"/>
          <w:spacing w:val="7"/>
          <w:highlight w:val="none"/>
        </w:rPr>
        <w:t>2 货款支付</w:t>
      </w:r>
    </w:p>
    <w:p w14:paraId="20B8A740">
      <w:pPr>
        <w:pStyle w:val="256"/>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2.1、结付程序</w:t>
      </w:r>
    </w:p>
    <w:p w14:paraId="5C1AA60D">
      <w:pPr>
        <w:pStyle w:val="256"/>
        <w:spacing w:line="440" w:lineRule="exact"/>
        <w:ind w:left="479" w:firstLine="93"/>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供应商按本合同内容合格地履行义务后，由采购单位按相关规定办理结算手续。</w:t>
      </w:r>
    </w:p>
    <w:p w14:paraId="754B3162">
      <w:pPr>
        <w:pStyle w:val="256"/>
        <w:spacing w:line="440" w:lineRule="exact"/>
        <w:ind w:left="479" w:firstLine="93"/>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2.2、结付期限</w:t>
      </w:r>
    </w:p>
    <w:p w14:paraId="44AA8B60">
      <w:pPr>
        <w:pStyle w:val="256"/>
        <w:spacing w:line="440" w:lineRule="exact"/>
        <w:ind w:firstLine="500"/>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w:t>
      </w:r>
      <w:r>
        <w:rPr>
          <w:rFonts w:hint="eastAsia" w:ascii="宋体" w:hAnsi="宋体" w:eastAsia="宋体" w:cs="宋体"/>
          <w:i/>
          <w:color w:val="auto"/>
          <w:spacing w:val="7"/>
          <w:highlight w:val="none"/>
          <w:u w:val="single"/>
          <w:lang w:val="en-US" w:eastAsia="zh-CN"/>
        </w:rPr>
        <w:t>1</w:t>
      </w:r>
      <w:r>
        <w:rPr>
          <w:rFonts w:hint="eastAsia" w:ascii="宋体" w:hAnsi="宋体" w:eastAsia="宋体" w:cs="宋体"/>
          <w:i/>
          <w:color w:val="auto"/>
          <w:spacing w:val="7"/>
          <w:highlight w:val="none"/>
          <w:u w:val="single"/>
          <w:lang w:eastAsia="zh-CN"/>
        </w:rPr>
        <w:t>）合同签订后，</w:t>
      </w:r>
      <w:r>
        <w:rPr>
          <w:rFonts w:hint="eastAsia" w:ascii="宋体" w:hAnsi="宋体" w:eastAsia="宋体" w:cs="宋体"/>
          <w:i/>
          <w:color w:val="auto"/>
          <w:spacing w:val="7"/>
          <w:highlight w:val="none"/>
          <w:u w:val="single"/>
        </w:rPr>
        <w:t>采购单位在30日内</w:t>
      </w:r>
      <w:r>
        <w:rPr>
          <w:rFonts w:hint="eastAsia" w:ascii="宋体" w:hAnsi="宋体" w:eastAsia="宋体" w:cs="宋体"/>
          <w:i/>
          <w:color w:val="auto"/>
          <w:spacing w:val="7"/>
          <w:highlight w:val="none"/>
          <w:u w:val="single"/>
          <w:lang w:eastAsia="zh-CN"/>
        </w:rPr>
        <w:t>支付合同金额的10%作为预付款。本项目按实际检测批次并按</w:t>
      </w:r>
      <w:r>
        <w:rPr>
          <w:rFonts w:hint="eastAsia" w:ascii="宋体" w:hAnsi="宋体" w:eastAsia="宋体" w:cs="宋体"/>
          <w:i/>
          <w:color w:val="auto"/>
          <w:spacing w:val="7"/>
          <w:highlight w:val="none"/>
          <w:u w:val="single"/>
          <w:lang w:val="en-US" w:eastAsia="zh-CN"/>
        </w:rPr>
        <w:t>结算</w:t>
      </w:r>
      <w:r>
        <w:rPr>
          <w:rFonts w:hint="eastAsia" w:ascii="宋体" w:hAnsi="宋体" w:eastAsia="宋体" w:cs="宋体"/>
          <w:i/>
          <w:color w:val="auto"/>
          <w:spacing w:val="7"/>
          <w:highlight w:val="none"/>
          <w:u w:val="single"/>
          <w:lang w:eastAsia="zh-CN"/>
        </w:rPr>
        <w:t>单价按实结算，</w:t>
      </w:r>
      <w:r>
        <w:rPr>
          <w:rFonts w:hint="eastAsia" w:ascii="宋体" w:hAnsi="宋体" w:eastAsia="宋体" w:cs="宋体"/>
          <w:i/>
          <w:color w:val="auto"/>
          <w:spacing w:val="7"/>
          <w:highlight w:val="none"/>
          <w:u w:val="single"/>
          <w:lang w:val="en-US" w:eastAsia="zh-CN"/>
        </w:rPr>
        <w:t>按季度</w:t>
      </w:r>
      <w:r>
        <w:rPr>
          <w:rFonts w:hint="eastAsia" w:ascii="宋体" w:hAnsi="宋体" w:eastAsia="宋体" w:cs="宋体"/>
          <w:i/>
          <w:color w:val="auto"/>
          <w:spacing w:val="7"/>
          <w:highlight w:val="none"/>
          <w:u w:val="single"/>
        </w:rPr>
        <w:t>结合服务期考核结果，支付</w:t>
      </w:r>
      <w:r>
        <w:rPr>
          <w:rFonts w:hint="eastAsia" w:ascii="宋体" w:hAnsi="宋体" w:eastAsia="宋体" w:cs="宋体"/>
          <w:i/>
          <w:color w:val="auto"/>
          <w:spacing w:val="7"/>
          <w:highlight w:val="none"/>
          <w:u w:val="single"/>
          <w:lang w:val="en-US" w:eastAsia="zh-CN"/>
        </w:rPr>
        <w:t>一次</w:t>
      </w:r>
      <w:r>
        <w:rPr>
          <w:rFonts w:hint="eastAsia" w:ascii="宋体" w:hAnsi="宋体" w:eastAsia="宋体" w:cs="宋体"/>
          <w:i/>
          <w:color w:val="auto"/>
          <w:spacing w:val="7"/>
          <w:highlight w:val="none"/>
          <w:u w:val="single"/>
        </w:rPr>
        <w:t>服务费用</w:t>
      </w:r>
      <w:r>
        <w:rPr>
          <w:rFonts w:hint="eastAsia" w:ascii="宋体" w:hAnsi="宋体" w:eastAsia="宋体" w:cs="宋体"/>
          <w:i/>
          <w:color w:val="auto"/>
          <w:spacing w:val="7"/>
          <w:highlight w:val="none"/>
          <w:u w:val="single"/>
          <w:lang w:eastAsia="zh-CN"/>
        </w:rPr>
        <w:t>。</w:t>
      </w:r>
      <w:r>
        <w:rPr>
          <w:rFonts w:hint="eastAsia" w:ascii="宋体" w:hAnsi="宋体" w:eastAsia="宋体" w:cs="宋体"/>
          <w:i/>
          <w:color w:val="auto"/>
          <w:spacing w:val="7"/>
          <w:highlight w:val="none"/>
          <w:u w:val="single"/>
        </w:rPr>
        <w:t>费用结算时，优先从预付款中抵扣对应金额，不足部分由采购单位另行支付。合同终止后，结合考核结果，完成最终结算</w:t>
      </w:r>
      <w:r>
        <w:rPr>
          <w:rFonts w:hint="eastAsia" w:ascii="宋体" w:hAnsi="宋体" w:eastAsia="宋体" w:cs="宋体"/>
          <w:i/>
          <w:color w:val="auto"/>
          <w:spacing w:val="7"/>
          <w:highlight w:val="none"/>
          <w:u w:val="single"/>
          <w:lang w:eastAsia="zh-CN"/>
        </w:rPr>
        <w:t>。</w:t>
      </w:r>
    </w:p>
    <w:p w14:paraId="49D01C52">
      <w:pPr>
        <w:pStyle w:val="256"/>
        <w:spacing w:line="440" w:lineRule="exact"/>
        <w:ind w:firstLine="500"/>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（2）中标单位应接受采购单位考核，由采购单位视考核情况支付服务费用。</w:t>
      </w:r>
    </w:p>
    <w:p w14:paraId="096E3710">
      <w:pPr>
        <w:pStyle w:val="256"/>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(3)承检机构全年不合格样品检出率需大于8%或生产领域检出率需大于3</w:t>
      </w:r>
      <w:r>
        <w:rPr>
          <w:rFonts w:hint="eastAsia" w:ascii="宋体" w:hAnsi="宋体" w:eastAsia="宋体" w:cs="宋体"/>
          <w:i/>
          <w:color w:val="auto"/>
          <w:spacing w:val="7"/>
          <w:highlight w:val="none"/>
          <w:u w:val="single"/>
          <w:lang w:val="en-US" w:eastAsia="en-US"/>
        </w:rPr>
        <w:t>%</w:t>
      </w:r>
      <w:r>
        <w:rPr>
          <w:rFonts w:hint="eastAsia" w:ascii="宋体" w:hAnsi="宋体" w:eastAsia="宋体" w:cs="宋体"/>
          <w:i/>
          <w:color w:val="auto"/>
          <w:spacing w:val="7"/>
          <w:highlight w:val="none"/>
          <w:u w:val="single"/>
          <w:lang w:val="en-US" w:eastAsia="zh-CN"/>
        </w:rPr>
        <w:t>, 具体结算方式如下表：</w:t>
      </w:r>
    </w:p>
    <w:p w14:paraId="208A307F">
      <w:pPr>
        <w:pStyle w:val="256"/>
        <w:spacing w:line="440" w:lineRule="exact"/>
        <w:ind w:firstLine="500"/>
        <w:rPr>
          <w:rFonts w:hint="eastAsia" w:ascii="宋体" w:hAnsi="宋体" w:eastAsia="宋体" w:cs="宋体"/>
          <w:i/>
          <w:color w:val="auto"/>
          <w:spacing w:val="7"/>
          <w:highlight w:val="none"/>
          <w:u w:val="single"/>
          <w:lang w:val="en-US" w:eastAsia="zh-CN"/>
        </w:rPr>
      </w:pPr>
    </w:p>
    <w:tbl>
      <w:tblPr>
        <w:tblStyle w:val="295"/>
        <w:tblW w:w="6289" w:type="dxa"/>
        <w:tblInd w:w="1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97"/>
        <w:gridCol w:w="1292"/>
      </w:tblGrid>
      <w:tr w14:paraId="1EF4C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4997" w:type="dxa"/>
            <w:noWrap w:val="0"/>
            <w:vAlign w:val="top"/>
          </w:tcPr>
          <w:p w14:paraId="02D98735">
            <w:pPr>
              <w:spacing w:before="194" w:line="219" w:lineRule="auto"/>
              <w:ind w:left="2144"/>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检出率</w:t>
            </w:r>
          </w:p>
        </w:tc>
        <w:tc>
          <w:tcPr>
            <w:tcW w:w="1292" w:type="dxa"/>
            <w:noWrap w:val="0"/>
            <w:vAlign w:val="top"/>
          </w:tcPr>
          <w:p w14:paraId="3D7B9F8D">
            <w:pPr>
              <w:spacing w:before="205" w:line="220" w:lineRule="auto"/>
              <w:ind w:left="407"/>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折扣</w:t>
            </w:r>
          </w:p>
        </w:tc>
      </w:tr>
      <w:tr w14:paraId="1CC52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4997" w:type="dxa"/>
            <w:noWrap w:val="0"/>
            <w:vAlign w:val="top"/>
          </w:tcPr>
          <w:p w14:paraId="7663AC01">
            <w:pPr>
              <w:spacing w:before="191" w:line="219" w:lineRule="auto"/>
              <w:ind w:left="824"/>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整体检出率≥</w:t>
            </w:r>
            <w:r>
              <w:rPr>
                <w:rFonts w:hint="eastAsia" w:ascii="宋体" w:hAnsi="宋体" w:cs="宋体"/>
                <w:color w:val="auto"/>
                <w:spacing w:val="-1"/>
                <w:sz w:val="23"/>
                <w:szCs w:val="23"/>
                <w:highlight w:val="none"/>
                <w:lang w:eastAsia="zh-CN"/>
              </w:rPr>
              <w:t>8%</w:t>
            </w:r>
            <w:r>
              <w:rPr>
                <w:rFonts w:ascii="宋体" w:hAnsi="宋体" w:eastAsia="宋体" w:cs="宋体"/>
                <w:color w:val="auto"/>
                <w:spacing w:val="-1"/>
                <w:sz w:val="23"/>
                <w:szCs w:val="23"/>
                <w:highlight w:val="none"/>
                <w:lang w:eastAsia="en-US"/>
              </w:rPr>
              <w:t>或生产领域≥</w:t>
            </w:r>
            <w:r>
              <w:rPr>
                <w:rFonts w:hint="eastAsia" w:ascii="宋体" w:hAnsi="宋体" w:cs="宋体"/>
                <w:color w:val="auto"/>
                <w:spacing w:val="-1"/>
                <w:sz w:val="23"/>
                <w:szCs w:val="23"/>
                <w:highlight w:val="none"/>
                <w:lang w:val="en-US" w:eastAsia="zh-CN"/>
              </w:rPr>
              <w:t>3</w:t>
            </w:r>
            <w:r>
              <w:rPr>
                <w:rFonts w:ascii="宋体" w:hAnsi="宋体" w:eastAsia="宋体" w:cs="宋体"/>
                <w:color w:val="auto"/>
                <w:spacing w:val="-1"/>
                <w:sz w:val="23"/>
                <w:szCs w:val="23"/>
                <w:highlight w:val="none"/>
                <w:lang w:eastAsia="en-US"/>
              </w:rPr>
              <w:t>%</w:t>
            </w:r>
          </w:p>
        </w:tc>
        <w:tc>
          <w:tcPr>
            <w:tcW w:w="1292" w:type="dxa"/>
            <w:noWrap w:val="0"/>
            <w:vAlign w:val="top"/>
          </w:tcPr>
          <w:p w14:paraId="366E810B">
            <w:pPr>
              <w:spacing w:before="182" w:line="221" w:lineRule="auto"/>
              <w:ind w:left="407"/>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全款</w:t>
            </w:r>
          </w:p>
        </w:tc>
      </w:tr>
      <w:tr w14:paraId="7EFB2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4997" w:type="dxa"/>
            <w:noWrap w:val="0"/>
            <w:vAlign w:val="top"/>
          </w:tcPr>
          <w:p w14:paraId="4FCD1E3E">
            <w:pPr>
              <w:spacing w:before="194" w:line="219" w:lineRule="auto"/>
              <w:ind w:left="884"/>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整体检出率≥</w:t>
            </w:r>
            <w:r>
              <w:rPr>
                <w:rFonts w:hint="eastAsia" w:ascii="宋体" w:hAnsi="宋体" w:cs="宋体"/>
                <w:color w:val="auto"/>
                <w:spacing w:val="-1"/>
                <w:sz w:val="23"/>
                <w:szCs w:val="23"/>
                <w:highlight w:val="none"/>
                <w:lang w:val="en-US" w:eastAsia="zh-CN"/>
              </w:rPr>
              <w:t>4</w:t>
            </w:r>
            <w:r>
              <w:rPr>
                <w:rFonts w:ascii="宋体" w:hAnsi="宋体" w:eastAsia="宋体" w:cs="宋体"/>
                <w:color w:val="auto"/>
                <w:spacing w:val="-1"/>
                <w:sz w:val="23"/>
                <w:szCs w:val="23"/>
                <w:highlight w:val="none"/>
                <w:lang w:eastAsia="en-US"/>
              </w:rPr>
              <w:t>%或生产领域≥</w:t>
            </w:r>
            <w:r>
              <w:rPr>
                <w:rFonts w:hint="eastAsia" w:ascii="宋体" w:hAnsi="宋体" w:cs="宋体"/>
                <w:color w:val="auto"/>
                <w:spacing w:val="-1"/>
                <w:sz w:val="23"/>
                <w:szCs w:val="23"/>
                <w:highlight w:val="none"/>
                <w:lang w:val="en-US" w:eastAsia="zh-CN"/>
              </w:rPr>
              <w:t>1.5</w:t>
            </w:r>
            <w:r>
              <w:rPr>
                <w:rFonts w:ascii="宋体" w:hAnsi="宋体" w:eastAsia="宋体" w:cs="宋体"/>
                <w:color w:val="auto"/>
                <w:spacing w:val="-1"/>
                <w:sz w:val="23"/>
                <w:szCs w:val="23"/>
                <w:highlight w:val="none"/>
                <w:lang w:eastAsia="en-US"/>
              </w:rPr>
              <w:t>%</w:t>
            </w:r>
          </w:p>
        </w:tc>
        <w:tc>
          <w:tcPr>
            <w:tcW w:w="1292" w:type="dxa"/>
            <w:noWrap w:val="0"/>
            <w:vAlign w:val="top"/>
          </w:tcPr>
          <w:p w14:paraId="40410E2F">
            <w:pPr>
              <w:spacing w:before="205" w:line="220" w:lineRule="auto"/>
              <w:ind w:left="407"/>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95折</w:t>
            </w:r>
          </w:p>
        </w:tc>
      </w:tr>
      <w:tr w14:paraId="51BB0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4997" w:type="dxa"/>
            <w:noWrap w:val="0"/>
            <w:vAlign w:val="top"/>
          </w:tcPr>
          <w:p w14:paraId="354BD9F5">
            <w:pPr>
              <w:spacing w:before="186" w:line="219" w:lineRule="auto"/>
              <w:ind w:left="994"/>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整体检出率&lt;</w:t>
            </w:r>
            <w:r>
              <w:rPr>
                <w:rFonts w:hint="eastAsia" w:ascii="宋体" w:hAnsi="宋体" w:cs="宋体"/>
                <w:color w:val="auto"/>
                <w:spacing w:val="-1"/>
                <w:sz w:val="23"/>
                <w:szCs w:val="23"/>
                <w:highlight w:val="none"/>
                <w:lang w:val="en-US" w:eastAsia="zh-CN"/>
              </w:rPr>
              <w:t>4</w:t>
            </w:r>
            <w:r>
              <w:rPr>
                <w:rFonts w:ascii="宋体" w:hAnsi="宋体" w:eastAsia="宋体" w:cs="宋体"/>
                <w:color w:val="auto"/>
                <w:spacing w:val="-1"/>
                <w:sz w:val="23"/>
                <w:szCs w:val="23"/>
                <w:highlight w:val="none"/>
                <w:lang w:eastAsia="en-US"/>
              </w:rPr>
              <w:t>%或生产领域&lt;</w:t>
            </w:r>
            <w:r>
              <w:rPr>
                <w:rFonts w:hint="eastAsia" w:ascii="宋体" w:hAnsi="宋体" w:cs="宋体"/>
                <w:color w:val="auto"/>
                <w:spacing w:val="-1"/>
                <w:sz w:val="23"/>
                <w:szCs w:val="23"/>
                <w:highlight w:val="none"/>
                <w:lang w:val="en-US" w:eastAsia="zh-CN"/>
              </w:rPr>
              <w:t>1.5</w:t>
            </w:r>
            <w:r>
              <w:rPr>
                <w:rFonts w:ascii="宋体" w:hAnsi="宋体" w:eastAsia="宋体" w:cs="宋体"/>
                <w:color w:val="auto"/>
                <w:spacing w:val="-1"/>
                <w:sz w:val="23"/>
                <w:szCs w:val="23"/>
                <w:highlight w:val="none"/>
                <w:lang w:eastAsia="en-US"/>
              </w:rPr>
              <w:t>%</w:t>
            </w:r>
          </w:p>
        </w:tc>
        <w:tc>
          <w:tcPr>
            <w:tcW w:w="1292" w:type="dxa"/>
            <w:noWrap w:val="0"/>
            <w:vAlign w:val="top"/>
          </w:tcPr>
          <w:p w14:paraId="2C873257">
            <w:pPr>
              <w:spacing w:before="207" w:line="220" w:lineRule="auto"/>
              <w:ind w:left="467"/>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9折</w:t>
            </w:r>
          </w:p>
        </w:tc>
      </w:tr>
    </w:tbl>
    <w:p w14:paraId="266A92D7">
      <w:pPr>
        <w:pStyle w:val="256"/>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(4)承检机构应按采购单位要求的任务完成时间落实全部抽样及检测工作，检测报告等材料提交每延迟十日，按照所涉延迟产品批次费用的5%进行减扣(经与采购单位协商同意或采购单位临时调整工作时间的除外)。</w:t>
      </w:r>
    </w:p>
    <w:p w14:paraId="75A057DC">
      <w:pPr>
        <w:pStyle w:val="256"/>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(5)承检机构检测报告与复检结果一致的，检测费用按实际结算；承检机构检测报告与复检结果不一致的，当次任务批次检测费不予支付，且复检费用由乙方承担。</w:t>
      </w:r>
    </w:p>
    <w:p w14:paraId="7F58FF68">
      <w:pPr>
        <w:pStyle w:val="256"/>
        <w:spacing w:line="440" w:lineRule="exact"/>
        <w:ind w:firstLine="500"/>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(6)投标综合单价一次报定，包括采样费、检测费、不定期抽检、综合服务的需要服务管理内容、各种税费、人工、保险、劳保、利润、税金及合同包含的所有风险、责任等各项应有的所有费用。</w:t>
      </w:r>
    </w:p>
    <w:p w14:paraId="0CBFDFD5">
      <w:pPr>
        <w:pStyle w:val="256"/>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3 投标货币</w:t>
      </w:r>
    </w:p>
    <w:p w14:paraId="27248DB1">
      <w:pPr>
        <w:pStyle w:val="256"/>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3.1、投标货币</w:t>
      </w:r>
    </w:p>
    <w:p w14:paraId="388B0C71">
      <w:pPr>
        <w:pStyle w:val="256"/>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人民币</w:t>
      </w:r>
    </w:p>
    <w:p w14:paraId="55DE6A20">
      <w:pPr>
        <w:pStyle w:val="256"/>
        <w:spacing w:line="440" w:lineRule="exact"/>
        <w:ind w:firstLine="500"/>
        <w:rPr>
          <w:rFonts w:hint="eastAsia" w:ascii="宋体" w:hAnsi="宋体" w:eastAsia="宋体" w:cs="宋体"/>
          <w:b/>
          <w:color w:val="auto"/>
          <w:spacing w:val="7"/>
          <w:highlight w:val="none"/>
        </w:rPr>
      </w:pPr>
      <w:r>
        <w:rPr>
          <w:rFonts w:ascii="宋体" w:hAnsi="宋体" w:eastAsia="宋体" w:cs="宋体"/>
          <w:b/>
          <w:color w:val="auto"/>
          <w:spacing w:val="7"/>
          <w:highlight w:val="none"/>
        </w:rPr>
        <w:t>4 备品备件及耗材等要求</w:t>
      </w:r>
    </w:p>
    <w:p w14:paraId="1E7098A5">
      <w:pPr>
        <w:pStyle w:val="256"/>
        <w:spacing w:line="440" w:lineRule="exact"/>
        <w:ind w:firstLine="500"/>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4.1、备品备件及耗材等要求</w:t>
      </w:r>
    </w:p>
    <w:p w14:paraId="300975B6">
      <w:pPr>
        <w:pStyle w:val="256"/>
        <w:spacing w:line="440" w:lineRule="exact"/>
        <w:ind w:firstLine="500"/>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无</w:t>
      </w:r>
    </w:p>
    <w:p w14:paraId="72B811CC">
      <w:pPr>
        <w:pStyle w:val="256"/>
        <w:keepNext w:val="0"/>
        <w:keepLines w:val="0"/>
        <w:pageBreakBefore w:val="0"/>
        <w:spacing w:line="360" w:lineRule="auto"/>
        <w:ind w:firstLine="500"/>
        <w:rPr>
          <w:rFonts w:hint="eastAsia" w:ascii="宋体" w:hAnsi="宋体" w:eastAsia="宋体" w:cs="宋体"/>
          <w:i w:val="0"/>
          <w:iCs w:val="0"/>
          <w:color w:val="000000" w:themeColor="text1"/>
          <w:spacing w:val="7"/>
          <w:sz w:val="24"/>
          <w:szCs w:val="24"/>
          <w:highlight w:val="none"/>
          <w:u w:val="none"/>
          <w14:textFill>
            <w14:solidFill>
              <w14:schemeClr w14:val="tx1"/>
            </w14:solidFill>
          </w14:textFill>
        </w:rPr>
      </w:pPr>
    </w:p>
    <w:p w14:paraId="711A621B">
      <w:pPr>
        <w:keepNext w:val="0"/>
        <w:keepLines w:val="0"/>
        <w:pageBreakBefore w:val="0"/>
        <w:spacing w:line="360" w:lineRule="auto"/>
        <w:ind w:left="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4.4</w:t>
      </w:r>
      <w:r>
        <w:rPr>
          <w:rFonts w:hint="eastAsia" w:ascii="宋体" w:hAnsi="宋体" w:eastAsia="宋体" w:cs="宋体"/>
          <w:b/>
          <w:color w:val="000000" w:themeColor="text1"/>
          <w:sz w:val="24"/>
          <w:szCs w:val="24"/>
          <w:highlight w:val="none"/>
          <w14:textFill>
            <w14:solidFill>
              <w14:schemeClr w14:val="tx1"/>
            </w14:solidFill>
          </w14:textFill>
        </w:rPr>
        <w:t xml:space="preserve">其他部分 </w:t>
      </w:r>
    </w:p>
    <w:p w14:paraId="007EE1E6">
      <w:pPr>
        <w:pStyle w:val="256"/>
        <w:spacing w:line="440" w:lineRule="exact"/>
        <w:ind w:firstLine="500"/>
        <w:rPr>
          <w:rFonts w:hint="default" w:ascii="宋体" w:hAnsi="宋体" w:eastAsia="宋体" w:cs="宋体"/>
          <w:i w:val="0"/>
          <w:iCs/>
          <w:color w:val="auto"/>
          <w:spacing w:val="7"/>
          <w:highlight w:val="none"/>
          <w:u w:val="none"/>
        </w:rPr>
      </w:pPr>
      <w:bookmarkStart w:id="0" w:name="EBf44a0fa1424940aa9e70bd8b2b0445a0"/>
      <w:bookmarkEnd w:id="0"/>
      <w:bookmarkStart w:id="1" w:name="EB31c49d84398e45d9aa1f64883aa8529f"/>
      <w:bookmarkEnd w:id="1"/>
      <w:r>
        <w:rPr>
          <w:rFonts w:hint="default" w:ascii="宋体" w:hAnsi="宋体" w:eastAsia="宋体" w:cs="宋体"/>
          <w:i w:val="0"/>
          <w:iCs/>
          <w:color w:val="auto"/>
          <w:spacing w:val="7"/>
          <w:highlight w:val="none"/>
          <w:u w:val="none"/>
        </w:rPr>
        <w:t>（一）检测产品</w:t>
      </w:r>
    </w:p>
    <w:tbl>
      <w:tblPr>
        <w:tblStyle w:val="33"/>
        <w:tblW w:w="9968" w:type="dxa"/>
        <w:jc w:val="center"/>
        <w:tblLayout w:type="fixed"/>
        <w:tblCellMar>
          <w:top w:w="0" w:type="dxa"/>
          <w:left w:w="108" w:type="dxa"/>
          <w:bottom w:w="0" w:type="dxa"/>
          <w:right w:w="108" w:type="dxa"/>
        </w:tblCellMar>
      </w:tblPr>
      <w:tblGrid>
        <w:gridCol w:w="1035"/>
        <w:gridCol w:w="1719"/>
        <w:gridCol w:w="6095"/>
        <w:gridCol w:w="1119"/>
      </w:tblGrid>
      <w:tr w14:paraId="773BDAE9">
        <w:tblPrEx>
          <w:tblCellMar>
            <w:top w:w="0" w:type="dxa"/>
            <w:left w:w="108" w:type="dxa"/>
            <w:bottom w:w="0" w:type="dxa"/>
            <w:right w:w="108" w:type="dxa"/>
          </w:tblCellMar>
        </w:tblPrEx>
        <w:trPr>
          <w:trHeight w:val="348"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CA907">
            <w:pPr>
              <w:pStyle w:val="296"/>
              <w:ind w:left="0" w:firstLine="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采购包</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14:paraId="0061C48F">
            <w:pPr>
              <w:pStyle w:val="296"/>
              <w:ind w:left="0" w:firstLine="0"/>
              <w:jc w:val="both"/>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采购包名称</w:t>
            </w:r>
          </w:p>
        </w:tc>
        <w:tc>
          <w:tcPr>
            <w:tcW w:w="6095" w:type="dxa"/>
            <w:tcBorders>
              <w:top w:val="single" w:color="000000" w:sz="4" w:space="0"/>
              <w:left w:val="nil"/>
              <w:bottom w:val="single" w:color="000000" w:sz="4" w:space="0"/>
              <w:right w:val="single" w:color="000000" w:sz="4" w:space="0"/>
            </w:tcBorders>
            <w:noWrap w:val="0"/>
            <w:vAlign w:val="center"/>
          </w:tcPr>
          <w:p w14:paraId="1BBE3529">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检测产品 </w:t>
            </w:r>
          </w:p>
        </w:tc>
        <w:tc>
          <w:tcPr>
            <w:tcW w:w="1119" w:type="dxa"/>
            <w:tcBorders>
              <w:top w:val="single" w:color="000000" w:sz="4" w:space="0"/>
              <w:left w:val="nil"/>
              <w:bottom w:val="single" w:color="000000" w:sz="4" w:space="0"/>
              <w:right w:val="single" w:color="000000" w:sz="4" w:space="0"/>
            </w:tcBorders>
            <w:noWrap w:val="0"/>
            <w:vAlign w:val="center"/>
          </w:tcPr>
          <w:p w14:paraId="2949F44C">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预算金额（万元）</w:t>
            </w:r>
          </w:p>
        </w:tc>
      </w:tr>
      <w:tr w14:paraId="535AEAF5">
        <w:tblPrEx>
          <w:tblCellMar>
            <w:top w:w="0" w:type="dxa"/>
            <w:left w:w="108" w:type="dxa"/>
            <w:bottom w:w="0" w:type="dxa"/>
            <w:right w:w="108" w:type="dxa"/>
          </w:tblCellMar>
        </w:tblPrEx>
        <w:trPr>
          <w:trHeight w:val="664" w:hRule="atLeast"/>
          <w:jc w:val="center"/>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5C8D0">
            <w:pPr>
              <w:spacing w:line="360" w:lineRule="auto"/>
              <w:jc w:val="center"/>
              <w:rPr>
                <w:rFonts w:hint="eastAsia" w:ascii="宋体" w:hAnsi="宋体" w:eastAsia="宋体" w:cs="宋体"/>
                <w:b/>
                <w:color w:val="auto"/>
                <w:sz w:val="21"/>
                <w:szCs w:val="21"/>
                <w:highlight w:val="none"/>
              </w:rPr>
            </w:pPr>
            <w:r>
              <w:rPr>
                <w:rFonts w:hint="eastAsia" w:ascii="宋体" w:hAnsi="宋体" w:cs="宋体"/>
                <w:bCs/>
                <w:color w:val="auto"/>
                <w:sz w:val="21"/>
                <w:szCs w:val="21"/>
                <w:highlight w:val="none"/>
                <w:lang w:val="en-US" w:eastAsia="zh-CN"/>
              </w:rPr>
              <w:t>原</w:t>
            </w:r>
            <w:r>
              <w:rPr>
                <w:rFonts w:hint="eastAsia" w:ascii="宋体" w:hAnsi="宋体" w:eastAsia="宋体" w:cs="宋体"/>
                <w:bCs/>
                <w:color w:val="auto"/>
                <w:sz w:val="21"/>
                <w:szCs w:val="21"/>
                <w:highlight w:val="none"/>
              </w:rPr>
              <w:t>采购包3</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14:paraId="0DEF3881">
            <w:pPr>
              <w:spacing w:line="240" w:lineRule="auto"/>
              <w:jc w:val="center"/>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2026年张家港市产商品质量监督抽查采购包3</w:t>
            </w:r>
            <w:r>
              <w:rPr>
                <w:rFonts w:hint="eastAsia" w:ascii="宋体" w:hAnsi="宋体" w:eastAsia="宋体" w:cs="宋体"/>
                <w:bCs/>
                <w:color w:val="auto"/>
                <w:sz w:val="21"/>
                <w:szCs w:val="21"/>
                <w:highlight w:val="none"/>
              </w:rPr>
              <w:t xml:space="preserve"> (综合类产品</w:t>
            </w:r>
            <w:r>
              <w:rPr>
                <w:rFonts w:hint="eastAsia" w:ascii="宋体" w:hAnsi="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p>
        </w:tc>
        <w:tc>
          <w:tcPr>
            <w:tcW w:w="6095" w:type="dxa"/>
            <w:tcBorders>
              <w:top w:val="single" w:color="000000" w:sz="4" w:space="0"/>
              <w:left w:val="nil"/>
              <w:bottom w:val="single" w:color="000000" w:sz="4" w:space="0"/>
              <w:right w:val="single" w:color="000000" w:sz="4" w:space="0"/>
            </w:tcBorders>
            <w:noWrap w:val="0"/>
            <w:vAlign w:val="center"/>
          </w:tcPr>
          <w:p w14:paraId="146465A7">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汽车内饰件</w:t>
            </w:r>
            <w:r>
              <w:rPr>
                <w:rFonts w:hint="eastAsia" w:ascii="宋体" w:hAnsi="宋体" w:cs="宋体"/>
                <w:color w:val="auto"/>
                <w:szCs w:val="21"/>
                <w:highlight w:val="none"/>
                <w:lang w:eastAsia="zh-CN"/>
              </w:rPr>
              <w:t>，</w:t>
            </w:r>
            <w:r>
              <w:rPr>
                <w:rFonts w:hint="eastAsia" w:ascii="宋体" w:hAnsi="宋体" w:cs="宋体"/>
                <w:color w:val="auto"/>
                <w:szCs w:val="21"/>
                <w:highlight w:val="none"/>
              </w:rPr>
              <w:t>汽车安全带</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电玩具</w:t>
            </w:r>
            <w:r>
              <w:rPr>
                <w:rFonts w:hint="eastAsia" w:ascii="宋体" w:hAnsi="宋体" w:cs="宋体"/>
                <w:color w:val="auto"/>
                <w:szCs w:val="21"/>
                <w:highlight w:val="none"/>
                <w:lang w:eastAsia="zh-CN"/>
              </w:rPr>
              <w:t>，</w:t>
            </w:r>
            <w:r>
              <w:rPr>
                <w:rFonts w:hint="eastAsia" w:ascii="宋体" w:hAnsi="宋体" w:cs="宋体"/>
                <w:color w:val="auto"/>
                <w:szCs w:val="21"/>
                <w:highlight w:val="none"/>
              </w:rPr>
              <w:t>超轻粘土玩具</w:t>
            </w:r>
            <w:r>
              <w:rPr>
                <w:rFonts w:hint="eastAsia" w:ascii="宋体" w:hAnsi="宋体" w:cs="宋体"/>
                <w:color w:val="auto"/>
                <w:szCs w:val="21"/>
                <w:highlight w:val="none"/>
                <w:lang w:eastAsia="zh-CN"/>
              </w:rPr>
              <w:t>，</w:t>
            </w:r>
            <w:r>
              <w:rPr>
                <w:rFonts w:hint="eastAsia" w:ascii="宋体" w:hAnsi="宋体" w:cs="宋体"/>
                <w:color w:val="auto"/>
                <w:szCs w:val="21"/>
                <w:highlight w:val="none"/>
              </w:rPr>
              <w:t>塑胶玩具</w:t>
            </w:r>
            <w:r>
              <w:rPr>
                <w:rFonts w:hint="eastAsia" w:ascii="宋体" w:hAnsi="宋体" w:cs="宋体"/>
                <w:color w:val="auto"/>
                <w:szCs w:val="21"/>
                <w:highlight w:val="none"/>
                <w:lang w:eastAsia="zh-CN"/>
              </w:rPr>
              <w:t>，</w:t>
            </w:r>
            <w:r>
              <w:rPr>
                <w:rFonts w:hint="eastAsia" w:ascii="宋体" w:hAnsi="宋体" w:cs="宋体"/>
                <w:color w:val="auto"/>
                <w:szCs w:val="21"/>
                <w:highlight w:val="none"/>
              </w:rPr>
              <w:t>童车</w:t>
            </w:r>
            <w:r>
              <w:rPr>
                <w:rFonts w:hint="eastAsia" w:ascii="宋体" w:hAnsi="宋体" w:cs="宋体"/>
                <w:color w:val="auto"/>
                <w:szCs w:val="21"/>
                <w:highlight w:val="none"/>
                <w:lang w:eastAsia="zh-CN"/>
              </w:rPr>
              <w:t>，</w:t>
            </w:r>
            <w:r>
              <w:rPr>
                <w:rFonts w:hint="eastAsia" w:ascii="宋体" w:hAnsi="宋体" w:cs="宋体"/>
                <w:color w:val="auto"/>
                <w:szCs w:val="21"/>
                <w:highlight w:val="none"/>
              </w:rPr>
              <w:t>儿童安全座椅</w:t>
            </w:r>
            <w:r>
              <w:rPr>
                <w:rFonts w:hint="eastAsia" w:ascii="宋体" w:hAnsi="宋体" w:cs="宋体"/>
                <w:color w:val="auto"/>
                <w:szCs w:val="21"/>
                <w:highlight w:val="none"/>
                <w:lang w:eastAsia="zh-CN"/>
              </w:rPr>
              <w:t>，</w:t>
            </w:r>
            <w:r>
              <w:rPr>
                <w:rFonts w:hint="eastAsia" w:ascii="宋体" w:hAnsi="宋体" w:cs="宋体"/>
                <w:color w:val="auto"/>
                <w:szCs w:val="21"/>
                <w:highlight w:val="none"/>
              </w:rPr>
              <w:t>婴儿用尿不湿</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电动自行车锂电池</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电动自行车铅酸电池</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w:t>
            </w:r>
            <w:r>
              <w:rPr>
                <w:rFonts w:hint="eastAsia" w:ascii="宋体" w:hAnsi="宋体" w:cs="宋体"/>
                <w:color w:val="auto"/>
                <w:szCs w:val="21"/>
                <w:highlight w:val="none"/>
                <w:lang w:eastAsia="zh-CN"/>
              </w:rPr>
              <w:t>，</w:t>
            </w:r>
            <w:r>
              <w:rPr>
                <w:rFonts w:hint="eastAsia" w:ascii="宋体" w:hAnsi="宋体" w:cs="宋体"/>
                <w:color w:val="auto"/>
                <w:szCs w:val="21"/>
                <w:highlight w:val="none"/>
              </w:rPr>
              <w:t>电动自行车充电器</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电磁灶、电火锅</w:t>
            </w:r>
            <w:r>
              <w:rPr>
                <w:rFonts w:hint="eastAsia" w:ascii="宋体" w:hAnsi="宋体" w:cs="宋体"/>
                <w:color w:val="auto"/>
                <w:szCs w:val="21"/>
                <w:highlight w:val="none"/>
                <w:lang w:eastAsia="zh-CN"/>
              </w:rPr>
              <w:t>，</w:t>
            </w:r>
            <w:r>
              <w:rPr>
                <w:rFonts w:hint="eastAsia" w:ascii="宋体" w:hAnsi="宋体" w:cs="宋体"/>
                <w:color w:val="auto"/>
                <w:szCs w:val="21"/>
                <w:highlight w:val="none"/>
              </w:rPr>
              <w:t>电风扇</w:t>
            </w:r>
            <w:r>
              <w:rPr>
                <w:rFonts w:hint="eastAsia" w:ascii="宋体" w:hAnsi="宋体" w:cs="宋体"/>
                <w:color w:val="auto"/>
                <w:szCs w:val="21"/>
                <w:highlight w:val="none"/>
                <w:lang w:eastAsia="zh-CN"/>
              </w:rPr>
              <w:t>，</w:t>
            </w:r>
            <w:r>
              <w:rPr>
                <w:rFonts w:hint="eastAsia" w:ascii="宋体" w:hAnsi="宋体" w:cs="宋体"/>
                <w:color w:val="auto"/>
                <w:szCs w:val="21"/>
                <w:highlight w:val="none"/>
              </w:rPr>
              <w:t>多功能插座</w:t>
            </w:r>
            <w:r>
              <w:rPr>
                <w:rFonts w:hint="eastAsia" w:ascii="宋体" w:hAnsi="宋体" w:cs="宋体"/>
                <w:color w:val="auto"/>
                <w:szCs w:val="21"/>
                <w:highlight w:val="none"/>
                <w:lang w:eastAsia="zh-CN"/>
              </w:rPr>
              <w:t>，</w:t>
            </w:r>
            <w:r>
              <w:rPr>
                <w:rFonts w:hint="eastAsia" w:ascii="宋体" w:hAnsi="宋体" w:cs="宋体"/>
                <w:color w:val="auto"/>
                <w:szCs w:val="21"/>
                <w:highlight w:val="none"/>
              </w:rPr>
              <w:t>室内加热器</w:t>
            </w:r>
            <w:r>
              <w:rPr>
                <w:rFonts w:hint="eastAsia" w:ascii="宋体" w:hAnsi="宋体" w:cs="宋体"/>
                <w:color w:val="auto"/>
                <w:szCs w:val="21"/>
                <w:highlight w:val="none"/>
                <w:lang w:eastAsia="zh-CN"/>
              </w:rPr>
              <w:t>，</w:t>
            </w:r>
            <w:r>
              <w:rPr>
                <w:rFonts w:hint="eastAsia" w:ascii="宋体" w:hAnsi="宋体" w:cs="宋体"/>
                <w:color w:val="auto"/>
                <w:szCs w:val="21"/>
                <w:highlight w:val="none"/>
              </w:rPr>
              <w:t>自动电饭锅</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电热毯</w:t>
            </w:r>
            <w:r>
              <w:rPr>
                <w:rFonts w:hint="eastAsia" w:ascii="宋体" w:hAnsi="宋体" w:cs="宋体"/>
                <w:color w:val="auto"/>
                <w:szCs w:val="21"/>
                <w:highlight w:val="none"/>
                <w:lang w:eastAsia="zh-CN"/>
              </w:rPr>
              <w:t>，</w:t>
            </w:r>
            <w:r>
              <w:rPr>
                <w:rFonts w:hint="eastAsia" w:ascii="宋体" w:hAnsi="宋体" w:cs="宋体"/>
                <w:color w:val="auto"/>
                <w:szCs w:val="21"/>
                <w:highlight w:val="none"/>
              </w:rPr>
              <w:t>摩托车、电动自行车头盔</w:t>
            </w:r>
            <w:r>
              <w:rPr>
                <w:rFonts w:hint="eastAsia" w:ascii="宋体" w:hAnsi="宋体" w:cs="宋体"/>
                <w:color w:val="auto"/>
                <w:szCs w:val="21"/>
                <w:highlight w:val="none"/>
                <w:lang w:eastAsia="zh-CN"/>
              </w:rPr>
              <w:t>，</w:t>
            </w:r>
            <w:r>
              <w:rPr>
                <w:rFonts w:hint="eastAsia" w:ascii="宋体" w:hAnsi="宋体" w:cs="宋体"/>
                <w:color w:val="auto"/>
                <w:szCs w:val="21"/>
                <w:highlight w:val="none"/>
              </w:rPr>
              <w:t>车用制动液</w:t>
            </w:r>
            <w:r>
              <w:rPr>
                <w:rFonts w:hint="eastAsia" w:ascii="宋体" w:hAnsi="宋体" w:cs="宋体"/>
                <w:color w:val="auto"/>
                <w:szCs w:val="21"/>
                <w:highlight w:val="none"/>
                <w:lang w:eastAsia="zh-CN"/>
              </w:rPr>
              <w:t>，</w:t>
            </w:r>
            <w:r>
              <w:rPr>
                <w:rFonts w:hint="eastAsia" w:ascii="宋体" w:hAnsi="宋体" w:cs="宋体"/>
                <w:color w:val="auto"/>
                <w:szCs w:val="21"/>
                <w:highlight w:val="none"/>
              </w:rPr>
              <w:t>烟花爆竹</w:t>
            </w:r>
            <w:r>
              <w:rPr>
                <w:rFonts w:hint="eastAsia" w:ascii="宋体" w:hAnsi="宋体" w:cs="宋体"/>
                <w:color w:val="auto"/>
                <w:szCs w:val="21"/>
                <w:highlight w:val="none"/>
                <w:lang w:eastAsia="zh-CN"/>
              </w:rPr>
              <w:t>，</w:t>
            </w:r>
            <w:r>
              <w:rPr>
                <w:rFonts w:hint="eastAsia" w:ascii="宋体" w:hAnsi="宋体" w:cs="宋体"/>
                <w:color w:val="auto"/>
                <w:szCs w:val="21"/>
                <w:highlight w:val="none"/>
              </w:rPr>
              <w:t>电焊机</w:t>
            </w:r>
          </w:p>
        </w:tc>
        <w:tc>
          <w:tcPr>
            <w:tcW w:w="1119" w:type="dxa"/>
            <w:tcBorders>
              <w:top w:val="single" w:color="000000" w:sz="4" w:space="0"/>
              <w:left w:val="nil"/>
              <w:bottom w:val="single" w:color="000000" w:sz="4" w:space="0"/>
              <w:right w:val="single" w:color="000000" w:sz="4" w:space="0"/>
            </w:tcBorders>
            <w:noWrap w:val="0"/>
            <w:vAlign w:val="center"/>
          </w:tcPr>
          <w:p w14:paraId="6A868A35">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49</w:t>
            </w:r>
          </w:p>
        </w:tc>
      </w:tr>
    </w:tbl>
    <w:p w14:paraId="3A3EAF3B">
      <w:pPr>
        <w:pStyle w:val="256"/>
        <w:spacing w:line="440" w:lineRule="exact"/>
        <w:ind w:firstLine="500"/>
        <w:rPr>
          <w:rFonts w:hint="eastAsia" w:ascii="宋体" w:hAnsi="宋体" w:eastAsia="宋体" w:cs="宋体"/>
          <w:iCs/>
          <w:color w:val="auto"/>
          <w:spacing w:val="7"/>
          <w:sz w:val="24"/>
          <w:highlight w:val="none"/>
          <w:u w:val="none"/>
          <w:lang w:eastAsia="zh-CN"/>
        </w:rPr>
      </w:pPr>
    </w:p>
    <w:p w14:paraId="59399EE0">
      <w:pPr>
        <w:pStyle w:val="188"/>
        <w:spacing w:line="440" w:lineRule="exact"/>
        <w:jc w:val="left"/>
        <w:rPr>
          <w:rFonts w:hint="default" w:ascii="宋体" w:hAnsi="宋体" w:eastAsia="宋体" w:cs="宋体"/>
          <w:iCs/>
          <w:color w:val="auto"/>
          <w:spacing w:val="7"/>
          <w:sz w:val="24"/>
          <w:highlight w:val="none"/>
          <w:u w:val="none"/>
        </w:rPr>
      </w:pPr>
      <w:r>
        <w:rPr>
          <w:rFonts w:hint="eastAsia" w:ascii="宋体" w:hAnsi="宋体" w:eastAsia="宋体" w:cs="宋体"/>
          <w:iCs/>
          <w:color w:val="auto"/>
          <w:spacing w:val="7"/>
          <w:sz w:val="24"/>
          <w:highlight w:val="none"/>
          <w:u w:val="none"/>
          <w:lang w:eastAsia="zh-CN"/>
        </w:rPr>
        <w:t>（</w:t>
      </w:r>
      <w:r>
        <w:rPr>
          <w:rFonts w:hint="eastAsia" w:ascii="宋体" w:hAnsi="宋体" w:eastAsia="宋体" w:cs="宋体"/>
          <w:iCs/>
          <w:color w:val="auto"/>
          <w:spacing w:val="7"/>
          <w:sz w:val="24"/>
          <w:highlight w:val="none"/>
          <w:u w:val="none"/>
          <w:lang w:val="en-US" w:eastAsia="zh-CN"/>
        </w:rPr>
        <w:t>二</w:t>
      </w:r>
      <w:r>
        <w:rPr>
          <w:rFonts w:hint="eastAsia" w:ascii="宋体" w:hAnsi="宋体" w:eastAsia="宋体" w:cs="宋体"/>
          <w:iCs/>
          <w:color w:val="auto"/>
          <w:spacing w:val="7"/>
          <w:sz w:val="24"/>
          <w:highlight w:val="none"/>
          <w:u w:val="none"/>
          <w:lang w:eastAsia="zh-CN"/>
        </w:rPr>
        <w:t>）</w:t>
      </w:r>
      <w:r>
        <w:rPr>
          <w:rFonts w:hint="eastAsia" w:ascii="宋体" w:hAnsi="宋体" w:eastAsia="宋体" w:cs="宋体"/>
          <w:iCs/>
          <w:color w:val="auto"/>
          <w:spacing w:val="7"/>
          <w:sz w:val="24"/>
          <w:highlight w:val="none"/>
          <w:u w:val="none"/>
          <w:lang w:val="en-US" w:eastAsia="zh-CN"/>
        </w:rPr>
        <w:t>计划抽检最低</w:t>
      </w:r>
      <w:r>
        <w:rPr>
          <w:rFonts w:hint="default" w:ascii="宋体" w:hAnsi="宋体" w:eastAsia="宋体" w:cs="宋体"/>
          <w:iCs/>
          <w:color w:val="auto"/>
          <w:spacing w:val="7"/>
          <w:sz w:val="24"/>
          <w:highlight w:val="none"/>
          <w:u w:val="none"/>
        </w:rPr>
        <w:t>批次要求及单价最高限价(指导单价)明细表</w:t>
      </w:r>
    </w:p>
    <w:p w14:paraId="20DCF127">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宋体" w:hAnsi="宋体" w:cs="宋体"/>
          <w:b/>
          <w:color w:val="auto"/>
          <w:sz w:val="24"/>
          <w:szCs w:val="22"/>
          <w:highlight w:val="none"/>
          <w:lang w:val="en-US" w:eastAsia="zh-CN"/>
        </w:rPr>
        <w:t>采购包</w:t>
      </w:r>
      <w:r>
        <w:rPr>
          <w:rFonts w:hint="eastAsia" w:ascii="宋体" w:hAnsi="宋体" w:cs="宋体"/>
          <w:b/>
          <w:color w:val="auto"/>
          <w:sz w:val="24"/>
          <w:szCs w:val="22"/>
          <w:highlight w:val="none"/>
          <w:lang w:val="en-US" w:eastAsia="zh-CN"/>
        </w:rPr>
        <w:t>3</w:t>
      </w:r>
      <w:r>
        <w:rPr>
          <w:rFonts w:ascii="宋体" w:hAnsi="宋体" w:eastAsia="宋体" w:cs="宋体"/>
          <w:b/>
          <w:color w:val="auto"/>
          <w:sz w:val="24"/>
          <w:highlight w:val="none"/>
        </w:rPr>
        <w:t>:</w:t>
      </w:r>
      <w:r>
        <w:rPr>
          <w:rFonts w:hint="eastAsia" w:ascii="宋体" w:hAnsi="宋体" w:cs="宋体"/>
          <w:b/>
          <w:color w:val="auto"/>
          <w:sz w:val="24"/>
          <w:highlight w:val="none"/>
          <w:lang w:eastAsia="zh-CN"/>
        </w:rPr>
        <w:t>2026年张家港市产商品质量监督抽查（采购</w:t>
      </w:r>
      <w:bookmarkStart w:id="19" w:name="_GoBack"/>
      <w:bookmarkEnd w:id="19"/>
      <w:r>
        <w:rPr>
          <w:rFonts w:hint="eastAsia" w:ascii="宋体" w:hAnsi="宋体" w:cs="宋体"/>
          <w:b/>
          <w:color w:val="auto"/>
          <w:sz w:val="24"/>
          <w:highlight w:val="none"/>
          <w:lang w:eastAsia="zh-CN"/>
        </w:rPr>
        <w:t>包3）</w:t>
      </w:r>
      <w:r>
        <w:rPr>
          <w:rFonts w:hint="eastAsia" w:ascii="宋体" w:hAnsi="宋体" w:eastAsia="宋体" w:cs="宋体"/>
          <w:b/>
          <w:color w:val="auto"/>
          <w:sz w:val="24"/>
          <w:highlight w:val="none"/>
        </w:rPr>
        <w:t xml:space="preserve"> (综合类产品</w:t>
      </w:r>
      <w:r>
        <w:rPr>
          <w:rFonts w:hint="eastAsia" w:ascii="宋体" w:hAnsi="宋体" w:cs="宋体"/>
          <w:b/>
          <w:color w:val="auto"/>
          <w:sz w:val="24"/>
          <w:highlight w:val="none"/>
          <w:lang w:val="en-US" w:eastAsia="zh-CN"/>
        </w:rPr>
        <w:t>二</w:t>
      </w:r>
      <w:r>
        <w:rPr>
          <w:rFonts w:hint="eastAsia" w:ascii="宋体" w:hAnsi="宋体" w:eastAsia="宋体" w:cs="宋体"/>
          <w:b/>
          <w:color w:val="auto"/>
          <w:sz w:val="24"/>
          <w:highlight w:val="none"/>
        </w:rPr>
        <w:t>)</w:t>
      </w:r>
    </w:p>
    <w:tbl>
      <w:tblPr>
        <w:tblStyle w:val="33"/>
        <w:tblpPr w:leftFromText="180" w:rightFromText="180" w:vertAnchor="text" w:horzAnchor="page" w:tblpX="923" w:tblpY="555"/>
        <w:tblW w:w="99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0"/>
        <w:gridCol w:w="738"/>
        <w:gridCol w:w="485"/>
        <w:gridCol w:w="507"/>
        <w:gridCol w:w="3589"/>
        <w:gridCol w:w="842"/>
        <w:gridCol w:w="877"/>
        <w:gridCol w:w="877"/>
        <w:gridCol w:w="877"/>
        <w:gridCol w:w="727"/>
      </w:tblGrid>
      <w:tr w14:paraId="4CE12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79" w:hRule="atLeast"/>
        </w:trPr>
        <w:tc>
          <w:tcPr>
            <w:tcW w:w="450" w:type="dxa"/>
            <w:vMerge w:val="restart"/>
            <w:tcBorders>
              <w:top w:val="single" w:color="000000" w:sz="4" w:space="0"/>
              <w:left w:val="single" w:color="000000" w:sz="4" w:space="0"/>
              <w:right w:val="single" w:color="000000" w:sz="4" w:space="0"/>
            </w:tcBorders>
            <w:shd w:val="clear" w:color="auto" w:fill="FFFFFF"/>
            <w:noWrap w:val="0"/>
            <w:vAlign w:val="center"/>
          </w:tcPr>
          <w:p w14:paraId="4E4F28A4">
            <w:pPr>
              <w:keepNext w:val="0"/>
              <w:keepLines w:val="0"/>
              <w:widowControl/>
              <w:suppressLineNumbers w:val="0"/>
              <w:jc w:val="center"/>
              <w:rPr>
                <w:rFonts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序号</w:t>
            </w:r>
          </w:p>
        </w:tc>
        <w:tc>
          <w:tcPr>
            <w:tcW w:w="738" w:type="dxa"/>
            <w:vMerge w:val="restart"/>
            <w:tcBorders>
              <w:top w:val="single" w:color="000000" w:sz="4" w:space="0"/>
              <w:left w:val="single" w:color="000000" w:sz="4" w:space="0"/>
              <w:right w:val="single" w:color="000000" w:sz="4" w:space="0"/>
            </w:tcBorders>
            <w:shd w:val="clear" w:color="auto" w:fill="FFFFFF"/>
            <w:noWrap w:val="0"/>
            <w:vAlign w:val="center"/>
          </w:tcPr>
          <w:p w14:paraId="653BA615">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产商品名称</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8D725">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计划抽检最低批次</w:t>
            </w:r>
          </w:p>
        </w:tc>
        <w:tc>
          <w:tcPr>
            <w:tcW w:w="3589" w:type="dxa"/>
            <w:vMerge w:val="restart"/>
            <w:tcBorders>
              <w:top w:val="single" w:color="000000" w:sz="4" w:space="0"/>
              <w:left w:val="single" w:color="000000" w:sz="4" w:space="0"/>
              <w:right w:val="single" w:color="000000" w:sz="4" w:space="0"/>
            </w:tcBorders>
            <w:shd w:val="clear" w:color="auto" w:fill="FFFFFF"/>
            <w:noWrap w:val="0"/>
            <w:vAlign w:val="center"/>
          </w:tcPr>
          <w:p w14:paraId="18669233">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主要检测项目</w:t>
            </w:r>
          </w:p>
        </w:tc>
        <w:tc>
          <w:tcPr>
            <w:tcW w:w="842" w:type="dxa"/>
            <w:vMerge w:val="restart"/>
            <w:tcBorders>
              <w:top w:val="single" w:color="000000" w:sz="4" w:space="0"/>
              <w:left w:val="single" w:color="000000" w:sz="4" w:space="0"/>
              <w:right w:val="single" w:color="000000" w:sz="4" w:space="0"/>
            </w:tcBorders>
            <w:shd w:val="clear" w:color="auto" w:fill="FFFFFF"/>
            <w:noWrap w:val="0"/>
            <w:vAlign w:val="center"/>
          </w:tcPr>
          <w:p w14:paraId="3F458916">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检测费单价最高限价（元/批次）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4F4BB2CC">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r>
              <w:rPr>
                <w:rFonts w:hint="default" w:ascii="仿宋_GB2312" w:hAnsi="宋体" w:eastAsia="仿宋_GB2312" w:cs="仿宋_GB2312"/>
                <w:b/>
                <w:bCs/>
                <w:i w:val="0"/>
                <w:iCs w:val="0"/>
                <w:color w:val="auto"/>
                <w:sz w:val="20"/>
                <w:szCs w:val="20"/>
                <w:highlight w:val="none"/>
                <w:u w:val="none"/>
                <w:lang w:val="en-US" w:eastAsia="zh-CN" w:bidi="ar"/>
              </w:rPr>
              <w:t>买样费单价最高限价（元/批次）</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388BD005">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合计检测费（元）</w:t>
            </w:r>
          </w:p>
        </w:tc>
        <w:tc>
          <w:tcPr>
            <w:tcW w:w="877" w:type="dxa"/>
            <w:vMerge w:val="restart"/>
            <w:tcBorders>
              <w:top w:val="single" w:color="000000" w:sz="4" w:space="0"/>
              <w:left w:val="single" w:color="000000" w:sz="4" w:space="0"/>
              <w:right w:val="single" w:color="000000" w:sz="4" w:space="0"/>
            </w:tcBorders>
            <w:shd w:val="clear" w:color="auto" w:fill="FFFFFF"/>
            <w:noWrap w:val="0"/>
            <w:vAlign w:val="center"/>
          </w:tcPr>
          <w:p w14:paraId="18F8CAB0">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合计买样费（元）</w:t>
            </w:r>
          </w:p>
        </w:tc>
        <w:tc>
          <w:tcPr>
            <w:tcW w:w="727" w:type="dxa"/>
            <w:vMerge w:val="restart"/>
            <w:tcBorders>
              <w:top w:val="single" w:color="000000" w:sz="4" w:space="0"/>
              <w:left w:val="single" w:color="000000" w:sz="4" w:space="0"/>
              <w:right w:val="single" w:color="000000" w:sz="4" w:space="0"/>
            </w:tcBorders>
            <w:shd w:val="clear" w:color="auto" w:fill="FFFFFF"/>
            <w:noWrap w:val="0"/>
            <w:vAlign w:val="center"/>
          </w:tcPr>
          <w:p w14:paraId="1E174A9D">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类别</w:t>
            </w:r>
          </w:p>
        </w:tc>
      </w:tr>
      <w:tr w14:paraId="5ACCD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450" w:type="dxa"/>
            <w:vMerge w:val="continue"/>
            <w:tcBorders>
              <w:left w:val="single" w:color="000000" w:sz="4" w:space="0"/>
              <w:bottom w:val="single" w:color="000000" w:sz="4" w:space="0"/>
              <w:right w:val="single" w:color="000000" w:sz="4" w:space="0"/>
            </w:tcBorders>
            <w:shd w:val="clear" w:color="auto" w:fill="FFFFFF"/>
            <w:noWrap w:val="0"/>
            <w:vAlign w:val="center"/>
          </w:tcPr>
          <w:p w14:paraId="4321A676">
            <w:pPr>
              <w:keepNext w:val="0"/>
              <w:keepLines w:val="0"/>
              <w:widowControl/>
              <w:suppressLineNumbers w:val="0"/>
              <w:jc w:val="center"/>
              <w:rPr>
                <w:rFonts w:ascii="仿宋_GB2312" w:hAnsi="宋体" w:eastAsia="仿宋_GB2312" w:cs="仿宋_GB2312"/>
                <w:b/>
                <w:bCs/>
                <w:i w:val="0"/>
                <w:iCs w:val="0"/>
                <w:color w:val="auto"/>
                <w:sz w:val="20"/>
                <w:szCs w:val="20"/>
                <w:highlight w:val="none"/>
                <w:u w:val="none"/>
              </w:rPr>
            </w:pPr>
          </w:p>
        </w:tc>
        <w:tc>
          <w:tcPr>
            <w:tcW w:w="738" w:type="dxa"/>
            <w:vMerge w:val="continue"/>
            <w:tcBorders>
              <w:left w:val="single" w:color="000000" w:sz="4" w:space="0"/>
              <w:bottom w:val="single" w:color="000000" w:sz="4" w:space="0"/>
              <w:right w:val="single" w:color="000000" w:sz="4" w:space="0"/>
            </w:tcBorders>
            <w:shd w:val="clear" w:color="auto" w:fill="FFFFFF"/>
            <w:noWrap w:val="0"/>
            <w:vAlign w:val="center"/>
          </w:tcPr>
          <w:p w14:paraId="2CA00264">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4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F6648">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生产</w:t>
            </w:r>
          </w:p>
        </w:tc>
        <w:tc>
          <w:tcPr>
            <w:tcW w:w="50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0EE4A">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r>
              <w:rPr>
                <w:rFonts w:hint="default" w:ascii="仿宋_GB2312" w:hAnsi="宋体" w:eastAsia="仿宋_GB2312" w:cs="仿宋_GB2312"/>
                <w:b/>
                <w:bCs/>
                <w:i w:val="0"/>
                <w:iCs w:val="0"/>
                <w:color w:val="auto"/>
                <w:sz w:val="20"/>
                <w:szCs w:val="20"/>
                <w:highlight w:val="none"/>
                <w:u w:val="none"/>
                <w:lang w:val="en-US" w:eastAsia="zh-CN" w:bidi="ar"/>
              </w:rPr>
              <w:t>流通</w:t>
            </w:r>
          </w:p>
        </w:tc>
        <w:tc>
          <w:tcPr>
            <w:tcW w:w="3589" w:type="dxa"/>
            <w:vMerge w:val="continue"/>
            <w:tcBorders>
              <w:left w:val="single" w:color="000000" w:sz="4" w:space="0"/>
              <w:bottom w:val="single" w:color="000000" w:sz="4" w:space="0"/>
              <w:right w:val="single" w:color="000000" w:sz="4" w:space="0"/>
            </w:tcBorders>
            <w:shd w:val="clear" w:color="auto" w:fill="FFFFFF"/>
            <w:noWrap w:val="0"/>
            <w:vAlign w:val="center"/>
          </w:tcPr>
          <w:p w14:paraId="6899EA1F">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42" w:type="dxa"/>
            <w:vMerge w:val="continue"/>
            <w:tcBorders>
              <w:left w:val="single" w:color="000000" w:sz="4" w:space="0"/>
              <w:bottom w:val="single" w:color="000000" w:sz="4" w:space="0"/>
              <w:right w:val="single" w:color="000000" w:sz="4" w:space="0"/>
            </w:tcBorders>
            <w:shd w:val="clear" w:color="auto" w:fill="FFFFFF"/>
            <w:noWrap w:val="0"/>
            <w:vAlign w:val="center"/>
          </w:tcPr>
          <w:p w14:paraId="218924A6">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34A85336">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lang w:val="en-US" w:eastAsia="zh-CN" w:bidi="ar"/>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5352D614">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877" w:type="dxa"/>
            <w:vMerge w:val="continue"/>
            <w:tcBorders>
              <w:left w:val="single" w:color="000000" w:sz="4" w:space="0"/>
              <w:bottom w:val="single" w:color="000000" w:sz="4" w:space="0"/>
              <w:right w:val="single" w:color="000000" w:sz="4" w:space="0"/>
            </w:tcBorders>
            <w:shd w:val="clear" w:color="auto" w:fill="FFFFFF"/>
            <w:noWrap w:val="0"/>
            <w:vAlign w:val="center"/>
          </w:tcPr>
          <w:p w14:paraId="18FBC49B">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c>
          <w:tcPr>
            <w:tcW w:w="727" w:type="dxa"/>
            <w:vMerge w:val="continue"/>
            <w:tcBorders>
              <w:left w:val="single" w:color="000000" w:sz="4" w:space="0"/>
              <w:bottom w:val="single" w:color="000000" w:sz="4" w:space="0"/>
              <w:right w:val="single" w:color="000000" w:sz="4" w:space="0"/>
            </w:tcBorders>
            <w:shd w:val="clear" w:color="auto" w:fill="FFFFFF"/>
            <w:noWrap w:val="0"/>
            <w:vAlign w:val="center"/>
          </w:tcPr>
          <w:p w14:paraId="7022C332">
            <w:pPr>
              <w:keepNext w:val="0"/>
              <w:keepLines w:val="0"/>
              <w:widowControl/>
              <w:suppressLineNumbers w:val="0"/>
              <w:jc w:val="center"/>
              <w:rPr>
                <w:rFonts w:hint="default" w:ascii="仿宋_GB2312" w:hAnsi="宋体" w:eastAsia="仿宋_GB2312" w:cs="仿宋_GB2312"/>
                <w:b/>
                <w:bCs/>
                <w:i w:val="0"/>
                <w:iCs w:val="0"/>
                <w:color w:val="auto"/>
                <w:sz w:val="20"/>
                <w:szCs w:val="20"/>
                <w:highlight w:val="none"/>
                <w:u w:val="none"/>
              </w:rPr>
            </w:pPr>
          </w:p>
        </w:tc>
      </w:tr>
      <w:tr w14:paraId="1D81E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40BE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D61E2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汽车内饰件</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D91D2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A6BCC">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5A2BD7">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燃烧性能</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06BE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CD6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FB61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1B71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1B4D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00ED7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965E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E329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汽车安全带</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90F4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153BB">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10E43">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动态试验、锁止极限值</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00BF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19C0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69AD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174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3EAB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06132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869D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0A83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电玩具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F0970">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59D5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DAE07">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7B2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47DA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E0D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9D09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8D8A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7B63F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CB16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3380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超轻粘土玩具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9B265">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BA27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B4EB6">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C42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0E4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F703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B496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2D124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401F0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34FB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E3C3A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塑胶玩具</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88B6E">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101C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93904">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666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D539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EDCD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1219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E960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68E50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0273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830B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童车</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8EA2A">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5DCF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744A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1.电动童车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2.其他玩具车辆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3.儿童手推车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材料、金属表面、燃烧性能、结构、基本尺寸、推车的适用年龄、卧兜和座兜连接在车架上的装置、稳定性、手把强度、制动装置、折叠锁定装置、可拆卸卧兜或座兜的连接装置的强度和耐用性、束缚系统、车轮的强度、动态耐久性测试、撞击强度、静态强度、塑料包装袋和软塑料薄膜、产品标识和使明用说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4.儿童滑板车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正常使用、可预见的合理滥用、材料 、小零件、边缘、尖端、突出部件、用于包装或玩具中的塑料袋或塑料薄膜、孔、间隙、机械装置的可触及性、弹簧、强度、三轮滑板车的稳定性、可调节、可折叠的把立管和把横管、刹车、车轮尺寸、部件、标识、警告和使用说明、特定元素的迁移</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1DD1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ACA0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3245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8CB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E4CE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74D47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8684A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BC44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儿童安全座椅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4F5A7">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26F8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27C0C">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动态试验、加载后带扣开启试验、标识</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3D7E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5EEE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EE3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61C3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5965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0CD67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0E96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DE57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婴儿用尿不湿</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C892F5">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8D0A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910FA">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PH值、甲醛、防侧漏性能、可迁移荧光物质、大肠菌群、细菌菌落总数、真菌菌落总数、致病性化脓菌</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BD92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2824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379F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E50B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8DAC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儿童用品</w:t>
            </w:r>
          </w:p>
        </w:tc>
      </w:tr>
      <w:tr w14:paraId="40BBF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7170B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A691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电动自行车锂电池</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54DAA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9F1E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456DF">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阻燃性、I2(A)放电、过充电、互认协同充电、标志</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6BED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37A8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221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F5B88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DED0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24038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44D0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731C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电动自行车铅酸电池</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8FF21">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708F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96E41">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2hr容量、低温容量、能量密度</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6E2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F1C6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320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B095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792F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73B71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BA65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CC48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E21F5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1434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FB397">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车速限值、制动性能（干态）、整车质量、结构、车速提示音、电气装置、淋水涉水性能、标识与警示语、互认协同充电、布线、对触及带电部分的防护、连接</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4ACCF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B9BB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863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88000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155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2891F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39438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8317F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93A56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电动自行车充电器</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A79CB7">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E888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B3F80">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外壳冲击、结构、内部布线、工作温度下的泄漏电流、电气强度、电气间隙、爬电距离和固体绝缘、防触电保护、非正常工作、熔断器、输入电流、输出电流、电源适应性、电源软线和输出线、超温保护、过充切断、耐热（外壳）</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5233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8F0E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B94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9B7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0137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1BD21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B28E0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1F3A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电磁灶、电火锅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AC5F7">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B1D5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3AB92">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4706.1、GB 4706.14、GB 4706.19及GB 4706.29系列:标志与说明、对触及带电部件的防护、输入功率和电流、工作温度下的泄漏电流和电气强度、机械强度、结构、内部布线、电源连接和外部软线、电气间隙、爬电距离和固体绝缘、接地措施、耐热和耐燃、GB 4343.1-2018、GB 4343.1-2024:电源端子骚扰电压</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D79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B94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C36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B77C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79EB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78B2E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91D5D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EE33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电风扇</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8A85A">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F68F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CFA50">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4706.1、GB 4706.27系列：标志与说明、对触及带电部件的防护、工作温度下的泄漏电流和电气强度、非正常工作（不包括第19.11.4条）、稳定性和机械危险、机械强度、结构、电源连接和外部软线、接地措施、电气间隙、爬电距离和固体绝缘</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C92C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FFC2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DD80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464F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2800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9AA2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7C18D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B0A9F">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365C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多功能插座</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F5AB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C42EA">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F4DE8">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固定式插座部分GB/T2099.1-2021、GB1002-2024：标志，尺寸检查，防触电保护，温升，拔出插头所需的力，耐热，爬电距离、电气间隙和通过密封胶的距离，绝缘材料的耐非正常热、耐燃和耐电痕化</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延长线插座（带线的排插）、移动式插座（不带线的排插）GB2099.7-2024、GB1002-2024部分：尺寸要求，防触电保护要求，结构要求，温升要求，软缆及其连接要求，耐热要求，爬电距离、电气间隙和通过密封胶的距离要求，绝缘材料的耐非正常热、耐燃和耐电痕化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USB部分：GB4943.1-2022 设备标志说明和指示性安全防护、断开连接器后电容器的放电、电气间隙、爬电距离、固体绝缘、直接安装导电金属零部件的热塑性零部件、接触电流和保护导体电流、抗电强度试验</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ABA1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574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E99B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79C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A9C7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42D09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67FF3D">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DE4B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室内加热器</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4717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26199">
            <w:pPr>
              <w:jc w:val="center"/>
              <w:rPr>
                <w:rFonts w:hint="eastAsia" w:ascii="宋体" w:hAnsi="宋体" w:eastAsia="宋体" w:cs="宋体"/>
                <w:i w:val="0"/>
                <w:iCs w:val="0"/>
                <w:color w:val="auto"/>
                <w:sz w:val="20"/>
                <w:szCs w:val="20"/>
                <w:highlight w:val="none"/>
                <w:u w:val="none"/>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1C0FA1">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GB 4706.1、GB 4706.23系列:对触及带电部件的防护、输入功率和电流、工作温度下的泄漏电流和电气强度、稳定性和机械危险、电源连接和外部软线、接地措施、耐热和耐燃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1D946">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523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DBD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3B1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9C48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56194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4D9C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6C6F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自动电饭锅</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A8F1F8">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DD7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A9E45">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合金元素迁移量指标、塑料材料（总迁移量）、涂层材料（总迁移量）</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153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2F0A5">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00F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12900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824E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07F8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46AE3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2D169">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18</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BE329">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电热毯</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AA49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A3B99">
            <w:pPr>
              <w:jc w:val="center"/>
              <w:rPr>
                <w:rFonts w:hint="eastAsia" w:ascii="宋体" w:hAnsi="宋体" w:eastAsia="宋体" w:cs="宋体"/>
                <w:i w:val="0"/>
                <w:iCs w:val="0"/>
                <w:color w:val="auto"/>
                <w:sz w:val="20"/>
                <w:szCs w:val="20"/>
                <w:highlight w:val="none"/>
                <w:u w:val="none"/>
                <w:lang w:val="en-US" w:eastAsia="zh-CN" w:bidi="ar"/>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C37E9B">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GB 4706.1、GB 4706.8系列：标志和说明、对触及带电部件的防护、输入功率和电流、结构（不包括第22.46条的试验）、电源连接和外部软线、电气间隙、爬电距离和固体绝缘、耐热和耐燃</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A32F">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1311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1A6E2">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8D33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E1BF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家用电器产品</w:t>
            </w:r>
          </w:p>
        </w:tc>
      </w:tr>
      <w:tr w14:paraId="04A47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F376B">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19</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E4DF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摩托车、电动自行车头盔</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E7989">
            <w:pPr>
              <w:jc w:val="center"/>
              <w:rPr>
                <w:rFonts w:hint="eastAsia" w:ascii="宋体" w:hAnsi="宋体" w:eastAsia="宋体" w:cs="宋体"/>
                <w:i w:val="0"/>
                <w:iCs w:val="0"/>
                <w:color w:val="auto"/>
                <w:sz w:val="20"/>
                <w:szCs w:val="20"/>
                <w:highlight w:val="none"/>
                <w:u w:val="none"/>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F83F7">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601EFF">
            <w:pPr>
              <w:keepNext w:val="0"/>
              <w:keepLines w:val="0"/>
              <w:widowControl/>
              <w:suppressLineNumbers w:val="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结构-佩戴装置、护目镜（可见光透过率、耐磨性）、表面凸起结构的剪切力、固定装置稳定性、吸收碰撞能量（低温）、耐穿透(低温)、标志、标识</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A661F3">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4677C">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A9D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33600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AA59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12EA0">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20360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124ED">
            <w:pPr>
              <w:keepNext w:val="0"/>
              <w:keepLines w:val="0"/>
              <w:widowControl/>
              <w:suppressLineNumbers w:val="0"/>
              <w:jc w:val="cente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077C0">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车用制动液</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C13DB">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F577A">
            <w:pPr>
              <w:jc w:val="center"/>
              <w:rPr>
                <w:rFonts w:hint="eastAsia" w:ascii="宋体" w:hAnsi="宋体" w:eastAsia="宋体" w:cs="宋体"/>
                <w:i w:val="0"/>
                <w:iCs w:val="0"/>
                <w:color w:val="auto"/>
                <w:sz w:val="20"/>
                <w:szCs w:val="20"/>
                <w:highlight w:val="none"/>
                <w:u w:val="none"/>
                <w:lang w:val="en-US" w:eastAsia="zh-CN" w:bidi="ar"/>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802CB">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运动黏度（-40℃、100℃）、平衡回流沸点（ERBP）、湿平衡回流沸点（WERBP）、pH值</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26C64">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F2C8C8">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300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6710">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4000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75B5F">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600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CDBF1">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车辆及相关产品</w:t>
            </w:r>
          </w:p>
        </w:tc>
      </w:tr>
      <w:tr w14:paraId="791F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4C980">
            <w:pPr>
              <w:keepNext w:val="0"/>
              <w:keepLines w:val="0"/>
              <w:widowControl/>
              <w:suppressLineNumbers w:val="0"/>
              <w:jc w:val="cente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21</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ABA4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烟花爆竹</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7930A">
            <w:pPr>
              <w:jc w:val="center"/>
              <w:rPr>
                <w:rFonts w:hint="eastAsia" w:ascii="宋体" w:hAnsi="宋体" w:eastAsia="宋体" w:cs="宋体"/>
                <w:i w:val="0"/>
                <w:iCs w:val="0"/>
                <w:color w:val="auto"/>
                <w:sz w:val="20"/>
                <w:szCs w:val="20"/>
                <w:highlight w:val="none"/>
                <w:u w:val="none"/>
                <w:lang w:val="en-US" w:eastAsia="zh-CN" w:bidi="ar"/>
              </w:rPr>
            </w:pP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B8C5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w:t>
            </w: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E32C8D">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组合烟花：标志、包装、外观、结构和材质、部件（引火线、引火线牢固性、引燃时间）、主体稳定性、药种（氯酸盐）、药量、燃放性能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其他类（除组合烟花外）：标志、包装、外观、部件（引火线、引火线牢固性、引燃时间、手持部位）、结构和材质、药种（氯酸盐）、药量、燃放性能</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09F8C">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4200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F30022">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E672A">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21000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E5B9F">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2500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16B46">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危化品</w:t>
            </w:r>
          </w:p>
        </w:tc>
      </w:tr>
      <w:tr w14:paraId="3C180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2046C">
            <w:pPr>
              <w:keepNext w:val="0"/>
              <w:keepLines w:val="0"/>
              <w:widowControl/>
              <w:suppressLineNumbers w:val="0"/>
              <w:jc w:val="cente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22</w:t>
            </w:r>
          </w:p>
        </w:tc>
        <w:tc>
          <w:tcPr>
            <w:tcW w:w="7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2E053">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电焊机</w:t>
            </w:r>
          </w:p>
        </w:tc>
        <w:tc>
          <w:tcPr>
            <w:tcW w:w="4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6F201">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1</w:t>
            </w:r>
          </w:p>
        </w:tc>
        <w:tc>
          <w:tcPr>
            <w:tcW w:w="5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1A82A">
            <w:pPr>
              <w:jc w:val="center"/>
              <w:rPr>
                <w:rFonts w:hint="eastAsia" w:ascii="宋体" w:hAnsi="宋体" w:eastAsia="宋体" w:cs="宋体"/>
                <w:i w:val="0"/>
                <w:iCs w:val="0"/>
                <w:color w:val="auto"/>
                <w:sz w:val="20"/>
                <w:szCs w:val="20"/>
                <w:highlight w:val="none"/>
                <w:u w:val="none"/>
                <w:lang w:val="en-US" w:eastAsia="zh-CN" w:bidi="ar"/>
              </w:rPr>
            </w:pPr>
          </w:p>
        </w:tc>
        <w:tc>
          <w:tcPr>
            <w:tcW w:w="35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424CB">
            <w:pPr>
              <w:keepNext w:val="0"/>
              <w:keepLines w:val="0"/>
              <w:widowControl/>
              <w:suppressLineNumbers w:val="0"/>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绝缘电阻、介电强度、发热试验、风扇堵转试验、短路试验、过载试验、保护电路、额定空载电压、型式检验的约定负载电压值、输出回路连接、防触电装置、允差</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ABDD3">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5750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A2080">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5668B">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5750</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6548D">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2000</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70ACC">
            <w:pPr>
              <w:keepNext w:val="0"/>
              <w:keepLines w:val="0"/>
              <w:widowControl/>
              <w:suppressLineNumbers w:val="0"/>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电机产品</w:t>
            </w:r>
          </w:p>
        </w:tc>
      </w:tr>
    </w:tbl>
    <w:p w14:paraId="0333C5BC">
      <w:pPr>
        <w:numPr>
          <w:ilvl w:val="-1"/>
          <w:numId w:val="0"/>
        </w:numPr>
        <w:spacing w:line="500" w:lineRule="exact"/>
        <w:ind w:firstLine="0"/>
        <w:jc w:val="left"/>
        <w:rPr>
          <w:rFonts w:hint="default"/>
          <w:b/>
          <w:bCs/>
          <w:color w:val="auto"/>
          <w:sz w:val="28"/>
          <w:szCs w:val="28"/>
          <w:highlight w:val="none"/>
          <w:lang w:val="en-US" w:eastAsia="zh-CN"/>
        </w:rPr>
      </w:pPr>
      <w:r>
        <w:rPr>
          <w:rFonts w:hint="eastAsia"/>
          <w:b/>
          <w:bCs/>
          <w:color w:val="auto"/>
          <w:sz w:val="28"/>
          <w:szCs w:val="28"/>
          <w:highlight w:val="none"/>
          <w:lang w:val="en-US" w:eastAsia="zh-CN"/>
        </w:rPr>
        <w:t>注：</w:t>
      </w:r>
    </w:p>
    <w:p w14:paraId="7B7EFD5B">
      <w:pPr>
        <w:numPr>
          <w:ilvl w:val="0"/>
          <w:numId w:val="5"/>
        </w:numPr>
        <w:pBdr>
          <w:top w:val="none" w:color="000000" w:sz="0" w:space="0"/>
          <w:left w:val="none" w:color="000000" w:sz="0" w:space="0"/>
          <w:bottom w:val="none" w:color="000000" w:sz="0" w:space="0"/>
          <w:right w:val="none" w:color="000000" w:sz="0" w:space="0"/>
        </w:pBdr>
        <w:spacing w:before="240" w:after="240" w:line="85" w:lineRule="atLeast"/>
        <w:rPr>
          <w:rFonts w:hint="default" w:ascii="宋体" w:hAnsi="宋体" w:cs="宋体"/>
          <w:i/>
          <w:color w:val="auto"/>
          <w:spacing w:val="7"/>
          <w:sz w:val="24"/>
          <w:highlight w:val="none"/>
          <w:u w:val="single"/>
          <w:lang w:val="en-US" w:eastAsia="zh-CN"/>
        </w:rPr>
      </w:pPr>
      <w:r>
        <w:rPr>
          <w:rFonts w:hint="eastAsia" w:ascii="宋体" w:hAnsi="宋体" w:cs="宋体"/>
          <w:i/>
          <w:color w:val="auto"/>
          <w:spacing w:val="7"/>
          <w:sz w:val="24"/>
          <w:highlight w:val="none"/>
          <w:u w:val="single"/>
          <w:lang w:val="en-US" w:eastAsia="zh-CN"/>
        </w:rPr>
        <w:t>上表中的批次为计划抽检最低批次，结算批次数以实际抽检批次为准。</w:t>
      </w:r>
    </w:p>
    <w:p w14:paraId="242924E3">
      <w:pPr>
        <w:numPr>
          <w:ilvl w:val="0"/>
          <w:numId w:val="5"/>
        </w:numPr>
        <w:pBdr>
          <w:top w:val="none" w:color="000000" w:sz="0" w:space="0"/>
          <w:left w:val="none" w:color="000000" w:sz="0" w:space="0"/>
          <w:bottom w:val="none" w:color="000000" w:sz="0" w:space="0"/>
          <w:right w:val="none" w:color="000000" w:sz="0" w:space="0"/>
        </w:pBdr>
        <w:spacing w:before="240" w:after="240" w:line="85" w:lineRule="atLeast"/>
        <w:rPr>
          <w:color w:val="auto"/>
          <w:highlight w:val="none"/>
        </w:rPr>
      </w:pPr>
      <w:r>
        <w:rPr>
          <w:rFonts w:ascii="宋体" w:hAnsi="宋体" w:cs="宋体"/>
          <w:i/>
          <w:color w:val="auto"/>
          <w:spacing w:val="7"/>
          <w:sz w:val="24"/>
          <w:highlight w:val="none"/>
          <w:u w:val="single"/>
        </w:rPr>
        <w:t>为保证价格的统一性及避免不平衡报价，本项目采用优惠率报价，</w:t>
      </w:r>
      <w:r>
        <w:rPr>
          <w:rFonts w:hint="eastAsia" w:ascii="宋体" w:hAnsi="宋体" w:cs="宋体"/>
          <w:i/>
          <w:color w:val="auto"/>
          <w:spacing w:val="7"/>
          <w:sz w:val="24"/>
          <w:highlight w:val="none"/>
          <w:u w:val="single"/>
        </w:rPr>
        <w:t>供应商报价时报取统一的投标优惠率即可</w:t>
      </w:r>
      <w:r>
        <w:rPr>
          <w:rFonts w:hint="eastAsia" w:ascii="宋体" w:hAnsi="宋体" w:cs="宋体"/>
          <w:i/>
          <w:color w:val="auto"/>
          <w:spacing w:val="7"/>
          <w:sz w:val="24"/>
          <w:highlight w:val="none"/>
          <w:u w:val="single"/>
          <w:lang w:eastAsia="zh-CN"/>
        </w:rPr>
        <w:t>。</w:t>
      </w:r>
      <w:r>
        <w:rPr>
          <w:rFonts w:hint="eastAsia" w:ascii="宋体" w:hAnsi="宋体" w:cs="宋体"/>
          <w:i/>
          <w:color w:val="auto"/>
          <w:spacing w:val="7"/>
          <w:sz w:val="24"/>
          <w:highlight w:val="none"/>
          <w:u w:val="single"/>
          <w:lang w:val="en-US" w:eastAsia="zh-CN"/>
        </w:rPr>
        <w:t>结算单价=单价最高限价(指导单价)*[1-投标优惠率（%）]</w:t>
      </w:r>
      <w:r>
        <w:rPr>
          <w:rFonts w:hint="eastAsia" w:ascii="宋体" w:hAnsi="宋体" w:cs="宋体"/>
          <w:i/>
          <w:iCs/>
          <w:color w:val="auto"/>
          <w:sz w:val="24"/>
          <w:szCs w:val="24"/>
          <w:highlight w:val="none"/>
          <w:u w:val="single"/>
        </w:rPr>
        <w:t>。投标优惠率即</w:t>
      </w:r>
      <w:r>
        <w:rPr>
          <w:rFonts w:hint="eastAsia" w:ascii="宋体" w:hAnsi="宋体" w:cs="宋体"/>
          <w:i/>
          <w:color w:val="auto"/>
          <w:spacing w:val="7"/>
          <w:sz w:val="24"/>
          <w:highlight w:val="none"/>
          <w:u w:val="single"/>
          <w:lang w:val="en-US" w:eastAsia="zh-CN"/>
        </w:rPr>
        <w:t>单价最高限价(指导单价)</w:t>
      </w:r>
      <w:r>
        <w:rPr>
          <w:rFonts w:hint="eastAsia" w:ascii="宋体" w:hAnsi="宋体" w:cs="宋体"/>
          <w:i/>
          <w:iCs/>
          <w:color w:val="auto"/>
          <w:sz w:val="24"/>
          <w:szCs w:val="24"/>
          <w:highlight w:val="none"/>
          <w:u w:val="single"/>
        </w:rPr>
        <w:t>为基准的下浮比例，例如：</w:t>
      </w:r>
      <w:r>
        <w:rPr>
          <w:rFonts w:hint="eastAsia" w:ascii="宋体" w:hAnsi="宋体" w:cs="宋体"/>
          <w:i/>
          <w:iCs/>
          <w:color w:val="auto"/>
          <w:sz w:val="24"/>
          <w:szCs w:val="24"/>
          <w:highlight w:val="none"/>
          <w:u w:val="single"/>
          <w:lang w:val="en-US" w:eastAsia="zh-CN"/>
        </w:rPr>
        <w:t>某商品的</w:t>
      </w:r>
      <w:r>
        <w:rPr>
          <w:rFonts w:hint="eastAsia" w:ascii="宋体" w:hAnsi="宋体" w:cs="宋体"/>
          <w:i/>
          <w:color w:val="auto"/>
          <w:spacing w:val="7"/>
          <w:sz w:val="24"/>
          <w:highlight w:val="none"/>
          <w:u w:val="single"/>
          <w:lang w:val="en-US" w:eastAsia="zh-CN"/>
        </w:rPr>
        <w:t>检测费单价最高限价(指导单价)</w:t>
      </w:r>
      <w:r>
        <w:rPr>
          <w:rFonts w:hint="eastAsia" w:ascii="宋体" w:hAnsi="宋体" w:cs="宋体"/>
          <w:i/>
          <w:iCs/>
          <w:color w:val="auto"/>
          <w:sz w:val="24"/>
          <w:szCs w:val="24"/>
          <w:highlight w:val="none"/>
          <w:u w:val="single"/>
        </w:rPr>
        <w:t>为10元</w:t>
      </w:r>
      <w:r>
        <w:rPr>
          <w:rFonts w:hint="eastAsia" w:ascii="宋体" w:hAnsi="宋体" w:cs="宋体"/>
          <w:i/>
          <w:iCs/>
          <w:color w:val="auto"/>
          <w:sz w:val="24"/>
          <w:szCs w:val="24"/>
          <w:highlight w:val="none"/>
          <w:u w:val="single"/>
          <w:lang w:eastAsia="zh-CN"/>
        </w:rPr>
        <w:t>，</w:t>
      </w:r>
      <w:r>
        <w:rPr>
          <w:rFonts w:hint="eastAsia" w:ascii="宋体" w:hAnsi="宋体" w:cs="宋体"/>
          <w:i/>
          <w:color w:val="auto"/>
          <w:spacing w:val="7"/>
          <w:sz w:val="24"/>
          <w:highlight w:val="none"/>
          <w:u w:val="single"/>
          <w:lang w:val="en-US" w:eastAsia="zh-CN"/>
        </w:rPr>
        <w:t>买样费单价最高限价(指导单价)</w:t>
      </w:r>
      <w:r>
        <w:rPr>
          <w:rFonts w:hint="eastAsia" w:ascii="宋体" w:hAnsi="宋体" w:cs="宋体"/>
          <w:i/>
          <w:iCs/>
          <w:color w:val="auto"/>
          <w:sz w:val="24"/>
          <w:szCs w:val="24"/>
          <w:highlight w:val="none"/>
          <w:u w:val="single"/>
        </w:rPr>
        <w:t>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元，投标优惠率为15%，则实际</w:t>
      </w:r>
      <w:r>
        <w:rPr>
          <w:rFonts w:hint="eastAsia" w:ascii="宋体" w:hAnsi="宋体" w:cs="宋体"/>
          <w:i/>
          <w:color w:val="auto"/>
          <w:spacing w:val="7"/>
          <w:sz w:val="24"/>
          <w:highlight w:val="none"/>
          <w:u w:val="single"/>
          <w:lang w:val="en-US" w:eastAsia="zh-CN"/>
        </w:rPr>
        <w:t>检测费</w:t>
      </w:r>
      <w:r>
        <w:rPr>
          <w:rFonts w:hint="eastAsia" w:ascii="宋体" w:hAnsi="宋体" w:cs="宋体"/>
          <w:i/>
          <w:iCs/>
          <w:color w:val="auto"/>
          <w:sz w:val="24"/>
          <w:szCs w:val="24"/>
          <w:highlight w:val="none"/>
          <w:u w:val="single"/>
        </w:rPr>
        <w:t>结算单价计算公式为：10*（1-15%）=8.5元</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rPr>
        <w:t>实际</w:t>
      </w:r>
      <w:r>
        <w:rPr>
          <w:rFonts w:hint="eastAsia" w:ascii="宋体" w:hAnsi="宋体" w:cs="宋体"/>
          <w:i/>
          <w:color w:val="auto"/>
          <w:spacing w:val="7"/>
          <w:sz w:val="24"/>
          <w:highlight w:val="none"/>
          <w:u w:val="single"/>
          <w:lang w:val="en-US" w:eastAsia="zh-CN"/>
        </w:rPr>
        <w:t>买样费</w:t>
      </w:r>
      <w:r>
        <w:rPr>
          <w:rFonts w:hint="eastAsia" w:ascii="宋体" w:hAnsi="宋体" w:cs="宋体"/>
          <w:i/>
          <w:iCs/>
          <w:color w:val="auto"/>
          <w:sz w:val="24"/>
          <w:szCs w:val="24"/>
          <w:highlight w:val="none"/>
          <w:u w:val="single"/>
        </w:rPr>
        <w:t>结算单价计算公式为：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*（1-15%）=</w:t>
      </w:r>
      <w:r>
        <w:rPr>
          <w:rFonts w:hint="eastAsia" w:ascii="宋体" w:hAnsi="宋体" w:cs="宋体"/>
          <w:i/>
          <w:iCs/>
          <w:color w:val="auto"/>
          <w:sz w:val="24"/>
          <w:szCs w:val="24"/>
          <w:highlight w:val="none"/>
          <w:u w:val="single"/>
          <w:lang w:val="en-US" w:eastAsia="zh-CN"/>
        </w:rPr>
        <w:t>17</w:t>
      </w:r>
      <w:r>
        <w:rPr>
          <w:rFonts w:hint="eastAsia" w:ascii="宋体" w:hAnsi="宋体" w:cs="宋体"/>
          <w:i/>
          <w:iCs/>
          <w:color w:val="auto"/>
          <w:sz w:val="24"/>
          <w:szCs w:val="24"/>
          <w:highlight w:val="none"/>
          <w:u w:val="single"/>
        </w:rPr>
        <w:t>元。</w:t>
      </w:r>
    </w:p>
    <w:p w14:paraId="4C789389">
      <w:pPr>
        <w:pStyle w:val="256"/>
        <w:spacing w:line="440" w:lineRule="exact"/>
        <w:ind w:firstLine="500"/>
        <w:rPr>
          <w:rFonts w:hint="default" w:ascii="宋体" w:hAnsi="宋体" w:eastAsia="宋体" w:cs="宋体"/>
          <w:b w:val="0"/>
          <w:bCs w:val="0"/>
          <w:iCs/>
          <w:color w:val="auto"/>
          <w:spacing w:val="7"/>
          <w:sz w:val="24"/>
          <w:szCs w:val="24"/>
          <w:highlight w:val="none"/>
          <w:u w:val="none"/>
          <w:lang w:val="en-US" w:eastAsia="zh-CN"/>
        </w:rPr>
      </w:pPr>
    </w:p>
    <w:p w14:paraId="7BCCEC60">
      <w:pPr>
        <w:pStyle w:val="256"/>
        <w:spacing w:line="440" w:lineRule="exact"/>
        <w:ind w:firstLine="500"/>
        <w:rPr>
          <w:rFonts w:hint="default" w:ascii="宋体" w:hAnsi="宋体" w:eastAsia="宋体" w:cs="宋体"/>
          <w:iCs/>
          <w:color w:val="auto"/>
          <w:spacing w:val="7"/>
          <w:highlight w:val="none"/>
          <w:u w:val="none"/>
          <w:lang w:val="en-US" w:eastAsia="zh-CN"/>
        </w:rPr>
      </w:pPr>
      <w:r>
        <w:rPr>
          <w:rFonts w:hint="default" w:ascii="宋体" w:hAnsi="宋体" w:eastAsia="宋体" w:cs="宋体"/>
          <w:b w:val="0"/>
          <w:bCs w:val="0"/>
          <w:iCs/>
          <w:color w:val="auto"/>
          <w:spacing w:val="7"/>
          <w:sz w:val="24"/>
          <w:szCs w:val="24"/>
          <w:highlight w:val="none"/>
          <w:u w:val="none"/>
          <w:lang w:val="en-US" w:eastAsia="zh-CN"/>
        </w:rPr>
        <w:t>（三）</w:t>
      </w:r>
      <w:r>
        <w:rPr>
          <w:rFonts w:hint="default" w:ascii="宋体" w:hAnsi="宋体" w:eastAsia="宋体" w:cs="宋体"/>
          <w:iCs/>
          <w:color w:val="auto"/>
          <w:spacing w:val="7"/>
          <w:highlight w:val="none"/>
          <w:u w:val="none"/>
          <w:lang w:val="en-US" w:eastAsia="zh-CN"/>
        </w:rPr>
        <w:t>张家港市产商品监督抽查考核细则</w:t>
      </w:r>
    </w:p>
    <w:p w14:paraId="051F63A8">
      <w:pPr>
        <w:pStyle w:val="256"/>
        <w:spacing w:line="440" w:lineRule="exact"/>
        <w:ind w:firstLine="500"/>
        <w:rPr>
          <w:rFonts w:hint="default" w:ascii="宋体" w:hAnsi="宋体" w:eastAsia="宋体" w:cs="宋体"/>
          <w:iCs/>
          <w:color w:val="auto"/>
          <w:spacing w:val="7"/>
          <w:highlight w:val="none"/>
          <w:u w:val="none"/>
          <w:lang w:val="en-US" w:eastAsia="zh-CN"/>
        </w:rPr>
      </w:pPr>
    </w:p>
    <w:p w14:paraId="1D54EF0A">
      <w:pPr>
        <w:keepNext w:val="0"/>
        <w:keepLines w:val="0"/>
        <w:pageBreakBefore w:val="0"/>
        <w:widowControl w:val="0"/>
        <w:spacing w:line="600" w:lineRule="exact"/>
        <w:jc w:val="center"/>
        <w:rPr>
          <w:rFonts w:hint="eastAsia"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val="en-US" w:eastAsia="zh-CN"/>
        </w:rPr>
        <w:t>张家港市产商品监督抽查</w:t>
      </w:r>
      <w:r>
        <w:rPr>
          <w:rFonts w:hint="eastAsia" w:ascii="方正小标宋_GBK" w:hAnsi="方正小标宋_GBK" w:eastAsia="方正小标宋_GBK" w:cs="方正小标宋_GBK"/>
          <w:color w:val="auto"/>
          <w:sz w:val="44"/>
          <w:szCs w:val="44"/>
          <w:highlight w:val="none"/>
          <w:lang w:eastAsia="zh-CN"/>
        </w:rPr>
        <w:t>考核细则</w:t>
      </w:r>
    </w:p>
    <w:p w14:paraId="15CBD184">
      <w:pPr>
        <w:keepNext w:val="0"/>
        <w:keepLines w:val="0"/>
        <w:pageBreakBefore w:val="0"/>
        <w:widowControl w:val="0"/>
        <w:spacing w:line="600" w:lineRule="exact"/>
        <w:jc w:val="center"/>
        <w:rPr>
          <w:rFonts w:hint="eastAsia" w:ascii="方正小标宋_GBK" w:hAnsi="方正小标宋_GBK" w:eastAsia="方正小标宋_GBK" w:cs="方正小标宋_GBK"/>
          <w:color w:val="auto"/>
          <w:sz w:val="44"/>
          <w:szCs w:val="44"/>
          <w:highlight w:val="none"/>
          <w:lang w:eastAsia="zh-CN"/>
        </w:rPr>
      </w:pPr>
    </w:p>
    <w:p w14:paraId="63909846">
      <w:pPr>
        <w:keepNext w:val="0"/>
        <w:keepLines w:val="0"/>
        <w:pageBreakBefore w:val="0"/>
        <w:widowControl w:val="0"/>
        <w:numPr>
          <w:ilvl w:val="0"/>
          <w:numId w:val="6"/>
        </w:numPr>
        <w:spacing w:line="560" w:lineRule="exact"/>
        <w:ind w:firstLine="0"/>
        <w:jc w:val="center"/>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总则</w:t>
      </w:r>
    </w:p>
    <w:p w14:paraId="49AE0215">
      <w:pPr>
        <w:keepNext w:val="0"/>
        <w:keepLines w:val="0"/>
        <w:pageBreakBefore w:val="0"/>
        <w:widowControl w:val="0"/>
        <w:numPr>
          <w:ilvl w:val="0"/>
          <w:numId w:val="0"/>
        </w:numPr>
        <w:spacing w:line="560" w:lineRule="exact"/>
        <w:jc w:val="both"/>
        <w:rPr>
          <w:rFonts w:hint="eastAsia" w:ascii="国标黑体" w:hAnsi="国标黑体" w:eastAsia="国标黑体" w:cs="国标黑体"/>
          <w:color w:val="auto"/>
          <w:sz w:val="28"/>
          <w:szCs w:val="28"/>
          <w:highlight w:val="none"/>
          <w:lang w:val="en-US" w:eastAsia="zh-CN"/>
        </w:rPr>
      </w:pPr>
    </w:p>
    <w:p w14:paraId="50052B64">
      <w:pPr>
        <w:keepNext w:val="0"/>
        <w:keepLines w:val="0"/>
        <w:pageBreakBefore w:val="0"/>
        <w:widowControl w:val="0"/>
        <w:spacing w:line="560" w:lineRule="exact"/>
        <w:ind w:firstLine="640"/>
        <w:jc w:val="lef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第一条</w:t>
      </w:r>
      <w:r>
        <w:rPr>
          <w:rFonts w:hint="eastAsia" w:ascii="方正小标宋_GBK" w:hAnsi="方正小标宋_GBK" w:eastAsia="方正小标宋_GBK" w:cs="方正小标宋_GBK"/>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lang w:val="en-US" w:eastAsia="zh-CN"/>
        </w:rPr>
        <w:t>为保障张家港市产商品监督抽查工作的顺利开展，提升监督抽查的准确性、合规性和时效性，结合我市实际情况，制定本细则</w:t>
      </w:r>
    </w:p>
    <w:p w14:paraId="05E92879">
      <w:pPr>
        <w:keepNext w:val="0"/>
        <w:keepLines w:val="0"/>
        <w:pageBreakBefore w:val="0"/>
        <w:widowControl w:val="0"/>
        <w:spacing w:line="560" w:lineRule="exact"/>
        <w:ind w:firstLine="640"/>
        <w:jc w:val="lef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第二条 本细则贯穿于监督抽查“样品抽取、检验检测、结果报送、后续处理、样品处置”等全流程，适用于我局对张家港市产商品监督抽查工作承检机构（以下简称：承检机构）的综合考评工作。</w:t>
      </w:r>
    </w:p>
    <w:p w14:paraId="6911C961">
      <w:pPr>
        <w:keepNext w:val="0"/>
        <w:keepLines w:val="0"/>
        <w:pageBreakBefore w:val="0"/>
        <w:widowControl w:val="0"/>
        <w:spacing w:line="560" w:lineRule="exact"/>
        <w:ind w:firstLine="640"/>
        <w:jc w:val="lef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第三条 考评以季度为单位，承检机构应在每季度末向我局递交书面考核自评结果，自评应包括考核细则内各项指标。</w:t>
      </w:r>
    </w:p>
    <w:p w14:paraId="33C18A41">
      <w:pPr>
        <w:keepNext w:val="0"/>
        <w:keepLines w:val="0"/>
        <w:pageBreakBefore w:val="0"/>
        <w:widowControl w:val="0"/>
        <w:spacing w:line="560" w:lineRule="exact"/>
        <w:ind w:firstLine="640"/>
        <w:jc w:val="left"/>
        <w:rPr>
          <w:rFonts w:hint="eastAsia" w:ascii="仿宋_GB2312" w:hAnsi="仿宋_GB2312" w:eastAsia="仿宋_GB2312" w:cs="仿宋_GB2312"/>
          <w:color w:val="auto"/>
          <w:sz w:val="28"/>
          <w:szCs w:val="28"/>
          <w:highlight w:val="none"/>
          <w:lang w:val="en-US" w:eastAsia="zh-CN"/>
        </w:rPr>
      </w:pPr>
    </w:p>
    <w:p w14:paraId="77D66F9B">
      <w:pPr>
        <w:keepNext w:val="0"/>
        <w:keepLines w:val="0"/>
        <w:pageBreakBefore w:val="0"/>
        <w:widowControl w:val="0"/>
        <w:numPr>
          <w:ilvl w:val="0"/>
          <w:numId w:val="6"/>
        </w:numPr>
        <w:spacing w:line="560" w:lineRule="exact"/>
        <w:ind w:firstLine="640"/>
        <w:jc w:val="center"/>
        <w:rPr>
          <w:rFonts w:hint="eastAsia" w:ascii="国标黑体" w:hAnsi="国标黑体" w:eastAsia="国标黑体" w:cs="国标黑体"/>
          <w:color w:val="auto"/>
          <w:sz w:val="28"/>
          <w:szCs w:val="28"/>
          <w:highlight w:val="none"/>
          <w:lang w:val="en-US" w:eastAsia="zh-CN"/>
        </w:rPr>
      </w:pPr>
      <w:r>
        <w:rPr>
          <w:rFonts w:hint="eastAsia" w:ascii="国标黑体" w:hAnsi="国标黑体" w:eastAsia="国标黑体" w:cs="国标黑体"/>
          <w:color w:val="auto"/>
          <w:sz w:val="28"/>
          <w:szCs w:val="28"/>
          <w:highlight w:val="none"/>
          <w:lang w:val="en-US" w:eastAsia="zh-CN"/>
        </w:rPr>
        <w:t>考核项目</w:t>
      </w:r>
    </w:p>
    <w:p w14:paraId="258B6A8A">
      <w:pPr>
        <w:keepNext w:val="0"/>
        <w:keepLines w:val="0"/>
        <w:pageBreakBefore w:val="0"/>
        <w:widowControl w:val="0"/>
        <w:numPr>
          <w:ilvl w:val="0"/>
          <w:numId w:val="0"/>
        </w:numPr>
        <w:spacing w:line="560" w:lineRule="exact"/>
        <w:jc w:val="both"/>
        <w:rPr>
          <w:rFonts w:hint="eastAsia" w:ascii="国标黑体" w:hAnsi="国标黑体" w:eastAsia="国标黑体" w:cs="国标黑体"/>
          <w:color w:val="auto"/>
          <w:sz w:val="28"/>
          <w:szCs w:val="28"/>
          <w:highlight w:val="none"/>
          <w:lang w:val="en-US" w:eastAsia="zh-CN"/>
        </w:rPr>
      </w:pPr>
      <w:r>
        <w:rPr>
          <w:rFonts w:hint="eastAsia" w:ascii="国标黑体" w:hAnsi="国标黑体" w:eastAsia="国标黑体" w:cs="国标黑体"/>
          <w:color w:val="auto"/>
          <w:sz w:val="28"/>
          <w:szCs w:val="28"/>
          <w:highlight w:val="none"/>
          <w:lang w:val="en-US" w:eastAsia="zh-CN"/>
        </w:rPr>
        <w:t xml:space="preserve">    </w:t>
      </w:r>
    </w:p>
    <w:p w14:paraId="515F339B">
      <w:pPr>
        <w:keepNext w:val="0"/>
        <w:keepLines w:val="0"/>
        <w:pageBreakBefore w:val="0"/>
        <w:widowControl w:val="0"/>
        <w:numPr>
          <w:ilvl w:val="0"/>
          <w:numId w:val="7"/>
        </w:numPr>
        <w:spacing w:line="560" w:lineRule="exact"/>
        <w:ind w:firstLine="640"/>
        <w:jc w:val="both"/>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 监督抽查工作应确保时效性，承检机构应按照监督抽查计划完成相应产品的抽样工作，并在抽样完成后45个自然日内完成产品检测及结果报送工作，并在完成结果报送工作后20个自然日内向我局送达检验检测报告。如因不可抗力或其他原因，应在每季度月末20日之前向我局作出书面解释（需包含无法完成原因及可完成日期），经我局同意后，可将抽样、检测及结果报送日期顺延。</w:t>
      </w:r>
    </w:p>
    <w:p w14:paraId="01347FE3">
      <w:pPr>
        <w:keepNext w:val="0"/>
        <w:keepLines w:val="0"/>
        <w:pageBreakBefore w:val="0"/>
        <w:widowControl w:val="0"/>
        <w:numPr>
          <w:ilvl w:val="0"/>
          <w:numId w:val="7"/>
        </w:numPr>
        <w:spacing w:line="560" w:lineRule="exact"/>
        <w:ind w:firstLine="64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监督抽查工作应确保合规性，承检机构应按照《产品监督抽查暂行办法》、《江苏省省级产品质量监督抽查工作规范》及各类产品监督抽查实施方案开展监督抽查工作。</w:t>
      </w:r>
    </w:p>
    <w:p w14:paraId="2F663D29">
      <w:pPr>
        <w:keepNext w:val="0"/>
        <w:keepLines w:val="0"/>
        <w:pageBreakBefore w:val="0"/>
        <w:widowControl w:val="0"/>
        <w:numPr>
          <w:ilvl w:val="0"/>
          <w:numId w:val="7"/>
        </w:numPr>
        <w:spacing w:line="560" w:lineRule="exact"/>
        <w:ind w:firstLine="64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监督抽查工作应确保准确性，承检机构应保证各类产品的检测结果可用于我局开展后续监管工作。</w:t>
      </w:r>
    </w:p>
    <w:p w14:paraId="5EB30006">
      <w:pPr>
        <w:keepNext w:val="0"/>
        <w:keepLines w:val="0"/>
        <w:pageBreakBefore w:val="0"/>
        <w:widowControl w:val="0"/>
        <w:numPr>
          <w:ilvl w:val="0"/>
          <w:numId w:val="7"/>
        </w:numPr>
        <w:spacing w:line="560" w:lineRule="exact"/>
        <w:ind w:firstLine="64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承检机构应积极配合我局开展产商品监督抽查及样品处置工作，如遇突发情况，各承检机构应在1小时内完成响应，并到达监督抽查现场开展工作。</w:t>
      </w:r>
    </w:p>
    <w:p w14:paraId="24B28B4D">
      <w:pPr>
        <w:keepNext w:val="0"/>
        <w:keepLines w:val="0"/>
        <w:pageBreakBefore w:val="0"/>
        <w:widowControl w:val="0"/>
        <w:numPr>
          <w:ilvl w:val="0"/>
          <w:numId w:val="0"/>
        </w:numPr>
        <w:spacing w:line="560" w:lineRule="exact"/>
        <w:jc w:val="both"/>
        <w:rPr>
          <w:rFonts w:hint="default" w:ascii="仿宋_GB2312" w:hAnsi="仿宋_GB2312" w:eastAsia="仿宋_GB2312" w:cs="仿宋_GB2312"/>
          <w:color w:val="auto"/>
          <w:sz w:val="28"/>
          <w:szCs w:val="28"/>
          <w:highlight w:val="none"/>
          <w:lang w:val="en-US" w:eastAsia="zh-CN"/>
        </w:rPr>
      </w:pPr>
    </w:p>
    <w:p w14:paraId="6DD0C8E8">
      <w:pPr>
        <w:keepNext w:val="0"/>
        <w:keepLines w:val="0"/>
        <w:pageBreakBefore w:val="0"/>
        <w:widowControl w:val="0"/>
        <w:numPr>
          <w:ilvl w:val="0"/>
          <w:numId w:val="6"/>
        </w:numPr>
        <w:spacing w:line="560" w:lineRule="exact"/>
        <w:ind w:firstLine="640"/>
        <w:jc w:val="center"/>
        <w:rPr>
          <w:rFonts w:hint="eastAsia" w:ascii="国标黑体" w:hAnsi="国标黑体" w:eastAsia="国标黑体" w:cs="国标黑体"/>
          <w:color w:val="auto"/>
          <w:sz w:val="28"/>
          <w:szCs w:val="28"/>
          <w:highlight w:val="none"/>
          <w:lang w:val="en-US" w:eastAsia="zh-CN"/>
        </w:rPr>
      </w:pPr>
      <w:r>
        <w:rPr>
          <w:rFonts w:hint="eastAsia" w:ascii="国标黑体" w:hAnsi="国标黑体" w:eastAsia="国标黑体" w:cs="国标黑体"/>
          <w:color w:val="auto"/>
          <w:sz w:val="28"/>
          <w:szCs w:val="28"/>
          <w:highlight w:val="none"/>
          <w:lang w:val="en-US" w:eastAsia="zh-CN"/>
        </w:rPr>
        <w:t>结果运用</w:t>
      </w:r>
    </w:p>
    <w:p w14:paraId="6E938045">
      <w:pPr>
        <w:keepNext w:val="0"/>
        <w:keepLines w:val="0"/>
        <w:pageBreakBefore w:val="0"/>
        <w:widowControl w:val="0"/>
        <w:numPr>
          <w:ilvl w:val="0"/>
          <w:numId w:val="0"/>
        </w:numPr>
        <w:spacing w:line="560" w:lineRule="exact"/>
        <w:jc w:val="both"/>
        <w:rPr>
          <w:rFonts w:hint="eastAsia" w:ascii="国标黑体" w:hAnsi="国标黑体" w:eastAsia="国标黑体" w:cs="国标黑体"/>
          <w:color w:val="auto"/>
          <w:sz w:val="28"/>
          <w:szCs w:val="28"/>
          <w:highlight w:val="none"/>
          <w:lang w:val="en-US" w:eastAsia="zh-CN"/>
        </w:rPr>
      </w:pPr>
    </w:p>
    <w:p w14:paraId="02014E19">
      <w:pPr>
        <w:keepNext w:val="0"/>
        <w:keepLines w:val="0"/>
        <w:pageBreakBefore w:val="0"/>
        <w:widowControl w:val="0"/>
        <w:numPr>
          <w:ilvl w:val="0"/>
          <w:numId w:val="7"/>
        </w:numPr>
        <w:spacing w:line="560" w:lineRule="exact"/>
        <w:ind w:left="0" w:firstLine="640"/>
        <w:jc w:val="both"/>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承检机构未在要求时间内完成抽样、检测、检测结果及报告报送工作的，在我局催告后，每延迟十个工作日，按照所涉产品批次费用的5%进行减扣，最高减扣至所涉产品批次费用的30%。</w:t>
      </w:r>
    </w:p>
    <w:p w14:paraId="483098D2">
      <w:pPr>
        <w:keepNext w:val="0"/>
        <w:keepLines w:val="0"/>
        <w:pageBreakBefore w:val="0"/>
        <w:widowControl w:val="0"/>
        <w:numPr>
          <w:ilvl w:val="0"/>
          <w:numId w:val="7"/>
        </w:numPr>
        <w:spacing w:line="560" w:lineRule="exact"/>
        <w:ind w:left="0" w:firstLine="64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因承检机构监督抽查工作不合规，导致我局在后续监督抽查结果后处理工作中，行政复议被撤销、被确认违法或行政诉讼败诉的，当批次检测费用不予支付，该类产品批次检测费用按原批次费用的70%进行结算。如因承检机构监督抽查不合规，连续两年内导致我局出现2次及以上行政复议被撤销、被确认违法或行政诉讼败诉的，我局可单方面终止与该承检机构合作。</w:t>
      </w:r>
    </w:p>
    <w:p w14:paraId="5A2C873B">
      <w:pPr>
        <w:keepNext w:val="0"/>
        <w:keepLines w:val="0"/>
        <w:pageBreakBefore w:val="0"/>
        <w:widowControl w:val="0"/>
        <w:numPr>
          <w:ilvl w:val="0"/>
          <w:numId w:val="7"/>
        </w:numPr>
        <w:spacing w:line="560" w:lineRule="exact"/>
        <w:ind w:left="0" w:firstLine="64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产品复检机构与承检机构检测结果不一致的，当批次检测费用不予支付，且复检费用由承检机构承担。任一类产品连续出现2次及以上与复检结果不一致的，承检机构应开展内部自查工作，确认结果不一致原因，并向我局提交书面自查报告。</w:t>
      </w:r>
    </w:p>
    <w:p w14:paraId="345DFD9E">
      <w:pPr>
        <w:keepNext w:val="0"/>
        <w:keepLines w:val="0"/>
        <w:pageBreakBefore w:val="0"/>
        <w:widowControl w:val="0"/>
        <w:numPr>
          <w:ilvl w:val="0"/>
          <w:numId w:val="7"/>
        </w:numPr>
        <w:spacing w:line="560" w:lineRule="exact"/>
        <w:ind w:left="0" w:firstLine="64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发生突发情况后，承检机构未在1小时内响应并到达监督抽查现场开展工作的，按照合同总金额的1%下浮结算（可累计）。</w:t>
      </w:r>
    </w:p>
    <w:p w14:paraId="1D87042C">
      <w:pPr>
        <w:keepNext w:val="0"/>
        <w:keepLines w:val="0"/>
        <w:pageBreakBefore w:val="0"/>
        <w:widowControl w:val="0"/>
        <w:numPr>
          <w:ilvl w:val="0"/>
          <w:numId w:val="7"/>
        </w:numPr>
        <w:spacing w:line="560" w:lineRule="exact"/>
        <w:ind w:left="0" w:firstLine="64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承检机构（含联合体）当年度因出具不实或虚假报告等违法行为受到行政部门处罚的，我局可单方面终止与该承检机构合作。</w:t>
      </w:r>
    </w:p>
    <w:p w14:paraId="3A424588">
      <w:pPr>
        <w:keepNext w:val="0"/>
        <w:keepLines w:val="0"/>
        <w:pageBreakBefore w:val="0"/>
        <w:widowControl w:val="0"/>
        <w:numPr>
          <w:ilvl w:val="0"/>
          <w:numId w:val="0"/>
        </w:numPr>
        <w:spacing w:line="560" w:lineRule="exact"/>
        <w:jc w:val="both"/>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    </w:t>
      </w:r>
    </w:p>
    <w:p w14:paraId="49F27147">
      <w:pPr>
        <w:keepNext w:val="0"/>
        <w:keepLines w:val="0"/>
        <w:pageBreakBefore w:val="0"/>
        <w:widowControl w:val="0"/>
        <w:numPr>
          <w:ilvl w:val="0"/>
          <w:numId w:val="6"/>
        </w:numPr>
        <w:spacing w:line="560" w:lineRule="exact"/>
        <w:ind w:left="0" w:firstLine="640"/>
        <w:jc w:val="center"/>
        <w:rPr>
          <w:rFonts w:hint="eastAsia" w:ascii="国标黑体" w:hAnsi="国标黑体" w:eastAsia="国标黑体" w:cs="国标黑体"/>
          <w:color w:val="auto"/>
          <w:sz w:val="28"/>
          <w:szCs w:val="28"/>
          <w:highlight w:val="none"/>
          <w:lang w:val="en-US" w:eastAsia="zh-CN"/>
        </w:rPr>
      </w:pPr>
      <w:r>
        <w:rPr>
          <w:rFonts w:hint="eastAsia" w:ascii="国标黑体" w:hAnsi="国标黑体" w:eastAsia="国标黑体" w:cs="国标黑体"/>
          <w:color w:val="auto"/>
          <w:sz w:val="28"/>
          <w:szCs w:val="28"/>
          <w:highlight w:val="none"/>
          <w:lang w:val="en-US" w:eastAsia="zh-CN"/>
        </w:rPr>
        <w:t>附则</w:t>
      </w:r>
    </w:p>
    <w:p w14:paraId="397FE805">
      <w:pPr>
        <w:keepNext w:val="0"/>
        <w:keepLines w:val="0"/>
        <w:pageBreakBefore w:val="0"/>
        <w:widowControl w:val="0"/>
        <w:numPr>
          <w:ilvl w:val="0"/>
          <w:numId w:val="0"/>
        </w:numPr>
        <w:spacing w:line="560" w:lineRule="exact"/>
        <w:jc w:val="both"/>
        <w:rPr>
          <w:rFonts w:hint="default" w:ascii="国标黑体" w:hAnsi="国标黑体" w:eastAsia="国标黑体" w:cs="国标黑体"/>
          <w:color w:val="auto"/>
          <w:sz w:val="28"/>
          <w:szCs w:val="28"/>
          <w:highlight w:val="none"/>
          <w:lang w:val="en-US" w:eastAsia="zh-CN"/>
        </w:rPr>
      </w:pPr>
    </w:p>
    <w:p w14:paraId="47A1FD2E">
      <w:pPr>
        <w:keepNext w:val="0"/>
        <w:keepLines w:val="0"/>
        <w:pageBreakBefore w:val="0"/>
        <w:widowControl w:val="0"/>
        <w:numPr>
          <w:ilvl w:val="0"/>
          <w:numId w:val="7"/>
        </w:numPr>
        <w:spacing w:line="560" w:lineRule="exact"/>
        <w:ind w:left="0" w:firstLine="640"/>
        <w:jc w:val="both"/>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本考核细则由张家港市市场监督管理局负责解释。</w:t>
      </w:r>
    </w:p>
    <w:p w14:paraId="7C674F4E">
      <w:pPr>
        <w:spacing w:before="71" w:line="271" w:lineRule="auto"/>
        <w:ind w:left="135"/>
        <w:rPr>
          <w:rFonts w:hint="eastAsia" w:ascii="仿宋" w:hAnsi="仿宋" w:eastAsia="仿宋" w:cs="仿宋"/>
          <w:sz w:val="28"/>
          <w:szCs w:val="28"/>
        </w:rPr>
      </w:pPr>
      <w:r>
        <w:rPr>
          <w:rFonts w:hint="eastAsia" w:ascii="仿宋_GB2312" w:hAnsi="仿宋_GB2312" w:eastAsia="仿宋_GB2312" w:cs="仿宋_GB2312"/>
          <w:color w:val="auto"/>
          <w:sz w:val="28"/>
          <w:szCs w:val="28"/>
          <w:highlight w:val="none"/>
          <w:lang w:val="en-US" w:eastAsia="zh-CN"/>
        </w:rPr>
        <w:t>本考核细则自合同服务期限起实施。</w:t>
      </w:r>
    </w:p>
    <w:p w14:paraId="5B6D0BFF">
      <w:pPr>
        <w:pStyle w:val="270"/>
        <w:keepNext w:val="0"/>
        <w:keepLines w:val="0"/>
        <w:pageBreakBefore w:val="0"/>
        <w:spacing w:line="360" w:lineRule="auto"/>
        <w:rPr>
          <w:rFonts w:hint="eastAsia" w:ascii="宋体" w:hAnsi="宋体" w:eastAsia="宋体" w:cs="宋体"/>
          <w:b/>
          <w:bCs/>
          <w:color w:val="000000" w:themeColor="text1"/>
          <w:spacing w:val="7"/>
          <w:sz w:val="24"/>
          <w:szCs w:val="24"/>
          <w:highlight w:val="none"/>
          <w14:textFill>
            <w14:solidFill>
              <w14:schemeClr w14:val="tx1"/>
            </w14:solidFill>
          </w14:textFill>
        </w:rPr>
      </w:pPr>
    </w:p>
    <w:p w14:paraId="2C6DBD0D">
      <w:pPr>
        <w:pStyle w:val="270"/>
        <w:keepNext w:val="0"/>
        <w:keepLines w:val="0"/>
        <w:pageBreakBefore w:val="0"/>
        <w:spacing w:line="360" w:lineRule="auto"/>
        <w:rPr>
          <w:rFonts w:hint="eastAsia" w:ascii="宋体" w:hAnsi="宋体" w:eastAsia="宋体" w:cs="宋体"/>
          <w:b/>
          <w:bCs/>
          <w:color w:val="000000" w:themeColor="text1"/>
          <w:spacing w:val="7"/>
          <w:sz w:val="24"/>
          <w:szCs w:val="24"/>
          <w:highlight w:val="none"/>
          <w14:textFill>
            <w14:solidFill>
              <w14:schemeClr w14:val="tx1"/>
            </w14:solidFill>
          </w14:textFill>
        </w:rPr>
      </w:pPr>
    </w:p>
    <w:p w14:paraId="355CD10F">
      <w:pPr>
        <w:pStyle w:val="270"/>
        <w:keepNext w:val="0"/>
        <w:keepLines w:val="0"/>
        <w:pageBreakBefore w:val="0"/>
        <w:spacing w:line="360" w:lineRule="auto"/>
        <w:rPr>
          <w:rFonts w:hint="eastAsia" w:ascii="宋体" w:hAnsi="宋体" w:eastAsia="宋体" w:cs="宋体"/>
          <w:b/>
          <w:bCs/>
          <w:color w:val="000000" w:themeColor="text1"/>
          <w:spacing w:val="7"/>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二、合格单一来源供应商资格要求：：</w:t>
      </w:r>
    </w:p>
    <w:p w14:paraId="7D4363BD">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（一）满足《中华人民共和国政府采购法》第二十二条规定：</w:t>
      </w:r>
    </w:p>
    <w:p w14:paraId="376DD07C">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如为联合体，则联合体成员均须提供）；</w:t>
      </w:r>
    </w:p>
    <w:p w14:paraId="187B750A">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2、财务状况报告（成立不满一年不需要提供）（若供应商为分公司，可提供总公司财务状况报告）（如为联合体，则联合体成员均须提供）；</w:t>
      </w:r>
    </w:p>
    <w:p w14:paraId="43D8E2EE">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3、依法缴纳税收和社会保障资金的相关材料（如依法享受缓缴、免缴税收、社会保障资金的，应提供相关证明材料）（如为联合体，则联合体成员均须提供）；</w:t>
      </w:r>
    </w:p>
    <w:p w14:paraId="6A07EAA4">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4、具备履行合同所必需的设备和专业技术能力的书面声明（如为联合体，则联合体成员均须提供）；</w:t>
      </w:r>
    </w:p>
    <w:p w14:paraId="5A280318">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5、参加政府采购活动前3年内在经营活动中没有重大违法记录的书面声明（如为联合体，则联合体成员均须提供）；</w:t>
      </w:r>
    </w:p>
    <w:p w14:paraId="2E119EC6">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6、授权委托书（被授权人非法定代表人的，应提供授权委托书；被授权人是法定代表人的，应提供授权委托书或法定代表人身份证明书）（如为联合体，则联合体牵头单位须提供）；</w:t>
      </w:r>
    </w:p>
    <w:p w14:paraId="1DB9CC3A">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7、关于资格证明文件的书面承诺（如为联合体，则联合体成员均须提供）。</w:t>
      </w:r>
    </w:p>
    <w:p w14:paraId="3D182622">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（二）落实政府采购政策需满足的资格要求：</w:t>
      </w:r>
    </w:p>
    <w:p w14:paraId="03780AE7">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无</w:t>
      </w:r>
    </w:p>
    <w:p w14:paraId="285B1872">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（三）本项目的特定资格要求： </w:t>
      </w:r>
    </w:p>
    <w:p w14:paraId="18F7C1FD">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1.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p>
    <w:p w14:paraId="251FEDFE">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2.若以联合体形式投标，须满足以下条件：</w:t>
      </w:r>
    </w:p>
    <w:p w14:paraId="4D4F24A2">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（1）联合体组成单位不超过六家，且联合体牵头单位及成员均须满足《中华人民共和国政府采购法》第二十二条规定的条件。</w:t>
      </w:r>
    </w:p>
    <w:p w14:paraId="0CD0CC63">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（2）联合体应具备所投采购包内产品的全部检验检测能力，参加联合体的单位均应具备有效期内的CMA资质认定证书。提供证书及能力附表，并对相应检验项目、检验依据及检验方法做好明显标记。</w:t>
      </w:r>
    </w:p>
    <w:p w14:paraId="0C3E28E0">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（3）联合体各成员须签订《联合体协议书》，明确各方权利义务、职责分工及连带责任，联合体投标代表需经各方共同授权并统筹合同履行相关事宜，协议需随投标文件一并提交采购人。</w:t>
      </w:r>
    </w:p>
    <w:p w14:paraId="4B7666E1">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4）《联合体协议书》需明确联合体牵头人，授权其负责投标响应、合同履约等相关事宜；同时，联合体须向采购人提交由所有成员法定代表人签署并加盖公章的联合投标授权委托书，明确牵头人授权范围，牵头人行为对所有联合体成员具有约束力。</w:t>
      </w:r>
    </w:p>
    <w:p w14:paraId="6CDB12A0">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（5）联合体各成员不得再以自身名义单独参加同一采购包投标，也不得与其他供应商另外组成新的联合体参加同一采购包投标。</w:t>
      </w:r>
    </w:p>
    <w:p w14:paraId="589E4C1D">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（四）拒绝下述供应商参加本次采购活动：</w:t>
      </w:r>
    </w:p>
    <w:p w14:paraId="63871786">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1.单位负责人为同一人或者存在直接控股、管理关系的不同供应商，不得参加同一合同项下的政府采购活动。 </w:t>
      </w:r>
    </w:p>
    <w:p w14:paraId="4E4BEE94">
      <w:pPr>
        <w:pStyle w:val="193"/>
        <w:keepNext w:val="0"/>
        <w:keepLines w:val="0"/>
        <w:pageBreakBefore w:val="0"/>
        <w:spacing w:line="360" w:lineRule="auto"/>
        <w:ind w:firstLine="482"/>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F156075">
      <w:pPr>
        <w:pStyle w:val="193"/>
        <w:keepNext w:val="0"/>
        <w:keepLines w:val="0"/>
        <w:pageBreakBefore w:val="0"/>
        <w:spacing w:line="360" w:lineRule="auto"/>
        <w:ind w:firstLine="482"/>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三、获取采购文件方式：</w:t>
      </w:r>
    </w:p>
    <w:p w14:paraId="35CD48A7">
      <w:pPr>
        <w:keepNext w:val="0"/>
        <w:keepLines w:val="0"/>
        <w:pageBreakBefore w:val="0"/>
        <w:widowControl/>
        <w:shd w:val="clear" w:color="auto" w:fill="FFFFFF"/>
        <w:spacing w:line="360" w:lineRule="auto"/>
        <w:ind w:firstLine="5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1、获取地点：苏采云政府采购一体化平台（网址：http://jszfcg.jsczt.cn/）</w:t>
      </w:r>
    </w:p>
    <w:p w14:paraId="26CE61FF">
      <w:pPr>
        <w:keepNext w:val="0"/>
        <w:keepLines w:val="0"/>
        <w:pageBreakBefore w:val="0"/>
        <w:widowControl/>
        <w:shd w:val="clear" w:color="auto" w:fill="FFFFFF"/>
        <w:spacing w:line="360" w:lineRule="auto"/>
        <w:ind w:firstLine="54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2、CA证书办理</w:t>
      </w:r>
    </w:p>
    <w:p w14:paraId="032E1846">
      <w:pPr>
        <w:keepNext w:val="0"/>
        <w:keepLines w:val="0"/>
        <w:pageBreakBefore w:val="0"/>
        <w:widowControl/>
        <w:shd w:val="clear" w:color="auto" w:fill="FFFFFF"/>
        <w:spacing w:line="360" w:lineRule="auto"/>
        <w:ind w:firstLine="54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p>
    <w:p w14:paraId="05B4B2EE">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eastAsia="宋体" w:cs="宋体"/>
          <w:color w:val="000000" w:themeColor="text1"/>
          <w:spacing w:val="8"/>
          <w:sz w:val="24"/>
          <w:szCs w:val="24"/>
          <w:lang w:val="en-US" w:eastAsia="zh-CN"/>
          <w14:textFill>
            <w14:solidFill>
              <w14:schemeClr w14:val="tx1"/>
            </w14:solidFill>
          </w14:textFill>
        </w:rPr>
        <w:t>3、</w:t>
      </w:r>
      <w:r>
        <w:rPr>
          <w:rFonts w:hint="eastAsia" w:ascii="宋体" w:hAnsi="宋体" w:eastAsia="宋体" w:cs="宋体"/>
          <w:color w:val="000000" w:themeColor="text1"/>
          <w:spacing w:val="8"/>
          <w:sz w:val="24"/>
          <w:szCs w:val="24"/>
          <w14:textFill>
            <w14:solidFill>
              <w14:schemeClr w14:val="tx1"/>
            </w14:solidFill>
          </w14:textFill>
        </w:rPr>
        <w:t>参与采购活动</w:t>
      </w:r>
    </w:p>
    <w:p w14:paraId="4AF35C53">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42AB73AA">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eastAsia="宋体" w:cs="宋体"/>
          <w:color w:val="000000" w:themeColor="text1"/>
          <w:spacing w:val="8"/>
          <w:sz w:val="24"/>
          <w:szCs w:val="24"/>
          <w:lang w:val="en-US" w:eastAsia="zh-CN"/>
          <w14:textFill>
            <w14:solidFill>
              <w14:schemeClr w14:val="tx1"/>
            </w14:solidFill>
          </w14:textFill>
        </w:rPr>
        <w:t>4、</w:t>
      </w:r>
      <w:r>
        <w:rPr>
          <w:rFonts w:hint="eastAsia" w:ascii="宋体" w:hAnsi="宋体" w:eastAsia="宋体" w:cs="宋体"/>
          <w:color w:val="000000" w:themeColor="text1"/>
          <w:spacing w:val="8"/>
          <w:sz w:val="24"/>
          <w:szCs w:val="24"/>
          <w14:textFill>
            <w14:solidFill>
              <w14:schemeClr w14:val="tx1"/>
            </w14:solidFill>
          </w14:textFill>
        </w:rPr>
        <w:t>电子投标准备</w:t>
      </w:r>
    </w:p>
    <w:p w14:paraId="0F32AAC3">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7E22C324">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在系统操作过程中如有疑问，请按以下方式联系：</w:t>
      </w:r>
    </w:p>
    <w:p w14:paraId="06A69DDF">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注册咨询：18261002950；</w:t>
      </w:r>
    </w:p>
    <w:p w14:paraId="13CFBCB8">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CA技术咨询电话：400-608-6099；</w:t>
      </w:r>
    </w:p>
    <w:p w14:paraId="754227CE">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签章使用问题：025-83633811、025-83633812、15380932027、15371015030；</w:t>
      </w:r>
    </w:p>
    <w:p w14:paraId="4C4A01AF">
      <w:pPr>
        <w:pStyle w:val="201"/>
        <w:keepNext w:val="0"/>
        <w:keepLines w:val="0"/>
        <w:pageBreakBefore w:val="0"/>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系统使用指导与咨询：13914088964、18261002950；QQ：3048755361、1315179389、895706745。</w:t>
      </w:r>
    </w:p>
    <w:p w14:paraId="579AFB10">
      <w:pPr>
        <w:pStyle w:val="201"/>
        <w:keepNext w:val="0"/>
        <w:keepLines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5、售价：无</w:t>
      </w:r>
    </w:p>
    <w:p w14:paraId="1F19ECB5">
      <w:pPr>
        <w:pStyle w:val="193"/>
        <w:keepNext w:val="0"/>
        <w:keepLines w:val="0"/>
        <w:pageBreakBefore w:val="0"/>
        <w:spacing w:line="360" w:lineRule="auto"/>
        <w:ind w:firstLine="482"/>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四、提交响应文件截止时间、谈判时间和地点：</w:t>
      </w:r>
    </w:p>
    <w:p w14:paraId="0FA59A23">
      <w:pPr>
        <w:keepNext w:val="0"/>
        <w:keepLines w:val="0"/>
        <w:pageBreakBefore w:val="0"/>
        <w:spacing w:line="360" w:lineRule="auto"/>
        <w:ind w:firstLine="480"/>
        <w:outlineLvl w:val="1"/>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1、谈判开始时间：</w:t>
      </w:r>
      <w:bookmarkStart w:id="2" w:name="EBe5f1aeb58bcb4dec99aca750348921fd"/>
      <w:r>
        <w:rPr>
          <w:rFonts w:hint="eastAsia" w:ascii="宋体" w:hAnsi="宋体" w:eastAsia="宋体" w:cs="宋体"/>
          <w:color w:val="000000" w:themeColor="text1"/>
          <w:sz w:val="24"/>
          <w:szCs w:val="24"/>
          <w14:textFill>
            <w14:solidFill>
              <w14:schemeClr w14:val="tx1"/>
            </w14:solidFill>
          </w14:textFill>
        </w:rPr>
        <w:t>202</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 xml:space="preserve">日 </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w:t>
      </w:r>
      <w:bookmarkEnd w:id="2"/>
      <w:r>
        <w:rPr>
          <w:rFonts w:hint="eastAsia" w:ascii="宋体" w:hAnsi="宋体" w:cs="宋体"/>
          <w:color w:val="000000" w:themeColor="text1"/>
          <w:sz w:val="24"/>
          <w:szCs w:val="24"/>
          <w:lang w:val="en-US" w:eastAsia="zh-CN"/>
          <w14:textFill>
            <w14:solidFill>
              <w14:schemeClr w14:val="tx1"/>
            </w14:solidFill>
          </w14:textFill>
        </w:rPr>
        <w:t>30</w:t>
      </w:r>
    </w:p>
    <w:p w14:paraId="146FFCDE">
      <w:pPr>
        <w:keepNext w:val="0"/>
        <w:keepLines w:val="0"/>
        <w:pageBreakBefore w:val="0"/>
        <w:spacing w:line="360" w:lineRule="auto"/>
        <w:ind w:firstLine="48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2、谈判地点：</w:t>
      </w:r>
      <w:r>
        <w:rPr>
          <w:rFonts w:hint="eastAsia" w:ascii="宋体" w:hAnsi="宋体" w:eastAsia="宋体" w:cs="宋体"/>
          <w:color w:val="000000" w:themeColor="text1"/>
          <w:spacing w:val="8"/>
          <w:sz w:val="24"/>
          <w:szCs w:val="24"/>
          <w14:textFill>
            <w14:solidFill>
              <w14:schemeClr w14:val="tx1"/>
            </w14:solidFill>
          </w14:textFill>
        </w:rPr>
        <w:t>江苏省政府采购一体化不见面开标（采购）大厅</w:t>
      </w:r>
    </w:p>
    <w:p w14:paraId="161DA396">
      <w:pPr>
        <w:keepNext w:val="0"/>
        <w:keepLines w:val="0"/>
        <w:pageBreakBefore w:val="0"/>
        <w:spacing w:line="360" w:lineRule="auto"/>
        <w:ind w:firstLine="48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09108E81">
      <w:pPr>
        <w:keepNext w:val="0"/>
        <w:keepLines w:val="0"/>
        <w:pageBreakBefore w:val="0"/>
        <w:spacing w:line="360" w:lineRule="auto"/>
        <w:ind w:firstLine="48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五、谈判保证金、履约保证金的约定：</w:t>
      </w:r>
    </w:p>
    <w:p w14:paraId="13E858B0">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1、本次采购不收取谈判保证金。</w:t>
      </w:r>
    </w:p>
    <w:p w14:paraId="42E320BE">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bookmarkStart w:id="3" w:name="EB2abcce6426a24a20838c0590989c3b31"/>
      <w:bookmarkEnd w:id="3"/>
      <w:r>
        <w:rPr>
          <w:rFonts w:hint="eastAsia" w:ascii="宋体" w:hAnsi="宋体" w:eastAsia="宋体" w:cs="宋体"/>
          <w:color w:val="000000" w:themeColor="text1"/>
          <w:sz w:val="24"/>
          <w:szCs w:val="24"/>
          <w14:textFill>
            <w14:solidFill>
              <w14:schemeClr w14:val="tx1"/>
            </w14:solidFill>
          </w14:textFill>
        </w:rPr>
        <w:t>本次采购不收取</w:t>
      </w:r>
      <w:r>
        <w:rPr>
          <w:rFonts w:hint="eastAsia" w:ascii="宋体" w:hAnsi="宋体" w:eastAsia="宋体" w:cs="宋体"/>
          <w:color w:val="000000" w:themeColor="text1"/>
          <w:sz w:val="24"/>
          <w:szCs w:val="24"/>
          <w:lang w:val="en-US" w:eastAsia="zh-CN"/>
          <w14:textFill>
            <w14:solidFill>
              <w14:schemeClr w14:val="tx1"/>
            </w14:solidFill>
          </w14:textFill>
        </w:rPr>
        <w:t>履约</w:t>
      </w:r>
      <w:r>
        <w:rPr>
          <w:rFonts w:hint="eastAsia" w:ascii="宋体" w:hAnsi="宋体" w:eastAsia="宋体" w:cs="宋体"/>
          <w:color w:val="000000" w:themeColor="text1"/>
          <w:sz w:val="24"/>
          <w:szCs w:val="24"/>
          <w14:textFill>
            <w14:solidFill>
              <w14:schemeClr w14:val="tx1"/>
            </w14:solidFill>
          </w14:textFill>
        </w:rPr>
        <w:t>保证金。</w:t>
      </w:r>
    </w:p>
    <w:p w14:paraId="60FD8A36">
      <w:pPr>
        <w:keepNext w:val="0"/>
        <w:keepLines w:val="0"/>
        <w:pageBreakBefore w:val="0"/>
        <w:spacing w:line="360" w:lineRule="auto"/>
        <w:ind w:firstLine="480"/>
        <w:outlineLvl w:val="1"/>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六、报价及成交标准：</w:t>
      </w:r>
    </w:p>
    <w:p w14:paraId="329B49FD">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采购人与供应商应当遵循规定的原则，在保证采购项目质量和双方商定合理价格的基础上进行采购。</w:t>
      </w:r>
    </w:p>
    <w:p w14:paraId="5CD7C99C">
      <w:pPr>
        <w:pStyle w:val="253"/>
        <w:keepNext w:val="0"/>
        <w:keepLines w:val="0"/>
        <w:pageBreakBefore w:val="0"/>
        <w:spacing w:line="360" w:lineRule="auto"/>
        <w:ind w:left="0" w:firstLine="500"/>
        <w:outlineLvl w:val="9"/>
        <w:rPr>
          <w:rStyle w:val="191"/>
          <w:rFonts w:hint="eastAsia" w:ascii="宋体" w:hAnsi="宋体" w:eastAsia="宋体" w:cs="宋体"/>
          <w:b w:val="0"/>
          <w:color w:val="000000" w:themeColor="text1"/>
          <w:spacing w:val="7"/>
          <w:sz w:val="24"/>
          <w:szCs w:val="24"/>
          <w:highlight w:val="none"/>
          <w14:textFill>
            <w14:solidFill>
              <w14:schemeClr w14:val="tx1"/>
            </w14:solidFill>
          </w14:textFill>
        </w:rPr>
      </w:pPr>
      <w:r>
        <w:rPr>
          <w:rStyle w:val="191"/>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七</w:t>
      </w:r>
      <w:r>
        <w:rPr>
          <w:rStyle w:val="191"/>
          <w:rFonts w:hint="eastAsia" w:ascii="宋体" w:hAnsi="宋体" w:eastAsia="宋体" w:cs="宋体"/>
          <w:b/>
          <w:bCs/>
          <w:color w:val="000000" w:themeColor="text1"/>
          <w:spacing w:val="7"/>
          <w:sz w:val="24"/>
          <w:szCs w:val="24"/>
          <w:highlight w:val="none"/>
          <w14:textFill>
            <w14:solidFill>
              <w14:schemeClr w14:val="tx1"/>
            </w14:solidFill>
          </w14:textFill>
        </w:rPr>
        <w:t>、本次采购代理机构收取代理服务费。</w:t>
      </w:r>
    </w:p>
    <w:p w14:paraId="303BCD59">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本项目采购代理服务费由中标（成交）供应商支付。</w:t>
      </w:r>
    </w:p>
    <w:p w14:paraId="6A2B79E4">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代理费用收取方式：中标人采用转账方式向招标代理支付；该费用由中标人在签订合同前向采购代理机构一次性付清。</w:t>
      </w:r>
    </w:p>
    <w:p w14:paraId="20B07244">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收费标准：采购代理服务费以如下比例按差额定率累进法进行计算：预算金额100万元以下部分按该部分预算金额的1.5%计算；预算金额100（含）～500万元部分按该部分预算金额的1.1%计算；预算金额500（含）～1000万元部分按该部分预算金额的0.8%计算；预算金额1000（含）～5000万元部分按该部分预算金额的0.5%计算；预算金额5000万元以上部分按该部分预算金额的0.25%计算。即中标供应商支付7350元。</w:t>
      </w:r>
    </w:p>
    <w:p w14:paraId="2F7E2FE0">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确立标准的依据：2023年苏州市级政府采购代理服务收费公告信息表（第八批）https://czju.suzhou.gov.cn/zfcg/html/content/20230516171217900.shtml</w:t>
      </w:r>
    </w:p>
    <w:p w14:paraId="599EAF0F">
      <w:pPr>
        <w:keepNext w:val="0"/>
        <w:keepLines w:val="0"/>
        <w:pageBreakBefore w:val="0"/>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为了2026年张家港市产商品质量监督抽查（采购包3）更高效得开展，代理服务费由投标单位自行考虑在投标报价内。</w:t>
      </w:r>
    </w:p>
    <w:p w14:paraId="5CB15B8E">
      <w:pPr>
        <w:pStyle w:val="270"/>
        <w:keepNext w:val="0"/>
        <w:keepLines w:val="0"/>
        <w:pageBreakBefore w:val="0"/>
        <w:spacing w:line="360" w:lineRule="auto"/>
        <w:ind w:firstLine="255"/>
        <w:rPr>
          <w:rFonts w:hint="eastAsia" w:ascii="宋体" w:hAnsi="宋体" w:eastAsia="宋体" w:cs="宋体"/>
          <w:b/>
          <w:bCs/>
          <w:color w:val="000000" w:themeColor="text1"/>
          <w:spacing w:val="7"/>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pacing w:val="7"/>
          <w:sz w:val="24"/>
          <w:szCs w:val="24"/>
          <w:highlight w:val="none"/>
          <w14:textFill>
            <w14:solidFill>
              <w14:schemeClr w14:val="tx1"/>
            </w14:solidFill>
          </w14:textFill>
        </w:rPr>
        <w:t>、对本次招标提出询问，请按以下方式联系。</w:t>
      </w:r>
    </w:p>
    <w:p w14:paraId="0958AFF0">
      <w:pPr>
        <w:widowControl/>
        <w:shd w:val="clear" w:color="auto" w:fill="FFFFFF"/>
        <w:spacing w:line="360" w:lineRule="auto"/>
        <w:ind w:firstLine="42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1.采购人信息</w:t>
      </w:r>
    </w:p>
    <w:p w14:paraId="2B143804">
      <w:pPr>
        <w:widowControl/>
        <w:shd w:val="clear" w:color="auto" w:fill="FFFFFF"/>
        <w:spacing w:line="360" w:lineRule="auto"/>
        <w:ind w:left="420" w:firstLine="420"/>
        <w:jc w:val="left"/>
        <w:rPr>
          <w:color w:val="auto"/>
          <w:highlight w:val="none"/>
        </w:rPr>
      </w:pPr>
      <w:r>
        <w:rPr>
          <w:rFonts w:ascii="宋体" w:hAnsi="宋体" w:eastAsia="宋体" w:cs="宋体"/>
          <w:color w:val="auto"/>
          <w:spacing w:val="8"/>
          <w:sz w:val="24"/>
          <w:highlight w:val="none"/>
          <w:lang w:val="en-US" w:eastAsia="zh-CN"/>
        </w:rPr>
        <w:t>单位名称：</w:t>
      </w:r>
      <w:r>
        <w:rPr>
          <w:rFonts w:hint="eastAsia" w:ascii="宋体" w:hAnsi="宋体" w:cs="宋体"/>
          <w:color w:val="auto"/>
          <w:spacing w:val="8"/>
          <w:sz w:val="24"/>
          <w:highlight w:val="none"/>
          <w:lang w:val="en-US" w:eastAsia="zh-CN"/>
        </w:rPr>
        <w:t>张家港市市场监督管理局</w:t>
      </w:r>
    </w:p>
    <w:p w14:paraId="5FEFE562">
      <w:pPr>
        <w:widowControl/>
        <w:shd w:val="clear" w:color="auto" w:fill="FFFFFF"/>
        <w:spacing w:line="360" w:lineRule="auto"/>
        <w:ind w:left="420" w:firstLine="420"/>
        <w:jc w:val="left"/>
        <w:rPr>
          <w:color w:val="auto"/>
          <w:highlight w:val="none"/>
        </w:rPr>
      </w:pPr>
      <w:r>
        <w:rPr>
          <w:rFonts w:ascii="宋体" w:hAnsi="宋体" w:eastAsia="宋体" w:cs="宋体"/>
          <w:color w:val="auto"/>
          <w:spacing w:val="8"/>
          <w:sz w:val="24"/>
          <w:highlight w:val="none"/>
          <w:lang w:val="en-US" w:eastAsia="zh-CN"/>
        </w:rPr>
        <w:t>单位地址：</w:t>
      </w:r>
      <w:r>
        <w:rPr>
          <w:rFonts w:hint="eastAsia" w:ascii="宋体" w:hAnsi="宋体" w:cs="宋体"/>
          <w:color w:val="auto"/>
          <w:spacing w:val="8"/>
          <w:sz w:val="24"/>
          <w:highlight w:val="none"/>
          <w:lang w:val="en-US" w:eastAsia="zh-CN"/>
        </w:rPr>
        <w:t>张家港市</w:t>
      </w:r>
      <w:r>
        <w:rPr>
          <w:rFonts w:hint="eastAsia" w:ascii="宋体" w:hAnsi="宋体" w:eastAsia="宋体" w:cs="宋体"/>
          <w:color w:val="auto"/>
          <w:spacing w:val="8"/>
          <w:sz w:val="24"/>
          <w:highlight w:val="none"/>
          <w:lang w:val="en-US" w:eastAsia="zh-CN"/>
        </w:rPr>
        <w:t>杨舍镇人民中路30号</w:t>
      </w:r>
      <w:r>
        <w:rPr>
          <w:rFonts w:hint="eastAsia" w:ascii="宋体" w:hAnsi="宋体" w:cs="宋体"/>
          <w:color w:val="auto"/>
          <w:spacing w:val="8"/>
          <w:sz w:val="24"/>
          <w:highlight w:val="none"/>
          <w:lang w:val="en-US" w:eastAsia="zh-CN"/>
        </w:rPr>
        <w:t xml:space="preserve">       </w:t>
      </w:r>
    </w:p>
    <w:p w14:paraId="339E20A5">
      <w:pPr>
        <w:widowControl/>
        <w:shd w:val="clear" w:color="auto" w:fill="FFFFFF"/>
        <w:spacing w:line="360" w:lineRule="auto"/>
        <w:ind w:left="420" w:firstLine="420"/>
        <w:jc w:val="left"/>
        <w:rPr>
          <w:rFonts w:hint="default"/>
          <w:color w:val="auto"/>
          <w:highlight w:val="none"/>
          <w:lang w:val="en-US"/>
        </w:rPr>
      </w:pPr>
      <w:r>
        <w:rPr>
          <w:rFonts w:ascii="宋体" w:hAnsi="宋体" w:eastAsia="宋体" w:cs="宋体"/>
          <w:color w:val="auto"/>
          <w:spacing w:val="8"/>
          <w:sz w:val="24"/>
          <w:highlight w:val="none"/>
          <w:lang w:val="en-US" w:eastAsia="zh-CN"/>
        </w:rPr>
        <w:t>联系人：</w:t>
      </w:r>
      <w:r>
        <w:rPr>
          <w:rFonts w:hint="eastAsia" w:ascii="宋体" w:hAnsi="宋体" w:cs="宋体"/>
          <w:color w:val="auto"/>
          <w:spacing w:val="8"/>
          <w:sz w:val="24"/>
          <w:highlight w:val="none"/>
          <w:lang w:val="en-US" w:eastAsia="zh-CN"/>
        </w:rPr>
        <w:t>陈立</w:t>
      </w:r>
    </w:p>
    <w:p w14:paraId="07826E6B">
      <w:pPr>
        <w:widowControl/>
        <w:shd w:val="clear" w:color="auto" w:fill="FFFFFF"/>
        <w:spacing w:line="360" w:lineRule="auto"/>
        <w:ind w:left="420" w:firstLine="420"/>
        <w:jc w:val="left"/>
        <w:rPr>
          <w:rFonts w:hint="default"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联系电话：</w:t>
      </w:r>
      <w:r>
        <w:rPr>
          <w:rFonts w:hint="eastAsia" w:ascii="宋体" w:hAnsi="宋体" w:cs="宋体"/>
          <w:color w:val="auto"/>
          <w:spacing w:val="8"/>
          <w:sz w:val="24"/>
          <w:highlight w:val="none"/>
          <w:lang w:val="en-US" w:eastAsia="zh-CN"/>
        </w:rPr>
        <w:t>18051831191</w:t>
      </w:r>
    </w:p>
    <w:p w14:paraId="4CA2E7AA">
      <w:pPr>
        <w:widowControl/>
        <w:shd w:val="clear" w:color="auto" w:fill="FFFFFF"/>
        <w:spacing w:line="360" w:lineRule="auto"/>
        <w:ind w:left="42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2.采购代理机构信息</w:t>
      </w:r>
    </w:p>
    <w:p w14:paraId="2F300CBC">
      <w:pPr>
        <w:widowControl/>
        <w:shd w:val="clear" w:color="auto" w:fill="FFFFFF"/>
        <w:spacing w:line="360" w:lineRule="auto"/>
        <w:ind w:firstLine="8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名 称：</w:t>
      </w:r>
      <w:r>
        <w:rPr>
          <w:rFonts w:hint="eastAsia" w:ascii="宋体" w:hAnsi="宋体" w:cs="宋体"/>
          <w:color w:val="auto"/>
          <w:spacing w:val="8"/>
          <w:sz w:val="24"/>
          <w:highlight w:val="none"/>
          <w:lang w:val="en-US" w:eastAsia="zh-CN"/>
        </w:rPr>
        <w:t>张家港润信项目咨询</w:t>
      </w:r>
      <w:r>
        <w:rPr>
          <w:rFonts w:hint="eastAsia" w:ascii="宋体" w:hAnsi="宋体" w:eastAsia="宋体" w:cs="宋体"/>
          <w:color w:val="auto"/>
          <w:spacing w:val="8"/>
          <w:sz w:val="24"/>
          <w:highlight w:val="none"/>
        </w:rPr>
        <w:t>有限公司</w:t>
      </w:r>
    </w:p>
    <w:p w14:paraId="0DAED429">
      <w:pPr>
        <w:widowControl/>
        <w:shd w:val="clear" w:color="auto" w:fill="FFFFFF"/>
        <w:spacing w:line="360" w:lineRule="auto"/>
        <w:ind w:firstLine="840"/>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rPr>
        <w:t>地　址：张家港市杨舍镇</w:t>
      </w:r>
      <w:r>
        <w:rPr>
          <w:rFonts w:hint="eastAsia" w:ascii="宋体" w:hAnsi="宋体" w:cs="宋体"/>
          <w:color w:val="auto"/>
          <w:spacing w:val="8"/>
          <w:sz w:val="24"/>
          <w:highlight w:val="none"/>
          <w:lang w:val="en-US" w:eastAsia="zh-CN"/>
        </w:rPr>
        <w:t>人民西路金田大厦B幢5楼</w:t>
      </w:r>
    </w:p>
    <w:p w14:paraId="51A39FEB">
      <w:pPr>
        <w:widowControl/>
        <w:shd w:val="clear" w:color="auto" w:fill="FFFFFF"/>
        <w:spacing w:line="360" w:lineRule="auto"/>
        <w:ind w:firstLine="840"/>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联系方式：</w:t>
      </w:r>
      <w:r>
        <w:rPr>
          <w:rFonts w:hint="eastAsia" w:ascii="宋体" w:hAnsi="宋体" w:cs="宋体"/>
          <w:color w:val="auto"/>
          <w:spacing w:val="8"/>
          <w:sz w:val="24"/>
          <w:highlight w:val="none"/>
          <w:lang w:val="en-US" w:eastAsia="zh-CN"/>
        </w:rPr>
        <w:t>0512-82568889</w:t>
      </w:r>
      <w:r>
        <w:rPr>
          <w:rFonts w:hint="eastAsia" w:ascii="宋体" w:hAnsi="宋体" w:cs="宋体"/>
          <w:color w:val="auto"/>
          <w:spacing w:val="8"/>
          <w:sz w:val="24"/>
          <w:highlight w:val="none"/>
          <w:lang w:val="en-US" w:eastAsia="zh-CN"/>
        </w:rPr>
        <w:tab/>
      </w:r>
    </w:p>
    <w:p w14:paraId="253F20F2">
      <w:pPr>
        <w:widowControl/>
        <w:shd w:val="clear" w:color="auto" w:fill="FFFFFF"/>
        <w:spacing w:line="360" w:lineRule="auto"/>
        <w:ind w:firstLine="42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3.项目联系方式</w:t>
      </w:r>
    </w:p>
    <w:p w14:paraId="5EFA0FEA">
      <w:pPr>
        <w:widowControl/>
        <w:shd w:val="clear" w:color="auto" w:fill="FFFFFF"/>
        <w:spacing w:line="360" w:lineRule="auto"/>
        <w:ind w:left="840"/>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项目联系人：</w:t>
      </w:r>
      <w:r>
        <w:rPr>
          <w:rFonts w:hint="eastAsia" w:ascii="宋体" w:hAnsi="宋体" w:cs="宋体"/>
          <w:color w:val="auto"/>
          <w:spacing w:val="8"/>
          <w:sz w:val="24"/>
          <w:highlight w:val="none"/>
          <w:lang w:val="en-US" w:eastAsia="zh-CN"/>
        </w:rPr>
        <w:t>武爱敏、张园园</w:t>
      </w:r>
    </w:p>
    <w:p w14:paraId="61F5D76D">
      <w:pPr>
        <w:widowControl/>
        <w:pBdr>
          <w:top w:val="none" w:color="auto" w:sz="0" w:space="0"/>
          <w:left w:val="none" w:color="auto" w:sz="0" w:space="0"/>
          <w:bottom w:val="none" w:color="auto" w:sz="0" w:space="0"/>
          <w:right w:val="none" w:color="auto" w:sz="0" w:space="0"/>
        </w:pBdr>
        <w:shd w:val="clear" w:color="auto" w:fill="FFFFFF"/>
        <w:spacing w:before="0" w:after="0" w:line="360" w:lineRule="auto"/>
        <w:ind w:left="0" w:right="0" w:firstLine="840"/>
        <w:jc w:val="left"/>
        <w:rPr>
          <w:rFonts w:ascii="宋体" w:hAnsi="宋体" w:eastAsia="宋体" w:cs="宋体"/>
          <w:b/>
          <w:color w:val="auto"/>
          <w:sz w:val="44"/>
          <w:highlight w:val="none"/>
        </w:rPr>
      </w:pPr>
      <w:r>
        <w:rPr>
          <w:rFonts w:hint="eastAsia" w:ascii="宋体" w:hAnsi="宋体" w:eastAsia="宋体" w:cs="宋体"/>
          <w:color w:val="auto"/>
          <w:spacing w:val="8"/>
          <w:sz w:val="24"/>
          <w:highlight w:val="none"/>
        </w:rPr>
        <w:t>电　话：</w:t>
      </w:r>
      <w:r>
        <w:rPr>
          <w:rFonts w:hint="eastAsia" w:ascii="宋体" w:hAnsi="宋体" w:cs="宋体"/>
          <w:color w:val="auto"/>
          <w:spacing w:val="8"/>
          <w:sz w:val="24"/>
          <w:highlight w:val="none"/>
          <w:lang w:val="en-US" w:eastAsia="zh-CN"/>
        </w:rPr>
        <w:t>0512-82568889、15851617821</w:t>
      </w:r>
    </w:p>
    <w:p w14:paraId="3A9D5D56">
      <w:pPr>
        <w:pStyle w:val="193"/>
        <w:keepNext w:val="0"/>
        <w:keepLines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p>
    <w:p w14:paraId="293AB530">
      <w:pPr>
        <w:keepNext w:val="0"/>
        <w:keepLines w:val="0"/>
        <w:pageBreakBefore w:val="0"/>
        <w:spacing w:line="360" w:lineRule="auto"/>
        <w:ind w:left="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附件：合同条款、响应文件格式</w:t>
      </w:r>
    </w:p>
    <w:p w14:paraId="157A532C">
      <w:pPr>
        <w:keepNext w:val="0"/>
        <w:keepLines w:val="0"/>
        <w:pageBreakBefore w:val="0"/>
        <w:spacing w:line="360" w:lineRule="auto"/>
        <w:ind w:left="0"/>
        <w:jc w:val="righ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bookmarkStart w:id="4" w:name="EB06cc759031c342e3a41fd32b16d79cba"/>
      <w:bookmarkEnd w:id="4"/>
      <w:r>
        <w:rPr>
          <w:rFonts w:hint="eastAsia" w:ascii="宋体" w:hAnsi="宋体" w:cs="宋体"/>
          <w:color w:val="000000" w:themeColor="text1"/>
          <w:sz w:val="24"/>
          <w:szCs w:val="24"/>
          <w:highlight w:val="none"/>
          <w:lang w:eastAsia="zh-CN"/>
          <w14:textFill>
            <w14:solidFill>
              <w14:schemeClr w14:val="tx1"/>
            </w14:solidFill>
          </w14:textFill>
        </w:rPr>
        <w:t>张家港润信项目咨询有限公司</w:t>
      </w:r>
    </w:p>
    <w:p w14:paraId="6A7B8D85">
      <w:pPr>
        <w:keepNext w:val="0"/>
        <w:keepLines w:val="0"/>
        <w:pageBreakBefore w:val="0"/>
        <w:spacing w:line="360" w:lineRule="auto"/>
        <w:ind w:left="0" w:firstLine="480"/>
        <w:jc w:val="righ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bookmarkStart w:id="5" w:name="EBa5c611722f3b4a1aa5c5eb04c5131832"/>
      <w:r>
        <w:rPr>
          <w:rFonts w:hint="eastAsia" w:ascii="宋体" w:hAnsi="宋体" w:eastAsia="宋体" w:cs="宋体"/>
          <w:color w:val="000000" w:themeColor="text1"/>
          <w:sz w:val="24"/>
          <w:szCs w:val="24"/>
          <w:highlight w:val="none"/>
          <w:lang w:eastAsia="zh-CN"/>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日</w:t>
      </w:r>
      <w:bookmarkEnd w:id="5"/>
    </w:p>
    <w:p w14:paraId="09DA3D25">
      <w:pPr>
        <w:keepNext/>
        <w:keepLines/>
        <w:pageBreakBefore/>
        <w:spacing w:line="360" w:lineRule="auto"/>
        <w:outlineLvl w:val="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附件一：</w:t>
      </w:r>
    </w:p>
    <w:p w14:paraId="363B37E4">
      <w:pPr>
        <w:pStyle w:val="212"/>
        <w:spacing w:line="360" w:lineRule="auto"/>
        <w:outlineLvl w:val="1"/>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40"/>
          <w:szCs w:val="40"/>
          <w:highlight w:val="none"/>
          <w14:textFill>
            <w14:solidFill>
              <w14:schemeClr w14:val="tx1"/>
            </w14:solidFill>
          </w14:textFill>
        </w:rPr>
        <w:t>合同条款</w:t>
      </w:r>
    </w:p>
    <w:p w14:paraId="29DC2E7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6" w:name="EB9af5b91cdcd142efadc82f2718fde6f0"/>
      <w:bookmarkEnd w:id="6"/>
    </w:p>
    <w:p w14:paraId="4D51DA60">
      <w:pPr>
        <w:pStyle w:val="268"/>
        <w:spacing w:after="200" w:line="440" w:lineRule="exact"/>
        <w:ind w:firstLine="480"/>
        <w:rPr>
          <w:rStyle w:val="288"/>
          <w:rFonts w:ascii="宋体" w:hAnsi="宋体" w:cs="宋体"/>
          <w:bCs/>
          <w:color w:val="auto"/>
          <w:sz w:val="24"/>
          <w:highlight w:val="none"/>
        </w:rPr>
      </w:pPr>
      <w:bookmarkStart w:id="7" w:name="EB0c436cda110d4e31977602d633a36593"/>
      <w:r>
        <w:rPr>
          <w:rStyle w:val="288"/>
          <w:rFonts w:hint="eastAsia" w:ascii="宋体" w:hAnsi="宋体" w:cs="宋体"/>
          <w:bCs/>
          <w:color w:val="auto"/>
          <w:sz w:val="24"/>
          <w:highlight w:val="none"/>
        </w:rPr>
        <w:t>以下为中标(成交)后签定本项目合同的通用条款，中标(成交)供应商不得提出实质性的修改。</w:t>
      </w:r>
      <w:bookmarkEnd w:id="7"/>
    </w:p>
    <w:p w14:paraId="722BD64B">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张家港市政府采购合同</w:t>
      </w:r>
    </w:p>
    <w:p w14:paraId="7EF58FB9">
      <w:pPr>
        <w:pStyle w:val="268"/>
        <w:spacing w:before="120" w:after="120" w:line="440" w:lineRule="exact"/>
        <w:rPr>
          <w:rFonts w:eastAsia="宋体"/>
          <w:color w:val="auto"/>
          <w:highlight w:val="none"/>
        </w:rPr>
      </w:pPr>
      <w:r>
        <w:rPr>
          <w:rFonts w:eastAsia="宋体"/>
          <w:color w:val="auto"/>
          <w:highlight w:val="none"/>
        </w:rPr>
        <w:t xml:space="preserve">项目名称：                               </w:t>
      </w:r>
    </w:p>
    <w:p w14:paraId="0F82FE51">
      <w:pPr>
        <w:pStyle w:val="268"/>
        <w:spacing w:before="120" w:after="120" w:line="440" w:lineRule="exact"/>
        <w:rPr>
          <w:rFonts w:eastAsia="宋体"/>
          <w:color w:val="auto"/>
          <w:highlight w:val="none"/>
        </w:rPr>
      </w:pPr>
      <w:r>
        <w:rPr>
          <w:rFonts w:eastAsia="宋体"/>
          <w:color w:val="auto"/>
          <w:highlight w:val="none"/>
        </w:rPr>
        <w:t xml:space="preserve">项目编号：               </w:t>
      </w:r>
    </w:p>
    <w:p w14:paraId="3B20BA0A">
      <w:pPr>
        <w:pStyle w:val="268"/>
        <w:spacing w:before="120" w:after="120" w:line="440" w:lineRule="exact"/>
        <w:rPr>
          <w:rFonts w:eastAsia="宋体"/>
          <w:color w:val="auto"/>
          <w:highlight w:val="none"/>
        </w:rPr>
      </w:pPr>
      <w:r>
        <w:rPr>
          <w:rFonts w:eastAsia="宋体"/>
          <w:color w:val="auto"/>
          <w:highlight w:val="none"/>
        </w:rPr>
        <w:t>甲方：（买方）</w:t>
      </w:r>
      <w:r>
        <w:rPr>
          <w:rFonts w:eastAsia="宋体"/>
          <w:color w:val="auto"/>
          <w:highlight w:val="none"/>
          <w:u w:val="single"/>
        </w:rPr>
        <w:t xml:space="preserve">                 </w:t>
      </w:r>
    </w:p>
    <w:p w14:paraId="38CAA872">
      <w:pPr>
        <w:pStyle w:val="268"/>
        <w:spacing w:before="120" w:after="120" w:line="440" w:lineRule="exact"/>
        <w:ind w:left="720" w:hanging="720"/>
        <w:rPr>
          <w:rFonts w:eastAsia="宋体"/>
          <w:color w:val="auto"/>
          <w:highlight w:val="none"/>
          <w:u w:val="single"/>
        </w:rPr>
      </w:pPr>
      <w:r>
        <w:rPr>
          <w:rFonts w:eastAsia="宋体"/>
          <w:color w:val="auto"/>
          <w:highlight w:val="none"/>
        </w:rPr>
        <w:t>乙方：（卖方）</w:t>
      </w:r>
      <w:r>
        <w:rPr>
          <w:rFonts w:eastAsia="宋体"/>
          <w:color w:val="auto"/>
          <w:highlight w:val="none"/>
          <w:u w:val="single"/>
        </w:rPr>
        <w:t xml:space="preserve">                 </w:t>
      </w:r>
    </w:p>
    <w:p w14:paraId="3C8AEBF9">
      <w:pPr>
        <w:pStyle w:val="268"/>
        <w:spacing w:before="120" w:after="120" w:line="440" w:lineRule="exact"/>
        <w:ind w:firstLine="480"/>
        <w:jc w:val="both"/>
        <w:rPr>
          <w:rFonts w:eastAsia="宋体"/>
          <w:color w:val="auto"/>
          <w:highlight w:val="none"/>
        </w:rPr>
      </w:pPr>
      <w:r>
        <w:rPr>
          <w:rFonts w:eastAsia="宋体"/>
          <w:color w:val="auto"/>
          <w:highlight w:val="none"/>
        </w:rPr>
        <w:t>甲、乙双方根据</w:t>
      </w:r>
      <w:r>
        <w:rPr>
          <w:rFonts w:hint="eastAsia" w:eastAsia="宋体"/>
          <w:color w:val="auto"/>
          <w:highlight w:val="none"/>
          <w:lang w:eastAsia="zh-CN"/>
        </w:rPr>
        <w:t>张家港润信项目咨询有限公司</w:t>
      </w:r>
      <w:r>
        <w:rPr>
          <w:rFonts w:eastAsia="宋体"/>
          <w:color w:val="auto"/>
          <w:highlight w:val="none"/>
          <w:u w:val="single"/>
        </w:rPr>
        <w:t xml:space="preserve">           </w:t>
      </w:r>
      <w:r>
        <w:rPr>
          <w:rFonts w:eastAsia="宋体"/>
          <w:color w:val="auto"/>
          <w:highlight w:val="none"/>
        </w:rPr>
        <w:t>项目</w:t>
      </w:r>
      <w:r>
        <w:rPr>
          <w:rFonts w:hint="eastAsia"/>
          <w:color w:val="auto"/>
          <w:highlight w:val="none"/>
          <w:lang w:val="en-US" w:eastAsia="zh-CN"/>
        </w:rPr>
        <w:t>单一来源采购</w:t>
      </w:r>
      <w:r>
        <w:rPr>
          <w:rFonts w:eastAsia="宋体"/>
          <w:color w:val="auto"/>
          <w:highlight w:val="none"/>
        </w:rPr>
        <w:t>的结果，签署本合同。</w:t>
      </w:r>
    </w:p>
    <w:p w14:paraId="612F25B6">
      <w:pPr>
        <w:pStyle w:val="268"/>
        <w:spacing w:before="120" w:after="120" w:line="440" w:lineRule="exact"/>
        <w:ind w:firstLine="472"/>
        <w:rPr>
          <w:rFonts w:eastAsia="宋体"/>
          <w:b/>
          <w:bCs/>
          <w:color w:val="auto"/>
          <w:highlight w:val="none"/>
        </w:rPr>
      </w:pPr>
      <w:r>
        <w:rPr>
          <w:rFonts w:eastAsia="宋体"/>
          <w:b/>
          <w:bCs/>
          <w:color w:val="auto"/>
          <w:highlight w:val="none"/>
        </w:rPr>
        <w:t>一、</w:t>
      </w:r>
      <w:r>
        <w:rPr>
          <w:rFonts w:hint="eastAsia" w:eastAsia="宋体"/>
          <w:b/>
          <w:bCs/>
          <w:color w:val="auto"/>
          <w:highlight w:val="none"/>
          <w:lang w:val="en-US" w:eastAsia="zh-CN"/>
        </w:rPr>
        <w:t>服务</w:t>
      </w:r>
      <w:r>
        <w:rPr>
          <w:rFonts w:eastAsia="宋体"/>
          <w:b/>
          <w:bCs/>
          <w:color w:val="auto"/>
          <w:highlight w:val="none"/>
        </w:rPr>
        <w:t>内容</w:t>
      </w:r>
    </w:p>
    <w:tbl>
      <w:tblPr>
        <w:tblStyle w:val="33"/>
        <w:tblW w:w="9767"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1721"/>
        <w:gridCol w:w="4830"/>
      </w:tblGrid>
      <w:tr w14:paraId="101802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7BF1C485">
            <w:pPr>
              <w:pStyle w:val="268"/>
              <w:widowControl w:val="0"/>
              <w:spacing w:before="120" w:after="120" w:line="440" w:lineRule="exact"/>
              <w:jc w:val="center"/>
              <w:rPr>
                <w:rFonts w:eastAsia="宋体"/>
                <w:color w:val="auto"/>
                <w:highlight w:val="none"/>
              </w:rPr>
            </w:pPr>
            <w:r>
              <w:rPr>
                <w:rFonts w:hint="eastAsia" w:eastAsia="宋体"/>
                <w:color w:val="auto"/>
                <w:highlight w:val="none"/>
                <w:lang w:val="en-US" w:eastAsia="zh-CN"/>
              </w:rPr>
              <w:t>项目</w:t>
            </w:r>
            <w:r>
              <w:rPr>
                <w:rFonts w:eastAsia="宋体"/>
                <w:color w:val="auto"/>
                <w:highlight w:val="none"/>
              </w:rPr>
              <w:t>名称</w:t>
            </w:r>
          </w:p>
        </w:tc>
        <w:tc>
          <w:tcPr>
            <w:tcW w:w="1721" w:type="dxa"/>
            <w:tcBorders>
              <w:top w:val="single" w:color="auto" w:sz="4" w:space="0"/>
              <w:left w:val="single" w:color="auto" w:sz="4" w:space="0"/>
              <w:bottom w:val="single" w:color="auto" w:sz="4" w:space="0"/>
              <w:right w:val="single" w:color="auto" w:sz="4" w:space="0"/>
            </w:tcBorders>
            <w:noWrap w:val="0"/>
            <w:vAlign w:val="center"/>
          </w:tcPr>
          <w:p w14:paraId="5513E63B">
            <w:pPr>
              <w:pStyle w:val="268"/>
              <w:widowControl w:val="0"/>
              <w:spacing w:before="120" w:after="120" w:line="240" w:lineRule="auto"/>
              <w:jc w:val="center"/>
              <w:rPr>
                <w:rFonts w:hint="eastAsia" w:eastAsia="宋体"/>
                <w:color w:val="auto"/>
                <w:highlight w:val="none"/>
                <w:lang w:val="en-US" w:eastAsia="zh-CN"/>
              </w:rPr>
            </w:pPr>
            <w:r>
              <w:rPr>
                <w:rFonts w:hint="eastAsia" w:eastAsia="宋体"/>
                <w:color w:val="auto"/>
                <w:highlight w:val="none"/>
                <w:lang w:val="en-US" w:eastAsia="zh-CN"/>
              </w:rPr>
              <w:t>优惠率</w:t>
            </w:r>
          </w:p>
          <w:p w14:paraId="51883FE8">
            <w:pPr>
              <w:pStyle w:val="268"/>
              <w:widowControl w:val="0"/>
              <w:spacing w:before="120" w:after="120" w:line="240" w:lineRule="auto"/>
              <w:jc w:val="center"/>
              <w:rPr>
                <w:rFonts w:hint="eastAsia" w:eastAsia="宋体"/>
                <w:color w:val="auto"/>
                <w:highlight w:val="none"/>
                <w:lang w:val="en-US" w:eastAsia="zh-CN"/>
              </w:rPr>
            </w:pPr>
            <w:r>
              <w:rPr>
                <w:rFonts w:hint="eastAsia" w:eastAsia="宋体"/>
                <w:color w:val="auto"/>
                <w:highlight w:val="none"/>
                <w:lang w:val="en-US" w:eastAsia="zh-CN"/>
              </w:rPr>
              <w:t>（%）</w:t>
            </w:r>
          </w:p>
        </w:tc>
        <w:tc>
          <w:tcPr>
            <w:tcW w:w="4830" w:type="dxa"/>
            <w:tcBorders>
              <w:top w:val="single" w:color="auto" w:sz="4" w:space="0"/>
              <w:left w:val="single" w:color="auto" w:sz="4" w:space="0"/>
              <w:bottom w:val="single" w:color="auto" w:sz="4" w:space="0"/>
              <w:right w:val="single" w:color="auto" w:sz="4" w:space="0"/>
            </w:tcBorders>
            <w:noWrap w:val="0"/>
            <w:vAlign w:val="center"/>
          </w:tcPr>
          <w:p w14:paraId="76C75DBA">
            <w:pPr>
              <w:pStyle w:val="268"/>
              <w:widowControl w:val="0"/>
              <w:spacing w:before="120" w:after="120" w:line="440" w:lineRule="exact"/>
              <w:jc w:val="center"/>
              <w:rPr>
                <w:rFonts w:eastAsia="宋体"/>
                <w:color w:val="auto"/>
                <w:highlight w:val="none"/>
              </w:rPr>
            </w:pPr>
            <w:r>
              <w:rPr>
                <w:rFonts w:eastAsia="宋体"/>
                <w:color w:val="auto"/>
                <w:highlight w:val="none"/>
              </w:rPr>
              <w:t>备注</w:t>
            </w:r>
          </w:p>
        </w:tc>
      </w:tr>
      <w:tr w14:paraId="57AAA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35CFC902">
            <w:pPr>
              <w:pStyle w:val="268"/>
              <w:widowControl w:val="0"/>
              <w:spacing w:before="120" w:after="120" w:line="440" w:lineRule="exact"/>
              <w:jc w:val="both"/>
              <w:rPr>
                <w:rFonts w:eastAsia="宋体"/>
                <w:color w:val="auto"/>
                <w:highlight w:val="none"/>
              </w:rPr>
            </w:pPr>
            <w:r>
              <w:rPr>
                <w:rFonts w:eastAsia="宋体"/>
                <w:color w:val="auto"/>
                <w:highlight w:val="none"/>
              </w:rPr>
              <w:t xml:space="preserve">                       </w:t>
            </w:r>
          </w:p>
        </w:tc>
        <w:tc>
          <w:tcPr>
            <w:tcW w:w="1721" w:type="dxa"/>
            <w:tcBorders>
              <w:top w:val="single" w:color="auto" w:sz="4" w:space="0"/>
              <w:left w:val="single" w:color="auto" w:sz="4" w:space="0"/>
              <w:bottom w:val="single" w:color="auto" w:sz="4" w:space="0"/>
              <w:right w:val="single" w:color="auto" w:sz="4" w:space="0"/>
            </w:tcBorders>
            <w:noWrap w:val="0"/>
            <w:vAlign w:val="center"/>
          </w:tcPr>
          <w:p w14:paraId="79496D35">
            <w:pPr>
              <w:pStyle w:val="268"/>
              <w:widowControl w:val="0"/>
              <w:spacing w:before="120" w:after="120" w:line="440" w:lineRule="exact"/>
              <w:jc w:val="both"/>
              <w:rPr>
                <w:rFonts w:eastAsia="宋体"/>
                <w:color w:val="auto"/>
                <w:highlight w:val="none"/>
              </w:rPr>
            </w:pPr>
            <w:r>
              <w:rPr>
                <w:rFonts w:eastAsia="宋体"/>
                <w:color w:val="auto"/>
                <w:highlight w:val="none"/>
              </w:rPr>
              <w:t xml:space="preserve">                     </w:t>
            </w:r>
          </w:p>
        </w:tc>
        <w:tc>
          <w:tcPr>
            <w:tcW w:w="4830" w:type="dxa"/>
            <w:tcBorders>
              <w:top w:val="single" w:color="auto" w:sz="4" w:space="0"/>
              <w:left w:val="single" w:color="auto" w:sz="4" w:space="0"/>
              <w:bottom w:val="single" w:color="auto" w:sz="4" w:space="0"/>
              <w:right w:val="single" w:color="auto" w:sz="4" w:space="0"/>
            </w:tcBorders>
            <w:noWrap w:val="0"/>
            <w:vAlign w:val="center"/>
          </w:tcPr>
          <w:p w14:paraId="01FBD3B5">
            <w:pPr>
              <w:pStyle w:val="268"/>
              <w:widowControl w:val="0"/>
              <w:spacing w:before="120" w:after="120" w:line="440" w:lineRule="exact"/>
              <w:jc w:val="both"/>
              <w:rPr>
                <w:rFonts w:hint="eastAsia" w:eastAsia="宋体"/>
                <w:color w:val="auto"/>
                <w:highlight w:val="none"/>
                <w:lang w:val="en-US" w:eastAsia="zh-CN"/>
              </w:rPr>
            </w:pPr>
            <w:r>
              <w:rPr>
                <w:rFonts w:hint="eastAsia" w:eastAsia="宋体"/>
                <w:color w:val="auto"/>
                <w:highlight w:val="none"/>
                <w:lang w:val="en-US" w:eastAsia="zh-CN"/>
              </w:rPr>
              <w:t>1、结算单价=指导单价*[1-投标优惠率（%）]；</w:t>
            </w:r>
          </w:p>
          <w:p w14:paraId="6CFE3339">
            <w:pPr>
              <w:pStyle w:val="268"/>
              <w:widowControl w:val="0"/>
              <w:spacing w:before="120" w:after="120" w:line="440" w:lineRule="exact"/>
              <w:jc w:val="both"/>
              <w:rPr>
                <w:rFonts w:hint="default" w:eastAsia="宋体"/>
                <w:color w:val="auto"/>
                <w:highlight w:val="none"/>
                <w:lang w:val="en-US" w:eastAsia="zh-CN"/>
              </w:rPr>
            </w:pPr>
            <w:r>
              <w:rPr>
                <w:rFonts w:hint="eastAsia" w:eastAsia="宋体"/>
                <w:color w:val="auto"/>
                <w:highlight w:val="none"/>
                <w:lang w:val="en-US" w:eastAsia="zh-CN"/>
              </w:rPr>
              <w:t>2、抽查工作分为以下五个阶段：1）任务分配；2）抽样；3）检验、检验报告出具以及检验结果的确认；4）配合异议处理工作；5）汇总材料及上报。具体内容见采购文件 项目需求。</w:t>
            </w:r>
          </w:p>
        </w:tc>
      </w:tr>
    </w:tbl>
    <w:p w14:paraId="28CEFCC5">
      <w:pPr>
        <w:pStyle w:val="240"/>
        <w:keepNext w:val="0"/>
        <w:keepLines w:val="0"/>
        <w:pageBreakBefore w:val="0"/>
        <w:widowControl w:val="0"/>
        <w:spacing w:line="360" w:lineRule="auto"/>
        <w:ind w:firstLine="472"/>
        <w:rPr>
          <w:rStyle w:val="35"/>
          <w:rFonts w:hint="eastAsia" w:ascii="宋体" w:hAnsi="宋体" w:cs="宋体"/>
          <w:b/>
          <w:bCs/>
          <w:color w:val="auto"/>
          <w:sz w:val="24"/>
          <w:highlight w:val="none"/>
        </w:rPr>
      </w:pPr>
    </w:p>
    <w:p w14:paraId="49AF9D3A">
      <w:pPr>
        <w:pStyle w:val="240"/>
        <w:keepNext w:val="0"/>
        <w:keepLines w:val="0"/>
        <w:pageBreakBefore w:val="0"/>
        <w:widowControl w:val="0"/>
        <w:spacing w:line="360" w:lineRule="auto"/>
        <w:ind w:firstLine="472"/>
        <w:rPr>
          <w:rStyle w:val="35"/>
          <w:rFonts w:ascii="宋体" w:hAnsi="宋体" w:cs="宋体"/>
          <w:b/>
          <w:bCs/>
          <w:color w:val="auto"/>
          <w:sz w:val="24"/>
          <w:highlight w:val="none"/>
        </w:rPr>
      </w:pPr>
      <w:r>
        <w:rPr>
          <w:rStyle w:val="35"/>
          <w:rFonts w:hint="eastAsia" w:ascii="宋体" w:hAnsi="宋体" w:cs="宋体"/>
          <w:b/>
          <w:bCs/>
          <w:color w:val="auto"/>
          <w:sz w:val="24"/>
          <w:highlight w:val="none"/>
        </w:rPr>
        <w:t>二、合同金额</w:t>
      </w:r>
    </w:p>
    <w:p w14:paraId="1170AF09">
      <w:pPr>
        <w:pStyle w:val="240"/>
        <w:keepNext w:val="0"/>
        <w:keepLines w:val="0"/>
        <w:pageBreakBefore w:val="0"/>
        <w:widowControl w:val="0"/>
        <w:spacing w:line="360" w:lineRule="auto"/>
        <w:ind w:firstLine="480"/>
        <w:rPr>
          <w:rStyle w:val="35"/>
          <w:rFonts w:hint="eastAsia" w:ascii="宋体" w:hAnsi="宋体" w:cs="宋体"/>
          <w:color w:val="auto"/>
          <w:sz w:val="24"/>
          <w:highlight w:val="none"/>
        </w:rPr>
      </w:pPr>
      <w:r>
        <w:rPr>
          <w:rStyle w:val="35"/>
          <w:rFonts w:hint="eastAsia" w:ascii="宋体" w:hAnsi="宋体" w:cs="宋体"/>
          <w:color w:val="auto"/>
          <w:sz w:val="24"/>
          <w:highlight w:val="none"/>
        </w:rPr>
        <w:t>2.1 本合同金额为（大写）：</w:t>
      </w:r>
      <w:r>
        <w:rPr>
          <w:rStyle w:val="35"/>
          <w:rFonts w:hint="eastAsia" w:ascii="宋体" w:hAnsi="宋体" w:cs="宋体"/>
          <w:color w:val="auto"/>
          <w:sz w:val="24"/>
          <w:highlight w:val="none"/>
          <w:u w:val="single"/>
        </w:rPr>
        <w:t xml:space="preserve">                 </w:t>
      </w:r>
      <w:r>
        <w:rPr>
          <w:rStyle w:val="35"/>
          <w:rFonts w:hint="eastAsia" w:ascii="宋体" w:hAnsi="宋体" w:cs="宋体"/>
          <w:color w:val="auto"/>
          <w:sz w:val="24"/>
          <w:highlight w:val="none"/>
        </w:rPr>
        <w:t>（</w:t>
      </w:r>
      <w:r>
        <w:rPr>
          <w:rStyle w:val="35"/>
          <w:rFonts w:hint="eastAsia" w:ascii="宋体" w:hAnsi="宋体" w:cs="宋体"/>
          <w:color w:val="auto"/>
          <w:sz w:val="24"/>
          <w:highlight w:val="none"/>
          <w:u w:val="single"/>
        </w:rPr>
        <w:t xml:space="preserve">              </w:t>
      </w:r>
      <w:r>
        <w:rPr>
          <w:rStyle w:val="35"/>
          <w:rFonts w:hint="eastAsia" w:ascii="宋体" w:hAnsi="宋体" w:cs="宋体"/>
          <w:color w:val="auto"/>
          <w:sz w:val="24"/>
          <w:highlight w:val="none"/>
        </w:rPr>
        <w:t>元）人民币。</w:t>
      </w:r>
    </w:p>
    <w:p w14:paraId="7D2B9EDF">
      <w:pPr>
        <w:pStyle w:val="240"/>
        <w:keepNext w:val="0"/>
        <w:keepLines w:val="0"/>
        <w:pageBreakBefore w:val="0"/>
        <w:widowControl w:val="0"/>
        <w:spacing w:line="360" w:lineRule="auto"/>
        <w:ind w:firstLine="480"/>
        <w:jc w:val="left"/>
        <w:rPr>
          <w:rStyle w:val="288"/>
          <w:rFonts w:hint="eastAsia" w:ascii="宋体" w:hAnsi="宋体" w:cs="宋体"/>
          <w:color w:val="auto"/>
          <w:sz w:val="24"/>
          <w:highlight w:val="none"/>
        </w:rPr>
      </w:pPr>
      <w:r>
        <w:rPr>
          <w:rStyle w:val="35"/>
          <w:rFonts w:hint="eastAsia" w:ascii="宋体" w:hAnsi="宋体" w:cs="宋体"/>
          <w:color w:val="auto"/>
          <w:sz w:val="24"/>
          <w:highlight w:val="none"/>
        </w:rPr>
        <w:t>结算单价为综合单价</w:t>
      </w:r>
      <w:r>
        <w:rPr>
          <w:rStyle w:val="35"/>
          <w:rFonts w:hint="eastAsia" w:ascii="宋体" w:hAnsi="宋体" w:cs="宋体"/>
          <w:color w:val="auto"/>
          <w:sz w:val="24"/>
          <w:highlight w:val="none"/>
          <w:lang w:eastAsia="zh-CN"/>
        </w:rPr>
        <w:t>，</w:t>
      </w:r>
      <w:r>
        <w:rPr>
          <w:rStyle w:val="35"/>
          <w:rFonts w:hint="eastAsia" w:ascii="宋体" w:hAnsi="宋体" w:cs="宋体"/>
          <w:color w:val="auto"/>
          <w:sz w:val="24"/>
          <w:highlight w:val="none"/>
          <w:lang w:val="en-US" w:eastAsia="zh-CN"/>
        </w:rPr>
        <w:t>一次报定</w:t>
      </w:r>
      <w:r>
        <w:rPr>
          <w:rStyle w:val="35"/>
          <w:rFonts w:hint="eastAsia" w:ascii="宋体" w:hAnsi="宋体" w:cs="宋体"/>
          <w:color w:val="auto"/>
          <w:sz w:val="24"/>
          <w:highlight w:val="none"/>
        </w:rPr>
        <w:t>，包括采样费、检测费、不定期抽检、综合服务的需要服务管理内容、各种税费、人工、保险、劳保、利润、税金及合同包含的所有风险、责任等各项应有的所有费用。</w:t>
      </w:r>
    </w:p>
    <w:p w14:paraId="2AE88EA2">
      <w:pPr>
        <w:pStyle w:val="240"/>
        <w:keepNext w:val="0"/>
        <w:keepLines w:val="0"/>
        <w:pageBreakBefore w:val="0"/>
        <w:widowControl w:val="0"/>
        <w:spacing w:before="120" w:after="120" w:line="360" w:lineRule="auto"/>
        <w:ind w:left="407"/>
        <w:rPr>
          <w:rStyle w:val="288"/>
          <w:rFonts w:ascii="宋体" w:hAnsi="宋体" w:cs="Courier New"/>
          <w:b/>
          <w:bCs/>
          <w:color w:val="auto"/>
          <w:sz w:val="24"/>
          <w:highlight w:val="none"/>
        </w:rPr>
      </w:pPr>
      <w:r>
        <w:rPr>
          <w:rStyle w:val="288"/>
          <w:rFonts w:hint="eastAsia" w:ascii="宋体" w:hAnsi="宋体" w:cs="Courier New"/>
          <w:b/>
          <w:bCs/>
          <w:color w:val="auto"/>
          <w:sz w:val="24"/>
          <w:highlight w:val="none"/>
          <w:lang w:eastAsia="zh-CN"/>
        </w:rPr>
        <w:t>三</w:t>
      </w:r>
      <w:r>
        <w:rPr>
          <w:rStyle w:val="288"/>
          <w:rFonts w:hint="eastAsia" w:ascii="宋体" w:hAnsi="宋体" w:cs="Courier New"/>
          <w:b/>
          <w:bCs/>
          <w:color w:val="auto"/>
          <w:sz w:val="24"/>
          <w:highlight w:val="none"/>
        </w:rPr>
        <w:t>、履约保证金</w:t>
      </w:r>
    </w:p>
    <w:p w14:paraId="4935DEA7">
      <w:pPr>
        <w:pStyle w:val="242"/>
        <w:keepNext w:val="0"/>
        <w:keepLines w:val="0"/>
        <w:pageBreakBefore w:val="0"/>
        <w:widowControl w:val="0"/>
        <w:spacing w:line="360" w:lineRule="auto"/>
        <w:ind w:left="0" w:firstLine="480"/>
        <w:rPr>
          <w:rStyle w:val="288"/>
          <w:rFonts w:hint="default" w:ascii="宋体" w:hAnsi="宋体" w:eastAsia="宋体"/>
          <w:color w:val="auto"/>
          <w:sz w:val="24"/>
          <w:highlight w:val="none"/>
          <w:lang w:val="en-US" w:eastAsia="zh-CN"/>
        </w:rPr>
      </w:pPr>
      <w:r>
        <w:rPr>
          <w:rStyle w:val="288"/>
          <w:rFonts w:hint="eastAsia" w:ascii="宋体" w:hAnsi="宋体" w:cs="Courier New"/>
          <w:color w:val="auto"/>
          <w:sz w:val="24"/>
          <w:highlight w:val="none"/>
          <w:lang w:val="en-US" w:eastAsia="zh-CN"/>
        </w:rPr>
        <w:t>3</w:t>
      </w:r>
      <w:r>
        <w:rPr>
          <w:rStyle w:val="288"/>
          <w:rFonts w:hint="eastAsia" w:ascii="宋体" w:hAnsi="宋体" w:cs="Courier New"/>
          <w:color w:val="auto"/>
          <w:sz w:val="24"/>
          <w:highlight w:val="none"/>
        </w:rPr>
        <w:t>.1</w:t>
      </w:r>
      <w:r>
        <w:rPr>
          <w:rStyle w:val="288"/>
          <w:rFonts w:hint="eastAsia" w:ascii="宋体" w:hAnsi="宋体" w:eastAsia="宋体" w:cs="宋体"/>
          <w:b w:val="0"/>
          <w:strike w:val="0"/>
          <w:color w:val="auto"/>
          <w:spacing w:val="7"/>
          <w:sz w:val="24"/>
          <w:szCs w:val="24"/>
          <w:highlight w:val="none"/>
          <w:lang w:val="en-US" w:eastAsia="zh-CN"/>
        </w:rPr>
        <w:t>本项目不收取履约保证金</w:t>
      </w:r>
    </w:p>
    <w:p w14:paraId="7F85D739">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四、转包或分包 </w:t>
      </w:r>
    </w:p>
    <w:p w14:paraId="344CABD0">
      <w:pPr>
        <w:pStyle w:val="242"/>
        <w:keepNext w:val="0"/>
        <w:keepLines w:val="0"/>
        <w:pageBreakBefore w:val="0"/>
        <w:widowControl w:val="0"/>
        <w:spacing w:line="360" w:lineRule="auto"/>
        <w:rPr>
          <w:rFonts w:hint="eastAsia"/>
          <w:color w:val="auto"/>
          <w:highlight w:val="none"/>
        </w:rPr>
      </w:pPr>
      <w:r>
        <w:rPr>
          <w:rFonts w:hint="eastAsia"/>
          <w:color w:val="auto"/>
          <w:highlight w:val="none"/>
        </w:rPr>
        <w:t>4.1 本合同范围的服务，应由乙方直接提供，不得转让他人提供；</w:t>
      </w:r>
    </w:p>
    <w:p w14:paraId="146E320C">
      <w:pPr>
        <w:pStyle w:val="242"/>
        <w:keepNext w:val="0"/>
        <w:keepLines w:val="0"/>
        <w:pageBreakBefore w:val="0"/>
        <w:widowControl w:val="0"/>
        <w:spacing w:line="360" w:lineRule="auto"/>
        <w:rPr>
          <w:rFonts w:hint="eastAsia"/>
          <w:color w:val="auto"/>
          <w:highlight w:val="none"/>
        </w:rPr>
      </w:pPr>
      <w:r>
        <w:rPr>
          <w:rFonts w:hint="eastAsia"/>
          <w:color w:val="auto"/>
          <w:highlight w:val="none"/>
        </w:rPr>
        <w:t>4.2 如有转包和分包行为，甲方有权给予终止合同。</w:t>
      </w:r>
    </w:p>
    <w:p w14:paraId="18BB5645">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五、服务期限： </w:t>
      </w:r>
    </w:p>
    <w:p w14:paraId="030C3B6A">
      <w:pPr>
        <w:pStyle w:val="242"/>
        <w:keepNext w:val="0"/>
        <w:keepLines w:val="0"/>
        <w:pageBreakBefore w:val="0"/>
        <w:widowControl w:val="0"/>
        <w:spacing w:line="360" w:lineRule="auto"/>
        <w:rPr>
          <w:rFonts w:hint="eastAsia"/>
          <w:color w:val="auto"/>
          <w:highlight w:val="none"/>
          <w:u w:val="single"/>
          <w:lang w:val="en-US" w:eastAsia="zh-CN"/>
        </w:rPr>
      </w:pPr>
      <w:r>
        <w:rPr>
          <w:rFonts w:hint="eastAsia"/>
          <w:color w:val="auto"/>
          <w:highlight w:val="none"/>
        </w:rPr>
        <w:t>服务期限为</w:t>
      </w:r>
      <w:r>
        <w:rPr>
          <w:rFonts w:hint="eastAsia"/>
          <w:color w:val="auto"/>
          <w:highlight w:val="none"/>
          <w:u w:val="single"/>
          <w:lang w:val="en-US" w:eastAsia="zh-CN"/>
        </w:rPr>
        <w:t xml:space="preserve">    </w:t>
      </w:r>
      <w:r>
        <w:rPr>
          <w:rFonts w:hint="eastAsia"/>
          <w:color w:val="auto"/>
          <w:highlight w:val="none"/>
          <w:u w:val="none"/>
          <w:lang w:val="en-US" w:eastAsia="zh-CN"/>
        </w:rPr>
        <w:t>个月。自</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日到</w:t>
      </w:r>
      <w:r>
        <w:rPr>
          <w:rFonts w:hint="eastAsia"/>
          <w:color w:val="auto"/>
          <w:highlight w:val="none"/>
          <w:u w:val="single"/>
          <w:lang w:val="en-US" w:eastAsia="zh-CN"/>
        </w:rPr>
        <w:t xml:space="preserve">   </w:t>
      </w:r>
      <w:r>
        <w:rPr>
          <w:rFonts w:hint="eastAsia"/>
          <w:color w:val="auto"/>
          <w:highlight w:val="none"/>
          <w:u w:val="none"/>
          <w:lang w:val="en-US" w:eastAsia="zh-CN"/>
        </w:rPr>
        <w:t>年</w:t>
      </w:r>
      <w:r>
        <w:rPr>
          <w:rFonts w:hint="eastAsia"/>
          <w:color w:val="auto"/>
          <w:highlight w:val="none"/>
          <w:u w:val="single"/>
          <w:lang w:val="en-US" w:eastAsia="zh-CN"/>
        </w:rPr>
        <w:t xml:space="preserve">   </w:t>
      </w:r>
      <w:r>
        <w:rPr>
          <w:rFonts w:hint="eastAsia"/>
          <w:color w:val="auto"/>
          <w:highlight w:val="none"/>
          <w:u w:val="none"/>
          <w:lang w:val="en-US" w:eastAsia="zh-CN"/>
        </w:rPr>
        <w:t>月</w:t>
      </w:r>
      <w:r>
        <w:rPr>
          <w:rFonts w:hint="eastAsia"/>
          <w:color w:val="auto"/>
          <w:highlight w:val="none"/>
          <w:u w:val="single"/>
          <w:lang w:val="en-US" w:eastAsia="zh-CN"/>
        </w:rPr>
        <w:t xml:space="preserve">   </w:t>
      </w:r>
      <w:r>
        <w:rPr>
          <w:rFonts w:hint="eastAsia"/>
          <w:color w:val="auto"/>
          <w:highlight w:val="none"/>
          <w:u w:val="none"/>
          <w:lang w:val="en-US" w:eastAsia="zh-CN"/>
        </w:rPr>
        <w:t>日。</w:t>
      </w:r>
    </w:p>
    <w:p w14:paraId="547F9D83">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六、货款支付 </w:t>
      </w:r>
    </w:p>
    <w:p w14:paraId="7A33AF40">
      <w:pPr>
        <w:pStyle w:val="242"/>
        <w:keepNext w:val="0"/>
        <w:keepLines w:val="0"/>
        <w:pageBreakBefore w:val="0"/>
        <w:widowControl w:val="0"/>
        <w:spacing w:line="360" w:lineRule="auto"/>
        <w:rPr>
          <w:rFonts w:hint="eastAsia"/>
          <w:color w:val="auto"/>
          <w:highlight w:val="none"/>
        </w:rPr>
      </w:pPr>
      <w:r>
        <w:rPr>
          <w:rFonts w:hint="eastAsia"/>
          <w:color w:val="auto"/>
          <w:highlight w:val="none"/>
        </w:rPr>
        <w:t>6.1 结付程序：</w:t>
      </w:r>
    </w:p>
    <w:p w14:paraId="0627ED73">
      <w:pPr>
        <w:pStyle w:val="242"/>
        <w:keepNext w:val="0"/>
        <w:keepLines w:val="0"/>
        <w:pageBreakBefore w:val="0"/>
        <w:widowControl w:val="0"/>
        <w:spacing w:line="360" w:lineRule="auto"/>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w:t>
      </w:r>
    </w:p>
    <w:p w14:paraId="68725ED8">
      <w:pPr>
        <w:pStyle w:val="242"/>
        <w:keepNext w:val="0"/>
        <w:keepLines w:val="0"/>
        <w:pageBreakBefore w:val="0"/>
        <w:widowControl w:val="0"/>
        <w:spacing w:line="360" w:lineRule="auto"/>
        <w:rPr>
          <w:rFonts w:hint="eastAsia"/>
          <w:color w:val="auto"/>
          <w:highlight w:val="none"/>
        </w:rPr>
      </w:pPr>
      <w:r>
        <w:rPr>
          <w:rFonts w:hint="eastAsia"/>
          <w:color w:val="auto"/>
          <w:highlight w:val="none"/>
        </w:rPr>
        <w:t>6.2 结付期限：</w:t>
      </w:r>
    </w:p>
    <w:p w14:paraId="6CCA68CB">
      <w:pPr>
        <w:pStyle w:val="242"/>
        <w:keepNext w:val="0"/>
        <w:keepLines w:val="0"/>
        <w:pageBreakBefore w:val="0"/>
        <w:widowControl w:val="0"/>
        <w:spacing w:line="360" w:lineRule="auto"/>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w:t>
      </w:r>
      <w:r>
        <w:rPr>
          <w:rFonts w:hint="eastAsia"/>
          <w:color w:val="auto"/>
          <w:highlight w:val="none"/>
        </w:rPr>
        <w:t xml:space="preserve"> </w:t>
      </w:r>
    </w:p>
    <w:p w14:paraId="761D5019">
      <w:pPr>
        <w:pStyle w:val="242"/>
        <w:keepNext w:val="0"/>
        <w:keepLines w:val="0"/>
        <w:pageBreakBefore w:val="0"/>
        <w:widowControl w:val="0"/>
        <w:spacing w:line="360" w:lineRule="auto"/>
        <w:rPr>
          <w:rFonts w:hint="eastAsia"/>
          <w:color w:val="auto"/>
          <w:highlight w:val="none"/>
        </w:rPr>
      </w:pPr>
      <w:r>
        <w:rPr>
          <w:rFonts w:hint="eastAsia"/>
          <w:color w:val="auto"/>
          <w:highlight w:val="none"/>
          <w:lang w:val="en-US" w:eastAsia="zh-CN"/>
        </w:rPr>
        <w:t xml:space="preserve">6.3 </w:t>
      </w:r>
      <w:r>
        <w:rPr>
          <w:rFonts w:hint="eastAsia"/>
          <w:color w:val="auto"/>
          <w:highlight w:val="none"/>
        </w:rPr>
        <w:t>乙方收款账户</w:t>
      </w:r>
      <w:r>
        <w:rPr>
          <w:rFonts w:hint="eastAsia"/>
          <w:color w:val="auto"/>
          <w:highlight w:val="none"/>
          <w:lang w:eastAsia="zh-CN"/>
        </w:rPr>
        <w:t>（</w:t>
      </w:r>
      <w:r>
        <w:rPr>
          <w:rFonts w:hint="eastAsia"/>
          <w:color w:val="auto"/>
          <w:highlight w:val="none"/>
        </w:rPr>
        <w:t>联合体投标的，合同款项统一支付至联合体牵头单位账户</w:t>
      </w:r>
      <w:r>
        <w:rPr>
          <w:rFonts w:hint="eastAsia"/>
          <w:color w:val="auto"/>
          <w:highlight w:val="none"/>
          <w:lang w:eastAsia="zh-CN"/>
        </w:rPr>
        <w:t>）</w:t>
      </w:r>
      <w:r>
        <w:rPr>
          <w:rFonts w:hint="eastAsia"/>
          <w:color w:val="auto"/>
          <w:highlight w:val="none"/>
        </w:rPr>
        <w:t>：</w:t>
      </w:r>
    </w:p>
    <w:p w14:paraId="004FE037">
      <w:pPr>
        <w:pStyle w:val="242"/>
        <w:keepNext w:val="0"/>
        <w:keepLines w:val="0"/>
        <w:pageBreakBefore w:val="0"/>
        <w:widowControl w:val="0"/>
        <w:spacing w:line="360" w:lineRule="auto"/>
        <w:rPr>
          <w:rFonts w:hint="default"/>
          <w:color w:val="auto"/>
          <w:highlight w:val="none"/>
          <w:u w:val="single"/>
          <w:lang w:val="en-US" w:eastAsia="zh-CN"/>
        </w:rPr>
      </w:pPr>
      <w:r>
        <w:rPr>
          <w:rFonts w:hint="eastAsia"/>
          <w:color w:val="auto"/>
          <w:highlight w:val="none"/>
          <w:u w:val="single"/>
          <w:lang w:val="en-US" w:eastAsia="zh-CN"/>
        </w:rPr>
        <w:t xml:space="preserve">                                                       </w:t>
      </w:r>
      <w:r>
        <w:rPr>
          <w:rFonts w:hint="eastAsia"/>
          <w:color w:val="auto"/>
          <w:highlight w:val="none"/>
          <w:u w:val="none"/>
          <w:lang w:val="en-US" w:eastAsia="zh-CN"/>
        </w:rPr>
        <w:t>。</w:t>
      </w:r>
    </w:p>
    <w:p w14:paraId="3C470C79">
      <w:pPr>
        <w:pStyle w:val="242"/>
        <w:keepNext w:val="0"/>
        <w:keepLines w:val="0"/>
        <w:pageBreakBefore w:val="0"/>
        <w:widowControl w:val="0"/>
        <w:spacing w:line="360" w:lineRule="auto"/>
        <w:rPr>
          <w:rFonts w:hint="eastAsia"/>
          <w:color w:val="auto"/>
          <w:highlight w:val="none"/>
        </w:rPr>
      </w:pPr>
      <w:r>
        <w:rPr>
          <w:rFonts w:hint="eastAsia"/>
          <w:color w:val="auto"/>
          <w:highlight w:val="none"/>
        </w:rPr>
        <w:t>6.</w:t>
      </w:r>
      <w:r>
        <w:rPr>
          <w:rFonts w:hint="eastAsia"/>
          <w:color w:val="auto"/>
          <w:highlight w:val="none"/>
          <w:lang w:val="en-US" w:eastAsia="zh-CN"/>
        </w:rPr>
        <w:t>4</w:t>
      </w:r>
      <w:r>
        <w:rPr>
          <w:rFonts w:hint="eastAsia"/>
          <w:color w:val="auto"/>
          <w:highlight w:val="none"/>
        </w:rPr>
        <w:t xml:space="preserve"> 甲方合同款支付方式：</w:t>
      </w:r>
      <w:r>
        <w:rPr>
          <w:rFonts w:hint="eastAsia"/>
          <w:color w:val="auto"/>
          <w:highlight w:val="none"/>
          <w:u w:val="single"/>
          <w:lang w:val="en-US" w:eastAsia="zh-CN"/>
        </w:rPr>
        <w:t xml:space="preserve">         </w:t>
      </w:r>
      <w:r>
        <w:rPr>
          <w:rFonts w:hint="eastAsia"/>
          <w:color w:val="auto"/>
          <w:highlight w:val="none"/>
        </w:rPr>
        <w:t>（若乙方为中小企业，不得强制其接受非现金支付方式）</w:t>
      </w:r>
    </w:p>
    <w:p w14:paraId="271C0A3E">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 xml:space="preserve">七、税 </w:t>
      </w:r>
    </w:p>
    <w:p w14:paraId="6B2B52F7">
      <w:pPr>
        <w:spacing w:line="360" w:lineRule="auto"/>
        <w:ind w:firstLine="482"/>
        <w:jc w:val="left"/>
        <w:rPr>
          <w:rFonts w:hint="eastAsia"/>
          <w:color w:val="auto"/>
          <w:highlight w:val="none"/>
        </w:rPr>
      </w:pPr>
      <w:r>
        <w:rPr>
          <w:rFonts w:hint="eastAsia" w:ascii="宋体" w:hAnsi="宋体"/>
          <w:color w:val="auto"/>
          <w:sz w:val="24"/>
          <w:szCs w:val="24"/>
          <w:highlight w:val="none"/>
        </w:rPr>
        <w:t>7.1 本合同执行中相关的一切税费均由乙方负担。</w:t>
      </w:r>
    </w:p>
    <w:p w14:paraId="04132602">
      <w:pPr>
        <w:spacing w:line="360" w:lineRule="auto"/>
        <w:ind w:firstLine="482"/>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八</w:t>
      </w:r>
      <w:r>
        <w:rPr>
          <w:rFonts w:hint="eastAsia" w:ascii="宋体" w:hAnsi="宋体" w:eastAsia="宋体" w:cs="宋体"/>
          <w:b/>
          <w:bCs/>
          <w:color w:val="auto"/>
          <w:sz w:val="24"/>
          <w:szCs w:val="24"/>
          <w:highlight w:val="none"/>
          <w14:ligatures w14:val="none"/>
        </w:rPr>
        <w:t>、</w:t>
      </w:r>
      <w:r>
        <w:rPr>
          <w:rFonts w:hint="eastAsia" w:ascii="宋体" w:hAnsi="宋体" w:eastAsia="宋体" w:cs="宋体"/>
          <w:b/>
          <w:color w:val="auto"/>
          <w:sz w:val="24"/>
          <w:szCs w:val="24"/>
          <w:highlight w:val="none"/>
          <w14:ligatures w14:val="none"/>
        </w:rPr>
        <w:t>管理事项</w:t>
      </w:r>
    </w:p>
    <w:p w14:paraId="73AEF28E">
      <w:pPr>
        <w:spacing w:line="360" w:lineRule="auto"/>
        <w:ind w:firstLine="482"/>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按招标内容要求以及响应单位的承诺项目阐述。</w:t>
      </w:r>
    </w:p>
    <w:p w14:paraId="1314CED8">
      <w:pPr>
        <w:spacing w:line="360" w:lineRule="auto"/>
        <w:ind w:firstLine="482"/>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九、</w:t>
      </w:r>
      <w:r>
        <w:rPr>
          <w:rFonts w:hint="eastAsia" w:ascii="宋体" w:hAnsi="宋体" w:eastAsia="宋体" w:cs="宋体"/>
          <w:b/>
          <w:bCs/>
          <w:color w:val="auto"/>
          <w:sz w:val="24"/>
          <w:szCs w:val="24"/>
          <w:highlight w:val="none"/>
          <w:lang w:val="en-US" w:eastAsia="zh-CN"/>
        </w:rPr>
        <w:t>双方权利义务</w:t>
      </w:r>
    </w:p>
    <w:p w14:paraId="2A448D0B">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9.1 甲方的权利和义务</w:t>
      </w:r>
    </w:p>
    <w:p w14:paraId="0B7E5E9E">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（1）指定专人作为甲方联系人予以协调工作。加强与乙方沟通，交流情况，互通信息。</w:t>
      </w:r>
    </w:p>
    <w:p w14:paraId="36C8A21F">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（2）甲方应教育其所属人员尊重乙方工作人员的劳动成果，积极配合乙方工作人员履行好合同所规定的职责和义务。</w:t>
      </w:r>
    </w:p>
    <w:p w14:paraId="6599C0AF">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（3）乙方有违约行为的，甲方有权解除合同并没收履约保证金及向乙方支付实际合同期内扣除考核扣款后的全部余款。</w:t>
      </w:r>
    </w:p>
    <w:p w14:paraId="7B68EAC3">
      <w:pPr>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（4）甲方有权对中标后再转包或分包的乙方终止承包合同。</w:t>
      </w:r>
    </w:p>
    <w:p w14:paraId="403C7F79">
      <w:pPr>
        <w:pStyle w:val="242"/>
        <w:keepNext w:val="0"/>
        <w:keepLines w:val="0"/>
        <w:pageBreakBefore w:val="0"/>
        <w:widowControl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5</w:t>
      </w:r>
      <w:r>
        <w:rPr>
          <w:rFonts w:hint="eastAsia" w:ascii="宋体" w:hAnsi="宋体" w:cs="宋体"/>
          <w:b w:val="0"/>
          <w:bCs w:val="0"/>
          <w:color w:val="auto"/>
          <w:sz w:val="24"/>
          <w:szCs w:val="24"/>
          <w:highlight w:val="none"/>
          <w:lang w:val="en-US" w:eastAsia="zh-CN"/>
        </w:rPr>
        <w:t>）甲方有权在服务期内</w:t>
      </w:r>
      <w:r>
        <w:rPr>
          <w:rFonts w:hint="eastAsia" w:cs="宋体"/>
          <w:b w:val="0"/>
          <w:bCs w:val="0"/>
          <w:color w:val="auto"/>
          <w:sz w:val="24"/>
          <w:szCs w:val="24"/>
          <w:highlight w:val="none"/>
          <w:lang w:val="en-US" w:eastAsia="zh-CN"/>
        </w:rPr>
        <w:t>对乙方工作情况进行考核（考核细则详见</w:t>
      </w:r>
      <w:r>
        <w:rPr>
          <w:rFonts w:hint="eastAsia" w:cs="宋体"/>
          <w:color w:val="auto"/>
          <w:highlight w:val="none"/>
          <w:lang w:val="en-US" w:eastAsia="zh-CN"/>
        </w:rPr>
        <w:t>张家港市产商品监督抽查考核细则</w:t>
      </w:r>
      <w:r>
        <w:rPr>
          <w:rFonts w:hint="eastAsia" w:cs="宋体"/>
          <w:b w:val="0"/>
          <w:bCs w:val="0"/>
          <w:color w:val="auto"/>
          <w:sz w:val="24"/>
          <w:szCs w:val="24"/>
          <w:highlight w:val="none"/>
          <w:lang w:val="en-US" w:eastAsia="zh-CN"/>
        </w:rPr>
        <w:t>），并可</w:t>
      </w:r>
      <w:r>
        <w:rPr>
          <w:rFonts w:hint="eastAsia" w:ascii="宋体" w:hAnsi="宋体" w:cs="宋体"/>
          <w:b w:val="0"/>
          <w:bCs w:val="0"/>
          <w:color w:val="auto"/>
          <w:sz w:val="24"/>
          <w:szCs w:val="24"/>
          <w:highlight w:val="none"/>
          <w:lang w:val="en-US" w:eastAsia="zh-CN"/>
        </w:rPr>
        <w:t>根据实际情况</w:t>
      </w:r>
      <w:r>
        <w:rPr>
          <w:rFonts w:hint="eastAsia" w:cs="宋体"/>
          <w:b w:val="0"/>
          <w:bCs w:val="0"/>
          <w:color w:val="auto"/>
          <w:sz w:val="24"/>
          <w:szCs w:val="24"/>
          <w:highlight w:val="none"/>
          <w:lang w:val="en-US" w:eastAsia="zh-CN"/>
        </w:rPr>
        <w:t>在工作执行过程中</w:t>
      </w:r>
      <w:r>
        <w:rPr>
          <w:rFonts w:hint="eastAsia" w:ascii="宋体" w:hAnsi="宋体" w:cs="宋体"/>
          <w:b w:val="0"/>
          <w:bCs w:val="0"/>
          <w:color w:val="auto"/>
          <w:sz w:val="24"/>
          <w:szCs w:val="24"/>
          <w:highlight w:val="none"/>
          <w:lang w:val="en-US" w:eastAsia="zh-CN"/>
        </w:rPr>
        <w:t>提出</w:t>
      </w:r>
      <w:r>
        <w:rPr>
          <w:rFonts w:hint="eastAsia" w:cs="宋体"/>
          <w:b w:val="0"/>
          <w:bCs w:val="0"/>
          <w:color w:val="auto"/>
          <w:sz w:val="24"/>
          <w:szCs w:val="24"/>
          <w:highlight w:val="none"/>
          <w:lang w:val="en-US" w:eastAsia="zh-CN"/>
        </w:rPr>
        <w:t>对</w:t>
      </w:r>
      <w:r>
        <w:rPr>
          <w:rFonts w:hint="eastAsia" w:ascii="宋体" w:hAnsi="宋体" w:cs="宋体"/>
          <w:b w:val="0"/>
          <w:bCs w:val="0"/>
          <w:color w:val="auto"/>
          <w:sz w:val="24"/>
          <w:szCs w:val="24"/>
          <w:highlight w:val="none"/>
          <w:lang w:val="en-US" w:eastAsia="zh-CN"/>
        </w:rPr>
        <w:t>考核细则</w:t>
      </w:r>
      <w:r>
        <w:rPr>
          <w:rFonts w:hint="eastAsia" w:cs="宋体"/>
          <w:b w:val="0"/>
          <w:bCs w:val="0"/>
          <w:color w:val="auto"/>
          <w:sz w:val="24"/>
          <w:szCs w:val="24"/>
          <w:highlight w:val="none"/>
          <w:lang w:val="en-US" w:eastAsia="zh-CN"/>
        </w:rPr>
        <w:t>的</w:t>
      </w:r>
      <w:r>
        <w:rPr>
          <w:rFonts w:hint="eastAsia" w:ascii="宋体" w:hAnsi="宋体" w:cs="宋体"/>
          <w:b w:val="0"/>
          <w:bCs w:val="0"/>
          <w:color w:val="auto"/>
          <w:sz w:val="24"/>
          <w:szCs w:val="24"/>
          <w:highlight w:val="none"/>
          <w:lang w:val="en-US" w:eastAsia="zh-CN"/>
        </w:rPr>
        <w:t>修改，并经与乙方协商确认后，按新的考核细则执行考核。</w:t>
      </w:r>
    </w:p>
    <w:p w14:paraId="3EB25F39">
      <w:pPr>
        <w:pStyle w:val="242"/>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9.2 乙方的权利和义务</w:t>
      </w:r>
    </w:p>
    <w:p w14:paraId="5C1FE7A9">
      <w:pPr>
        <w:pStyle w:val="242"/>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1）乙方在从事服务工作中应当做到文明工作、安全服务，采取必要的安全防范措施，合同期内，乙方工作人员发生的一切安全问题包括由于乙方提供服务导致的安全事故的责任，均由乙方自行负责，与甲方无关。</w:t>
      </w:r>
    </w:p>
    <w:p w14:paraId="209EA8C8">
      <w:pPr>
        <w:pStyle w:val="242"/>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（2）乙方应及时调整不适应工作需求的管理人员及其员工。如甲方认为该员工不能胜任本职工作的，必须调整。</w:t>
      </w:r>
    </w:p>
    <w:p w14:paraId="6B45F26E">
      <w:pPr>
        <w:pStyle w:val="242"/>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p>
    <w:p w14:paraId="326D958C">
      <w:pPr>
        <w:pStyle w:val="242"/>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（4）乙方负有对自己员工的安全责任，甲方不承担任何相关责任。</w:t>
      </w:r>
    </w:p>
    <w:p w14:paraId="0DD70DEC">
      <w:pPr>
        <w:pStyle w:val="242"/>
        <w:keepNext w:val="0"/>
        <w:keepLines w:val="0"/>
        <w:pageBreakBefore w:val="0"/>
        <w:widowControl w:val="0"/>
        <w:spacing w:line="360" w:lineRule="auto"/>
        <w:rPr>
          <w:rFonts w:hint="eastAsia"/>
          <w:b/>
          <w:bCs/>
          <w:color w:val="auto"/>
          <w:highlight w:val="none"/>
          <w:lang w:val="en-US" w:eastAsia="zh-CN"/>
        </w:rPr>
      </w:pPr>
      <w:r>
        <w:rPr>
          <w:rFonts w:hint="eastAsia"/>
          <w:b/>
          <w:bCs/>
          <w:color w:val="auto"/>
          <w:highlight w:val="none"/>
          <w:lang w:val="en-US" w:eastAsia="zh-CN"/>
        </w:rPr>
        <w:t>十、样品管理处置工作</w:t>
      </w:r>
    </w:p>
    <w:p w14:paraId="0C16BBB8">
      <w:pPr>
        <w:pStyle w:val="242"/>
        <w:keepNext w:val="0"/>
        <w:keepLines w:val="0"/>
        <w:pageBreakBefore w:val="0"/>
        <w:widowControl w:val="0"/>
        <w:spacing w:line="360" w:lineRule="auto"/>
        <w:rPr>
          <w:rFonts w:hint="eastAsia"/>
          <w:color w:val="auto"/>
          <w:highlight w:val="none"/>
          <w:lang w:val="en-US" w:eastAsia="zh-CN"/>
        </w:rPr>
      </w:pPr>
      <w:r>
        <w:rPr>
          <w:rFonts w:hint="eastAsia"/>
          <w:color w:val="auto"/>
          <w:highlight w:val="none"/>
          <w:lang w:val="en-US" w:eastAsia="zh-CN"/>
        </w:rPr>
        <w:t>每年开展至少一次样品处置工作，具体工作程序参照苏州市市场监督管理局印发的《关于做好市级监督抽查、风险监测样品管理处置工作的通知》要求执行，并于完成处置工作后15日内将处置情况书面报告张家港市市场监督管理局。</w:t>
      </w:r>
    </w:p>
    <w:p w14:paraId="1FDEBBB6">
      <w:pPr>
        <w:pStyle w:val="242"/>
        <w:keepNext w:val="0"/>
        <w:keepLines w:val="0"/>
        <w:pageBreakBefore w:val="0"/>
        <w:widowControl w:val="0"/>
        <w:spacing w:line="360" w:lineRule="auto"/>
        <w:rPr>
          <w:rFonts w:hint="eastAsia"/>
          <w:b/>
          <w:bCs/>
          <w:color w:val="auto"/>
          <w:highlight w:val="none"/>
          <w:lang w:val="en-US" w:eastAsia="zh-CN"/>
        </w:rPr>
      </w:pPr>
      <w:r>
        <w:rPr>
          <w:rFonts w:hint="eastAsia"/>
          <w:b/>
          <w:bCs/>
          <w:color w:val="auto"/>
          <w:highlight w:val="none"/>
          <w:lang w:val="en-US" w:eastAsia="zh-CN"/>
        </w:rPr>
        <w:t>十一、服务质量</w:t>
      </w:r>
    </w:p>
    <w:p w14:paraId="727C99F2">
      <w:pPr>
        <w:pStyle w:val="242"/>
        <w:keepNext w:val="0"/>
        <w:keepLines w:val="0"/>
        <w:pageBreakBefore w:val="0"/>
        <w:widowControl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乙方提供的管理服务应达到投标文件所约定的目标。对达标的理解有异议的，由双方共同认可的第三方予以评定。</w:t>
      </w:r>
    </w:p>
    <w:p w14:paraId="0FD796F0">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二</w:t>
      </w:r>
      <w:r>
        <w:rPr>
          <w:rFonts w:hint="eastAsia"/>
          <w:b/>
          <w:bCs/>
          <w:color w:val="auto"/>
          <w:highlight w:val="none"/>
        </w:rPr>
        <w:t xml:space="preserve">、违约责任 </w:t>
      </w:r>
    </w:p>
    <w:p w14:paraId="6424CD5E">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2</w:t>
      </w:r>
      <w:r>
        <w:rPr>
          <w:rFonts w:hint="eastAsia"/>
          <w:color w:val="auto"/>
          <w:highlight w:val="none"/>
        </w:rPr>
        <w:t>.1、乙方的违约责任</w:t>
      </w:r>
    </w:p>
    <w:p w14:paraId="1379849B">
      <w:pPr>
        <w:pStyle w:val="242"/>
        <w:keepNext w:val="0"/>
        <w:keepLines w:val="0"/>
        <w:pageBreakBefore w:val="0"/>
        <w:widowControl w:val="0"/>
        <w:spacing w:line="360" w:lineRule="auto"/>
        <w:rPr>
          <w:rFonts w:hint="eastAsia"/>
          <w:color w:val="auto"/>
          <w:highlight w:val="none"/>
        </w:rPr>
      </w:pPr>
      <w:r>
        <w:rPr>
          <w:rFonts w:hint="eastAsia"/>
          <w:color w:val="auto"/>
          <w:highlight w:val="none"/>
        </w:rPr>
        <w:t>（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p>
    <w:p w14:paraId="7C76C7AD">
      <w:pPr>
        <w:pStyle w:val="242"/>
        <w:keepNext w:val="0"/>
        <w:keepLines w:val="0"/>
        <w:pageBreakBefore w:val="0"/>
        <w:widowControl w:val="0"/>
        <w:spacing w:line="360" w:lineRule="auto"/>
        <w:rPr>
          <w:rFonts w:hint="eastAsia"/>
          <w:color w:val="auto"/>
          <w:highlight w:val="none"/>
        </w:rPr>
      </w:pPr>
      <w:r>
        <w:rPr>
          <w:rFonts w:hint="eastAsia"/>
          <w:color w:val="auto"/>
          <w:highlight w:val="none"/>
        </w:rPr>
        <w:t>（2）乙方必须自己完成合同内容，不得自行分包，否则，甲方有权按乙方不能完成合同处理。</w:t>
      </w:r>
    </w:p>
    <w:p w14:paraId="0A825840">
      <w:pPr>
        <w:pStyle w:val="242"/>
        <w:keepNext w:val="0"/>
        <w:keepLines w:val="0"/>
        <w:pageBreakBefore w:val="0"/>
        <w:widowControl w:val="0"/>
        <w:spacing w:line="360" w:lineRule="auto"/>
        <w:rPr>
          <w:rFonts w:hint="eastAsia"/>
          <w:color w:val="auto"/>
          <w:highlight w:val="none"/>
        </w:rPr>
      </w:pPr>
      <w:r>
        <w:rPr>
          <w:rFonts w:hint="eastAsia"/>
          <w:color w:val="auto"/>
          <w:highlight w:val="none"/>
        </w:rPr>
        <w:t>（3）乙方应执行国家有关规定（如当地最低工资标准及其他社会保障等规定），负责乙方员工的生病、事故、伤残、死亡和劳务纠纷，甲方不承担任何相关责任。</w:t>
      </w:r>
    </w:p>
    <w:p w14:paraId="5D8687A8">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2</w:t>
      </w:r>
      <w:r>
        <w:rPr>
          <w:rFonts w:hint="eastAsia"/>
          <w:color w:val="auto"/>
          <w:highlight w:val="none"/>
        </w:rPr>
        <w:t>.2、甲方违约责任</w:t>
      </w:r>
    </w:p>
    <w:p w14:paraId="36D0A04D">
      <w:pPr>
        <w:pStyle w:val="242"/>
        <w:keepNext w:val="0"/>
        <w:keepLines w:val="0"/>
        <w:pageBreakBefore w:val="0"/>
        <w:widowControl w:val="0"/>
        <w:spacing w:line="360" w:lineRule="auto"/>
        <w:rPr>
          <w:rFonts w:hint="eastAsia"/>
          <w:color w:val="auto"/>
          <w:highlight w:val="none"/>
        </w:rPr>
      </w:pPr>
      <w:r>
        <w:rPr>
          <w:rFonts w:hint="eastAsia"/>
          <w:color w:val="auto"/>
          <w:highlight w:val="none"/>
        </w:rPr>
        <w:t>（1）乙方按合同履约，甲方不按期付款应向乙方偿付违约金，每逾期一天，按合同价格的万分之四偿付违约金。</w:t>
      </w:r>
    </w:p>
    <w:p w14:paraId="7F872638">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（2）在合同生效后，甲方要求解除合同的，应向乙方偿付合同总价款1%的违约金，违约金不足以补偿损失的，乙方有权要求甲方补足。</w:t>
      </w:r>
    </w:p>
    <w:p w14:paraId="10D73CCA">
      <w:pPr>
        <w:pStyle w:val="242"/>
        <w:keepNext w:val="0"/>
        <w:keepLines w:val="0"/>
        <w:pageBreakBefore w:val="0"/>
        <w:widowControl w:val="0"/>
        <w:numPr>
          <w:ilvl w:val="0"/>
          <w:numId w:val="0"/>
        </w:numPr>
        <w:spacing w:line="360" w:lineRule="auto"/>
        <w:ind w:firstLine="482"/>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三</w:t>
      </w:r>
      <w:r>
        <w:rPr>
          <w:rFonts w:hint="eastAsia"/>
          <w:b/>
          <w:bCs/>
          <w:color w:val="auto"/>
          <w:highlight w:val="none"/>
        </w:rPr>
        <w:t>、合同的解除和转让</w:t>
      </w:r>
    </w:p>
    <w:p w14:paraId="3F542169">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1、甲方和乙方协商一致，可以解除合同。</w:t>
      </w:r>
    </w:p>
    <w:p w14:paraId="71CACBA3">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2、有下列情形之一，合同一方可以解除合同：</w:t>
      </w:r>
    </w:p>
    <w:p w14:paraId="30272272">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(1)因不可抗力致使不能实现合同目的，未受不可抗力影响的一方有权解除合同；</w:t>
      </w:r>
    </w:p>
    <w:p w14:paraId="7010954A">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(2)因合同一方违约导致合同不能履行，另一方有权解除合同。</w:t>
      </w:r>
    </w:p>
    <w:p w14:paraId="088BBAC4">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(3)对乙方有效投诉记录累计达3次，甲方有权解除合同；</w:t>
      </w:r>
    </w:p>
    <w:p w14:paraId="6E125297">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(4)在合同有效期内，乙方被行业主管部门取消经营资格的，甲方有权解除合同；</w:t>
      </w:r>
    </w:p>
    <w:p w14:paraId="45080E33">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(5)在合同有效期内，乙方擅自变更、转让、租借资格的；</w:t>
      </w:r>
    </w:p>
    <w:p w14:paraId="632067E5">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(6)乙方不如实反映情况，提供虚假材料的，甲方有权解除合同；</w:t>
      </w:r>
    </w:p>
    <w:p w14:paraId="553B6646">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(7)乙方未按承诺的价格提供服务的，甲方有权解除合同；</w:t>
      </w:r>
    </w:p>
    <w:p w14:paraId="08630A99">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(8)如乙方发生泄密，甲方有权立即终止合同，并有权追究泄密责任和经济责任。</w:t>
      </w:r>
    </w:p>
    <w:p w14:paraId="3C24CE14">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rPr>
        <w:t>(9)所有检测报告，均须乙方自行独立完成，不得由其他检测机构出具，经甲方同意的除外。</w:t>
      </w:r>
    </w:p>
    <w:p w14:paraId="6B4E4D6D">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3、有权解除合同的一方，应当在违约事实或不可抗力发生之后三十天内书面通 知对方提出解除合同，合同在书面通知到达对方时解除。</w:t>
      </w:r>
    </w:p>
    <w:p w14:paraId="60F6DEFD">
      <w:pPr>
        <w:pStyle w:val="242"/>
        <w:keepNext w:val="0"/>
        <w:keepLines w:val="0"/>
        <w:pageBreakBefore w:val="0"/>
        <w:widowControl w:val="0"/>
        <w:numPr>
          <w:ilvl w:val="0"/>
          <w:numId w:val="0"/>
        </w:numPr>
        <w:spacing w:line="360" w:lineRule="auto"/>
        <w:ind w:firstLine="480"/>
        <w:rPr>
          <w:rFonts w:hint="eastAsia"/>
          <w:color w:val="auto"/>
          <w:highlight w:val="none"/>
        </w:rPr>
      </w:pPr>
      <w:r>
        <w:rPr>
          <w:rFonts w:hint="eastAsia"/>
          <w:color w:val="auto"/>
          <w:highlight w:val="none"/>
          <w:lang w:val="en-US" w:eastAsia="zh-CN"/>
        </w:rPr>
        <w:t>13.</w:t>
      </w:r>
      <w:r>
        <w:rPr>
          <w:rFonts w:hint="eastAsia"/>
          <w:color w:val="auto"/>
          <w:highlight w:val="none"/>
        </w:rPr>
        <w:t>4、合同的部分和全部都不得转让。</w:t>
      </w:r>
    </w:p>
    <w:p w14:paraId="13D9C450">
      <w:pPr>
        <w:pStyle w:val="242"/>
        <w:keepNext w:val="0"/>
        <w:keepLines w:val="0"/>
        <w:pageBreakBefore w:val="0"/>
        <w:widowControl w:val="0"/>
        <w:numPr>
          <w:ilvl w:val="0"/>
          <w:numId w:val="0"/>
        </w:numPr>
        <w:spacing w:line="360" w:lineRule="auto"/>
        <w:ind w:firstLine="482"/>
        <w:rPr>
          <w:rFonts w:hint="eastAsia"/>
          <w:b w:val="0"/>
          <w:bCs w:val="0"/>
          <w:color w:val="auto"/>
          <w:highlight w:val="none"/>
        </w:rPr>
      </w:pPr>
      <w:r>
        <w:rPr>
          <w:rFonts w:hint="eastAsia"/>
          <w:b/>
          <w:bCs/>
          <w:color w:val="auto"/>
          <w:highlight w:val="none"/>
        </w:rPr>
        <w:t>十</w:t>
      </w:r>
      <w:r>
        <w:rPr>
          <w:rFonts w:hint="eastAsia"/>
          <w:b/>
          <w:bCs/>
          <w:color w:val="auto"/>
          <w:highlight w:val="none"/>
          <w:lang w:val="en-US" w:eastAsia="zh-CN"/>
        </w:rPr>
        <w:t>四</w:t>
      </w:r>
      <w:r>
        <w:rPr>
          <w:rFonts w:hint="eastAsia"/>
          <w:b/>
          <w:bCs/>
          <w:color w:val="auto"/>
          <w:highlight w:val="none"/>
        </w:rPr>
        <w:t>、不可抗力事件处理</w:t>
      </w:r>
      <w:r>
        <w:rPr>
          <w:rFonts w:hint="eastAsia"/>
          <w:b w:val="0"/>
          <w:bCs w:val="0"/>
          <w:color w:val="auto"/>
          <w:highlight w:val="none"/>
        </w:rPr>
        <w:t xml:space="preserve"> </w:t>
      </w:r>
    </w:p>
    <w:p w14:paraId="1A02A964">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.1 在合同有效期内，任何一方因不可抗力事件导致不能履行合同，则合同履行期可延长，其延长期与不可抗力影响期相同。</w:t>
      </w:r>
    </w:p>
    <w:p w14:paraId="63909558">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.2 不可抗力事件发生后，应立即通知对方，并寄送有关权威机构出具的证明。</w:t>
      </w:r>
    </w:p>
    <w:p w14:paraId="0C542E97">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4</w:t>
      </w:r>
      <w:r>
        <w:rPr>
          <w:rFonts w:hint="eastAsia"/>
          <w:color w:val="auto"/>
          <w:highlight w:val="none"/>
        </w:rPr>
        <w:t>.3 不可抗力事件延续 120 天以上，双方应通过友好协商，确定是否继续履行合同。</w:t>
      </w:r>
    </w:p>
    <w:p w14:paraId="5937BDA7">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五</w:t>
      </w:r>
      <w:r>
        <w:rPr>
          <w:rFonts w:hint="eastAsia"/>
          <w:b/>
          <w:bCs/>
          <w:color w:val="auto"/>
          <w:highlight w:val="none"/>
        </w:rPr>
        <w:t xml:space="preserve">、诉讼 </w:t>
      </w:r>
    </w:p>
    <w:p w14:paraId="3D193849">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5</w:t>
      </w:r>
      <w:r>
        <w:rPr>
          <w:rFonts w:hint="eastAsia"/>
          <w:color w:val="auto"/>
          <w:highlight w:val="none"/>
        </w:rPr>
        <w:t>.1 双方在执行合同中所发生的一切争议，应通过协商解决。如协商不成，可向合同签订地法院起诉，合同签订地在此约定为张家港市。</w:t>
      </w:r>
    </w:p>
    <w:p w14:paraId="5F99267D">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六</w:t>
      </w:r>
      <w:r>
        <w:rPr>
          <w:rFonts w:hint="eastAsia"/>
          <w:b/>
          <w:bCs/>
          <w:color w:val="auto"/>
          <w:highlight w:val="none"/>
        </w:rPr>
        <w:t xml:space="preserve">、合同其他文件 </w:t>
      </w:r>
    </w:p>
    <w:p w14:paraId="7BF74B2A">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6</w:t>
      </w:r>
      <w:r>
        <w:rPr>
          <w:rFonts w:hint="eastAsia"/>
          <w:color w:val="auto"/>
          <w:highlight w:val="none"/>
        </w:rPr>
        <w:t>.1 下列文件为本合同不可分割部份，与本合同具有同等效力。</w:t>
      </w:r>
    </w:p>
    <w:p w14:paraId="2320D7D4">
      <w:pPr>
        <w:pStyle w:val="242"/>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1</w:t>
      </w:r>
      <w:r>
        <w:rPr>
          <w:rFonts w:hint="eastAsia"/>
          <w:color w:val="auto"/>
          <w:highlight w:val="none"/>
        </w:rPr>
        <w:t>)中标通知书；</w:t>
      </w:r>
    </w:p>
    <w:p w14:paraId="0D259551">
      <w:pPr>
        <w:pStyle w:val="242"/>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w:t>
      </w:r>
      <w:r>
        <w:rPr>
          <w:rFonts w:hint="eastAsia" w:ascii="宋体" w:hAnsi="宋体"/>
          <w:color w:val="auto"/>
          <w:sz w:val="24"/>
          <w:szCs w:val="24"/>
          <w:highlight w:val="none"/>
        </w:rPr>
        <w:t>供方</w:t>
      </w:r>
      <w:r>
        <w:rPr>
          <w:rFonts w:hint="eastAsia"/>
          <w:color w:val="auto"/>
          <w:highlight w:val="none"/>
        </w:rPr>
        <w:t>中标的投标书；</w:t>
      </w:r>
    </w:p>
    <w:p w14:paraId="43977096">
      <w:pPr>
        <w:pStyle w:val="242"/>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3</w:t>
      </w:r>
      <w:r>
        <w:rPr>
          <w:rFonts w:hint="eastAsia"/>
          <w:color w:val="auto"/>
          <w:highlight w:val="none"/>
        </w:rPr>
        <w:t>)招标文件；</w:t>
      </w:r>
    </w:p>
    <w:p w14:paraId="43D6B601">
      <w:pPr>
        <w:pStyle w:val="242"/>
        <w:keepNext w:val="0"/>
        <w:keepLines w:val="0"/>
        <w:pageBreakBefore w:val="0"/>
        <w:widowControl w:val="0"/>
        <w:spacing w:line="360" w:lineRule="auto"/>
        <w:rPr>
          <w:rFonts w:hint="eastAsia"/>
          <w:color w:val="auto"/>
          <w:highlight w:val="none"/>
        </w:rPr>
      </w:pPr>
      <w:r>
        <w:rPr>
          <w:rFonts w:hint="eastAsia"/>
          <w:color w:val="auto"/>
          <w:highlight w:val="none"/>
        </w:rPr>
        <w:t>(</w:t>
      </w:r>
      <w:r>
        <w:rPr>
          <w:rFonts w:hint="eastAsia"/>
          <w:color w:val="auto"/>
          <w:highlight w:val="none"/>
          <w:lang w:val="en-US" w:eastAsia="zh-CN"/>
        </w:rPr>
        <w:t>4</w:t>
      </w:r>
      <w:r>
        <w:rPr>
          <w:rFonts w:hint="eastAsia"/>
          <w:color w:val="auto"/>
          <w:highlight w:val="none"/>
        </w:rPr>
        <w:t>)</w:t>
      </w:r>
      <w:r>
        <w:rPr>
          <w:rFonts w:hint="eastAsia" w:ascii="宋体" w:hAnsi="宋体"/>
          <w:color w:val="auto"/>
          <w:sz w:val="24"/>
          <w:szCs w:val="24"/>
          <w:highlight w:val="none"/>
        </w:rPr>
        <w:t>供方</w:t>
      </w:r>
      <w:r>
        <w:rPr>
          <w:rFonts w:hint="eastAsia"/>
          <w:color w:val="auto"/>
          <w:highlight w:val="none"/>
        </w:rPr>
        <w:t>在招投标过程中所作的其他承诺、声明、书面澄清等。</w:t>
      </w:r>
    </w:p>
    <w:p w14:paraId="2825E71E">
      <w:pPr>
        <w:pStyle w:val="242"/>
        <w:keepNext w:val="0"/>
        <w:keepLines w:val="0"/>
        <w:pageBreakBefore w:val="0"/>
        <w:widowControl w:val="0"/>
        <w:spacing w:line="360" w:lineRule="auto"/>
        <w:rPr>
          <w:rFonts w:hint="eastAsia"/>
          <w:b/>
          <w:bCs/>
          <w:color w:val="auto"/>
          <w:highlight w:val="none"/>
        </w:rPr>
      </w:pPr>
      <w:r>
        <w:rPr>
          <w:rFonts w:hint="eastAsia"/>
          <w:b/>
          <w:bCs/>
          <w:color w:val="auto"/>
          <w:highlight w:val="none"/>
        </w:rPr>
        <w:t>十</w:t>
      </w:r>
      <w:r>
        <w:rPr>
          <w:rFonts w:hint="eastAsia"/>
          <w:b/>
          <w:bCs/>
          <w:color w:val="auto"/>
          <w:highlight w:val="none"/>
          <w:lang w:val="en-US" w:eastAsia="zh-CN"/>
        </w:rPr>
        <w:t>七</w:t>
      </w:r>
      <w:r>
        <w:rPr>
          <w:rFonts w:hint="eastAsia"/>
          <w:b/>
          <w:bCs/>
          <w:color w:val="auto"/>
          <w:highlight w:val="none"/>
        </w:rPr>
        <w:t xml:space="preserve">、合同生效及其它 </w:t>
      </w:r>
    </w:p>
    <w:p w14:paraId="74545B99">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.1 合同经双方法定代表人（或负责人）或授权委托代表人签字并加盖单位公章后生效,生效后至张家港市政府采购管理中心备案。</w:t>
      </w:r>
    </w:p>
    <w:p w14:paraId="41F47AB2">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.2 本合同未尽事宜，遵照《民法典》合同编经甲乙双方协商一致可签订补充协议。</w:t>
      </w:r>
    </w:p>
    <w:p w14:paraId="746226C4">
      <w:pPr>
        <w:pStyle w:val="242"/>
        <w:keepNext w:val="0"/>
        <w:keepLines w:val="0"/>
        <w:pageBreakBefore w:val="0"/>
        <w:widowControl w:val="0"/>
        <w:spacing w:line="360" w:lineRule="auto"/>
        <w:rPr>
          <w:rFonts w:hint="eastAsia"/>
          <w:color w:val="auto"/>
          <w:highlight w:val="none"/>
        </w:rPr>
      </w:pPr>
      <w:r>
        <w:rPr>
          <w:rFonts w:hint="eastAsia"/>
          <w:color w:val="auto"/>
          <w:highlight w:val="none"/>
        </w:rPr>
        <w:t>1</w:t>
      </w:r>
      <w:r>
        <w:rPr>
          <w:rFonts w:hint="eastAsia"/>
          <w:color w:val="auto"/>
          <w:highlight w:val="none"/>
          <w:lang w:val="en-US" w:eastAsia="zh-CN"/>
        </w:rPr>
        <w:t>7</w:t>
      </w:r>
      <w:r>
        <w:rPr>
          <w:rFonts w:hint="eastAsia"/>
          <w:color w:val="auto"/>
          <w:highlight w:val="none"/>
        </w:rPr>
        <w:t>.3本合同正本一式六份，具有同等法律效力，甲方三份，乙方、张家港市政府采购管理中心、张家港润信项目咨询有限公司各执一份。</w:t>
      </w:r>
    </w:p>
    <w:tbl>
      <w:tblPr>
        <w:tblStyle w:val="33"/>
        <w:tblW w:w="0" w:type="auto"/>
        <w:jc w:val="center"/>
        <w:tblLayout w:type="fixed"/>
        <w:tblCellMar>
          <w:top w:w="0" w:type="dxa"/>
          <w:left w:w="108" w:type="dxa"/>
          <w:bottom w:w="0" w:type="dxa"/>
          <w:right w:w="108" w:type="dxa"/>
        </w:tblCellMar>
      </w:tblPr>
      <w:tblGrid>
        <w:gridCol w:w="5771"/>
        <w:gridCol w:w="4260"/>
      </w:tblGrid>
      <w:tr w14:paraId="725A7C70">
        <w:tblPrEx>
          <w:tblCellMar>
            <w:top w:w="0" w:type="dxa"/>
            <w:left w:w="108" w:type="dxa"/>
            <w:bottom w:w="0" w:type="dxa"/>
            <w:right w:w="108" w:type="dxa"/>
          </w:tblCellMar>
        </w:tblPrEx>
        <w:trPr>
          <w:trHeight w:val="2179" w:hRule="atLeast"/>
          <w:jc w:val="center"/>
        </w:trPr>
        <w:tc>
          <w:tcPr>
            <w:tcW w:w="5771" w:type="dxa"/>
            <w:noWrap w:val="0"/>
            <w:vAlign w:val="top"/>
          </w:tcPr>
          <w:p w14:paraId="49C0897C">
            <w:pPr>
              <w:spacing w:after="156"/>
              <w:ind w:left="720" w:hanging="720"/>
              <w:rPr>
                <w:rFonts w:hint="default" w:ascii="宋体" w:hAnsi="宋体" w:eastAsia="宋体"/>
                <w:color w:val="auto"/>
                <w:sz w:val="24"/>
                <w:szCs w:val="24"/>
                <w:highlight w:val="none"/>
                <w:u w:val="none"/>
                <w:lang w:val="en-US" w:eastAsia="zh-CN"/>
              </w:rPr>
            </w:pPr>
            <w:r>
              <w:rPr>
                <w:rFonts w:ascii="宋体" w:hAnsi="宋体"/>
                <w:color w:val="auto"/>
                <w:sz w:val="24"/>
                <w:szCs w:val="24"/>
                <w:highlight w:val="none"/>
              </w:rPr>
              <w:t>甲方：</w:t>
            </w:r>
          </w:p>
          <w:p w14:paraId="67EF181C">
            <w:pPr>
              <w:spacing w:after="156"/>
              <w:rPr>
                <w:rFonts w:ascii="宋体" w:hAnsi="宋体"/>
                <w:color w:val="auto"/>
                <w:sz w:val="24"/>
                <w:szCs w:val="24"/>
                <w:highlight w:val="none"/>
              </w:rPr>
            </w:pPr>
            <w:r>
              <w:rPr>
                <w:rFonts w:ascii="宋体" w:hAnsi="宋体"/>
                <w:color w:val="auto"/>
                <w:sz w:val="24"/>
                <w:szCs w:val="24"/>
                <w:highlight w:val="none"/>
              </w:rPr>
              <w:t>地址：</w:t>
            </w:r>
            <w:r>
              <w:rPr>
                <w:rFonts w:hint="eastAsia" w:ascii="宋体" w:hAnsi="宋体"/>
                <w:color w:val="auto"/>
                <w:sz w:val="24"/>
                <w:szCs w:val="24"/>
                <w:highlight w:val="none"/>
              </w:rPr>
              <w:t xml:space="preserve"> </w:t>
            </w:r>
          </w:p>
          <w:p w14:paraId="7C24CA6A">
            <w:pPr>
              <w:spacing w:after="156"/>
              <w:rPr>
                <w:rFonts w:ascii="宋体" w:hAnsi="宋体"/>
                <w:color w:val="auto"/>
                <w:sz w:val="24"/>
                <w:szCs w:val="24"/>
                <w:highlight w:val="none"/>
              </w:rPr>
            </w:pPr>
            <w:r>
              <w:rPr>
                <w:rFonts w:ascii="宋体" w:hAnsi="宋体"/>
                <w:color w:val="auto"/>
                <w:sz w:val="24"/>
                <w:szCs w:val="24"/>
                <w:highlight w:val="none"/>
              </w:rPr>
              <w:t>法定代表人或授权代表：</w:t>
            </w:r>
          </w:p>
          <w:p w14:paraId="62022802">
            <w:pPr>
              <w:spacing w:after="156"/>
              <w:rPr>
                <w:rFonts w:ascii="Times New Roman" w:hAnsi="Times New Roman" w:eastAsia="宋体" w:cs="Times New Roman"/>
                <w:color w:val="auto"/>
                <w:sz w:val="24"/>
                <w:szCs w:val="24"/>
                <w:highlight w:val="none"/>
              </w:rPr>
            </w:pPr>
            <w:r>
              <w:rPr>
                <w:rFonts w:ascii="宋体" w:hAnsi="宋体"/>
                <w:color w:val="auto"/>
                <w:sz w:val="24"/>
                <w:szCs w:val="24"/>
                <w:highlight w:val="none"/>
              </w:rPr>
              <w:t>联系电话：</w:t>
            </w:r>
          </w:p>
        </w:tc>
        <w:tc>
          <w:tcPr>
            <w:tcW w:w="4260" w:type="dxa"/>
            <w:noWrap w:val="0"/>
            <w:vAlign w:val="top"/>
          </w:tcPr>
          <w:p w14:paraId="55767249">
            <w:pPr>
              <w:spacing w:after="156"/>
              <w:rPr>
                <w:rFonts w:ascii="宋体" w:hAnsi="宋体"/>
                <w:color w:val="auto"/>
                <w:sz w:val="24"/>
                <w:szCs w:val="24"/>
                <w:highlight w:val="none"/>
              </w:rPr>
            </w:pPr>
            <w:r>
              <w:rPr>
                <w:rFonts w:ascii="宋体" w:hAnsi="宋体"/>
                <w:color w:val="auto"/>
                <w:sz w:val="24"/>
                <w:szCs w:val="24"/>
                <w:highlight w:val="none"/>
              </w:rPr>
              <w:t>乙方：</w:t>
            </w:r>
          </w:p>
          <w:p w14:paraId="07F7DE69">
            <w:pPr>
              <w:spacing w:after="156"/>
              <w:rPr>
                <w:rFonts w:ascii="宋体" w:hAnsi="宋体"/>
                <w:color w:val="auto"/>
                <w:sz w:val="24"/>
                <w:szCs w:val="24"/>
                <w:highlight w:val="none"/>
              </w:rPr>
            </w:pPr>
            <w:r>
              <w:rPr>
                <w:rFonts w:ascii="宋体" w:hAnsi="宋体"/>
                <w:color w:val="auto"/>
                <w:sz w:val="24"/>
                <w:szCs w:val="24"/>
                <w:highlight w:val="none"/>
              </w:rPr>
              <w:t>地址：</w:t>
            </w:r>
          </w:p>
          <w:p w14:paraId="216F5AA4">
            <w:pPr>
              <w:spacing w:after="156"/>
              <w:rPr>
                <w:rFonts w:ascii="宋体" w:hAnsi="宋体"/>
                <w:color w:val="auto"/>
                <w:sz w:val="24"/>
                <w:szCs w:val="24"/>
                <w:highlight w:val="none"/>
              </w:rPr>
            </w:pPr>
            <w:r>
              <w:rPr>
                <w:rFonts w:ascii="宋体" w:hAnsi="宋体"/>
                <w:color w:val="auto"/>
                <w:sz w:val="24"/>
                <w:szCs w:val="24"/>
                <w:highlight w:val="none"/>
              </w:rPr>
              <w:t>法定代表人（或负责人）或授权代表：</w:t>
            </w:r>
          </w:p>
          <w:p w14:paraId="0102715C">
            <w:pPr>
              <w:spacing w:after="156"/>
              <w:rPr>
                <w:rFonts w:ascii="Times New Roman" w:hAnsi="Times New Roman"/>
                <w:color w:val="auto"/>
                <w:sz w:val="24"/>
                <w:highlight w:val="none"/>
              </w:rPr>
            </w:pPr>
            <w:r>
              <w:rPr>
                <w:rFonts w:ascii="宋体" w:hAnsi="宋体"/>
                <w:color w:val="auto"/>
                <w:sz w:val="24"/>
                <w:szCs w:val="24"/>
                <w:highlight w:val="none"/>
              </w:rPr>
              <w:t>联系电话：</w:t>
            </w:r>
          </w:p>
        </w:tc>
      </w:tr>
      <w:tr w14:paraId="63494FF3">
        <w:tblPrEx>
          <w:tblCellMar>
            <w:top w:w="0" w:type="dxa"/>
            <w:left w:w="108" w:type="dxa"/>
            <w:bottom w:w="0" w:type="dxa"/>
            <w:right w:w="108" w:type="dxa"/>
          </w:tblCellMar>
        </w:tblPrEx>
        <w:trPr>
          <w:jc w:val="center"/>
        </w:trPr>
        <w:tc>
          <w:tcPr>
            <w:tcW w:w="10031" w:type="dxa"/>
            <w:gridSpan w:val="2"/>
            <w:noWrap w:val="0"/>
            <w:vAlign w:val="top"/>
          </w:tcPr>
          <w:p w14:paraId="7CA6D81D">
            <w:pPr>
              <w:pStyle w:val="297"/>
              <w:spacing w:after="156"/>
              <w:ind w:firstLine="0"/>
              <w:rPr>
                <w:rFonts w:hAnsi="宋体"/>
                <w:color w:val="auto"/>
                <w:sz w:val="24"/>
                <w:szCs w:val="24"/>
                <w:highlight w:val="none"/>
              </w:rPr>
            </w:pPr>
          </w:p>
          <w:p w14:paraId="7613D76D">
            <w:pPr>
              <w:spacing w:after="156"/>
              <w:rPr>
                <w:rFonts w:ascii="宋体" w:hAnsi="宋体"/>
                <w:color w:val="auto"/>
                <w:sz w:val="24"/>
                <w:szCs w:val="24"/>
                <w:highlight w:val="none"/>
              </w:rPr>
            </w:pPr>
            <w:r>
              <w:rPr>
                <w:rFonts w:ascii="宋体" w:hAnsi="宋体"/>
                <w:color w:val="auto"/>
                <w:sz w:val="24"/>
                <w:szCs w:val="24"/>
                <w:highlight w:val="none"/>
              </w:rPr>
              <w:t>采购代理机构：</w:t>
            </w:r>
            <w:r>
              <w:rPr>
                <w:rFonts w:hint="eastAsia" w:ascii="宋体" w:hAnsi="宋体"/>
                <w:color w:val="auto"/>
                <w:sz w:val="24"/>
                <w:szCs w:val="24"/>
                <w:highlight w:val="none"/>
              </w:rPr>
              <w:t>张家港润信项目咨询有限公司</w:t>
            </w:r>
          </w:p>
          <w:p w14:paraId="47C91BF8">
            <w:pPr>
              <w:spacing w:after="156"/>
              <w:rPr>
                <w:rFonts w:ascii="宋体" w:hAnsi="宋体"/>
                <w:color w:val="auto"/>
                <w:sz w:val="24"/>
                <w:szCs w:val="24"/>
                <w:highlight w:val="none"/>
              </w:rPr>
            </w:pPr>
            <w:r>
              <w:rPr>
                <w:rFonts w:ascii="宋体" w:hAnsi="宋体"/>
                <w:color w:val="auto"/>
                <w:sz w:val="24"/>
                <w:szCs w:val="24"/>
                <w:highlight w:val="none"/>
              </w:rPr>
              <w:t>地址：张家港市</w:t>
            </w:r>
            <w:r>
              <w:rPr>
                <w:rFonts w:hint="eastAsia" w:ascii="宋体" w:hAnsi="宋体"/>
                <w:color w:val="auto"/>
                <w:sz w:val="24"/>
                <w:szCs w:val="24"/>
                <w:highlight w:val="none"/>
              </w:rPr>
              <w:t>杨舍镇人民西路金田大厦B幢5楼</w:t>
            </w:r>
          </w:p>
          <w:p w14:paraId="21A670A9">
            <w:pPr>
              <w:spacing w:after="156"/>
              <w:rPr>
                <w:rFonts w:ascii="宋体" w:hAnsi="宋体"/>
                <w:color w:val="auto"/>
                <w:sz w:val="24"/>
                <w:szCs w:val="24"/>
                <w:highlight w:val="none"/>
              </w:rPr>
            </w:pPr>
            <w:r>
              <w:rPr>
                <w:rFonts w:ascii="宋体" w:hAnsi="宋体"/>
                <w:color w:val="auto"/>
                <w:sz w:val="24"/>
                <w:szCs w:val="24"/>
                <w:highlight w:val="none"/>
              </w:rPr>
              <w:t>经办人：</w:t>
            </w:r>
          </w:p>
          <w:p w14:paraId="19AA2130">
            <w:pPr>
              <w:spacing w:after="156"/>
              <w:rPr>
                <w:rFonts w:hint="eastAsia" w:ascii="Times New Roman" w:hAnsi="Times New Roman"/>
                <w:color w:val="auto"/>
                <w:sz w:val="24"/>
                <w:highlight w:val="none"/>
              </w:rPr>
            </w:pPr>
            <w:r>
              <w:rPr>
                <w:rFonts w:ascii="宋体" w:hAnsi="宋体"/>
                <w:color w:val="auto"/>
                <w:sz w:val="24"/>
                <w:szCs w:val="24"/>
                <w:highlight w:val="none"/>
              </w:rPr>
              <w:t>联系电话：</w:t>
            </w:r>
            <w:r>
              <w:rPr>
                <w:rFonts w:hint="eastAsia" w:ascii="宋体" w:hAnsi="宋体"/>
                <w:color w:val="auto"/>
                <w:sz w:val="24"/>
                <w:szCs w:val="24"/>
                <w:highlight w:val="none"/>
              </w:rPr>
              <w:t>0512-82568889</w:t>
            </w:r>
          </w:p>
        </w:tc>
      </w:tr>
      <w:tr w14:paraId="2CFFE869">
        <w:tblPrEx>
          <w:tblCellMar>
            <w:top w:w="0" w:type="dxa"/>
            <w:left w:w="108" w:type="dxa"/>
            <w:bottom w:w="0" w:type="dxa"/>
            <w:right w:w="108" w:type="dxa"/>
          </w:tblCellMar>
        </w:tblPrEx>
        <w:trPr>
          <w:jc w:val="center"/>
        </w:trPr>
        <w:tc>
          <w:tcPr>
            <w:tcW w:w="10031" w:type="dxa"/>
            <w:gridSpan w:val="2"/>
            <w:noWrap w:val="0"/>
            <w:vAlign w:val="top"/>
          </w:tcPr>
          <w:p w14:paraId="24FE8461">
            <w:pPr>
              <w:spacing w:after="156"/>
              <w:rPr>
                <w:rFonts w:ascii="宋体" w:hAnsi="宋体"/>
                <w:color w:val="auto"/>
                <w:sz w:val="24"/>
                <w:szCs w:val="24"/>
                <w:highlight w:val="none"/>
              </w:rPr>
            </w:pPr>
          </w:p>
          <w:p w14:paraId="6E3CEEF2">
            <w:pPr>
              <w:spacing w:after="156"/>
              <w:rPr>
                <w:rFonts w:ascii="宋体" w:hAnsi="宋体"/>
                <w:color w:val="auto"/>
                <w:sz w:val="24"/>
                <w:szCs w:val="24"/>
                <w:highlight w:val="none"/>
              </w:rPr>
            </w:pPr>
            <w:r>
              <w:rPr>
                <w:rFonts w:ascii="宋体" w:hAnsi="宋体"/>
                <w:color w:val="auto"/>
                <w:sz w:val="24"/>
                <w:szCs w:val="24"/>
                <w:highlight w:val="none"/>
              </w:rPr>
              <w:t>备案方：张家港市政府采购管理</w:t>
            </w:r>
            <w:r>
              <w:rPr>
                <w:rFonts w:hint="eastAsia" w:ascii="宋体" w:hAnsi="宋体"/>
                <w:color w:val="auto"/>
                <w:sz w:val="24"/>
                <w:szCs w:val="24"/>
                <w:highlight w:val="none"/>
              </w:rPr>
              <w:t>中心</w:t>
            </w:r>
          </w:p>
          <w:p w14:paraId="2814B452">
            <w:pPr>
              <w:spacing w:after="156"/>
              <w:rPr>
                <w:rFonts w:ascii="宋体" w:hAnsi="宋体"/>
                <w:color w:val="auto"/>
                <w:sz w:val="24"/>
                <w:szCs w:val="24"/>
                <w:highlight w:val="none"/>
              </w:rPr>
            </w:pPr>
            <w:r>
              <w:rPr>
                <w:rFonts w:ascii="宋体" w:hAnsi="宋体"/>
                <w:color w:val="auto"/>
                <w:sz w:val="24"/>
                <w:szCs w:val="24"/>
                <w:highlight w:val="none"/>
              </w:rPr>
              <w:t>联系人：</w:t>
            </w:r>
          </w:p>
          <w:p w14:paraId="713DEB64">
            <w:pPr>
              <w:spacing w:after="156"/>
              <w:rPr>
                <w:rFonts w:ascii="Times New Roman" w:hAnsi="Times New Roman"/>
                <w:color w:val="auto"/>
                <w:sz w:val="24"/>
                <w:highlight w:val="none"/>
              </w:rPr>
            </w:pPr>
            <w:r>
              <w:rPr>
                <w:rFonts w:ascii="宋体" w:hAnsi="宋体"/>
                <w:color w:val="auto"/>
                <w:sz w:val="24"/>
                <w:szCs w:val="24"/>
                <w:highlight w:val="none"/>
              </w:rPr>
              <w:t>联系电话：</w:t>
            </w:r>
          </w:p>
        </w:tc>
      </w:tr>
      <w:tr w14:paraId="47A756E6">
        <w:tblPrEx>
          <w:tblCellMar>
            <w:top w:w="0" w:type="dxa"/>
            <w:left w:w="108" w:type="dxa"/>
            <w:bottom w:w="0" w:type="dxa"/>
            <w:right w:w="108" w:type="dxa"/>
          </w:tblCellMar>
        </w:tblPrEx>
        <w:trPr>
          <w:trHeight w:val="566" w:hRule="atLeast"/>
          <w:jc w:val="center"/>
        </w:trPr>
        <w:tc>
          <w:tcPr>
            <w:tcW w:w="10031" w:type="dxa"/>
            <w:gridSpan w:val="2"/>
            <w:noWrap w:val="0"/>
            <w:vAlign w:val="top"/>
          </w:tcPr>
          <w:p w14:paraId="5E4DF9A4">
            <w:pPr>
              <w:spacing w:after="156"/>
              <w:jc w:val="cente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签订日期：</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月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日</w:t>
            </w:r>
          </w:p>
        </w:tc>
      </w:tr>
    </w:tbl>
    <w:p w14:paraId="0E52232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5A0A55AC">
      <w:pPr>
        <w:pageBreakBefore/>
        <w:spacing w:before="240" w:after="60" w:line="360" w:lineRule="auto"/>
        <w:outlineLvl w:val="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附件二：响应文件格式</w:t>
      </w:r>
      <w:bookmarkStart w:id="8" w:name="_Hlt26671244"/>
      <w:bookmarkEnd w:id="8"/>
      <w:bookmarkStart w:id="9" w:name="_Hlt26955039"/>
      <w:bookmarkEnd w:id="9"/>
    </w:p>
    <w:p w14:paraId="235508C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0" w:name="EB83092d469bf444059297719c081b8cdc"/>
    </w:p>
    <w:p w14:paraId="3177EB50">
      <w:pPr>
        <w:pStyle w:val="256"/>
        <w:spacing w:after="400" w:line="360" w:lineRule="auto"/>
        <w:jc w:val="center"/>
        <w:rPr>
          <w:rStyle w:val="191"/>
          <w:rFonts w:hint="eastAsia" w:ascii="宋体" w:hAnsi="宋体" w:eastAsia="宋体" w:cs="宋体"/>
          <w:color w:val="000000" w:themeColor="text1"/>
          <w:sz w:val="44"/>
          <w:szCs w:val="44"/>
          <w:highlight w:val="none"/>
          <w14:textFill>
            <w14:solidFill>
              <w14:schemeClr w14:val="tx1"/>
            </w14:solidFill>
          </w14:textFill>
        </w:rPr>
      </w:pPr>
      <w:r>
        <w:rPr>
          <w:rStyle w:val="191"/>
          <w:rFonts w:hint="eastAsia" w:ascii="宋体" w:hAnsi="宋体" w:eastAsia="宋体" w:cs="宋体"/>
          <w:color w:val="000000" w:themeColor="text1"/>
          <w:sz w:val="44"/>
          <w:szCs w:val="44"/>
          <w:highlight w:val="none"/>
          <w14:textFill>
            <w14:solidFill>
              <w14:schemeClr w14:val="tx1"/>
            </w14:solidFill>
          </w14:textFill>
        </w:rPr>
        <w:t>响应文件目录</w:t>
      </w:r>
    </w:p>
    <w:p w14:paraId="5C155E1B">
      <w:pPr>
        <w:pStyle w:val="292"/>
        <w:spacing w:before="240" w:after="240" w:line="200" w:lineRule="atLeast"/>
        <w:rPr>
          <w:rStyle w:val="288"/>
          <w:rFonts w:hint="default" w:ascii="Times New Roman" w:hAnsi="Times New Roman" w:eastAsia="宋体" w:cs="Times New Roman"/>
          <w:color w:val="auto"/>
          <w:sz w:val="24"/>
          <w:szCs w:val="24"/>
          <w:highlight w:val="none"/>
        </w:rPr>
      </w:pPr>
      <w:r>
        <w:rPr>
          <w:rStyle w:val="288"/>
          <w:rFonts w:hint="default" w:ascii="Times New Roman" w:hAnsi="Times New Roman" w:eastAsia="宋体" w:cs="Times New Roman"/>
          <w:color w:val="auto"/>
          <w:sz w:val="24"/>
          <w:szCs w:val="24"/>
          <w:highlight w:val="none"/>
        </w:rPr>
        <w:t>一、单一来源响应函</w:t>
      </w:r>
    </w:p>
    <w:p w14:paraId="155C03F4">
      <w:pPr>
        <w:pStyle w:val="292"/>
        <w:spacing w:before="240" w:after="240" w:line="200" w:lineRule="atLeast"/>
        <w:rPr>
          <w:rStyle w:val="288"/>
          <w:rFonts w:hint="default" w:ascii="Times New Roman" w:hAnsi="Times New Roman" w:eastAsia="宋体" w:cs="Times New Roman"/>
          <w:color w:val="auto"/>
          <w:sz w:val="24"/>
          <w:szCs w:val="24"/>
          <w:highlight w:val="none"/>
        </w:rPr>
      </w:pPr>
      <w:r>
        <w:rPr>
          <w:rStyle w:val="288"/>
          <w:rFonts w:hint="default" w:ascii="Times New Roman" w:hAnsi="Times New Roman" w:eastAsia="宋体" w:cs="Times New Roman"/>
          <w:color w:val="auto"/>
          <w:sz w:val="24"/>
          <w:szCs w:val="24"/>
          <w:highlight w:val="none"/>
        </w:rPr>
        <w:t>二、单一来源报价表</w:t>
      </w:r>
    </w:p>
    <w:p w14:paraId="79046D84">
      <w:pPr>
        <w:pStyle w:val="292"/>
        <w:spacing w:before="240" w:after="240" w:line="200" w:lineRule="atLeast"/>
        <w:rPr>
          <w:rStyle w:val="288"/>
          <w:rFonts w:hint="default" w:ascii="Times New Roman" w:hAnsi="Times New Roman" w:eastAsia="宋体" w:cs="Times New Roman"/>
          <w:color w:val="auto"/>
          <w:sz w:val="24"/>
          <w:szCs w:val="24"/>
          <w:highlight w:val="none"/>
        </w:rPr>
      </w:pPr>
      <w:r>
        <w:rPr>
          <w:rStyle w:val="288"/>
          <w:rFonts w:hint="default" w:ascii="Times New Roman" w:hAnsi="Times New Roman" w:eastAsia="宋体" w:cs="Times New Roman"/>
          <w:color w:val="auto"/>
          <w:sz w:val="24"/>
          <w:szCs w:val="24"/>
          <w:highlight w:val="none"/>
        </w:rPr>
        <w:t>三、资格证明文件</w:t>
      </w:r>
    </w:p>
    <w:p w14:paraId="08348935">
      <w:pPr>
        <w:pStyle w:val="292"/>
        <w:spacing w:before="240" w:after="240" w:line="200" w:lineRule="atLeast"/>
        <w:rPr>
          <w:rStyle w:val="288"/>
          <w:rFonts w:hint="default" w:ascii="Times New Roman" w:hAnsi="Times New Roman" w:eastAsia="宋体" w:cs="Times New Roman"/>
          <w:color w:val="auto"/>
          <w:sz w:val="24"/>
          <w:szCs w:val="24"/>
          <w:highlight w:val="none"/>
        </w:rPr>
      </w:pPr>
      <w:r>
        <w:rPr>
          <w:rStyle w:val="288"/>
          <w:rFonts w:hint="eastAsia" w:eastAsia="宋体" w:cs="Times New Roman"/>
          <w:color w:val="auto"/>
          <w:sz w:val="24"/>
          <w:szCs w:val="24"/>
          <w:highlight w:val="none"/>
          <w:lang w:val="en-US"/>
        </w:rPr>
        <w:t>四</w:t>
      </w:r>
      <w:r>
        <w:rPr>
          <w:rStyle w:val="288"/>
          <w:rFonts w:hint="default" w:ascii="Times New Roman" w:hAnsi="Times New Roman" w:eastAsia="宋体" w:cs="Times New Roman"/>
          <w:color w:val="auto"/>
          <w:sz w:val="24"/>
          <w:szCs w:val="24"/>
          <w:highlight w:val="none"/>
        </w:rPr>
        <w:t>、商务条款响应及偏离表</w:t>
      </w:r>
    </w:p>
    <w:p w14:paraId="6BE2C9CD">
      <w:pPr>
        <w:pStyle w:val="292"/>
        <w:spacing w:before="240" w:after="240" w:line="200" w:lineRule="atLeast"/>
        <w:rPr>
          <w:rStyle w:val="288"/>
          <w:rFonts w:hint="default" w:ascii="Times New Roman" w:hAnsi="Times New Roman" w:eastAsia="宋体" w:cs="Times New Roman"/>
          <w:color w:val="auto"/>
          <w:sz w:val="24"/>
          <w:szCs w:val="24"/>
          <w:highlight w:val="none"/>
        </w:rPr>
      </w:pPr>
      <w:r>
        <w:rPr>
          <w:rStyle w:val="288"/>
          <w:rFonts w:hint="eastAsia" w:eastAsia="宋体" w:cs="Times New Roman"/>
          <w:color w:val="auto"/>
          <w:sz w:val="24"/>
          <w:szCs w:val="24"/>
          <w:highlight w:val="none"/>
          <w:lang w:val="en-US"/>
        </w:rPr>
        <w:t>五</w:t>
      </w:r>
      <w:r>
        <w:rPr>
          <w:rStyle w:val="288"/>
          <w:rFonts w:hint="default" w:ascii="Times New Roman" w:hAnsi="Times New Roman" w:eastAsia="宋体" w:cs="Times New Roman"/>
          <w:color w:val="auto"/>
          <w:sz w:val="24"/>
          <w:szCs w:val="24"/>
          <w:highlight w:val="none"/>
        </w:rPr>
        <w:t>、</w:t>
      </w:r>
      <w:r>
        <w:rPr>
          <w:rStyle w:val="288"/>
          <w:rFonts w:hint="eastAsia" w:eastAsia="宋体" w:cs="Times New Roman"/>
          <w:color w:val="auto"/>
          <w:sz w:val="24"/>
          <w:szCs w:val="24"/>
          <w:highlight w:val="none"/>
          <w:lang w:val="en-US"/>
        </w:rPr>
        <w:t>技术参数响应及偏离表</w:t>
      </w:r>
    </w:p>
    <w:p w14:paraId="4071B680">
      <w:pPr>
        <w:pStyle w:val="256"/>
        <w:spacing w:before="240" w:after="240" w:line="360" w:lineRule="auto"/>
        <w:rPr>
          <w:rStyle w:val="191"/>
          <w:rFonts w:hint="eastAsia" w:ascii="宋体" w:hAnsi="宋体" w:eastAsia="宋体" w:cs="宋体"/>
          <w:color w:val="000000" w:themeColor="text1"/>
          <w:sz w:val="24"/>
          <w:szCs w:val="24"/>
          <w:highlight w:val="none"/>
          <w14:textFill>
            <w14:solidFill>
              <w14:schemeClr w14:val="tx1"/>
            </w14:solidFill>
          </w14:textFill>
        </w:rPr>
      </w:pPr>
      <w:r>
        <w:rPr>
          <w:rStyle w:val="191"/>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Style w:val="191"/>
          <w:rFonts w:hint="eastAsia" w:ascii="宋体" w:hAnsi="宋体" w:eastAsia="宋体" w:cs="宋体"/>
          <w:color w:val="000000" w:themeColor="text1"/>
          <w:sz w:val="24"/>
          <w:szCs w:val="24"/>
          <w:highlight w:val="none"/>
          <w14:textFill>
            <w14:solidFill>
              <w14:schemeClr w14:val="tx1"/>
            </w14:solidFill>
          </w14:textFill>
        </w:rPr>
        <w:t>、供应商情况介绍</w:t>
      </w:r>
    </w:p>
    <w:p w14:paraId="514DB4BA">
      <w:pPr>
        <w:pStyle w:val="257"/>
        <w:spacing w:line="360" w:lineRule="auto"/>
        <w:jc w:val="left"/>
        <w:outlineLvl w:val="1"/>
        <w:rPr>
          <w:rStyle w:val="191"/>
          <w:rFonts w:hint="eastAsia" w:ascii="宋体" w:hAnsi="宋体" w:eastAsia="宋体" w:cs="宋体"/>
          <w:b/>
          <w:color w:val="000000" w:themeColor="text1"/>
          <w:sz w:val="28"/>
          <w:szCs w:val="28"/>
          <w:highlight w:val="none"/>
          <w14:textFill>
            <w14:solidFill>
              <w14:schemeClr w14:val="tx1"/>
            </w14:solidFill>
          </w14:textFill>
        </w:rPr>
      </w:pPr>
    </w:p>
    <w:p w14:paraId="21E7C98E">
      <w:pPr>
        <w:keepNext/>
        <w:keepLines/>
        <w:pageBreakBefore/>
        <w:spacing w:line="360" w:lineRule="auto"/>
        <w:jc w:val="center"/>
        <w:outlineLvl w:val="1"/>
        <w:rPr>
          <w:rFonts w:hint="default" w:ascii="Times New Roman" w:hAnsi="Times New Roman" w:eastAsia="宋体" w:cs="Times New Roman"/>
          <w:b/>
          <w:bCs/>
          <w:color w:val="auto"/>
          <w:sz w:val="32"/>
          <w:szCs w:val="32"/>
          <w:highlight w:val="none"/>
        </w:rPr>
      </w:pPr>
      <w:bookmarkStart w:id="11" w:name="_Toc26162"/>
      <w:r>
        <w:rPr>
          <w:rFonts w:hint="default" w:ascii="Times New Roman" w:hAnsi="Times New Roman" w:eastAsia="宋体" w:cs="Times New Roman"/>
          <w:b/>
          <w:bCs/>
          <w:color w:val="auto"/>
          <w:sz w:val="32"/>
          <w:szCs w:val="32"/>
          <w:highlight w:val="none"/>
        </w:rPr>
        <w:t>一、单一来源响应函</w:t>
      </w:r>
      <w:bookmarkEnd w:id="11"/>
    </w:p>
    <w:p w14:paraId="462D52CC">
      <w:pPr>
        <w:pStyle w:val="298"/>
        <w:spacing w:line="440" w:lineRule="exact"/>
        <w:rPr>
          <w:rFonts w:hint="default" w:ascii="Times New Roman" w:hAnsi="Times New Roman" w:eastAsia="宋体" w:cs="Times New Roman"/>
          <w:color w:val="auto"/>
          <w:highlight w:val="none"/>
        </w:rPr>
      </w:pPr>
      <w:r>
        <w:rPr>
          <w:rStyle w:val="288"/>
          <w:rFonts w:hint="default" w:ascii="Times New Roman" w:hAnsi="Times New Roman" w:eastAsia="宋体" w:cs="Times New Roman"/>
          <w:color w:val="auto"/>
          <w:highlight w:val="none"/>
        </w:rPr>
        <w:t>﻿</w:t>
      </w:r>
    </w:p>
    <w:p w14:paraId="732992D5">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致</w:t>
      </w:r>
      <w:r>
        <w:rPr>
          <w:rFonts w:hint="eastAsia" w:ascii="Times New Roman" w:hAnsi="Times New Roman" w:cs="Times New Roman"/>
          <w:color w:val="auto"/>
          <w:sz w:val="24"/>
          <w:szCs w:val="24"/>
          <w:highlight w:val="none"/>
          <w:lang w:eastAsia="zh-CN"/>
        </w:rPr>
        <w:t>张家港润信项目咨询有限公司</w:t>
      </w:r>
      <w:r>
        <w:rPr>
          <w:rFonts w:hint="default" w:ascii="Times New Roman" w:hAnsi="Times New Roman" w:eastAsia="宋体" w:cs="Times New Roman"/>
          <w:color w:val="auto"/>
          <w:sz w:val="24"/>
          <w:szCs w:val="24"/>
          <w:highlight w:val="none"/>
        </w:rPr>
        <w:t>：</w:t>
      </w:r>
    </w:p>
    <w:p w14:paraId="48F66C1E">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根据贵方的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号</w:t>
      </w:r>
      <w:r>
        <w:rPr>
          <w:rFonts w:hint="default" w:ascii="Times New Roman" w:hAnsi="Times New Roman" w:eastAsia="宋体" w:cs="Times New Roman"/>
          <w:color w:val="auto"/>
          <w:sz w:val="24"/>
          <w:szCs w:val="24"/>
          <w:highlight w:val="none"/>
          <w:lang w:eastAsia="zh-CN"/>
        </w:rPr>
        <w:t>采购文件</w:t>
      </w:r>
      <w:r>
        <w:rPr>
          <w:rFonts w:hint="default" w:ascii="Times New Roman" w:hAnsi="Times New Roman" w:eastAsia="宋体" w:cs="Times New Roman"/>
          <w:color w:val="auto"/>
          <w:sz w:val="24"/>
          <w:szCs w:val="24"/>
          <w:highlight w:val="none"/>
        </w:rPr>
        <w:t>，正式授权下述签字人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（姓名和职务）代表我方</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供应商</w:t>
      </w:r>
      <w:r>
        <w:rPr>
          <w:rFonts w:hint="default" w:ascii="Times New Roman" w:hAnsi="Times New Roman" w:eastAsia="宋体" w:cs="Times New Roman"/>
          <w:color w:val="auto"/>
          <w:sz w:val="24"/>
          <w:szCs w:val="24"/>
          <w:highlight w:val="none"/>
        </w:rPr>
        <w:t>的名称），全权处理本次项目投标的有关事宜。</w:t>
      </w:r>
    </w:p>
    <w:p w14:paraId="54A4D99D">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据此函，签字人兹宣布同意如下：</w:t>
      </w:r>
    </w:p>
    <w:p w14:paraId="2C473DB8">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1、同意向贵方提供贵方可能另外要求的与投标有关的任何证据或资料；</w:t>
      </w:r>
    </w:p>
    <w:p w14:paraId="7DB9B2DC">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2、我们完全理解贵方不一定将合同授予最低报价的</w:t>
      </w:r>
      <w:r>
        <w:rPr>
          <w:rFonts w:hint="default" w:ascii="Times New Roman" w:hAnsi="Times New Roman" w:eastAsia="宋体" w:cs="Times New Roman"/>
          <w:color w:val="auto"/>
          <w:sz w:val="24"/>
          <w:szCs w:val="24"/>
          <w:highlight w:val="none"/>
          <w:lang w:eastAsia="zh-CN"/>
        </w:rPr>
        <w:t>供应商</w:t>
      </w:r>
      <w:r>
        <w:rPr>
          <w:rFonts w:hint="default" w:ascii="Times New Roman" w:hAnsi="Times New Roman" w:eastAsia="宋体" w:cs="Times New Roman"/>
          <w:color w:val="auto"/>
          <w:sz w:val="24"/>
          <w:szCs w:val="24"/>
          <w:highlight w:val="none"/>
        </w:rPr>
        <w:t>；</w:t>
      </w:r>
    </w:p>
    <w:p w14:paraId="361EA1D7">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3、我们已详细审核全部</w:t>
      </w:r>
      <w:r>
        <w:rPr>
          <w:rFonts w:hint="default" w:ascii="Times New Roman" w:hAnsi="Times New Roman" w:eastAsia="宋体" w:cs="Times New Roman"/>
          <w:color w:val="auto"/>
          <w:sz w:val="24"/>
          <w:szCs w:val="24"/>
          <w:highlight w:val="none"/>
          <w:lang w:eastAsia="zh-CN"/>
        </w:rPr>
        <w:t>采购文件</w:t>
      </w:r>
      <w:r>
        <w:rPr>
          <w:rFonts w:hint="default" w:ascii="Times New Roman" w:hAnsi="Times New Roman" w:eastAsia="宋体" w:cs="Times New Roman"/>
          <w:color w:val="auto"/>
          <w:sz w:val="24"/>
          <w:szCs w:val="24"/>
          <w:highlight w:val="none"/>
        </w:rPr>
        <w:t xml:space="preserve">及其有效补充文件，我们知道必须放弃提出含糊不清或误解问题的权利； </w:t>
      </w:r>
    </w:p>
    <w:p w14:paraId="398A3CDA">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4、一旦我方中标，我们将根据</w:t>
      </w:r>
      <w:r>
        <w:rPr>
          <w:rFonts w:hint="default" w:ascii="Times New Roman" w:hAnsi="Times New Roman" w:eastAsia="宋体" w:cs="Times New Roman"/>
          <w:color w:val="auto"/>
          <w:sz w:val="24"/>
          <w:szCs w:val="24"/>
          <w:highlight w:val="none"/>
          <w:lang w:eastAsia="zh-CN"/>
        </w:rPr>
        <w:t>采购文件</w:t>
      </w:r>
      <w:r>
        <w:rPr>
          <w:rFonts w:hint="default" w:ascii="Times New Roman" w:hAnsi="Times New Roman" w:eastAsia="宋体" w:cs="Times New Roman"/>
          <w:color w:val="auto"/>
          <w:sz w:val="24"/>
          <w:szCs w:val="24"/>
          <w:highlight w:val="none"/>
        </w:rPr>
        <w:t>的规定，严格履行合同条款的责任和义务，并保证按照合同条款提供服务；</w:t>
      </w:r>
    </w:p>
    <w:p w14:paraId="73012721">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5、与本投标有关的正式通讯地址为：</w:t>
      </w:r>
    </w:p>
    <w:p w14:paraId="3B344850">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    址：</w:t>
      </w:r>
      <w:r>
        <w:rPr>
          <w:rFonts w:hint="default" w:ascii="Times New Roman" w:hAnsi="Times New Roman" w:eastAsia="宋体" w:cs="Times New Roman"/>
          <w:color w:val="auto"/>
          <w:sz w:val="24"/>
          <w:szCs w:val="24"/>
          <w:highlight w:val="none"/>
          <w:u w:val="single"/>
        </w:rPr>
        <w:t xml:space="preserve">                        </w:t>
      </w:r>
    </w:p>
    <w:p w14:paraId="1C255A48">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邮    编：</w:t>
      </w:r>
      <w:r>
        <w:rPr>
          <w:rFonts w:hint="default" w:ascii="Times New Roman" w:hAnsi="Times New Roman" w:eastAsia="宋体" w:cs="Times New Roman"/>
          <w:color w:val="auto"/>
          <w:sz w:val="24"/>
          <w:szCs w:val="24"/>
          <w:highlight w:val="none"/>
          <w:u w:val="single"/>
        </w:rPr>
        <w:t xml:space="preserve">                        </w:t>
      </w:r>
    </w:p>
    <w:p w14:paraId="6446341A">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    话：</w:t>
      </w:r>
      <w:r>
        <w:rPr>
          <w:rFonts w:hint="default" w:ascii="Times New Roman" w:hAnsi="Times New Roman" w:eastAsia="宋体" w:cs="Times New Roman"/>
          <w:color w:val="auto"/>
          <w:sz w:val="24"/>
          <w:szCs w:val="24"/>
          <w:highlight w:val="none"/>
          <w:u w:val="single"/>
        </w:rPr>
        <w:t xml:space="preserve">                        </w:t>
      </w:r>
    </w:p>
    <w:p w14:paraId="3880809C">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    真：</w:t>
      </w:r>
      <w:r>
        <w:rPr>
          <w:rFonts w:hint="default" w:ascii="Times New Roman" w:hAnsi="Times New Roman" w:eastAsia="宋体" w:cs="Times New Roman"/>
          <w:color w:val="auto"/>
          <w:sz w:val="24"/>
          <w:szCs w:val="24"/>
          <w:highlight w:val="none"/>
          <w:u w:val="single"/>
        </w:rPr>
        <w:t xml:space="preserve">                        </w:t>
      </w:r>
    </w:p>
    <w:p w14:paraId="3E97F483">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投标单位代表姓名：</w:t>
      </w:r>
      <w:r>
        <w:rPr>
          <w:rFonts w:hint="default" w:ascii="Times New Roman" w:hAnsi="Times New Roman" w:eastAsia="宋体" w:cs="Times New Roman"/>
          <w:color w:val="auto"/>
          <w:sz w:val="24"/>
          <w:szCs w:val="24"/>
          <w:highlight w:val="none"/>
          <w:u w:val="single"/>
        </w:rPr>
        <w:t xml:space="preserve">                </w:t>
      </w:r>
    </w:p>
    <w:p w14:paraId="164B7CB1">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投标单位名称：</w:t>
      </w:r>
      <w:r>
        <w:rPr>
          <w:rFonts w:hint="default" w:ascii="Times New Roman" w:hAnsi="Times New Roman" w:eastAsia="宋体" w:cs="Times New Roman"/>
          <w:color w:val="auto"/>
          <w:sz w:val="24"/>
          <w:szCs w:val="24"/>
          <w:highlight w:val="none"/>
          <w:u w:val="single"/>
        </w:rPr>
        <w:t xml:space="preserve">                    </w:t>
      </w:r>
    </w:p>
    <w:p w14:paraId="5622EB6A">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公    章：</w:t>
      </w:r>
      <w:r>
        <w:rPr>
          <w:rFonts w:hint="default" w:ascii="Times New Roman" w:hAnsi="Times New Roman" w:eastAsia="宋体" w:cs="Times New Roman"/>
          <w:color w:val="auto"/>
          <w:sz w:val="24"/>
          <w:szCs w:val="24"/>
          <w:highlight w:val="none"/>
          <w:u w:val="single"/>
        </w:rPr>
        <w:t xml:space="preserve">                        </w:t>
      </w:r>
    </w:p>
    <w:p w14:paraId="577EC2C7">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6E3894CC">
      <w:pPr>
        <w:spacing w:line="360" w:lineRule="auto"/>
        <w:ind w:firstLine="480"/>
        <w:rPr>
          <w:rFonts w:hint="default" w:ascii="Times New Roman" w:hAnsi="Times New Roman" w:eastAsia="宋体" w:cs="Times New Roman"/>
          <w:color w:val="auto"/>
          <w:sz w:val="24"/>
          <w:szCs w:val="24"/>
          <w:highlight w:val="none"/>
        </w:rPr>
      </w:pPr>
    </w:p>
    <w:p w14:paraId="1B9C725F">
      <w:pPr>
        <w:pStyle w:val="293"/>
        <w:spacing w:line="360" w:lineRule="auto"/>
        <w:jc w:val="center"/>
        <w:rPr>
          <w:rFonts w:hint="default" w:ascii="Times New Roman" w:hAnsi="Times New Roman" w:eastAsia="宋体" w:cs="Times New Roman"/>
          <w:b/>
          <w:bCs/>
          <w:color w:val="auto"/>
          <w:sz w:val="32"/>
          <w:szCs w:val="32"/>
          <w:highlight w:val="none"/>
        </w:rPr>
        <w:sectPr>
          <w:footerReference r:id="rId4" w:type="first"/>
          <w:footerReference r:id="rId3" w:type="default"/>
          <w:pgSz w:w="11906" w:h="16838"/>
          <w:pgMar w:top="1440" w:right="1417" w:bottom="1440" w:left="1474" w:header="851" w:footer="992" w:gutter="0"/>
          <w:cols w:space="1701" w:num="1"/>
          <w:titlePg/>
          <w:docGrid w:linePitch="360" w:charSpace="0"/>
        </w:sectPr>
      </w:pPr>
    </w:p>
    <w:p w14:paraId="5FE2ABFC">
      <w:pPr>
        <w:keepNext/>
        <w:keepLines/>
        <w:pageBreakBefore/>
        <w:spacing w:line="360" w:lineRule="auto"/>
        <w:jc w:val="center"/>
        <w:outlineLvl w:val="1"/>
        <w:rPr>
          <w:rFonts w:hint="eastAsia" w:ascii="Times New Roman" w:hAnsi="Times New Roman" w:eastAsia="宋体" w:cs="Times New Roman"/>
          <w:b/>
          <w:bCs/>
          <w:color w:val="auto"/>
          <w:sz w:val="32"/>
          <w:szCs w:val="32"/>
          <w:highlight w:val="none"/>
          <w:lang w:val="en-US" w:eastAsia="zh-CN"/>
        </w:rPr>
      </w:pPr>
      <w:bookmarkStart w:id="12" w:name="_Toc10751"/>
      <w:r>
        <w:rPr>
          <w:rFonts w:hint="default" w:ascii="Times New Roman" w:hAnsi="Times New Roman" w:eastAsia="宋体" w:cs="Times New Roman"/>
          <w:b/>
          <w:bCs/>
          <w:color w:val="auto"/>
          <w:sz w:val="32"/>
          <w:szCs w:val="32"/>
          <w:highlight w:val="none"/>
        </w:rPr>
        <w:t>二、</w:t>
      </w:r>
      <w:bookmarkEnd w:id="12"/>
      <w:r>
        <w:rPr>
          <w:rFonts w:hint="eastAsia" w:ascii="Times New Roman" w:hAnsi="Times New Roman" w:cs="Times New Roman"/>
          <w:b/>
          <w:bCs/>
          <w:color w:val="auto"/>
          <w:sz w:val="32"/>
          <w:szCs w:val="32"/>
          <w:highlight w:val="none"/>
          <w:lang w:val="en-US" w:eastAsia="zh-CN"/>
        </w:rPr>
        <w:t>单一来源报价表</w:t>
      </w:r>
    </w:p>
    <w:p w14:paraId="087116DF">
      <w:pPr>
        <w:pStyle w:val="293"/>
        <w:spacing w:line="440" w:lineRule="exact"/>
        <w:jc w:val="center"/>
        <w:rPr>
          <w:rStyle w:val="288"/>
          <w:rFonts w:eastAsia="宋体"/>
          <w:color w:val="auto"/>
          <w:spacing w:val="7"/>
          <w:highlight w:val="none"/>
        </w:rPr>
      </w:pPr>
      <w:r>
        <w:rPr>
          <w:rStyle w:val="288"/>
          <w:rFonts w:hint="eastAsia" w:ascii="宋体" w:hAnsi="宋体" w:eastAsia="宋体" w:cs="宋体"/>
          <w:color w:val="auto"/>
          <w:highlight w:val="none"/>
        </w:rPr>
        <w:t>单一来源报价表（</w:t>
      </w:r>
      <w:r>
        <w:rPr>
          <w:rStyle w:val="288"/>
          <w:rFonts w:hint="eastAsia" w:ascii="宋体" w:hAnsi="宋体" w:eastAsia="宋体" w:cs="宋体"/>
          <w:color w:val="auto"/>
          <w:highlight w:val="none"/>
          <w:lang w:val="en-US" w:eastAsia="zh-CN"/>
        </w:rPr>
        <w:t>优惠率</w:t>
      </w:r>
      <w:r>
        <w:rPr>
          <w:rStyle w:val="288"/>
          <w:rFonts w:hint="eastAsia" w:ascii="宋体" w:hAnsi="宋体" w:eastAsia="宋体" w:cs="宋体"/>
          <w:color w:val="auto"/>
          <w:highlight w:val="none"/>
        </w:rPr>
        <w:t>）</w:t>
      </w:r>
    </w:p>
    <w:p w14:paraId="275F6DB5">
      <w:pPr>
        <w:pStyle w:val="293"/>
        <w:spacing w:before="240" w:after="240"/>
        <w:rPr>
          <w:rStyle w:val="288"/>
          <w:rFonts w:ascii="宋体" w:hAnsi="宋体" w:eastAsia="宋体" w:cs="宋体"/>
          <w:color w:val="auto"/>
          <w:highlight w:val="none"/>
        </w:rPr>
      </w:pPr>
      <w:r>
        <w:rPr>
          <w:rStyle w:val="288"/>
          <w:rFonts w:ascii="宋体" w:hAnsi="宋体" w:eastAsia="宋体" w:cs="宋体"/>
          <w:color w:val="auto"/>
          <w:highlight w:val="none"/>
        </w:rPr>
        <w:t>投标</w:t>
      </w:r>
      <w:r>
        <w:rPr>
          <w:rStyle w:val="288"/>
          <w:rFonts w:hint="eastAsia" w:ascii="宋体" w:hAnsi="宋体" w:eastAsia="宋体" w:cs="宋体"/>
          <w:color w:val="auto"/>
          <w:highlight w:val="none"/>
        </w:rPr>
        <w:t>人</w:t>
      </w:r>
      <w:r>
        <w:rPr>
          <w:rStyle w:val="288"/>
          <w:rFonts w:ascii="宋体" w:hAnsi="宋体" w:eastAsia="宋体" w:cs="宋体"/>
          <w:color w:val="auto"/>
          <w:highlight w:val="none"/>
        </w:rPr>
        <w:t>全称（加盖公章）：</w:t>
      </w:r>
    </w:p>
    <w:p w14:paraId="33CCD181">
      <w:pPr>
        <w:pStyle w:val="293"/>
        <w:spacing w:before="240" w:after="240"/>
        <w:rPr>
          <w:rStyle w:val="288"/>
          <w:rFonts w:ascii="宋体" w:hAnsi="宋体" w:eastAsia="宋体" w:cs="宋体"/>
          <w:color w:val="auto"/>
          <w:highlight w:val="none"/>
        </w:rPr>
      </w:pPr>
      <w:r>
        <w:rPr>
          <w:rStyle w:val="288"/>
          <w:rFonts w:hint="eastAsia" w:ascii="宋体" w:hAnsi="宋体" w:eastAsia="宋体" w:cs="宋体"/>
          <w:color w:val="auto"/>
          <w:highlight w:val="none"/>
        </w:rPr>
        <w:t>项目编号：</w:t>
      </w:r>
      <w:r>
        <w:rPr>
          <w:rStyle w:val="288"/>
          <w:rFonts w:ascii="宋体" w:hAnsi="宋体" w:eastAsia="宋体" w:cs="宋体"/>
          <w:color w:val="auto"/>
          <w:highlight w:val="none"/>
        </w:rPr>
        <w:t xml:space="preserve">    </w:t>
      </w:r>
    </w:p>
    <w:p w14:paraId="29518DAD">
      <w:pPr>
        <w:pStyle w:val="293"/>
        <w:spacing w:before="240" w:after="240"/>
        <w:rPr>
          <w:rStyle w:val="288"/>
          <w:rFonts w:ascii="宋体" w:hAnsi="宋体" w:eastAsia="宋体" w:cs="宋体"/>
          <w:color w:val="auto"/>
          <w:highlight w:val="none"/>
        </w:rPr>
      </w:pPr>
      <w:r>
        <w:rPr>
          <w:rStyle w:val="288"/>
          <w:rFonts w:hint="eastAsia" w:ascii="宋体" w:hAnsi="宋体" w:eastAsia="宋体" w:cs="宋体"/>
          <w:color w:val="auto"/>
          <w:highlight w:val="none"/>
        </w:rPr>
        <w:t>分包号：</w:t>
      </w:r>
    </w:p>
    <w:tbl>
      <w:tblPr>
        <w:tblStyle w:val="33"/>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393"/>
        <w:gridCol w:w="3478"/>
        <w:gridCol w:w="1690"/>
      </w:tblGrid>
      <w:tr w14:paraId="54329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trPr>
        <w:tc>
          <w:tcPr>
            <w:tcW w:w="4393" w:type="dxa"/>
            <w:noWrap w:val="0"/>
            <w:tcMar>
              <w:top w:w="0" w:type="dxa"/>
              <w:left w:w="0" w:type="dxa"/>
              <w:bottom w:w="0" w:type="dxa"/>
              <w:right w:w="0" w:type="dxa"/>
            </w:tcMar>
            <w:vAlign w:val="center"/>
          </w:tcPr>
          <w:p w14:paraId="02BB0B40">
            <w:pPr>
              <w:pStyle w:val="262"/>
              <w:jc w:val="center"/>
              <w:rPr>
                <w:rFonts w:eastAsia="宋体"/>
                <w:color w:val="auto"/>
                <w:highlight w:val="none"/>
              </w:rPr>
            </w:pPr>
            <w:r>
              <w:rPr>
                <w:rFonts w:eastAsia="宋体"/>
                <w:color w:val="auto"/>
                <w:highlight w:val="none"/>
              </w:rPr>
              <w:t xml:space="preserve">项目名称 </w:t>
            </w:r>
          </w:p>
        </w:tc>
        <w:tc>
          <w:tcPr>
            <w:tcW w:w="3478" w:type="dxa"/>
            <w:noWrap w:val="0"/>
            <w:tcMar>
              <w:top w:w="0" w:type="dxa"/>
              <w:left w:w="0" w:type="dxa"/>
              <w:bottom w:w="0" w:type="dxa"/>
              <w:right w:w="0" w:type="dxa"/>
            </w:tcMar>
            <w:vAlign w:val="center"/>
          </w:tcPr>
          <w:p w14:paraId="51B362CC">
            <w:pPr>
              <w:pStyle w:val="262"/>
              <w:jc w:val="center"/>
              <w:rPr>
                <w:rFonts w:hint="eastAsia" w:eastAsia="宋体"/>
                <w:color w:val="auto"/>
                <w:highlight w:val="none"/>
                <w:lang w:eastAsia="zh-CN"/>
              </w:rPr>
            </w:pPr>
            <w:r>
              <w:rPr>
                <w:rFonts w:hint="eastAsia" w:eastAsia="宋体"/>
                <w:color w:val="auto"/>
                <w:highlight w:val="none"/>
                <w:lang w:val="en-US" w:eastAsia="zh-CN"/>
              </w:rPr>
              <w:t>投标优惠率</w:t>
            </w:r>
          </w:p>
        </w:tc>
        <w:tc>
          <w:tcPr>
            <w:tcW w:w="1690" w:type="dxa"/>
            <w:noWrap w:val="0"/>
            <w:tcMar>
              <w:top w:w="0" w:type="dxa"/>
              <w:left w:w="0" w:type="dxa"/>
              <w:bottom w:w="0" w:type="dxa"/>
              <w:right w:w="0" w:type="dxa"/>
            </w:tcMar>
            <w:vAlign w:val="center"/>
          </w:tcPr>
          <w:p w14:paraId="1AAA1B7D">
            <w:pPr>
              <w:pStyle w:val="262"/>
              <w:jc w:val="center"/>
              <w:rPr>
                <w:rFonts w:eastAsia="宋体"/>
                <w:color w:val="auto"/>
                <w:highlight w:val="none"/>
              </w:rPr>
            </w:pPr>
            <w:r>
              <w:rPr>
                <w:rFonts w:eastAsia="宋体"/>
                <w:color w:val="auto"/>
                <w:highlight w:val="none"/>
              </w:rPr>
              <w:t xml:space="preserve">备注 </w:t>
            </w:r>
          </w:p>
        </w:tc>
      </w:tr>
      <w:tr w14:paraId="6E612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1" w:hRule="atLeast"/>
        </w:trPr>
        <w:tc>
          <w:tcPr>
            <w:tcW w:w="4393" w:type="dxa"/>
            <w:noWrap w:val="0"/>
            <w:tcMar>
              <w:top w:w="0" w:type="dxa"/>
              <w:left w:w="0" w:type="dxa"/>
              <w:bottom w:w="0" w:type="dxa"/>
              <w:right w:w="0" w:type="dxa"/>
            </w:tcMar>
            <w:vAlign w:val="center"/>
          </w:tcPr>
          <w:p w14:paraId="3CE32A79">
            <w:pPr>
              <w:pStyle w:val="262"/>
              <w:rPr>
                <w:rFonts w:eastAsia="宋体"/>
                <w:color w:val="auto"/>
                <w:highlight w:val="none"/>
              </w:rPr>
            </w:pPr>
            <w:r>
              <w:rPr>
                <w:rFonts w:eastAsia="宋体"/>
                <w:color w:val="auto"/>
                <w:highlight w:val="none"/>
              </w:rPr>
              <w:t>   </w:t>
            </w:r>
          </w:p>
        </w:tc>
        <w:tc>
          <w:tcPr>
            <w:tcW w:w="3478" w:type="dxa"/>
            <w:noWrap w:val="0"/>
            <w:tcMar>
              <w:top w:w="0" w:type="dxa"/>
              <w:left w:w="0" w:type="dxa"/>
              <w:bottom w:w="0" w:type="dxa"/>
              <w:right w:w="0" w:type="dxa"/>
            </w:tcMar>
            <w:vAlign w:val="center"/>
          </w:tcPr>
          <w:p w14:paraId="28E8003F">
            <w:pPr>
              <w:pStyle w:val="262"/>
              <w:jc w:val="center"/>
              <w:rPr>
                <w:rFonts w:eastAsia="宋体"/>
                <w:color w:val="auto"/>
                <w:highlight w:val="none"/>
              </w:rPr>
            </w:pPr>
            <w:r>
              <w:rPr>
                <w:rFonts w:hint="eastAsia" w:eastAsia="宋体"/>
                <w:color w:val="auto"/>
                <w:highlight w:val="none"/>
                <w:u w:val="single"/>
                <w:lang w:val="en-US" w:eastAsia="zh-CN"/>
              </w:rPr>
              <w:t xml:space="preserve">    </w:t>
            </w:r>
            <w:r>
              <w:rPr>
                <w:rFonts w:eastAsia="宋体"/>
                <w:color w:val="auto"/>
                <w:highlight w:val="none"/>
              </w:rPr>
              <w:t>%</w:t>
            </w:r>
          </w:p>
        </w:tc>
        <w:tc>
          <w:tcPr>
            <w:tcW w:w="1690" w:type="dxa"/>
            <w:noWrap w:val="0"/>
            <w:tcMar>
              <w:top w:w="0" w:type="dxa"/>
              <w:left w:w="0" w:type="dxa"/>
              <w:bottom w:w="0" w:type="dxa"/>
              <w:right w:w="0" w:type="dxa"/>
            </w:tcMar>
            <w:vAlign w:val="center"/>
          </w:tcPr>
          <w:p w14:paraId="4122F612">
            <w:pPr>
              <w:pStyle w:val="262"/>
              <w:jc w:val="center"/>
              <w:rPr>
                <w:rFonts w:hint="default" w:eastAsia="宋体"/>
                <w:color w:val="auto"/>
                <w:highlight w:val="none"/>
                <w:lang w:val="en-US" w:eastAsia="zh-CN"/>
              </w:rPr>
            </w:pPr>
          </w:p>
        </w:tc>
      </w:tr>
    </w:tbl>
    <w:p w14:paraId="45021DAB">
      <w:pPr>
        <w:pStyle w:val="293"/>
        <w:spacing w:before="240" w:after="240"/>
        <w:rPr>
          <w:rStyle w:val="288"/>
          <w:rFonts w:ascii="宋体" w:hAnsi="宋体" w:eastAsia="宋体" w:cs="宋体"/>
          <w:color w:val="auto"/>
          <w:highlight w:val="none"/>
        </w:rPr>
      </w:pPr>
      <w:r>
        <w:rPr>
          <w:rFonts w:eastAsia="宋体"/>
          <w:color w:val="auto"/>
          <w:highlight w:val="none"/>
        </w:rPr>
        <w:t> </w:t>
      </w:r>
      <w:r>
        <w:rPr>
          <w:rStyle w:val="288"/>
          <w:rFonts w:ascii="宋体" w:hAnsi="宋体" w:eastAsia="宋体" w:cs="宋体"/>
          <w:color w:val="auto"/>
          <w:highlight w:val="none"/>
        </w:rPr>
        <w:t> </w:t>
      </w:r>
      <w:r>
        <w:rPr>
          <w:rStyle w:val="288"/>
          <w:rFonts w:hint="eastAsia" w:ascii="宋体" w:hAnsi="宋体" w:eastAsia="宋体" w:cs="宋体"/>
          <w:color w:val="auto"/>
          <w:highlight w:val="none"/>
        </w:rPr>
        <w:t xml:space="preserve">                                           日期：  年   月   日</w:t>
      </w:r>
    </w:p>
    <w:p w14:paraId="4F85EB6E">
      <w:pPr>
        <w:pStyle w:val="293"/>
        <w:spacing w:before="240" w:after="240"/>
        <w:jc w:val="right"/>
        <w:rPr>
          <w:rFonts w:hint="default" w:ascii="Times New Roman" w:hAnsi="Times New Roman" w:eastAsia="宋体" w:cs="Times New Roman"/>
          <w:color w:val="auto"/>
          <w:highlight w:val="none"/>
        </w:rPr>
      </w:pPr>
    </w:p>
    <w:p w14:paraId="30C495B5">
      <w:pPr>
        <w:widowControl/>
        <w:spacing w:before="100" w:beforeAutospacing="1" w:after="100" w:afterAutospacing="1"/>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填写说明：</w:t>
      </w:r>
    </w:p>
    <w:p w14:paraId="288822AA">
      <w:pPr>
        <w:widowControl/>
        <w:spacing w:before="100" w:beforeAutospacing="1" w:after="100" w:afterAutospacing="1"/>
        <w:jc w:val="left"/>
        <w:rPr>
          <w:rFonts w:hint="eastAsia" w:ascii="宋体" w:hAnsi="宋体" w:eastAsia="宋体" w:cs="宋体"/>
          <w:color w:val="auto"/>
          <w:sz w:val="24"/>
          <w:szCs w:val="24"/>
          <w:highlight w:val="none"/>
          <w14:ligatures w14:val="none"/>
        </w:rPr>
      </w:pPr>
      <w:r>
        <w:rPr>
          <w:rFonts w:hint="eastAsia" w:ascii="宋体" w:hAnsi="宋体" w:eastAsia="宋体" w:cs="宋体"/>
          <w:i/>
          <w:iCs/>
          <w:color w:val="auto"/>
          <w:sz w:val="24"/>
          <w:szCs w:val="24"/>
          <w:highlight w:val="none"/>
          <w:u w:val="single"/>
          <w14:ligatures w14:val="none"/>
        </w:rPr>
        <w:t>1、开标一览表必须加盖投标人公章（复印件无效）。</w:t>
      </w:r>
    </w:p>
    <w:p w14:paraId="694D6546">
      <w:pPr>
        <w:pStyle w:val="211"/>
        <w:keepNext w:val="0"/>
        <w:keepLines w:val="0"/>
        <w:widowControl/>
        <w:suppressLineNumbers w:val="0"/>
        <w:rPr>
          <w:rFonts w:hint="eastAsia" w:cs="宋体"/>
          <w:i/>
          <w:iCs/>
          <w:color w:val="auto"/>
          <w:szCs w:val="24"/>
          <w:highlight w:val="none"/>
          <w:u w:val="single"/>
        </w:rPr>
      </w:pPr>
      <w:r>
        <w:rPr>
          <w:rFonts w:hint="eastAsia" w:ascii="宋体" w:hAnsi="宋体" w:eastAsia="宋体" w:cs="宋体"/>
          <w:i/>
          <w:iCs/>
          <w:color w:val="auto"/>
          <w:sz w:val="24"/>
          <w:szCs w:val="24"/>
          <w:highlight w:val="none"/>
          <w:u w:val="single"/>
          <w14:ligatures w14:val="none"/>
        </w:rPr>
        <w:t>2、如有分包，投标人投任何一个包的标的，都需单独填写开标一览表。</w:t>
      </w:r>
    </w:p>
    <w:p w14:paraId="6D2E48CF">
      <w:pPr>
        <w:pStyle w:val="211"/>
        <w:widowControl/>
        <w:rPr>
          <w:rFonts w:hint="eastAsia" w:cs="宋体"/>
          <w:i/>
          <w:iCs/>
          <w:color w:val="auto"/>
          <w:szCs w:val="24"/>
          <w:highlight w:val="none"/>
          <w:u w:val="single"/>
        </w:rPr>
      </w:pPr>
      <w:r>
        <w:rPr>
          <w:rFonts w:hint="eastAsia" w:ascii="宋体" w:hAnsi="宋体" w:eastAsia="宋体" w:cs="宋体"/>
          <w:i/>
          <w:iCs/>
          <w:color w:val="auto"/>
          <w:sz w:val="24"/>
          <w:szCs w:val="24"/>
          <w:highlight w:val="none"/>
          <w:u w:val="single"/>
        </w:rPr>
        <w:t>3、本次招标时为保证价格的统一性及避免不平衡报价，供应商报价时报取统一的投标优惠率即可，否则作无效投标处理。</w:t>
      </w:r>
    </w:p>
    <w:p w14:paraId="343304CD">
      <w:pPr>
        <w:numPr>
          <w:ilvl w:val="-1"/>
          <w:numId w:val="0"/>
        </w:numPr>
        <w:pBdr>
          <w:top w:val="none" w:color="000000" w:sz="0" w:space="0"/>
          <w:left w:val="none" w:color="000000" w:sz="0" w:space="0"/>
          <w:bottom w:val="none" w:color="000000" w:sz="0" w:space="0"/>
          <w:right w:val="none" w:color="000000" w:sz="0" w:space="0"/>
        </w:pBdr>
        <w:spacing w:before="240" w:after="240" w:line="85" w:lineRule="atLeast"/>
        <w:rPr>
          <w:color w:val="auto"/>
          <w:highlight w:val="none"/>
        </w:rPr>
      </w:pPr>
      <w:r>
        <w:rPr>
          <w:rFonts w:hint="eastAsia" w:ascii="宋体" w:hAnsi="宋体" w:eastAsia="宋体" w:cs="宋体"/>
          <w:i/>
          <w:iCs/>
          <w:color w:val="auto"/>
          <w:sz w:val="24"/>
          <w:szCs w:val="24"/>
          <w:highlight w:val="none"/>
          <w:u w:val="single"/>
        </w:rPr>
        <w:t>4、</w:t>
      </w:r>
      <w:r>
        <w:rPr>
          <w:rFonts w:hint="eastAsia" w:ascii="宋体" w:hAnsi="宋体" w:cs="宋体"/>
          <w:i/>
          <w:color w:val="auto"/>
          <w:spacing w:val="7"/>
          <w:sz w:val="24"/>
          <w:highlight w:val="none"/>
          <w:u w:val="single"/>
          <w:lang w:val="en-US" w:eastAsia="zh-CN"/>
        </w:rPr>
        <w:t>结算单价=单价最高限价(指导单价)*[1-投标优惠率（%）]</w:t>
      </w:r>
      <w:r>
        <w:rPr>
          <w:rFonts w:hint="eastAsia" w:ascii="宋体" w:hAnsi="宋体" w:cs="宋体"/>
          <w:i/>
          <w:iCs/>
          <w:color w:val="auto"/>
          <w:sz w:val="24"/>
          <w:szCs w:val="24"/>
          <w:highlight w:val="none"/>
          <w:u w:val="single"/>
        </w:rPr>
        <w:t>。投标优惠率即</w:t>
      </w:r>
      <w:r>
        <w:rPr>
          <w:rFonts w:hint="eastAsia" w:ascii="宋体" w:hAnsi="宋体" w:cs="宋体"/>
          <w:i/>
          <w:color w:val="auto"/>
          <w:spacing w:val="7"/>
          <w:sz w:val="24"/>
          <w:highlight w:val="none"/>
          <w:u w:val="single"/>
          <w:lang w:val="en-US" w:eastAsia="zh-CN"/>
        </w:rPr>
        <w:t>单价最高限价(指导单价)</w:t>
      </w:r>
      <w:r>
        <w:rPr>
          <w:rFonts w:hint="eastAsia" w:ascii="宋体" w:hAnsi="宋体" w:cs="宋体"/>
          <w:i/>
          <w:iCs/>
          <w:color w:val="auto"/>
          <w:sz w:val="24"/>
          <w:szCs w:val="24"/>
          <w:highlight w:val="none"/>
          <w:u w:val="single"/>
        </w:rPr>
        <w:t>为基准的下浮比例，例如：</w:t>
      </w:r>
      <w:r>
        <w:rPr>
          <w:rFonts w:hint="eastAsia" w:ascii="宋体" w:hAnsi="宋体" w:cs="宋体"/>
          <w:i/>
          <w:iCs/>
          <w:color w:val="auto"/>
          <w:sz w:val="24"/>
          <w:szCs w:val="24"/>
          <w:highlight w:val="none"/>
          <w:u w:val="single"/>
          <w:lang w:val="en-US" w:eastAsia="zh-CN"/>
        </w:rPr>
        <w:t>某商品的</w:t>
      </w:r>
      <w:r>
        <w:rPr>
          <w:rFonts w:hint="eastAsia" w:ascii="宋体" w:hAnsi="宋体" w:cs="宋体"/>
          <w:i/>
          <w:color w:val="auto"/>
          <w:spacing w:val="7"/>
          <w:sz w:val="24"/>
          <w:highlight w:val="none"/>
          <w:u w:val="single"/>
          <w:lang w:val="en-US" w:eastAsia="zh-CN"/>
        </w:rPr>
        <w:t>检测费单价最高限价(指导单价)</w:t>
      </w:r>
      <w:r>
        <w:rPr>
          <w:rFonts w:hint="eastAsia" w:ascii="宋体" w:hAnsi="宋体" w:cs="宋体"/>
          <w:i/>
          <w:iCs/>
          <w:color w:val="auto"/>
          <w:sz w:val="24"/>
          <w:szCs w:val="24"/>
          <w:highlight w:val="none"/>
          <w:u w:val="single"/>
        </w:rPr>
        <w:t>为10元</w:t>
      </w:r>
      <w:r>
        <w:rPr>
          <w:rFonts w:hint="eastAsia" w:ascii="宋体" w:hAnsi="宋体" w:cs="宋体"/>
          <w:i/>
          <w:iCs/>
          <w:color w:val="auto"/>
          <w:sz w:val="24"/>
          <w:szCs w:val="24"/>
          <w:highlight w:val="none"/>
          <w:u w:val="single"/>
          <w:lang w:eastAsia="zh-CN"/>
        </w:rPr>
        <w:t>，</w:t>
      </w:r>
      <w:r>
        <w:rPr>
          <w:rFonts w:hint="eastAsia" w:ascii="宋体" w:hAnsi="宋体" w:cs="宋体"/>
          <w:i/>
          <w:color w:val="auto"/>
          <w:spacing w:val="7"/>
          <w:sz w:val="24"/>
          <w:highlight w:val="none"/>
          <w:u w:val="single"/>
          <w:lang w:val="en-US" w:eastAsia="zh-CN"/>
        </w:rPr>
        <w:t>买样费单价最高限价(指导单价)</w:t>
      </w:r>
      <w:r>
        <w:rPr>
          <w:rFonts w:hint="eastAsia" w:ascii="宋体" w:hAnsi="宋体" w:cs="宋体"/>
          <w:i/>
          <w:iCs/>
          <w:color w:val="auto"/>
          <w:sz w:val="24"/>
          <w:szCs w:val="24"/>
          <w:highlight w:val="none"/>
          <w:u w:val="single"/>
        </w:rPr>
        <w:t>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元，投标优惠率为15%，则实际</w:t>
      </w:r>
      <w:r>
        <w:rPr>
          <w:rFonts w:hint="eastAsia" w:ascii="宋体" w:hAnsi="宋体" w:cs="宋体"/>
          <w:i/>
          <w:color w:val="auto"/>
          <w:spacing w:val="7"/>
          <w:sz w:val="24"/>
          <w:highlight w:val="none"/>
          <w:u w:val="single"/>
          <w:lang w:val="en-US" w:eastAsia="zh-CN"/>
        </w:rPr>
        <w:t>检测费</w:t>
      </w:r>
      <w:r>
        <w:rPr>
          <w:rFonts w:hint="eastAsia" w:ascii="宋体" w:hAnsi="宋体" w:cs="宋体"/>
          <w:i/>
          <w:iCs/>
          <w:color w:val="auto"/>
          <w:sz w:val="24"/>
          <w:szCs w:val="24"/>
          <w:highlight w:val="none"/>
          <w:u w:val="single"/>
        </w:rPr>
        <w:t>结算单价计算公式为：10*（1-15%）=8.5元</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rPr>
        <w:t>实际</w:t>
      </w:r>
      <w:r>
        <w:rPr>
          <w:rFonts w:hint="eastAsia" w:ascii="宋体" w:hAnsi="宋体" w:cs="宋体"/>
          <w:i/>
          <w:color w:val="auto"/>
          <w:spacing w:val="7"/>
          <w:sz w:val="24"/>
          <w:highlight w:val="none"/>
          <w:u w:val="single"/>
          <w:lang w:val="en-US" w:eastAsia="zh-CN"/>
        </w:rPr>
        <w:t>买样费</w:t>
      </w:r>
      <w:r>
        <w:rPr>
          <w:rFonts w:hint="eastAsia" w:ascii="宋体" w:hAnsi="宋体" w:cs="宋体"/>
          <w:i/>
          <w:iCs/>
          <w:color w:val="auto"/>
          <w:sz w:val="24"/>
          <w:szCs w:val="24"/>
          <w:highlight w:val="none"/>
          <w:u w:val="single"/>
        </w:rPr>
        <w:t>结算单价计算公式为：</w:t>
      </w:r>
      <w:r>
        <w:rPr>
          <w:rFonts w:hint="eastAsia" w:ascii="宋体" w:hAnsi="宋体" w:cs="宋体"/>
          <w:i/>
          <w:iCs/>
          <w:color w:val="auto"/>
          <w:sz w:val="24"/>
          <w:szCs w:val="24"/>
          <w:highlight w:val="none"/>
          <w:u w:val="single"/>
          <w:lang w:val="en-US" w:eastAsia="zh-CN"/>
        </w:rPr>
        <w:t>20</w:t>
      </w:r>
      <w:r>
        <w:rPr>
          <w:rFonts w:hint="eastAsia" w:ascii="宋体" w:hAnsi="宋体" w:cs="宋体"/>
          <w:i/>
          <w:iCs/>
          <w:color w:val="auto"/>
          <w:sz w:val="24"/>
          <w:szCs w:val="24"/>
          <w:highlight w:val="none"/>
          <w:u w:val="single"/>
        </w:rPr>
        <w:t>*（1-15%）=</w:t>
      </w:r>
      <w:r>
        <w:rPr>
          <w:rFonts w:hint="eastAsia" w:ascii="宋体" w:hAnsi="宋体" w:cs="宋体"/>
          <w:i/>
          <w:iCs/>
          <w:color w:val="auto"/>
          <w:sz w:val="24"/>
          <w:szCs w:val="24"/>
          <w:highlight w:val="none"/>
          <w:u w:val="single"/>
          <w:lang w:val="en-US" w:eastAsia="zh-CN"/>
        </w:rPr>
        <w:t>17</w:t>
      </w:r>
      <w:r>
        <w:rPr>
          <w:rFonts w:hint="eastAsia" w:ascii="宋体" w:hAnsi="宋体" w:cs="宋体"/>
          <w:i/>
          <w:iCs/>
          <w:color w:val="auto"/>
          <w:sz w:val="24"/>
          <w:szCs w:val="24"/>
          <w:highlight w:val="none"/>
          <w:u w:val="single"/>
        </w:rPr>
        <w:t>元。</w:t>
      </w:r>
    </w:p>
    <w:p w14:paraId="581247DB">
      <w:pPr>
        <w:pStyle w:val="211"/>
        <w:widowControl/>
        <w:rPr>
          <w:rFonts w:ascii="宋体" w:hAnsi="宋体"/>
          <w:bCs/>
          <w:color w:val="000000"/>
          <w:sz w:val="24"/>
          <w:highlight w:val="none"/>
        </w:rPr>
      </w:pPr>
      <w:r>
        <w:rPr>
          <w:rFonts w:hint="eastAsia" w:cs="宋体"/>
          <w:i/>
          <w:iCs/>
          <w:color w:val="auto"/>
          <w:sz w:val="24"/>
          <w:szCs w:val="24"/>
          <w:highlight w:val="none"/>
          <w:u w:val="single"/>
          <w:lang w:val="en-US" w:eastAsia="zh-CN"/>
        </w:rPr>
        <w:t>5</w:t>
      </w:r>
      <w:r>
        <w:rPr>
          <w:rFonts w:hint="eastAsia" w:ascii="宋体" w:hAnsi="宋体" w:eastAsia="宋体" w:cs="宋体"/>
          <w:i/>
          <w:iCs/>
          <w:color w:val="auto"/>
          <w:sz w:val="24"/>
          <w:szCs w:val="24"/>
          <w:highlight w:val="none"/>
          <w:u w:val="single"/>
        </w:rPr>
        <w:t xml:space="preserve">、本次招标时投标优惠率不得低于0%（如出现负数的情况），否则视为超过最高限价。 </w:t>
      </w:r>
    </w:p>
    <w:p w14:paraId="3888FD77">
      <w:pPr>
        <w:spacing w:line="240" w:lineRule="auto"/>
        <w:ind w:left="0" w:right="0" w:firstLine="0"/>
        <w:jc w:val="left"/>
        <w:rPr>
          <w:rFonts w:hint="eastAsia" w:ascii="宋体" w:hAnsi="宋体"/>
          <w:bCs/>
          <w:color w:val="000000"/>
          <w:sz w:val="24"/>
          <w:highlight w:val="none"/>
        </w:rPr>
      </w:pPr>
      <w:r>
        <w:rPr>
          <w:rFonts w:hint="eastAsia" w:ascii="宋体" w:hAnsi="宋体"/>
          <w:bCs/>
          <w:color w:val="000000"/>
          <w:sz w:val="24"/>
          <w:highlight w:val="none"/>
        </w:rPr>
        <w:br w:type="page" w:clear="all"/>
      </w:r>
    </w:p>
    <w:p w14:paraId="008BBF16">
      <w:pPr>
        <w:keepNext/>
        <w:keepLines/>
        <w:pageBreakBefore/>
        <w:spacing w:line="360" w:lineRule="auto"/>
        <w:jc w:val="center"/>
        <w:outlineLvl w:val="1"/>
        <w:rPr>
          <w:rFonts w:hint="default" w:ascii="Times New Roman" w:hAnsi="Times New Roman" w:eastAsia="宋体" w:cs="Times New Roman"/>
          <w:b/>
          <w:bCs/>
          <w:color w:val="auto"/>
          <w:sz w:val="32"/>
          <w:szCs w:val="32"/>
          <w:highlight w:val="none"/>
        </w:rPr>
      </w:pPr>
      <w:bookmarkStart w:id="13" w:name="_Toc25306"/>
      <w:r>
        <w:rPr>
          <w:rFonts w:hint="default" w:ascii="Times New Roman" w:hAnsi="Times New Roman" w:eastAsia="宋体" w:cs="Times New Roman"/>
          <w:b/>
          <w:bCs/>
          <w:color w:val="auto"/>
          <w:sz w:val="32"/>
          <w:szCs w:val="32"/>
          <w:highlight w:val="none"/>
        </w:rPr>
        <w:t>三、资格证明文件</w:t>
      </w:r>
      <w:bookmarkEnd w:id="13"/>
    </w:p>
    <w:p w14:paraId="7959FC89">
      <w:pPr>
        <w:pStyle w:val="236"/>
        <w:numPr>
          <w:ilvl w:val="0"/>
          <w:numId w:val="0"/>
        </w:numPr>
        <w:tabs>
          <w:tab w:val="left" w:pos="709"/>
        </w:tabs>
        <w:spacing w:line="400" w:lineRule="exact"/>
        <w:ind w:left="105" w:firstLine="482"/>
        <w:rPr>
          <w:rFonts w:hint="eastAsia"/>
          <w:b/>
          <w:bCs/>
          <w:i/>
          <w:color w:val="auto"/>
          <w:sz w:val="24"/>
          <w:szCs w:val="24"/>
          <w:highlight w:val="none"/>
          <w:u w:val="single"/>
        </w:rPr>
      </w:pPr>
      <w:r>
        <w:rPr>
          <w:rFonts w:hint="eastAsia"/>
          <w:b/>
          <w:bCs/>
          <w:i/>
          <w:color w:val="auto"/>
          <w:sz w:val="24"/>
          <w:szCs w:val="24"/>
          <w:highlight w:val="none"/>
          <w:u w:val="single"/>
        </w:rPr>
        <w:t>投标人必须在</w:t>
      </w:r>
      <w:r>
        <w:rPr>
          <w:rFonts w:hint="eastAsia"/>
          <w:b/>
          <w:bCs/>
          <w:i/>
          <w:color w:val="auto"/>
          <w:sz w:val="24"/>
          <w:szCs w:val="24"/>
          <w:highlight w:val="none"/>
          <w:u w:val="single"/>
          <w:lang w:val="en-US" w:eastAsia="zh-CN"/>
        </w:rPr>
        <w:t>响应文件</w:t>
      </w:r>
      <w:r>
        <w:rPr>
          <w:rFonts w:hint="eastAsia"/>
          <w:b/>
          <w:bCs/>
          <w:i/>
          <w:color w:val="auto"/>
          <w:sz w:val="24"/>
          <w:szCs w:val="24"/>
          <w:highlight w:val="none"/>
          <w:u w:val="single"/>
        </w:rPr>
        <w:t>提交截止时间之前递交以下资格证明文件：</w:t>
      </w:r>
    </w:p>
    <w:p w14:paraId="5B6BF82E">
      <w:pPr>
        <w:pStyle w:val="236"/>
        <w:numPr>
          <w:ilvl w:val="0"/>
          <w:numId w:val="0"/>
        </w:numPr>
        <w:tabs>
          <w:tab w:val="left" w:pos="709"/>
        </w:tabs>
        <w:spacing w:line="400" w:lineRule="exact"/>
        <w:ind w:left="105" w:firstLine="482"/>
        <w:rPr>
          <w:rFonts w:hint="eastAsia"/>
          <w:b/>
          <w:bCs/>
          <w:i/>
          <w:color w:val="auto"/>
          <w:sz w:val="24"/>
          <w:szCs w:val="24"/>
          <w:highlight w:val="none"/>
          <w:u w:val="single"/>
        </w:rPr>
      </w:pPr>
    </w:p>
    <w:p w14:paraId="378B78F4">
      <w:pPr>
        <w:pStyle w:val="236"/>
        <w:numPr>
          <w:ilvl w:val="0"/>
          <w:numId w:val="0"/>
        </w:numPr>
        <w:tabs>
          <w:tab w:val="left" w:pos="709"/>
        </w:tabs>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如为联合体，则联合体成员均须提供）；</w:t>
      </w:r>
    </w:p>
    <w:p w14:paraId="0405BC2B">
      <w:pPr>
        <w:pStyle w:val="236"/>
        <w:numPr>
          <w:ilvl w:val="0"/>
          <w:numId w:val="0"/>
        </w:numPr>
        <w:tabs>
          <w:tab w:val="left" w:pos="709"/>
        </w:tabs>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2、财务状况报告（成立不满一年不需要提供）（若供应商为分公司，可提供总公司财务状况报告）（如为联合体，则联合体成员均须提供）；</w:t>
      </w:r>
    </w:p>
    <w:p w14:paraId="5F89A274">
      <w:pPr>
        <w:pStyle w:val="236"/>
        <w:numPr>
          <w:ilvl w:val="0"/>
          <w:numId w:val="0"/>
        </w:numPr>
        <w:tabs>
          <w:tab w:val="left" w:pos="709"/>
        </w:tabs>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3、依法缴纳税收和社会保障资金的相关材料（如依法享受缓缴、免缴税收、社会保障资金的，应提供相关证明材料）（如为联合体，则联合体成员均须提供）；</w:t>
      </w:r>
    </w:p>
    <w:p w14:paraId="723D3AE3">
      <w:pPr>
        <w:pStyle w:val="236"/>
        <w:numPr>
          <w:ilvl w:val="0"/>
          <w:numId w:val="0"/>
        </w:numPr>
        <w:tabs>
          <w:tab w:val="left" w:pos="709"/>
        </w:tabs>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4、具备履行合同所必需的设备和专业技术能力的书面声明（如为联合体，则联合体成员均须提供）；</w:t>
      </w:r>
    </w:p>
    <w:p w14:paraId="4F7A7898">
      <w:pPr>
        <w:pStyle w:val="236"/>
        <w:numPr>
          <w:ilvl w:val="0"/>
          <w:numId w:val="0"/>
        </w:numPr>
        <w:tabs>
          <w:tab w:val="left" w:pos="709"/>
        </w:tabs>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5、参加政府采购活动前3年内在经营活动中没有重大违法记录的书面声明（如为联合体，则联合体成员均须提供）；</w:t>
      </w:r>
    </w:p>
    <w:p w14:paraId="1FC1F618">
      <w:pPr>
        <w:pStyle w:val="236"/>
        <w:numPr>
          <w:ilvl w:val="0"/>
          <w:numId w:val="0"/>
        </w:numPr>
        <w:tabs>
          <w:tab w:val="left" w:pos="709"/>
        </w:tabs>
        <w:spacing w:line="440" w:lineRule="exact"/>
        <w:ind w:firstLine="600"/>
        <w:rPr>
          <w:rFonts w:hint="eastAsia"/>
          <w:bCs/>
          <w:i/>
          <w:color w:val="auto"/>
          <w:sz w:val="24"/>
          <w:szCs w:val="24"/>
          <w:highlight w:val="none"/>
          <w:u w:val="single"/>
        </w:rPr>
      </w:pPr>
      <w:r>
        <w:rPr>
          <w:rFonts w:hint="eastAsia"/>
          <w:bCs/>
          <w:i/>
          <w:color w:val="auto"/>
          <w:sz w:val="24"/>
          <w:szCs w:val="24"/>
          <w:highlight w:val="none"/>
          <w:u w:val="single"/>
        </w:rPr>
        <w:t>6、授权委托书（被授权人非法定代表人的，应提供授权委托书；被授权人是法定代表人的，应提供授权委托书或法定代表人身份证明书）（如为联合体，则联合体牵头单位须提供）；</w:t>
      </w:r>
    </w:p>
    <w:p w14:paraId="16355DD9">
      <w:pPr>
        <w:pStyle w:val="236"/>
        <w:numPr>
          <w:ilvl w:val="0"/>
          <w:numId w:val="0"/>
        </w:numPr>
        <w:tabs>
          <w:tab w:val="left" w:pos="709"/>
        </w:tabs>
        <w:spacing w:line="440" w:lineRule="exact"/>
        <w:ind w:firstLine="60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7、关于资格证明文件的书面承诺（如为联合体，则联合体成员均须提供）。</w:t>
      </w:r>
    </w:p>
    <w:p w14:paraId="2871E260">
      <w:pPr>
        <w:pStyle w:val="236"/>
        <w:numPr>
          <w:ilvl w:val="0"/>
          <w:numId w:val="0"/>
        </w:numPr>
        <w:tabs>
          <w:tab w:val="left" w:pos="709"/>
        </w:tabs>
        <w:spacing w:line="440" w:lineRule="exact"/>
        <w:ind w:firstLine="60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lang w:val="en-US" w:eastAsia="zh-CN"/>
        </w:rPr>
        <w:t>8、</w:t>
      </w:r>
      <w:r>
        <w:rPr>
          <w:rFonts w:hint="eastAsia" w:ascii="宋体" w:hAnsi="宋体" w:eastAsia="宋体" w:cs="宋体"/>
          <w:bCs/>
          <w:i/>
          <w:color w:val="auto"/>
          <w:sz w:val="24"/>
          <w:szCs w:val="24"/>
          <w:highlight w:val="none"/>
          <w:u w:val="single"/>
        </w:rPr>
        <w:t>本项目的特定资格要求：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p>
    <w:p w14:paraId="2D893650">
      <w:pPr>
        <w:pStyle w:val="236"/>
        <w:numPr>
          <w:ilvl w:val="0"/>
          <w:numId w:val="0"/>
        </w:numPr>
        <w:tabs>
          <w:tab w:val="left" w:pos="709"/>
        </w:tabs>
        <w:spacing w:line="440" w:lineRule="exact"/>
        <w:ind w:firstLine="600"/>
        <w:rPr>
          <w:rFonts w:hint="default" w:ascii="Times New Roman" w:hAnsi="Times New Roman" w:eastAsia="宋体" w:cs="Times New Roman"/>
          <w:bCs/>
          <w:i/>
          <w:iCs/>
          <w:color w:val="auto"/>
          <w:sz w:val="24"/>
          <w:szCs w:val="24"/>
          <w:highlight w:val="none"/>
          <w:u w:val="single"/>
        </w:rPr>
      </w:pPr>
      <w:r>
        <w:rPr>
          <w:rFonts w:hint="eastAsia" w:ascii="宋体" w:hAnsi="宋体" w:eastAsia="宋体" w:cs="宋体"/>
          <w:bCs/>
          <w:i/>
          <w:color w:val="auto"/>
          <w:sz w:val="24"/>
          <w:szCs w:val="24"/>
          <w:highlight w:val="none"/>
          <w:u w:val="single"/>
        </w:rPr>
        <w:t>9、如为联合体，①联合体应具备所投采购包内产品的全部检验检测能力，参加联合体的单位均应具备有效期内的CMA资质认定证书。提供证书及能力附表，并对相应检验项目、检验依据及检验方法做好明显标记。②须提供联合投标协议书及联合投标授权委托书（格式见后）。</w:t>
      </w:r>
      <w:r>
        <w:rPr>
          <w:rFonts w:hint="default" w:ascii="Times New Roman" w:hAnsi="Times New Roman" w:eastAsia="宋体" w:cs="Times New Roman"/>
          <w:bCs/>
          <w:i/>
          <w:iCs/>
          <w:color w:val="auto"/>
          <w:sz w:val="24"/>
          <w:szCs w:val="24"/>
          <w:highlight w:val="none"/>
          <w:u w:val="single"/>
        </w:rPr>
        <w:br w:type="page" w:clear="all"/>
      </w:r>
    </w:p>
    <w:p w14:paraId="5C959FB2">
      <w:pPr>
        <w:spacing w:line="360" w:lineRule="auto"/>
        <w:jc w:val="center"/>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具备履行合同所必需的设备和专业技术能力的书面声明</w:t>
      </w:r>
    </w:p>
    <w:p w14:paraId="68BBEE4E">
      <w:pPr>
        <w:spacing w:line="360" w:lineRule="auto"/>
        <w:jc w:val="center"/>
        <w:rPr>
          <w:rFonts w:hint="default" w:ascii="Times New Roman" w:hAnsi="Times New Roman" w:eastAsia="宋体" w:cs="Times New Roman"/>
          <w:color w:val="auto"/>
          <w:highlight w:val="none"/>
        </w:rPr>
      </w:pPr>
    </w:p>
    <w:p w14:paraId="7914B4ED">
      <w:pPr>
        <w:spacing w:line="360" w:lineRule="auto"/>
        <w:ind w:firstLine="480"/>
        <w:rPr>
          <w:rFonts w:hint="default" w:ascii="Times New Roman" w:hAnsi="Times New Roman" w:eastAsia="宋体" w:cs="Times New Roman"/>
          <w:color w:val="auto"/>
          <w:sz w:val="24"/>
          <w:szCs w:val="24"/>
          <w:highlight w:val="none"/>
        </w:rPr>
      </w:pPr>
    </w:p>
    <w:p w14:paraId="0AC57510">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我单位郑重声明：我单位具备履行本项采购合同所必需的设备和专业技术能力。</w:t>
      </w:r>
    </w:p>
    <w:p w14:paraId="34BE304B">
      <w:pPr>
        <w:spacing w:line="360" w:lineRule="auto"/>
        <w:rPr>
          <w:rFonts w:hint="default" w:ascii="Times New Roman" w:hAnsi="Times New Roman" w:eastAsia="宋体" w:cs="Times New Roman"/>
          <w:color w:val="auto"/>
          <w:sz w:val="24"/>
          <w:szCs w:val="24"/>
          <w:highlight w:val="none"/>
        </w:rPr>
      </w:pPr>
    </w:p>
    <w:p w14:paraId="1A6BB244">
      <w:pPr>
        <w:spacing w:line="360" w:lineRule="auto"/>
        <w:ind w:firstLine="480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投标单位（加盖公章）：</w:t>
      </w:r>
    </w:p>
    <w:p w14:paraId="5B0D7FD3">
      <w:pPr>
        <w:spacing w:line="360" w:lineRule="auto"/>
        <w:jc w:val="center"/>
        <w:rPr>
          <w:rFonts w:hint="default" w:ascii="Times New Roman" w:hAnsi="Times New Roman" w:eastAsia="宋体" w:cs="Times New Roman"/>
          <w:b/>
          <w:bCs/>
          <w:color w:val="auto"/>
          <w:sz w:val="32"/>
          <w:szCs w:val="32"/>
          <w:highlight w:val="none"/>
        </w:rPr>
      </w:pPr>
      <w:bookmarkStart w:id="14" w:name="_Toc308"/>
      <w:r>
        <w:rPr>
          <w:rFonts w:hint="default" w:ascii="Times New Roman" w:hAnsi="Times New Roman" w:eastAsia="宋体" w:cs="Times New Roman"/>
          <w:b/>
          <w:bCs/>
          <w:color w:val="auto"/>
          <w:sz w:val="32"/>
          <w:szCs w:val="32"/>
          <w:highlight w:val="none"/>
        </w:rPr>
        <w:br w:type="page" w:clear="all"/>
      </w:r>
    </w:p>
    <w:p w14:paraId="48957DFC">
      <w:pPr>
        <w:spacing w:line="360" w:lineRule="auto"/>
        <w:jc w:val="center"/>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参加政府采购活动前3年内在经营活动中没有重大违法记录的书面声明</w:t>
      </w:r>
      <w:bookmarkEnd w:id="14"/>
    </w:p>
    <w:p w14:paraId="4A41CD44">
      <w:pPr>
        <w:spacing w:line="360" w:lineRule="auto"/>
        <w:jc w:val="center"/>
        <w:rPr>
          <w:rFonts w:hint="default" w:ascii="Times New Roman" w:hAnsi="Times New Roman" w:eastAsia="宋体" w:cs="Times New Roman"/>
          <w:b/>
          <w:color w:val="auto"/>
          <w:sz w:val="48"/>
          <w:szCs w:val="48"/>
          <w:highlight w:val="none"/>
        </w:rPr>
      </w:pPr>
    </w:p>
    <w:p w14:paraId="13AF4DB9">
      <w:pPr>
        <w:spacing w:line="360" w:lineRule="auto"/>
        <w:jc w:val="center"/>
        <w:rPr>
          <w:rFonts w:hint="default" w:ascii="Times New Roman" w:hAnsi="Times New Roman" w:eastAsia="宋体" w:cs="Times New Roman"/>
          <w:b/>
          <w:color w:val="auto"/>
          <w:sz w:val="48"/>
          <w:szCs w:val="48"/>
          <w:highlight w:val="none"/>
        </w:rPr>
      </w:pPr>
    </w:p>
    <w:p w14:paraId="27EB3A4F">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7D5735EF">
      <w:pPr>
        <w:spacing w:line="360" w:lineRule="auto"/>
        <w:ind w:firstLine="420"/>
        <w:rPr>
          <w:rFonts w:hint="default" w:ascii="Times New Roman" w:hAnsi="Times New Roman" w:eastAsia="宋体" w:cs="Times New Roman"/>
          <w:color w:val="auto"/>
          <w:highlight w:val="none"/>
        </w:rPr>
      </w:pPr>
    </w:p>
    <w:p w14:paraId="5EE9C26A">
      <w:pPr>
        <w:spacing w:line="360" w:lineRule="auto"/>
        <w:ind w:firstLine="420"/>
        <w:rPr>
          <w:rFonts w:hint="default" w:ascii="Times New Roman" w:hAnsi="Times New Roman" w:eastAsia="宋体" w:cs="Times New Roman"/>
          <w:color w:val="auto"/>
          <w:highlight w:val="none"/>
        </w:rPr>
      </w:pPr>
    </w:p>
    <w:p w14:paraId="3E82E61E">
      <w:pPr>
        <w:pStyle w:val="299"/>
        <w:spacing w:line="360" w:lineRule="auto"/>
        <w:ind w:firstLine="456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投标单位（加盖公章）：</w:t>
      </w:r>
    </w:p>
    <w:p w14:paraId="764EFC53">
      <w:pPr>
        <w:pStyle w:val="299"/>
        <w:rPr>
          <w:rFonts w:hint="default" w:ascii="Times New Roman" w:hAnsi="Times New Roman" w:eastAsia="宋体" w:cs="Times New Roman"/>
          <w:color w:val="auto"/>
          <w:highlight w:val="none"/>
        </w:rPr>
      </w:pPr>
    </w:p>
    <w:p w14:paraId="3047B0B5">
      <w:pPr>
        <w:pStyle w:val="285"/>
        <w:spacing w:line="440" w:lineRule="exact"/>
        <w:rPr>
          <w:rStyle w:val="288"/>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p>
    <w:p w14:paraId="226B5B69">
      <w:pPr>
        <w:pStyle w:val="300"/>
        <w:spacing w:before="320" w:after="320"/>
        <w:jc w:val="center"/>
        <w:outlineLvl w:val="1"/>
        <w:rPr>
          <w:rStyle w:val="288"/>
          <w:rFonts w:eastAsia="宋体"/>
          <w:color w:val="auto"/>
          <w:highlight w:val="none"/>
        </w:rPr>
      </w:pPr>
      <w:bookmarkStart w:id="15" w:name="_Toc14114"/>
      <w:bookmarkStart w:id="16" w:name="_Toc3903"/>
      <w:bookmarkStart w:id="17" w:name="_Toc12861"/>
      <w:r>
        <w:rPr>
          <w:rStyle w:val="288"/>
          <w:rFonts w:hint="eastAsia" w:eastAsia="宋体"/>
          <w:b/>
          <w:bCs/>
          <w:color w:val="auto"/>
          <w:sz w:val="32"/>
          <w:szCs w:val="32"/>
          <w:highlight w:val="none"/>
        </w:rPr>
        <w:t>1、</w:t>
      </w:r>
      <w:r>
        <w:rPr>
          <w:rStyle w:val="288"/>
          <w:b/>
          <w:bCs/>
          <w:color w:val="auto"/>
          <w:sz w:val="32"/>
          <w:szCs w:val="32"/>
          <w:highlight w:val="none"/>
        </w:rPr>
        <w:t>授权委托书</w:t>
      </w:r>
    </w:p>
    <w:p w14:paraId="1428296F">
      <w:pPr>
        <w:pStyle w:val="300"/>
        <w:spacing w:before="240" w:after="240" w:line="440" w:lineRule="exact"/>
        <w:ind w:firstLine="499"/>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本授权书声明：</w:t>
      </w:r>
      <w:r>
        <w:rPr>
          <w:rStyle w:val="288"/>
          <w:rFonts w:hint="eastAsia" w:ascii="宋体" w:hAnsi="宋体" w:eastAsia="宋体" w:cs="宋体"/>
          <w:color w:val="auto"/>
          <w:sz w:val="24"/>
          <w:szCs w:val="24"/>
          <w:highlight w:val="none"/>
          <w:u w:val="single"/>
        </w:rPr>
        <w:t xml:space="preserve">                </w:t>
      </w:r>
      <w:r>
        <w:rPr>
          <w:rStyle w:val="288"/>
          <w:rFonts w:hint="eastAsia" w:ascii="宋体" w:hAnsi="宋体" w:eastAsia="宋体" w:cs="宋体"/>
          <w:color w:val="auto"/>
          <w:sz w:val="24"/>
          <w:szCs w:val="24"/>
          <w:highlight w:val="none"/>
        </w:rPr>
        <w:t>（供应商名称）授权</w:t>
      </w:r>
      <w:bookmarkStart w:id="18" w:name="sys_STR"/>
      <w:bookmarkEnd w:id="18"/>
      <w:r>
        <w:rPr>
          <w:rStyle w:val="288"/>
          <w:rFonts w:hint="eastAsia" w:ascii="宋体" w:hAnsi="宋体" w:eastAsia="宋体" w:cs="宋体"/>
          <w:color w:val="auto"/>
          <w:sz w:val="24"/>
          <w:szCs w:val="24"/>
          <w:highlight w:val="none"/>
          <w:u w:val="single"/>
        </w:rPr>
        <w:t xml:space="preserve">        </w:t>
      </w:r>
      <w:r>
        <w:rPr>
          <w:rStyle w:val="288"/>
          <w:rFonts w:hint="eastAsia" w:ascii="宋体" w:hAnsi="宋体" w:eastAsia="宋体" w:cs="宋体"/>
          <w:color w:val="auto"/>
          <w:sz w:val="24"/>
          <w:szCs w:val="24"/>
          <w:highlight w:val="none"/>
        </w:rPr>
        <w:t>(被授权人的姓名)（被授权人身份证号码</w:t>
      </w:r>
      <w:r>
        <w:rPr>
          <w:rStyle w:val="288"/>
          <w:rFonts w:hint="eastAsia" w:ascii="宋体" w:hAnsi="宋体" w:eastAsia="宋体" w:cs="宋体"/>
          <w:color w:val="auto"/>
          <w:sz w:val="24"/>
          <w:szCs w:val="24"/>
          <w:highlight w:val="none"/>
          <w:u w:val="single"/>
        </w:rPr>
        <w:t xml:space="preserve">：         </w:t>
      </w:r>
      <w:r>
        <w:rPr>
          <w:rStyle w:val="288"/>
          <w:rFonts w:hint="eastAsia" w:ascii="宋体" w:hAnsi="宋体" w:eastAsia="宋体" w:cs="宋体"/>
          <w:color w:val="auto"/>
          <w:sz w:val="24"/>
          <w:szCs w:val="24"/>
          <w:highlight w:val="none"/>
        </w:rPr>
        <w:t>）为我方就</w:t>
      </w:r>
      <w:r>
        <w:rPr>
          <w:rStyle w:val="288"/>
          <w:rFonts w:hint="eastAsia" w:ascii="宋体" w:hAnsi="宋体" w:eastAsia="宋体" w:cs="宋体"/>
          <w:color w:val="auto"/>
          <w:sz w:val="24"/>
          <w:szCs w:val="24"/>
          <w:highlight w:val="none"/>
          <w:u w:val="single"/>
        </w:rPr>
        <w:t xml:space="preserve">              （项目编号：     ）</w:t>
      </w:r>
      <w:r>
        <w:rPr>
          <w:rStyle w:val="288"/>
          <w:rFonts w:hint="eastAsia" w:ascii="宋体" w:hAnsi="宋体" w:eastAsia="宋体" w:cs="宋体"/>
          <w:color w:val="auto"/>
          <w:sz w:val="24"/>
          <w:szCs w:val="24"/>
          <w:highlight w:val="none"/>
        </w:rPr>
        <w:t>项目采购活动的合法代理人，以本单位名义全权处理一切与该项目采购有关的事务，其代表本单位处理相关事项所产生的一切责任由本单位承担。</w:t>
      </w:r>
    </w:p>
    <w:p w14:paraId="75EC21E9">
      <w:pPr>
        <w:pStyle w:val="300"/>
        <w:spacing w:before="240" w:after="240" w:line="440" w:lineRule="exact"/>
        <w:ind w:firstLine="499"/>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本授权书于</w:t>
      </w:r>
      <w:r>
        <w:rPr>
          <w:rStyle w:val="288"/>
          <w:rFonts w:hint="eastAsia" w:ascii="宋体" w:hAnsi="宋体" w:eastAsia="宋体" w:cs="宋体"/>
          <w:color w:val="auto"/>
          <w:sz w:val="24"/>
          <w:szCs w:val="24"/>
          <w:highlight w:val="none"/>
          <w:u w:val="single"/>
        </w:rPr>
        <w:t xml:space="preserve">   年  月   日</w:t>
      </w:r>
      <w:r>
        <w:rPr>
          <w:rStyle w:val="288"/>
          <w:rFonts w:hint="eastAsia" w:ascii="宋体" w:hAnsi="宋体" w:eastAsia="宋体" w:cs="宋体"/>
          <w:color w:val="auto"/>
          <w:sz w:val="24"/>
          <w:szCs w:val="24"/>
          <w:highlight w:val="none"/>
        </w:rPr>
        <w:t xml:space="preserve">起生效，特此声明。  </w:t>
      </w:r>
    </w:p>
    <w:p w14:paraId="222E15CC">
      <w:pPr>
        <w:pStyle w:val="300"/>
        <w:spacing w:before="240" w:after="240"/>
        <w:rPr>
          <w:rStyle w:val="288"/>
          <w:rFonts w:hint="eastAsia" w:ascii="宋体" w:hAnsi="宋体" w:eastAsia="宋体" w:cs="宋体"/>
          <w:color w:val="auto"/>
          <w:sz w:val="24"/>
          <w:szCs w:val="24"/>
          <w:highlight w:val="none"/>
        </w:rPr>
      </w:pPr>
    </w:p>
    <w:p w14:paraId="6279052B">
      <w:pPr>
        <w:pStyle w:val="300"/>
        <w:spacing w:before="240" w:after="240"/>
        <w:ind w:firstLine="357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被授权人联系电话：（手机）   </w:t>
      </w:r>
    </w:p>
    <w:p w14:paraId="0C1A8CA6">
      <w:pPr>
        <w:pStyle w:val="300"/>
        <w:spacing w:before="240" w:after="240"/>
        <w:ind w:firstLine="357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授权单位名称：   （加盖公章）</w:t>
      </w:r>
    </w:p>
    <w:p w14:paraId="37396352">
      <w:pPr>
        <w:pStyle w:val="300"/>
        <w:spacing w:before="240" w:after="240"/>
        <w:ind w:firstLine="357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 xml:space="preserve">单位地址：    </w:t>
      </w:r>
    </w:p>
    <w:p w14:paraId="490C4DB7">
      <w:pPr>
        <w:pStyle w:val="300"/>
        <w:spacing w:before="240" w:after="240"/>
        <w:ind w:firstLine="3600"/>
        <w:rPr>
          <w:rFonts w:hint="eastAsia" w:ascii="宋体" w:hAnsi="宋体" w:eastAsia="宋体" w:cs="宋体"/>
          <w:color w:val="auto"/>
          <w:szCs w:val="24"/>
          <w:highlight w:val="none"/>
        </w:rPr>
      </w:pPr>
      <w:r>
        <w:rPr>
          <w:rStyle w:val="288"/>
          <w:rFonts w:hint="eastAsia" w:ascii="宋体" w:hAnsi="宋体" w:eastAsia="宋体" w:cs="宋体"/>
          <w:color w:val="auto"/>
          <w:sz w:val="24"/>
          <w:szCs w:val="24"/>
          <w:highlight w:val="none"/>
        </w:rPr>
        <w:t>日期：   年   月   日</w:t>
      </w:r>
    </w:p>
    <w:p w14:paraId="627636EE">
      <w:pPr>
        <w:widowControl/>
        <w:jc w:val="left"/>
        <w:rPr>
          <w:rFonts w:hint="eastAsia" w:ascii="宋体" w:hAnsi="宋体"/>
          <w:color w:val="auto"/>
          <w:szCs w:val="21"/>
          <w:highlight w:val="none"/>
        </w:rPr>
      </w:pPr>
    </w:p>
    <w:p w14:paraId="009B877A">
      <w:pPr>
        <w:pStyle w:val="300"/>
        <w:spacing w:before="320" w:after="320"/>
        <w:jc w:val="center"/>
        <w:outlineLvl w:val="1"/>
        <w:rPr>
          <w:rStyle w:val="288"/>
          <w:rFonts w:hint="eastAsia" w:eastAsia="宋体"/>
          <w:b/>
          <w:bCs/>
          <w:color w:val="auto"/>
          <w:sz w:val="32"/>
          <w:szCs w:val="32"/>
          <w:highlight w:val="none"/>
        </w:rPr>
      </w:pPr>
      <w:r>
        <w:rPr>
          <w:rStyle w:val="288"/>
          <w:rFonts w:hint="eastAsia" w:eastAsia="宋体"/>
          <w:b/>
          <w:bCs/>
          <w:color w:val="auto"/>
          <w:sz w:val="32"/>
          <w:szCs w:val="32"/>
          <w:highlight w:val="none"/>
        </w:rPr>
        <w:t>2、法定代表人身份证明书</w:t>
      </w:r>
    </w:p>
    <w:p w14:paraId="107B4C86">
      <w:pPr>
        <w:pStyle w:val="300"/>
        <w:spacing w:before="240" w:after="240" w:line="440" w:lineRule="exact"/>
        <w:ind w:firstLine="499"/>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兹证明</w:t>
      </w:r>
      <w:r>
        <w:rPr>
          <w:rStyle w:val="288"/>
          <w:rFonts w:hint="eastAsia" w:ascii="宋体" w:hAnsi="宋体" w:eastAsia="宋体" w:cs="宋体"/>
          <w:color w:val="auto"/>
          <w:sz w:val="24"/>
          <w:szCs w:val="24"/>
          <w:highlight w:val="none"/>
          <w:u w:val="single"/>
        </w:rPr>
        <w:t xml:space="preserve">              </w:t>
      </w:r>
      <w:r>
        <w:rPr>
          <w:rStyle w:val="288"/>
          <w:rFonts w:hint="eastAsia" w:ascii="宋体" w:hAnsi="宋体" w:eastAsia="宋体" w:cs="宋体"/>
          <w:color w:val="auto"/>
          <w:sz w:val="24"/>
          <w:szCs w:val="24"/>
          <w:highlight w:val="none"/>
        </w:rPr>
        <w:t>（姓名）（法定代表人身份证号码</w:t>
      </w:r>
      <w:r>
        <w:rPr>
          <w:rStyle w:val="288"/>
          <w:rFonts w:hint="eastAsia" w:ascii="宋体" w:hAnsi="宋体" w:eastAsia="宋体" w:cs="宋体"/>
          <w:color w:val="auto"/>
          <w:sz w:val="24"/>
          <w:szCs w:val="24"/>
          <w:highlight w:val="none"/>
          <w:u w:val="single"/>
        </w:rPr>
        <w:t xml:space="preserve">：         </w:t>
      </w:r>
      <w:r>
        <w:rPr>
          <w:rStyle w:val="288"/>
          <w:rFonts w:hint="eastAsia" w:ascii="宋体" w:hAnsi="宋体" w:eastAsia="宋体" w:cs="宋体"/>
          <w:color w:val="auto"/>
          <w:sz w:val="24"/>
          <w:szCs w:val="24"/>
          <w:highlight w:val="none"/>
        </w:rPr>
        <w:t>）担任</w:t>
      </w:r>
      <w:r>
        <w:rPr>
          <w:rStyle w:val="288"/>
          <w:rFonts w:hint="eastAsia" w:ascii="宋体" w:hAnsi="宋体" w:eastAsia="宋体" w:cs="宋体"/>
          <w:color w:val="auto"/>
          <w:sz w:val="24"/>
          <w:szCs w:val="24"/>
          <w:highlight w:val="none"/>
          <w:u w:val="single"/>
        </w:rPr>
        <w:t xml:space="preserve">            </w:t>
      </w:r>
      <w:r>
        <w:rPr>
          <w:rStyle w:val="288"/>
          <w:rFonts w:hint="eastAsia" w:ascii="宋体" w:hAnsi="宋体" w:eastAsia="宋体" w:cs="宋体"/>
          <w:color w:val="auto"/>
          <w:sz w:val="24"/>
          <w:szCs w:val="24"/>
          <w:highlight w:val="none"/>
        </w:rPr>
        <w:t>(供应商名称)</w:t>
      </w:r>
      <w:r>
        <w:rPr>
          <w:rStyle w:val="288"/>
          <w:rFonts w:hint="eastAsia" w:ascii="宋体" w:hAnsi="宋体" w:eastAsia="宋体" w:cs="宋体"/>
          <w:color w:val="auto"/>
          <w:sz w:val="24"/>
          <w:szCs w:val="24"/>
          <w:highlight w:val="none"/>
          <w:u w:val="single"/>
        </w:rPr>
        <w:t xml:space="preserve">      （职位 ）</w:t>
      </w:r>
      <w:r>
        <w:rPr>
          <w:rStyle w:val="288"/>
          <w:rFonts w:hint="eastAsia" w:ascii="宋体" w:hAnsi="宋体" w:eastAsia="宋体" w:cs="宋体"/>
          <w:color w:val="auto"/>
          <w:sz w:val="24"/>
          <w:szCs w:val="24"/>
          <w:highlight w:val="none"/>
        </w:rPr>
        <w:t xml:space="preserve">，是我单位的法定代表人。 </w:t>
      </w:r>
    </w:p>
    <w:p w14:paraId="4F508B93">
      <w:pPr>
        <w:pStyle w:val="300"/>
        <w:spacing w:before="240" w:after="240"/>
        <w:ind w:firstLine="50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 xml:space="preserve">特此证明。  </w:t>
      </w:r>
    </w:p>
    <w:p w14:paraId="21FF7A8D">
      <w:pPr>
        <w:pStyle w:val="300"/>
        <w:spacing w:before="240" w:after="240"/>
        <w:ind w:firstLine="500"/>
        <w:rPr>
          <w:rStyle w:val="288"/>
          <w:rFonts w:hint="eastAsia" w:ascii="宋体" w:hAnsi="宋体" w:eastAsia="宋体" w:cs="宋体"/>
          <w:color w:val="auto"/>
          <w:sz w:val="24"/>
          <w:szCs w:val="24"/>
          <w:highlight w:val="none"/>
        </w:rPr>
      </w:pPr>
    </w:p>
    <w:p w14:paraId="40448BB1">
      <w:pPr>
        <w:pStyle w:val="300"/>
        <w:spacing w:before="240" w:after="240"/>
        <w:ind w:firstLine="24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 xml:space="preserve">                        </w:t>
      </w:r>
    </w:p>
    <w:p w14:paraId="041C19A4">
      <w:pPr>
        <w:pStyle w:val="300"/>
        <w:spacing w:before="240" w:after="240"/>
        <w:ind w:firstLine="357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法定代表人联系电话：（手机）   </w:t>
      </w:r>
    </w:p>
    <w:p w14:paraId="7C6FB804">
      <w:pPr>
        <w:pStyle w:val="300"/>
        <w:spacing w:before="240" w:after="240"/>
        <w:ind w:firstLine="357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单位名称：   （加盖公章）</w:t>
      </w:r>
    </w:p>
    <w:p w14:paraId="392672E6">
      <w:pPr>
        <w:pStyle w:val="300"/>
        <w:spacing w:before="240" w:after="240"/>
        <w:ind w:firstLine="3570"/>
        <w:rPr>
          <w:rStyle w:val="288"/>
          <w:rFonts w:hint="eastAsia" w:ascii="宋体" w:hAnsi="宋体" w:eastAsia="宋体" w:cs="宋体"/>
          <w:color w:val="auto"/>
          <w:sz w:val="24"/>
          <w:szCs w:val="24"/>
          <w:highlight w:val="none"/>
        </w:rPr>
      </w:pPr>
      <w:r>
        <w:rPr>
          <w:rStyle w:val="288"/>
          <w:rFonts w:hint="eastAsia" w:ascii="宋体" w:hAnsi="宋体" w:eastAsia="宋体" w:cs="宋体"/>
          <w:color w:val="auto"/>
          <w:sz w:val="24"/>
          <w:szCs w:val="24"/>
          <w:highlight w:val="none"/>
        </w:rPr>
        <w:t xml:space="preserve">单位地址：    </w:t>
      </w:r>
    </w:p>
    <w:p w14:paraId="0E4FCA9A">
      <w:pPr>
        <w:pStyle w:val="300"/>
        <w:spacing w:before="240" w:after="240"/>
        <w:jc w:val="center"/>
        <w:rPr>
          <w:rFonts w:hint="default" w:ascii="Times New Roman" w:hAnsi="Times New Roman" w:eastAsia="宋体" w:cs="Times New Roman"/>
          <w:b/>
          <w:bCs/>
          <w:color w:val="auto"/>
          <w:highlight w:val="none"/>
        </w:rPr>
      </w:pPr>
      <w:r>
        <w:rPr>
          <w:rStyle w:val="288"/>
          <w:rFonts w:hint="eastAsia" w:ascii="宋体" w:hAnsi="宋体" w:eastAsia="宋体" w:cs="宋体"/>
          <w:color w:val="auto"/>
          <w:sz w:val="24"/>
          <w:szCs w:val="24"/>
          <w:highlight w:val="none"/>
          <w:lang w:val="en-US"/>
        </w:rPr>
        <w:t xml:space="preserve">  </w:t>
      </w:r>
      <w:r>
        <w:rPr>
          <w:rStyle w:val="288"/>
          <w:rFonts w:hint="eastAsia" w:ascii="宋体" w:hAnsi="宋体" w:eastAsia="宋体" w:cs="宋体"/>
          <w:color w:val="auto"/>
          <w:sz w:val="24"/>
          <w:szCs w:val="24"/>
          <w:highlight w:val="none"/>
        </w:rPr>
        <w:t>日期：   年   月   日</w:t>
      </w:r>
      <w:bookmarkEnd w:id="15"/>
    </w:p>
    <w:p w14:paraId="7DF30335">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p>
    <w:p w14:paraId="6118E233">
      <w:pPr>
        <w:pStyle w:val="285"/>
        <w:spacing w:before="320" w:after="320"/>
        <w:jc w:val="center"/>
        <w:rPr>
          <w:rStyle w:val="288"/>
          <w:rFonts w:hint="default" w:ascii="Times New Roman" w:hAnsi="Times New Roman" w:eastAsia="宋体" w:cs="Times New Roman"/>
          <w:b/>
          <w:bCs/>
          <w:color w:val="auto"/>
          <w:sz w:val="32"/>
          <w:szCs w:val="32"/>
          <w:highlight w:val="none"/>
        </w:rPr>
      </w:pPr>
      <w:r>
        <w:rPr>
          <w:rStyle w:val="288"/>
          <w:rFonts w:hint="default" w:ascii="Times New Roman" w:hAnsi="Times New Roman" w:eastAsia="宋体" w:cs="Times New Roman"/>
          <w:b/>
          <w:bCs/>
          <w:color w:val="auto"/>
          <w:sz w:val="32"/>
          <w:szCs w:val="32"/>
          <w:highlight w:val="none"/>
        </w:rPr>
        <w:t>关于资格证明文件的书面承诺</w:t>
      </w:r>
      <w:bookmarkEnd w:id="16"/>
      <w:bookmarkEnd w:id="17"/>
    </w:p>
    <w:p w14:paraId="3D2E0715">
      <w:pPr>
        <w:spacing w:line="360" w:lineRule="auto"/>
        <w:rPr>
          <w:rFonts w:hint="default" w:ascii="Times New Roman" w:hAnsi="Times New Roman" w:eastAsia="宋体" w:cs="Times New Roman"/>
          <w:b/>
          <w:color w:val="auto"/>
          <w:sz w:val="32"/>
          <w:szCs w:val="32"/>
          <w:highlight w:val="none"/>
        </w:rPr>
      </w:pPr>
    </w:p>
    <w:p w14:paraId="329CB48A">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我单位郑重承诺：本单位所提交的</w:t>
      </w:r>
      <w:r>
        <w:rPr>
          <w:rFonts w:hint="default" w:ascii="Times New Roman" w:hAnsi="Times New Roman" w:eastAsia="宋体" w:cs="Times New Roman"/>
          <w:color w:val="auto"/>
          <w:sz w:val="24"/>
          <w:szCs w:val="24"/>
          <w:highlight w:val="none"/>
          <w:lang w:eastAsia="zh-CN"/>
        </w:rPr>
        <w:t>响应文件</w:t>
      </w:r>
      <w:r>
        <w:rPr>
          <w:rFonts w:hint="default" w:ascii="Times New Roman" w:hAnsi="Times New Roman" w:eastAsia="宋体" w:cs="Times New Roman"/>
          <w:color w:val="auto"/>
          <w:sz w:val="24"/>
          <w:szCs w:val="24"/>
          <w:highlight w:val="none"/>
        </w:rPr>
        <w:t>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48F5C77E">
      <w:pPr>
        <w:spacing w:line="360" w:lineRule="auto"/>
        <w:ind w:firstLine="480"/>
        <w:rPr>
          <w:rFonts w:hint="default" w:ascii="Times New Roman" w:hAnsi="Times New Roman" w:eastAsia="宋体" w:cs="Times New Roman"/>
          <w:color w:val="auto"/>
          <w:sz w:val="24"/>
          <w:szCs w:val="24"/>
          <w:highlight w:val="none"/>
        </w:rPr>
      </w:pPr>
    </w:p>
    <w:p w14:paraId="2AA55F7B">
      <w:pPr>
        <w:spacing w:line="360" w:lineRule="auto"/>
        <w:ind w:firstLine="420"/>
        <w:rPr>
          <w:rFonts w:hint="default" w:ascii="Times New Roman" w:hAnsi="Times New Roman" w:eastAsia="宋体" w:cs="Times New Roman"/>
          <w:color w:val="auto"/>
          <w:highlight w:val="none"/>
        </w:rPr>
      </w:pPr>
    </w:p>
    <w:p w14:paraId="0CCBB2CC">
      <w:pPr>
        <w:pStyle w:val="276"/>
        <w:jc w:val="center"/>
        <w:rPr>
          <w:rFonts w:hint="default" w:ascii="Times New Roman" w:hAnsi="Times New Roman" w:eastAsia="宋体" w:cs="Times New Roman"/>
          <w:color w:val="auto"/>
          <w:highlight w:val="none"/>
        </w:rPr>
      </w:pPr>
    </w:p>
    <w:p w14:paraId="59942A51">
      <w:pPr>
        <w:pStyle w:val="276"/>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投标单位（加盖公章）：</w:t>
      </w:r>
    </w:p>
    <w:p w14:paraId="4AD66337">
      <w:pPr>
        <w:rPr>
          <w:rFonts w:hint="default" w:ascii="Times New Roman" w:hAnsi="Times New Roman" w:eastAsia="宋体" w:cs="Times New Roman"/>
          <w:color w:val="auto"/>
          <w:highlight w:val="none"/>
        </w:rPr>
        <w:sectPr>
          <w:pgSz w:w="11906" w:h="16838"/>
          <w:pgMar w:top="1440" w:right="1080" w:bottom="1440" w:left="1080" w:header="851" w:footer="992" w:gutter="0"/>
          <w:cols w:space="1701" w:num="1"/>
          <w:titlePg/>
          <w:docGrid w:linePitch="360" w:charSpace="0"/>
        </w:sectPr>
      </w:pPr>
      <w:r>
        <w:rPr>
          <w:rFonts w:hint="default" w:ascii="Times New Roman" w:hAnsi="Times New Roman" w:eastAsia="宋体" w:cs="Times New Roman"/>
          <w:color w:val="auto"/>
          <w:highlight w:val="none"/>
        </w:rPr>
        <w:br w:type="page" w:clear="all"/>
      </w:r>
    </w:p>
    <w:p w14:paraId="10798C38">
      <w:pPr>
        <w:pStyle w:val="193"/>
        <w:rPr>
          <w:rFonts w:hint="default"/>
          <w:color w:val="auto"/>
          <w:highlight w:val="none"/>
        </w:rPr>
      </w:pPr>
    </w:p>
    <w:p w14:paraId="7AA677A2">
      <w:pPr>
        <w:keepNext/>
        <w:keepLines/>
        <w:spacing w:before="156" w:after="156"/>
        <w:jc w:val="center"/>
        <w:outlineLvl w:val="3"/>
        <w:rPr>
          <w:rFonts w:ascii="Times New Roman" w:hAnsi="Times New Roman" w:eastAsia="宋体" w:cs="Times New Roman"/>
          <w:b/>
          <w:bCs/>
          <w:color w:val="auto"/>
          <w:sz w:val="32"/>
          <w:szCs w:val="32"/>
          <w:highlight w:val="none"/>
          <w14:ligatures w14:val="none"/>
        </w:rPr>
      </w:pPr>
      <w:r>
        <w:rPr>
          <w:rFonts w:hint="eastAsia" w:ascii="Times New Roman" w:hAnsi="Times New Roman" w:eastAsia="宋体" w:cs="Times New Roman"/>
          <w:b/>
          <w:bCs/>
          <w:color w:val="auto"/>
          <w:sz w:val="32"/>
          <w:szCs w:val="32"/>
          <w:highlight w:val="none"/>
          <w14:ligatures w14:val="none"/>
        </w:rPr>
        <w:t>联合</w:t>
      </w:r>
      <w:r>
        <w:rPr>
          <w:rFonts w:ascii="Times New Roman" w:hAnsi="Times New Roman" w:eastAsia="宋体" w:cs="Times New Roman"/>
          <w:b/>
          <w:bCs/>
          <w:color w:val="auto"/>
          <w:sz w:val="32"/>
          <w:szCs w:val="32"/>
          <w:highlight w:val="none"/>
          <w14:ligatures w14:val="none"/>
        </w:rPr>
        <w:t>投标协议书</w:t>
      </w:r>
      <w:r>
        <w:rPr>
          <w:rFonts w:hint="eastAsia" w:ascii="Times New Roman" w:hAnsi="Times New Roman" w:eastAsia="宋体" w:cs="Times New Roman"/>
          <w:b/>
          <w:bCs/>
          <w:color w:val="auto"/>
          <w:sz w:val="32"/>
          <w:szCs w:val="32"/>
          <w:highlight w:val="none"/>
          <w14:ligatures w14:val="none"/>
        </w:rPr>
        <w:t>（</w:t>
      </w:r>
      <w:r>
        <w:rPr>
          <w:rFonts w:hint="eastAsia" w:ascii="宋体" w:hAnsi="宋体" w:eastAsia="宋体" w:cs="Times New Roman"/>
          <w:b/>
          <w:bCs/>
          <w:color w:val="auto"/>
          <w:sz w:val="32"/>
          <w:szCs w:val="32"/>
          <w:highlight w:val="none"/>
          <w14:ligatures w14:val="none"/>
        </w:rPr>
        <w:t>如为联合体，才须提供）</w:t>
      </w:r>
    </w:p>
    <w:p w14:paraId="1BDFA4B5">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甲方</w:t>
      </w:r>
      <w:r>
        <w:rPr>
          <w:rFonts w:hint="eastAsia" w:ascii="Times New Roman" w:hAnsi="Times New Roman" w:eastAsia="宋体" w:cs="Times New Roman"/>
          <w:color w:val="auto"/>
          <w:sz w:val="24"/>
          <w:szCs w:val="24"/>
          <w:highlight w:val="none"/>
        </w:rPr>
        <w:t>（牵头人）</w:t>
      </w:r>
      <w:r>
        <w:rPr>
          <w:rFonts w:ascii="Times New Roman" w:hAnsi="Times New Roman" w:eastAsia="宋体" w:cs="Times New Roman"/>
          <w:color w:val="auto"/>
          <w:sz w:val="24"/>
          <w:szCs w:val="24"/>
          <w:highlight w:val="none"/>
          <w14:ligatures w14:val="none"/>
        </w:rPr>
        <w:t>：</w:t>
      </w:r>
    </w:p>
    <w:p w14:paraId="1BB50E56">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乙方</w:t>
      </w:r>
      <w:r>
        <w:rPr>
          <w:rFonts w:hint="eastAsia" w:ascii="Times New Roman" w:hAnsi="Times New Roman" w:eastAsia="宋体" w:cs="Times New Roman"/>
          <w:color w:val="auto"/>
          <w:sz w:val="24"/>
          <w:szCs w:val="24"/>
          <w:highlight w:val="none"/>
        </w:rPr>
        <w:t>（联合体成员</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rPr>
        <w:t>）</w:t>
      </w:r>
      <w:r>
        <w:rPr>
          <w:rFonts w:ascii="Times New Roman" w:hAnsi="Times New Roman" w:eastAsia="宋体" w:cs="Times New Roman"/>
          <w:color w:val="auto"/>
          <w:sz w:val="24"/>
          <w:szCs w:val="24"/>
          <w:highlight w:val="none"/>
          <w14:ligatures w14:val="none"/>
        </w:rPr>
        <w:t>：</w:t>
      </w:r>
    </w:p>
    <w:p w14:paraId="0DAA0B7F">
      <w:pPr>
        <w:spacing w:line="360" w:lineRule="auto"/>
        <w:ind w:firstLine="461"/>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丙方（</w:t>
      </w:r>
      <w:r>
        <w:rPr>
          <w:rFonts w:hint="eastAsia" w:ascii="Times New Roman" w:hAnsi="Times New Roman" w:eastAsia="宋体" w:cs="Times New Roman"/>
          <w:color w:val="auto"/>
          <w:sz w:val="24"/>
          <w:szCs w:val="24"/>
          <w:highlight w:val="none"/>
        </w:rPr>
        <w:t>联合体成员</w:t>
      </w:r>
      <w:r>
        <w:rPr>
          <w:rFonts w:hint="eastAsia" w:ascii="Times New Roman" w:hAnsi="Times New Roman" w:cs="Times New Roman"/>
          <w:color w:val="auto"/>
          <w:sz w:val="24"/>
          <w:szCs w:val="24"/>
          <w:highlight w:val="none"/>
          <w:lang w:val="en-US" w:eastAsia="zh-CN"/>
        </w:rPr>
        <w:t>2，如有</w:t>
      </w:r>
      <w:r>
        <w:rPr>
          <w:rFonts w:hint="eastAsia" w:ascii="Times New Roman" w:hAnsi="Times New Roman" w:eastAsia="宋体" w:cs="Times New Roman"/>
          <w:color w:val="auto"/>
          <w:sz w:val="24"/>
          <w:szCs w:val="24"/>
          <w:highlight w:val="none"/>
          <w:lang w:val="en-US" w:eastAsia="zh-CN"/>
          <w14:ligatures w14:val="none"/>
        </w:rPr>
        <w:t>）：</w:t>
      </w:r>
    </w:p>
    <w:p w14:paraId="6BBADC75">
      <w:pPr>
        <w:spacing w:line="360" w:lineRule="auto"/>
        <w:ind w:firstLine="461"/>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......（可根据实际成员数量增减，最多不超过6家）</w:t>
      </w:r>
    </w:p>
    <w:p w14:paraId="49212A84">
      <w:pPr>
        <w:spacing w:line="360" w:lineRule="auto"/>
        <w:ind w:firstLine="461"/>
        <w:rPr>
          <w:rFonts w:hint="default" w:ascii="Times New Roman" w:hAnsi="Times New Roman" w:eastAsia="宋体" w:cs="Times New Roman"/>
          <w:color w:val="auto"/>
          <w:sz w:val="24"/>
          <w:szCs w:val="24"/>
          <w:highlight w:val="none"/>
          <w:lang w:val="en-US" w:eastAsia="zh-CN"/>
          <w14:ligatures w14:val="none"/>
        </w:rPr>
      </w:pPr>
    </w:p>
    <w:p w14:paraId="76532C37">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各方经协商，就响应</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组织的采购编号为</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号的招标活动联合进行投标之事宜，达成如下协议：</w:t>
      </w:r>
    </w:p>
    <w:p w14:paraId="430772BE">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一、各方一致决定，以</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为</w:t>
      </w:r>
      <w:r>
        <w:rPr>
          <w:rFonts w:hint="eastAsia" w:ascii="Times New Roman" w:hAnsi="Times New Roman" w:eastAsia="宋体" w:cs="Times New Roman"/>
          <w:color w:val="auto"/>
          <w:sz w:val="24"/>
          <w:szCs w:val="24"/>
          <w:highlight w:val="none"/>
          <w14:ligatures w14:val="none"/>
        </w:rPr>
        <w:t>牵头</w:t>
      </w:r>
      <w:r>
        <w:rPr>
          <w:rFonts w:ascii="Times New Roman" w:hAnsi="Times New Roman" w:eastAsia="宋体" w:cs="Times New Roman"/>
          <w:color w:val="auto"/>
          <w:sz w:val="24"/>
          <w:szCs w:val="24"/>
          <w:highlight w:val="none"/>
          <w14:ligatures w14:val="none"/>
        </w:rPr>
        <w:t>方（即联合体投标人代表）进行投标，并按照招标文件的规定提交资格文件。</w:t>
      </w:r>
    </w:p>
    <w:p w14:paraId="6ACB0632">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二、在本次投标过程中，</w:t>
      </w:r>
      <w:r>
        <w:rPr>
          <w:rFonts w:hint="eastAsia" w:ascii="Times New Roman" w:hAnsi="Times New Roman" w:eastAsia="宋体" w:cs="Times New Roman"/>
          <w:color w:val="auto"/>
          <w:sz w:val="24"/>
          <w:szCs w:val="24"/>
          <w:highlight w:val="none"/>
          <w14:ligatures w14:val="none"/>
        </w:rPr>
        <w:t>牵头</w:t>
      </w:r>
      <w:r>
        <w:rPr>
          <w:rFonts w:ascii="Times New Roman" w:hAnsi="Times New Roman" w:eastAsia="宋体" w:cs="Times New Roman"/>
          <w:color w:val="auto"/>
          <w:sz w:val="24"/>
          <w:szCs w:val="24"/>
          <w:highlight w:val="none"/>
          <w14:ligatures w14:val="none"/>
        </w:rPr>
        <w:t>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p>
    <w:p w14:paraId="2D8C4811">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三、联合投标其余各方保证对牵头方为响应本次招标而提供的产品和服务提供全部质量保证及售后服务支持。</w:t>
      </w:r>
    </w:p>
    <w:p w14:paraId="2982F385">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四、本次联合投标中</w:t>
      </w:r>
    </w:p>
    <w:p w14:paraId="72002640">
      <w:pPr>
        <w:spacing w:line="360" w:lineRule="auto"/>
        <w:ind w:firstLine="463"/>
        <w:rPr>
          <w:rFonts w:ascii="Times New Roman" w:hAnsi="Times New Roman" w:eastAsia="宋体" w:cs="Times New Roman"/>
          <w:b w:val="0"/>
          <w:bCs w:val="0"/>
          <w:color w:val="auto"/>
          <w:sz w:val="24"/>
          <w:szCs w:val="24"/>
          <w:highlight w:val="none"/>
          <w14:ligatures w14:val="none"/>
        </w:rPr>
      </w:pPr>
      <w:r>
        <w:rPr>
          <w:rFonts w:ascii="Times New Roman" w:hAnsi="Times New Roman" w:eastAsia="宋体" w:cs="Times New Roman"/>
          <w:b w:val="0"/>
          <w:bCs w:val="0"/>
          <w:color w:val="auto"/>
          <w:sz w:val="24"/>
          <w:szCs w:val="24"/>
          <w:highlight w:val="none"/>
          <w14:ligatures w14:val="none"/>
        </w:rPr>
        <w:t>甲方</w:t>
      </w:r>
      <w:r>
        <w:rPr>
          <w:rFonts w:hint="eastAsia"/>
          <w:b w:val="0"/>
          <w:bCs w:val="0"/>
          <w:color w:val="auto"/>
          <w:sz w:val="24"/>
          <w:highlight w:val="none"/>
          <w:u w:val="single"/>
        </w:rPr>
        <w:t>（牵头人全称）</w:t>
      </w:r>
      <w:r>
        <w:rPr>
          <w:rFonts w:ascii="Times New Roman" w:hAnsi="Times New Roman" w:eastAsia="宋体" w:cs="Times New Roman"/>
          <w:b w:val="0"/>
          <w:bCs w:val="0"/>
          <w:color w:val="auto"/>
          <w:sz w:val="24"/>
          <w:szCs w:val="24"/>
          <w:highlight w:val="none"/>
          <w14:ligatures w14:val="none"/>
        </w:rPr>
        <w:t>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w:t>
      </w:r>
    </w:p>
    <w:p w14:paraId="3C0A672C">
      <w:pPr>
        <w:spacing w:line="360" w:lineRule="auto"/>
        <w:ind w:firstLine="463"/>
        <w:rPr>
          <w:rFonts w:hint="eastAsia"/>
          <w:b w:val="0"/>
          <w:bCs w:val="0"/>
          <w:color w:val="auto"/>
          <w:sz w:val="24"/>
          <w:szCs w:val="24"/>
          <w:highlight w:val="none"/>
        </w:rPr>
      </w:pPr>
      <w:r>
        <w:rPr>
          <w:rFonts w:ascii="Times New Roman" w:hAnsi="Times New Roman" w:eastAsia="宋体" w:cs="Times New Roman"/>
          <w:b w:val="0"/>
          <w:bCs w:val="0"/>
          <w:color w:val="auto"/>
          <w:sz w:val="24"/>
          <w:szCs w:val="24"/>
          <w:highlight w:val="none"/>
          <w14:ligatures w14:val="none"/>
        </w:rPr>
        <w:t>乙方</w:t>
      </w:r>
      <w:r>
        <w:rPr>
          <w:rFonts w:hint="eastAsia"/>
          <w:b w:val="0"/>
          <w:bCs w:val="0"/>
          <w:color w:val="auto"/>
          <w:sz w:val="24"/>
          <w:highlight w:val="none"/>
          <w:u w:val="single"/>
        </w:rPr>
        <w:t>（联合体成员</w:t>
      </w:r>
      <w:r>
        <w:rPr>
          <w:rFonts w:hint="eastAsia"/>
          <w:b w:val="0"/>
          <w:bCs w:val="0"/>
          <w:color w:val="auto"/>
          <w:sz w:val="24"/>
          <w:highlight w:val="none"/>
          <w:u w:val="single"/>
          <w:lang w:val="en-US" w:eastAsia="zh-CN"/>
        </w:rPr>
        <w:t>1</w:t>
      </w:r>
      <w:r>
        <w:rPr>
          <w:rFonts w:hint="eastAsia"/>
          <w:b w:val="0"/>
          <w:bCs w:val="0"/>
          <w:color w:val="auto"/>
          <w:sz w:val="24"/>
          <w:highlight w:val="none"/>
          <w:u w:val="single"/>
        </w:rPr>
        <w:t>全称）</w:t>
      </w:r>
      <w:r>
        <w:rPr>
          <w:rFonts w:ascii="Times New Roman" w:hAnsi="Times New Roman" w:eastAsia="宋体" w:cs="Times New Roman"/>
          <w:b w:val="0"/>
          <w:bCs w:val="0"/>
          <w:color w:val="auto"/>
          <w:sz w:val="24"/>
          <w:szCs w:val="24"/>
          <w:highlight w:val="none"/>
          <w14:ligatures w14:val="none"/>
        </w:rPr>
        <w:t>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w:t>
      </w:r>
    </w:p>
    <w:p w14:paraId="2A168707">
      <w:pPr>
        <w:spacing w:line="360" w:lineRule="auto"/>
        <w:ind w:firstLine="463"/>
        <w:rPr>
          <w:rFonts w:hint="eastAsia"/>
          <w:b w:val="0"/>
          <w:bCs w:val="0"/>
          <w:color w:val="auto"/>
          <w:sz w:val="24"/>
          <w:szCs w:val="24"/>
          <w:highlight w:val="none"/>
        </w:rPr>
      </w:pPr>
      <w:r>
        <w:rPr>
          <w:rFonts w:hint="eastAsia" w:ascii="Times New Roman" w:hAnsi="Times New Roman" w:cs="Times New Roman"/>
          <w:b w:val="0"/>
          <w:bCs w:val="0"/>
          <w:color w:val="auto"/>
          <w:sz w:val="24"/>
          <w:szCs w:val="24"/>
          <w:highlight w:val="none"/>
          <w:lang w:val="en-US" w:eastAsia="zh-CN"/>
          <w14:ligatures w14:val="none"/>
        </w:rPr>
        <w:t>丙</w:t>
      </w:r>
      <w:r>
        <w:rPr>
          <w:rFonts w:ascii="Times New Roman" w:hAnsi="Times New Roman" w:eastAsia="宋体" w:cs="Times New Roman"/>
          <w:b w:val="0"/>
          <w:bCs w:val="0"/>
          <w:color w:val="auto"/>
          <w:sz w:val="24"/>
          <w:szCs w:val="24"/>
          <w:highlight w:val="none"/>
          <w14:ligatures w14:val="none"/>
        </w:rPr>
        <w:t>方</w:t>
      </w:r>
      <w:r>
        <w:rPr>
          <w:rFonts w:hint="eastAsia"/>
          <w:b w:val="0"/>
          <w:bCs w:val="0"/>
          <w:color w:val="auto"/>
          <w:sz w:val="24"/>
          <w:highlight w:val="none"/>
          <w:u w:val="single"/>
        </w:rPr>
        <w:t>（联合体成员</w:t>
      </w:r>
      <w:r>
        <w:rPr>
          <w:rFonts w:hint="eastAsia"/>
          <w:b w:val="0"/>
          <w:bCs w:val="0"/>
          <w:color w:val="auto"/>
          <w:sz w:val="24"/>
          <w:highlight w:val="none"/>
          <w:u w:val="single"/>
          <w:lang w:val="en-US" w:eastAsia="zh-CN"/>
        </w:rPr>
        <w:t>2</w:t>
      </w:r>
      <w:r>
        <w:rPr>
          <w:rFonts w:hint="eastAsia"/>
          <w:b w:val="0"/>
          <w:bCs w:val="0"/>
          <w:color w:val="auto"/>
          <w:sz w:val="24"/>
          <w:highlight w:val="none"/>
          <w:u w:val="single"/>
        </w:rPr>
        <w:t>全称</w:t>
      </w:r>
      <w:r>
        <w:rPr>
          <w:rFonts w:hint="eastAsia"/>
          <w:b w:val="0"/>
          <w:bCs w:val="0"/>
          <w:color w:val="auto"/>
          <w:sz w:val="24"/>
          <w:highlight w:val="none"/>
          <w:u w:val="single"/>
          <w:lang w:eastAsia="zh-CN"/>
        </w:rPr>
        <w:t>，</w:t>
      </w:r>
      <w:r>
        <w:rPr>
          <w:rFonts w:hint="eastAsia"/>
          <w:b w:val="0"/>
          <w:bCs w:val="0"/>
          <w:color w:val="auto"/>
          <w:sz w:val="24"/>
          <w:highlight w:val="none"/>
          <w:u w:val="single"/>
          <w:lang w:val="en-US" w:eastAsia="zh-CN"/>
        </w:rPr>
        <w:t>如有</w:t>
      </w:r>
      <w:r>
        <w:rPr>
          <w:rFonts w:hint="eastAsia"/>
          <w:b w:val="0"/>
          <w:bCs w:val="0"/>
          <w:color w:val="auto"/>
          <w:sz w:val="24"/>
          <w:highlight w:val="none"/>
          <w:u w:val="single"/>
        </w:rPr>
        <w:t>）</w:t>
      </w:r>
      <w:r>
        <w:rPr>
          <w:rFonts w:ascii="Times New Roman" w:hAnsi="Times New Roman" w:eastAsia="宋体" w:cs="Times New Roman"/>
          <w:b w:val="0"/>
          <w:bCs w:val="0"/>
          <w:color w:val="auto"/>
          <w:sz w:val="24"/>
          <w:szCs w:val="24"/>
          <w:highlight w:val="none"/>
          <w14:ligatures w14:val="none"/>
        </w:rPr>
        <w:t>承担的工作和义务为：</w:t>
      </w:r>
      <w:r>
        <w:rPr>
          <w:rFonts w:hint="eastAsia" w:ascii="Times New Roman" w:hAnsi="Times New Roman" w:cs="Times New Roman"/>
          <w:b w:val="0"/>
          <w:bCs w:val="0"/>
          <w:color w:val="auto"/>
          <w:sz w:val="24"/>
          <w:szCs w:val="24"/>
          <w:highlight w:val="none"/>
          <w:lang w:val="en-US" w:eastAsia="zh-CN"/>
          <w14:ligatures w14:val="none"/>
        </w:rPr>
        <w:t xml:space="preserve">  </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w:t>
      </w:r>
    </w:p>
    <w:p w14:paraId="7C6276C6">
      <w:pPr>
        <w:spacing w:line="360" w:lineRule="auto"/>
        <w:ind w:firstLine="463"/>
        <w:rPr>
          <w:rFonts w:hint="eastAsia"/>
          <w:b w:val="0"/>
          <w:bCs w:val="0"/>
          <w:color w:val="auto"/>
          <w:sz w:val="24"/>
          <w:szCs w:val="24"/>
          <w:highlight w:val="none"/>
        </w:rPr>
      </w:pPr>
      <w:r>
        <w:rPr>
          <w:rFonts w:hint="eastAsia" w:ascii="Times New Roman" w:hAnsi="Times New Roman" w:eastAsia="宋体" w:cs="Times New Roman"/>
          <w:color w:val="auto"/>
          <w:sz w:val="24"/>
          <w:szCs w:val="24"/>
          <w:highlight w:val="none"/>
          <w:lang w:val="en-US" w:eastAsia="zh-CN"/>
          <w14:ligatures w14:val="none"/>
        </w:rPr>
        <w:t>......（</w:t>
      </w:r>
      <w:r>
        <w:rPr>
          <w:rFonts w:hint="eastAsia" w:ascii="Times New Roman" w:hAnsi="Times New Roman"/>
          <w:color w:val="auto"/>
          <w:sz w:val="24"/>
          <w:szCs w:val="24"/>
          <w:highlight w:val="none"/>
          <w:lang w:val="en-US" w:eastAsia="zh-CN"/>
        </w:rPr>
        <w:t>可按实际成员数量增减，均需明确工作内容及金额占比</w:t>
      </w:r>
      <w:r>
        <w:rPr>
          <w:rFonts w:hint="eastAsia" w:ascii="Times New Roman" w:hAnsi="Times New Roman" w:eastAsia="宋体" w:cs="Times New Roman"/>
          <w:color w:val="auto"/>
          <w:sz w:val="24"/>
          <w:szCs w:val="24"/>
          <w:highlight w:val="none"/>
          <w:lang w:val="en-US" w:eastAsia="zh-CN"/>
          <w14:ligatures w14:val="none"/>
        </w:rPr>
        <w:t>）</w:t>
      </w:r>
    </w:p>
    <w:p w14:paraId="25DC1070">
      <w:pPr>
        <w:spacing w:line="360" w:lineRule="auto"/>
        <w:ind w:firstLine="461"/>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14:ligatures w14:val="none"/>
        </w:rPr>
        <w:t>五、有关本次联合投标的其他事宜：</w:t>
      </w:r>
      <w:r>
        <w:rPr>
          <w:rFonts w:ascii="Times New Roman" w:hAnsi="Times New Roman" w:eastAsia="宋体" w:cs="Times New Roman"/>
          <w:color w:val="auto"/>
          <w:sz w:val="24"/>
          <w:szCs w:val="24"/>
          <w:highlight w:val="none"/>
          <w:u w:val="single"/>
          <w14:ligatures w14:val="none"/>
        </w:rPr>
        <w:t xml:space="preserve">                                         </w:t>
      </w:r>
    </w:p>
    <w:p w14:paraId="71D9C0EA">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六、本协议提交招标方后，联合投标各方不得以任何形式对上述实质内容进行修改或撤销。</w:t>
      </w:r>
    </w:p>
    <w:p w14:paraId="5E892707">
      <w:pPr>
        <w:spacing w:line="360" w:lineRule="auto"/>
        <w:ind w:firstLine="461"/>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七、本协议一式</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份，签约各方各持一份，交采购人和采购代理机构各一份。</w:t>
      </w:r>
    </w:p>
    <w:tbl>
      <w:tblPr>
        <w:tblStyle w:val="33"/>
        <w:tblW w:w="0" w:type="auto"/>
        <w:jc w:val="center"/>
        <w:tblLayout w:type="fixed"/>
        <w:tblCellMar>
          <w:top w:w="0" w:type="dxa"/>
          <w:left w:w="108" w:type="dxa"/>
          <w:bottom w:w="0" w:type="dxa"/>
          <w:right w:w="108" w:type="dxa"/>
        </w:tblCellMar>
      </w:tblPr>
      <w:tblGrid>
        <w:gridCol w:w="4643"/>
        <w:gridCol w:w="4927"/>
      </w:tblGrid>
      <w:tr w14:paraId="12676BB1">
        <w:tblPrEx>
          <w:tblCellMar>
            <w:top w:w="0" w:type="dxa"/>
            <w:left w:w="108" w:type="dxa"/>
            <w:bottom w:w="0" w:type="dxa"/>
            <w:right w:w="108" w:type="dxa"/>
          </w:tblCellMar>
        </w:tblPrEx>
        <w:trPr>
          <w:trHeight w:val="2162" w:hRule="atLeast"/>
          <w:jc w:val="center"/>
        </w:trPr>
        <w:tc>
          <w:tcPr>
            <w:tcW w:w="4643" w:type="dxa"/>
            <w:noWrap w:val="0"/>
          </w:tcPr>
          <w:p w14:paraId="2E1468EB">
            <w:pPr>
              <w:spacing w:line="360" w:lineRule="auto"/>
              <w:rPr>
                <w:rFonts w:ascii="Times New Roman" w:hAnsi="Times New Roman" w:eastAsia="宋体" w:cs="Times New Roman"/>
                <w:color w:val="auto"/>
                <w:sz w:val="24"/>
                <w:szCs w:val="24"/>
                <w:highlight w:val="none"/>
                <w14:ligatures w14:val="none"/>
              </w:rPr>
            </w:pPr>
          </w:p>
          <w:p w14:paraId="289D1492">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甲方</w:t>
            </w:r>
            <w:r>
              <w:rPr>
                <w:rFonts w:hint="eastAsia" w:ascii="Times New Roman" w:hAnsi="Times New Roman" w:eastAsia="宋体" w:cs="Times New Roman"/>
                <w:color w:val="auto"/>
                <w:sz w:val="24"/>
                <w:szCs w:val="24"/>
                <w:highlight w:val="none"/>
                <w:lang w:val="en-US" w:eastAsia="zh-CN"/>
                <w14:ligatures w14:val="none"/>
              </w:rPr>
              <w:t>单位</w:t>
            </w:r>
            <w:r>
              <w:rPr>
                <w:rFonts w:hint="eastAsia" w:ascii="Times New Roman" w:hAnsi="Times New Roman" w:eastAsia="宋体" w:cs="Times New Roman"/>
                <w:color w:val="auto"/>
                <w:sz w:val="24"/>
                <w:szCs w:val="24"/>
                <w:highlight w:val="none"/>
              </w:rPr>
              <w:t>（牵头人）</w:t>
            </w:r>
            <w:r>
              <w:rPr>
                <w:rFonts w:ascii="Times New Roman" w:hAnsi="Times New Roman" w:eastAsia="宋体" w:cs="Times New Roman"/>
                <w:color w:val="auto"/>
                <w:sz w:val="24"/>
                <w:szCs w:val="24"/>
                <w:highlight w:val="none"/>
                <w14:ligatures w14:val="none"/>
              </w:rPr>
              <w:t>：   （公章）</w:t>
            </w:r>
          </w:p>
          <w:p w14:paraId="1BB7B73A">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法定代表人（负责人）：（签章）</w:t>
            </w:r>
          </w:p>
          <w:p w14:paraId="335BAA8B">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日</w:t>
            </w:r>
          </w:p>
        </w:tc>
        <w:tc>
          <w:tcPr>
            <w:tcW w:w="4927" w:type="dxa"/>
            <w:noWrap w:val="0"/>
          </w:tcPr>
          <w:p w14:paraId="73A997AC">
            <w:pPr>
              <w:spacing w:line="360" w:lineRule="auto"/>
              <w:rPr>
                <w:rFonts w:ascii="Times New Roman" w:hAnsi="Times New Roman" w:eastAsia="宋体" w:cs="Times New Roman"/>
                <w:color w:val="auto"/>
                <w:sz w:val="24"/>
                <w:szCs w:val="24"/>
                <w:highlight w:val="none"/>
                <w14:ligatures w14:val="none"/>
              </w:rPr>
            </w:pPr>
          </w:p>
          <w:p w14:paraId="083AA50D">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乙方</w:t>
            </w:r>
            <w:r>
              <w:rPr>
                <w:rFonts w:hint="eastAsia" w:ascii="Times New Roman" w:hAnsi="Times New Roman" w:eastAsia="宋体" w:cs="Times New Roman"/>
                <w:color w:val="auto"/>
                <w:sz w:val="24"/>
                <w:szCs w:val="24"/>
                <w:highlight w:val="none"/>
                <w:lang w:val="en-US" w:eastAsia="zh-CN"/>
                <w14:ligatures w14:val="none"/>
              </w:rPr>
              <w:t>单位</w:t>
            </w:r>
            <w:r>
              <w:rPr>
                <w:rFonts w:hint="eastAsia" w:ascii="Times New Roman" w:hAnsi="Times New Roman" w:eastAsia="宋体" w:cs="Times New Roman"/>
                <w:color w:val="auto"/>
                <w:sz w:val="24"/>
                <w:szCs w:val="24"/>
                <w:highlight w:val="none"/>
              </w:rPr>
              <w:t>（联合体成员 1）</w:t>
            </w:r>
            <w:r>
              <w:rPr>
                <w:rFonts w:ascii="Times New Roman" w:hAnsi="Times New Roman" w:eastAsia="宋体" w:cs="Times New Roman"/>
                <w:color w:val="auto"/>
                <w:sz w:val="24"/>
                <w:szCs w:val="24"/>
                <w:highlight w:val="none"/>
                <w14:ligatures w14:val="none"/>
              </w:rPr>
              <w:t xml:space="preserve">：   （公章）       </w:t>
            </w:r>
          </w:p>
          <w:p w14:paraId="2B3FD201">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法定代表人（负责人）：（签章）</w:t>
            </w:r>
          </w:p>
          <w:p w14:paraId="0A47B30A">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日</w:t>
            </w:r>
          </w:p>
        </w:tc>
      </w:tr>
      <w:tr w14:paraId="0A668570">
        <w:tblPrEx>
          <w:tblCellMar>
            <w:top w:w="0" w:type="dxa"/>
            <w:left w:w="108" w:type="dxa"/>
            <w:bottom w:w="0" w:type="dxa"/>
            <w:right w:w="108" w:type="dxa"/>
          </w:tblCellMar>
        </w:tblPrEx>
        <w:trPr>
          <w:trHeight w:val="2162" w:hRule="atLeast"/>
          <w:jc w:val="center"/>
        </w:trPr>
        <w:tc>
          <w:tcPr>
            <w:tcW w:w="4643" w:type="dxa"/>
            <w:noWrap w:val="0"/>
          </w:tcPr>
          <w:p w14:paraId="57972AC2">
            <w:pPr>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cs="Times New Roman"/>
                <w:color w:val="auto"/>
                <w:sz w:val="24"/>
                <w:szCs w:val="24"/>
                <w:highlight w:val="none"/>
                <w:lang w:val="en-US" w:eastAsia="zh-CN"/>
                <w14:ligatures w14:val="none"/>
              </w:rPr>
              <w:t>丙</w:t>
            </w:r>
            <w:r>
              <w:rPr>
                <w:rFonts w:ascii="Times New Roman" w:hAnsi="Times New Roman" w:eastAsia="宋体" w:cs="Times New Roman"/>
                <w:color w:val="auto"/>
                <w:sz w:val="24"/>
                <w:szCs w:val="24"/>
                <w:highlight w:val="none"/>
                <w14:ligatures w14:val="none"/>
              </w:rPr>
              <w:t>方</w:t>
            </w:r>
            <w:r>
              <w:rPr>
                <w:rFonts w:hint="eastAsia" w:ascii="Times New Roman" w:hAnsi="Times New Roman" w:eastAsia="宋体" w:cs="Times New Roman"/>
                <w:color w:val="auto"/>
                <w:sz w:val="24"/>
                <w:szCs w:val="24"/>
                <w:highlight w:val="none"/>
                <w:lang w:val="en-US" w:eastAsia="zh-CN"/>
                <w14:ligatures w14:val="none"/>
              </w:rPr>
              <w:t>单位</w:t>
            </w:r>
            <w:r>
              <w:rPr>
                <w:rFonts w:hint="eastAsia" w:ascii="Times New Roman" w:hAnsi="Times New Roman"/>
                <w:color w:val="auto"/>
                <w:sz w:val="24"/>
                <w:szCs w:val="24"/>
                <w:highlight w:val="none"/>
              </w:rPr>
              <w:t>（联合体成员</w:t>
            </w:r>
            <w:r>
              <w:rPr>
                <w:rFonts w:hint="eastAsia" w:ascii="Times New Roman" w:hAnsi="Times New Roman"/>
                <w:color w:val="auto"/>
                <w:sz w:val="24"/>
                <w:szCs w:val="24"/>
                <w:highlight w:val="none"/>
                <w:lang w:val="en-US" w:eastAsia="zh-CN"/>
              </w:rPr>
              <w:t>2，如有</w:t>
            </w:r>
            <w:r>
              <w:rPr>
                <w:rFonts w:hint="eastAsia" w:ascii="Times New Roman" w:hAnsi="Times New Roman"/>
                <w:color w:val="auto"/>
                <w:sz w:val="24"/>
                <w:szCs w:val="24"/>
                <w:highlight w:val="none"/>
              </w:rPr>
              <w:t>）</w:t>
            </w:r>
            <w:r>
              <w:rPr>
                <w:rFonts w:ascii="Times New Roman" w:hAnsi="Times New Roman" w:eastAsia="宋体" w:cs="Times New Roman"/>
                <w:color w:val="auto"/>
                <w:sz w:val="24"/>
                <w:szCs w:val="24"/>
                <w:highlight w:val="none"/>
                <w14:ligatures w14:val="none"/>
              </w:rPr>
              <w:t xml:space="preserve">：  （公章）       </w:t>
            </w:r>
          </w:p>
          <w:p w14:paraId="731AD60C">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法定代表人（负责人）：（签章）</w:t>
            </w:r>
          </w:p>
          <w:p w14:paraId="09D2BC63">
            <w:pPr>
              <w:spacing w:line="360" w:lineRule="auto"/>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日</w:t>
            </w:r>
          </w:p>
        </w:tc>
        <w:tc>
          <w:tcPr>
            <w:tcW w:w="4927" w:type="dxa"/>
            <w:noWrap w:val="0"/>
          </w:tcPr>
          <w:p w14:paraId="531A908A">
            <w:pPr>
              <w:spacing w:line="360" w:lineRule="auto"/>
              <w:rPr>
                <w:rFonts w:hint="default" w:ascii="Times New Roman" w:hAnsi="Times New Roman" w:eastAsia="宋体" w:cs="Times New Roman"/>
                <w:color w:val="auto"/>
                <w:sz w:val="24"/>
                <w:szCs w:val="24"/>
                <w:highlight w:val="none"/>
                <w:u w:val="single"/>
                <w:lang w:val="en-US" w:eastAsia="zh-CN"/>
                <w14:ligatures w14:val="none"/>
              </w:rPr>
            </w:pPr>
            <w:r>
              <w:rPr>
                <w:rFonts w:hint="eastAsia" w:ascii="Times New Roman" w:hAnsi="Times New Roman" w:eastAsia="宋体" w:cs="Times New Roman"/>
                <w:color w:val="auto"/>
                <w:sz w:val="24"/>
                <w:szCs w:val="24"/>
                <w:highlight w:val="none"/>
                <w:u w:val="none"/>
                <w:lang w:val="en-US" w:eastAsia="zh-CN"/>
                <w14:ligatures w14:val="none"/>
              </w:rPr>
              <w:t>.....</w:t>
            </w:r>
          </w:p>
        </w:tc>
      </w:tr>
    </w:tbl>
    <w:p w14:paraId="696D354A">
      <w:pPr>
        <w:spacing w:line="360" w:lineRule="auto"/>
        <w:ind w:firstLine="463"/>
        <w:rPr>
          <w:rFonts w:ascii="Times New Roman" w:hAnsi="Times New Roman" w:eastAsia="宋体" w:cs="Times New Roman"/>
          <w:b/>
          <w:bCs/>
          <w:color w:val="auto"/>
          <w:sz w:val="24"/>
          <w:szCs w:val="24"/>
          <w:highlight w:val="none"/>
          <w14:ligatures w14:val="none"/>
        </w:rPr>
      </w:pPr>
    </w:p>
    <w:p w14:paraId="7E7CC631">
      <w:pPr>
        <w:spacing w:line="360" w:lineRule="auto"/>
        <w:ind w:firstLine="463"/>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t>注：</w:t>
      </w:r>
    </w:p>
    <w:p w14:paraId="27724336">
      <w:pPr>
        <w:spacing w:line="440" w:lineRule="exact"/>
        <w:jc w:val="lef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1</w:t>
      </w:r>
      <w:r>
        <w:rPr>
          <w:rFonts w:ascii="Times New Roman" w:hAnsi="Times New Roman" w:eastAsia="宋体" w:cs="Times New Roman"/>
          <w:b/>
          <w:bCs/>
          <w:color w:val="auto"/>
          <w:sz w:val="24"/>
          <w:szCs w:val="24"/>
          <w:highlight w:val="none"/>
          <w14:ligatures w14:val="none"/>
        </w:rPr>
        <w:t>．联合</w:t>
      </w:r>
      <w:r>
        <w:rPr>
          <w:rFonts w:hint="eastAsia" w:ascii="Times New Roman" w:hAnsi="Times New Roman" w:eastAsia="宋体" w:cs="Times New Roman"/>
          <w:b/>
          <w:bCs/>
          <w:color w:val="auto"/>
          <w:sz w:val="24"/>
          <w:szCs w:val="24"/>
          <w:highlight w:val="none"/>
          <w14:ligatures w14:val="none"/>
        </w:rPr>
        <w:t>投标</w:t>
      </w:r>
      <w:r>
        <w:rPr>
          <w:rFonts w:ascii="Times New Roman" w:hAnsi="Times New Roman" w:eastAsia="宋体" w:cs="Times New Roman"/>
          <w:b/>
          <w:bCs/>
          <w:color w:val="auto"/>
          <w:sz w:val="24"/>
          <w:szCs w:val="24"/>
          <w:highlight w:val="none"/>
          <w14:ligatures w14:val="none"/>
        </w:rPr>
        <w:t>协议书须由联合体各方法定代表人</w:t>
      </w:r>
      <w:r>
        <w:rPr>
          <w:rFonts w:hint="eastAsia" w:ascii="Times New Roman" w:hAnsi="Times New Roman" w:eastAsia="宋体" w:cs="Times New Roman"/>
          <w:b/>
          <w:bCs/>
          <w:color w:val="auto"/>
          <w:sz w:val="24"/>
          <w:szCs w:val="24"/>
          <w:highlight w:val="none"/>
          <w14:ligatures w14:val="none"/>
        </w:rPr>
        <w:t>（负责人）</w:t>
      </w:r>
      <w:r>
        <w:rPr>
          <w:rFonts w:ascii="Times New Roman" w:hAnsi="Times New Roman" w:eastAsia="宋体" w:cs="Times New Roman"/>
          <w:b/>
          <w:bCs/>
          <w:color w:val="auto"/>
          <w:sz w:val="24"/>
          <w:szCs w:val="24"/>
          <w:highlight w:val="none"/>
          <w14:ligatures w14:val="none"/>
        </w:rPr>
        <w:t>签字或盖章，并加盖公章，否则按无效投标处理</w:t>
      </w:r>
      <w:r>
        <w:rPr>
          <w:rFonts w:hint="eastAsia" w:ascii="Times New Roman" w:hAnsi="Times New Roman" w:eastAsia="宋体" w:cs="Times New Roman"/>
          <w:b/>
          <w:bCs/>
          <w:color w:val="auto"/>
          <w:sz w:val="24"/>
          <w:szCs w:val="24"/>
          <w:highlight w:val="none"/>
          <w14:ligatures w14:val="none"/>
        </w:rPr>
        <w:t>。</w:t>
      </w:r>
    </w:p>
    <w:p w14:paraId="6C78AEBF">
      <w:pPr>
        <w:spacing w:line="440" w:lineRule="exact"/>
        <w:ind w:firstLine="0"/>
        <w:jc w:val="lef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cs="Times New Roman"/>
          <w:b/>
          <w:bCs/>
          <w:color w:val="auto"/>
          <w:sz w:val="24"/>
          <w:szCs w:val="24"/>
          <w:highlight w:val="none"/>
          <w:lang w:val="en-US" w:eastAsia="zh-CN"/>
          <w14:ligatures w14:val="none"/>
        </w:rPr>
        <w:t>2.</w:t>
      </w:r>
      <w:r>
        <w:rPr>
          <w:rFonts w:hint="eastAsia" w:ascii="Times New Roman" w:hAnsi="Times New Roman" w:eastAsia="宋体" w:cs="Times New Roman"/>
          <w:b/>
          <w:bCs/>
          <w:color w:val="auto"/>
          <w:sz w:val="24"/>
          <w:szCs w:val="24"/>
          <w:highlight w:val="none"/>
          <w14:ligatures w14:val="none"/>
        </w:rPr>
        <w:t xml:space="preserve">  联合体组成成员数量不得超过6家；</w:t>
      </w:r>
    </w:p>
    <w:p w14:paraId="11A2E687">
      <w:pPr>
        <w:spacing w:line="440" w:lineRule="exact"/>
        <w:jc w:val="center"/>
        <w:rPr>
          <w:rFonts w:ascii="Times New Roman" w:hAnsi="Times New Roman" w:eastAsia="宋体" w:cs="Times New Roman"/>
          <w:b/>
          <w:bCs/>
          <w:color w:val="auto"/>
          <w:sz w:val="32"/>
          <w:szCs w:val="32"/>
          <w:highlight w:val="none"/>
          <w14:ligatures w14:val="none"/>
        </w:rPr>
      </w:pPr>
    </w:p>
    <w:p w14:paraId="520E2577">
      <w:pPr>
        <w:spacing w:line="240" w:lineRule="auto"/>
        <w:jc w:val="left"/>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br w:type="page" w:clear="all"/>
      </w:r>
    </w:p>
    <w:p w14:paraId="39A3927C">
      <w:pPr>
        <w:spacing w:line="440" w:lineRule="exact"/>
        <w:jc w:val="center"/>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32"/>
          <w:szCs w:val="32"/>
          <w:highlight w:val="none"/>
          <w14:ligatures w14:val="none"/>
        </w:rPr>
        <w:t>联合投标授权委托书</w:t>
      </w:r>
      <w:r>
        <w:rPr>
          <w:rFonts w:hint="eastAsia" w:ascii="Times New Roman" w:hAnsi="Times New Roman" w:eastAsia="宋体" w:cs="Times New Roman"/>
          <w:b/>
          <w:bCs/>
          <w:color w:val="auto"/>
          <w:sz w:val="32"/>
          <w:szCs w:val="32"/>
          <w:highlight w:val="none"/>
          <w14:ligatures w14:val="none"/>
        </w:rPr>
        <w:t>（</w:t>
      </w:r>
      <w:r>
        <w:rPr>
          <w:rFonts w:hint="eastAsia" w:ascii="宋体" w:hAnsi="宋体" w:eastAsia="宋体" w:cs="Times New Roman"/>
          <w:b/>
          <w:bCs/>
          <w:color w:val="auto"/>
          <w:sz w:val="32"/>
          <w:szCs w:val="32"/>
          <w:highlight w:val="none"/>
          <w14:ligatures w14:val="none"/>
        </w:rPr>
        <w:t>如为联合体，才须提供）</w:t>
      </w:r>
    </w:p>
    <w:p w14:paraId="11B5CB4C">
      <w:pPr>
        <w:spacing w:line="360" w:lineRule="auto"/>
        <w:ind w:firstLine="461"/>
        <w:rPr>
          <w:rFonts w:ascii="Times New Roman" w:hAnsi="Times New Roman" w:eastAsia="宋体" w:cs="Times New Roman"/>
          <w:color w:val="auto"/>
          <w:sz w:val="24"/>
          <w:szCs w:val="24"/>
          <w:highlight w:val="none"/>
          <w14:ligatures w14:val="none"/>
        </w:rPr>
      </w:pPr>
    </w:p>
    <w:p w14:paraId="65717A06">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鉴于我们已决定作为一家联合体的成员</w:t>
      </w:r>
      <w:r>
        <w:rPr>
          <w:rFonts w:hint="eastAsia" w:ascii="Times New Roman" w:hAnsi="Times New Roman" w:eastAsia="宋体" w:cs="Times New Roman"/>
          <w:color w:val="auto"/>
          <w:sz w:val="24"/>
          <w:szCs w:val="24"/>
          <w:highlight w:val="none"/>
          <w:lang w:eastAsia="zh-CN"/>
          <w14:ligatures w14:val="none"/>
        </w:rPr>
        <w:t>，</w:t>
      </w:r>
      <w:r>
        <w:rPr>
          <w:rFonts w:hint="eastAsia" w:ascii="Times New Roman" w:hAnsi="Times New Roman" w:eastAsia="宋体" w:cs="Times New Roman"/>
          <w:color w:val="auto"/>
          <w:sz w:val="24"/>
          <w:szCs w:val="24"/>
          <w:highlight w:val="none"/>
          <w:lang w:val="en-US" w:eastAsia="zh-CN"/>
          <w14:ligatures w14:val="none"/>
        </w:rPr>
        <w:t>共同</w:t>
      </w:r>
      <w:r>
        <w:rPr>
          <w:rFonts w:hint="eastAsia" w:ascii="Times New Roman" w:hAnsi="Times New Roman" w:eastAsia="宋体" w:cs="Times New Roman"/>
          <w:color w:val="auto"/>
          <w:sz w:val="24"/>
          <w:szCs w:val="24"/>
          <w:highlight w:val="none"/>
          <w14:ligatures w14:val="none"/>
        </w:rPr>
        <w:t>参加</w:t>
      </w:r>
      <w:r>
        <w:rPr>
          <w:rFonts w:hint="eastAsia" w:ascii="Times New Roman" w:hAnsi="Times New Roman" w:eastAsia="宋体" w:cs="Times New Roman"/>
          <w:color w:val="auto"/>
          <w:sz w:val="24"/>
          <w:szCs w:val="24"/>
          <w:highlight w:val="none"/>
          <w:u w:val="single"/>
          <w14:ligatures w14:val="none"/>
        </w:rPr>
        <w:t xml:space="preserve">                                     </w:t>
      </w:r>
      <w:r>
        <w:rPr>
          <w:rFonts w:hint="eastAsia" w:ascii="Times New Roman" w:hAnsi="Times New Roman" w:eastAsia="宋体" w:cs="Times New Roman"/>
          <w:color w:val="auto"/>
          <w:sz w:val="24"/>
          <w:szCs w:val="24"/>
          <w:highlight w:val="none"/>
          <w14:ligatures w14:val="none"/>
        </w:rPr>
        <w:t>（以下简称“项目”）的投标，联合体各成员（名单如下）均为根据中国法律设立的公司，现全体成员共同授权如下：</w:t>
      </w:r>
    </w:p>
    <w:p w14:paraId="3E26FFD0">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联合体各成员（名单如下）：</w:t>
      </w:r>
    </w:p>
    <w:p w14:paraId="19B754D5">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1.  [授权公司名称1]，法定地址为________________________，法定代表人[姓名1]；</w:t>
      </w:r>
    </w:p>
    <w:p w14:paraId="264C9B19">
      <w:pPr>
        <w:spacing w:line="360" w:lineRule="auto"/>
        <w:ind w:firstLine="461"/>
        <w:jc w:val="left"/>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2.  [授权公司名称2]，法定地址为________________________，法定代表人[姓名2]；</w:t>
      </w:r>
    </w:p>
    <w:p w14:paraId="69CDA71E">
      <w:pPr>
        <w:spacing w:line="360" w:lineRule="auto"/>
        <w:ind w:firstLine="461"/>
        <w:jc w:val="left"/>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w:t>
      </w:r>
      <w:r>
        <w:rPr>
          <w:rFonts w:hint="eastAsia" w:ascii="Times New Roman" w:hAnsi="Times New Roman" w:cs="Times New Roman"/>
          <w:color w:val="auto"/>
          <w:sz w:val="24"/>
          <w:szCs w:val="24"/>
          <w:highlight w:val="none"/>
          <w:lang w:val="en-US" w:eastAsia="zh-CN"/>
          <w14:ligatures w14:val="none"/>
        </w:rPr>
        <w:t>..</w:t>
      </w:r>
      <w:r>
        <w:rPr>
          <w:rFonts w:hint="eastAsia" w:ascii="Times New Roman" w:hAnsi="Times New Roman" w:eastAsia="宋体" w:cs="Times New Roman"/>
          <w:color w:val="auto"/>
          <w:sz w:val="24"/>
          <w:szCs w:val="24"/>
          <w:highlight w:val="none"/>
          <w:lang w:val="en-US" w:eastAsia="zh-CN"/>
          <w14:ligatures w14:val="none"/>
        </w:rPr>
        <w:t>（可根据实际成员数量增减，最多不超过6家）</w:t>
      </w:r>
    </w:p>
    <w:p w14:paraId="7371F24C">
      <w:pPr>
        <w:spacing w:line="360" w:lineRule="auto"/>
        <w:ind w:firstLine="461"/>
        <w:jc w:val="left"/>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现联合体全体成员共同正式授权</w:t>
      </w:r>
      <w:r>
        <w:rPr>
          <w:rFonts w:hint="eastAsia" w:ascii="Times New Roman" w:hAnsi="Times New Roman" w:eastAsia="宋体" w:cs="Times New Roman"/>
          <w:color w:val="auto"/>
          <w:sz w:val="24"/>
          <w:szCs w:val="24"/>
          <w:highlight w:val="none"/>
        </w:rPr>
        <w:t>[被授权公司名称/牵头人全称]</w:t>
      </w:r>
      <w:r>
        <w:rPr>
          <w:rFonts w:hint="eastAsia" w:ascii="Times New Roman" w:hAnsi="Times New Roman" w:eastAsia="宋体" w:cs="Times New Roman"/>
          <w:color w:val="auto"/>
          <w:sz w:val="24"/>
          <w:szCs w:val="24"/>
          <w:highlight w:val="none"/>
          <w14:ligatures w14:val="none"/>
        </w:rPr>
        <w:t>，（一家根据中国法律设立的公司，法定地址在________________________）作为联合体的牵头方，合法代表联合体全体成员签署任何与本项目相关的文件，进行有关条款、条件的澄清与谈判，签署项目合同，接受指示和代表我们完成与项目有关的所有其他必要事宜。</w:t>
      </w:r>
    </w:p>
    <w:p w14:paraId="04BB6120">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我们联合体</w:t>
      </w:r>
      <w:r>
        <w:rPr>
          <w:rFonts w:hint="eastAsia" w:ascii="Times New Roman" w:hAnsi="Times New Roman" w:eastAsia="宋体" w:cs="Times New Roman"/>
          <w:color w:val="auto"/>
          <w:sz w:val="24"/>
          <w:szCs w:val="24"/>
          <w:highlight w:val="none"/>
          <w:lang w:val="en-US" w:eastAsia="zh-CN"/>
          <w14:ligatures w14:val="none"/>
        </w:rPr>
        <w:t>全体</w:t>
      </w:r>
      <w:r>
        <w:rPr>
          <w:rFonts w:hint="eastAsia" w:ascii="Times New Roman" w:hAnsi="Times New Roman" w:eastAsia="宋体" w:cs="Times New Roman"/>
          <w:color w:val="auto"/>
          <w:sz w:val="24"/>
          <w:szCs w:val="24"/>
          <w:highlight w:val="none"/>
          <w14:ligatures w14:val="none"/>
        </w:rPr>
        <w:t>成员向贵方确认，联合体各方共同与采购人签订合同，就采购合同约定的事项对采购人承担连带责任。</w:t>
      </w:r>
    </w:p>
    <w:p w14:paraId="0134E7C1">
      <w:pPr>
        <w:spacing w:line="360" w:lineRule="auto"/>
        <w:ind w:firstLine="461"/>
        <w:rPr>
          <w:rFonts w:ascii="Times New Roman" w:hAnsi="Times New Roman" w:eastAsia="宋体" w:cs="Times New Roman"/>
          <w:color w:val="auto"/>
          <w:sz w:val="24"/>
          <w:szCs w:val="24"/>
          <w:highlight w:val="none"/>
          <w14:ligatures w14:val="none"/>
        </w:rPr>
      </w:pPr>
    </w:p>
    <w:p w14:paraId="70E38428">
      <w:pPr>
        <w:spacing w:line="360" w:lineRule="auto"/>
        <w:ind w:firstLine="461"/>
        <w:rPr>
          <w:rFonts w:ascii="Times New Roman" w:hAnsi="Times New Roman" w:eastAsia="宋体" w:cs="Times New Roman"/>
          <w:color w:val="auto"/>
          <w:sz w:val="24"/>
          <w:szCs w:val="24"/>
          <w:highlight w:val="none"/>
          <w14:ligatures w14:val="none"/>
        </w:rPr>
      </w:pPr>
    </w:p>
    <w:p w14:paraId="4DD38915">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由：公章[授权公司</w:t>
      </w:r>
      <w:r>
        <w:rPr>
          <w:rFonts w:hint="eastAsia" w:ascii="Times New Roman" w:hAnsi="Times New Roman" w:eastAsia="宋体" w:cs="Times New Roman"/>
          <w:color w:val="auto"/>
          <w:sz w:val="24"/>
          <w:szCs w:val="24"/>
          <w:highlight w:val="none"/>
          <w:lang w:val="en-US" w:eastAsia="zh-CN"/>
          <w14:ligatures w14:val="none"/>
        </w:rPr>
        <w:t>名称1</w:t>
      </w:r>
      <w:r>
        <w:rPr>
          <w:rFonts w:hint="eastAsia" w:ascii="Times New Roman" w:hAnsi="Times New Roman" w:eastAsia="宋体" w:cs="Times New Roman"/>
          <w:color w:val="auto"/>
          <w:sz w:val="24"/>
          <w:szCs w:val="24"/>
          <w:highlight w:val="none"/>
          <w14:ligatures w14:val="none"/>
        </w:rPr>
        <w:t>]</w:t>
      </w:r>
    </w:p>
    <w:p w14:paraId="58622BBF">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签字或盖章：授权公司</w:t>
      </w:r>
      <w:r>
        <w:rPr>
          <w:rFonts w:hint="eastAsia" w:ascii="Times New Roman" w:hAnsi="Times New Roman" w:eastAsia="宋体" w:cs="Times New Roman"/>
          <w:color w:val="auto"/>
          <w:sz w:val="24"/>
          <w:szCs w:val="24"/>
          <w:highlight w:val="none"/>
          <w:lang w:val="en-US" w:eastAsia="zh-CN"/>
          <w14:ligatures w14:val="none"/>
        </w:rPr>
        <w:t>1</w:t>
      </w:r>
      <w:r>
        <w:rPr>
          <w:rFonts w:hint="eastAsia" w:ascii="Times New Roman" w:hAnsi="Times New Roman" w:eastAsia="宋体" w:cs="Times New Roman"/>
          <w:color w:val="auto"/>
          <w:sz w:val="24"/>
          <w:szCs w:val="24"/>
          <w:highlight w:val="none"/>
          <w14:ligatures w14:val="none"/>
        </w:rPr>
        <w:t>法定代表人（负责人）</w:t>
      </w:r>
    </w:p>
    <w:p w14:paraId="515B62F6">
      <w:pPr>
        <w:spacing w:line="360" w:lineRule="auto"/>
        <w:ind w:firstLine="461"/>
        <w:rPr>
          <w:rFonts w:hint="eastAsia" w:ascii="Times New Roman" w:hAnsi="Times New Roman" w:eastAsia="宋体" w:cs="Times New Roman"/>
          <w:color w:val="auto"/>
          <w:sz w:val="24"/>
          <w:szCs w:val="24"/>
          <w:highlight w:val="none"/>
          <w14:ligatures w14:val="none"/>
        </w:rPr>
      </w:pPr>
    </w:p>
    <w:p w14:paraId="7F18987C">
      <w:pPr>
        <w:spacing w:line="360" w:lineRule="auto"/>
        <w:ind w:firstLine="461"/>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由：公章[授权公司</w:t>
      </w:r>
      <w:r>
        <w:rPr>
          <w:rFonts w:hint="eastAsia" w:ascii="Times New Roman" w:hAnsi="Times New Roman" w:eastAsia="宋体" w:cs="Times New Roman"/>
          <w:color w:val="auto"/>
          <w:sz w:val="24"/>
          <w:szCs w:val="24"/>
          <w:highlight w:val="none"/>
          <w:lang w:val="en-US" w:eastAsia="zh-CN"/>
          <w14:ligatures w14:val="none"/>
        </w:rPr>
        <w:t>名称</w:t>
      </w:r>
      <w:r>
        <w:rPr>
          <w:rFonts w:hint="eastAsia" w:ascii="Times New Roman" w:hAnsi="Times New Roman" w:cs="Times New Roman"/>
          <w:color w:val="auto"/>
          <w:sz w:val="24"/>
          <w:szCs w:val="24"/>
          <w:highlight w:val="none"/>
          <w:lang w:val="en-US" w:eastAsia="zh-CN"/>
          <w14:ligatures w14:val="none"/>
        </w:rPr>
        <w:t>2</w:t>
      </w:r>
      <w:r>
        <w:rPr>
          <w:rFonts w:hint="eastAsia" w:ascii="Times New Roman" w:hAnsi="Times New Roman" w:eastAsia="宋体" w:cs="Times New Roman"/>
          <w:color w:val="auto"/>
          <w:sz w:val="24"/>
          <w:szCs w:val="24"/>
          <w:highlight w:val="none"/>
          <w14:ligatures w14:val="none"/>
        </w:rPr>
        <w:t>]</w:t>
      </w:r>
    </w:p>
    <w:p w14:paraId="61AE5065">
      <w:pPr>
        <w:spacing w:line="360" w:lineRule="auto"/>
        <w:ind w:firstLine="461"/>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签字或盖章：授权公司</w:t>
      </w:r>
      <w:r>
        <w:rPr>
          <w:rFonts w:hint="eastAsia" w:ascii="Times New Roman" w:hAnsi="Times New Roman" w:cs="Times New Roman"/>
          <w:color w:val="auto"/>
          <w:sz w:val="24"/>
          <w:szCs w:val="24"/>
          <w:highlight w:val="none"/>
          <w:lang w:val="en-US" w:eastAsia="zh-CN"/>
          <w14:ligatures w14:val="none"/>
        </w:rPr>
        <w:t>2</w:t>
      </w:r>
      <w:r>
        <w:rPr>
          <w:rFonts w:hint="eastAsia" w:ascii="Times New Roman" w:hAnsi="Times New Roman" w:eastAsia="宋体" w:cs="Times New Roman"/>
          <w:color w:val="auto"/>
          <w:sz w:val="24"/>
          <w:szCs w:val="24"/>
          <w:highlight w:val="none"/>
          <w14:ligatures w14:val="none"/>
        </w:rPr>
        <w:t>法定代表人（负责人）</w:t>
      </w:r>
    </w:p>
    <w:p w14:paraId="6E54B836">
      <w:pPr>
        <w:spacing w:line="360" w:lineRule="auto"/>
        <w:ind w:firstLine="461"/>
        <w:rPr>
          <w:rFonts w:hint="eastAsia" w:ascii="Times New Roman" w:hAnsi="Times New Roman" w:eastAsia="宋体" w:cs="Times New Roman"/>
          <w:color w:val="auto"/>
          <w:sz w:val="24"/>
          <w:szCs w:val="24"/>
          <w:highlight w:val="none"/>
          <w14:ligatures w14:val="none"/>
        </w:rPr>
      </w:pPr>
    </w:p>
    <w:p w14:paraId="23F2C6A1">
      <w:pPr>
        <w:spacing w:line="360" w:lineRule="auto"/>
        <w:ind w:firstLine="461"/>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......（可根据实际成员数量增减，最多不超过6家）</w:t>
      </w:r>
    </w:p>
    <w:p w14:paraId="177DC62A">
      <w:pPr>
        <w:spacing w:line="360" w:lineRule="auto"/>
        <w:ind w:firstLine="461"/>
        <w:rPr>
          <w:rFonts w:hint="eastAsia" w:ascii="Times New Roman" w:hAnsi="Times New Roman" w:eastAsia="宋体" w:cs="Times New Roman"/>
          <w:color w:val="auto"/>
          <w:sz w:val="24"/>
          <w:szCs w:val="24"/>
          <w:highlight w:val="none"/>
          <w14:ligatures w14:val="none"/>
        </w:rPr>
      </w:pPr>
    </w:p>
    <w:p w14:paraId="32433EE0">
      <w:pPr>
        <w:spacing w:line="360" w:lineRule="auto"/>
        <w:ind w:firstLine="461"/>
        <w:rPr>
          <w:rFonts w:hint="eastAsia" w:ascii="Times New Roman" w:hAnsi="Times New Roman" w:eastAsia="宋体" w:cs="Times New Roman"/>
          <w:color w:val="auto"/>
          <w:sz w:val="24"/>
          <w:szCs w:val="24"/>
          <w:highlight w:val="none"/>
          <w14:ligatures w14:val="none"/>
        </w:rPr>
      </w:pPr>
    </w:p>
    <w:p w14:paraId="0B41418F">
      <w:pPr>
        <w:spacing w:line="360" w:lineRule="auto"/>
        <w:ind w:firstLine="461"/>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由：公章[被授权公司</w:t>
      </w:r>
      <w:r>
        <w:rPr>
          <w:rFonts w:hint="eastAsia" w:ascii="Times New Roman" w:hAnsi="Times New Roman" w:eastAsia="宋体" w:cs="Times New Roman"/>
          <w:color w:val="auto"/>
          <w:sz w:val="24"/>
          <w:szCs w:val="24"/>
          <w:highlight w:val="none"/>
          <w:lang w:val="en-US" w:eastAsia="zh-CN"/>
          <w14:ligatures w14:val="none"/>
        </w:rPr>
        <w:t>名称</w:t>
      </w:r>
      <w:r>
        <w:rPr>
          <w:rFonts w:hint="eastAsia" w:ascii="Times New Roman" w:hAnsi="Times New Roman" w:eastAsia="宋体" w:cs="Times New Roman"/>
          <w:color w:val="auto"/>
          <w:sz w:val="24"/>
          <w:szCs w:val="24"/>
          <w:highlight w:val="none"/>
          <w14:ligatures w14:val="none"/>
        </w:rPr>
        <w:t>/牵头人全称]</w:t>
      </w:r>
    </w:p>
    <w:p w14:paraId="38DB3450">
      <w:pPr>
        <w:spacing w:line="360" w:lineRule="auto"/>
        <w:ind w:firstLine="461"/>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签字或盖章：被授权公司/牵头人法定代表人（负责人）</w:t>
      </w:r>
    </w:p>
    <w:p w14:paraId="3DDA870D">
      <w:pPr>
        <w:spacing w:line="360" w:lineRule="auto"/>
        <w:ind w:firstLine="461"/>
        <w:rPr>
          <w:rFonts w:hint="eastAsia" w:ascii="Times New Roman" w:hAnsi="Times New Roman" w:eastAsia="宋体" w:cs="Times New Roman"/>
          <w:color w:val="auto"/>
          <w:sz w:val="24"/>
          <w:szCs w:val="24"/>
          <w:highlight w:val="none"/>
          <w14:ligatures w14:val="none"/>
        </w:rPr>
      </w:pPr>
    </w:p>
    <w:p w14:paraId="3B354CA3">
      <w:pPr>
        <w:spacing w:line="360" w:lineRule="auto"/>
        <w:ind w:firstLine="461"/>
        <w:rPr>
          <w:rFonts w:hint="default" w:ascii="Times New Roman" w:hAnsi="Times New Roman" w:eastAsia="宋体" w:cs="Times New Roman"/>
          <w:color w:val="auto"/>
          <w:sz w:val="24"/>
          <w:szCs w:val="24"/>
          <w:highlight w:val="none"/>
          <w:lang w:val="en-US"/>
          <w14:ligatures w14:val="none"/>
        </w:rPr>
      </w:pPr>
      <w:r>
        <w:rPr>
          <w:rFonts w:hint="eastAsia" w:ascii="Times New Roman" w:hAnsi="Times New Roman" w:eastAsia="宋体" w:cs="Times New Roman"/>
          <w:color w:val="auto"/>
          <w:sz w:val="24"/>
          <w:szCs w:val="24"/>
          <w:highlight w:val="none"/>
          <w14:ligatures w14:val="none"/>
        </w:rPr>
        <w:t>时间：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月</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日</w:t>
      </w:r>
    </w:p>
    <w:p w14:paraId="0407521D">
      <w:pPr>
        <w:spacing w:line="360" w:lineRule="auto"/>
        <w:ind w:firstLine="463"/>
        <w:rPr>
          <w:rFonts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注：</w:t>
      </w:r>
    </w:p>
    <w:p w14:paraId="458F2820">
      <w:pPr>
        <w:spacing w:line="360" w:lineRule="auto"/>
        <w:ind w:firstLine="463"/>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1</w:t>
      </w:r>
      <w:r>
        <w:rPr>
          <w:rFonts w:ascii="Times New Roman" w:hAnsi="Times New Roman" w:eastAsia="宋体" w:cs="Times New Roman"/>
          <w:b/>
          <w:bCs/>
          <w:color w:val="auto"/>
          <w:sz w:val="24"/>
          <w:szCs w:val="24"/>
          <w:highlight w:val="none"/>
          <w14:ligatures w14:val="none"/>
        </w:rPr>
        <w:t>．</w:t>
      </w:r>
      <w:r>
        <w:rPr>
          <w:rFonts w:hint="eastAsia" w:ascii="Times New Roman" w:hAnsi="Times New Roman" w:eastAsia="宋体" w:cs="Times New Roman"/>
          <w:b/>
          <w:bCs/>
          <w:color w:val="auto"/>
          <w:sz w:val="24"/>
          <w:szCs w:val="24"/>
          <w:highlight w:val="none"/>
          <w14:ligatures w14:val="none"/>
        </w:rPr>
        <w:t>联合投标授权委托书须由法定代表人（负责人）签字或盖章，并加盖公章，且供应商须按上述要求及格式提供联合投标授权委托书，否则，按无效投标处理。</w:t>
      </w:r>
    </w:p>
    <w:p w14:paraId="78BF5AAB">
      <w:pPr>
        <w:pStyle w:val="293"/>
        <w:spacing w:before="240" w:after="240"/>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2.  联合体组成成员数量不得超过6家；</w:t>
      </w:r>
    </w:p>
    <w:p w14:paraId="63C48BAD">
      <w:pPr>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br w:type="page" w:clear="all"/>
      </w:r>
    </w:p>
    <w:p w14:paraId="44D283C7">
      <w:pPr>
        <w:pStyle w:val="293"/>
        <w:spacing w:before="240" w:after="240"/>
        <w:jc w:val="center"/>
        <w:rPr>
          <w:rStyle w:val="191"/>
          <w:rFonts w:hint="eastAsia" w:ascii="宋体" w:hAnsi="宋体" w:eastAsia="宋体" w:cs="宋体"/>
          <w:color w:val="000000" w:themeColor="text1"/>
          <w:sz w:val="24"/>
          <w:szCs w:val="24"/>
          <w:highlight w:val="none"/>
          <w14:textFill>
            <w14:solidFill>
              <w14:schemeClr w14:val="tx1"/>
            </w14:solidFill>
          </w14:textFill>
        </w:rPr>
      </w:pPr>
      <w:r>
        <w:rPr>
          <w:rStyle w:val="191"/>
          <w:rFonts w:hint="eastAsia" w:ascii="宋体" w:hAnsi="宋体" w:eastAsia="宋体" w:cs="宋体"/>
          <w:b/>
          <w:color w:val="000000" w:themeColor="text1"/>
          <w:sz w:val="28"/>
          <w:szCs w:val="28"/>
          <w:highlight w:val="none"/>
          <w:lang w:val="en-US" w:eastAsia="zh-CN"/>
          <w14:textFill>
            <w14:solidFill>
              <w14:schemeClr w14:val="tx1"/>
            </w14:solidFill>
          </w14:textFill>
        </w:rPr>
        <w:t>四</w:t>
      </w:r>
      <w:r>
        <w:rPr>
          <w:rStyle w:val="191"/>
          <w:rFonts w:hint="eastAsia" w:ascii="宋体" w:hAnsi="宋体" w:eastAsia="宋体" w:cs="宋体"/>
          <w:b/>
          <w:color w:val="000000" w:themeColor="text1"/>
          <w:sz w:val="28"/>
          <w:szCs w:val="28"/>
          <w:highlight w:val="none"/>
          <w14:textFill>
            <w14:solidFill>
              <w14:schemeClr w14:val="tx1"/>
            </w14:solidFill>
          </w14:textFill>
        </w:rPr>
        <w:t>、第四章项目需求中实质性要求响应对照表</w:t>
      </w:r>
    </w:p>
    <w:p w14:paraId="4F154856">
      <w:pPr>
        <w:pStyle w:val="281"/>
        <w:spacing w:line="360" w:lineRule="auto"/>
        <w:outlineLvl w:val="9"/>
        <w:rPr>
          <w:rStyle w:val="191"/>
          <w:rFonts w:hint="eastAsia" w:ascii="宋体" w:hAnsi="宋体" w:eastAsia="宋体" w:cs="宋体"/>
          <w:b/>
          <w:bCs/>
          <w:color w:val="000000" w:themeColor="text1"/>
          <w:sz w:val="24"/>
          <w:szCs w:val="24"/>
          <w:highlight w:val="none"/>
          <w14:textFill>
            <w14:solidFill>
              <w14:schemeClr w14:val="tx1"/>
            </w14:solidFill>
          </w14:textFill>
        </w:rPr>
      </w:pPr>
      <w:r>
        <w:rPr>
          <w:rStyle w:val="191"/>
          <w:rFonts w:hint="eastAsia" w:ascii="宋体" w:hAnsi="宋体" w:eastAsia="宋体" w:cs="宋体"/>
          <w:color w:val="000000" w:themeColor="text1"/>
          <w:sz w:val="24"/>
          <w:szCs w:val="24"/>
          <w:highlight w:val="none"/>
          <w14:textFill>
            <w14:solidFill>
              <w14:schemeClr w14:val="tx1"/>
            </w14:solidFill>
          </w14:textFill>
        </w:rPr>
        <w:t xml:space="preserve">﻿ </w:t>
      </w:r>
      <w:r>
        <w:rPr>
          <w:rStyle w:val="191"/>
          <w:rFonts w:hint="eastAsia" w:ascii="宋体" w:hAnsi="宋体" w:eastAsia="宋体" w:cs="宋体"/>
          <w:b/>
          <w:bCs/>
          <w:color w:val="000000" w:themeColor="text1"/>
          <w:sz w:val="24"/>
          <w:szCs w:val="24"/>
          <w:highlight w:val="none"/>
          <w14:textFill>
            <w14:solidFill>
              <w14:schemeClr w14:val="tx1"/>
            </w14:solidFill>
          </w14:textFill>
        </w:rPr>
        <w:t>1、商务条款的实质性响应对照表</w:t>
      </w:r>
    </w:p>
    <w:tbl>
      <w:tblPr>
        <w:tblStyle w:val="33"/>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14:paraId="484B941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AAD6CE">
            <w:pPr>
              <w:pStyle w:val="286"/>
              <w:jc w:val="center"/>
              <w:rPr>
                <w:rStyle w:val="288"/>
                <w:rFonts w:ascii="宋体" w:hAnsi="宋体" w:eastAsia="宋体" w:cs="宋体"/>
                <w:color w:val="auto"/>
                <w:highlight w:val="none"/>
              </w:rPr>
            </w:pPr>
            <w:r>
              <w:rPr>
                <w:rStyle w:val="288"/>
                <w:rFonts w:ascii="宋体" w:hAnsi="宋体" w:eastAsia="宋体" w:cs="宋体"/>
                <w:color w:val="auto"/>
                <w:highlight w:val="none"/>
              </w:rPr>
              <w:t>序号</w:t>
            </w: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6DE029">
            <w:pPr>
              <w:pStyle w:val="286"/>
              <w:jc w:val="center"/>
              <w:rPr>
                <w:rStyle w:val="288"/>
                <w:rFonts w:ascii="宋体" w:hAnsi="宋体" w:eastAsia="宋体" w:cs="宋体"/>
                <w:color w:val="auto"/>
                <w:highlight w:val="none"/>
              </w:rPr>
            </w:pPr>
            <w:r>
              <w:rPr>
                <w:rStyle w:val="288"/>
                <w:rFonts w:hint="eastAsia" w:ascii="宋体" w:hAnsi="宋体" w:eastAsia="宋体" w:cs="宋体"/>
                <w:color w:val="auto"/>
                <w:highlight w:val="none"/>
              </w:rPr>
              <w:t>商务条款</w:t>
            </w:r>
            <w:r>
              <w:rPr>
                <w:rStyle w:val="288"/>
                <w:rFonts w:ascii="宋体" w:hAnsi="宋体" w:eastAsia="宋体" w:cs="宋体"/>
                <w:color w:val="auto"/>
                <w:highlight w:val="none"/>
              </w:rPr>
              <w:t>的实质性要求</w:t>
            </w:r>
          </w:p>
          <w:p w14:paraId="045D10DC">
            <w:pPr>
              <w:pStyle w:val="286"/>
              <w:jc w:val="center"/>
              <w:rPr>
                <w:rStyle w:val="288"/>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470F73">
            <w:pPr>
              <w:pStyle w:val="286"/>
              <w:jc w:val="center"/>
              <w:rPr>
                <w:rStyle w:val="288"/>
                <w:rFonts w:ascii="宋体" w:hAnsi="宋体" w:eastAsia="宋体" w:cs="宋体"/>
                <w:color w:val="auto"/>
                <w:highlight w:val="none"/>
              </w:rPr>
            </w:pPr>
            <w:r>
              <w:rPr>
                <w:rStyle w:val="288"/>
                <w:rFonts w:ascii="宋体" w:hAnsi="宋体" w:eastAsia="宋体" w:cs="宋体"/>
                <w:color w:val="auto"/>
                <w:highlight w:val="none"/>
              </w:rPr>
              <w:t>是否响应</w:t>
            </w:r>
          </w:p>
          <w:p w14:paraId="46539F93">
            <w:pPr>
              <w:pStyle w:val="286"/>
              <w:jc w:val="center"/>
              <w:rPr>
                <w:rStyle w:val="288"/>
                <w:rFonts w:ascii="宋体" w:hAnsi="宋体" w:eastAsia="宋体" w:cs="宋体"/>
                <w:color w:val="auto"/>
                <w:highlight w:val="none"/>
              </w:rPr>
            </w:pPr>
            <w:r>
              <w:rPr>
                <w:rStyle w:val="288"/>
                <w:rFonts w:ascii="宋体" w:hAnsi="宋体" w:eastAsia="宋体" w:cs="宋体"/>
                <w:color w:val="auto"/>
                <w:highlight w:val="none"/>
              </w:rPr>
              <w:t>（填是或者否）</w:t>
            </w:r>
          </w:p>
        </w:tc>
      </w:tr>
      <w:tr w14:paraId="1ADC309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D363A2">
            <w:pPr>
              <w:pStyle w:val="286"/>
              <w:jc w:val="center"/>
              <w:rPr>
                <w:rStyle w:val="288"/>
                <w:rFonts w:ascii="宋体" w:hAnsi="宋体" w:eastAsia="宋体" w:cs="宋体"/>
                <w:color w:val="auto"/>
                <w:highlight w:val="none"/>
              </w:rPr>
            </w:pP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6FC68C">
            <w:pPr>
              <w:pStyle w:val="286"/>
              <w:ind w:firstLine="480"/>
              <w:jc w:val="both"/>
              <w:rPr>
                <w:rFonts w:ascii="宋体" w:hAnsi="宋体" w:eastAsia="宋体" w:cs="宋体"/>
                <w:i/>
                <w:color w:val="auto"/>
                <w:highlight w:val="none"/>
                <w:u w:val="single"/>
              </w:rPr>
            </w:pP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E9DD2C">
            <w:pPr>
              <w:pStyle w:val="286"/>
              <w:jc w:val="center"/>
              <w:rPr>
                <w:rStyle w:val="288"/>
                <w:rFonts w:ascii="宋体" w:hAnsi="宋体" w:eastAsia="宋体" w:cs="宋体"/>
                <w:color w:val="auto"/>
                <w:highlight w:val="none"/>
              </w:rPr>
            </w:pPr>
          </w:p>
        </w:tc>
      </w:tr>
      <w:tr w14:paraId="3EA15C4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3F4050">
            <w:pPr>
              <w:pStyle w:val="286"/>
              <w:jc w:val="center"/>
              <w:rPr>
                <w:rStyle w:val="288"/>
                <w:rFonts w:ascii="宋体" w:hAnsi="宋体" w:eastAsia="宋体" w:cs="宋体"/>
                <w:color w:val="auto"/>
                <w:highlight w:val="none"/>
              </w:rPr>
            </w:pP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D901AE">
            <w:pPr>
              <w:pStyle w:val="256"/>
              <w:spacing w:line="440" w:lineRule="exact"/>
              <w:ind w:firstLine="500"/>
              <w:rPr>
                <w:rFonts w:ascii="宋体" w:hAnsi="宋体" w:eastAsia="宋体" w:cs="宋体"/>
                <w:color w:val="auto"/>
                <w:highlight w:val="none"/>
              </w:rPr>
            </w:pP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BD7E5F">
            <w:pPr>
              <w:pStyle w:val="286"/>
              <w:jc w:val="center"/>
              <w:rPr>
                <w:rStyle w:val="288"/>
                <w:rFonts w:ascii="宋体" w:hAnsi="宋体" w:eastAsia="宋体" w:cs="宋体"/>
                <w:color w:val="auto"/>
                <w:highlight w:val="none"/>
              </w:rPr>
            </w:pPr>
          </w:p>
        </w:tc>
      </w:tr>
      <w:tr w14:paraId="7945602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7AAEC5">
            <w:pPr>
              <w:pStyle w:val="286"/>
              <w:jc w:val="center"/>
              <w:rPr>
                <w:rStyle w:val="288"/>
                <w:rFonts w:hint="default" w:ascii="宋体" w:hAnsi="宋体" w:eastAsia="宋体" w:cs="宋体"/>
                <w:color w:val="auto"/>
                <w:highlight w:val="none"/>
                <w:lang w:val="en-US"/>
              </w:rPr>
            </w:pP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943B05">
            <w:pPr>
              <w:pStyle w:val="256"/>
              <w:spacing w:line="440" w:lineRule="exact"/>
              <w:ind w:firstLine="500"/>
              <w:rPr>
                <w:rStyle w:val="288"/>
                <w:rFonts w:ascii="宋体" w:hAnsi="宋体" w:eastAsia="宋体" w:cs="宋体"/>
                <w:color w:val="auto"/>
                <w:highlight w:val="none"/>
              </w:rPr>
            </w:pPr>
          </w:p>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867CC5">
            <w:pPr>
              <w:pStyle w:val="286"/>
              <w:jc w:val="center"/>
              <w:rPr>
                <w:rStyle w:val="288"/>
                <w:rFonts w:ascii="宋体" w:hAnsi="宋体" w:eastAsia="宋体" w:cs="宋体"/>
                <w:color w:val="auto"/>
                <w:highlight w:val="none"/>
              </w:rPr>
            </w:pPr>
          </w:p>
        </w:tc>
      </w:tr>
      <w:tr w14:paraId="2768963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09490B">
            <w:pPr>
              <w:pStyle w:val="286"/>
              <w:jc w:val="center"/>
              <w:rPr>
                <w:rStyle w:val="288"/>
                <w:rFonts w:hint="default" w:ascii="宋体" w:hAnsi="宋体" w:eastAsia="宋体" w:cs="宋体"/>
                <w:color w:val="auto"/>
                <w:highlight w:val="none"/>
                <w:lang w:val="en-US"/>
              </w:rPr>
            </w:pPr>
          </w:p>
        </w:tc>
        <w:tc>
          <w:tcPr>
            <w:tcW w:w="638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0A850E">
            <w:pPr>
              <w:pStyle w:val="256"/>
              <w:spacing w:line="440" w:lineRule="exact"/>
              <w:ind w:firstLine="500"/>
              <w:rPr>
                <w:rStyle w:val="288"/>
                <w:rFonts w:hint="eastAsia" w:ascii="宋体" w:hAnsi="宋体" w:eastAsia="宋体" w:cs="宋体"/>
                <w:color w:val="auto"/>
                <w:highlight w:val="none"/>
              </w:rPr>
            </w:pPr>
          </w:p>
          <w:bookmarkEnd w:id="10"/>
        </w:tc>
        <w:tc>
          <w:tcPr>
            <w:tcW w:w="191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3A8A5E">
            <w:pPr>
              <w:pStyle w:val="286"/>
              <w:jc w:val="center"/>
              <w:rPr>
                <w:rStyle w:val="288"/>
                <w:rFonts w:ascii="宋体" w:hAnsi="宋体" w:eastAsia="宋体" w:cs="宋体"/>
                <w:color w:val="auto"/>
                <w:highlight w:val="none"/>
              </w:rPr>
            </w:pPr>
          </w:p>
        </w:tc>
      </w:tr>
    </w:tbl>
    <w:p w14:paraId="6343F4B4">
      <w:pPr>
        <w:pStyle w:val="281"/>
        <w:spacing w:line="360" w:lineRule="auto"/>
        <w:rPr>
          <w:rStyle w:val="191"/>
          <w:rFonts w:hint="eastAsia" w:ascii="宋体" w:hAnsi="宋体" w:eastAsia="宋体" w:cs="宋体"/>
          <w:color w:val="000000" w:themeColor="text1"/>
          <w:sz w:val="24"/>
          <w:szCs w:val="24"/>
          <w:highlight w:val="none"/>
          <w14:textFill>
            <w14:solidFill>
              <w14:schemeClr w14:val="tx1"/>
            </w14:solidFill>
          </w14:textFill>
        </w:rPr>
      </w:pPr>
    </w:p>
    <w:p w14:paraId="0B860656">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3C230602">
      <w:pPr>
        <w:pStyle w:val="276"/>
        <w:ind w:firstLine="480"/>
        <w:rPr>
          <w:rFonts w:ascii="宋体" w:hAnsi="宋体"/>
          <w:color w:val="auto"/>
          <w:highlight w:val="none"/>
        </w:rPr>
      </w:pPr>
      <w:r>
        <w:rPr>
          <w:rFonts w:hint="eastAsia" w:ascii="宋体" w:hAnsi="宋体"/>
          <w:color w:val="auto"/>
          <w:highlight w:val="none"/>
        </w:rPr>
        <w:t>1.投标人必须</w:t>
      </w:r>
      <w:r>
        <w:rPr>
          <w:rFonts w:ascii="宋体" w:hAnsi="宋体"/>
          <w:color w:val="auto"/>
          <w:highlight w:val="none"/>
        </w:rPr>
        <w:t>对商务</w:t>
      </w:r>
      <w:r>
        <w:rPr>
          <w:rFonts w:hint="eastAsia" w:ascii="宋体" w:hAnsi="宋体"/>
          <w:color w:val="auto"/>
          <w:highlight w:val="none"/>
        </w:rPr>
        <w:t>条款</w:t>
      </w:r>
      <w:r>
        <w:rPr>
          <w:rFonts w:ascii="宋体" w:hAnsi="宋体"/>
          <w:color w:val="auto"/>
          <w:highlight w:val="none"/>
        </w:rPr>
        <w:t>中的实质性要求</w:t>
      </w: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r>
        <w:rPr>
          <w:rFonts w:ascii="宋体" w:hAnsi="宋体"/>
          <w:color w:val="auto"/>
          <w:highlight w:val="none"/>
        </w:rPr>
        <w:t>逐条做出明确响应</w:t>
      </w:r>
      <w:r>
        <w:rPr>
          <w:rFonts w:hint="eastAsia" w:ascii="宋体" w:hAnsi="宋体"/>
          <w:color w:val="auto"/>
          <w:highlight w:val="none"/>
        </w:rPr>
        <w:t>，否则该采购包作无效投标处理</w:t>
      </w:r>
      <w:r>
        <w:rPr>
          <w:rFonts w:ascii="宋体" w:hAnsi="宋体"/>
          <w:color w:val="auto"/>
          <w:highlight w:val="none"/>
        </w:rPr>
        <w:t>。</w:t>
      </w:r>
    </w:p>
    <w:p w14:paraId="5670B62E">
      <w:pPr>
        <w:rPr>
          <w:rFonts w:hint="eastAsia" w:ascii="宋体" w:hAnsi="宋体" w:eastAsia="宋体" w:cs="宋体"/>
          <w:b/>
          <w:color w:val="auto"/>
          <w:sz w:val="32"/>
          <w:szCs w:val="24"/>
          <w:highlight w:val="none"/>
          <w:lang w:val="en-US" w:eastAsia="zh-CN"/>
          <w14:ligatures w14:val="none"/>
        </w:rPr>
      </w:pPr>
      <w:r>
        <w:rPr>
          <w:rFonts w:hint="eastAsia" w:ascii="宋体" w:hAnsi="宋体" w:eastAsia="宋体" w:cs="宋体"/>
          <w:b/>
          <w:color w:val="auto"/>
          <w:sz w:val="32"/>
          <w:szCs w:val="24"/>
          <w:highlight w:val="none"/>
          <w:lang w:val="en-US" w:eastAsia="zh-CN"/>
          <w14:ligatures w14:val="none"/>
        </w:rPr>
        <w:br w:type="page" w:clear="all"/>
      </w:r>
    </w:p>
    <w:p w14:paraId="49C2B092">
      <w:pPr>
        <w:spacing w:line="400" w:lineRule="exact"/>
        <w:outlineLvl w:val="1"/>
        <w:rPr>
          <w:rFonts w:hint="eastAsia" w:ascii="Calibri" w:hAnsi="Calibri" w:eastAsia="宋体" w:cs="Times New Roman"/>
          <w:color w:val="auto"/>
          <w:szCs w:val="24"/>
          <w:highlight w:val="none"/>
          <w14:ligatures w14:val="none"/>
        </w:rPr>
      </w:pPr>
      <w:r>
        <w:rPr>
          <w:rFonts w:hint="eastAsia" w:ascii="宋体" w:hAnsi="宋体" w:eastAsia="宋体" w:cs="宋体"/>
          <w:b/>
          <w:color w:val="auto"/>
          <w:sz w:val="32"/>
          <w:szCs w:val="24"/>
          <w:highlight w:val="none"/>
          <w:lang w:val="en-US" w:eastAsia="zh-CN"/>
          <w14:ligatures w14:val="none"/>
        </w:rPr>
        <w:t>五</w:t>
      </w:r>
      <w:r>
        <w:rPr>
          <w:rFonts w:hint="eastAsia" w:ascii="宋体" w:hAnsi="宋体" w:eastAsia="宋体" w:cs="宋体"/>
          <w:b/>
          <w:color w:val="auto"/>
          <w:sz w:val="32"/>
          <w:szCs w:val="24"/>
          <w:highlight w:val="none"/>
          <w14:ligatures w14:val="none"/>
        </w:rPr>
        <w:t>、技术参数响应及偏离表</w:t>
      </w:r>
    </w:p>
    <w:p w14:paraId="50E6D235">
      <w:pPr>
        <w:spacing w:line="360" w:lineRule="auto"/>
        <w:ind w:firstLine="480"/>
        <w:jc w:val="left"/>
        <w:rPr>
          <w:rFonts w:ascii="宋体" w:hAnsi="宋体" w:eastAsia="宋体" w:cs="Times New Roman"/>
          <w:color w:val="auto"/>
          <w:sz w:val="24"/>
          <w:highlight w:val="none"/>
          <w14:ligatures w14:val="none"/>
        </w:rPr>
      </w:pPr>
    </w:p>
    <w:p w14:paraId="1BF07333">
      <w:pPr>
        <w:keepNext/>
        <w:keepLines/>
        <w:spacing w:before="120" w:after="120" w:line="360" w:lineRule="auto"/>
        <w:jc w:val="center"/>
        <w:outlineLvl w:val="1"/>
        <w:rPr>
          <w:rFonts w:ascii="Times New Roman" w:hAnsi="Times New Roman"/>
          <w:b/>
          <w:bCs/>
          <w:color w:val="auto"/>
          <w:sz w:val="32"/>
          <w:szCs w:val="32"/>
          <w:highlight w:val="none"/>
        </w:rPr>
      </w:pPr>
      <w:r>
        <w:rPr>
          <w:rFonts w:hint="eastAsia" w:ascii="宋体" w:hAnsi="宋体" w:eastAsia="宋体" w:cs="宋体"/>
          <w:b/>
          <w:bCs/>
          <w:color w:val="auto"/>
          <w:sz w:val="32"/>
          <w:szCs w:val="32"/>
          <w:highlight w:val="none"/>
          <w14:ligatures w14:val="none"/>
        </w:rPr>
        <w:t>技术参数响应及偏离表</w:t>
      </w:r>
    </w:p>
    <w:tbl>
      <w:tblPr>
        <w:tblStyle w:val="33"/>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2856"/>
        <w:gridCol w:w="2734"/>
        <w:gridCol w:w="791"/>
        <w:gridCol w:w="1896"/>
      </w:tblGrid>
      <w:tr w14:paraId="205A2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800" w:type="dxa"/>
            <w:noWrap w:val="0"/>
            <w:vAlign w:val="center"/>
          </w:tcPr>
          <w:p w14:paraId="16DE1D8F">
            <w:pPr>
              <w:jc w:val="center"/>
              <w:rPr>
                <w:rFonts w:ascii="Times New Roman" w:hAnsi="Times New Roman"/>
                <w:color w:val="auto"/>
                <w:sz w:val="24"/>
                <w:highlight w:val="none"/>
              </w:rPr>
            </w:pPr>
            <w:r>
              <w:rPr>
                <w:rFonts w:ascii="Times New Roman" w:hAnsi="Times New Roman"/>
                <w:color w:val="auto"/>
                <w:sz w:val="24"/>
                <w:highlight w:val="none"/>
              </w:rPr>
              <w:t>序号</w:t>
            </w:r>
          </w:p>
        </w:tc>
        <w:tc>
          <w:tcPr>
            <w:tcW w:w="2856" w:type="dxa"/>
            <w:noWrap w:val="0"/>
            <w:vAlign w:val="center"/>
          </w:tcPr>
          <w:p w14:paraId="314FAF1F">
            <w:pPr>
              <w:pBdr>
                <w:top w:val="none" w:color="000000" w:sz="0" w:space="0"/>
                <w:left w:val="none" w:color="000000" w:sz="0" w:space="0"/>
                <w:bottom w:val="none" w:color="000000" w:sz="0" w:space="0"/>
                <w:right w:val="none" w:color="000000" w:sz="0" w:space="0"/>
              </w:pBdr>
              <w:spacing w:before="200" w:after="200"/>
              <w:ind w:left="0" w:right="0" w:firstLine="0"/>
              <w:jc w:val="center"/>
              <w:rPr>
                <w:rFonts w:ascii="Times New Roman" w:hAnsi="Times New Roman"/>
                <w:color w:val="auto"/>
                <w:sz w:val="24"/>
                <w:highlight w:val="none"/>
              </w:rPr>
            </w:pPr>
            <w:r>
              <w:rPr>
                <w:rFonts w:ascii="宋体" w:hAnsi="宋体" w:eastAsia="宋体" w:cs="宋体"/>
                <w:color w:val="auto"/>
                <w:sz w:val="24"/>
                <w:highlight w:val="none"/>
              </w:rPr>
              <w:t>招标的服务要求</w:t>
            </w:r>
          </w:p>
        </w:tc>
        <w:tc>
          <w:tcPr>
            <w:tcW w:w="2734" w:type="dxa"/>
            <w:noWrap w:val="0"/>
            <w:vAlign w:val="center"/>
          </w:tcPr>
          <w:p w14:paraId="44E99427">
            <w:pPr>
              <w:pBdr>
                <w:top w:val="none" w:color="000000" w:sz="0" w:space="0"/>
                <w:left w:val="none" w:color="000000" w:sz="0" w:space="0"/>
                <w:bottom w:val="none" w:color="000000" w:sz="0" w:space="0"/>
                <w:right w:val="none" w:color="000000" w:sz="0" w:space="0"/>
              </w:pBdr>
              <w:spacing w:before="200" w:after="200"/>
              <w:ind w:left="0" w:right="0" w:firstLine="0"/>
              <w:jc w:val="center"/>
              <w:rPr>
                <w:rFonts w:ascii="Times New Roman" w:hAnsi="Times New Roman"/>
                <w:color w:val="auto"/>
                <w:sz w:val="24"/>
                <w:highlight w:val="none"/>
              </w:rPr>
            </w:pPr>
            <w:r>
              <w:rPr>
                <w:rFonts w:ascii="宋体" w:hAnsi="宋体" w:eastAsia="宋体" w:cs="宋体"/>
                <w:color w:val="auto"/>
                <w:sz w:val="24"/>
                <w:highlight w:val="none"/>
              </w:rPr>
              <w:t>参与投标的服务标准</w:t>
            </w:r>
          </w:p>
        </w:tc>
        <w:tc>
          <w:tcPr>
            <w:tcW w:w="791" w:type="dxa"/>
            <w:noWrap w:val="0"/>
            <w:vAlign w:val="center"/>
          </w:tcPr>
          <w:p w14:paraId="2741415D">
            <w:pPr>
              <w:jc w:val="center"/>
              <w:rPr>
                <w:rFonts w:ascii="Times New Roman" w:hAnsi="Times New Roman"/>
                <w:color w:val="auto"/>
                <w:sz w:val="24"/>
                <w:highlight w:val="none"/>
              </w:rPr>
            </w:pPr>
            <w:r>
              <w:rPr>
                <w:rFonts w:ascii="Times New Roman" w:hAnsi="Times New Roman"/>
                <w:color w:val="auto"/>
                <w:sz w:val="24"/>
                <w:highlight w:val="none"/>
              </w:rPr>
              <w:t>有无偏离</w:t>
            </w:r>
          </w:p>
        </w:tc>
        <w:tc>
          <w:tcPr>
            <w:tcW w:w="1896" w:type="dxa"/>
            <w:noWrap w:val="0"/>
            <w:vAlign w:val="center"/>
          </w:tcPr>
          <w:p w14:paraId="4371A5BD">
            <w:pPr>
              <w:jc w:val="center"/>
              <w:rPr>
                <w:rFonts w:ascii="Times New Roman" w:hAnsi="Times New Roman"/>
                <w:color w:val="auto"/>
                <w:sz w:val="24"/>
                <w:highlight w:val="none"/>
              </w:rPr>
            </w:pPr>
            <w:r>
              <w:rPr>
                <w:rFonts w:ascii="Times New Roman" w:hAnsi="Times New Roman"/>
                <w:color w:val="auto"/>
                <w:sz w:val="24"/>
                <w:highlight w:val="none"/>
              </w:rPr>
              <w:t>偏离内容及原因</w:t>
            </w:r>
          </w:p>
        </w:tc>
      </w:tr>
      <w:tr w14:paraId="7E127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AAF9343">
            <w:pPr>
              <w:spacing w:line="480" w:lineRule="atLeast"/>
              <w:ind w:firstLine="720"/>
              <w:jc w:val="left"/>
              <w:rPr>
                <w:rFonts w:ascii="Times New Roman" w:hAnsi="Times New Roman"/>
                <w:color w:val="auto"/>
                <w:sz w:val="24"/>
                <w:highlight w:val="none"/>
              </w:rPr>
            </w:pPr>
          </w:p>
        </w:tc>
        <w:tc>
          <w:tcPr>
            <w:tcW w:w="2856" w:type="dxa"/>
            <w:noWrap w:val="0"/>
            <w:vAlign w:val="center"/>
          </w:tcPr>
          <w:p w14:paraId="28064B20">
            <w:pPr>
              <w:spacing w:line="480" w:lineRule="atLeast"/>
              <w:ind w:firstLine="720"/>
              <w:jc w:val="left"/>
              <w:rPr>
                <w:rFonts w:ascii="Times New Roman" w:hAnsi="Times New Roman"/>
                <w:color w:val="auto"/>
                <w:sz w:val="24"/>
                <w:highlight w:val="none"/>
              </w:rPr>
            </w:pPr>
          </w:p>
        </w:tc>
        <w:tc>
          <w:tcPr>
            <w:tcW w:w="2734" w:type="dxa"/>
            <w:noWrap w:val="0"/>
            <w:vAlign w:val="center"/>
          </w:tcPr>
          <w:p w14:paraId="5C6F9D0B">
            <w:pPr>
              <w:spacing w:line="480" w:lineRule="atLeast"/>
              <w:ind w:firstLine="720"/>
              <w:jc w:val="left"/>
              <w:rPr>
                <w:rFonts w:ascii="Times New Roman" w:hAnsi="Times New Roman"/>
                <w:color w:val="auto"/>
                <w:sz w:val="24"/>
                <w:highlight w:val="none"/>
              </w:rPr>
            </w:pPr>
          </w:p>
        </w:tc>
        <w:tc>
          <w:tcPr>
            <w:tcW w:w="791" w:type="dxa"/>
            <w:noWrap w:val="0"/>
            <w:vAlign w:val="center"/>
          </w:tcPr>
          <w:p w14:paraId="3B32C758">
            <w:pPr>
              <w:spacing w:line="480" w:lineRule="atLeast"/>
              <w:ind w:firstLine="720"/>
              <w:jc w:val="left"/>
              <w:rPr>
                <w:rFonts w:ascii="Times New Roman" w:hAnsi="Times New Roman"/>
                <w:color w:val="auto"/>
                <w:sz w:val="24"/>
                <w:highlight w:val="none"/>
              </w:rPr>
            </w:pPr>
          </w:p>
        </w:tc>
        <w:tc>
          <w:tcPr>
            <w:tcW w:w="1896" w:type="dxa"/>
            <w:noWrap w:val="0"/>
            <w:vAlign w:val="center"/>
          </w:tcPr>
          <w:p w14:paraId="0DC3CCA7">
            <w:pPr>
              <w:spacing w:line="480" w:lineRule="atLeast"/>
              <w:ind w:firstLine="720"/>
              <w:jc w:val="left"/>
              <w:rPr>
                <w:rFonts w:ascii="Times New Roman" w:hAnsi="Times New Roman"/>
                <w:color w:val="auto"/>
                <w:sz w:val="24"/>
                <w:highlight w:val="none"/>
              </w:rPr>
            </w:pPr>
          </w:p>
        </w:tc>
      </w:tr>
      <w:tr w14:paraId="57701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5AB5FCFE">
            <w:pPr>
              <w:spacing w:line="480" w:lineRule="atLeast"/>
              <w:ind w:firstLine="720"/>
              <w:jc w:val="left"/>
              <w:rPr>
                <w:rFonts w:ascii="Times New Roman" w:hAnsi="Times New Roman"/>
                <w:color w:val="auto"/>
                <w:sz w:val="24"/>
                <w:highlight w:val="none"/>
              </w:rPr>
            </w:pPr>
          </w:p>
        </w:tc>
        <w:tc>
          <w:tcPr>
            <w:tcW w:w="2856" w:type="dxa"/>
            <w:noWrap w:val="0"/>
            <w:vAlign w:val="center"/>
          </w:tcPr>
          <w:p w14:paraId="179FA54B">
            <w:pPr>
              <w:spacing w:line="480" w:lineRule="atLeast"/>
              <w:ind w:firstLine="720"/>
              <w:jc w:val="left"/>
              <w:rPr>
                <w:rFonts w:ascii="Times New Roman" w:hAnsi="Times New Roman"/>
                <w:color w:val="auto"/>
                <w:sz w:val="24"/>
                <w:highlight w:val="none"/>
              </w:rPr>
            </w:pPr>
          </w:p>
        </w:tc>
        <w:tc>
          <w:tcPr>
            <w:tcW w:w="2734" w:type="dxa"/>
            <w:noWrap w:val="0"/>
            <w:vAlign w:val="center"/>
          </w:tcPr>
          <w:p w14:paraId="5FC468BC">
            <w:pPr>
              <w:spacing w:line="480" w:lineRule="atLeast"/>
              <w:ind w:firstLine="720"/>
              <w:jc w:val="left"/>
              <w:rPr>
                <w:rFonts w:ascii="Times New Roman" w:hAnsi="Times New Roman"/>
                <w:color w:val="auto"/>
                <w:sz w:val="24"/>
                <w:highlight w:val="none"/>
              </w:rPr>
            </w:pPr>
          </w:p>
        </w:tc>
        <w:tc>
          <w:tcPr>
            <w:tcW w:w="791" w:type="dxa"/>
            <w:noWrap w:val="0"/>
            <w:vAlign w:val="center"/>
          </w:tcPr>
          <w:p w14:paraId="0786FFA7">
            <w:pPr>
              <w:spacing w:line="480" w:lineRule="atLeast"/>
              <w:ind w:firstLine="720"/>
              <w:jc w:val="left"/>
              <w:rPr>
                <w:rFonts w:ascii="Times New Roman" w:hAnsi="Times New Roman"/>
                <w:color w:val="auto"/>
                <w:sz w:val="24"/>
                <w:highlight w:val="none"/>
              </w:rPr>
            </w:pPr>
          </w:p>
        </w:tc>
        <w:tc>
          <w:tcPr>
            <w:tcW w:w="1896" w:type="dxa"/>
            <w:noWrap w:val="0"/>
            <w:vAlign w:val="center"/>
          </w:tcPr>
          <w:p w14:paraId="50FC956A">
            <w:pPr>
              <w:spacing w:line="480" w:lineRule="atLeast"/>
              <w:ind w:firstLine="720"/>
              <w:jc w:val="left"/>
              <w:rPr>
                <w:rFonts w:ascii="Times New Roman" w:hAnsi="Times New Roman"/>
                <w:color w:val="auto"/>
                <w:sz w:val="24"/>
                <w:highlight w:val="none"/>
              </w:rPr>
            </w:pPr>
          </w:p>
        </w:tc>
      </w:tr>
      <w:tr w14:paraId="0F7B2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AC9D11D">
            <w:pPr>
              <w:spacing w:line="480" w:lineRule="atLeast"/>
              <w:ind w:firstLine="720"/>
              <w:jc w:val="left"/>
              <w:rPr>
                <w:rFonts w:ascii="Times New Roman" w:hAnsi="Times New Roman"/>
                <w:color w:val="auto"/>
                <w:sz w:val="24"/>
                <w:highlight w:val="none"/>
              </w:rPr>
            </w:pPr>
          </w:p>
        </w:tc>
        <w:tc>
          <w:tcPr>
            <w:tcW w:w="2856" w:type="dxa"/>
            <w:noWrap w:val="0"/>
            <w:vAlign w:val="center"/>
          </w:tcPr>
          <w:p w14:paraId="116A82A5">
            <w:pPr>
              <w:spacing w:line="480" w:lineRule="atLeast"/>
              <w:ind w:firstLine="720"/>
              <w:jc w:val="left"/>
              <w:rPr>
                <w:rFonts w:ascii="Times New Roman" w:hAnsi="Times New Roman"/>
                <w:color w:val="auto"/>
                <w:sz w:val="24"/>
                <w:highlight w:val="none"/>
              </w:rPr>
            </w:pPr>
          </w:p>
        </w:tc>
        <w:tc>
          <w:tcPr>
            <w:tcW w:w="2734" w:type="dxa"/>
            <w:noWrap w:val="0"/>
            <w:vAlign w:val="center"/>
          </w:tcPr>
          <w:p w14:paraId="3B78BD79">
            <w:pPr>
              <w:spacing w:line="480" w:lineRule="atLeast"/>
              <w:ind w:firstLine="720"/>
              <w:jc w:val="left"/>
              <w:rPr>
                <w:rFonts w:ascii="Times New Roman" w:hAnsi="Times New Roman"/>
                <w:color w:val="auto"/>
                <w:sz w:val="24"/>
                <w:highlight w:val="none"/>
              </w:rPr>
            </w:pPr>
          </w:p>
        </w:tc>
        <w:tc>
          <w:tcPr>
            <w:tcW w:w="791" w:type="dxa"/>
            <w:noWrap w:val="0"/>
            <w:vAlign w:val="center"/>
          </w:tcPr>
          <w:p w14:paraId="46B97733">
            <w:pPr>
              <w:spacing w:line="480" w:lineRule="atLeast"/>
              <w:ind w:firstLine="720"/>
              <w:jc w:val="left"/>
              <w:rPr>
                <w:rFonts w:ascii="Times New Roman" w:hAnsi="Times New Roman"/>
                <w:color w:val="auto"/>
                <w:sz w:val="24"/>
                <w:highlight w:val="none"/>
              </w:rPr>
            </w:pPr>
          </w:p>
        </w:tc>
        <w:tc>
          <w:tcPr>
            <w:tcW w:w="1896" w:type="dxa"/>
            <w:noWrap w:val="0"/>
            <w:vAlign w:val="center"/>
          </w:tcPr>
          <w:p w14:paraId="6C4DF380">
            <w:pPr>
              <w:spacing w:line="480" w:lineRule="atLeast"/>
              <w:ind w:firstLine="720"/>
              <w:jc w:val="left"/>
              <w:rPr>
                <w:rFonts w:ascii="Times New Roman" w:hAnsi="Times New Roman"/>
                <w:color w:val="auto"/>
                <w:sz w:val="24"/>
                <w:highlight w:val="none"/>
              </w:rPr>
            </w:pPr>
          </w:p>
        </w:tc>
      </w:tr>
      <w:tr w14:paraId="79DC9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2134235B">
            <w:pPr>
              <w:spacing w:line="480" w:lineRule="atLeast"/>
              <w:ind w:firstLine="720"/>
              <w:jc w:val="left"/>
              <w:rPr>
                <w:rFonts w:ascii="Times New Roman" w:hAnsi="Times New Roman"/>
                <w:color w:val="auto"/>
                <w:sz w:val="24"/>
                <w:highlight w:val="none"/>
              </w:rPr>
            </w:pPr>
          </w:p>
        </w:tc>
        <w:tc>
          <w:tcPr>
            <w:tcW w:w="2856" w:type="dxa"/>
            <w:noWrap w:val="0"/>
            <w:vAlign w:val="center"/>
          </w:tcPr>
          <w:p w14:paraId="7B7E236D">
            <w:pPr>
              <w:spacing w:line="480" w:lineRule="atLeast"/>
              <w:ind w:firstLine="720"/>
              <w:jc w:val="left"/>
              <w:rPr>
                <w:rFonts w:ascii="Times New Roman" w:hAnsi="Times New Roman"/>
                <w:color w:val="auto"/>
                <w:sz w:val="24"/>
                <w:highlight w:val="none"/>
              </w:rPr>
            </w:pPr>
          </w:p>
        </w:tc>
        <w:tc>
          <w:tcPr>
            <w:tcW w:w="2734" w:type="dxa"/>
            <w:noWrap w:val="0"/>
            <w:vAlign w:val="center"/>
          </w:tcPr>
          <w:p w14:paraId="7681DCEF">
            <w:pPr>
              <w:spacing w:line="480" w:lineRule="atLeast"/>
              <w:ind w:firstLine="720"/>
              <w:jc w:val="left"/>
              <w:rPr>
                <w:rFonts w:ascii="Times New Roman" w:hAnsi="Times New Roman"/>
                <w:color w:val="auto"/>
                <w:sz w:val="24"/>
                <w:highlight w:val="none"/>
              </w:rPr>
            </w:pPr>
          </w:p>
        </w:tc>
        <w:tc>
          <w:tcPr>
            <w:tcW w:w="791" w:type="dxa"/>
            <w:noWrap w:val="0"/>
            <w:vAlign w:val="center"/>
          </w:tcPr>
          <w:p w14:paraId="57CA5418">
            <w:pPr>
              <w:spacing w:line="480" w:lineRule="atLeast"/>
              <w:ind w:firstLine="720"/>
              <w:jc w:val="left"/>
              <w:rPr>
                <w:rFonts w:ascii="Times New Roman" w:hAnsi="Times New Roman"/>
                <w:color w:val="auto"/>
                <w:sz w:val="24"/>
                <w:highlight w:val="none"/>
              </w:rPr>
            </w:pPr>
          </w:p>
        </w:tc>
        <w:tc>
          <w:tcPr>
            <w:tcW w:w="1896" w:type="dxa"/>
            <w:noWrap w:val="0"/>
            <w:vAlign w:val="center"/>
          </w:tcPr>
          <w:p w14:paraId="5CF6CFA3">
            <w:pPr>
              <w:spacing w:line="480" w:lineRule="atLeast"/>
              <w:ind w:firstLine="720"/>
              <w:jc w:val="left"/>
              <w:rPr>
                <w:rFonts w:ascii="Times New Roman" w:hAnsi="Times New Roman"/>
                <w:color w:val="auto"/>
                <w:sz w:val="24"/>
                <w:highlight w:val="none"/>
              </w:rPr>
            </w:pPr>
          </w:p>
        </w:tc>
      </w:tr>
      <w:tr w14:paraId="0EA5D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1CE3D818">
            <w:pPr>
              <w:spacing w:line="480" w:lineRule="atLeast"/>
              <w:ind w:firstLine="720"/>
              <w:jc w:val="left"/>
              <w:rPr>
                <w:rFonts w:ascii="Times New Roman" w:hAnsi="Times New Roman"/>
                <w:color w:val="auto"/>
                <w:sz w:val="24"/>
                <w:highlight w:val="none"/>
              </w:rPr>
            </w:pPr>
          </w:p>
        </w:tc>
        <w:tc>
          <w:tcPr>
            <w:tcW w:w="2856" w:type="dxa"/>
            <w:noWrap w:val="0"/>
            <w:vAlign w:val="center"/>
          </w:tcPr>
          <w:p w14:paraId="59FEC397">
            <w:pPr>
              <w:spacing w:line="480" w:lineRule="atLeast"/>
              <w:ind w:firstLine="720"/>
              <w:jc w:val="left"/>
              <w:rPr>
                <w:rFonts w:ascii="Times New Roman" w:hAnsi="Times New Roman"/>
                <w:color w:val="auto"/>
                <w:sz w:val="24"/>
                <w:highlight w:val="none"/>
              </w:rPr>
            </w:pPr>
          </w:p>
        </w:tc>
        <w:tc>
          <w:tcPr>
            <w:tcW w:w="2734" w:type="dxa"/>
            <w:noWrap w:val="0"/>
            <w:vAlign w:val="center"/>
          </w:tcPr>
          <w:p w14:paraId="5555BE2B">
            <w:pPr>
              <w:spacing w:line="480" w:lineRule="atLeast"/>
              <w:ind w:firstLine="720"/>
              <w:jc w:val="left"/>
              <w:rPr>
                <w:rFonts w:ascii="Times New Roman" w:hAnsi="Times New Roman"/>
                <w:color w:val="auto"/>
                <w:sz w:val="24"/>
                <w:highlight w:val="none"/>
              </w:rPr>
            </w:pPr>
          </w:p>
        </w:tc>
        <w:tc>
          <w:tcPr>
            <w:tcW w:w="791" w:type="dxa"/>
            <w:noWrap w:val="0"/>
            <w:vAlign w:val="center"/>
          </w:tcPr>
          <w:p w14:paraId="400F681D">
            <w:pPr>
              <w:spacing w:line="480" w:lineRule="atLeast"/>
              <w:ind w:firstLine="720"/>
              <w:jc w:val="left"/>
              <w:rPr>
                <w:rFonts w:ascii="Times New Roman" w:hAnsi="Times New Roman"/>
                <w:color w:val="auto"/>
                <w:sz w:val="24"/>
                <w:highlight w:val="none"/>
              </w:rPr>
            </w:pPr>
          </w:p>
        </w:tc>
        <w:tc>
          <w:tcPr>
            <w:tcW w:w="1896" w:type="dxa"/>
            <w:noWrap w:val="0"/>
            <w:vAlign w:val="center"/>
          </w:tcPr>
          <w:p w14:paraId="644983E0">
            <w:pPr>
              <w:spacing w:line="480" w:lineRule="atLeast"/>
              <w:ind w:firstLine="720"/>
              <w:jc w:val="left"/>
              <w:rPr>
                <w:rFonts w:ascii="Times New Roman" w:hAnsi="Times New Roman"/>
                <w:color w:val="auto"/>
                <w:sz w:val="24"/>
                <w:highlight w:val="none"/>
              </w:rPr>
            </w:pPr>
          </w:p>
        </w:tc>
      </w:tr>
      <w:tr w14:paraId="77AF0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F6A3037">
            <w:pPr>
              <w:spacing w:line="480" w:lineRule="atLeast"/>
              <w:ind w:firstLine="720"/>
              <w:jc w:val="left"/>
              <w:rPr>
                <w:rFonts w:ascii="Times New Roman" w:hAnsi="Times New Roman"/>
                <w:color w:val="auto"/>
                <w:sz w:val="24"/>
                <w:highlight w:val="none"/>
              </w:rPr>
            </w:pPr>
          </w:p>
        </w:tc>
        <w:tc>
          <w:tcPr>
            <w:tcW w:w="2856" w:type="dxa"/>
            <w:noWrap w:val="0"/>
            <w:vAlign w:val="center"/>
          </w:tcPr>
          <w:p w14:paraId="3BBFBB86">
            <w:pPr>
              <w:spacing w:line="480" w:lineRule="atLeast"/>
              <w:ind w:firstLine="720"/>
              <w:jc w:val="left"/>
              <w:rPr>
                <w:rFonts w:ascii="Times New Roman" w:hAnsi="Times New Roman"/>
                <w:color w:val="auto"/>
                <w:sz w:val="24"/>
                <w:highlight w:val="none"/>
              </w:rPr>
            </w:pPr>
          </w:p>
        </w:tc>
        <w:tc>
          <w:tcPr>
            <w:tcW w:w="2734" w:type="dxa"/>
            <w:noWrap w:val="0"/>
            <w:vAlign w:val="center"/>
          </w:tcPr>
          <w:p w14:paraId="73969EB8">
            <w:pPr>
              <w:spacing w:line="480" w:lineRule="atLeast"/>
              <w:ind w:firstLine="720"/>
              <w:jc w:val="left"/>
              <w:rPr>
                <w:rFonts w:ascii="Times New Roman" w:hAnsi="Times New Roman"/>
                <w:color w:val="auto"/>
                <w:sz w:val="24"/>
                <w:highlight w:val="none"/>
              </w:rPr>
            </w:pPr>
          </w:p>
        </w:tc>
        <w:tc>
          <w:tcPr>
            <w:tcW w:w="791" w:type="dxa"/>
            <w:noWrap w:val="0"/>
            <w:vAlign w:val="center"/>
          </w:tcPr>
          <w:p w14:paraId="13EA066E">
            <w:pPr>
              <w:spacing w:line="480" w:lineRule="atLeast"/>
              <w:ind w:firstLine="720"/>
              <w:jc w:val="left"/>
              <w:rPr>
                <w:rFonts w:ascii="Times New Roman" w:hAnsi="Times New Roman"/>
                <w:color w:val="auto"/>
                <w:sz w:val="24"/>
                <w:highlight w:val="none"/>
              </w:rPr>
            </w:pPr>
          </w:p>
        </w:tc>
        <w:tc>
          <w:tcPr>
            <w:tcW w:w="1896" w:type="dxa"/>
            <w:noWrap w:val="0"/>
            <w:vAlign w:val="center"/>
          </w:tcPr>
          <w:p w14:paraId="6BD918F8">
            <w:pPr>
              <w:spacing w:line="480" w:lineRule="atLeast"/>
              <w:ind w:firstLine="720"/>
              <w:jc w:val="left"/>
              <w:rPr>
                <w:rFonts w:ascii="Times New Roman" w:hAnsi="Times New Roman"/>
                <w:color w:val="auto"/>
                <w:sz w:val="24"/>
                <w:highlight w:val="none"/>
              </w:rPr>
            </w:pPr>
          </w:p>
        </w:tc>
      </w:tr>
      <w:tr w14:paraId="3A42E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531D3525">
            <w:pPr>
              <w:spacing w:line="480" w:lineRule="atLeast"/>
              <w:ind w:firstLine="720"/>
              <w:jc w:val="left"/>
              <w:rPr>
                <w:rFonts w:ascii="Times New Roman" w:hAnsi="Times New Roman"/>
                <w:color w:val="auto"/>
                <w:sz w:val="24"/>
                <w:highlight w:val="none"/>
              </w:rPr>
            </w:pPr>
          </w:p>
        </w:tc>
        <w:tc>
          <w:tcPr>
            <w:tcW w:w="2856" w:type="dxa"/>
            <w:noWrap w:val="0"/>
            <w:vAlign w:val="center"/>
          </w:tcPr>
          <w:p w14:paraId="71AE4F62">
            <w:pPr>
              <w:spacing w:line="480" w:lineRule="atLeast"/>
              <w:ind w:firstLine="720"/>
              <w:jc w:val="left"/>
              <w:rPr>
                <w:rFonts w:ascii="Times New Roman" w:hAnsi="Times New Roman"/>
                <w:color w:val="auto"/>
                <w:sz w:val="24"/>
                <w:highlight w:val="none"/>
              </w:rPr>
            </w:pPr>
          </w:p>
        </w:tc>
        <w:tc>
          <w:tcPr>
            <w:tcW w:w="2734" w:type="dxa"/>
            <w:noWrap w:val="0"/>
            <w:vAlign w:val="center"/>
          </w:tcPr>
          <w:p w14:paraId="630D778F">
            <w:pPr>
              <w:spacing w:line="480" w:lineRule="atLeast"/>
              <w:ind w:firstLine="720"/>
              <w:jc w:val="left"/>
              <w:rPr>
                <w:rFonts w:ascii="Times New Roman" w:hAnsi="Times New Roman"/>
                <w:color w:val="auto"/>
                <w:sz w:val="24"/>
                <w:highlight w:val="none"/>
              </w:rPr>
            </w:pPr>
          </w:p>
        </w:tc>
        <w:tc>
          <w:tcPr>
            <w:tcW w:w="791" w:type="dxa"/>
            <w:noWrap w:val="0"/>
            <w:vAlign w:val="center"/>
          </w:tcPr>
          <w:p w14:paraId="09495454">
            <w:pPr>
              <w:spacing w:line="480" w:lineRule="atLeast"/>
              <w:ind w:firstLine="720"/>
              <w:jc w:val="left"/>
              <w:rPr>
                <w:rFonts w:ascii="Times New Roman" w:hAnsi="Times New Roman"/>
                <w:color w:val="auto"/>
                <w:sz w:val="24"/>
                <w:highlight w:val="none"/>
              </w:rPr>
            </w:pPr>
          </w:p>
        </w:tc>
        <w:tc>
          <w:tcPr>
            <w:tcW w:w="1896" w:type="dxa"/>
            <w:noWrap w:val="0"/>
            <w:vAlign w:val="center"/>
          </w:tcPr>
          <w:p w14:paraId="2508FAF9">
            <w:pPr>
              <w:spacing w:line="480" w:lineRule="atLeast"/>
              <w:ind w:firstLine="720"/>
              <w:jc w:val="left"/>
              <w:rPr>
                <w:rFonts w:ascii="Times New Roman" w:hAnsi="Times New Roman"/>
                <w:color w:val="auto"/>
                <w:sz w:val="24"/>
                <w:highlight w:val="none"/>
              </w:rPr>
            </w:pPr>
          </w:p>
        </w:tc>
      </w:tr>
      <w:tr w14:paraId="5E199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42B4DD16">
            <w:pPr>
              <w:spacing w:line="480" w:lineRule="atLeast"/>
              <w:ind w:firstLine="720"/>
              <w:jc w:val="left"/>
              <w:rPr>
                <w:rFonts w:ascii="Times New Roman" w:hAnsi="Times New Roman"/>
                <w:color w:val="auto"/>
                <w:sz w:val="24"/>
                <w:highlight w:val="none"/>
              </w:rPr>
            </w:pPr>
          </w:p>
        </w:tc>
        <w:tc>
          <w:tcPr>
            <w:tcW w:w="2856" w:type="dxa"/>
            <w:noWrap w:val="0"/>
            <w:vAlign w:val="center"/>
          </w:tcPr>
          <w:p w14:paraId="2F72047F">
            <w:pPr>
              <w:spacing w:line="480" w:lineRule="atLeast"/>
              <w:ind w:firstLine="720"/>
              <w:jc w:val="left"/>
              <w:rPr>
                <w:rFonts w:ascii="Times New Roman" w:hAnsi="Times New Roman"/>
                <w:color w:val="auto"/>
                <w:sz w:val="24"/>
                <w:highlight w:val="none"/>
              </w:rPr>
            </w:pPr>
          </w:p>
        </w:tc>
        <w:tc>
          <w:tcPr>
            <w:tcW w:w="2734" w:type="dxa"/>
            <w:noWrap w:val="0"/>
            <w:vAlign w:val="center"/>
          </w:tcPr>
          <w:p w14:paraId="1425963D">
            <w:pPr>
              <w:spacing w:line="480" w:lineRule="atLeast"/>
              <w:ind w:firstLine="720"/>
              <w:jc w:val="left"/>
              <w:rPr>
                <w:rFonts w:ascii="Times New Roman" w:hAnsi="Times New Roman"/>
                <w:color w:val="auto"/>
                <w:sz w:val="24"/>
                <w:highlight w:val="none"/>
              </w:rPr>
            </w:pPr>
          </w:p>
        </w:tc>
        <w:tc>
          <w:tcPr>
            <w:tcW w:w="791" w:type="dxa"/>
            <w:noWrap w:val="0"/>
            <w:vAlign w:val="center"/>
          </w:tcPr>
          <w:p w14:paraId="14FBC5D2">
            <w:pPr>
              <w:spacing w:line="480" w:lineRule="atLeast"/>
              <w:ind w:firstLine="720"/>
              <w:jc w:val="left"/>
              <w:rPr>
                <w:rFonts w:ascii="Times New Roman" w:hAnsi="Times New Roman"/>
                <w:color w:val="auto"/>
                <w:sz w:val="24"/>
                <w:highlight w:val="none"/>
              </w:rPr>
            </w:pPr>
          </w:p>
        </w:tc>
        <w:tc>
          <w:tcPr>
            <w:tcW w:w="1896" w:type="dxa"/>
            <w:noWrap w:val="0"/>
            <w:vAlign w:val="center"/>
          </w:tcPr>
          <w:p w14:paraId="278094FC">
            <w:pPr>
              <w:spacing w:line="480" w:lineRule="atLeast"/>
              <w:ind w:firstLine="720"/>
              <w:jc w:val="left"/>
              <w:rPr>
                <w:rFonts w:ascii="Times New Roman" w:hAnsi="Times New Roman"/>
                <w:color w:val="auto"/>
                <w:sz w:val="24"/>
                <w:highlight w:val="none"/>
              </w:rPr>
            </w:pPr>
          </w:p>
        </w:tc>
      </w:tr>
      <w:tr w14:paraId="0CA39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097D39A2">
            <w:pPr>
              <w:spacing w:line="480" w:lineRule="atLeast"/>
              <w:ind w:firstLine="720"/>
              <w:jc w:val="left"/>
              <w:rPr>
                <w:rFonts w:ascii="Times New Roman" w:hAnsi="Times New Roman"/>
                <w:color w:val="auto"/>
                <w:sz w:val="24"/>
                <w:highlight w:val="none"/>
              </w:rPr>
            </w:pPr>
          </w:p>
        </w:tc>
        <w:tc>
          <w:tcPr>
            <w:tcW w:w="2856" w:type="dxa"/>
            <w:noWrap w:val="0"/>
            <w:vAlign w:val="center"/>
          </w:tcPr>
          <w:p w14:paraId="1BD9C36D">
            <w:pPr>
              <w:spacing w:line="480" w:lineRule="atLeast"/>
              <w:ind w:firstLine="720"/>
              <w:jc w:val="left"/>
              <w:rPr>
                <w:rFonts w:ascii="Times New Roman" w:hAnsi="Times New Roman"/>
                <w:color w:val="auto"/>
                <w:sz w:val="24"/>
                <w:highlight w:val="none"/>
              </w:rPr>
            </w:pPr>
          </w:p>
        </w:tc>
        <w:tc>
          <w:tcPr>
            <w:tcW w:w="2734" w:type="dxa"/>
            <w:noWrap w:val="0"/>
            <w:vAlign w:val="center"/>
          </w:tcPr>
          <w:p w14:paraId="25676DD9">
            <w:pPr>
              <w:spacing w:line="480" w:lineRule="atLeast"/>
              <w:ind w:firstLine="720"/>
              <w:jc w:val="left"/>
              <w:rPr>
                <w:rFonts w:ascii="Times New Roman" w:hAnsi="Times New Roman"/>
                <w:color w:val="auto"/>
                <w:sz w:val="24"/>
                <w:highlight w:val="none"/>
              </w:rPr>
            </w:pPr>
          </w:p>
        </w:tc>
        <w:tc>
          <w:tcPr>
            <w:tcW w:w="791" w:type="dxa"/>
            <w:noWrap w:val="0"/>
            <w:vAlign w:val="center"/>
          </w:tcPr>
          <w:p w14:paraId="1F2AC9FA">
            <w:pPr>
              <w:spacing w:line="480" w:lineRule="atLeast"/>
              <w:ind w:firstLine="720"/>
              <w:jc w:val="left"/>
              <w:rPr>
                <w:rFonts w:ascii="Times New Roman" w:hAnsi="Times New Roman"/>
                <w:color w:val="auto"/>
                <w:sz w:val="24"/>
                <w:highlight w:val="none"/>
              </w:rPr>
            </w:pPr>
          </w:p>
        </w:tc>
        <w:tc>
          <w:tcPr>
            <w:tcW w:w="1896" w:type="dxa"/>
            <w:noWrap w:val="0"/>
            <w:vAlign w:val="center"/>
          </w:tcPr>
          <w:p w14:paraId="1D492CE8">
            <w:pPr>
              <w:spacing w:line="480" w:lineRule="atLeast"/>
              <w:ind w:firstLine="720"/>
              <w:jc w:val="left"/>
              <w:rPr>
                <w:rFonts w:ascii="Times New Roman" w:hAnsi="Times New Roman"/>
                <w:color w:val="auto"/>
                <w:sz w:val="24"/>
                <w:highlight w:val="none"/>
              </w:rPr>
            </w:pPr>
          </w:p>
        </w:tc>
      </w:tr>
      <w:tr w14:paraId="06012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5CB8D839">
            <w:pPr>
              <w:spacing w:line="480" w:lineRule="atLeast"/>
              <w:ind w:firstLine="720"/>
              <w:jc w:val="left"/>
              <w:rPr>
                <w:rFonts w:ascii="Times New Roman" w:hAnsi="Times New Roman"/>
                <w:color w:val="auto"/>
                <w:sz w:val="24"/>
                <w:highlight w:val="none"/>
              </w:rPr>
            </w:pPr>
          </w:p>
        </w:tc>
        <w:tc>
          <w:tcPr>
            <w:tcW w:w="2856" w:type="dxa"/>
            <w:noWrap w:val="0"/>
            <w:vAlign w:val="center"/>
          </w:tcPr>
          <w:p w14:paraId="05428A11">
            <w:pPr>
              <w:spacing w:line="480" w:lineRule="atLeast"/>
              <w:ind w:firstLine="720"/>
              <w:jc w:val="left"/>
              <w:rPr>
                <w:rFonts w:ascii="Times New Roman" w:hAnsi="Times New Roman"/>
                <w:color w:val="auto"/>
                <w:sz w:val="24"/>
                <w:highlight w:val="none"/>
              </w:rPr>
            </w:pPr>
          </w:p>
        </w:tc>
        <w:tc>
          <w:tcPr>
            <w:tcW w:w="2734" w:type="dxa"/>
            <w:noWrap w:val="0"/>
            <w:vAlign w:val="center"/>
          </w:tcPr>
          <w:p w14:paraId="48369668">
            <w:pPr>
              <w:spacing w:line="480" w:lineRule="atLeast"/>
              <w:ind w:firstLine="720"/>
              <w:jc w:val="left"/>
              <w:rPr>
                <w:rFonts w:ascii="Times New Roman" w:hAnsi="Times New Roman"/>
                <w:color w:val="auto"/>
                <w:sz w:val="24"/>
                <w:highlight w:val="none"/>
              </w:rPr>
            </w:pPr>
          </w:p>
        </w:tc>
        <w:tc>
          <w:tcPr>
            <w:tcW w:w="791" w:type="dxa"/>
            <w:noWrap w:val="0"/>
            <w:vAlign w:val="center"/>
          </w:tcPr>
          <w:p w14:paraId="2C2D9520">
            <w:pPr>
              <w:spacing w:line="480" w:lineRule="atLeast"/>
              <w:ind w:firstLine="720"/>
              <w:jc w:val="left"/>
              <w:rPr>
                <w:rFonts w:ascii="Times New Roman" w:hAnsi="Times New Roman"/>
                <w:color w:val="auto"/>
                <w:sz w:val="24"/>
                <w:highlight w:val="none"/>
              </w:rPr>
            </w:pPr>
          </w:p>
        </w:tc>
        <w:tc>
          <w:tcPr>
            <w:tcW w:w="1896" w:type="dxa"/>
            <w:noWrap w:val="0"/>
            <w:vAlign w:val="center"/>
          </w:tcPr>
          <w:p w14:paraId="1EC5987D">
            <w:pPr>
              <w:spacing w:line="480" w:lineRule="atLeast"/>
              <w:ind w:firstLine="720"/>
              <w:jc w:val="left"/>
              <w:rPr>
                <w:rFonts w:ascii="Times New Roman" w:hAnsi="Times New Roman"/>
                <w:color w:val="auto"/>
                <w:sz w:val="24"/>
                <w:highlight w:val="none"/>
              </w:rPr>
            </w:pPr>
          </w:p>
        </w:tc>
      </w:tr>
      <w:tr w14:paraId="6D8D2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6872ED06">
            <w:pPr>
              <w:spacing w:line="480" w:lineRule="atLeast"/>
              <w:ind w:firstLine="720"/>
              <w:jc w:val="left"/>
              <w:rPr>
                <w:rFonts w:ascii="Times New Roman" w:hAnsi="Times New Roman"/>
                <w:color w:val="auto"/>
                <w:sz w:val="24"/>
                <w:highlight w:val="none"/>
              </w:rPr>
            </w:pPr>
          </w:p>
        </w:tc>
        <w:tc>
          <w:tcPr>
            <w:tcW w:w="2856" w:type="dxa"/>
            <w:noWrap w:val="0"/>
            <w:vAlign w:val="center"/>
          </w:tcPr>
          <w:p w14:paraId="2CE96002">
            <w:pPr>
              <w:spacing w:line="480" w:lineRule="atLeast"/>
              <w:ind w:firstLine="720"/>
              <w:jc w:val="left"/>
              <w:rPr>
                <w:rFonts w:ascii="Times New Roman" w:hAnsi="Times New Roman"/>
                <w:color w:val="auto"/>
                <w:sz w:val="24"/>
                <w:highlight w:val="none"/>
              </w:rPr>
            </w:pPr>
          </w:p>
        </w:tc>
        <w:tc>
          <w:tcPr>
            <w:tcW w:w="2734" w:type="dxa"/>
            <w:noWrap w:val="0"/>
            <w:vAlign w:val="center"/>
          </w:tcPr>
          <w:p w14:paraId="70BA4ABB">
            <w:pPr>
              <w:spacing w:line="480" w:lineRule="atLeast"/>
              <w:ind w:firstLine="720"/>
              <w:jc w:val="left"/>
              <w:rPr>
                <w:rFonts w:ascii="Times New Roman" w:hAnsi="Times New Roman"/>
                <w:color w:val="auto"/>
                <w:sz w:val="24"/>
                <w:highlight w:val="none"/>
              </w:rPr>
            </w:pPr>
          </w:p>
        </w:tc>
        <w:tc>
          <w:tcPr>
            <w:tcW w:w="791" w:type="dxa"/>
            <w:noWrap w:val="0"/>
            <w:vAlign w:val="center"/>
          </w:tcPr>
          <w:p w14:paraId="456DE076">
            <w:pPr>
              <w:spacing w:line="480" w:lineRule="atLeast"/>
              <w:ind w:firstLine="720"/>
              <w:jc w:val="left"/>
              <w:rPr>
                <w:rFonts w:ascii="Times New Roman" w:hAnsi="Times New Roman"/>
                <w:color w:val="auto"/>
                <w:sz w:val="24"/>
                <w:highlight w:val="none"/>
              </w:rPr>
            </w:pPr>
          </w:p>
        </w:tc>
        <w:tc>
          <w:tcPr>
            <w:tcW w:w="1896" w:type="dxa"/>
            <w:noWrap w:val="0"/>
            <w:vAlign w:val="center"/>
          </w:tcPr>
          <w:p w14:paraId="4EB1F5EB">
            <w:pPr>
              <w:spacing w:line="480" w:lineRule="atLeast"/>
              <w:ind w:firstLine="720"/>
              <w:jc w:val="left"/>
              <w:rPr>
                <w:rFonts w:ascii="Times New Roman" w:hAnsi="Times New Roman"/>
                <w:color w:val="auto"/>
                <w:sz w:val="24"/>
                <w:highlight w:val="none"/>
              </w:rPr>
            </w:pPr>
          </w:p>
        </w:tc>
      </w:tr>
      <w:tr w14:paraId="499D9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800" w:type="dxa"/>
            <w:noWrap w:val="0"/>
            <w:vAlign w:val="center"/>
          </w:tcPr>
          <w:p w14:paraId="70DE968D">
            <w:pPr>
              <w:spacing w:line="480" w:lineRule="atLeast"/>
              <w:ind w:firstLine="720"/>
              <w:jc w:val="left"/>
              <w:rPr>
                <w:rFonts w:ascii="Times New Roman" w:hAnsi="Times New Roman"/>
                <w:color w:val="auto"/>
                <w:sz w:val="24"/>
                <w:highlight w:val="none"/>
              </w:rPr>
            </w:pPr>
          </w:p>
        </w:tc>
        <w:tc>
          <w:tcPr>
            <w:tcW w:w="2856" w:type="dxa"/>
            <w:noWrap w:val="0"/>
            <w:vAlign w:val="center"/>
          </w:tcPr>
          <w:p w14:paraId="0E9EFCBA">
            <w:pPr>
              <w:spacing w:line="480" w:lineRule="atLeast"/>
              <w:ind w:firstLine="720"/>
              <w:jc w:val="left"/>
              <w:rPr>
                <w:rFonts w:ascii="Times New Roman" w:hAnsi="Times New Roman"/>
                <w:color w:val="auto"/>
                <w:sz w:val="24"/>
                <w:highlight w:val="none"/>
              </w:rPr>
            </w:pPr>
          </w:p>
        </w:tc>
        <w:tc>
          <w:tcPr>
            <w:tcW w:w="2734" w:type="dxa"/>
            <w:noWrap w:val="0"/>
            <w:vAlign w:val="center"/>
          </w:tcPr>
          <w:p w14:paraId="0C0F196A">
            <w:pPr>
              <w:spacing w:line="480" w:lineRule="atLeast"/>
              <w:ind w:firstLine="720"/>
              <w:jc w:val="left"/>
              <w:rPr>
                <w:rFonts w:ascii="Times New Roman" w:hAnsi="Times New Roman"/>
                <w:color w:val="auto"/>
                <w:sz w:val="24"/>
                <w:highlight w:val="none"/>
              </w:rPr>
            </w:pPr>
          </w:p>
        </w:tc>
        <w:tc>
          <w:tcPr>
            <w:tcW w:w="791" w:type="dxa"/>
            <w:noWrap w:val="0"/>
            <w:vAlign w:val="center"/>
          </w:tcPr>
          <w:p w14:paraId="467009CF">
            <w:pPr>
              <w:spacing w:line="480" w:lineRule="atLeast"/>
              <w:ind w:firstLine="720"/>
              <w:jc w:val="left"/>
              <w:rPr>
                <w:rFonts w:ascii="Times New Roman" w:hAnsi="Times New Roman"/>
                <w:color w:val="auto"/>
                <w:sz w:val="24"/>
                <w:highlight w:val="none"/>
              </w:rPr>
            </w:pPr>
          </w:p>
        </w:tc>
        <w:tc>
          <w:tcPr>
            <w:tcW w:w="1896" w:type="dxa"/>
            <w:noWrap w:val="0"/>
            <w:vAlign w:val="center"/>
          </w:tcPr>
          <w:p w14:paraId="3FA2777B">
            <w:pPr>
              <w:spacing w:line="480" w:lineRule="atLeast"/>
              <w:ind w:firstLine="720"/>
              <w:jc w:val="left"/>
              <w:rPr>
                <w:rFonts w:ascii="Times New Roman" w:hAnsi="Times New Roman"/>
                <w:color w:val="auto"/>
                <w:sz w:val="24"/>
                <w:highlight w:val="none"/>
              </w:rPr>
            </w:pPr>
          </w:p>
        </w:tc>
      </w:tr>
    </w:tbl>
    <w:p w14:paraId="49AD3735">
      <w:pPr>
        <w:spacing w:line="480" w:lineRule="atLeast"/>
        <w:ind w:firstLine="482"/>
        <w:rPr>
          <w:rFonts w:ascii="Times New Roman" w:hAnsi="Times New Roman"/>
          <w:b/>
          <w:bCs/>
          <w:color w:val="auto"/>
          <w:sz w:val="24"/>
          <w:highlight w:val="none"/>
        </w:rPr>
      </w:pPr>
      <w:r>
        <w:rPr>
          <w:rFonts w:ascii="Times New Roman" w:hAnsi="Times New Roman"/>
          <w:b/>
          <w:bCs/>
          <w:color w:val="auto"/>
          <w:sz w:val="24"/>
          <w:highlight w:val="none"/>
        </w:rPr>
        <w:t>注：</w:t>
      </w:r>
    </w:p>
    <w:p w14:paraId="1A8EA724">
      <w:pPr>
        <w:spacing w:line="360" w:lineRule="auto"/>
        <w:ind w:firstLine="482"/>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1、投标人应根据“技术要求”中的服务要求，对照所投报服务的标准进行逐项填写。因未标明或表述含糊导致的评标风险将由投标人承担。 </w:t>
      </w:r>
    </w:p>
    <w:p w14:paraId="45282EB6">
      <w:pPr>
        <w:spacing w:line="360" w:lineRule="auto"/>
        <w:ind w:firstLine="482"/>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452A05B7">
      <w:pPr>
        <w:pStyle w:val="282"/>
        <w:spacing w:line="440" w:lineRule="exact"/>
        <w:outlineLvl w:val="1"/>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3、表格不够可另接。 </w:t>
      </w:r>
    </w:p>
    <w:p w14:paraId="24E5590D">
      <w:pPr>
        <w:rPr>
          <w:rFonts w:hint="eastAsia" w:ascii="Times New Roman" w:hAnsi="Times New Roman"/>
          <w:b/>
          <w:bCs/>
          <w:color w:val="auto"/>
          <w:sz w:val="24"/>
          <w:highlight w:val="none"/>
        </w:rPr>
      </w:pPr>
      <w:r>
        <w:rPr>
          <w:rFonts w:hint="eastAsia" w:ascii="Times New Roman" w:hAnsi="Times New Roman"/>
          <w:b/>
          <w:bCs/>
          <w:color w:val="auto"/>
          <w:sz w:val="24"/>
          <w:highlight w:val="none"/>
        </w:rPr>
        <w:br w:type="page" w:clear="all"/>
      </w:r>
    </w:p>
    <w:p w14:paraId="6F8EDAFE">
      <w:pPr>
        <w:spacing w:line="400" w:lineRule="exact"/>
        <w:jc w:val="center"/>
        <w:outlineLvl w:val="1"/>
        <w:rPr>
          <w:rFonts w:hint="eastAsia" w:ascii="宋体" w:hAnsi="宋体" w:eastAsia="宋体" w:cs="宋体"/>
          <w:b/>
          <w:color w:val="auto"/>
          <w:sz w:val="32"/>
          <w:szCs w:val="24"/>
          <w:highlight w:val="none"/>
          <w14:ligatures w14:val="none"/>
        </w:rPr>
      </w:pPr>
      <w:r>
        <w:rPr>
          <w:rFonts w:hint="eastAsia" w:ascii="宋体" w:hAnsi="宋体" w:cs="宋体"/>
          <w:b/>
          <w:color w:val="auto"/>
          <w:sz w:val="32"/>
          <w:szCs w:val="24"/>
          <w:highlight w:val="none"/>
          <w:lang w:val="en-US" w:eastAsia="zh-CN"/>
          <w14:ligatures w14:val="none"/>
        </w:rPr>
        <w:t>六</w:t>
      </w:r>
      <w:r>
        <w:rPr>
          <w:rFonts w:hint="eastAsia" w:ascii="宋体" w:hAnsi="宋体" w:eastAsia="宋体" w:cs="宋体"/>
          <w:b/>
          <w:color w:val="auto"/>
          <w:sz w:val="32"/>
          <w:szCs w:val="24"/>
          <w:highlight w:val="none"/>
          <w14:ligatures w14:val="none"/>
        </w:rPr>
        <w:t>、供应商情况介绍（内容自定，可参考如下）</w:t>
      </w:r>
    </w:p>
    <w:p w14:paraId="5F86FFBA">
      <w:pPr>
        <w:pStyle w:val="292"/>
        <w:spacing w:before="240" w:after="240" w:line="200" w:lineRule="atLeast"/>
        <w:rPr>
          <w:rFonts w:eastAsia="宋体"/>
          <w:color w:val="auto"/>
          <w:highlight w:val="none"/>
        </w:rPr>
      </w:pPr>
      <w:r>
        <w:rPr>
          <w:rFonts w:hint="eastAsia" w:eastAsia="宋体"/>
          <w:color w:val="auto"/>
          <w:highlight w:val="none"/>
          <w:lang w:val="en-US" w:eastAsia="zh-CN"/>
        </w:rPr>
        <w:t>1、</w:t>
      </w:r>
      <w:r>
        <w:rPr>
          <w:rFonts w:hint="eastAsia" w:eastAsia="宋体"/>
          <w:color w:val="auto"/>
          <w:highlight w:val="none"/>
          <w:lang w:eastAsia="zh-CN"/>
        </w:rPr>
        <w:t>针对本项目的人员配置</w:t>
      </w:r>
    </w:p>
    <w:p w14:paraId="77D353BC">
      <w:pPr>
        <w:pStyle w:val="292"/>
        <w:spacing w:before="240" w:after="240" w:line="200" w:lineRule="atLeast"/>
        <w:rPr>
          <w:rFonts w:hint="eastAsia" w:eastAsia="宋体"/>
          <w:color w:val="auto"/>
          <w:highlight w:val="none"/>
          <w:lang w:eastAsia="zh-CN"/>
        </w:rPr>
      </w:pPr>
      <w:r>
        <w:rPr>
          <w:rFonts w:hint="eastAsia" w:eastAsia="宋体"/>
          <w:color w:val="auto"/>
          <w:highlight w:val="none"/>
          <w:lang w:val="en-US" w:eastAsia="zh-CN"/>
        </w:rPr>
        <w:t>2、</w:t>
      </w:r>
      <w:r>
        <w:rPr>
          <w:rFonts w:hint="eastAsia" w:eastAsia="宋体"/>
          <w:color w:val="auto"/>
          <w:highlight w:val="none"/>
          <w:lang w:eastAsia="zh-CN"/>
        </w:rPr>
        <w:t>拟投入车辆及设备配置</w:t>
      </w:r>
    </w:p>
    <w:p w14:paraId="79121E86">
      <w:pPr>
        <w:pStyle w:val="292"/>
        <w:spacing w:before="240" w:after="240" w:line="200" w:lineRule="atLeast"/>
        <w:rPr>
          <w:rFonts w:hint="default" w:eastAsia="宋体"/>
          <w:color w:val="auto"/>
          <w:highlight w:val="none"/>
        </w:rPr>
      </w:pPr>
      <w:r>
        <w:rPr>
          <w:rFonts w:hint="eastAsia" w:eastAsia="宋体"/>
          <w:color w:val="auto"/>
          <w:highlight w:val="none"/>
          <w:lang w:val="en-US" w:eastAsia="zh-CN"/>
        </w:rPr>
        <w:t>3、</w:t>
      </w:r>
      <w:r>
        <w:rPr>
          <w:rFonts w:hint="default" w:eastAsia="宋体"/>
          <w:color w:val="auto"/>
          <w:highlight w:val="none"/>
        </w:rPr>
        <w:t>类似项目</w:t>
      </w:r>
    </w:p>
    <w:p w14:paraId="72D685F2">
      <w:pPr>
        <w:widowControl/>
        <w:spacing w:line="440" w:lineRule="exact"/>
        <w:ind w:firstLine="0"/>
        <w:outlineLvl w:val="9"/>
        <w:rPr>
          <w:rFonts w:hint="eastAsia" w:ascii="Times New Roman" w:hAnsi="Times New Roman"/>
          <w:b/>
          <w:color w:val="auto"/>
          <w:sz w:val="32"/>
          <w:highlight w:val="none"/>
          <w:lang w:val="en-US" w:eastAsia="zh-CN"/>
        </w:rPr>
      </w:pPr>
      <w:r>
        <w:rPr>
          <w:rFonts w:hint="eastAsia" w:ascii="宋体" w:hAnsi="宋体"/>
          <w:color w:val="auto"/>
          <w:sz w:val="24"/>
          <w:szCs w:val="24"/>
          <w:highlight w:val="none"/>
        </w:rPr>
        <w:t>……</w:t>
      </w:r>
    </w:p>
    <w:p w14:paraId="3B3554D3">
      <w:pPr>
        <w:pStyle w:val="292"/>
        <w:spacing w:before="240" w:after="240" w:line="200" w:lineRule="atLeast"/>
        <w:rPr>
          <w:rFonts w:hint="eastAsia" w:eastAsia="宋体"/>
          <w:color w:val="auto"/>
          <w:highlight w:val="none"/>
          <w:lang w:eastAsia="zh-CN"/>
        </w:rPr>
      </w:pPr>
    </w:p>
    <w:p w14:paraId="4EB61B8A">
      <w:pPr>
        <w:pStyle w:val="282"/>
        <w:spacing w:line="440" w:lineRule="exact"/>
        <w:outlineLvl w:val="1"/>
        <w:rPr>
          <w:rFonts w:hint="eastAsia" w:ascii="Times New Roman" w:hAnsi="Times New Roman"/>
          <w:b/>
          <w:bCs/>
          <w:color w:val="auto"/>
          <w:sz w:val="24"/>
          <w:highlight w:val="none"/>
        </w:rPr>
      </w:pPr>
    </w:p>
    <w:sectPr>
      <w:headerReference r:id="rId5" w:type="default"/>
      <w:footerReference r:id="rId6" w:type="default"/>
      <w:pgSz w:w="12240" w:h="15840"/>
      <w:pgMar w:top="1440" w:right="1080" w:bottom="1440" w:left="1080"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8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国标黑体">
    <w:altName w:val="黑体"/>
    <w:panose1 w:val="020B0503020202020204"/>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7DF6CDC0">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225D2">
    <w:pPr>
      <w:pStyle w:val="2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989908">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989908">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719B2">
    <w:pPr>
      <w:pStyle w:val="2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31BE56">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B31BE56">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5C0AA">
    <w:pPr>
      <w:pStyle w:val="20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644C251">
                          <w:pPr>
                            <w:pStyle w:val="206"/>
                            <w:tabs>
                              <w:tab w:val="clear" w:pos="4153"/>
                              <w:tab w:val="clear" w:pos="8306"/>
                            </w:tabs>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39</w:t>
                          </w:r>
                          <w:r>
                            <w:rPr>
                              <w:rFonts w:hint="eastAsia"/>
                            </w:rPr>
                            <w:fldChar w:fldCharType="end"/>
                          </w:r>
                        </w:p>
                        <w:p w14:paraId="2643E9A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644C251">
                    <w:pPr>
                      <w:pStyle w:val="206"/>
                      <w:tabs>
                        <w:tab w:val="clear" w:pos="4153"/>
                        <w:tab w:val="clear" w:pos="8306"/>
                      </w:tabs>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39</w:t>
                    </w:r>
                    <w:r>
                      <w:rPr>
                        <w:rFonts w:hint="eastAsia"/>
                      </w:rPr>
                      <w:fldChar w:fldCharType="end"/>
                    </w:r>
                  </w:p>
                  <w:p w14:paraId="2643E9A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188D1">
    <w:pPr>
      <w:pStyle w:val="20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224"/>
      <w:suff w:val="space"/>
      <w:lvlText w:val="第%1章."/>
      <w:lvlJc w:val="left"/>
      <w:pPr>
        <w:ind w:left="0" w:firstLine="0"/>
      </w:pPr>
      <w:rPr>
        <w:rFonts w:ascii="Arial" w:hAnsi="Arial" w:cs="Times New Roman"/>
        <w:b/>
        <w:i w:val="0"/>
        <w:iCs w:val="0"/>
        <w:caps w:val="0"/>
        <w:strike w:val="0"/>
        <w:vanish w:val="0"/>
        <w:color w:val="000000"/>
        <w:spacing w:val="0"/>
        <w:position w:val="0"/>
        <w:sz w:val="44"/>
        <w:u w:val="none"/>
        <w:vertAlign w:val="baseline"/>
        <w:lang w:val="en-US"/>
      </w:rPr>
    </w:lvl>
    <w:lvl w:ilvl="1" w:tentative="0">
      <w:start w:val="1"/>
      <w:numFmt w:val="decimal"/>
      <w:suff w:val="space"/>
      <w:lvlText w:val="%1.%2"/>
      <w:lvlJc w:val="left"/>
      <w:pPr>
        <w:ind w:left="0" w:firstLine="0"/>
      </w:pPr>
      <w:rPr>
        <w:rFonts w:ascii="Arial" w:hAnsi="Arial"/>
        <w:b/>
        <w:i w:val="0"/>
        <w:sz w:val="36"/>
      </w:rPr>
    </w:lvl>
    <w:lvl w:ilvl="2" w:tentative="0">
      <w:start w:val="1"/>
      <w:numFmt w:val="decimal"/>
      <w:suff w:val="space"/>
      <w:lvlText w:val="%1.%2.%3."/>
      <w:lvlJc w:val="left"/>
      <w:pPr>
        <w:ind w:left="142" w:firstLine="0"/>
      </w:pPr>
      <w:rPr>
        <w:rFonts w:ascii="Arial" w:hAnsi="Arial" w:cs="Times New Roman"/>
        <w:b/>
        <w:i w:val="0"/>
        <w:iCs w:val="0"/>
        <w:caps w:val="0"/>
        <w:strike w:val="0"/>
        <w:vanish w:val="0"/>
        <w:color w:val="000000"/>
        <w:spacing w:val="0"/>
        <w:position w:val="0"/>
        <w:sz w:val="32"/>
        <w:u w:val="none"/>
        <w:vertAlign w:val="baseline"/>
      </w:rPr>
    </w:lvl>
    <w:lvl w:ilvl="3" w:tentative="0">
      <w:start w:val="1"/>
      <w:numFmt w:val="decimal"/>
      <w:pStyle w:val="234"/>
      <w:suff w:val="space"/>
      <w:lvlText w:val="%1.%2.%3.%4."/>
      <w:lvlJc w:val="left"/>
      <w:pPr>
        <w:ind w:left="0" w:firstLine="0"/>
      </w:pPr>
      <w:rPr>
        <w:rFonts w:ascii="Arial" w:hAnsi="Arial"/>
        <w:b/>
        <w:i w:val="0"/>
        <w:sz w:val="28"/>
      </w:rPr>
    </w:lvl>
    <w:lvl w:ilvl="4" w:tentative="0">
      <w:start w:val="1"/>
      <w:numFmt w:val="decimal"/>
      <w:suff w:val="space"/>
      <w:lvlText w:val="%1.%2.%3.%4.%5."/>
      <w:lvlJc w:val="left"/>
      <w:pPr>
        <w:ind w:left="0" w:firstLine="0"/>
      </w:pPr>
      <w:rPr>
        <w:rFonts w:ascii="Arial" w:hAnsi="Arial"/>
        <w:b/>
        <w:i w:val="0"/>
        <w:sz w:val="28"/>
      </w:rPr>
    </w:lvl>
    <w:lvl w:ilvl="5" w:tentative="0">
      <w:start w:val="1"/>
      <w:numFmt w:val="decimal"/>
      <w:suff w:val="nothing"/>
      <w:lvlText w:val="%1.%2.%3.%4.%5.%6."/>
      <w:lvlJc w:val="left"/>
      <w:pPr>
        <w:ind w:left="6080" w:hanging="4820"/>
      </w:pPr>
      <w:rPr>
        <w:rFonts w:ascii="Arial" w:hAnsi="Arial" w:cs="Times New Roman"/>
        <w:b w:val="0"/>
        <w:i w:val="0"/>
        <w:iCs w:val="0"/>
        <w:caps w:val="0"/>
        <w:smallCaps w:val="0"/>
        <w:strike w:val="0"/>
        <w:vanish w:val="0"/>
        <w:color w:val="000000"/>
        <w:spacing w:val="0"/>
        <w:position w:val="0"/>
        <w:u w:val="none"/>
        <w:vertAlign w:val="baseline"/>
      </w:rPr>
    </w:lvl>
    <w:lvl w:ilvl="6" w:tentative="0">
      <w:start w:val="1"/>
      <w:numFmt w:val="decimal"/>
      <w:lvlText w:val="%1.%2.%3.%4.%5.%6.%7."/>
      <w:lvlJc w:val="left"/>
      <w:pPr>
        <w:tabs>
          <w:tab w:val="left" w:pos="1276"/>
        </w:tabs>
        <w:ind w:left="1276" w:hanging="1276"/>
      </w:pPr>
      <w:rPr>
        <w:rFonts w:hint="eastAsia" w:cs="Times New Roman"/>
        <w:b w:val="0"/>
        <w:i w:val="0"/>
        <w:iCs w:val="0"/>
        <w:caps w:val="0"/>
        <w:smallCaps w:val="0"/>
        <w:strike w:val="0"/>
        <w:vanish w:val="0"/>
        <w:color w:val="000000"/>
        <w:spacing w:val="0"/>
        <w:position w:val="0"/>
        <w:u w:val="none"/>
        <w:vertAlign w:val="baseline"/>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53208E"/>
    <w:multiLevelType w:val="multilevel"/>
    <w:tmpl w:val="0053208E"/>
    <w:lvl w:ilvl="0" w:tentative="0">
      <w:start w:val="1"/>
      <w:numFmt w:val="decimal"/>
      <w:pStyle w:val="210"/>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03D62ECE"/>
    <w:multiLevelType w:val="multilevel"/>
    <w:tmpl w:val="03D62EC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4"/>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36"/>
      <w:lvlText w:val="%1、"/>
      <w:lvlJc w:val="left"/>
      <w:pPr>
        <w:tabs>
          <w:tab w:val="left" w:pos="360"/>
        </w:tabs>
        <w:ind w:left="360" w:hanging="360"/>
      </w:pPr>
      <w:rPr>
        <w:color w:val="00000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D115FD"/>
    <w:rsid w:val="4778283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8"/>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next w:val="1"/>
    <w:link w:val="39"/>
    <w:qFormat/>
    <w:uiPriority w:val="9"/>
    <w:pPr>
      <w:keepNext/>
      <w:keepLines/>
      <w:spacing w:before="480" w:after="200"/>
      <w:outlineLvl w:val="0"/>
    </w:pPr>
    <w:rPr>
      <w:rFonts w:hint="default" w:ascii="Arial" w:hAnsi="Arial" w:eastAsia="Arial" w:cs="Arial"/>
      <w:sz w:val="40"/>
      <w:szCs w:val="40"/>
    </w:rPr>
  </w:style>
  <w:style w:type="paragraph" w:styleId="3">
    <w:name w:val="heading 2"/>
    <w:next w:val="1"/>
    <w:link w:val="40"/>
    <w:unhideWhenUsed/>
    <w:qFormat/>
    <w:uiPriority w:val="9"/>
    <w:pPr>
      <w:keepNext/>
      <w:keepLines/>
      <w:spacing w:before="360" w:after="200"/>
      <w:outlineLvl w:val="1"/>
    </w:pPr>
    <w:rPr>
      <w:rFonts w:hint="default" w:ascii="Arial" w:hAnsi="Arial" w:eastAsia="Arial" w:cs="Arial"/>
      <w:sz w:val="34"/>
    </w:rPr>
  </w:style>
  <w:style w:type="paragraph" w:styleId="4">
    <w:name w:val="heading 3"/>
    <w:next w:val="1"/>
    <w:link w:val="41"/>
    <w:unhideWhenUsed/>
    <w:qFormat/>
    <w:uiPriority w:val="9"/>
    <w:pPr>
      <w:keepNext/>
      <w:keepLines/>
      <w:spacing w:before="320" w:after="200"/>
      <w:outlineLvl w:val="2"/>
    </w:pPr>
    <w:rPr>
      <w:rFonts w:hint="default" w:ascii="Arial" w:hAnsi="Arial" w:eastAsia="Arial" w:cs="Arial"/>
      <w:sz w:val="30"/>
      <w:szCs w:val="30"/>
    </w:rPr>
  </w:style>
  <w:style w:type="paragraph" w:styleId="5">
    <w:name w:val="heading 4"/>
    <w:next w:val="1"/>
    <w:link w:val="42"/>
    <w:unhideWhenUsed/>
    <w:qFormat/>
    <w:uiPriority w:val="9"/>
    <w:pPr>
      <w:keepNext/>
      <w:keepLines/>
      <w:spacing w:before="320" w:after="200"/>
      <w:outlineLvl w:val="3"/>
    </w:pPr>
    <w:rPr>
      <w:rFonts w:hint="default" w:ascii="Arial" w:hAnsi="Arial" w:eastAsia="Arial" w:cs="Arial"/>
      <w:b/>
      <w:bCs/>
      <w:sz w:val="26"/>
      <w:szCs w:val="26"/>
    </w:rPr>
  </w:style>
  <w:style w:type="paragraph" w:styleId="6">
    <w:name w:val="heading 5"/>
    <w:next w:val="1"/>
    <w:link w:val="43"/>
    <w:unhideWhenUsed/>
    <w:qFormat/>
    <w:uiPriority w:val="9"/>
    <w:pPr>
      <w:keepNext/>
      <w:keepLines/>
      <w:spacing w:before="320" w:after="200"/>
      <w:outlineLvl w:val="4"/>
    </w:pPr>
    <w:rPr>
      <w:rFonts w:hint="default" w:ascii="Arial" w:hAnsi="Arial" w:eastAsia="Arial" w:cs="Arial"/>
      <w:b/>
      <w:bCs/>
      <w:sz w:val="24"/>
      <w:szCs w:val="24"/>
    </w:rPr>
  </w:style>
  <w:style w:type="paragraph" w:styleId="7">
    <w:name w:val="heading 6"/>
    <w:next w:val="1"/>
    <w:link w:val="44"/>
    <w:unhideWhenUsed/>
    <w:qFormat/>
    <w:uiPriority w:val="9"/>
    <w:pPr>
      <w:keepNext/>
      <w:keepLines/>
      <w:spacing w:before="320" w:after="200"/>
      <w:outlineLvl w:val="5"/>
    </w:pPr>
    <w:rPr>
      <w:rFonts w:hint="default" w:ascii="Arial" w:hAnsi="Arial" w:eastAsia="Arial" w:cs="Arial"/>
      <w:b/>
      <w:bCs/>
      <w:sz w:val="22"/>
      <w:szCs w:val="22"/>
    </w:rPr>
  </w:style>
  <w:style w:type="paragraph" w:styleId="8">
    <w:name w:val="heading 7"/>
    <w:next w:val="1"/>
    <w:link w:val="45"/>
    <w:unhideWhenUsed/>
    <w:qFormat/>
    <w:uiPriority w:val="9"/>
    <w:pPr>
      <w:keepNext/>
      <w:keepLines/>
      <w:spacing w:before="320" w:after="200"/>
      <w:outlineLvl w:val="6"/>
    </w:pPr>
    <w:rPr>
      <w:rFonts w:hint="default" w:ascii="Arial" w:hAnsi="Arial" w:eastAsia="Arial" w:cs="Arial"/>
      <w:b/>
      <w:bCs/>
      <w:i/>
      <w:iCs/>
      <w:sz w:val="22"/>
      <w:szCs w:val="22"/>
    </w:rPr>
  </w:style>
  <w:style w:type="paragraph" w:styleId="9">
    <w:name w:val="heading 8"/>
    <w:next w:val="1"/>
    <w:link w:val="46"/>
    <w:unhideWhenUsed/>
    <w:qFormat/>
    <w:uiPriority w:val="9"/>
    <w:pPr>
      <w:keepNext/>
      <w:keepLines/>
      <w:spacing w:before="320" w:after="200"/>
      <w:outlineLvl w:val="7"/>
    </w:pPr>
    <w:rPr>
      <w:rFonts w:hint="default" w:ascii="Arial" w:hAnsi="Arial" w:eastAsia="Arial" w:cs="Arial"/>
      <w:i/>
      <w:iCs/>
      <w:sz w:val="22"/>
      <w:szCs w:val="22"/>
    </w:rPr>
  </w:style>
  <w:style w:type="paragraph" w:styleId="10">
    <w:name w:val="heading 9"/>
    <w:next w:val="1"/>
    <w:link w:val="47"/>
    <w:unhideWhenUsed/>
    <w:qFormat/>
    <w:uiPriority w:val="9"/>
    <w:pPr>
      <w:keepNext/>
      <w:keepLines/>
      <w:spacing w:before="320" w:after="200"/>
      <w:outlineLvl w:val="8"/>
    </w:pPr>
    <w:rPr>
      <w:rFonts w:hint="default"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right="0" w:firstLine="0"/>
    </w:pPr>
    <w:rPr>
      <w:rFonts w:hint="default" w:ascii="Times New Roman" w:hAnsi="Times New Roman" w:eastAsia="宋体" w:cs="Times New Roman"/>
    </w:rPr>
  </w:style>
  <w:style w:type="paragraph" w:styleId="12">
    <w:name w:val="Normal Indent"/>
    <w:basedOn w:val="1"/>
    <w:next w:val="1"/>
    <w:qFormat/>
    <w:uiPriority w:val="99"/>
    <w:pPr>
      <w:ind w:firstLine="420"/>
    </w:pPr>
    <w:rPr>
      <w:szCs w:val="21"/>
    </w:rPr>
  </w:style>
  <w:style w:type="paragraph" w:styleId="13">
    <w:name w:val="caption"/>
    <w:next w:val="1"/>
    <w:semiHidden/>
    <w:unhideWhenUsed/>
    <w:qFormat/>
    <w:uiPriority w:val="35"/>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4">
    <w:name w:val="Body Text"/>
    <w:basedOn w:val="1"/>
    <w:next w:val="12"/>
    <w:qFormat/>
    <w:uiPriority w:val="0"/>
    <w:pPr>
      <w:tabs>
        <w:tab w:val="right" w:pos="2520"/>
        <w:tab w:val="left" w:pos="2880"/>
      </w:tabs>
      <w:spacing w:after="60"/>
      <w:jc w:val="left"/>
    </w:pPr>
    <w:rPr>
      <w:sz w:val="22"/>
      <w:szCs w:val="20"/>
    </w:rPr>
  </w:style>
  <w:style w:type="paragraph" w:styleId="15">
    <w:name w:val="toc 5"/>
    <w:next w:val="1"/>
    <w:unhideWhenUsed/>
    <w:qFormat/>
    <w:uiPriority w:val="39"/>
    <w:pPr>
      <w:spacing w:after="57"/>
      <w:ind w:left="1134" w:right="0" w:firstLine="0"/>
    </w:pPr>
    <w:rPr>
      <w:rFonts w:hint="default" w:ascii="Times New Roman" w:hAnsi="Times New Roman" w:eastAsia="宋体" w:cs="Times New Roman"/>
    </w:rPr>
  </w:style>
  <w:style w:type="paragraph" w:styleId="16">
    <w:name w:val="toc 3"/>
    <w:next w:val="1"/>
    <w:unhideWhenUsed/>
    <w:qFormat/>
    <w:uiPriority w:val="39"/>
    <w:pPr>
      <w:spacing w:after="57"/>
      <w:ind w:left="567" w:right="0" w:firstLine="0"/>
    </w:pPr>
    <w:rPr>
      <w:rFonts w:hint="default" w:ascii="Times New Roman" w:hAnsi="Times New Roman" w:eastAsia="宋体" w:cs="Times New Roman"/>
    </w:rPr>
  </w:style>
  <w:style w:type="paragraph" w:styleId="17">
    <w:name w:val="Plain Text"/>
    <w:basedOn w:val="1"/>
    <w:qFormat/>
    <w:uiPriority w:val="0"/>
    <w:pPr>
      <w:widowControl w:val="0"/>
      <w:jc w:val="both"/>
    </w:pPr>
    <w:rPr>
      <w:rFonts w:ascii="宋体" w:hAnsi="Courier New" w:eastAsia="楷体_GB2312"/>
      <w:sz w:val="26"/>
    </w:rPr>
  </w:style>
  <w:style w:type="paragraph" w:styleId="18">
    <w:name w:val="toc 8"/>
    <w:next w:val="1"/>
    <w:unhideWhenUsed/>
    <w:qFormat/>
    <w:uiPriority w:val="39"/>
    <w:pPr>
      <w:spacing w:after="57"/>
      <w:ind w:left="1984" w:right="0" w:firstLine="0"/>
    </w:pPr>
    <w:rPr>
      <w:rFonts w:hint="default" w:ascii="Times New Roman" w:hAnsi="Times New Roman" w:eastAsia="宋体" w:cs="Times New Roman"/>
    </w:rPr>
  </w:style>
  <w:style w:type="paragraph" w:styleId="19">
    <w:name w:val="endnote text"/>
    <w:link w:val="185"/>
    <w:semiHidden/>
    <w:unhideWhenUsed/>
    <w:qFormat/>
    <w:uiPriority w:val="99"/>
    <w:pPr>
      <w:spacing w:after="0" w:line="240" w:lineRule="auto"/>
    </w:pPr>
    <w:rPr>
      <w:rFonts w:hint="default" w:ascii="Times New Roman" w:hAnsi="Times New Roman" w:eastAsia="宋体" w:cs="Times New Roman"/>
      <w:sz w:val="20"/>
    </w:rPr>
  </w:style>
  <w:style w:type="paragraph" w:styleId="20">
    <w:name w:val="footer"/>
    <w:basedOn w:val="1"/>
    <w:link w:val="58"/>
    <w:unhideWhenUsed/>
    <w:qFormat/>
    <w:uiPriority w:val="99"/>
    <w:pPr>
      <w:tabs>
        <w:tab w:val="center" w:pos="7143"/>
        <w:tab w:val="right" w:pos="14287"/>
      </w:tabs>
      <w:spacing w:after="0" w:line="240" w:lineRule="auto"/>
    </w:pPr>
    <w:rPr>
      <w:rFonts w:hint="default" w:ascii="Times New Roman" w:hAnsi="Times New Roman" w:eastAsia="宋体" w:cs="Times New Roman"/>
    </w:rPr>
  </w:style>
  <w:style w:type="paragraph" w:styleId="21">
    <w:name w:val="header"/>
    <w:link w:val="56"/>
    <w:unhideWhenUsed/>
    <w:qFormat/>
    <w:uiPriority w:val="99"/>
    <w:pPr>
      <w:tabs>
        <w:tab w:val="center" w:pos="7143"/>
        <w:tab w:val="right" w:pos="14287"/>
      </w:tabs>
      <w:spacing w:after="0" w:line="240" w:lineRule="auto"/>
    </w:pPr>
    <w:rPr>
      <w:rFonts w:hint="default" w:ascii="Times New Roman" w:hAnsi="Times New Roman" w:eastAsia="宋体" w:cs="Times New Roman"/>
    </w:rPr>
  </w:style>
  <w:style w:type="paragraph" w:styleId="22">
    <w:name w:val="toc 1"/>
    <w:next w:val="1"/>
    <w:unhideWhenUsed/>
    <w:qFormat/>
    <w:uiPriority w:val="39"/>
    <w:pPr>
      <w:spacing w:after="57"/>
      <w:ind w:left="0" w:right="0" w:firstLine="0"/>
    </w:pPr>
    <w:rPr>
      <w:rFonts w:hint="default" w:ascii="Times New Roman" w:hAnsi="Times New Roman" w:eastAsia="宋体" w:cs="Times New Roman"/>
    </w:rPr>
  </w:style>
  <w:style w:type="paragraph" w:styleId="23">
    <w:name w:val="toc 4"/>
    <w:next w:val="1"/>
    <w:unhideWhenUsed/>
    <w:qFormat/>
    <w:uiPriority w:val="39"/>
    <w:pPr>
      <w:spacing w:after="57"/>
      <w:ind w:left="850" w:right="0" w:firstLine="0"/>
    </w:pPr>
    <w:rPr>
      <w:rFonts w:hint="default" w:ascii="Times New Roman" w:hAnsi="Times New Roman" w:eastAsia="宋体" w:cs="Times New Roman"/>
    </w:rPr>
  </w:style>
  <w:style w:type="paragraph" w:styleId="24">
    <w:name w:val="Subtitle"/>
    <w:link w:val="51"/>
    <w:qFormat/>
    <w:uiPriority w:val="11"/>
    <w:pPr>
      <w:spacing w:before="200" w:after="200"/>
    </w:pPr>
    <w:rPr>
      <w:rFonts w:hint="default" w:ascii="Times New Roman" w:hAnsi="Times New Roman" w:eastAsia="宋体" w:cs="Times New Roman"/>
      <w:sz w:val="24"/>
      <w:szCs w:val="24"/>
    </w:rPr>
  </w:style>
  <w:style w:type="paragraph" w:styleId="25">
    <w:name w:val="footnote text"/>
    <w:link w:val="184"/>
    <w:semiHidden/>
    <w:unhideWhenUsed/>
    <w:qFormat/>
    <w:uiPriority w:val="99"/>
    <w:pPr>
      <w:spacing w:after="40" w:line="240" w:lineRule="auto"/>
    </w:pPr>
    <w:rPr>
      <w:rFonts w:hint="default" w:ascii="Times New Roman" w:hAnsi="Times New Roman" w:eastAsia="宋体" w:cs="Times New Roman"/>
      <w:sz w:val="18"/>
    </w:rPr>
  </w:style>
  <w:style w:type="paragraph" w:styleId="26">
    <w:name w:val="toc 6"/>
    <w:next w:val="1"/>
    <w:unhideWhenUsed/>
    <w:qFormat/>
    <w:uiPriority w:val="39"/>
    <w:pPr>
      <w:spacing w:after="57"/>
      <w:ind w:left="1417" w:right="0" w:firstLine="0"/>
    </w:pPr>
    <w:rPr>
      <w:rFonts w:hint="default" w:ascii="Times New Roman" w:hAnsi="Times New Roman" w:eastAsia="宋体" w:cs="Times New Roman"/>
    </w:rPr>
  </w:style>
  <w:style w:type="paragraph" w:styleId="27">
    <w:name w:val="table of figures"/>
    <w:next w:val="1"/>
    <w:unhideWhenUsed/>
    <w:qFormat/>
    <w:uiPriority w:val="99"/>
    <w:pPr>
      <w:spacing w:after="0" w:afterAutospacing="0"/>
    </w:pPr>
    <w:rPr>
      <w:rFonts w:hint="default" w:ascii="Times New Roman" w:hAnsi="Times New Roman" w:eastAsia="宋体" w:cs="Times New Roman"/>
    </w:rPr>
  </w:style>
  <w:style w:type="paragraph" w:styleId="28">
    <w:name w:val="toc 2"/>
    <w:next w:val="1"/>
    <w:unhideWhenUsed/>
    <w:qFormat/>
    <w:uiPriority w:val="39"/>
    <w:pPr>
      <w:spacing w:after="57"/>
      <w:ind w:left="283" w:right="0" w:firstLine="0"/>
    </w:pPr>
    <w:rPr>
      <w:rFonts w:hint="default" w:ascii="Times New Roman" w:hAnsi="Times New Roman" w:eastAsia="宋体" w:cs="Times New Roman"/>
    </w:rPr>
  </w:style>
  <w:style w:type="paragraph" w:styleId="29">
    <w:name w:val="toc 9"/>
    <w:next w:val="1"/>
    <w:unhideWhenUsed/>
    <w:qFormat/>
    <w:uiPriority w:val="39"/>
    <w:pPr>
      <w:spacing w:after="57"/>
      <w:ind w:left="2268" w:right="0" w:firstLine="0"/>
    </w:pPr>
    <w:rPr>
      <w:rFonts w:hint="default" w:ascii="Times New Roman" w:hAnsi="Times New Roman" w:eastAsia="宋体" w:cs="Times New Roman"/>
    </w:rPr>
  </w:style>
  <w:style w:type="paragraph" w:styleId="30">
    <w:name w:val="Normal (Web)"/>
    <w:basedOn w:val="1"/>
    <w:qFormat/>
    <w:uiPriority w:val="0"/>
    <w:pPr>
      <w:spacing w:beforeAutospacing="1" w:afterAutospacing="1"/>
      <w:jc w:val="left"/>
    </w:pPr>
    <w:rPr>
      <w:sz w:val="24"/>
    </w:rPr>
  </w:style>
  <w:style w:type="paragraph" w:styleId="31">
    <w:name w:val="Title"/>
    <w:link w:val="50"/>
    <w:qFormat/>
    <w:uiPriority w:val="10"/>
    <w:pPr>
      <w:spacing w:before="300" w:after="200"/>
      <w:contextualSpacing/>
    </w:pPr>
    <w:rPr>
      <w:rFonts w:hint="default" w:ascii="Times New Roman" w:hAnsi="Times New Roman" w:eastAsia="宋体" w:cs="Times New Roman"/>
      <w:sz w:val="48"/>
      <w:szCs w:val="48"/>
    </w:rPr>
  </w:style>
  <w:style w:type="paragraph" w:styleId="32">
    <w:name w:val="Body Text First Indent"/>
    <w:basedOn w:val="14"/>
    <w:qFormat/>
    <w:uiPriority w:val="0"/>
    <w:pPr>
      <w:widowControl w:val="0"/>
      <w:spacing w:line="360" w:lineRule="auto"/>
      <w:ind w:firstLine="200"/>
      <w:jc w:val="both"/>
    </w:pPr>
    <w:rPr>
      <w:rFonts w:ascii="仿宋_GB2312" w:hAnsi="宋体" w:eastAsia="仿宋_GB2312" w:cs="宋体"/>
      <w:sz w:val="30"/>
      <w:szCs w:val="30"/>
      <w:lang w:val="en-US" w:eastAsia="zh-CN" w:bidi="ar-SA"/>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List Paragraph"/>
    <w:qFormat/>
    <w:uiPriority w:val="34"/>
    <w:pPr>
      <w:ind w:left="720"/>
      <w:contextualSpacing/>
    </w:pPr>
    <w:rPr>
      <w:rFonts w:hint="default" w:ascii="Times New Roman" w:hAnsi="Times New Roman" w:eastAsia="宋体" w:cs="Times New Roman"/>
    </w:r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link w:val="53"/>
    <w:qFormat/>
    <w:uiPriority w:val="29"/>
    <w:pPr>
      <w:ind w:left="720" w:right="720"/>
    </w:pPr>
    <w:rPr>
      <w:rFonts w:hint="default" w:ascii="Times New Roman" w:hAnsi="Times New Roman" w:eastAsia="宋体" w:cs="Times New Roman"/>
      <w:i/>
    </w:rPr>
  </w:style>
  <w:style w:type="character" w:customStyle="1" w:styleId="53">
    <w:name w:val="Quote Char"/>
    <w:link w:val="52"/>
    <w:qFormat/>
    <w:uiPriority w:val="29"/>
    <w:rPr>
      <w:i/>
    </w:rPr>
  </w:style>
  <w:style w:type="paragraph" w:styleId="54">
    <w:name w:val="Intense Quote"/>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hint="default" w:ascii="Times New Roman" w:hAnsi="Times New Roman" w:eastAsia="宋体" w:cs="Times New Roman"/>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4"/>
    <w:qFormat/>
    <w:uiPriority w:val="0"/>
    <w:pPr>
      <w:keepNext/>
      <w:keepLines/>
      <w:spacing w:before="340" w:after="330" w:line="578" w:lineRule="auto"/>
      <w:outlineLvl w:val="0"/>
    </w:pPr>
    <w:rPr>
      <w:b/>
      <w:bCs/>
      <w:sz w:val="44"/>
      <w:szCs w:val="44"/>
    </w:rPr>
  </w:style>
  <w:style w:type="paragraph" w:customStyle="1" w:styleId="188">
    <w:name w:val="标题 21"/>
    <w:basedOn w:val="1"/>
    <w:link w:val="195"/>
    <w:qFormat/>
    <w:uiPriority w:val="0"/>
    <w:pPr>
      <w:keepNext/>
      <w:keepLines/>
      <w:widowControl w:val="0"/>
      <w:spacing w:before="260" w:after="260" w:line="416" w:lineRule="auto"/>
      <w:jc w:val="both"/>
      <w:outlineLvl w:val="1"/>
    </w:pPr>
    <w:rPr>
      <w:rFonts w:ascii="Cambria" w:hAnsi="Cambria" w:eastAsia="宋体" w:cs="Times New Roman"/>
      <w:b/>
      <w:bCs/>
      <w:sz w:val="32"/>
      <w:szCs w:val="32"/>
    </w:rPr>
  </w:style>
  <w:style w:type="paragraph" w:customStyle="1" w:styleId="189">
    <w:name w:val="标题 31"/>
    <w:basedOn w:val="1"/>
    <w:next w:val="1"/>
    <w:link w:val="196"/>
    <w:qFormat/>
    <w:uiPriority w:val="0"/>
    <w:pPr>
      <w:keepNext/>
      <w:keepLines/>
      <w:widowControl w:val="0"/>
      <w:spacing w:before="260" w:after="260" w:line="416" w:lineRule="auto"/>
      <w:jc w:val="both"/>
      <w:outlineLvl w:val="2"/>
    </w:pPr>
    <w:rPr>
      <w:rFonts w:ascii="Calibri" w:hAnsi="Calibri" w:eastAsia="宋体" w:cs="Times New Roman"/>
      <w:b/>
      <w:bCs/>
      <w:sz w:val="32"/>
      <w:szCs w:val="32"/>
    </w:rPr>
  </w:style>
  <w:style w:type="paragraph" w:customStyle="1" w:styleId="190">
    <w:name w:val="标题 41"/>
    <w:basedOn w:val="1"/>
    <w:next w:val="1"/>
    <w:link w:val="197"/>
    <w:qFormat/>
    <w:uiPriority w:val="9"/>
    <w:pPr>
      <w:keepNext/>
      <w:keepLines/>
      <w:widowControl w:val="0"/>
      <w:spacing w:before="160" w:after="170" w:line="376" w:lineRule="auto"/>
      <w:ind w:left="2520" w:right="100"/>
      <w:jc w:val="both"/>
      <w:outlineLvl w:val="3"/>
    </w:pPr>
    <w:rPr>
      <w:rFonts w:ascii="Cambria" w:hAnsi="Cambria" w:eastAsia="宋体" w:cs="Times New Roman"/>
      <w:b/>
      <w:bCs/>
      <w:sz w:val="28"/>
      <w:szCs w:val="28"/>
    </w:rPr>
  </w:style>
  <w:style w:type="character" w:customStyle="1" w:styleId="191">
    <w:name w:val="默认段落字体111"/>
    <w:link w:val="1"/>
    <w:unhideWhenUsed/>
    <w:qFormat/>
    <w:uiPriority w:val="1"/>
  </w:style>
  <w:style w:type="table" w:customStyle="1" w:styleId="192">
    <w:name w:val="普通表格1"/>
    <w:semiHidden/>
    <w:qFormat/>
    <w:uiPriority w:val="0"/>
  </w:style>
  <w:style w:type="paragraph" w:customStyle="1" w:styleId="193">
    <w:name w:val="首行缩进"/>
    <w:basedOn w:val="1"/>
    <w:qFormat/>
    <w:uiPriority w:val="0"/>
    <w:pPr>
      <w:spacing w:line="360" w:lineRule="auto"/>
      <w:ind w:firstLine="480"/>
      <w:jc w:val="left"/>
    </w:pPr>
    <w:rPr>
      <w:rFonts w:ascii="宋体" w:hAnsi="宋体"/>
      <w:sz w:val="24"/>
    </w:rPr>
  </w:style>
  <w:style w:type="character" w:customStyle="1" w:styleId="194">
    <w:name w:val="标题 1 Char"/>
    <w:link w:val="187"/>
    <w:qFormat/>
    <w:uiPriority w:val="0"/>
    <w:rPr>
      <w:b/>
      <w:bCs/>
      <w:sz w:val="44"/>
      <w:szCs w:val="44"/>
    </w:rPr>
  </w:style>
  <w:style w:type="character" w:customStyle="1" w:styleId="195">
    <w:name w:val="标题 2 Char"/>
    <w:link w:val="188"/>
    <w:qFormat/>
    <w:uiPriority w:val="0"/>
    <w:rPr>
      <w:rFonts w:ascii="Cambria" w:hAnsi="Cambria" w:eastAsia="宋体" w:cs="Times New Roman"/>
      <w:b/>
      <w:bCs/>
      <w:sz w:val="32"/>
      <w:szCs w:val="32"/>
    </w:rPr>
  </w:style>
  <w:style w:type="character" w:customStyle="1" w:styleId="196">
    <w:name w:val="标题 3 Char"/>
    <w:link w:val="189"/>
    <w:qFormat/>
    <w:uiPriority w:val="0"/>
    <w:rPr>
      <w:rFonts w:ascii="Calibri" w:hAnsi="Calibri" w:eastAsia="宋体" w:cs="Times New Roman"/>
      <w:b/>
      <w:bCs/>
      <w:sz w:val="32"/>
      <w:szCs w:val="32"/>
    </w:rPr>
  </w:style>
  <w:style w:type="character" w:customStyle="1" w:styleId="197">
    <w:name w:val="标题 4 Char"/>
    <w:link w:val="190"/>
    <w:qFormat/>
    <w:uiPriority w:val="9"/>
    <w:rPr>
      <w:rFonts w:ascii="Cambria" w:hAnsi="Cambria" w:eastAsia="宋体" w:cs="Times New Roman"/>
      <w:b/>
      <w:bCs/>
      <w:sz w:val="28"/>
      <w:szCs w:val="28"/>
    </w:rPr>
  </w:style>
  <w:style w:type="paragraph" w:customStyle="1" w:styleId="198">
    <w:name w:val="正文缩进1"/>
    <w:basedOn w:val="1"/>
    <w:qFormat/>
    <w:uiPriority w:val="99"/>
    <w:pPr>
      <w:ind w:firstLine="420"/>
    </w:pPr>
    <w:rPr>
      <w:szCs w:val="21"/>
    </w:rPr>
  </w:style>
  <w:style w:type="paragraph" w:customStyle="1" w:styleId="199">
    <w:name w:val="正文文本1"/>
    <w:basedOn w:val="1"/>
    <w:link w:val="200"/>
    <w:qFormat/>
    <w:uiPriority w:val="0"/>
    <w:pPr>
      <w:widowControl w:val="0"/>
      <w:spacing w:after="120"/>
      <w:jc w:val="both"/>
    </w:pPr>
    <w:rPr>
      <w:sz w:val="21"/>
      <w:szCs w:val="24"/>
    </w:rPr>
  </w:style>
  <w:style w:type="character" w:customStyle="1" w:styleId="200">
    <w:name w:val="正文文本 Char"/>
    <w:link w:val="199"/>
    <w:qFormat/>
    <w:uiPriority w:val="0"/>
    <w:rPr>
      <w:rFonts w:eastAsia="宋体"/>
      <w:sz w:val="21"/>
      <w:szCs w:val="24"/>
      <w:lang w:val="en-US" w:eastAsia="zh-CN" w:bidi="ar-SA"/>
    </w:rPr>
  </w:style>
  <w:style w:type="paragraph" w:customStyle="1" w:styleId="201">
    <w:name w:val="正文文本缩进1"/>
    <w:basedOn w:val="1"/>
    <w:next w:val="1"/>
    <w:qFormat/>
    <w:uiPriority w:val="0"/>
    <w:pPr>
      <w:ind w:firstLine="645"/>
    </w:pPr>
    <w:rPr>
      <w:rFonts w:ascii="楷体_GB2312" w:hAnsi="宋体" w:eastAsia="楷体_GB2312" w:cs="宋体"/>
      <w:sz w:val="32"/>
      <w:szCs w:val="32"/>
    </w:rPr>
  </w:style>
  <w:style w:type="paragraph" w:customStyle="1" w:styleId="202">
    <w:name w:val="目录 31"/>
    <w:basedOn w:val="1"/>
    <w:next w:val="1"/>
    <w:unhideWhenUsed/>
    <w:qFormat/>
    <w:uiPriority w:val="39"/>
    <w:pPr>
      <w:widowControl w:val="0"/>
      <w:ind w:left="840"/>
      <w:jc w:val="both"/>
    </w:pPr>
    <w:rPr>
      <w:rFonts w:ascii="Calibri" w:hAnsi="Calibri" w:eastAsia="宋体" w:cs="Times New Roman"/>
      <w:sz w:val="21"/>
      <w:szCs w:val="22"/>
    </w:rPr>
  </w:style>
  <w:style w:type="paragraph" w:customStyle="1" w:styleId="203">
    <w:name w:val="日期1"/>
    <w:basedOn w:val="1"/>
    <w:next w:val="1"/>
    <w:qFormat/>
    <w:uiPriority w:val="0"/>
    <w:pPr>
      <w:ind w:left="100"/>
    </w:pPr>
  </w:style>
  <w:style w:type="paragraph" w:customStyle="1" w:styleId="204">
    <w:name w:val="正文文本缩进 21"/>
    <w:basedOn w:val="1"/>
    <w:qFormat/>
    <w:uiPriority w:val="0"/>
    <w:pPr>
      <w:spacing w:after="120" w:line="480" w:lineRule="auto"/>
      <w:ind w:left="420"/>
    </w:pPr>
  </w:style>
  <w:style w:type="paragraph" w:customStyle="1" w:styleId="205">
    <w:name w:val="批注框文本1"/>
    <w:basedOn w:val="1"/>
    <w:qFormat/>
    <w:uiPriority w:val="0"/>
    <w:rPr>
      <w:sz w:val="18"/>
      <w:szCs w:val="18"/>
    </w:rPr>
  </w:style>
  <w:style w:type="paragraph" w:customStyle="1" w:styleId="206">
    <w:name w:val="页脚1"/>
    <w:basedOn w:val="1"/>
    <w:qFormat/>
    <w:uiPriority w:val="0"/>
    <w:pPr>
      <w:tabs>
        <w:tab w:val="center" w:pos="4153"/>
        <w:tab w:val="right" w:pos="8306"/>
      </w:tabs>
    </w:pPr>
    <w:rPr>
      <w:sz w:val="18"/>
      <w:szCs w:val="18"/>
    </w:rPr>
  </w:style>
  <w:style w:type="paragraph" w:customStyle="1" w:styleId="20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08">
    <w:name w:val="目录 11"/>
    <w:basedOn w:val="1"/>
    <w:next w:val="1"/>
    <w:unhideWhenUsed/>
    <w:qFormat/>
    <w:uiPriority w:val="39"/>
    <w:pPr>
      <w:widowControl w:val="0"/>
      <w:jc w:val="both"/>
    </w:pPr>
    <w:rPr>
      <w:rFonts w:ascii="Calibri" w:hAnsi="Calibri" w:eastAsia="宋体" w:cs="Times New Roman"/>
      <w:sz w:val="21"/>
      <w:szCs w:val="22"/>
    </w:rPr>
  </w:style>
  <w:style w:type="paragraph" w:customStyle="1" w:styleId="209">
    <w:name w:val="目录 21"/>
    <w:basedOn w:val="1"/>
    <w:next w:val="1"/>
    <w:unhideWhenUsed/>
    <w:qFormat/>
    <w:uiPriority w:val="39"/>
    <w:pPr>
      <w:widowControl w:val="0"/>
      <w:ind w:left="420"/>
      <w:jc w:val="both"/>
    </w:pPr>
    <w:rPr>
      <w:rFonts w:ascii="Calibri" w:hAnsi="Calibri" w:eastAsia="宋体" w:cs="Times New Roman"/>
      <w:sz w:val="21"/>
      <w:szCs w:val="22"/>
    </w:rPr>
  </w:style>
  <w:style w:type="paragraph" w:customStyle="1" w:styleId="210">
    <w:name w:val="列表 41"/>
    <w:basedOn w:val="1"/>
    <w:qFormat/>
    <w:uiPriority w:val="0"/>
    <w:pPr>
      <w:widowControl w:val="0"/>
      <w:numPr>
        <w:ilvl w:val="0"/>
        <w:numId w:val="1"/>
      </w:numPr>
      <w:tabs>
        <w:tab w:val="clear" w:pos="709"/>
      </w:tabs>
      <w:ind w:left="100" w:hanging="200"/>
      <w:jc w:val="both"/>
    </w:pPr>
    <w:rPr>
      <w:sz w:val="21"/>
      <w:szCs w:val="21"/>
    </w:rPr>
  </w:style>
  <w:style w:type="paragraph" w:customStyle="1" w:styleId="211">
    <w:name w:val="普通(网站)1"/>
    <w:basedOn w:val="1"/>
    <w:qFormat/>
    <w:uiPriority w:val="99"/>
    <w:pPr>
      <w:widowControl/>
      <w:spacing w:before="100" w:beforeAutospacing="1" w:after="100" w:afterAutospacing="1"/>
      <w:jc w:val="left"/>
    </w:pPr>
    <w:rPr>
      <w:rFonts w:ascii="宋体" w:hAnsi="宋体"/>
      <w:sz w:val="24"/>
    </w:rPr>
  </w:style>
  <w:style w:type="paragraph" w:customStyle="1" w:styleId="212">
    <w:name w:val="标题1"/>
    <w:basedOn w:val="1"/>
    <w:next w:val="1"/>
    <w:qFormat/>
    <w:uiPriority w:val="0"/>
    <w:pPr>
      <w:spacing w:before="240" w:after="60"/>
      <w:jc w:val="center"/>
      <w:outlineLvl w:val="0"/>
    </w:pPr>
    <w:rPr>
      <w:rFonts w:ascii="等线 Light" w:hAnsi="等线 Light" w:cs="Times New Roman"/>
      <w:b/>
      <w:bCs/>
      <w:sz w:val="32"/>
      <w:szCs w:val="32"/>
    </w:rPr>
  </w:style>
  <w:style w:type="table" w:customStyle="1" w:styleId="213">
    <w:name w:val="网格型1"/>
    <w:basedOn w:val="192"/>
    <w:qFormat/>
    <w:uiPriority w:val="0"/>
    <w:pPr>
      <w:widowControl w:val="0"/>
      <w:jc w:val="both"/>
    </w:pPr>
  </w:style>
  <w:style w:type="character" w:customStyle="1" w:styleId="214">
    <w:name w:val="页码1"/>
    <w:basedOn w:val="191"/>
    <w:link w:val="1"/>
    <w:qFormat/>
    <w:uiPriority w:val="0"/>
  </w:style>
  <w:style w:type="character" w:customStyle="1" w:styleId="215">
    <w:name w:val="超链接1"/>
    <w:link w:val="1"/>
    <w:unhideWhenUsed/>
    <w:qFormat/>
    <w:uiPriority w:val="99"/>
    <w:rPr>
      <w:color w:val="0000FF"/>
      <w:u w:val="single"/>
    </w:rPr>
  </w:style>
  <w:style w:type="character" w:customStyle="1" w:styleId="216">
    <w:name w:val="ca-1"/>
    <w:basedOn w:val="191"/>
    <w:link w:val="1"/>
    <w:qFormat/>
    <w:uiPriority w:val="0"/>
  </w:style>
  <w:style w:type="character" w:customStyle="1" w:styleId="217">
    <w:name w:val="ca-3"/>
    <w:basedOn w:val="191"/>
    <w:link w:val="1"/>
    <w:qFormat/>
    <w:uiPriority w:val="0"/>
  </w:style>
  <w:style w:type="character" w:customStyle="1" w:styleId="218">
    <w:name w:val="ca-0"/>
    <w:basedOn w:val="191"/>
    <w:link w:val="1"/>
    <w:qFormat/>
    <w:uiPriority w:val="0"/>
  </w:style>
  <w:style w:type="character" w:customStyle="1" w:styleId="219">
    <w:name w:val="_正文 Char"/>
    <w:link w:val="220"/>
    <w:qFormat/>
    <w:uiPriority w:val="0"/>
    <w:rPr>
      <w:sz w:val="24"/>
      <w:szCs w:val="24"/>
      <w:lang w:bidi="ar-SA"/>
    </w:rPr>
  </w:style>
  <w:style w:type="paragraph" w:customStyle="1" w:styleId="220">
    <w:name w:val="_正文"/>
    <w:basedOn w:val="1"/>
    <w:link w:val="219"/>
    <w:qFormat/>
    <w:uiPriority w:val="0"/>
    <w:pPr>
      <w:widowControl w:val="0"/>
      <w:spacing w:line="360" w:lineRule="auto"/>
      <w:ind w:firstLine="200"/>
      <w:jc w:val="both"/>
    </w:pPr>
    <w:rPr>
      <w:sz w:val="24"/>
      <w:szCs w:val="24"/>
    </w:rPr>
  </w:style>
  <w:style w:type="character" w:customStyle="1" w:styleId="221">
    <w:name w:val="ca-2"/>
    <w:basedOn w:val="191"/>
    <w:link w:val="1"/>
    <w:qFormat/>
    <w:uiPriority w:val="0"/>
  </w:style>
  <w:style w:type="character" w:customStyle="1" w:styleId="222">
    <w:name w:val="_正文段落 Char"/>
    <w:link w:val="223"/>
    <w:qFormat/>
    <w:uiPriority w:val="0"/>
    <w:rPr>
      <w:rFonts w:ascii="宋体" w:hAnsi="宋体"/>
      <w:sz w:val="24"/>
      <w:szCs w:val="24"/>
    </w:rPr>
  </w:style>
  <w:style w:type="paragraph" w:customStyle="1" w:styleId="223">
    <w:name w:val="_正文段落"/>
    <w:basedOn w:val="1"/>
    <w:link w:val="222"/>
    <w:qFormat/>
    <w:uiPriority w:val="0"/>
    <w:pPr>
      <w:widowControl w:val="0"/>
      <w:spacing w:line="360" w:lineRule="auto"/>
      <w:ind w:firstLine="480"/>
      <w:jc w:val="both"/>
    </w:pPr>
    <w:rPr>
      <w:rFonts w:ascii="宋体" w:hAnsi="宋体"/>
      <w:sz w:val="24"/>
      <w:szCs w:val="24"/>
    </w:rPr>
  </w:style>
  <w:style w:type="paragraph" w:customStyle="1" w:styleId="224">
    <w:name w:val="样式11"/>
    <w:basedOn w:val="1"/>
    <w:qFormat/>
    <w:uiPriority w:val="0"/>
    <w:pPr>
      <w:keepNext/>
      <w:keepLines/>
      <w:pageBreakBefore/>
      <w:widowControl w:val="0"/>
      <w:numPr>
        <w:ilvl w:val="0"/>
        <w:numId w:val="2"/>
      </w:numPr>
      <w:spacing w:line="578" w:lineRule="auto"/>
      <w:jc w:val="both"/>
      <w:outlineLvl w:val="0"/>
    </w:pPr>
    <w:rPr>
      <w:rFonts w:ascii="黑体" w:hAnsi="新宋体" w:eastAsia="黑体"/>
      <w:b/>
      <w:bCs/>
      <w:sz w:val="44"/>
      <w:szCs w:val="44"/>
    </w:rPr>
  </w:style>
  <w:style w:type="paragraph" w:customStyle="1" w:styleId="225">
    <w:name w:val="_标题2"/>
    <w:basedOn w:val="188"/>
    <w:next w:val="223"/>
    <w:qFormat/>
    <w:uiPriority w:val="0"/>
    <w:pPr>
      <w:spacing w:before="36" w:after="36" w:line="360" w:lineRule="auto"/>
      <w:jc w:val="left"/>
    </w:pPr>
    <w:rPr>
      <w:rFonts w:ascii="黑体" w:hAnsi="新宋体" w:eastAsia="黑体" w:cs="Times New Roman"/>
      <w:sz w:val="36"/>
      <w:szCs w:val="36"/>
    </w:rPr>
  </w:style>
  <w:style w:type="paragraph" w:customStyle="1" w:styleId="226">
    <w:name w:val="默认段落字体 Para Char Char"/>
    <w:basedOn w:val="1"/>
    <w:qFormat/>
    <w:uiPriority w:val="0"/>
    <w:pPr>
      <w:widowControl w:val="0"/>
      <w:spacing w:before="156" w:after="156"/>
      <w:jc w:val="both"/>
    </w:pPr>
    <w:rPr>
      <w:sz w:val="21"/>
    </w:rPr>
  </w:style>
  <w:style w:type="paragraph" w:customStyle="1" w:styleId="227">
    <w:name w:val="TOC 标题"/>
    <w:basedOn w:val="187"/>
    <w:next w:val="1"/>
    <w:qFormat/>
    <w:uiPriority w:val="39"/>
    <w:pPr>
      <w:spacing w:before="480" w:after="0" w:line="276" w:lineRule="auto"/>
      <w:outlineLvl w:val="9"/>
    </w:pPr>
    <w:rPr>
      <w:rFonts w:ascii="Cambria" w:hAnsi="Cambria" w:eastAsia="宋体" w:cs="Times New Roman"/>
      <w:color w:val="365F91"/>
      <w:sz w:val="28"/>
      <w:szCs w:val="28"/>
    </w:rPr>
  </w:style>
  <w:style w:type="paragraph" w:customStyle="1" w:styleId="228">
    <w:name w:val="pa-2"/>
    <w:basedOn w:val="1"/>
    <w:qFormat/>
    <w:uiPriority w:val="0"/>
    <w:pPr>
      <w:spacing w:before="100" w:beforeAutospacing="1" w:after="100" w:afterAutospacing="1"/>
    </w:pPr>
    <w:rPr>
      <w:rFonts w:ascii="宋体" w:hAnsi="宋体" w:cs="宋体"/>
      <w:sz w:val="24"/>
      <w:szCs w:val="24"/>
    </w:rPr>
  </w:style>
  <w:style w:type="paragraph" w:customStyle="1" w:styleId="22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0">
    <w:name w:val="pa-3"/>
    <w:basedOn w:val="1"/>
    <w:qFormat/>
    <w:uiPriority w:val="0"/>
    <w:pPr>
      <w:spacing w:before="100" w:beforeAutospacing="1" w:after="100" w:afterAutospacing="1"/>
    </w:pPr>
    <w:rPr>
      <w:rFonts w:ascii="宋体" w:hAnsi="宋体" w:cs="宋体"/>
      <w:sz w:val="24"/>
      <w:szCs w:val="24"/>
    </w:rPr>
  </w:style>
  <w:style w:type="paragraph" w:customStyle="1" w:styleId="231">
    <w:name w:val="pa-0"/>
    <w:basedOn w:val="1"/>
    <w:qFormat/>
    <w:uiPriority w:val="0"/>
    <w:pPr>
      <w:spacing w:before="100" w:beforeAutospacing="1" w:after="100" w:afterAutospacing="1"/>
    </w:pPr>
    <w:rPr>
      <w:rFonts w:ascii="宋体" w:hAnsi="宋体" w:cs="宋体"/>
      <w:sz w:val="24"/>
      <w:szCs w:val="24"/>
    </w:rPr>
  </w:style>
  <w:style w:type="paragraph" w:customStyle="1" w:styleId="232">
    <w:name w:val="pa-4"/>
    <w:basedOn w:val="1"/>
    <w:qFormat/>
    <w:uiPriority w:val="0"/>
    <w:pPr>
      <w:spacing w:before="100" w:beforeAutospacing="1" w:after="100" w:afterAutospacing="1"/>
    </w:pPr>
    <w:rPr>
      <w:rFonts w:ascii="宋体" w:hAnsi="宋体" w:cs="宋体"/>
      <w:sz w:val="24"/>
      <w:szCs w:val="24"/>
    </w:rPr>
  </w:style>
  <w:style w:type="paragraph" w:customStyle="1" w:styleId="233">
    <w:name w:val="封面：楷体三号"/>
    <w:basedOn w:val="1"/>
    <w:qFormat/>
    <w:uiPriority w:val="0"/>
    <w:pPr>
      <w:widowControl w:val="0"/>
      <w:spacing w:before="120" w:after="120" w:line="360" w:lineRule="auto"/>
      <w:ind w:firstLine="643"/>
      <w:jc w:val="center"/>
    </w:pPr>
    <w:rPr>
      <w:rFonts w:ascii="楷体_GB2312" w:hAnsi="宋体" w:eastAsia="楷体_GB2312" w:cs="宋体"/>
      <w:b/>
      <w:bCs/>
      <w:sz w:val="32"/>
    </w:rPr>
  </w:style>
  <w:style w:type="paragraph" w:customStyle="1" w:styleId="234">
    <w:name w:val="MM Topic 4"/>
    <w:basedOn w:val="1"/>
    <w:qFormat/>
    <w:uiPriority w:val="0"/>
    <w:pPr>
      <w:keepNext/>
      <w:keepLines/>
      <w:widowControl w:val="0"/>
      <w:numPr>
        <w:ilvl w:val="3"/>
        <w:numId w:val="2"/>
      </w:numPr>
      <w:spacing w:before="160" w:after="170" w:line="377" w:lineRule="auto"/>
      <w:ind w:right="100"/>
      <w:jc w:val="both"/>
      <w:outlineLvl w:val="3"/>
    </w:pPr>
    <w:rPr>
      <w:rFonts w:ascii="Calibri" w:hAnsi="Calibri"/>
      <w:b/>
      <w:bCs/>
      <w:sz w:val="28"/>
      <w:szCs w:val="32"/>
    </w:rPr>
  </w:style>
  <w:style w:type="paragraph" w:customStyle="1" w:styleId="235">
    <w:name w:val="pa-1"/>
    <w:basedOn w:val="1"/>
    <w:qFormat/>
    <w:uiPriority w:val="0"/>
    <w:pPr>
      <w:spacing w:before="100" w:beforeAutospacing="1" w:after="100" w:afterAutospacing="1"/>
    </w:pPr>
    <w:rPr>
      <w:rFonts w:ascii="宋体" w:hAnsi="宋体" w:cs="宋体"/>
      <w:sz w:val="24"/>
      <w:szCs w:val="24"/>
    </w:rPr>
  </w:style>
  <w:style w:type="paragraph" w:customStyle="1" w:styleId="236">
    <w:name w:val="样式1"/>
    <w:basedOn w:val="1"/>
    <w:qFormat/>
    <w:uiPriority w:val="0"/>
    <w:pPr>
      <w:widowControl w:val="0"/>
      <w:numPr>
        <w:ilvl w:val="0"/>
        <w:numId w:val="3"/>
      </w:numPr>
      <w:jc w:val="both"/>
    </w:pPr>
    <w:rPr>
      <w:rFonts w:ascii="宋体" w:hAnsi="宋体" w:cs="宋体"/>
      <w:sz w:val="21"/>
      <w:szCs w:val="21"/>
    </w:rPr>
  </w:style>
  <w:style w:type="paragraph" w:customStyle="1" w:styleId="237">
    <w:name w:val=" Char"/>
    <w:basedOn w:val="1"/>
    <w:qFormat/>
    <w:uiPriority w:val="0"/>
    <w:pPr>
      <w:widowControl w:val="0"/>
      <w:jc w:val="both"/>
    </w:pPr>
    <w:rPr>
      <w:rFonts w:ascii="Tahoma" w:hAnsi="Tahoma"/>
      <w:sz w:val="24"/>
    </w:rPr>
  </w:style>
  <w:style w:type="paragraph" w:customStyle="1" w:styleId="238">
    <w:name w:val="p0"/>
    <w:basedOn w:val="1"/>
    <w:qFormat/>
    <w:uiPriority w:val="0"/>
    <w:pPr>
      <w:jc w:val="both"/>
    </w:pPr>
    <w:rPr>
      <w:sz w:val="21"/>
      <w:szCs w:val="21"/>
    </w:rPr>
  </w:style>
  <w:style w:type="paragraph" w:customStyle="1" w:styleId="239">
    <w:name w:val="列出段落"/>
    <w:basedOn w:val="1"/>
    <w:qFormat/>
    <w:uiPriority w:val="34"/>
    <w:pPr>
      <w:widowControl w:val="0"/>
      <w:ind w:firstLine="420"/>
      <w:jc w:val="both"/>
    </w:pPr>
    <w:rPr>
      <w:rFonts w:ascii="Calibri" w:hAnsi="Calibri" w:eastAsia="宋体" w:cs="Times New Roman"/>
      <w:sz w:val="21"/>
      <w:szCs w:val="22"/>
    </w:rPr>
  </w:style>
  <w:style w:type="paragraph" w:customStyle="1" w:styleId="240">
    <w:name w:val="Normal_0"/>
    <w:next w:val="24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1">
    <w:name w:val="Body Text Indent"/>
    <w:basedOn w:val="240"/>
    <w:next w:val="240"/>
    <w:qFormat/>
    <w:uiPriority w:val="0"/>
    <w:pPr>
      <w:ind w:firstLine="645"/>
    </w:pPr>
    <w:rPr>
      <w:rFonts w:ascii="楷体_GB2312" w:hAnsi="宋体" w:eastAsia="楷体_GB2312" w:cs="宋体"/>
      <w:sz w:val="32"/>
      <w:szCs w:val="32"/>
    </w:rPr>
  </w:style>
  <w:style w:type="paragraph" w:customStyle="1" w:styleId="242">
    <w:name w:val="首行缩进_0"/>
    <w:basedOn w:val="240"/>
    <w:qFormat/>
    <w:uiPriority w:val="0"/>
    <w:pPr>
      <w:spacing w:line="360" w:lineRule="auto"/>
      <w:ind w:firstLine="480"/>
      <w:jc w:val="left"/>
    </w:pPr>
    <w:rPr>
      <w:rFonts w:ascii="宋体" w:hAnsi="宋体"/>
      <w:sz w:val="24"/>
    </w:rPr>
  </w:style>
  <w:style w:type="paragraph" w:customStyle="1" w:styleId="243">
    <w:name w:val="Normal_0_0"/>
    <w:qFormat/>
    <w:uiPriority w:val="0"/>
    <w:rPr>
      <w:rFonts w:hint="default" w:ascii="Times New Roman" w:hAnsi="Times New Roman" w:eastAsia="Times New Roman" w:cs="Times New Roman"/>
      <w:sz w:val="24"/>
      <w:szCs w:val="24"/>
    </w:rPr>
  </w:style>
  <w:style w:type="paragraph" w:customStyle="1" w:styleId="244">
    <w:name w:val="Normal_0_0_0"/>
    <w:qFormat/>
    <w:uiPriority w:val="0"/>
    <w:rPr>
      <w:rFonts w:hint="default" w:ascii="Times New Roman" w:hAnsi="Times New Roman" w:eastAsia="Times New Roman" w:cs="Times New Roman"/>
      <w:sz w:val="24"/>
      <w:szCs w:val="24"/>
    </w:rPr>
  </w:style>
  <w:style w:type="paragraph" w:customStyle="1" w:styleId="245">
    <w:name w:val="Normal_0_1"/>
    <w:qFormat/>
    <w:uiPriority w:val="0"/>
    <w:rPr>
      <w:rFonts w:hint="default" w:ascii="Times New Roman" w:hAnsi="Times New Roman" w:eastAsia="Times New Roman" w:cs="Times New Roman"/>
      <w:sz w:val="24"/>
      <w:szCs w:val="24"/>
    </w:rPr>
  </w:style>
  <w:style w:type="paragraph" w:customStyle="1" w:styleId="246">
    <w:name w:val="Normal_0_0_0_0"/>
    <w:qFormat/>
    <w:uiPriority w:val="0"/>
    <w:rPr>
      <w:rFonts w:hint="default" w:ascii="Times New Roman" w:hAnsi="Times New Roman" w:eastAsia="Times New Roman" w:cs="Times New Roman"/>
      <w:sz w:val="24"/>
      <w:szCs w:val="24"/>
    </w:rPr>
  </w:style>
  <w:style w:type="paragraph" w:customStyle="1" w:styleId="247">
    <w:name w:val="Normal_1_0"/>
    <w:qFormat/>
    <w:uiPriority w:val="0"/>
    <w:rPr>
      <w:rFonts w:hint="default" w:ascii="Times New Roman" w:hAnsi="Times New Roman" w:eastAsia="Times New Roman" w:cs="Times New Roman"/>
      <w:sz w:val="24"/>
      <w:szCs w:val="24"/>
    </w:rPr>
  </w:style>
  <w:style w:type="paragraph" w:customStyle="1" w:styleId="248">
    <w:name w:val="Normal_2"/>
    <w:next w:val="242"/>
    <w:qFormat/>
    <w:uiPriority w:val="0"/>
    <w:rPr>
      <w:rFonts w:hint="default" w:ascii="Times New Roman" w:hAnsi="Times New Roman" w:eastAsia="Times New Roman" w:cs="Times New Roman"/>
      <w:sz w:val="24"/>
      <w:szCs w:val="24"/>
    </w:rPr>
  </w:style>
  <w:style w:type="paragraph" w:customStyle="1" w:styleId="249">
    <w:name w:val="Normal_0_1_0"/>
    <w:qFormat/>
    <w:uiPriority w:val="0"/>
    <w:rPr>
      <w:rFonts w:hint="default" w:ascii="Times New Roman" w:hAnsi="Times New Roman" w:eastAsia="Times New Roman" w:cs="Times New Roman"/>
      <w:sz w:val="24"/>
      <w:szCs w:val="24"/>
    </w:rPr>
  </w:style>
  <w:style w:type="paragraph" w:customStyle="1" w:styleId="250">
    <w:name w:val="Normal_4"/>
    <w:qFormat/>
    <w:uiPriority w:val="0"/>
    <w:rPr>
      <w:rFonts w:hint="default" w:ascii="Times New Roman" w:hAnsi="Times New Roman" w:eastAsia="Times New Roman" w:cs="Times New Roman"/>
      <w:sz w:val="24"/>
      <w:szCs w:val="24"/>
    </w:rPr>
  </w:style>
  <w:style w:type="paragraph" w:customStyle="1" w:styleId="251">
    <w:name w:val="Normal_5"/>
    <w:qFormat/>
    <w:uiPriority w:val="0"/>
    <w:rPr>
      <w:rFonts w:hint="default" w:ascii="Times New Roman" w:hAnsi="Times New Roman" w:eastAsia="Times New Roman" w:cs="Times New Roman"/>
      <w:sz w:val="24"/>
      <w:szCs w:val="24"/>
    </w:rPr>
  </w:style>
  <w:style w:type="paragraph" w:customStyle="1" w:styleId="252">
    <w:name w:val="Normal_0_2"/>
    <w:qFormat/>
    <w:uiPriority w:val="0"/>
    <w:rPr>
      <w:rFonts w:hint="default" w:ascii="Times New Roman" w:hAnsi="Times New Roman" w:eastAsia="Times New Roman" w:cs="Times New Roman"/>
      <w:sz w:val="24"/>
      <w:szCs w:val="24"/>
    </w:rPr>
  </w:style>
  <w:style w:type="paragraph" w:customStyle="1" w:styleId="253">
    <w:name w:val="Normal_1"/>
    <w:qFormat/>
    <w:uiPriority w:val="0"/>
    <w:rPr>
      <w:rFonts w:hint="default" w:ascii="Times New Roman" w:hAnsi="Times New Roman" w:eastAsia="Times New Roman" w:cs="Times New Roman"/>
      <w:sz w:val="24"/>
      <w:szCs w:val="24"/>
    </w:rPr>
  </w:style>
  <w:style w:type="paragraph" w:customStyle="1" w:styleId="254">
    <w:name w:val="Normal_3"/>
    <w:qFormat/>
    <w:uiPriority w:val="0"/>
    <w:rPr>
      <w:rFonts w:hint="default" w:ascii="Times New Roman" w:hAnsi="Times New Roman" w:eastAsia="Times New Roman" w:cs="Times New Roman"/>
      <w:sz w:val="24"/>
      <w:szCs w:val="24"/>
    </w:rPr>
  </w:style>
  <w:style w:type="paragraph" w:customStyle="1" w:styleId="255">
    <w:name w:val="Normal_6"/>
    <w:qFormat/>
    <w:uiPriority w:val="0"/>
    <w:rPr>
      <w:rFonts w:hint="default" w:ascii="Times New Roman" w:hAnsi="Times New Roman" w:eastAsia="Times New Roman" w:cs="Times New Roman"/>
      <w:sz w:val="24"/>
      <w:szCs w:val="24"/>
    </w:rPr>
  </w:style>
  <w:style w:type="paragraph" w:customStyle="1" w:styleId="256">
    <w:name w:val="Normal_0_3"/>
    <w:qFormat/>
    <w:uiPriority w:val="0"/>
    <w:rPr>
      <w:rFonts w:hint="default" w:ascii="Times New Roman" w:hAnsi="Times New Roman" w:eastAsia="Times New Roman" w:cs="Times New Roman"/>
      <w:sz w:val="24"/>
      <w:szCs w:val="24"/>
    </w:rPr>
  </w:style>
  <w:style w:type="paragraph" w:customStyle="1" w:styleId="257">
    <w:name w:val="Normal_1_1"/>
    <w:qFormat/>
    <w:uiPriority w:val="0"/>
    <w:rPr>
      <w:rFonts w:hint="default" w:ascii="Times New Roman" w:hAnsi="Times New Roman" w:eastAsia="Times New Roman" w:cs="Times New Roman"/>
      <w:sz w:val="24"/>
      <w:szCs w:val="24"/>
    </w:rPr>
  </w:style>
  <w:style w:type="paragraph" w:customStyle="1" w:styleId="258">
    <w:name w:val="Normal_2_0"/>
    <w:qFormat/>
    <w:uiPriority w:val="0"/>
    <w:rPr>
      <w:rFonts w:hint="default" w:ascii="Times New Roman" w:hAnsi="Times New Roman" w:eastAsia="Times New Roman" w:cs="Times New Roman"/>
      <w:sz w:val="24"/>
      <w:szCs w:val="24"/>
    </w:rPr>
  </w:style>
  <w:style w:type="paragraph" w:customStyle="1" w:styleId="259">
    <w:name w:val="Normal_3_0"/>
    <w:qFormat/>
    <w:uiPriority w:val="0"/>
    <w:rPr>
      <w:rFonts w:hint="default" w:ascii="Times New Roman" w:hAnsi="Times New Roman" w:eastAsia="Times New Roman" w:cs="Times New Roman"/>
      <w:sz w:val="24"/>
      <w:szCs w:val="24"/>
    </w:rPr>
  </w:style>
  <w:style w:type="paragraph" w:customStyle="1" w:styleId="260">
    <w:name w:val="Normal_4_0"/>
    <w:qFormat/>
    <w:uiPriority w:val="0"/>
    <w:rPr>
      <w:rFonts w:hint="default" w:ascii="Times New Roman" w:hAnsi="Times New Roman" w:eastAsia="Times New Roman" w:cs="Times New Roman"/>
      <w:sz w:val="24"/>
      <w:szCs w:val="24"/>
    </w:rPr>
  </w:style>
  <w:style w:type="paragraph" w:customStyle="1" w:styleId="261">
    <w:name w:val="Normal_5_0"/>
    <w:qFormat/>
    <w:uiPriority w:val="0"/>
    <w:rPr>
      <w:rFonts w:hint="default" w:ascii="Times New Roman" w:hAnsi="Times New Roman" w:eastAsia="Times New Roman" w:cs="Times New Roman"/>
      <w:sz w:val="24"/>
      <w:szCs w:val="24"/>
    </w:rPr>
  </w:style>
  <w:style w:type="paragraph" w:customStyle="1" w:styleId="262">
    <w:name w:val="Normal_6_0"/>
    <w:qFormat/>
    <w:uiPriority w:val="0"/>
    <w:rPr>
      <w:rFonts w:hint="default" w:ascii="Times New Roman" w:hAnsi="Times New Roman" w:eastAsia="Times New Roman" w:cs="Times New Roman"/>
      <w:sz w:val="24"/>
      <w:szCs w:val="24"/>
    </w:rPr>
  </w:style>
  <w:style w:type="paragraph" w:customStyle="1" w:styleId="263">
    <w:name w:val="Normal_7"/>
    <w:qFormat/>
    <w:uiPriority w:val="0"/>
    <w:rPr>
      <w:rFonts w:hint="default" w:ascii="Times New Roman" w:hAnsi="Times New Roman" w:eastAsia="Times New Roman" w:cs="Times New Roman"/>
      <w:sz w:val="24"/>
      <w:szCs w:val="24"/>
    </w:rPr>
  </w:style>
  <w:style w:type="paragraph" w:customStyle="1" w:styleId="264">
    <w:name w:val="Normal_8"/>
    <w:qFormat/>
    <w:uiPriority w:val="0"/>
    <w:rPr>
      <w:rFonts w:hint="default" w:ascii="Times New Roman" w:hAnsi="Times New Roman" w:eastAsia="Times New Roman" w:cs="Times New Roman"/>
      <w:sz w:val="24"/>
      <w:szCs w:val="24"/>
    </w:rPr>
  </w:style>
  <w:style w:type="paragraph" w:customStyle="1" w:styleId="265">
    <w:name w:val="Normal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6">
    <w:name w:val="Normal_10"/>
    <w:qFormat/>
    <w:uiPriority w:val="0"/>
    <w:rPr>
      <w:rFonts w:hint="default" w:ascii="Times New Roman" w:hAnsi="Times New Roman" w:eastAsia="Times New Roman" w:cs="Times New Roman"/>
      <w:sz w:val="24"/>
      <w:szCs w:val="24"/>
    </w:rPr>
  </w:style>
  <w:style w:type="paragraph" w:customStyle="1" w:styleId="267">
    <w:name w:val="Normal_11"/>
    <w:qFormat/>
    <w:uiPriority w:val="0"/>
    <w:rPr>
      <w:rFonts w:hint="default" w:ascii="Times New Roman" w:hAnsi="Times New Roman" w:eastAsia="Times New Roman" w:cs="Times New Roman"/>
      <w:sz w:val="24"/>
      <w:szCs w:val="24"/>
    </w:rPr>
  </w:style>
  <w:style w:type="paragraph" w:customStyle="1" w:styleId="268">
    <w:name w:val="Normal_12"/>
    <w:next w:val="242"/>
    <w:qFormat/>
    <w:uiPriority w:val="0"/>
    <w:rPr>
      <w:rFonts w:hint="default" w:ascii="Times New Roman" w:hAnsi="Times New Roman" w:eastAsia="Times New Roman" w:cs="Times New Roman"/>
      <w:sz w:val="24"/>
      <w:szCs w:val="24"/>
    </w:rPr>
  </w:style>
  <w:style w:type="paragraph" w:customStyle="1" w:styleId="269">
    <w:name w:val="Normal_13"/>
    <w:qFormat/>
    <w:uiPriority w:val="0"/>
    <w:rPr>
      <w:rFonts w:hint="default" w:ascii="Times New Roman" w:hAnsi="Times New Roman" w:eastAsia="Times New Roman" w:cs="Times New Roman"/>
      <w:sz w:val="24"/>
      <w:szCs w:val="24"/>
    </w:rPr>
  </w:style>
  <w:style w:type="paragraph" w:customStyle="1" w:styleId="270">
    <w:name w:val="Normal_14"/>
    <w:qFormat/>
    <w:uiPriority w:val="0"/>
    <w:rPr>
      <w:rFonts w:hint="default" w:ascii="Times New Roman" w:hAnsi="Times New Roman" w:eastAsia="Times New Roman" w:cs="Times New Roman"/>
      <w:sz w:val="24"/>
      <w:szCs w:val="24"/>
    </w:rPr>
  </w:style>
  <w:style w:type="paragraph" w:customStyle="1" w:styleId="271">
    <w:name w:val="Normal_15"/>
    <w:qFormat/>
    <w:uiPriority w:val="0"/>
    <w:rPr>
      <w:rFonts w:hint="default" w:ascii="Times New Roman" w:hAnsi="Times New Roman" w:eastAsia="Times New Roman" w:cs="Times New Roman"/>
      <w:sz w:val="24"/>
      <w:szCs w:val="24"/>
    </w:rPr>
  </w:style>
  <w:style w:type="paragraph" w:customStyle="1" w:styleId="272">
    <w:name w:val="Normal_16"/>
    <w:qFormat/>
    <w:uiPriority w:val="0"/>
    <w:rPr>
      <w:rFonts w:hint="default" w:ascii="Times New Roman" w:hAnsi="Times New Roman" w:eastAsia="Times New Roman" w:cs="Times New Roman"/>
      <w:sz w:val="24"/>
      <w:szCs w:val="24"/>
    </w:rPr>
  </w:style>
  <w:style w:type="paragraph" w:customStyle="1" w:styleId="273">
    <w:name w:val="Normal_17"/>
    <w:qFormat/>
    <w:uiPriority w:val="0"/>
    <w:rPr>
      <w:rFonts w:hint="default" w:ascii="Times New Roman" w:hAnsi="Times New Roman" w:eastAsia="Times New Roman" w:cs="Times New Roman"/>
      <w:sz w:val="24"/>
      <w:szCs w:val="24"/>
    </w:rPr>
  </w:style>
  <w:style w:type="paragraph" w:customStyle="1" w:styleId="274">
    <w:name w:val="Normal_19"/>
    <w:qFormat/>
    <w:uiPriority w:val="0"/>
    <w:rPr>
      <w:rFonts w:hint="default" w:ascii="Times New Roman" w:hAnsi="Times New Roman" w:eastAsia="Times New Roman" w:cs="Times New Roman"/>
      <w:sz w:val="24"/>
      <w:szCs w:val="24"/>
    </w:rPr>
  </w:style>
  <w:style w:type="paragraph" w:customStyle="1" w:styleId="275">
    <w:name w:val="Normal_20"/>
    <w:qFormat/>
    <w:uiPriority w:val="0"/>
    <w:rPr>
      <w:rFonts w:hint="default" w:ascii="Times New Roman" w:hAnsi="Times New Roman" w:eastAsia="Times New Roman" w:cs="Times New Roman"/>
      <w:sz w:val="24"/>
      <w:szCs w:val="24"/>
    </w:rPr>
  </w:style>
  <w:style w:type="paragraph" w:customStyle="1" w:styleId="276">
    <w:name w:val="Normal_21"/>
    <w:qFormat/>
    <w:uiPriority w:val="0"/>
    <w:rPr>
      <w:rFonts w:hint="default" w:ascii="Times New Roman" w:hAnsi="Times New Roman" w:eastAsia="Times New Roman" w:cs="Times New Roman"/>
      <w:sz w:val="24"/>
      <w:szCs w:val="24"/>
    </w:rPr>
  </w:style>
  <w:style w:type="paragraph" w:customStyle="1" w:styleId="277">
    <w:name w:val="Normal_22"/>
    <w:qFormat/>
    <w:uiPriority w:val="0"/>
    <w:rPr>
      <w:rFonts w:hint="default" w:ascii="Times New Roman" w:hAnsi="Times New Roman" w:eastAsia="Times New Roman" w:cs="Times New Roman"/>
      <w:sz w:val="24"/>
      <w:szCs w:val="24"/>
    </w:rPr>
  </w:style>
  <w:style w:type="paragraph" w:customStyle="1" w:styleId="278">
    <w:name w:val="Normal_23"/>
    <w:qFormat/>
    <w:uiPriority w:val="0"/>
    <w:rPr>
      <w:rFonts w:hint="default" w:ascii="Times New Roman" w:hAnsi="Times New Roman" w:eastAsia="Times New Roman" w:cs="Times New Roman"/>
      <w:sz w:val="24"/>
      <w:szCs w:val="24"/>
    </w:rPr>
  </w:style>
  <w:style w:type="paragraph" w:customStyle="1" w:styleId="279">
    <w:name w:val="Normal_24"/>
    <w:qFormat/>
    <w:uiPriority w:val="0"/>
    <w:rPr>
      <w:rFonts w:hint="default" w:ascii="Times New Roman" w:hAnsi="Times New Roman" w:eastAsia="Times New Roman" w:cs="Times New Roman"/>
      <w:sz w:val="24"/>
      <w:szCs w:val="24"/>
    </w:rPr>
  </w:style>
  <w:style w:type="paragraph" w:customStyle="1" w:styleId="280">
    <w:name w:val="Normal_25"/>
    <w:qFormat/>
    <w:uiPriority w:val="0"/>
    <w:rPr>
      <w:rFonts w:hint="default" w:ascii="Times New Roman" w:hAnsi="Times New Roman" w:eastAsia="Times New Roman" w:cs="Times New Roman"/>
      <w:sz w:val="24"/>
      <w:szCs w:val="24"/>
    </w:rPr>
  </w:style>
  <w:style w:type="paragraph" w:customStyle="1" w:styleId="281">
    <w:name w:val="Normal_26"/>
    <w:qFormat/>
    <w:uiPriority w:val="0"/>
    <w:rPr>
      <w:rFonts w:hint="default" w:ascii="Times New Roman" w:hAnsi="Times New Roman" w:eastAsia="Times New Roman" w:cs="Times New Roman"/>
      <w:sz w:val="24"/>
      <w:szCs w:val="24"/>
    </w:rPr>
  </w:style>
  <w:style w:type="paragraph" w:customStyle="1" w:styleId="282">
    <w:name w:val="Normal_27"/>
    <w:qFormat/>
    <w:uiPriority w:val="0"/>
    <w:rPr>
      <w:rFonts w:hint="default" w:ascii="Times New Roman" w:hAnsi="Times New Roman" w:eastAsia="Times New Roman" w:cs="Times New Roman"/>
      <w:sz w:val="24"/>
      <w:szCs w:val="24"/>
    </w:rPr>
  </w:style>
  <w:style w:type="paragraph" w:customStyle="1" w:styleId="283">
    <w:name w:val="Normal_0_5"/>
    <w:qFormat/>
    <w:uiPriority w:val="0"/>
    <w:rPr>
      <w:rFonts w:hint="default" w:ascii="Times New Roman" w:hAnsi="Times New Roman" w:eastAsia="Times New Roman" w:cs="Times New Roman"/>
      <w:sz w:val="24"/>
      <w:szCs w:val="24"/>
      <w:lang w:val="en-US" w:eastAsia="zh-CN" w:bidi="ar-SA"/>
    </w:rPr>
  </w:style>
  <w:style w:type="character" w:customStyle="1" w:styleId="284">
    <w:name w:val="默认段落字体1"/>
    <w:link w:val="1"/>
    <w:semiHidden/>
    <w:qFormat/>
    <w:uiPriority w:val="0"/>
    <w:rPr>
      <w:rFonts w:ascii="Calibri" w:hAnsi="Calibri" w:eastAsia="宋体" w:cs="Times New Roman"/>
      <w:sz w:val="21"/>
      <w:szCs w:val="22"/>
      <w:lang w:val="en-US" w:eastAsia="zh-CN" w:bidi="ar-SA"/>
    </w:rPr>
  </w:style>
  <w:style w:type="paragraph" w:customStyle="1" w:styleId="285">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86">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87">
    <w:name w:val="Normal_43"/>
    <w:qFormat/>
    <w:uiPriority w:val="0"/>
    <w:rPr>
      <w:rFonts w:hint="default" w:ascii="Times New Roman" w:hAnsi="Times New Roman" w:eastAsia="Times New Roman" w:cs="Times New Roman"/>
      <w:sz w:val="24"/>
      <w:szCs w:val="24"/>
      <w:lang w:val="en-US" w:eastAsia="zh-CN" w:bidi="ar-SA"/>
    </w:rPr>
  </w:style>
  <w:style w:type="character" w:customStyle="1" w:styleId="288">
    <w:name w:val="默认段落字体11"/>
    <w:link w:val="1"/>
    <w:unhideWhenUsed/>
    <w:qFormat/>
    <w:uiPriority w:val="1"/>
    <w:rPr>
      <w:rFonts w:ascii="Calibri" w:hAnsi="Calibri" w:eastAsia="宋体" w:cs="Times New Roman"/>
      <w:sz w:val="21"/>
      <w:szCs w:val="22"/>
      <w:lang w:val="en-US" w:eastAsia="zh-CN" w:bidi="ar-SA"/>
    </w:rPr>
  </w:style>
  <w:style w:type="paragraph" w:customStyle="1" w:styleId="289">
    <w:name w:val="正文_0_0"/>
    <w:next w:val="29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0">
    <w:name w:val="正文文本_0"/>
    <w:basedOn w:val="291"/>
    <w:qFormat/>
    <w:uiPriority w:val="0"/>
    <w:pPr>
      <w:spacing w:line="400" w:lineRule="exact"/>
    </w:pPr>
    <w:rPr>
      <w:sz w:val="24"/>
    </w:rPr>
  </w:style>
  <w:style w:type="paragraph" w:customStyle="1" w:styleId="291">
    <w:name w:val="正文_1"/>
    <w:next w:val="29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92">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93">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294">
    <w:name w:val="Table Text"/>
    <w:basedOn w:val="1"/>
    <w:semiHidden/>
    <w:qFormat/>
    <w:uiPriority w:val="0"/>
    <w:rPr>
      <w:rFonts w:ascii="宋体" w:hAnsi="宋体" w:eastAsia="宋体" w:cs="宋体"/>
      <w:sz w:val="22"/>
      <w:szCs w:val="22"/>
      <w:lang w:val="en-US" w:eastAsia="en-US" w:bidi="ar-SA"/>
    </w:rPr>
  </w:style>
  <w:style w:type="table" w:customStyle="1" w:styleId="295">
    <w:name w:val="Table Normal"/>
    <w:semiHidden/>
    <w:unhideWhenUsed/>
    <w:qFormat/>
    <w:uiPriority w:val="0"/>
    <w:tblPr>
      <w:tblCellMar>
        <w:top w:w="0" w:type="dxa"/>
        <w:left w:w="0" w:type="dxa"/>
        <w:bottom w:w="0" w:type="dxa"/>
        <w:right w:w="0" w:type="dxa"/>
      </w:tblCellMar>
    </w:tblPr>
  </w:style>
  <w:style w:type="paragraph" w:customStyle="1" w:styleId="296">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97">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298">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99">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300">
    <w:name w:val="Normal_18_0"/>
    <w:qFormat/>
    <w:uiPriority w:val="0"/>
    <w:rPr>
      <w:rFonts w:hint="default"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微软（中国</Company>
  <Pages>37</Pages>
  <Words>3164</Words>
  <Characters>3287</Characters>
  <TotalTime>9</TotalTime>
  <ScaleCrop>false</ScaleCrop>
  <LinksUpToDate>false</LinksUpToDate>
  <CharactersWithSpaces>3308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2022-11-28T08:58:00Z</dcterms:created>
  <dc:creator>微软（中国</dc:creator>
  <cp:lastModifiedBy>Administrator</cp:lastModifiedBy>
  <dcterms:modified xsi:type="dcterms:W3CDTF">2026-07-01T07:45:18Z</dcterms:modified>
  <dc:title>张家港市政府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eyJoZGlkIjoiMDI0MTY5YWJlYTRmMTlmMTRkNjg1NDU5MGE0OTJkZWUiLCJ1c2VySWQiOiI1OTQzNDg2NDkifQ==</vt:lpwstr>
  </property>
  <property fmtid="{D5CDD505-2E9C-101B-9397-08002B2CF9AE}" pid="3" name="KSOProductBuildVer">
    <vt:lpwstr>2052-12.1.0.26895</vt:lpwstr>
  </property>
  <property fmtid="{D5CDD505-2E9C-101B-9397-08002B2CF9AE}" pid="4" name="ICV">
    <vt:lpwstr>5BD40699C662434991A946BD3EDD1202_12</vt:lpwstr>
  </property>
</Properties>
</file>