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8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85"/>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阜宁县实验小学食堂食材-调味品等品类采购项目</w:t>
      </w: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：JSZC-320923-XHGL-G2026-0006</w:t>
      </w:r>
      <w:r>
        <w:rPr>
          <w:rFonts w:hint="eastAsia" w:ascii="Arial" w:hAnsi="Arial" w:eastAsia="宋体" w:cs="Times New Roman"/>
          <w:b/>
          <w:bCs/>
          <w:color w:val="000000"/>
          <w:sz w:val="32"/>
          <w:szCs w:val="24"/>
          <w:lang w:eastAsia="zh-CN"/>
        </w:rPr>
      </w:r>
      <w:r/>
    </w:p>
    <w:p>
      <w:pPr>
        <w:pStyle w:val="785"/>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917"/>
        <w:rPr>
          <w:rFonts w:hint="eastAsia"/>
          <w:color w:val="000000"/>
        </w:rPr>
      </w:pPr>
      <w:r>
        <w:rPr>
          <w:rFonts w:hint="eastAsia"/>
          <w:color w:val="000000"/>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 阜宁县实验小学</w:t>
      </w:r>
      <w:r>
        <w:rPr>
          <w:rFonts w:hint="eastAsia" w:ascii="宋体" w:hAnsi="宋体" w:eastAsia="宋体"/>
          <w:bCs/>
          <w:color w:val="000000"/>
          <w:sz w:val="32"/>
          <w:szCs w:val="24"/>
          <w:highlight w:val="none"/>
          <w:lang w:eastAsia="zh-CN"/>
        </w:rPr>
      </w:r>
      <w:r/>
    </w:p>
    <w:p>
      <w:pPr>
        <w:pStyle w:val="785"/>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78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江苏华洵项目管理有限公司</w:t>
      </w:r>
      <w:r>
        <w:rPr>
          <w:rFonts w:hint="eastAsia" w:ascii="宋体" w:hAnsi="宋体" w:eastAsia="宋体"/>
          <w:bCs/>
          <w:color w:val="000000"/>
          <w:sz w:val="32"/>
          <w:szCs w:val="24"/>
          <w:highlight w:val="none"/>
          <w:lang w:eastAsia="zh-CN"/>
        </w:rPr>
      </w:r>
      <w:r/>
    </w:p>
    <w:p>
      <w:pPr>
        <w:pStyle w:val="78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8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85"/>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2026年7月27日</w:t>
      </w:r>
      <w:r>
        <w:rPr>
          <w:rFonts w:hint="eastAsia" w:ascii="Arial" w:hAnsi="Arial"/>
          <w:b/>
          <w:bCs/>
          <w:color w:val="000000"/>
          <w:sz w:val="32"/>
          <w:szCs w:val="24"/>
        </w:rPr>
      </w:r>
      <w:r/>
    </w:p>
    <w:p>
      <w:pPr>
        <w:pStyle w:val="78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85"/>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8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8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855"/>
        <w:rPr>
          <w:rFonts w:hint="eastAsia"/>
        </w:rPr>
      </w:pPr>
      <w:r>
        <w:rPr>
          <w:rFonts w:hint="eastAsia"/>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855"/>
        <w:rPr>
          <w:rFonts w:hint="eastAsia"/>
        </w:rPr>
      </w:pPr>
      <w:r>
        <w:rPr>
          <w:rFonts w:hint="eastAsia"/>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jc w:val="center"/>
        <w:keepLines w:val="0"/>
        <w:keepNext/>
        <w:pageBreakBefore w:val="0"/>
        <w:spacing w:line="640" w:lineRule="exact"/>
        <w:widowControl w:val="off"/>
        <w:rPr>
          <w:rFonts w:hint="eastAsia" w:ascii="黑体" w:hAnsi="Times New Roman" w:eastAsia="黑体"/>
          <w:color w:val="000000"/>
          <w:sz w:val="36"/>
          <w:szCs w:val="36"/>
        </w:rPr>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outlineLvl w:val="0"/>
      </w:pPr>
      <w:r>
        <w:rPr>
          <w:rFonts w:hint="eastAsia" w:ascii="黑体" w:hAnsi="Times New Roman" w:eastAsia="黑体"/>
          <w:color w:val="000000"/>
          <w:sz w:val="36"/>
          <w:szCs w:val="36"/>
        </w:rPr>
      </w:r>
      <w:r/>
    </w:p>
    <w:p>
      <w:pPr>
        <w:pStyle w:val="785"/>
        <w:jc w:val="center"/>
        <w:keepLines w:val="0"/>
        <w:keepNext/>
        <w:pageBreakBefore w:val="0"/>
        <w:spacing w:line="6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785"/>
        <w:ind w:firstLine="440"/>
        <w:keepLines w:val="0"/>
        <w:keepNext w:val="0"/>
        <w:pageBreakBefore w:val="0"/>
        <w:spacing w:line="480" w:lineRule="exact"/>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785"/>
        <w:ind w:firstLine="440"/>
        <w:keepLines w:val="0"/>
        <w:keepNext w:val="0"/>
        <w:pageBreakBefore w:val="0"/>
        <w:spacing w:line="48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阜宁县实验小学食堂食材-调味品等品类采购项目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2026年8月17日09点30分</w:t>
      </w:r>
      <w:r>
        <w:rPr>
          <w:rFonts w:hint="eastAsia" w:ascii="宋体" w:hAnsi="宋体"/>
          <w:bCs/>
          <w:color w:val="000000"/>
          <w:sz w:val="22"/>
          <w:szCs w:val="22"/>
          <w:u w:val="single"/>
        </w:rPr>
        <w:t xml:space="preserve">（</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JSZC-320923-XHGL-G2026-0006</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阜宁县实验小学食堂食材-调味品等品类采购项目</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约人民币160万元</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.采购需求（简介）：阜宁县实验小学食堂食材-调味品等品类采购项目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val="en-US" w:eastAsia="zh-CN"/>
        </w:rPr>
      </w:r>
      <w:r/>
    </w:p>
    <w:tbl>
      <w:tblPr>
        <w:tblStyle w:val="8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7"/>
        <w:gridCol w:w="4840"/>
      </w:tblGrid>
      <w:tr>
        <w:trPr/>
        <w:tc>
          <w:tcPr>
            <w:tcW w:w="436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484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436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调味品类、冷冻品类、水产品类、水果品类、</w:t>
            </w:r>
            <w:r>
              <w:rPr>
                <w:rFonts w:hint="eastAsia" w:ascii="宋体" w:hAnsi="宋体" w:eastAsia="宋体" w:cs="宋体"/>
                <w:b w:val="0"/>
                <w:bCs w:val="0"/>
                <w:sz w:val="21"/>
                <w:szCs w:val="21"/>
              </w:rPr>
              <w:t xml:space="preserve">乳制品</w:t>
            </w:r>
            <w:r>
              <w:rPr>
                <w:rFonts w:hint="eastAsia" w:ascii="宋体" w:hAnsi="宋体" w:eastAsia="宋体" w:cs="宋体"/>
                <w:b w:val="0"/>
                <w:bCs w:val="0"/>
                <w:sz w:val="21"/>
                <w:szCs w:val="21"/>
                <w:lang w:val="en-US" w:eastAsia="zh-CN"/>
              </w:rPr>
              <w:t xml:space="preserve">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水饮品类、</w:t>
            </w:r>
            <w:r>
              <w:rPr>
                <w:rFonts w:hint="eastAsia" w:ascii="宋体" w:hAnsi="宋体" w:eastAsia="宋体" w:cs="宋体"/>
                <w:b w:val="0"/>
                <w:bCs w:val="0"/>
                <w:sz w:val="21"/>
                <w:szCs w:val="21"/>
                <w:vertAlign w:val="baseline"/>
                <w:lang w:val="en-US" w:eastAsia="zh-CN"/>
              </w:rPr>
              <w:t xml:space="preserve">点心（预包装）</w:t>
            </w:r>
            <w:r>
              <w:rPr>
                <w:rFonts w:hint="eastAsia" w:ascii="宋体" w:hAnsi="宋体" w:eastAsia="宋体" w:cs="宋体"/>
                <w:color w:val="000000"/>
                <w:sz w:val="21"/>
                <w:szCs w:val="21"/>
                <w:highlight w:val="none"/>
                <w:vertAlign w:val="baseline"/>
                <w:lang w:val="en-US" w:eastAsia="zh-CN"/>
              </w:rPr>
            </w:r>
            <w:r/>
          </w:p>
        </w:tc>
        <w:tc>
          <w:tcPr>
            <w:tcW w:w="484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bookmarkStart w:id="12" w:name="_Toc28359003"/>
      <w:r/>
      <w:bookmarkStart w:id="13" w:name="_Toc35393622"/>
      <w:r/>
      <w:bookmarkStart w:id="14" w:name="_Toc28359080"/>
      <w:r/>
      <w:bookmarkStart w:id="15" w:name="_Toc35393791"/>
      <w:r/>
      <w:bookmarkStart w:id="16" w:name="_Toc38985264"/>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8.本项目不接受联合体投标。</w:t>
      </w:r>
      <w:r>
        <w:rPr>
          <w:rFonts w:hint="eastAsia" w:ascii="宋体" w:hAnsi="宋体" w:eastAsia="宋体" w:cs="宋体"/>
          <w:color w:val="000000"/>
          <w:sz w:val="21"/>
          <w:szCs w:val="21"/>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04"/>
      <w:r/>
      <w:bookmarkStart w:id="18" w:name="_Toc28359081"/>
      <w:r/>
      <w:bookmarkStart w:id="19" w:name="_Toc35393623"/>
      <w:r/>
      <w:bookmarkStart w:id="20" w:name="_Toc35393792"/>
      <w:r/>
      <w:bookmarkStart w:id="21" w:name="_Toc38985265"/>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color w:val="000000"/>
          <w:sz w:val="21"/>
          <w:szCs w:val="21"/>
          <w:highlight w:val="none"/>
          <w:lang w:val="en-US" w:eastAsia="zh-CN"/>
        </w:rPr>
        <w:t xml:space="preserve">供应商依法享受缓缴、免缴税收、社会保障资金的提供证明材料。）；</w:t>
      </w:r>
      <w:r>
        <w:rPr>
          <w:rFonts w:hint="eastAsia" w:ascii="宋体" w:hAnsi="宋体" w:eastAsia="宋体" w:cs="宋体"/>
          <w:b w:val="0"/>
          <w:bCs w:val="0"/>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w:t>
      </w:r>
      <w:r>
        <w:rPr>
          <w:rFonts w:hint="eastAsia" w:ascii="宋体" w:hAnsi="宋体" w:eastAsia="宋体" w:cs="宋体"/>
          <w:color w:val="000000"/>
          <w:sz w:val="21"/>
          <w:szCs w:val="21"/>
          <w:highlight w:val="none"/>
          <w:lang w:val="en-US" w:eastAsia="zh-CN"/>
        </w:rPr>
      </w:r>
      <w:r/>
    </w:p>
    <w:p>
      <w:pPr>
        <w:pStyle w:val="78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3.本项目特定资格要求：</w:t>
      </w:r>
      <w:r>
        <w:rPr>
          <w:rFonts w:hint="eastAsia" w:ascii="宋体" w:hAnsi="宋体" w:eastAsia="宋体" w:cs="Times New Roman"/>
          <w:b w:val="0"/>
          <w:bCs/>
          <w:color w:val="000000"/>
          <w:sz w:val="21"/>
          <w:szCs w:val="21"/>
          <w:lang w:val="en-US" w:eastAsia="zh-CN"/>
        </w:rPr>
      </w:r>
      <w:r/>
    </w:p>
    <w:p>
      <w:pPr>
        <w:pStyle w:val="78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投标人依法取得由市场监督管理行政机关核发，且投标截止当日处于有效期内的具备对应品类《食品经营许可证》。</w:t>
      </w:r>
      <w:r>
        <w:rPr>
          <w:rFonts w:hint="eastAsia" w:ascii="宋体" w:hAnsi="宋体" w:eastAsia="宋体" w:cs="Times New Roman"/>
          <w:b w:val="0"/>
          <w:bCs/>
          <w:color w:val="000000"/>
          <w:sz w:val="21"/>
          <w:szCs w:val="21"/>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000000"/>
          <w:sz w:val="21"/>
          <w:szCs w:val="21"/>
          <w:highlight w:val="none"/>
          <w:lang w:val="en-US" w:eastAsia="zh-CN"/>
        </w:rPr>
        <w:t xml:space="preserve">1.时间：2026年7月27日起至2026年8月3日。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1.时间：2026年8月17日09点30分（北京时间）</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38985267"/>
      <w:r/>
      <w:bookmarkStart w:id="28" w:name="_Toc28359007"/>
      <w:r/>
      <w:bookmarkStart w:id="29" w:name="_Toc35393794"/>
      <w:r/>
      <w:bookmarkStart w:id="30" w:name="_Toc28359084"/>
      <w:r/>
      <w:bookmarkStart w:id="31" w:name="_Toc35393625"/>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626"/>
      <w:r/>
      <w:bookmarkStart w:id="33" w:name="_Toc38985268"/>
      <w:r/>
      <w:bookmarkStart w:id="34" w:name="_Toc35393795"/>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28359008"/>
      <w:r/>
      <w:bookmarkStart w:id="36" w:name="_Toc38985269"/>
      <w:r/>
      <w:bookmarkStart w:id="37" w:name="_Toc28359085"/>
      <w:r/>
      <w:bookmarkStart w:id="38" w:name="_Toc35393796"/>
      <w:r/>
      <w:bookmarkStart w:id="39" w:name="_Toc35393627"/>
      <w:r>
        <w:rPr>
          <w:rFonts w:hint="eastAsia" w:ascii="宋体" w:hAnsi="宋体" w:eastAsia="宋体" w:cs="宋体"/>
          <w:color w:val="000000"/>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2.有关本次招标的事项若存在变动或修改，敬请及时关注在“中国政府采购网”“江苏政府采购网”“盐城市政府采购网”“阜宁县公共资源电子化服务平台”发布的更正公告。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86"/>
      <w:r/>
      <w:bookmarkStart w:id="41" w:name="_Toc28359009"/>
      <w:r>
        <w:rPr>
          <w:rFonts w:hint="eastAsia" w:ascii="宋体" w:hAnsi="宋体" w:eastAsia="宋体" w:cs="宋体"/>
          <w:color w:val="000000"/>
          <w:sz w:val="21"/>
          <w:szCs w:val="21"/>
          <w:highlight w:val="none"/>
          <w:lang w:val="en-US" w:eastAsia="zh-CN"/>
        </w:rPr>
        <w:t xml:space="preserve">1.采购人信息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称：阜宁县实验小学</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址：江苏省盐城市阜宁县北京路28号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联系人：王进，联系方式：15961929168</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称：江苏华洵项目管理有限公司</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址：阜宁县徐州路864号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联系方式：王迎华，13222360666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项目联系人：王进 ，王迎华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 话：15961929168，13222360666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40"/>
      <w:r/>
      <w:bookmarkEnd w:id="41"/>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2026年7月27日</w:t>
      </w:r>
      <w:r>
        <w:rPr>
          <w:rFonts w:hint="eastAsia" w:ascii="宋体" w:hAnsi="宋体" w:eastAsia="宋体" w:cs="宋体"/>
          <w:color w:val="000000"/>
          <w:sz w:val="21"/>
          <w:szCs w:val="21"/>
          <w:highlight w:val="none"/>
          <w:lang w:val="en-US" w:eastAsia="zh-CN"/>
        </w:rPr>
      </w:r>
      <w:r/>
    </w:p>
    <w:p>
      <w:pPr>
        <w:pStyle w:val="785"/>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20823275"/>
      <w:r/>
      <w:bookmarkStart w:id="48" w:name="_Toc513029203"/>
      <w:r/>
      <w:bookmarkStart w:id="49" w:name="_Toc16938519"/>
      <w:r/>
      <w:bookmarkStart w:id="50" w:name="_Toc120614214"/>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513029204"/>
      <w:r/>
      <w:bookmarkStart w:id="54" w:name="_Toc20823276"/>
      <w:r/>
      <w:bookmarkStart w:id="55" w:name="_Toc16938520"/>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513029205"/>
      <w:r/>
      <w:bookmarkStart w:id="57" w:name="_Toc20823277"/>
      <w:r/>
      <w:bookmarkStart w:id="58" w:name="_Toc16938521"/>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513029206"/>
      <w:r/>
      <w:bookmarkStart w:id="60" w:name="_Toc20823278"/>
      <w:r/>
      <w:bookmarkStart w:id="61" w:name="_Toc16938522"/>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16938523"/>
      <w:r/>
      <w:bookmarkStart w:id="63" w:name="_Toc513029207"/>
      <w:r/>
      <w:bookmarkStart w:id="64" w:name="_Toc462564067"/>
      <w:r/>
      <w:bookmarkStart w:id="65" w:name="_Toc20823279"/>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4.2代理机构将根据发改价格〔2011〕534号文件，按招标项目采购人收取服务费用。</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20823281"/>
      <w:r/>
      <w:bookmarkStart w:id="67" w:name="_Toc16938525"/>
      <w:r/>
      <w:bookmarkStart w:id="68" w:name="_Toc120614215"/>
      <w:r/>
      <w:bookmarkStart w:id="69" w:name="_Toc513029209"/>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20823282"/>
      <w:r/>
      <w:bookmarkStart w:id="71" w:name="_Toc513029210"/>
      <w:r/>
      <w:bookmarkStart w:id="72" w:name="_Toc16938526"/>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513029211"/>
      <w:r/>
      <w:bookmarkStart w:id="74" w:name="_Toc16938527"/>
      <w:r/>
      <w:bookmarkStart w:id="75" w:name="_Toc462564070"/>
      <w:r/>
      <w:bookmarkStart w:id="76" w:name="_Toc20823283"/>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20823284"/>
      <w:r/>
      <w:bookmarkStart w:id="78" w:name="_Toc513029212"/>
      <w:r/>
      <w:bookmarkStart w:id="79" w:name="_Toc462564071"/>
      <w:r/>
      <w:bookmarkStart w:id="80" w:name="_Toc16938528"/>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16938529"/>
      <w:r/>
      <w:bookmarkStart w:id="82" w:name="_Toc462564072"/>
      <w:r/>
      <w:bookmarkStart w:id="83" w:name="_Toc120614216"/>
      <w:r/>
      <w:bookmarkStart w:id="84" w:name="_Toc513029213"/>
      <w:r/>
      <w:bookmarkStart w:id="85" w:name="_Toc20823285"/>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462564073"/>
      <w:r/>
      <w:bookmarkStart w:id="87" w:name="_Toc513029214"/>
      <w:r/>
      <w:bookmarkStart w:id="88" w:name="_Toc16938530"/>
      <w:r/>
      <w:bookmarkStart w:id="89" w:name="_Toc20823286"/>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462564074"/>
      <w:r/>
      <w:bookmarkStart w:id="91" w:name="_Toc20823287"/>
      <w:r/>
      <w:bookmarkStart w:id="92" w:name="_Toc16938531"/>
      <w:r/>
      <w:bookmarkStart w:id="93" w:name="_Toc513029215"/>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670360"/>
      <w:r/>
      <w:bookmarkEnd w:id="94"/>
      <w:r/>
      <w:bookmarkStart w:id="95" w:name="_Hlt26954838"/>
      <w:r/>
      <w:bookmarkEnd w:id="95"/>
      <w:r/>
      <w:bookmarkStart w:id="96" w:name="_Hlt26668975"/>
      <w:r/>
      <w:bookmarkEnd w:id="96"/>
      <w:r/>
      <w:bookmarkStart w:id="97" w:name="_Toc49090509"/>
      <w:r/>
      <w:bookmarkStart w:id="98" w:name="_Toc513029219"/>
      <w:r/>
      <w:bookmarkStart w:id="99" w:name="_Toc14577357"/>
      <w:r/>
      <w:bookmarkStart w:id="100" w:name="_Toc49090507"/>
      <w:r/>
      <w:bookmarkStart w:id="101" w:name="_Toc14577354"/>
      <w:r/>
      <w:bookmarkStart w:id="102" w:name="_Toc513029216"/>
      <w:r/>
      <w:bookmarkStart w:id="103" w:name="_Toc14577355"/>
      <w:r/>
      <w:bookmarkStart w:id="104" w:name="_Toc49090508"/>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05" w:name="_Hlt26954731"/>
      <w:r/>
      <w:bookmarkEnd w:id="105"/>
      <w:r/>
      <w:bookmarkStart w:id="106" w:name="_Hlt26670486"/>
      <w:r/>
      <w:bookmarkEnd w:id="106"/>
      <w:r/>
      <w:bookmarkStart w:id="107" w:name="_Hlt26670482"/>
      <w:r/>
      <w:bookmarkEnd w:id="107"/>
      <w:r/>
      <w:bookmarkStart w:id="108" w:name="_Hlt26954846"/>
      <w:r/>
      <w:bookmarkEnd w:id="108"/>
      <w:r/>
      <w:bookmarkStart w:id="109" w:name="_Hlt26954848"/>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0" w:name="_Toc14577359"/>
      <w:r/>
      <w:bookmarkStart w:id="111" w:name="_Toc49090510"/>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10"/>
      <w:r/>
      <w:bookmarkEnd w:id="111"/>
      <w:r/>
      <w:bookmarkStart w:id="112" w:name="_Toc49090511"/>
      <w:r/>
      <w:bookmarkStart w:id="113" w:name="_Toc14577360"/>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4" w:name="_Hlt26954739"/>
      <w:r/>
      <w:bookmarkEnd w:id="114"/>
      <w:r/>
      <w:bookmarkStart w:id="115" w:name="_Hlt26954852"/>
      <w:r/>
      <w:bookmarkEnd w:id="115"/>
      <w:r/>
      <w:bookmarkStart w:id="116" w:name="_Toc20823296"/>
      <w:r/>
      <w:bookmarkStart w:id="117" w:name="_Toc120614217"/>
      <w:r/>
      <w:bookmarkStart w:id="118" w:name="_Toc16938540"/>
      <w:r/>
      <w:bookmarkStart w:id="119" w:name="_Toc513029224"/>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20" w:name="_Toc462564084"/>
      <w:r/>
      <w:bookmarkStart w:id="121" w:name="_Toc20823297"/>
      <w:r/>
      <w:bookmarkStart w:id="122" w:name="_Toc16938541"/>
      <w:r/>
      <w:bookmarkStart w:id="123" w:name="_Toc513029225"/>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文件。</w:t>
      </w:r>
      <w:bookmarkStart w:id="124" w:name="_Toc20823298"/>
      <w:r/>
      <w:bookmarkStart w:id="125" w:name="_Toc513029226"/>
      <w:r/>
      <w:bookmarkStart w:id="126" w:name="_Toc16938542"/>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513029227"/>
      <w:r/>
      <w:bookmarkStart w:id="128" w:name="_Toc16938543"/>
      <w:r/>
      <w:bookmarkStart w:id="129" w:name="_Toc20823299"/>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30" w:name="_Toc16938544"/>
      <w:r/>
      <w:bookmarkStart w:id="131" w:name="_Toc20823300"/>
      <w:r/>
      <w:bookmarkStart w:id="132" w:name="_Toc513029228"/>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513029229"/>
      <w:r/>
      <w:bookmarkStart w:id="134" w:name="_Toc16938545"/>
      <w:r/>
      <w:bookmarkStart w:id="135" w:name="_Toc120614218"/>
      <w:r/>
      <w:bookmarkStart w:id="136" w:name="_Toc20823301"/>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513029230"/>
      <w:r/>
      <w:bookmarkStart w:id="138" w:name="_Toc20823302"/>
      <w:r/>
      <w:bookmarkStart w:id="139" w:name="_Toc16938546"/>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20823303"/>
      <w:r/>
      <w:bookmarkStart w:id="141" w:name="_Toc513029231"/>
      <w:r/>
      <w:bookmarkStart w:id="142" w:name="_Toc16938547"/>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3" w:name="_Toc20823304"/>
      <w:r/>
      <w:bookmarkStart w:id="144" w:name="_Toc513029232"/>
      <w:r/>
      <w:bookmarkStart w:id="145" w:name="_Toc16938548"/>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513029233"/>
      <w:r/>
      <w:bookmarkStart w:id="147" w:name="_Toc16938549"/>
      <w:r/>
      <w:bookmarkStart w:id="148" w:name="_Toc20823305"/>
      <w:r>
        <w:rPr>
          <w:rFonts w:hint="eastAsia" w:ascii="宋体" w:hAnsi="宋体" w:eastAsia="宋体" w:cs="宋体"/>
          <w:color w:val="000000"/>
          <w:sz w:val="21"/>
          <w:szCs w:val="21"/>
          <w:highlight w:val="none"/>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16938550"/>
      <w:r/>
      <w:bookmarkStart w:id="150" w:name="_Toc513029234"/>
      <w:r/>
      <w:bookmarkStart w:id="151" w:name="_Toc20823306"/>
      <w:r>
        <w:rPr>
          <w:rFonts w:hint="eastAsia" w:ascii="宋体" w:hAnsi="宋体" w:eastAsia="宋体" w:cs="宋体"/>
          <w:color w:val="000000"/>
          <w:sz w:val="21"/>
          <w:szCs w:val="21"/>
          <w:highlight w:val="none"/>
          <w:lang w:val="en-US" w:eastAsia="zh-CN"/>
        </w:rPr>
        <w:t xml:space="preserve">26.6</w:t>
      </w:r>
      <w:r>
        <w:rPr>
          <w:rFonts w:hint="eastAsia" w:ascii="宋体" w:hAnsi="宋体" w:eastAsia="宋体" w:cs="宋体"/>
          <w:b/>
          <w:bCs/>
          <w:color w:val="000000"/>
          <w:sz w:val="21"/>
          <w:szCs w:val="21"/>
          <w:highlight w:val="none"/>
          <w:lang w:val="en-US" w:eastAsia="zh-CN"/>
        </w:rPr>
        <w:t xml:space="preserve">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000000"/>
          <w:sz w:val="21"/>
          <w:szCs w:val="21"/>
          <w:highlight w:val="none"/>
          <w:lang w:val="en-US" w:eastAsia="zh-CN"/>
        </w:rPr>
        <w:t xml:space="preserve">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513029235"/>
      <w:r/>
      <w:bookmarkStart w:id="153" w:name="_Toc16938551"/>
      <w:r/>
      <w:bookmarkStart w:id="154" w:name="_Toc20823307"/>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（包含任一分项产品的单价）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的，即投标（响应）报价〈采购项目预算×50% ； 2．投标（响应）报价低于采购项目最高限价 45% 的，即投标（响应）报价〈采购项目最高限价×45% ； 3．评审委员会认定的供应商报价过低、有可能</w:t>
      </w:r>
      <w:r>
        <w:rPr>
          <w:rFonts w:hint="eastAsia" w:ascii="宋体" w:hAnsi="宋体" w:eastAsia="宋体" w:cs="宋体"/>
          <w:b/>
          <w:bCs/>
          <w:i/>
          <w:iCs/>
          <w:color w:val="000000"/>
          <w:sz w:val="21"/>
          <w:szCs w:val="21"/>
          <w:highlight w:val="none"/>
          <w:u w:val="single"/>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20823310"/>
      <w:r/>
      <w:bookmarkStart w:id="158" w:name="_Toc16938554"/>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采购人或采购代理机构将在“中国政府采购网”“江苏政府采购网”“盐城市政府采购网”“阜宁县公共资源电子化服务平台”发布中标公告，公告期限为1个工作日。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20823308"/>
      <w:r/>
      <w:bookmarkStart w:id="162" w:name="_Toc16938552"/>
      <w:r/>
      <w:bookmarkStart w:id="163" w:name="_Toc513029236"/>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20823309"/>
      <w:r/>
      <w:bookmarkStart w:id="165" w:name="_Toc513029237"/>
      <w:r/>
      <w:bookmarkStart w:id="166" w:name="_Toc16938553"/>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479757207"/>
      <w:r/>
      <w:bookmarkStart w:id="168" w:name="_Toc513029242"/>
      <w:r/>
      <w:bookmarkStart w:id="169" w:name="_Toc16938558"/>
      <w:r/>
      <w:bookmarkStart w:id="170" w:name="_Toc20823314"/>
      <w:r/>
      <w:bookmarkStart w:id="171" w:name="_Toc120614221"/>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513029243"/>
      <w:r/>
      <w:bookmarkStart w:id="173" w:name="_Toc20823315"/>
      <w:r/>
      <w:bookmarkStart w:id="174" w:name="_Toc16938559"/>
      <w:r>
        <w:rPr>
          <w:rFonts w:hint="eastAsia" w:ascii="宋体" w:hAnsi="宋体" w:eastAsia="宋体" w:cs="宋体"/>
          <w:color w:val="000000"/>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785"/>
        <w:ind w:firstLine="420"/>
        <w:jc w:val="left"/>
        <w:pageBreakBefore w:val="0"/>
        <w:spacing w:line="48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35.1本项目的履约保证金按固定价15万元执行，在本项目签订合同前供应商应当以支票、汇票、本票或者金融机构、担保机构出具的保函等非现金形式提交履约保证金。</w:t>
      </w:r>
      <w:r>
        <w:rPr>
          <w:rFonts w:hint="eastAsia" w:ascii="宋体" w:hAnsi="宋体" w:eastAsia="宋体" w:cs="宋体"/>
          <w:color w:val="000000"/>
          <w:szCs w:val="21"/>
          <w:highlight w:val="none"/>
          <w:lang w:val="en-US" w:eastAsia="zh-CN"/>
        </w:rPr>
        <w:t xml:space="preserve">以转账、电汇或银行汇票等形式从乙方的账户转至下列账户，收款单位名称：阜宁县财政局，开户银行：中国邮政储蓄银行股份有限公司阜宁县南城区支行；账号：</w:t>
      </w:r>
      <w:r>
        <w:rPr>
          <w:rFonts w:hint="eastAsia" w:ascii="宋体" w:hAnsi="宋体" w:eastAsia="宋体" w:cs="宋体"/>
          <w:color w:val="ff0000"/>
          <w:szCs w:val="21"/>
          <w:highlight w:val="none"/>
          <w:lang w:val="en-US" w:eastAsia="zh-CN"/>
        </w:rPr>
        <w:t xml:space="preserve">1001 9311 5450 0188 8890 023。</w:t>
      </w:r>
      <w:r>
        <w:rPr>
          <w:rFonts w:hint="eastAsia" w:ascii="宋体" w:hAnsi="宋体" w:eastAsia="宋体" w:cs="宋体"/>
          <w:color w:val="ff0000"/>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减按12万元缴纳。</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785"/>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49"/>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84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9"/>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816"/>
      </w:pPr>
      <w:r/>
      <w:r/>
    </w:p>
    <w:p>
      <w:pPr>
        <w:pStyle w:val="785"/>
      </w:pPr>
      <w:r/>
      <w:r/>
    </w:p>
    <w:p>
      <w:pPr>
        <w:pStyle w:val="785"/>
      </w:pPr>
      <w:r/>
      <w:r/>
    </w:p>
    <w:p>
      <w:pPr>
        <w:pStyle w:val="81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816"/>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785"/>
        <w:rPr>
          <w:rFonts w:ascii="宋体" w:hAnsi="宋体" w:cs="宋体"/>
          <w:b/>
          <w:bCs/>
          <w:spacing w:val="-20"/>
          <w:sz w:val="40"/>
          <w:szCs w:val="40"/>
        </w:rPr>
      </w:pPr>
      <w:r>
        <w:rPr>
          <w:rFonts w:ascii="宋体" w:hAnsi="宋体" w:cs="宋体"/>
          <w:b/>
          <w:bCs/>
          <w:spacing w:val="-20"/>
          <w:sz w:val="40"/>
          <w:szCs w:val="40"/>
        </w:rPr>
      </w:r>
      <w:r/>
    </w:p>
    <w:p>
      <w:pPr>
        <w:pStyle w:val="785"/>
        <w:rPr>
          <w:rFonts w:ascii="宋体" w:hAnsi="宋体" w:cs="宋体"/>
          <w:b/>
          <w:bCs/>
          <w:spacing w:val="-20"/>
          <w:sz w:val="40"/>
          <w:szCs w:val="40"/>
        </w:rPr>
      </w:pPr>
      <w:r>
        <w:rPr>
          <w:rFonts w:ascii="宋体" w:hAnsi="宋体" w:cs="宋体"/>
          <w:b/>
          <w:bCs/>
          <w:spacing w:val="-20"/>
          <w:sz w:val="40"/>
          <w:szCs w:val="40"/>
        </w:rPr>
      </w:r>
      <w:r/>
    </w:p>
    <w:p>
      <w:pPr>
        <w:pStyle w:val="785"/>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785"/>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阜宁县实验小学食堂食材-调味品等品类采购项目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785"/>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785"/>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785"/>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785"/>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785"/>
      </w:pPr>
      <w:r/>
      <w:r/>
    </w:p>
    <w:p>
      <w:pPr>
        <w:pStyle w:val="787"/>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5"/>
      <w:r/>
      <w:bookmarkStart w:id="176"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6"/>
      <w:r>
        <w:rPr>
          <w:rFonts w:hint="eastAsia" w:ascii="黑体" w:hAnsi="华文中宋" w:eastAsia="黑体"/>
          <w:b w:val="0"/>
          <w:bCs w:val="0"/>
          <w:color w:val="000000"/>
          <w:sz w:val="28"/>
          <w:szCs w:val="28"/>
        </w:rPr>
      </w:r>
      <w:r/>
    </w:p>
    <w:p>
      <w:pPr>
        <w:pStyle w:val="78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1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785"/>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785"/>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85"/>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81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78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785"/>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926"/>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926"/>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926"/>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926"/>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926"/>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926"/>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926"/>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926"/>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926"/>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92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2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26"/>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785"/>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785"/>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785"/>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785"/>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926"/>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85"/>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85"/>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78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78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785"/>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926"/>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926"/>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26"/>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926"/>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785"/>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785"/>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885"/>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5"/>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49"/>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785"/>
        <w:ind w:firstLine="420"/>
        <w:jc w:val="both"/>
        <w:keepLines w:val="0"/>
        <w:keepNext w:val="0"/>
        <w:pageBreakBefore w:val="0"/>
        <w:spacing w:line="420" w:lineRule="exact"/>
        <w:widowControl w:val="off"/>
        <w:rPr>
          <w:rFonts w:hint="eastAsia" w:ascii="宋体" w:hAnsi="宋体" w:eastAsia="宋体" w:cs="宋体"/>
          <w:b w:val="0"/>
          <w:bCs w:val="0"/>
          <w:sz w:val="21"/>
          <w:szCs w:val="21"/>
          <w:u w:val="single"/>
          <w:lang w:val="en-US" w:eastAsia="zh-CN"/>
        </w:rPr>
      </w:pPr>
      <w:r>
        <w:rPr>
          <w:rFonts w:hint="eastAsia" w:ascii="宋体" w:hAnsi="宋体" w:eastAsia="宋体" w:cs="宋体"/>
          <w:color w:val="000000"/>
          <w:sz w:val="21"/>
          <w:szCs w:val="21"/>
        </w:rPr>
        <w:t xml:space="preserve">预付款支付时间：</w:t>
      </w:r>
      <w:r>
        <w:rPr>
          <w:rFonts w:hint="eastAsia" w:ascii="宋体" w:hAnsi="宋体" w:eastAsia="宋体" w:cs="宋体"/>
          <w:b w:val="0"/>
          <w:bCs w:val="0"/>
          <w:sz w:val="21"/>
          <w:szCs w:val="21"/>
          <w:u w:val="single"/>
          <w:lang w:val="en-US" w:eastAsia="zh-CN"/>
        </w:rPr>
        <w:t xml:space="preserve">合同签订后，采购人在收到预付款发票后10个工作日内，预付款支付比例：合同金额的30%。</w:t>
      </w:r>
      <w:r>
        <w:rPr>
          <w:rFonts w:hint="eastAsia" w:ascii="宋体" w:hAnsi="宋体" w:eastAsia="宋体" w:cs="宋体"/>
          <w:b w:val="0"/>
          <w:bCs w:val="0"/>
          <w:sz w:val="21"/>
          <w:szCs w:val="21"/>
          <w:u w:val="single"/>
          <w:lang w:val="en-US" w:eastAsia="zh-CN"/>
        </w:rPr>
      </w:r>
      <w:r/>
    </w:p>
    <w:p>
      <w:pPr>
        <w:pStyle w:val="785"/>
        <w:ind w:firstLine="420"/>
        <w:jc w:val="both"/>
        <w:keepLines w:val="0"/>
        <w:keepNext w:val="0"/>
        <w:pageBreakBefore w:val="0"/>
        <w:spacing w:line="420" w:lineRule="exact"/>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val="0"/>
          <w:bCs w:val="0"/>
          <w:sz w:val="21"/>
          <w:szCs w:val="21"/>
          <w:u w:val="single"/>
          <w:lang w:val="en-US" w:eastAsia="zh-CN"/>
        </w:rPr>
        <w:t xml:space="preserve">食材配送次月，经采购人核对配送食材数量及价格，扣除考核扣款后15日内一次性付清（以上付款均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785"/>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785"/>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785"/>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785"/>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85"/>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85"/>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78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lang w:val="en-US" w:eastAsia="zh-CN"/>
        </w:rPr>
        <w:t xml:space="preserve"> </w:t>
      </w:r>
      <w:r>
        <w:rPr>
          <w:rFonts w:ascii="宋体" w:hAnsi="宋体" w:eastAsia="宋体" w:cs="宋体"/>
          <w:bCs/>
          <w:color w:val="000000"/>
          <w:sz w:val="21"/>
          <w:szCs w:val="21"/>
          <w:lang w:val="en-US" w:eastAsia="zh-CN"/>
        </w:rPr>
      </w:r>
      <w:r/>
    </w:p>
    <w:p>
      <w:pPr>
        <w:pStyle w:val="785"/>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78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785"/>
        <w:numPr>
          <w:ilvl w:val="0"/>
          <w:numId w:val="7"/>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785"/>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8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8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785"/>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78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26"/>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78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78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92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78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78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eastAsia="宋体" w:cs="宋体"/>
          <w:sz w:val="21"/>
          <w:szCs w:val="21"/>
        </w:rPr>
      </w:pP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eastAsia="宋体" w:cs="宋体"/>
          <w:sz w:val="21"/>
          <w:szCs w:val="21"/>
        </w:rPr>
      </w:pP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szCs w:val="21"/>
        </w:rPr>
      </w:pPr>
      <w:r>
        <w:rPr>
          <w:rFonts w:hint="eastAsia" w:ascii="宋体" w:hAnsi="宋体"/>
          <w:szCs w:val="21"/>
        </w:rPr>
      </w:r>
      <w:r/>
    </w:p>
    <w:p>
      <w:pPr>
        <w:pStyle w:val="816"/>
        <w:rPr>
          <w:rFonts w:hint="eastAsia" w:ascii="宋体" w:hAnsi="宋体"/>
          <w:szCs w:val="21"/>
        </w:rPr>
      </w:pPr>
      <w:r>
        <w:rPr>
          <w:rFonts w:hint="eastAsia" w:ascii="宋体" w:hAnsi="宋体"/>
          <w:szCs w:val="21"/>
        </w:rPr>
      </w:r>
      <w:r/>
    </w:p>
    <w:p>
      <w:pPr>
        <w:pStyle w:val="785"/>
      </w:pPr>
      <w:r/>
      <w:r/>
    </w:p>
    <w:p>
      <w:pPr>
        <w:pStyle w:val="885"/>
        <w:spacing w:line="400" w:lineRule="exact"/>
      </w:pPr>
      <w:r/>
      <w:r/>
    </w:p>
    <w:p>
      <w:pPr>
        <w:pStyle w:val="885"/>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907"/>
        </w:trPr>
        <w:tc>
          <w:tcPr>
            <w:gridSpan w:val="2"/>
            <w:tcW w:w="474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517"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85"/>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263" w:type="dxa"/>
            <w:vAlign w:val="center"/>
            <w:textDirection w:val="lrTb"/>
            <w:noWrap w:val="false"/>
          </w:tcPr>
          <w:p>
            <w:pPr>
              <w:pStyle w:val="818"/>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787"/>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785"/>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78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numPr>
          <w:ilvl w:val="0"/>
          <w:numId w:val="8"/>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785"/>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785"/>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926"/>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824"/>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824"/>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787"/>
        <w:ind w:firstLine="420"/>
        <w:jc w:val="left"/>
        <w:keepLines/>
        <w:keepNext/>
        <w:pageBreakBefore w:val="0"/>
        <w:spacing w:before="140" w:after="140" w:line="400" w:lineRule="exact"/>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rPr>
          <w:rFonts w:hint="eastAsia" w:ascii="宋体" w:hAnsi="宋体" w:eastAsia="宋体" w:cs="宋体"/>
          <w:sz w:val="21"/>
          <w:szCs w:val="21"/>
        </w:rPr>
      </w:r>
      <w:r/>
    </w:p>
    <w:p>
      <w:pPr>
        <w:pStyle w:val="816"/>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926"/>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785"/>
        <w:numPr>
          <w:ilvl w:val="0"/>
          <w:numId w:val="10"/>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816"/>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926"/>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785"/>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787"/>
        <w:jc w:val="center"/>
        <w:spacing w:before="156"/>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pPr>
      <w:r/>
      <w:r/>
    </w:p>
    <w:p>
      <w:pPr>
        <w:pStyle w:val="785"/>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785"/>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926"/>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849"/>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 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849"/>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785"/>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8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85"/>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78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785"/>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8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85"/>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78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78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tc>
      </w:tr>
    </w:tbl>
    <w:p>
      <w:pPr>
        <w:pStyle w:val="785"/>
        <w:rPr>
          <w:color w:val="000000"/>
        </w:rPr>
      </w:pPr>
      <w:r>
        <w:rPr>
          <w:color w:val="000000"/>
        </w:rPr>
      </w:r>
      <w:r/>
    </w:p>
    <w:p>
      <w:pPr>
        <w:pStyle w:val="849"/>
        <w:jc w:val="center"/>
        <w:spacing w:before="120" w:beforeAutospacing="0" w:after="120" w:afterAutospacing="0" w:line="0" w:lineRule="atLeast"/>
        <w:rPr>
          <w:rFonts w:hint="eastAsia" w:ascii="黑体" w:hAnsi="宋体" w:eastAsia="黑体" w:cs="黑体"/>
          <w:color w:val="000000"/>
          <w:sz w:val="44"/>
          <w:szCs w:val="44"/>
        </w:rPr>
      </w:pPr>
      <w:r/>
      <w:bookmarkEnd w:id="172"/>
      <w:r/>
      <w:bookmarkEnd w:id="173"/>
      <w:r/>
      <w:bookmarkEnd w:id="174"/>
      <w:r/>
      <w:bookmarkStart w:id="179" w:name="_Hlt16619369"/>
      <w:r/>
      <w:bookmarkEnd w:id="179"/>
      <w:r/>
      <w:bookmarkStart w:id="180" w:name="_Toc120614244"/>
      <w:r/>
      <w:bookmarkStart w:id="181" w:name="_Toc16938590"/>
      <w:r/>
      <w:bookmarkStart w:id="182" w:name="_Hlt16619350"/>
      <w:r/>
      <w:bookmarkStart w:id="183" w:name="_Toc20823346"/>
      <w:r/>
      <w:bookmarkStart w:id="184" w:name="_Toc479757211"/>
      <w:r/>
      <w:bookmarkStart w:id="185" w:name="_Toc462564139"/>
      <w:r>
        <w:rPr>
          <w:rFonts w:hint="eastAsia" w:ascii="黑体" w:hAnsi="宋体" w:eastAsia="黑体" w:cs="黑体"/>
          <w:color w:val="000000"/>
          <w:sz w:val="44"/>
          <w:szCs w:val="44"/>
        </w:rPr>
      </w:r>
      <w:r/>
    </w:p>
    <w:p>
      <w:pPr>
        <w:pStyle w:val="84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9"/>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80"/>
      <w:r/>
      <w:bookmarkEnd w:id="181"/>
      <w:r/>
      <w:bookmarkEnd w:id="182"/>
      <w:r/>
      <w:bookmarkEnd w:id="183"/>
      <w:r/>
      <w:bookmarkStart w:id="186" w:name="_Toc26554093"/>
      <w:r/>
      <w:bookmarkStart w:id="187" w:name="_Toc49090575"/>
      <w:r/>
      <w:bookmarkStart w:id="188" w:name="_Toc120614281"/>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785"/>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JSZC-320923-XHGL-G2026-0006</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阜宁县实验小学食堂食材-调味品等品类采购项目</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约人民币160万元</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.采购需求（简介）：阜宁县实验小学食堂食材-调味品等品类采购项目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val="en-US" w:eastAsia="zh-CN"/>
        </w:rPr>
      </w:r>
      <w:r/>
    </w:p>
    <w:tbl>
      <w:tblPr>
        <w:tblStyle w:val="8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0"/>
        <w:gridCol w:w="4637"/>
      </w:tblGrid>
      <w:tr>
        <w:trPr>
          <w:trHeight w:val="340"/>
        </w:trPr>
        <w:tc>
          <w:tcPr>
            <w:tcW w:w="457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463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rHeight w:val="340"/>
        </w:trPr>
        <w:tc>
          <w:tcPr>
            <w:tcW w:w="457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调味品类、冷冻品类、水产品类、水果品类、</w:t>
            </w:r>
            <w:r>
              <w:rPr>
                <w:rFonts w:hint="eastAsia" w:ascii="宋体" w:hAnsi="宋体" w:eastAsia="宋体" w:cs="宋体"/>
                <w:b w:val="0"/>
                <w:bCs w:val="0"/>
                <w:sz w:val="21"/>
                <w:szCs w:val="21"/>
                <w:vertAlign w:val="baseline"/>
                <w:lang w:val="en-US" w:eastAsia="zh-CN"/>
              </w:rPr>
            </w:r>
            <w:r/>
          </w:p>
          <w:p>
            <w:pPr>
              <w:pStyle w:val="78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rPr>
              <w:t xml:space="preserve">乳制品</w:t>
            </w:r>
            <w:r>
              <w:rPr>
                <w:rFonts w:hint="eastAsia" w:ascii="宋体" w:hAnsi="宋体" w:eastAsia="宋体" w:cs="宋体"/>
                <w:b w:val="0"/>
                <w:bCs w:val="0"/>
                <w:sz w:val="21"/>
                <w:szCs w:val="21"/>
                <w:lang w:val="en-US" w:eastAsia="zh-CN"/>
              </w:rPr>
              <w:t xml:space="preserve">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水饮品类、</w:t>
            </w:r>
            <w:r>
              <w:rPr>
                <w:rFonts w:hint="eastAsia" w:ascii="宋体" w:hAnsi="宋体" w:eastAsia="宋体" w:cs="宋体"/>
                <w:b w:val="0"/>
                <w:bCs w:val="0"/>
                <w:sz w:val="21"/>
                <w:szCs w:val="21"/>
                <w:vertAlign w:val="baseline"/>
                <w:lang w:val="en-US" w:eastAsia="zh-CN"/>
              </w:rPr>
              <w:t xml:space="preserve">点心（预包装）</w:t>
            </w:r>
            <w:r>
              <w:rPr>
                <w:rFonts w:ascii="宋体" w:hAnsi="宋体" w:eastAsia="宋体" w:cs="宋体"/>
                <w:color w:val="000000"/>
                <w:sz w:val="21"/>
                <w:szCs w:val="21"/>
                <w:highlight w:val="none"/>
                <w:vertAlign w:val="baseline"/>
                <w:lang w:val="en-US" w:eastAsia="zh-CN"/>
              </w:rPr>
            </w:r>
            <w:r/>
          </w:p>
        </w:tc>
        <w:tc>
          <w:tcPr>
            <w:tcW w:w="463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8.本项目不接受联合体投标。</w:t>
      </w:r>
      <w:r>
        <w:rPr>
          <w:rFonts w:hint="eastAsia" w:ascii="宋体" w:hAnsi="宋体" w:eastAsia="宋体" w:cs="宋体"/>
          <w:color w:val="000000"/>
          <w:sz w:val="21"/>
          <w:szCs w:val="21"/>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Style w:val="861"/>
        <w:tblW w:w="0" w:type="auto"/>
        <w:jc w:val="center"/>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5927"/>
        <w:gridCol w:w="2163"/>
      </w:tblGrid>
      <w:tr>
        <w:trPr/>
        <w:tc>
          <w:tcPr>
            <w:tcW w:w="1212" w:type="dxa"/>
            <w:vAlign w:val="center"/>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品类</w:t>
            </w:r>
            <w:r>
              <w:rPr>
                <w:rFonts w:ascii="宋体" w:hAnsi="宋体" w:eastAsia="宋体" w:cs="宋体"/>
                <w:sz w:val="21"/>
                <w:szCs w:val="21"/>
                <w:vertAlign w:val="baseline"/>
                <w:lang w:val="en-US"/>
              </w:rPr>
            </w:r>
            <w:r/>
          </w:p>
        </w:tc>
        <w:tc>
          <w:tcPr>
            <w:tcW w:w="5927"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质量及配送要求</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sz w:val="21"/>
                <w:szCs w:val="21"/>
                <w:vertAlign w:val="baseline"/>
                <w:lang w:val="en-US" w:eastAsia="zh-CN"/>
              </w:rPr>
            </w:r>
            <w:r/>
          </w:p>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货币单位：人民币（元）</w:t>
            </w:r>
            <w:r>
              <w:rPr>
                <w:rFonts w:hint="eastAsia" w:ascii="宋体" w:hAnsi="宋体" w:eastAsia="宋体" w:cs="宋体"/>
                <w:sz w:val="21"/>
                <w:szCs w:val="21"/>
                <w:vertAlign w:val="baseline"/>
              </w:rPr>
            </w:r>
            <w:r/>
          </w:p>
        </w:tc>
      </w:tr>
      <w:tr>
        <w:trPr>
          <w:trHeight w:val="340"/>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调味品类</w:t>
            </w:r>
            <w:r>
              <w:rPr>
                <w:rFonts w:ascii="宋体" w:hAnsi="宋体" w:eastAsia="宋体" w:cs="宋体"/>
                <w:sz w:val="21"/>
                <w:szCs w:val="21"/>
                <w:vertAlign w:val="baseline"/>
                <w:lang w:val="en-US"/>
              </w:rPr>
            </w:r>
            <w:r/>
          </w:p>
        </w:tc>
        <w:tc>
          <w:tcPr>
            <w:tcW w:w="5927" w:type="dxa"/>
            <w:vAlign w:val="center"/>
            <w:vMerge w:val="restart"/>
            <w:textDirection w:val="lrTb"/>
            <w:noWrap w:val="false"/>
          </w:tcPr>
          <w:p>
            <w:pPr>
              <w:pStyle w:val="785"/>
              <w:numPr>
                <w:ilvl w:val="0"/>
                <w:numId w:val="0"/>
              </w:numPr>
              <w:jc w:val="both"/>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1.采购类别：调味品类</w:t>
            </w:r>
            <w:r>
              <w:rPr>
                <w:rFonts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2.质量标准：符合《食品安全国家标准预包装食品标签通则》（GB 7718-2025）、微生物及污染物符合《食品安全国家标准食品中污染物限量》（GB 2762-2017）及《食品安全国家标准食品中致病菌限量》（GB 29921-2021）标准；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主要产品包括但不限于以下所列品种：百家鲜番茄沙司（3kg）、恒顺香醋（3L）、海天金字蚝油（6kg）、海天草菇老抽（1.9L）、海天鲜味生抽（1.9L）、郫县豆瓣酱（6kg）、白砂糖（50kg）、精制淮盐（500g）、恒顺料酒（1.75L）等；</w:t>
            </w:r>
            <w:r>
              <w:rPr>
                <w:rFonts w:hint="eastAsia" w:ascii="宋体" w:hAnsi="宋体" w:eastAsia="宋体" w:cs="宋体"/>
                <w:sz w:val="21"/>
                <w:szCs w:val="21"/>
                <w:vertAlign w:val="baseline"/>
                <w:lang w:val="en-US" w:eastAsia="zh-CN"/>
              </w:rPr>
            </w:r>
            <w:r/>
          </w:p>
          <w:p>
            <w:pPr>
              <w:pStyle w:val="940"/>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4.质保要求：供货时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876"/>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2163" w:type="dxa"/>
            <w:vAlign w:val="center"/>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按市场基准限价执行</w:t>
            </w:r>
            <w:r>
              <w:rPr>
                <w:rFonts w:ascii="宋体" w:hAnsi="宋体" w:eastAsia="宋体" w:cs="宋体"/>
                <w:sz w:val="21"/>
                <w:szCs w:val="21"/>
                <w:vertAlign w:val="baseline"/>
                <w:lang w:val="en-US"/>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c>
          <w:tcPr>
            <w:tcW w:w="5927" w:type="dxa"/>
            <w:vAlign w:val="top"/>
            <w:vMerge w:val="continue"/>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番茄沙司</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香醋</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蚝油</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老抽</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生抽</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豆瓣酱</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白砂糖</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食盐</w:t>
            </w:r>
            <w:r>
              <w:rPr>
                <w:rFonts w:hint="eastAsia" w:ascii="宋体" w:hAnsi="宋体" w:eastAsia="宋体" w:cs="宋体"/>
                <w:sz w:val="21"/>
                <w:szCs w:val="21"/>
                <w:vertAlign w:val="baseline"/>
                <w:lang w:val="en-US" w:eastAsia="zh-CN"/>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料酒</w:t>
            </w:r>
            <w:r>
              <w:rPr>
                <w:rFonts w:hint="eastAsia" w:ascii="宋体" w:hAnsi="宋体" w:eastAsia="宋体" w:cs="宋体"/>
                <w:sz w:val="21"/>
                <w:szCs w:val="21"/>
                <w:vertAlign w:val="baseline"/>
              </w:rPr>
            </w:r>
            <w:r/>
          </w:p>
        </w:tc>
      </w:tr>
      <w:tr>
        <w:trPr>
          <w:trHeight w:val="283"/>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香料</w:t>
            </w:r>
            <w:r>
              <w:rPr>
                <w:rFonts w:hint="eastAsia" w:ascii="宋体" w:hAnsi="宋体" w:eastAsia="宋体" w:cs="宋体"/>
                <w:b/>
                <w:bCs/>
                <w:sz w:val="21"/>
                <w:szCs w:val="21"/>
                <w:vertAlign w:val="baseline"/>
                <w:lang w:val="en-US" w:eastAsia="zh-CN"/>
              </w:rPr>
            </w:r>
            <w:r/>
          </w:p>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（包装）</w:t>
            </w:r>
            <w:r>
              <w:rPr>
                <w:rFonts w:hint="eastAsia" w:ascii="宋体" w:hAnsi="宋体" w:eastAsia="宋体" w:cs="宋体"/>
                <w:b/>
                <w:bCs/>
                <w:sz w:val="21"/>
                <w:szCs w:val="21"/>
                <w:vertAlign w:val="baseline"/>
                <w:lang w:val="en-US" w:eastAsia="zh-CN"/>
              </w:rPr>
            </w:r>
            <w:r/>
          </w:p>
        </w:tc>
        <w:tc>
          <w:tcPr>
            <w:tcW w:w="5927" w:type="dxa"/>
            <w:vAlign w:val="center"/>
            <w:vMerge w:val="restart"/>
            <w:textDirection w:val="lrTb"/>
            <w:noWrap w:val="false"/>
          </w:tcPr>
          <w:p>
            <w:pPr>
              <w:pStyle w:val="785"/>
              <w:jc w:val="both"/>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1.采购类别</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香料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包装</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符合《食品安全国家标准预包装食品标签通则》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GB7718-2025</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、微生物及污染物符合《食品安全国家标准食品中污染物限量》</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GB2762-2017</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及《食品安全国家标准食品中致病菌限量》</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GB29921-2021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p>
            <w:pPr>
              <w:pStyle w:val="785"/>
              <w:jc w:val="both"/>
              <w:rPr>
                <w:rFonts w:hint="eastAsia" w:eastAsia="宋体"/>
                <w:lang w:eastAsia="zh-CN"/>
              </w:rPr>
            </w:pPr>
            <w:r>
              <w:rPr>
                <w:rFonts w:hint="eastAsia" w:ascii="宋体" w:hAnsi="宋体" w:eastAsia="宋体" w:cs="宋体"/>
                <w:sz w:val="21"/>
                <w:szCs w:val="21"/>
                <w:vertAlign w:val="baseline"/>
              </w:rPr>
              <w:t xml:space="preserve">3.主要产品包括但不限于以下所列品种</w:t>
            </w:r>
            <w:r>
              <w:rPr>
                <w:rFonts w:hint="eastAsia" w:ascii="宋体" w:hAnsi="宋体" w:eastAsia="宋体" w:cs="宋体"/>
                <w:sz w:val="21"/>
                <w:szCs w:val="21"/>
                <w:vertAlign w:val="baseline"/>
                <w:lang w:eastAsia="zh-CN"/>
              </w:rPr>
              <w:t xml:space="preserve">：</w:t>
            </w:r>
            <w:r>
              <w:rPr>
                <w:rFonts w:hint="eastAsia"/>
              </w:rPr>
              <w:t xml:space="preserve">八角</w:t>
            </w:r>
            <w:r>
              <w:rPr>
                <w:rFonts w:hint="eastAsia"/>
                <w:lang w:eastAsia="zh-CN"/>
              </w:rPr>
              <w:t xml:space="preserve">、</w:t>
            </w:r>
            <w:r>
              <w:rPr>
                <w:rFonts w:hint="eastAsia"/>
              </w:rPr>
              <w:t xml:space="preserve">香叶</w:t>
            </w:r>
            <w:r>
              <w:rPr>
                <w:rFonts w:hint="eastAsia"/>
                <w:lang w:eastAsia="zh-CN"/>
              </w:rPr>
              <w:t xml:space="preserve">、</w:t>
            </w:r>
            <w:r>
              <w:rPr>
                <w:rFonts w:hint="eastAsia"/>
                <w:lang w:val="en-US" w:eastAsia="zh-CN"/>
              </w:rPr>
              <w:t xml:space="preserve">干</w:t>
            </w:r>
            <w:r>
              <w:rPr>
                <w:rFonts w:hint="eastAsia"/>
              </w:rPr>
              <w:t xml:space="preserve">木耳</w:t>
            </w:r>
            <w:r>
              <w:rPr>
                <w:rFonts w:hint="eastAsia"/>
                <w:lang w:eastAsia="zh-CN"/>
              </w:rPr>
              <w:t xml:space="preserve">、</w:t>
            </w:r>
            <w:r>
              <w:rPr>
                <w:rFonts w:hint="eastAsia"/>
              </w:rPr>
              <w:t xml:space="preserve">干辣椒段</w:t>
            </w:r>
            <w:r>
              <w:rPr>
                <w:rFonts w:hint="eastAsia"/>
                <w:lang w:eastAsia="zh-CN"/>
              </w:rPr>
              <w:t xml:space="preserve">、</w:t>
            </w:r>
            <w:r>
              <w:rPr>
                <w:rFonts w:hint="eastAsia"/>
              </w:rPr>
              <w:t xml:space="preserve">白芝麻</w:t>
            </w:r>
            <w:r>
              <w:rPr>
                <w:rFonts w:hint="eastAsia"/>
                <w:lang w:eastAsia="zh-CN"/>
              </w:rPr>
              <w:t xml:space="preserve">、</w:t>
            </w:r>
            <w:r>
              <w:rPr>
                <w:rFonts w:hint="eastAsia"/>
              </w:rPr>
              <w:t xml:space="preserve">白芷</w:t>
            </w:r>
            <w:r>
              <w:rPr>
                <w:rFonts w:hint="eastAsia"/>
                <w:lang w:eastAsia="zh-CN"/>
              </w:rPr>
              <w:t xml:space="preserve">、</w:t>
            </w:r>
            <w:r>
              <w:rPr>
                <w:rFonts w:hint="eastAsia"/>
              </w:rPr>
              <w:t xml:space="preserve">胡椒粉</w:t>
            </w:r>
            <w:r>
              <w:rPr>
                <w:rFonts w:hint="eastAsia"/>
                <w:lang w:eastAsia="zh-CN"/>
              </w:rPr>
              <w:t xml:space="preserve">、</w:t>
            </w:r>
            <w:r>
              <w:rPr>
                <w:rFonts w:hint="eastAsia"/>
              </w:rPr>
              <w:t xml:space="preserve">桂皮</w:t>
            </w:r>
            <w:r>
              <w:rPr>
                <w:rFonts w:hint="eastAsia"/>
                <w:lang w:eastAsia="zh-CN"/>
              </w:rPr>
              <w:t xml:space="preserve">、</w:t>
            </w:r>
            <w:r>
              <w:rPr>
                <w:rFonts w:hint="eastAsia"/>
              </w:rPr>
              <w:t xml:space="preserve">孜然粉</w:t>
            </w:r>
            <w:r>
              <w:rPr>
                <w:rFonts w:hint="eastAsia"/>
                <w:lang w:eastAsia="zh-CN"/>
              </w:rPr>
              <w:t xml:space="preserve">、</w:t>
            </w:r>
            <w:r>
              <w:rPr>
                <w:rFonts w:hint="eastAsia"/>
              </w:rPr>
              <w:t xml:space="preserve">椒盐</w:t>
            </w:r>
            <w:r>
              <w:rPr>
                <w:rFonts w:hint="eastAsia"/>
                <w:lang w:eastAsia="zh-CN"/>
              </w:rPr>
              <w:t xml:space="preserve">、</w:t>
            </w:r>
            <w:r>
              <w:rPr>
                <w:rFonts w:hint="eastAsia"/>
              </w:rPr>
              <w:t xml:space="preserve">花椒油</w:t>
            </w:r>
            <w:r>
              <w:rPr>
                <w:rFonts w:hint="eastAsia"/>
                <w:lang w:eastAsia="zh-CN"/>
              </w:rPr>
              <w:t xml:space="preserve">、</w:t>
            </w:r>
            <w:r>
              <w:rPr>
                <w:rFonts w:hint="eastAsia"/>
              </w:rPr>
              <w:t xml:space="preserve">花椒</w:t>
            </w:r>
            <w:r>
              <w:rPr>
                <w:rFonts w:hint="eastAsia"/>
                <w:lang w:eastAsia="zh-CN"/>
              </w:rPr>
              <w:t xml:space="preserve">、</w:t>
            </w:r>
            <w:r>
              <w:rPr>
                <w:rFonts w:hint="eastAsia"/>
                <w:lang w:val="en-US" w:eastAsia="zh-CN"/>
              </w:rPr>
              <w:t xml:space="preserve">糁</w:t>
            </w:r>
            <w:r>
              <w:rPr>
                <w:rFonts w:hint="eastAsia"/>
              </w:rPr>
              <w:t xml:space="preserve">子</w:t>
            </w:r>
            <w:r>
              <w:rPr>
                <w:rFonts w:hint="eastAsia" w:eastAsia="宋体"/>
                <w:lang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rPr>
              <w:t xml:space="preserve">4.质保要求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供货时剩余保质期≥总保质期的二分之</w:t>
            </w:r>
            <w:r>
              <w:rPr>
                <w:rFonts w:hint="eastAsia" w:ascii="宋体" w:hAnsi="宋体" w:eastAsia="宋体" w:cs="宋体"/>
                <w:sz w:val="21"/>
                <w:szCs w:val="21"/>
                <w:vertAlign w:val="baseline"/>
                <w:lang w:val="en-US" w:eastAsia="zh-CN"/>
              </w:rPr>
              <w:t xml:space="preserve">一。</w:t>
            </w:r>
            <w:r>
              <w:rPr>
                <w:rFonts w:hint="eastAsia"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b/>
                <w:bCs/>
              </w:rPr>
              <w:t xml:space="preserve">按市场基准限价执行</w:t>
            </w:r>
            <w:r>
              <w:rPr>
                <w:rFonts w:hint="eastAsia" w:ascii="宋体" w:hAnsi="宋体" w:eastAsia="宋体" w:cs="宋体"/>
                <w:b/>
                <w:bCs/>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八角</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香叶</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lang w:val="en-US" w:eastAsia="zh-CN"/>
              </w:rPr>
              <w:t xml:space="preserve">干</w:t>
            </w:r>
            <w:r>
              <w:rPr>
                <w:rFonts w:hint="eastAsia"/>
              </w:rPr>
              <w:t xml:space="preserve">木耳</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干辣椒段</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白芝麻</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白芷</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胡椒粉</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桂皮</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孜然粉</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椒盐</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花椒油</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花椒</w:t>
            </w:r>
            <w:r>
              <w:rPr>
                <w:rFonts w:hint="eastAsia" w:ascii="宋体" w:hAnsi="宋体" w:eastAsia="宋体" w:cs="宋体"/>
                <w:sz w:val="21"/>
                <w:szCs w:val="21"/>
                <w:vertAlign w:val="baseline"/>
                <w:lang w:val="en-US" w:eastAsia="zh-CN"/>
              </w:rPr>
            </w:r>
            <w:r/>
          </w:p>
        </w:tc>
      </w:tr>
      <w:tr>
        <w:trPr>
          <w:trHeight w:val="340"/>
        </w:trPr>
        <w:tc>
          <w:tcPr>
            <w:tcW w:w="1212" w:type="dxa"/>
            <w:vAlign w:val="center"/>
            <w:vMerge w:val="restart"/>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冷冻品类</w:t>
            </w:r>
            <w:r>
              <w:rPr>
                <w:rFonts w:ascii="宋体" w:hAnsi="宋体" w:eastAsia="宋体" w:cs="宋体"/>
                <w:sz w:val="21"/>
                <w:szCs w:val="21"/>
                <w:vertAlign w:val="baseline"/>
                <w:lang w:val="en-US"/>
              </w:rPr>
            </w:r>
            <w:r/>
          </w:p>
        </w:tc>
        <w:tc>
          <w:tcPr>
            <w:tcW w:w="5927" w:type="dxa"/>
            <w:vAlign w:val="center"/>
            <w:vMerge w:val="restart"/>
            <w:textDirection w:val="lrTb"/>
            <w:noWrap w:val="false"/>
          </w:tcPr>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1.采购类别：冷冻品类</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2.质量标准：符合GB 16869（卫生标准）、GB 31650（冷链要求）、GB 2762/2760（污染物与添加剂）等国家标准；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3.主要产品包括但不限于以下所列品种：鸡腿、</w:t>
            </w:r>
            <w:r>
              <w:rPr>
                <w:rFonts w:hint="eastAsia" w:ascii="宋体" w:hAnsi="宋体"/>
                <w:color w:val="000000"/>
                <w:sz w:val="22"/>
                <w:szCs w:val="24"/>
              </w:rPr>
              <w:t xml:space="preserve">中翅</w:t>
            </w:r>
            <w:r>
              <w:rPr>
                <w:rFonts w:hint="eastAsia" w:ascii="宋体" w:hAnsi="宋体" w:eastAsia="宋体" w:cs="宋体"/>
                <w:sz w:val="21"/>
                <w:szCs w:val="21"/>
                <w:vertAlign w:val="baseline"/>
                <w:lang w:val="en-US" w:eastAsia="zh-CN"/>
              </w:rPr>
              <w:t xml:space="preserve">、</w:t>
            </w:r>
            <w:r>
              <w:rPr>
                <w:rFonts w:hint="eastAsia" w:ascii="宋体" w:hAnsi="宋体"/>
                <w:color w:val="000000"/>
                <w:sz w:val="22"/>
                <w:szCs w:val="24"/>
              </w:rPr>
              <w:t xml:space="preserve">翅根</w:t>
            </w:r>
            <w:r>
              <w:rPr>
                <w:rFonts w:hint="eastAsia" w:ascii="宋体" w:hAnsi="宋体" w:eastAsia="宋体" w:cs="宋体"/>
                <w:sz w:val="21"/>
                <w:szCs w:val="21"/>
                <w:vertAlign w:val="baseline"/>
                <w:lang w:val="en-US" w:eastAsia="zh-CN"/>
              </w:rPr>
              <w:t xml:space="preserve">、</w:t>
            </w:r>
            <w:r>
              <w:rPr>
                <w:rFonts w:hint="eastAsia" w:ascii="宋体" w:hAnsi="宋体"/>
                <w:color w:val="000000"/>
                <w:sz w:val="22"/>
                <w:szCs w:val="24"/>
              </w:rPr>
              <w:t xml:space="preserve">全翅</w:t>
            </w:r>
            <w:r>
              <w:rPr>
                <w:rFonts w:hint="eastAsia" w:ascii="宋体" w:hAnsi="宋体"/>
                <w:color w:val="000000"/>
                <w:sz w:val="22"/>
                <w:szCs w:val="24"/>
                <w:lang w:eastAsia="zh-CN"/>
              </w:rPr>
              <w:t xml:space="preserve">、</w:t>
            </w:r>
            <w:r>
              <w:rPr>
                <w:rFonts w:hint="eastAsia" w:ascii="宋体" w:hAnsi="宋体"/>
                <w:color w:val="000000"/>
                <w:sz w:val="22"/>
                <w:szCs w:val="24"/>
              </w:rPr>
              <w:t xml:space="preserve">鸡丁</w:t>
            </w:r>
            <w:r>
              <w:rPr>
                <w:rFonts w:hint="eastAsia" w:ascii="宋体" w:hAnsi="宋体"/>
                <w:color w:val="000000"/>
                <w:sz w:val="22"/>
                <w:szCs w:val="24"/>
                <w:lang w:eastAsia="zh-CN"/>
              </w:rPr>
              <w:t xml:space="preserve">、</w:t>
            </w:r>
            <w:r>
              <w:rPr>
                <w:rFonts w:hint="eastAsia" w:ascii="宋体" w:hAnsi="宋体"/>
                <w:color w:val="000000"/>
                <w:sz w:val="22"/>
                <w:szCs w:val="24"/>
              </w:rPr>
              <w:t xml:space="preserve">鸡排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鳕鱼排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鸭大腿</w:t>
            </w:r>
            <w:r>
              <w:rPr>
                <w:rFonts w:hint="eastAsia" w:ascii="宋体" w:hAnsi="宋体"/>
                <w:color w:val="000000"/>
                <w:sz w:val="22"/>
                <w:szCs w:val="24"/>
                <w:lang w:eastAsia="zh-CN"/>
              </w:rPr>
              <w:t xml:space="preserve">、</w:t>
            </w:r>
            <w:r>
              <w:rPr>
                <w:rFonts w:hint="eastAsia" w:ascii="宋体" w:hAnsi="宋体"/>
                <w:color w:val="000000"/>
                <w:sz w:val="22"/>
                <w:szCs w:val="24"/>
              </w:rPr>
              <w:t xml:space="preserve">猪大排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鸡米花</w:t>
            </w:r>
            <w:r>
              <w:rPr>
                <w:rFonts w:hint="eastAsia" w:ascii="宋体" w:hAnsi="宋体"/>
                <w:color w:val="000000"/>
                <w:sz w:val="22"/>
                <w:szCs w:val="24"/>
                <w:lang w:eastAsia="zh-CN"/>
              </w:rPr>
              <w:t xml:space="preserve">、</w:t>
            </w:r>
            <w:r>
              <w:rPr>
                <w:rFonts w:hint="eastAsia" w:ascii="宋体" w:hAnsi="宋体"/>
                <w:color w:val="000000"/>
                <w:sz w:val="22"/>
                <w:szCs w:val="24"/>
              </w:rPr>
              <w:t xml:space="preserve">小酥肉</w:t>
            </w:r>
            <w:r>
              <w:rPr>
                <w:rFonts w:hint="eastAsia" w:ascii="宋体" w:hAnsi="宋体"/>
                <w:color w:val="000000"/>
                <w:sz w:val="22"/>
                <w:szCs w:val="24"/>
                <w:lang w:eastAsia="zh-CN"/>
              </w:rPr>
              <w:t xml:space="preserve">、</w:t>
            </w:r>
            <w:r>
              <w:rPr>
                <w:rFonts w:hint="eastAsia" w:ascii="宋体" w:hAnsi="宋体"/>
                <w:color w:val="000000"/>
                <w:sz w:val="22"/>
                <w:szCs w:val="24"/>
              </w:rPr>
              <w:t xml:space="preserve">鸭架</w:t>
            </w:r>
            <w:r>
              <w:rPr>
                <w:rFonts w:hint="eastAsia" w:ascii="宋体" w:hAnsi="宋体" w:eastAsia="宋体" w:cs="宋体"/>
                <w:sz w:val="21"/>
                <w:szCs w:val="21"/>
                <w:vertAlign w:val="baseline"/>
                <w:lang w:val="en-US" w:eastAsia="zh-CN"/>
              </w:rPr>
              <w:t xml:space="preserve">等；</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4.外观要求：品质新鲜，表面有光泽，应呈淡粉色或黄白色；肉质应有一定的弹性；肉质表面应仅有薄薄一层冰霜，冰层不得大于2mm；无异味、变质；</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5.规格要求：</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5.1 鸡腿：10公斤/箱（LL号、L号、M号）</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5.2 鸡翅中：10公斤/箱</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5.3 大鸡排：10公斤/箱</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5.4 鸡肉丁：10公斤/箱</w:t>
            </w:r>
            <w:r>
              <w:rPr>
                <w:rFonts w:hint="eastAsia" w:ascii="宋体" w:hAnsi="宋体" w:eastAsia="宋体" w:cs="宋体"/>
                <w:sz w:val="21"/>
                <w:szCs w:val="21"/>
                <w:vertAlign w:val="baseline"/>
                <w:lang w:val="en-US" w:eastAsia="zh-CN"/>
              </w:rPr>
            </w:r>
            <w:r/>
          </w:p>
          <w:p>
            <w:pPr>
              <w:pStyle w:val="940"/>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7.优先参考品牌：山东六和、圣农、正大</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pPr>
            <w:r/>
            <w:r/>
          </w:p>
        </w:tc>
        <w:tc>
          <w:tcPr>
            <w:tcW w:w="5927" w:type="dxa"/>
            <w:vAlign w:val="center"/>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鸡腿</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中翅</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翅根</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全翅</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鸡丁</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鳕鱼排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鸭大腿</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猪大排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鸡米花</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小酥肉</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鸭架</w:t>
            </w:r>
            <w:r>
              <w:rPr>
                <w:rFonts w:hint="eastAsia" w:ascii="宋体" w:hAnsi="宋体" w:eastAsia="宋体" w:cs="宋体"/>
                <w:sz w:val="21"/>
                <w:szCs w:val="21"/>
                <w:vertAlign w:val="baseline"/>
              </w:rPr>
            </w:r>
            <w:r/>
          </w:p>
        </w:tc>
      </w:tr>
      <w:tr>
        <w:trPr>
          <w:trHeight w:val="624"/>
        </w:trPr>
        <w:tc>
          <w:tcPr>
            <w:tcW w:w="1212" w:type="dxa"/>
            <w:vAlign w:val="center"/>
            <w:vMerge w:val="restart"/>
            <w:textDirection w:val="lrTb"/>
            <w:noWrap w:val="false"/>
          </w:tcPr>
          <w:p>
            <w:pPr>
              <w:pStyle w:val="785"/>
              <w:jc w:val="center"/>
              <w:rPr>
                <w:rFonts w:ascii="宋体" w:hAnsi="宋体" w:eastAsia="宋体" w:cs="宋体"/>
                <w:sz w:val="21"/>
                <w:szCs w:val="21"/>
                <w:vertAlign w:val="baseline"/>
                <w:lang w:val="en-US"/>
              </w:rPr>
            </w:pPr>
            <w:r>
              <w:rPr>
                <w:rFonts w:hint="eastAsia"/>
                <w:b/>
                <w:bCs/>
                <w:vertAlign w:val="baseline"/>
                <w:lang w:val="en-US" w:eastAsia="zh-CN"/>
              </w:rPr>
              <w:t xml:space="preserve">水产品类</w:t>
            </w:r>
            <w:r>
              <w:rPr>
                <w:rFonts w:ascii="宋体" w:hAnsi="宋体" w:eastAsia="宋体" w:cs="宋体"/>
                <w:sz w:val="21"/>
                <w:szCs w:val="21"/>
                <w:vertAlign w:val="baseline"/>
                <w:lang w:val="en-US"/>
              </w:rPr>
            </w:r>
            <w:r/>
          </w:p>
        </w:tc>
        <w:tc>
          <w:tcPr>
            <w:tcW w:w="5927" w:type="dxa"/>
            <w:vAlign w:val="top"/>
            <w:vMerge w:val="restart"/>
            <w:textDirection w:val="lrTb"/>
            <w:noWrap w:val="false"/>
          </w:tcPr>
          <w:p>
            <w:pPr>
              <w:pStyle w:val="785"/>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1.鲜活，</w:t>
            </w:r>
            <w:r>
              <w:rPr>
                <w:rFonts w:ascii="宋体" w:hAnsi="宋体" w:eastAsia="宋体" w:cs="宋体"/>
                <w:vertAlign w:val="baseline"/>
                <w:lang w:val="en-US" w:eastAsia="zh-CN"/>
              </w:rPr>
              <w:t xml:space="preserve">应具有正常色泽、气味无异味、组织紧密有弹性</w:t>
            </w:r>
            <w:r>
              <w:rPr>
                <w:rFonts w:hint="eastAsia" w:ascii="宋体" w:hAnsi="宋体" w:eastAsia="宋体" w:cs="宋体"/>
                <w:vertAlign w:val="baseline"/>
                <w:lang w:val="en-US" w:eastAsia="zh-CN"/>
              </w:rPr>
              <w:t xml:space="preserve">，污染物限量</w:t>
            </w:r>
            <w:r>
              <w:rPr>
                <w:rFonts w:ascii="宋体" w:hAnsi="宋体" w:eastAsia="宋体" w:cs="宋体"/>
                <w:vertAlign w:val="baseline"/>
                <w:lang w:val="en-US" w:eastAsia="zh-CN"/>
              </w:rPr>
              <w:t xml:space="preserve">：严格遵循 GB2762《食品安全国家标准 食品中污染物限量》，包括重金属、农药残留及兽药残留 </w:t>
            </w:r>
            <w:r>
              <w:rPr>
                <w:rFonts w:hint="eastAsia" w:ascii="宋体" w:hAnsi="宋体" w:eastAsia="宋体" w:cs="宋体"/>
                <w:vertAlign w:val="baseline"/>
                <w:lang w:val="en-US" w:eastAsia="zh-CN"/>
              </w:rPr>
              <w:fldChar w:fldCharType="begin"/>
            </w:r>
            <w:r>
              <w:rPr>
                <w:rFonts w:hint="eastAsia" w:ascii="宋体" w:hAnsi="宋体" w:eastAsia="宋体" w:cs="宋体"/>
                <w:vertAlign w:val="baseline"/>
                <w:lang w:val="en-US" w:eastAsia="zh-CN"/>
              </w:rPr>
              <w:instrText xml:space="preserve"> HYPERLINK "https://www.guifanku.com/897777.html" \t "https://cn.bing.com/_blank" </w:instrText>
            </w:r>
            <w:r>
              <w:rPr>
                <w:rFonts w:hint="eastAsia" w:ascii="宋体" w:hAnsi="宋体" w:eastAsia="宋体" w:cs="宋体"/>
                <w:vertAlign w:val="baseline"/>
                <w:lang w:val="en-US" w:eastAsia="zh-CN"/>
              </w:rPr>
              <w:fldChar w:fldCharType="separate"/>
            </w:r>
            <w:r>
              <w:rPr>
                <w:rFonts w:ascii="宋体" w:hAnsi="宋体" w:eastAsia="宋体" w:cs="宋体"/>
                <w:vertAlign w:val="baseline"/>
                <w:lang w:val="en-US" w:eastAsia="zh-CN"/>
              </w:rPr>
              <w:fldChar w:fldCharType="end"/>
            </w:r>
            <w:r>
              <w:rPr>
                <w:rFonts w:hint="eastAsia" w:ascii="宋体" w:hAnsi="宋体" w:eastAsia="宋体" w:cs="宋体"/>
                <w:vertAlign w:val="baseline"/>
                <w:lang w:val="en-US" w:eastAsia="zh-CN"/>
              </w:rPr>
            </w:r>
            <w:r/>
          </w:p>
          <w:p>
            <w:pPr>
              <w:pStyle w:val="785"/>
              <w:rPr>
                <w:rFonts w:ascii="宋体" w:hAnsi="宋体" w:eastAsia="宋体" w:cs="宋体"/>
                <w:vertAlign w:val="baseline"/>
                <w:lang w:val="en-US" w:eastAsia="zh-CN"/>
              </w:rPr>
            </w:pPr>
            <w:r>
              <w:rPr>
                <w:rFonts w:hint="eastAsia" w:ascii="宋体" w:hAnsi="宋体" w:eastAsia="宋体" w:cs="宋体"/>
                <w:vertAlign w:val="baseline"/>
                <w:lang w:val="en-US" w:eastAsia="zh-CN"/>
              </w:rPr>
              <w:t xml:space="preserve">2.</w:t>
            </w:r>
            <w:r>
              <w:rPr>
                <w:rFonts w:hint="eastAsia" w:ascii="宋体" w:hAnsi="宋体" w:eastAsia="宋体" w:cs="宋体"/>
                <w:sz w:val="21"/>
                <w:szCs w:val="21"/>
                <w:vertAlign w:val="baseline"/>
                <w:lang w:val="en-US" w:eastAsia="zh-CN"/>
              </w:rPr>
              <w:t xml:space="preserve">主要产品包括但不限于以下所列品种：</w:t>
            </w:r>
            <w:r>
              <w:rPr>
                <w:rFonts w:hint="eastAsia" w:ascii="宋体" w:hAnsi="宋体" w:eastAsia="宋体" w:cs="宋体"/>
                <w:vertAlign w:val="baseline"/>
                <w:lang w:val="en-US" w:eastAsia="zh-CN"/>
              </w:rPr>
              <w:t xml:space="preserve">明虾、对虾、罗氏虾等品种；</w:t>
            </w:r>
            <w:r>
              <w:rPr>
                <w:rFonts w:ascii="宋体" w:hAnsi="宋体" w:eastAsia="宋体" w:cs="宋体"/>
                <w:vertAlign w:val="baseline"/>
                <w:lang w:val="en-US" w:eastAsia="zh-CN"/>
              </w:rPr>
            </w:r>
            <w:r/>
          </w:p>
          <w:p>
            <w:pPr>
              <w:pStyle w:val="785"/>
              <w:rPr>
                <w:rFonts w:hint="eastAsia" w:ascii="宋体" w:hAnsi="宋体" w:eastAsia="宋体" w:cs="宋体"/>
                <w:sz w:val="21"/>
                <w:szCs w:val="21"/>
                <w:vertAlign w:val="baseline"/>
              </w:rPr>
            </w:pPr>
            <w:r>
              <w:rPr>
                <w:rFonts w:hint="eastAsia" w:ascii="宋体" w:hAnsi="宋体" w:eastAsia="宋体" w:cs="宋体"/>
                <w:vertAlign w:val="baseline"/>
                <w:lang w:val="en-US" w:eastAsia="zh-CN"/>
              </w:rPr>
              <w:t xml:space="preserve">2.执行全套强制国标 GB 2762水产品污染物限量、GB31650兽药残留限量、GB10136熟制水产品卫生、GB16869冻水产品卫生、GB2763农残、GB29921致病菌限量；冷链执行 GB31650。</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明虾</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对虾</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罗氏虾</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rPr>
            </w:pPr>
            <w:r>
              <w:rPr>
                <w:rFonts w:hint="eastAsia"/>
                <w:b/>
                <w:bCs/>
                <w:vertAlign w:val="baseline"/>
                <w:lang w:val="en-US" w:eastAsia="zh-CN"/>
              </w:rPr>
              <w:t xml:space="preserve">水果类</w:t>
            </w:r>
            <w:r>
              <w:rPr>
                <w:rFonts w:hint="eastAsia" w:ascii="宋体" w:hAnsi="宋体" w:eastAsia="宋体" w:cs="宋体"/>
                <w:sz w:val="21"/>
                <w:szCs w:val="21"/>
                <w:vertAlign w:val="baseline"/>
              </w:rPr>
            </w:r>
            <w:r/>
          </w:p>
        </w:tc>
        <w:tc>
          <w:tcPr>
            <w:tcW w:w="5927" w:type="dxa"/>
            <w:vAlign w:val="top"/>
            <w:vMerge w:val="restart"/>
            <w:textDirection w:val="lrTb"/>
            <w:noWrap w:val="false"/>
          </w:tcPr>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采购类别</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新鲜水果</w:t>
            </w:r>
            <w:r>
              <w:rPr>
                <w:rFonts w:hint="eastAsia" w:ascii="宋体" w:hAnsi="宋体" w:eastAsia="宋体" w:cs="宋体"/>
                <w:sz w:val="21"/>
                <w:szCs w:val="21"/>
                <w:vertAlign w:val="baseline"/>
              </w:rPr>
            </w:r>
            <w:r/>
          </w:p>
          <w:p>
            <w:pPr>
              <w:pStyle w:val="785"/>
              <w:numPr>
                <w:ilvl w:val="0"/>
                <w:numId w:val="0"/>
              </w:numP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2.主要产品包括但不限于以下所列品种：</w:t>
            </w:r>
            <w:r>
              <w:rPr>
                <w:rFonts w:hint="eastAsia" w:ascii="宋体" w:hAnsi="宋体"/>
                <w:color w:val="000000"/>
                <w:sz w:val="22"/>
                <w:szCs w:val="24"/>
              </w:rPr>
              <w:t xml:space="preserve">圣女果</w:t>
            </w:r>
            <w:r>
              <w:rPr>
                <w:rFonts w:hint="eastAsia" w:ascii="宋体" w:hAnsi="宋体"/>
                <w:color w:val="000000"/>
                <w:sz w:val="22"/>
                <w:szCs w:val="24"/>
                <w:lang w:eastAsia="zh-CN"/>
              </w:rPr>
              <w:t xml:space="preserve">、</w:t>
            </w:r>
            <w:r>
              <w:rPr>
                <w:rFonts w:hint="eastAsia" w:ascii="宋体" w:hAnsi="宋体"/>
                <w:color w:val="000000"/>
                <w:sz w:val="22"/>
                <w:szCs w:val="24"/>
              </w:rPr>
              <w:t xml:space="preserve">水果黄瓜</w:t>
            </w:r>
            <w:r>
              <w:rPr>
                <w:rFonts w:hint="eastAsia" w:ascii="宋体" w:hAnsi="宋体"/>
                <w:color w:val="000000"/>
                <w:sz w:val="22"/>
                <w:szCs w:val="24"/>
                <w:lang w:eastAsia="zh-CN"/>
              </w:rPr>
              <w:t xml:space="preserve">、</w:t>
            </w:r>
            <w:r>
              <w:rPr>
                <w:rFonts w:hint="eastAsia" w:ascii="宋体" w:hAnsi="宋体"/>
                <w:color w:val="000000"/>
                <w:sz w:val="22"/>
                <w:szCs w:val="24"/>
              </w:rPr>
              <w:t xml:space="preserve">苹果</w:t>
            </w:r>
            <w:r>
              <w:rPr>
                <w:rFonts w:hint="eastAsia" w:ascii="宋体" w:hAnsi="宋体"/>
                <w:color w:val="000000"/>
                <w:sz w:val="22"/>
                <w:szCs w:val="24"/>
                <w:lang w:eastAsia="zh-CN"/>
              </w:rPr>
              <w:t xml:space="preserve">、</w:t>
            </w:r>
            <w:r>
              <w:rPr>
                <w:rFonts w:hint="eastAsia" w:ascii="宋体" w:hAnsi="宋体"/>
                <w:color w:val="000000"/>
                <w:sz w:val="22"/>
                <w:szCs w:val="24"/>
              </w:rPr>
              <w:t xml:space="preserve">香蕉</w:t>
            </w:r>
            <w:r>
              <w:rPr>
                <w:rFonts w:hint="eastAsia" w:ascii="宋体" w:hAnsi="宋体"/>
                <w:color w:val="000000"/>
                <w:sz w:val="22"/>
                <w:szCs w:val="24"/>
                <w:lang w:eastAsia="zh-CN"/>
              </w:rPr>
              <w:t xml:space="preserve">、</w:t>
            </w:r>
            <w:r>
              <w:rPr>
                <w:rFonts w:hint="eastAsia" w:ascii="宋体" w:hAnsi="宋体"/>
                <w:color w:val="000000"/>
                <w:sz w:val="22"/>
                <w:szCs w:val="24"/>
              </w:rPr>
              <w:t xml:space="preserve">橘子</w:t>
            </w:r>
            <w:r>
              <w:rPr>
                <w:rFonts w:hint="eastAsia" w:ascii="宋体" w:hAnsi="宋体"/>
                <w:color w:val="000000"/>
                <w:sz w:val="22"/>
                <w:szCs w:val="24"/>
                <w:lang w:eastAsia="zh-CN"/>
              </w:rPr>
              <w:t xml:space="preserve">、</w:t>
            </w:r>
            <w:r>
              <w:rPr>
                <w:rFonts w:hint="eastAsia" w:ascii="宋体" w:hAnsi="宋体"/>
                <w:color w:val="000000"/>
                <w:sz w:val="22"/>
                <w:szCs w:val="24"/>
              </w:rPr>
              <w:t xml:space="preserve">橙子</w:t>
            </w:r>
            <w:r>
              <w:rPr>
                <w:rFonts w:hint="eastAsia" w:ascii="宋体" w:hAnsi="宋体"/>
                <w:color w:val="000000"/>
                <w:sz w:val="22"/>
                <w:szCs w:val="24"/>
                <w:lang w:eastAsia="zh-CN"/>
              </w:rPr>
              <w:t xml:space="preserve">、</w:t>
            </w:r>
            <w:r>
              <w:rPr>
                <w:rFonts w:hint="eastAsia" w:ascii="宋体" w:hAnsi="宋体"/>
                <w:color w:val="000000"/>
                <w:sz w:val="22"/>
                <w:szCs w:val="24"/>
              </w:rPr>
              <w:t xml:space="preserve">西瓜</w:t>
            </w:r>
            <w:r>
              <w:rPr>
                <w:rFonts w:hint="eastAsia" w:ascii="宋体" w:hAnsi="宋体"/>
                <w:color w:val="000000"/>
                <w:sz w:val="22"/>
                <w:szCs w:val="24"/>
                <w:lang w:eastAsia="zh-CN"/>
              </w:rPr>
              <w:t xml:space="preserve">、</w:t>
            </w:r>
            <w:r>
              <w:rPr>
                <w:rFonts w:hint="eastAsia" w:ascii="宋体" w:hAnsi="宋体"/>
                <w:color w:val="000000"/>
                <w:sz w:val="22"/>
                <w:szCs w:val="24"/>
              </w:rPr>
              <w:t xml:space="preserve">哈密瓜</w:t>
            </w:r>
            <w:r>
              <w:rPr>
                <w:rFonts w:hint="eastAsia" w:ascii="宋体" w:hAnsi="宋体"/>
                <w:color w:val="000000"/>
                <w:sz w:val="22"/>
                <w:szCs w:val="24"/>
                <w:lang w:eastAsia="zh-CN"/>
              </w:rPr>
              <w:t xml:space="preserve">、</w:t>
            </w:r>
            <w:r>
              <w:rPr>
                <w:rFonts w:hint="eastAsia" w:ascii="宋体" w:hAnsi="宋体"/>
                <w:color w:val="000000"/>
                <w:sz w:val="22"/>
                <w:szCs w:val="24"/>
              </w:rPr>
              <w:t xml:space="preserve">火龙果</w:t>
            </w:r>
            <w:r>
              <w:rPr>
                <w:rFonts w:hint="eastAsia" w:ascii="宋体" w:hAnsi="宋体"/>
                <w:color w:val="000000"/>
                <w:sz w:val="22"/>
                <w:szCs w:val="24"/>
                <w:lang w:val="en-US" w:eastAsia="zh-CN"/>
              </w:rPr>
              <w:t xml:space="preserve">等品种；</w:t>
            </w:r>
            <w:r>
              <w:rPr>
                <w:rFonts w:ascii="宋体" w:hAnsi="宋体" w:eastAsia="宋体" w:cs="宋体"/>
                <w:sz w:val="21"/>
                <w:szCs w:val="21"/>
                <w:vertAlign w:val="baseline"/>
                <w:lang w:val="en-US" w:eastAsia="zh-CN"/>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rPr>
              <w:t xml:space="preserve">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执行标准GB2762果蔬污染物限量、GB2763果蔬农药最大残留限量、GB31621水果贮藏流通规范</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时令鲜果遵循对应鲜果分级行业标准。</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4.</w:t>
            </w:r>
            <w:r>
              <w:rPr>
                <w:rFonts w:hint="eastAsia" w:ascii="宋体" w:hAnsi="宋体" w:eastAsia="宋体" w:cs="宋体"/>
                <w:sz w:val="21"/>
                <w:szCs w:val="21"/>
                <w:vertAlign w:val="baseline"/>
              </w:rPr>
              <w:t xml:space="preserve">外观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表皮完整无破损、虫蛀、黑斑、腐烂、冻伤、碰伤</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果形端正，无畸形果</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4.成熟度</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熟度适中，不生涩、不过度软烂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杜绝催熟剂超标、激素过量果品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5.气味</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具备水果天然果香，无发酵酒味、腐败酸味、农药刺鼻异味</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6.果面农残</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每批次提供农残快速检测报告，有机磷、菊酯类农药不得检出超标。</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7.质量等级</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一级</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圣女果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水果黄瓜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苹果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香蕉</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橘子</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橙子</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西瓜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哈密瓜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火龙果</w:t>
            </w:r>
            <w:r>
              <w:rPr>
                <w:rFonts w:hint="eastAsia" w:ascii="宋体" w:hAnsi="宋体" w:eastAsia="宋体" w:cs="宋体"/>
                <w:b w:val="0"/>
                <w:bCs w:val="0"/>
                <w:sz w:val="21"/>
                <w:szCs w:val="21"/>
                <w:vertAlign w:val="baseline"/>
                <w:lang w:val="en-US" w:eastAsia="zh-CN"/>
              </w:rPr>
            </w:r>
            <w:r/>
          </w:p>
        </w:tc>
      </w:tr>
      <w:tr>
        <w:trPr>
          <w:trHeight w:val="737"/>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b/>
                <w:bCs/>
                <w:sz w:val="21"/>
                <w:szCs w:val="21"/>
              </w:rPr>
              <w:t xml:space="preserve">乳制品</w:t>
            </w:r>
            <w:r>
              <w:rPr>
                <w:rFonts w:hint="eastAsia" w:ascii="宋体" w:hAnsi="宋体" w:eastAsia="宋体" w:cs="宋体"/>
                <w:b/>
                <w:bCs/>
                <w:sz w:val="21"/>
                <w:szCs w:val="21"/>
                <w:lang w:val="en-US" w:eastAsia="zh-CN"/>
              </w:rPr>
              <w:t xml:space="preserve">类</w:t>
            </w:r>
            <w:r>
              <w:rPr>
                <w:rFonts w:hint="eastAsia" w:ascii="宋体" w:hAnsi="宋体" w:eastAsia="宋体" w:cs="宋体"/>
                <w:sz w:val="21"/>
                <w:szCs w:val="21"/>
                <w:vertAlign w:val="baseline"/>
                <w:lang w:val="en-US" w:eastAsia="zh-CN"/>
              </w:rPr>
            </w:r>
            <w:r/>
          </w:p>
        </w:tc>
        <w:tc>
          <w:tcPr>
            <w:tcW w:w="5927" w:type="dxa"/>
            <w:vAlign w:val="top"/>
            <w:vMerge w:val="restart"/>
            <w:textDirection w:val="lrTb"/>
            <w:noWrap w:val="false"/>
          </w:tcPr>
          <w:p>
            <w:pPr>
              <w:pStyle w:val="785"/>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采购类别</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lang w:val="en-US" w:eastAsia="zh-CN"/>
              </w:rPr>
              <w:t xml:space="preserve">主要产品包括但不限于以下所列品种：</w:t>
            </w:r>
            <w:r>
              <w:rPr>
                <w:rFonts w:hint="eastAsia" w:ascii="宋体" w:hAnsi="宋体"/>
                <w:i w:val="0"/>
                <w:iCs w:val="0"/>
                <w:color w:val="000000"/>
                <w:sz w:val="22"/>
                <w:szCs w:val="24"/>
              </w:rPr>
              <w:t xml:space="preserve">草莓风味酸奶（90克）</w:t>
            </w:r>
            <w:r>
              <w:rPr>
                <w:rFonts w:hint="eastAsia" w:ascii="宋体" w:hAnsi="宋体"/>
                <w:i w:val="0"/>
                <w:iCs w:val="0"/>
                <w:color w:val="000000"/>
                <w:sz w:val="22"/>
                <w:szCs w:val="24"/>
                <w:lang w:eastAsia="zh-CN"/>
              </w:rPr>
              <w:t xml:space="preserve">、</w:t>
            </w:r>
            <w:r>
              <w:rPr>
                <w:rFonts w:hint="eastAsia" w:ascii="宋体" w:hAnsi="宋体"/>
                <w:color w:val="000000"/>
                <w:sz w:val="22"/>
                <w:szCs w:val="24"/>
              </w:rPr>
              <w:t xml:space="preserve">红枣风味酸奶（90克）</w:t>
            </w:r>
            <w:r>
              <w:rPr>
                <w:rFonts w:hint="eastAsia" w:ascii="宋体" w:hAnsi="宋体"/>
                <w:color w:val="000000"/>
                <w:sz w:val="22"/>
                <w:szCs w:val="24"/>
                <w:lang w:eastAsia="zh-CN"/>
              </w:rPr>
              <w:t xml:space="preserve">、</w:t>
            </w:r>
            <w:r>
              <w:rPr>
                <w:rFonts w:hint="eastAsia" w:ascii="宋体" w:hAnsi="宋体"/>
                <w:color w:val="000000"/>
                <w:sz w:val="22"/>
                <w:szCs w:val="24"/>
              </w:rPr>
              <w:t xml:space="preserve">复原乳（125ml）</w:t>
            </w:r>
            <w:r>
              <w:rPr>
                <w:rFonts w:hint="eastAsia" w:ascii="宋体" w:hAnsi="宋体"/>
                <w:color w:val="000000"/>
                <w:sz w:val="22"/>
                <w:szCs w:val="24"/>
                <w:lang w:eastAsia="zh-CN"/>
              </w:rPr>
              <w:t xml:space="preserve">、</w:t>
            </w:r>
            <w:r>
              <w:rPr>
                <w:rFonts w:hint="eastAsia" w:ascii="宋体" w:hAnsi="宋体"/>
                <w:color w:val="000000"/>
                <w:sz w:val="22"/>
                <w:szCs w:val="24"/>
              </w:rPr>
              <w:t xml:space="preserve">AD钙奶（220克）</w:t>
            </w:r>
            <w:r>
              <w:rPr>
                <w:rFonts w:hint="eastAsia" w:ascii="宋体" w:hAnsi="宋体"/>
                <w:color w:val="000000"/>
                <w:sz w:val="22"/>
                <w:szCs w:val="24"/>
                <w:lang w:eastAsia="zh-CN"/>
              </w:rPr>
              <w:t xml:space="preserve">、</w:t>
            </w:r>
            <w:r>
              <w:rPr>
                <w:rFonts w:hint="eastAsia" w:ascii="宋体" w:hAnsi="宋体"/>
                <w:color w:val="000000"/>
                <w:sz w:val="22"/>
                <w:szCs w:val="24"/>
              </w:rPr>
              <w:t xml:space="preserve">牛奶125ml</w:t>
            </w:r>
            <w:r>
              <w:rPr>
                <w:rFonts w:hint="eastAsia" w:ascii="宋体" w:hAnsi="宋体"/>
                <w:color w:val="000000"/>
                <w:sz w:val="22"/>
                <w:szCs w:val="24"/>
                <w:lang w:val="en-US" w:eastAsia="zh-CN"/>
              </w:rPr>
              <w:t xml:space="preserve">等品种；</w:t>
            </w:r>
            <w:r>
              <w:rPr>
                <w:rFonts w:hint="eastAsia" w:ascii="宋体" w:hAnsi="宋体" w:eastAsia="宋体" w:cs="宋体"/>
                <w:sz w:val="21"/>
                <w:szCs w:val="21"/>
                <w:vertAlign w:val="baseline"/>
                <w:lang w:val="en-US" w:eastAsia="zh-CN"/>
              </w:rPr>
            </w:r>
            <w:r/>
          </w:p>
          <w:p>
            <w:pPr>
              <w:pStyle w:val="785"/>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rPr>
              <w:t xml:space="preserve">2.质量要求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符合GB19301-2010《食品安全国家标准发酵乳》、GB 2760《食品添加剂使用标准》、GB25190-2010《食品安全国家标准灭菌乳》等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5"/>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3.外观要求：包装完整、无任何破损、无挤压、无异味、无任何表面附着物或衍生物，且包装上的商品名称、厂址、规格等与内容物相符，标识清晰、批次清楚；</w:t>
            </w:r>
            <w:r>
              <w:rPr>
                <w:rFonts w:hint="eastAsia" w:ascii="宋体" w:hAnsi="宋体" w:eastAsia="宋体" w:cs="宋体"/>
                <w:sz w:val="21"/>
                <w:szCs w:val="21"/>
              </w:rPr>
            </w:r>
            <w:r/>
          </w:p>
          <w:p>
            <w:pPr>
              <w:pStyle w:val="940"/>
              <w:rPr>
                <w:rFonts w:hint="eastAsia" w:ascii="宋体" w:hAnsi="宋体" w:eastAsia="宋体" w:cs="宋体"/>
                <w:sz w:val="21"/>
                <w:szCs w:val="21"/>
              </w:rPr>
            </w:pPr>
            <w:r>
              <w:rPr>
                <w:rFonts w:hint="eastAsia" w:ascii="宋体" w:hAnsi="宋体" w:eastAsia="宋体" w:cs="宋体"/>
                <w:sz w:val="21"/>
                <w:szCs w:val="21"/>
              </w:rPr>
              <w:t xml:space="preserve">4.感官要求：呈均匀的乳白色或微黄色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具有发酵乳特有的酸味和香气（乳酸菌发酵风味）；无胀包、无霉斑、无凝块、无沉淀、无正常视力可见异物；</w:t>
            </w:r>
            <w:r>
              <w:rPr>
                <w:rFonts w:hint="eastAsia" w:ascii="宋体" w:hAnsi="宋体" w:eastAsia="宋体" w:cs="宋体"/>
                <w:sz w:val="21"/>
                <w:szCs w:val="21"/>
              </w:rPr>
            </w:r>
            <w:r/>
          </w:p>
          <w:p>
            <w:pPr>
              <w:pStyle w:val="940"/>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优先参考品牌：</w:t>
            </w:r>
            <w:r>
              <w:rPr>
                <w:rFonts w:hint="eastAsia" w:ascii="宋体" w:hAnsi="宋体" w:eastAsia="宋体" w:cs="宋体"/>
                <w:sz w:val="21"/>
                <w:szCs w:val="21"/>
              </w:rPr>
              <w:t xml:space="preserve">蒙牛、伊利、卫岗、光明；</w:t>
            </w:r>
            <w:r>
              <w:rPr>
                <w:rFonts w:hint="eastAsia" w:ascii="宋体" w:hAnsi="宋体" w:eastAsia="宋体" w:cs="宋体"/>
                <w:sz w:val="21"/>
                <w:szCs w:val="21"/>
              </w:rPr>
            </w:r>
            <w:r/>
          </w:p>
          <w:p>
            <w:pPr>
              <w:pStyle w:val="940"/>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蛋白质含量：</w:t>
            </w:r>
            <w:r>
              <w:rPr>
                <w:rFonts w:hint="eastAsia" w:ascii="宋体" w:hAnsi="宋体" w:eastAsia="宋体" w:cs="宋体"/>
                <w:sz w:val="21"/>
                <w:szCs w:val="21"/>
                <w:lang w:eastAsia="zh-CN"/>
              </w:rPr>
              <w:t xml:space="preserve">蛋白质含量≥2.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g/100g</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0"/>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7.质保要求：供货时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lang w:val="en-US" w:eastAsia="zh-CN"/>
              </w:rPr>
              <w:t xml:space="preserve">三</w:t>
            </w:r>
            <w:r>
              <w:rPr>
                <w:rFonts w:hint="eastAsia" w:ascii="宋体" w:hAnsi="宋体" w:eastAsia="宋体" w:cs="宋体"/>
                <w:sz w:val="21"/>
                <w:szCs w:val="21"/>
                <w:vertAlign w:val="baseline"/>
              </w:rPr>
              <w:t xml:space="preserve">分之</w:t>
            </w:r>
            <w:r>
              <w:rPr>
                <w:rFonts w:hint="eastAsia" w:ascii="宋体" w:hAnsi="宋体" w:eastAsia="宋体" w:cs="宋体"/>
                <w:sz w:val="21"/>
                <w:szCs w:val="21"/>
                <w:vertAlign w:val="baseline"/>
                <w:lang w:val="en-US" w:eastAsia="zh-CN"/>
              </w:rPr>
              <w:t xml:space="preserve">二</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pPr>
            <w:r/>
            <w:r/>
          </w:p>
        </w:tc>
        <w:tc>
          <w:tcPr>
            <w:tcW w:w="5927" w:type="dxa"/>
            <w:vAlign w:val="top"/>
            <w:vMerge w:val="continue"/>
            <w:textDirection w:val="lrTb"/>
            <w:noWrap w:val="false"/>
          </w:tcPr>
          <w:p>
            <w:pPr>
              <w:pStyle w:val="785"/>
            </w:pPr>
            <w:r/>
            <w:r/>
          </w:p>
        </w:tc>
        <w:tc>
          <w:tcPr>
            <w:tcW w:w="2163" w:type="dxa"/>
            <w:vAlign w:val="center"/>
            <w:textDirection w:val="lrTb"/>
            <w:noWrap w:val="false"/>
          </w:tcPr>
          <w:p>
            <w:pPr>
              <w:pStyle w:val="785"/>
              <w:jc w:val="center"/>
              <w:rPr>
                <w:rFonts w:hint="eastAsia" w:ascii="宋体" w:hAnsi="宋体"/>
                <w:i w:val="0"/>
                <w:iCs w:val="0"/>
                <w:color w:val="000000"/>
                <w:sz w:val="22"/>
                <w:szCs w:val="24"/>
              </w:rPr>
            </w:pPr>
            <w:r>
              <w:rPr>
                <w:rFonts w:hint="eastAsia" w:ascii="宋体" w:hAnsi="宋体"/>
                <w:i w:val="0"/>
                <w:iCs w:val="0"/>
                <w:color w:val="000000"/>
                <w:sz w:val="22"/>
                <w:szCs w:val="24"/>
              </w:rPr>
              <w:t xml:space="preserve">草莓风味酸奶</w:t>
            </w:r>
            <w:r>
              <w:rPr>
                <w:rFonts w:hint="eastAsia" w:ascii="宋体" w:hAnsi="宋体"/>
                <w:i w:val="0"/>
                <w:iCs w:val="0"/>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i w:val="0"/>
                <w:iCs w:val="0"/>
                <w:color w:val="000000"/>
                <w:sz w:val="22"/>
                <w:szCs w:val="24"/>
              </w:rPr>
              <w:t xml:space="preserve">（90克）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红枣风味酸奶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（90克）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复原乳</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lang w:eastAsia="zh-CN"/>
              </w:rPr>
              <w:t xml:space="preserve">(</w:t>
            </w:r>
            <w:r>
              <w:rPr>
                <w:rFonts w:hint="eastAsia" w:ascii="宋体" w:hAnsi="宋体"/>
                <w:color w:val="000000"/>
                <w:sz w:val="22"/>
                <w:szCs w:val="24"/>
              </w:rPr>
              <w:t xml:space="preserve">125ml</w:t>
            </w:r>
            <w:r>
              <w:rPr>
                <w:rFonts w:hint="eastAsia" w:ascii="宋体" w:hAnsi="宋体"/>
                <w:color w:val="000000"/>
                <w:sz w:val="22"/>
                <w:szCs w:val="24"/>
                <w:lang w:eastAsia="zh-CN"/>
              </w:rPr>
              <w:t xml:space="preserve">)</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AD钙奶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（220克）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牛奶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125ml</w:t>
            </w:r>
            <w:r>
              <w:rPr>
                <w:rFonts w:hint="eastAsia" w:ascii="宋体" w:hAnsi="宋体" w:eastAsia="宋体" w:cs="宋体"/>
                <w:sz w:val="21"/>
                <w:szCs w:val="21"/>
                <w:vertAlign w:val="baseline"/>
              </w:rPr>
            </w:r>
            <w:r/>
          </w:p>
        </w:tc>
      </w:tr>
      <w:tr>
        <w:trPr>
          <w:trHeight w:val="680"/>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lang w:val="en-US" w:eastAsia="zh-CN"/>
              </w:rPr>
              <w:t xml:space="preserve">水饮品类</w:t>
            </w:r>
            <w:r>
              <w:rPr>
                <w:rFonts w:hint="eastAsia" w:ascii="宋体" w:hAnsi="宋体" w:eastAsia="宋体" w:cs="宋体"/>
                <w:sz w:val="21"/>
                <w:szCs w:val="21"/>
                <w:vertAlign w:val="baseline"/>
              </w:rPr>
            </w:r>
            <w:r/>
          </w:p>
        </w:tc>
        <w:tc>
          <w:tcPr>
            <w:tcW w:w="5927" w:type="dxa"/>
            <w:vAlign w:val="top"/>
            <w:vMerge w:val="restart"/>
            <w:textDirection w:val="lrTb"/>
            <w:noWrap w:val="false"/>
          </w:tcPr>
          <w:p>
            <w:pPr>
              <w:pStyle w:val="785"/>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1.主要产品包括但不限于以下所列品种：</w:t>
            </w:r>
            <w:r>
              <w:rPr>
                <w:rFonts w:hint="eastAsia" w:ascii="宋体" w:hAnsi="宋体"/>
                <w:color w:val="000000"/>
                <w:sz w:val="22"/>
                <w:szCs w:val="24"/>
              </w:rPr>
              <w:t xml:space="preserve">雪碧</w:t>
            </w:r>
            <w:r>
              <w:rPr>
                <w:rFonts w:hint="eastAsia" w:ascii="宋体" w:hAnsi="宋体"/>
                <w:color w:val="000000"/>
                <w:sz w:val="22"/>
                <w:szCs w:val="24"/>
                <w:lang w:eastAsia="zh-CN"/>
              </w:rPr>
              <w:t xml:space="preserve">、</w:t>
            </w:r>
            <w:r>
              <w:rPr>
                <w:rFonts w:hint="eastAsia" w:ascii="宋体" w:hAnsi="宋体"/>
                <w:color w:val="000000"/>
                <w:sz w:val="22"/>
                <w:szCs w:val="24"/>
              </w:rPr>
              <w:t xml:space="preserve">可口可乐</w:t>
            </w:r>
            <w:r>
              <w:rPr>
                <w:rFonts w:hint="eastAsia" w:ascii="宋体" w:hAnsi="宋体"/>
                <w:color w:val="000000"/>
                <w:sz w:val="22"/>
                <w:szCs w:val="24"/>
                <w:lang w:eastAsia="zh-CN"/>
              </w:rPr>
              <w:t xml:space="preserve">、</w:t>
            </w:r>
            <w:r>
              <w:rPr>
                <w:rFonts w:hint="eastAsia" w:ascii="宋体" w:hAnsi="宋体"/>
                <w:color w:val="000000"/>
                <w:sz w:val="22"/>
                <w:szCs w:val="24"/>
              </w:rPr>
              <w:t xml:space="preserve">美年达</w:t>
            </w:r>
            <w:r>
              <w:rPr>
                <w:rFonts w:hint="eastAsia" w:ascii="宋体" w:hAnsi="宋体"/>
                <w:color w:val="000000"/>
                <w:sz w:val="22"/>
                <w:szCs w:val="24"/>
                <w:lang w:eastAsia="zh-CN"/>
              </w:rPr>
              <w:t xml:space="preserve">、</w:t>
            </w:r>
            <w:r>
              <w:rPr>
                <w:rFonts w:hint="eastAsia" w:ascii="宋体" w:hAnsi="宋体"/>
                <w:color w:val="000000"/>
                <w:sz w:val="22"/>
                <w:szCs w:val="24"/>
              </w:rPr>
              <w:t xml:space="preserve">百事可乐</w:t>
            </w:r>
            <w:r>
              <w:rPr>
                <w:rFonts w:hint="eastAsia" w:ascii="宋体" w:hAnsi="宋体"/>
                <w:color w:val="000000"/>
                <w:sz w:val="22"/>
                <w:szCs w:val="24"/>
                <w:lang w:eastAsia="zh-CN"/>
              </w:rPr>
              <w:t xml:space="preserve">；</w:t>
            </w:r>
            <w:r>
              <w:rPr>
                <w:rFonts w:hint="eastAsia" w:ascii="宋体" w:hAnsi="宋体" w:eastAsia="宋体" w:cs="宋体"/>
                <w:sz w:val="21"/>
                <w:szCs w:val="21"/>
                <w:vertAlign w:val="baseline"/>
                <w:lang w:val="en-US"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2.质量标准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执行国家标准饮用纯净水 GB17323</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天然矿泉水 GB8537</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果蔬汁饮料 GB/T31121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饮料通用卫生GB 7101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标签GB7718、营养标签GB28050</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3.饮用水类</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菌落总数、大肠菌群、铜绿假单胞菌符合国标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无溴酸盐超标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包装PET瓶无回收废塑料再生料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4.果汁饮品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不得添加人工合成色素、甜味剂超标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原果汁含量如实标注，不得虚假标注</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无絮状沉淀、胀气漏液</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5.所有饮品不得检出致病菌、重金属、塑化剂超</w:t>
            </w:r>
            <w:r>
              <w:rPr>
                <w:rFonts w:hint="eastAsia" w:ascii="宋体" w:hAnsi="宋体" w:eastAsia="宋体" w:cs="宋体"/>
                <w:sz w:val="21"/>
                <w:szCs w:val="21"/>
                <w:vertAlign w:val="baseline"/>
                <w:lang w:val="en-US" w:eastAsia="zh-CN"/>
              </w:rPr>
              <w:t xml:space="preserve">标；</w:t>
            </w:r>
            <w:r>
              <w:rPr>
                <w:rFonts w:hint="eastAsia" w:ascii="宋体" w:hAnsi="宋体" w:eastAsia="宋体" w:cs="宋体"/>
                <w:sz w:val="21"/>
                <w:szCs w:val="21"/>
                <w:vertAlign w:val="baseline"/>
                <w:lang w:val="en-US" w:eastAsia="zh-CN"/>
              </w:rPr>
            </w:r>
            <w:r/>
          </w:p>
          <w:p>
            <w:pPr>
              <w:pStyle w:val="785"/>
              <w:rPr>
                <w:rFonts w:hint="eastAsia" w:ascii="宋体" w:hAnsi="宋体" w:eastAsia="宋体" w:cs="宋体"/>
                <w:sz w:val="21"/>
                <w:szCs w:val="21"/>
                <w:vertAlign w:val="baseline"/>
              </w:rPr>
            </w:pPr>
            <w:r>
              <w:rPr>
                <w:rFonts w:ascii="宋体" w:hAnsi="宋体" w:eastAsia="宋体" w:cs="宋体"/>
                <w:sz w:val="21"/>
                <w:szCs w:val="21"/>
                <w:vertAlign w:val="baseline"/>
                <w:lang w:val="en-US" w:eastAsia="zh-CN"/>
              </w:rPr>
              <w:t xml:space="preserve">6.感官验收标准液体清澈均匀，无浑浊、悬浮物、霉斑</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t xml:space="preserve">瓶盖密封紧实，无渗漏、胀瓶</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t xml:space="preserve">生产日期激光喷码，不易擦拭篡改。</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雪碧</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可口可乐</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美年达</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百事可乐</w:t>
            </w:r>
            <w:r>
              <w:rPr>
                <w:rFonts w:hint="eastAsia" w:ascii="宋体" w:hAnsi="宋体"/>
                <w:color w:val="000000"/>
                <w:sz w:val="22"/>
                <w:szCs w:val="24"/>
              </w:rPr>
            </w:r>
            <w:r/>
          </w:p>
        </w:tc>
      </w:tr>
      <w:tr>
        <w:trPr>
          <w:trHeight w:val="624"/>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点心</w:t>
            </w:r>
            <w:r>
              <w:rPr>
                <w:rFonts w:hint="eastAsia" w:ascii="宋体" w:hAnsi="宋体" w:eastAsia="宋体" w:cs="宋体"/>
                <w:b/>
                <w:bCs/>
                <w:sz w:val="21"/>
                <w:szCs w:val="21"/>
                <w:vertAlign w:val="baseline"/>
                <w:lang w:val="en-US" w:eastAsia="zh-CN"/>
              </w:rPr>
            </w:r>
            <w:r/>
          </w:p>
          <w:p>
            <w:pPr>
              <w:pStyle w:val="785"/>
              <w:jc w:val="left"/>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（预包装）</w:t>
            </w:r>
            <w:r>
              <w:rPr>
                <w:rFonts w:hint="eastAsia" w:ascii="宋体" w:hAnsi="宋体" w:eastAsia="宋体" w:cs="宋体"/>
                <w:b/>
                <w:bCs/>
                <w:sz w:val="21"/>
                <w:szCs w:val="21"/>
                <w:vertAlign w:val="baseline"/>
                <w:lang w:val="en-US" w:eastAsia="zh-CN"/>
              </w:rPr>
            </w:r>
            <w:r/>
          </w:p>
        </w:tc>
        <w:tc>
          <w:tcPr>
            <w:tcW w:w="5927" w:type="dxa"/>
            <w:vAlign w:val="top"/>
            <w:vMerge w:val="restart"/>
            <w:textDirection w:val="lrTb"/>
            <w:noWrap w:val="false"/>
          </w:tcPr>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所有点心需符合强制国标GB 7099-2015《食品安全国家标准 糕点、面包》</w:t>
            </w:r>
            <w:r>
              <w:rPr>
                <w:rFonts w:hint="eastAsia"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1.对应特定品类需符合以下强制标准：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1.1速冻点心、速冻包子、速冻蒸糕、速冻烘焙点心需符合GB 19295-2021《食品安全国家标准 速冻面米与调制食品》；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1.2含巧克力涂层点心、巧克力月饼、巧克力酥点需符合GB 9678.2-2014《食品安全国家标准 巧克力、代可可脂巧克力及代可可脂巧克力制品》；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1.3含乳制品奶油蛋糕、奶油点心需适用 GB 19645（巴氏乳）、GB 5410（乳粉）原料强制要求</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2.所有对应特定品类点心需符合强制安全基础标准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2.1.GB 2760-2024《食品安全国家标准 食品添加剂使用标准》；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2.2 GB 2762-2025《食品安全国家标准 食品中污染物限量》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2.3 GB 2761-2017《食品安全国家标准 食品中真菌毒素限量》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2.4 GB 2763-2021《食品安全国家标准 食品中农药最大残留限量》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2.5 GB 31650-2019《食品安全国家标准 食品中兽药最大残留限量》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2.6 GB 29921-2021《食品安全国家标准 预包装食品中致病菌限量》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2.7 GB 9685-2016《食品安全国家标准 食品接触材料及制品用添加剂使用标准》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3.预包装标签、营养、包装需符合强制国标</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3.1 GB 7718-2011 或GB 7718-2025《食品安全国家标准 预包装食品标签通则》；</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3.2 GB 28050-2025《食品安全国家标准 预包装食品营养标签通则》；</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3.3 GB 23350-2021《限制商品过度包装要求 食品和化妆品》；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lang w:val="en-US" w:eastAsia="zh-CN"/>
              </w:rPr>
              <w:t xml:space="preserve">三</w:t>
            </w:r>
            <w:r>
              <w:rPr>
                <w:rFonts w:hint="eastAsia" w:ascii="宋体" w:hAnsi="宋体" w:eastAsia="宋体" w:cs="宋体"/>
                <w:sz w:val="21"/>
                <w:szCs w:val="21"/>
                <w:vertAlign w:val="baseline"/>
              </w:rPr>
              <w:t xml:space="preserve">分之</w:t>
            </w:r>
            <w:r>
              <w:rPr>
                <w:rFonts w:hint="eastAsia" w:ascii="宋体" w:hAnsi="宋体" w:eastAsia="宋体" w:cs="宋体"/>
                <w:sz w:val="21"/>
                <w:szCs w:val="21"/>
                <w:vertAlign w:val="baseline"/>
                <w:lang w:val="en-US" w:eastAsia="zh-CN"/>
              </w:rPr>
              <w:t xml:space="preserve">二</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pPr>
            <w:r/>
            <w:r/>
          </w:p>
        </w:tc>
        <w:tc>
          <w:tcPr>
            <w:tcW w:w="5927" w:type="dxa"/>
            <w:vAlign w:val="top"/>
            <w:vMerge w:val="continue"/>
            <w:textDirection w:val="lrTb"/>
            <w:noWrap w:val="false"/>
          </w:tcPr>
          <w:p>
            <w:pPr>
              <w:pStyle w:val="785"/>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豆奶粉</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芝麻汤圆</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猪肉包</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桂花糕</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奶黄包</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鸡蛋仔</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法棍</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华夫饼</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黄油蛋糕</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沙琪玛</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饼干</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夹心饼干</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小面包</w:t>
            </w:r>
            <w:r>
              <w:rPr>
                <w:rFonts w:hint="eastAsia" w:ascii="宋体" w:hAnsi="宋体" w:eastAsia="宋体" w:cs="宋体"/>
                <w:sz w:val="21"/>
                <w:szCs w:val="21"/>
                <w:vertAlign w:val="baseline"/>
              </w:rPr>
            </w:r>
            <w:r/>
          </w:p>
        </w:tc>
      </w:tr>
    </w:tbl>
    <w:p>
      <w:pPr>
        <w:pStyle w:val="785"/>
        <w:ind w:firstLine="422"/>
        <w:jc w:val="both"/>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上表所涉所有品牌均为优先参考品牌，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u w:val="single"/>
          <w:lang w:val="en-US" w:eastAsia="zh-CN"/>
        </w:rPr>
      </w:pPr>
      <w:r>
        <w:rPr>
          <w:rFonts w:hint="eastAsia" w:ascii="宋体" w:hAnsi="宋体" w:eastAsia="宋体" w:cs="宋体"/>
          <w:b/>
          <w:bCs/>
          <w:i/>
          <w:iCs/>
          <w:color w:val="000000"/>
          <w:sz w:val="21"/>
          <w:szCs w:val="21"/>
          <w:u w:val="single"/>
          <w:vertAlign w:val="baseline"/>
          <w:lang w:val="en-US" w:eastAsia="zh-CN"/>
        </w:rPr>
        <w:t xml:space="preserve">以投标人商铺销售该商品零售价格作为市场基准价；若投标供应商为当地的连锁超市，则以供应商在其阜宁城区（阜城街道、金沙湖街道、阜宁经济开发区）任意连锁超市门店销售的该商品最低零售价作为市场基准价。（连锁超市应以营业执照商户名称进行认定）</w:t>
      </w:r>
      <w:r>
        <w:rPr>
          <w:rFonts w:hint="eastAsia" w:ascii="宋体" w:hAnsi="宋体" w:eastAsia="宋体" w:cs="Times New Roman"/>
          <w:b/>
          <w:bCs/>
          <w:color w:val="000000"/>
          <w:sz w:val="21"/>
          <w:szCs w:val="20"/>
          <w:u w:val="single"/>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2.食品添加剂质量要求：食品添加剂应符合相应的食品安全标准，添加剂的使用必须符合GB2760-2011标准，对食品的添加量严格控制在标准规定范围之内。</w:t>
      </w:r>
      <w:r>
        <w:rPr>
          <w:rFonts w:hint="eastAsia" w:ascii="宋体" w:hAnsi="宋体" w:eastAsia="宋体" w:cs="Times New Roman"/>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2.所供食品的质量要求：符合《中华人民共和国食品安全法》《农食材质量安全</w:t>
      </w:r>
      <w:r>
        <w:rPr>
          <w:rFonts w:hint="eastAsia" w:ascii="宋体" w:hAnsi="宋体" w:eastAsia="宋体" w:cs="Times New Roman"/>
          <w:sz w:val="21"/>
          <w:szCs w:val="20"/>
          <w:lang w:val="en-US" w:eastAsia="zh-CN"/>
        </w:rPr>
        <w:t xml:space="preserve">法》《餐饮业和集体用餐配送单位卫生规范》《国家食品卫生标准》《食品卫生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u w:val="single"/>
          <w:lang w:val="en-US" w:eastAsia="zh-CN"/>
        </w:rPr>
      </w:r>
      <w:r/>
    </w:p>
    <w:p>
      <w:pPr>
        <w:pStyle w:val="78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承诺因所供食材质量原因引起学生（含教职员工）食物中毒等食源性疾病发生的特殊情形，供应商具有因此产生的一切损失先行赔付的能力。</w:t>
      </w:r>
      <w:r>
        <w:rPr>
          <w:rFonts w:ascii="宋体" w:hAnsi="宋体" w:eastAsia="宋体" w:cs="Times New Roman"/>
          <w:b/>
          <w:bCs/>
          <w:i/>
          <w:iCs/>
          <w:color w:val="000000"/>
          <w:sz w:val="21"/>
          <w:szCs w:val="20"/>
          <w:u w:val="single"/>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七、其他要求：</w:t>
      </w:r>
      <w:r>
        <w:rPr>
          <w:rFonts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1.履约能力要求：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1.1 投标人自2023年1月1日（以签订合同时间为准）以来具有食材配送的类似业绩，合同中必须体现甲乙双方单位名称及相关服务内容。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1.2 投标人须具有有效的质量管理体系证书；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1.3 投标人须具有有效的环境管理体系证书；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1.4.投标人须具有有效的职业健康安全管理体系证书；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2.供应商应拟定为保障项目顺利实施方案，方案具体要求包括但不限于以下内容：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2.1 服务保障方案，包括</w:t>
      </w:r>
      <w:r>
        <w:rPr>
          <w:rFonts w:hint="eastAsia" w:ascii="宋体" w:hAnsi="宋体" w:eastAsia="宋体" w:cs="宋体"/>
          <w:sz w:val="21"/>
          <w:szCs w:val="21"/>
          <w:lang w:val="en-US" w:eastAsia="zh-CN"/>
        </w:rPr>
        <w:t xml:space="preserve">专属本项目固定组织架构，专人驻场对接多校区</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上游品牌直供溯源，严控预包装点心等食材货源资质</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多校区分时段稳定供货，满足每日午餐集中配送需求</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全流程台账、对账、验收标准化，适配多校独立结算</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eastAsia="宋体" w:cs="宋体"/>
          <w:spacing w:val="8"/>
          <w:szCs w:val="21"/>
          <w:lang w:val="en-US" w:eastAsia="zh-CN"/>
        </w:rPr>
        <w:t xml:space="preserve">严格执行全品类国家强制食品安全标准，点心专项合规管控</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pacing w:val="8"/>
          <w:szCs w:val="21"/>
          <w:lang w:val="en-US" w:eastAsia="zh-CN"/>
        </w:rPr>
        <w:t xml:space="preserve">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cs="宋体"/>
          <w:spacing w:val="8"/>
          <w:szCs w:val="21"/>
          <w:lang w:val="en-US" w:eastAsia="zh-CN"/>
        </w:rPr>
        <w:t xml:space="preserve">标准化分区仓储，匹配冷藏、冷冻、常温点心储存需求、专用密闭冷链配送车辆，全程温控保障点心、乳制品品质、多校区最优配送路线规划，错峰配送保障时效、周转器具标准化管理，包装符合绿色采购规范</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lang w:val="en-US" w:eastAsia="zh-CN"/>
        </w:rPr>
        <w:t xml:space="preserve">，提供</w:t>
      </w:r>
      <w:r>
        <w:rPr>
          <w:rFonts w:hint="eastAsia" w:ascii="宋体" w:hAnsi="宋体" w:cs="宋体"/>
          <w:spacing w:val="8"/>
          <w:szCs w:val="21"/>
          <w:lang w:val="en-US" w:eastAsia="zh-CN"/>
        </w:rPr>
        <w:t xml:space="preserve">货源断供应急分级处置，保障师生就餐不间断</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冷链、运输故障应急，杜绝点心、乳制品变质</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食材质量、投诉类应急，快速处置、先行赔付</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八、合同终止情形：</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78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九、其他说明</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十、报价要求</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bookmarkStart w:id="189" w:name="_Hlk524968709"/>
      <w:r>
        <w:rPr>
          <w:rFonts w:hint="eastAsia" w:ascii="宋体" w:hAnsi="宋体" w:eastAsia="宋体" w:cs="Times New Roman"/>
          <w:b w:val="0"/>
          <w:bCs w:val="0"/>
          <w:color w:val="000000"/>
          <w:sz w:val="21"/>
          <w:szCs w:val="20"/>
          <w:lang w:val="en-US" w:eastAsia="zh-CN"/>
        </w:rPr>
        <w:t xml:space="preserve">本采购项目采用</w:t>
      </w:r>
      <w:r>
        <w:rPr>
          <w:rFonts w:hint="eastAsia" w:ascii="宋体" w:hAnsi="宋体" w:eastAsia="宋体" w:cs="Times New Roman"/>
          <w:b w:val="0"/>
          <w:bCs w:val="0"/>
          <w:color w:val="000000"/>
          <w:sz w:val="21"/>
          <w:szCs w:val="20"/>
          <w:lang w:val="en-US" w:eastAsia="zh-CN"/>
        </w:rPr>
        <w:t xml:space="preserve">“投标优惠率”的报价方式，供应商按照主要食材质量标准及要求中的品类进行优惠率报价，优惠后的</w:t>
      </w:r>
      <w:r>
        <w:rPr>
          <w:rFonts w:hint="eastAsia" w:ascii="宋体" w:hAnsi="宋体" w:eastAsia="宋体" w:cs="Times New Roman"/>
          <w:b w:val="0"/>
          <w:bCs w:val="0"/>
          <w:color w:val="000000"/>
          <w:sz w:val="21"/>
          <w:szCs w:val="20"/>
          <w:lang w:val="en-US" w:eastAsia="zh-CN"/>
        </w:rPr>
        <w:t xml:space="preserve">报价中要求包括本次阜宁县实验小学食堂食材-调味品等品类采购项目的所有费用。优惠后的报价包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w:t>
      </w:r>
      <w:r>
        <w:rPr>
          <w:rFonts w:hint="eastAsia" w:ascii="宋体" w:hAnsi="宋体" w:eastAsia="宋体" w:cs="Times New Roman"/>
          <w:b w:val="0"/>
          <w:bCs w:val="0"/>
          <w:color w:val="000000"/>
          <w:sz w:val="21"/>
          <w:szCs w:val="20"/>
          <w:lang w:val="en-US" w:eastAsia="zh-CN"/>
        </w:rPr>
        <w:t xml:space="preserve">优惠后</w:t>
      </w:r>
      <w:r>
        <w:rPr>
          <w:rFonts w:hint="eastAsia" w:ascii="宋体" w:hAnsi="宋体" w:eastAsia="宋体" w:cs="Times New Roman"/>
          <w:b w:val="0"/>
          <w:bCs w:val="0"/>
          <w:color w:val="000000"/>
          <w:sz w:val="21"/>
          <w:szCs w:val="20"/>
          <w:lang w:val="en-US" w:eastAsia="zh-CN"/>
        </w:rPr>
        <w:t xml:space="preserve">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特别提醒：中标人在食材配送服务期中，所有食材均以采购人下单当天该食材在其商铺零售价格（不含会员价）为结算价格的依据。若采购人第一次发现供应商存在价格欺诈行为，将扣罚履约保证金的20%，</w:t>
      </w:r>
      <w:r>
        <w:rPr>
          <w:rFonts w:hint="eastAsia" w:ascii="宋体" w:hAnsi="宋体" w:eastAsia="宋体" w:cs="Times New Roman"/>
          <w:b/>
          <w:bCs/>
          <w:color w:val="ff0000"/>
          <w:sz w:val="21"/>
          <w:szCs w:val="20"/>
          <w:lang w:val="en-US" w:eastAsia="zh-CN"/>
        </w:rPr>
        <w:t xml:space="preserve">同时供应商需在当地公共媒体发布道歉声明</w:t>
      </w:r>
      <w:r>
        <w:rPr>
          <w:rFonts w:hint="eastAsia" w:ascii="宋体" w:hAnsi="宋体" w:eastAsia="宋体" w:cs="Times New Roman"/>
          <w:b/>
          <w:bCs/>
          <w:color w:val="ff0000"/>
          <w:sz w:val="21"/>
          <w:szCs w:val="20"/>
          <w:lang w:val="en-US" w:eastAsia="zh-CN"/>
        </w:rPr>
        <w:t xml:space="preserve">；若采购人第二次发现供应商存在价格欺诈行为，采购人可以单方面解除本服务合同，供应商的履约保证金将不予退还。</w:t>
      </w:r>
      <w:r>
        <w:rPr>
          <w:rFonts w:hint="eastAsia" w:ascii="宋体" w:hAnsi="宋体" w:eastAsia="宋体" w:cs="Times New Roman"/>
          <w:b/>
          <w:bCs/>
          <w:color w:val="ff0000"/>
          <w:sz w:val="21"/>
          <w:szCs w:val="20"/>
          <w:lang w:val="en-US" w:eastAsia="zh-CN"/>
        </w:rPr>
        <w:t xml:space="preserve">采购人将进一步保留对供应商因此造成相关损失进行追偿的权利。</w:t>
      </w:r>
      <w:r>
        <w:rPr>
          <w:rFonts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90" w:name="_Hlk187654628"/>
      <w:r>
        <w:rPr>
          <w:rFonts w:hint="eastAsia" w:ascii="宋体" w:hAnsi="宋体" w:eastAsia="宋体" w:cs="Times New Roman"/>
          <w:b w:val="0"/>
          <w:bCs w:val="0"/>
          <w:color w:val="000000"/>
          <w:sz w:val="21"/>
          <w:szCs w:val="20"/>
          <w:lang w:val="en-US" w:eastAsia="zh-CN"/>
        </w:rPr>
        <w:t xml:space="preserve">报价是供</w:t>
      </w:r>
      <w:r>
        <w:rPr>
          <w:rFonts w:hint="eastAsia" w:ascii="宋体" w:hAnsi="宋体" w:eastAsia="宋体" w:cs="Times New Roman"/>
          <w:b w:val="0"/>
          <w:bCs w:val="0"/>
          <w:color w:val="000000"/>
          <w:sz w:val="21"/>
          <w:szCs w:val="20"/>
          <w:lang w:val="en-US" w:eastAsia="zh-CN"/>
        </w:rPr>
        <w:t xml:space="preserve">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bookmarkEnd w:id="190"/>
      <w:r/>
      <w:bookmarkStart w:id="191" w:name="_Hlk80086320"/>
      <w:r/>
      <w:bookmarkStart w:id="192" w:name="_Hlk801694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1"/>
      <w:r/>
      <w:bookmarkEnd w:id="192"/>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9.要求报价单的每一页都必须盖投标单位公章。</w:t>
      </w:r>
      <w:bookmarkEnd w:id="189"/>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十一、付款方式</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十二、本项目不接受进口产品投标</w:t>
      </w:r>
      <w:r>
        <w:rPr>
          <w:rFonts w:hint="eastAsia" w:ascii="宋体" w:hAnsi="宋体" w:eastAsia="宋体" w:cs="Times New Roman"/>
          <w:b/>
          <w:bCs/>
          <w:i/>
          <w:iCs/>
          <w:color w:val="000000"/>
          <w:sz w:val="21"/>
          <w:szCs w:val="20"/>
          <w:u w:val="single"/>
          <w:lang w:val="en-US" w:eastAsia="zh-CN"/>
        </w:rPr>
      </w:r>
      <w:r/>
    </w:p>
    <w:p>
      <w:pPr>
        <w:pStyle w:val="785"/>
        <w:ind w:firstLine="422"/>
        <w:spacing w:line="360" w:lineRule="auto"/>
        <w:rPr>
          <w:rFonts w:hint="eastAsia" w:ascii="宋体" w:hAnsi="宋体" w:eastAsia="宋体" w:cs="Times New Roman"/>
          <w:b/>
          <w:bCs/>
          <w:i w:val="0"/>
          <w:iCs w:val="0"/>
          <w:color w:val="000000"/>
          <w:sz w:val="21"/>
          <w:szCs w:val="20"/>
          <w:lang w:val="en-US" w:eastAsia="zh-CN"/>
        </w:rPr>
      </w:pPr>
      <w:r>
        <w:rPr>
          <w:rFonts w:hint="eastAsia" w:ascii="宋体" w:hAnsi="宋体" w:eastAsia="宋体" w:cs="Times New Roman"/>
          <w:b/>
          <w:bCs/>
          <w:i w:val="0"/>
          <w:iCs w:val="0"/>
          <w:color w:val="000000"/>
          <w:sz w:val="21"/>
          <w:szCs w:val="20"/>
          <w:lang w:val="en-US" w:eastAsia="zh-CN"/>
        </w:rPr>
        <w:t xml:space="preserve">十三、采购标的对应的中小企业划分标准所属行业一览表</w:t>
      </w:r>
      <w:r>
        <w:rPr>
          <w:rFonts w:hint="eastAsia" w:ascii="宋体" w:hAnsi="宋体" w:eastAsia="宋体" w:cs="Times New Roman"/>
          <w:b/>
          <w:bCs/>
          <w:i w:val="0"/>
          <w:iCs w:val="0"/>
          <w:color w:val="000000"/>
          <w:sz w:val="21"/>
          <w:szCs w:val="20"/>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调味品类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香料（包装）</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冷冻品类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水产品类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水果类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乳制品类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水饮品类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点心（预包装）</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注：本项目仅需填写上表中食品类别的中小企业声明函，其他采购食品类别无需填写。</w:t>
      </w:r>
      <w:r>
        <w:rPr>
          <w:rFonts w:hint="eastAsia" w:ascii="宋体" w:hAnsi="宋体" w:eastAsia="宋体" w:cs="Times New Roman"/>
          <w:b/>
          <w:bCs/>
          <w:color w:val="ff0000"/>
          <w:sz w:val="21"/>
          <w:szCs w:val="20"/>
          <w:lang w:val="en-US" w:eastAsia="zh-CN"/>
        </w:rPr>
      </w:r>
      <w:r/>
    </w:p>
    <w:p>
      <w:pPr>
        <w:pStyle w:val="785"/>
        <w:ind w:firstLine="482"/>
        <w:spacing w:line="360" w:lineRule="auto"/>
        <w:rPr>
          <w:rFonts w:hint="eastAsia" w:ascii="宋体" w:hAnsi="宋体" w:cs="宋体"/>
          <w:b/>
          <w:bCs/>
          <w:sz w:val="24"/>
        </w:rPr>
      </w:pPr>
      <w:r>
        <w:rPr>
          <w:rFonts w:hint="eastAsia" w:ascii="宋体" w:hAnsi="宋体" w:cs="宋体"/>
          <w:b/>
          <w:bCs/>
          <w:sz w:val="24"/>
        </w:rPr>
      </w:r>
      <w:r/>
    </w:p>
    <w:p>
      <w:pPr>
        <w:pStyle w:val="785"/>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785"/>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942"/>
        <w:rPr>
          <w:rFonts w:hint="eastAsia"/>
          <w:sz w:val="21"/>
          <w:szCs w:val="20"/>
          <w:lang w:eastAsia="zh-CN"/>
        </w:rPr>
      </w:pPr>
      <w:r>
        <w:rPr>
          <w:rFonts w:hint="eastAsia"/>
          <w:sz w:val="21"/>
          <w:szCs w:val="20"/>
          <w:lang w:eastAsia="zh-CN"/>
        </w:rPr>
        <w:t xml:space="preserve">供应商：                                          </w:t>
      </w:r>
      <w:r>
        <w:rPr>
          <w:rFonts w:hint="eastAsia"/>
          <w:sz w:val="21"/>
          <w:szCs w:val="20"/>
          <w:lang w:val="en-US" w:eastAsia="zh-CN"/>
        </w:rPr>
        <w:t xml:space="preserve">      </w:t>
      </w:r>
      <w:r>
        <w:rPr>
          <w:rFonts w:hint="eastAsia"/>
          <w:sz w:val="21"/>
          <w:szCs w:val="20"/>
          <w:lang w:eastAsia="zh-CN"/>
        </w:rPr>
        <w:t xml:space="preserve"> 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077"/>
        <w:gridCol w:w="655"/>
      </w:tblGrid>
      <w:tr>
        <w:trPr/>
        <w:tc>
          <w:tcPr>
            <w:tcW w:w="703" w:type="dxa"/>
            <w:vAlign w:val="center"/>
            <w:textDirection w:val="lrTb"/>
            <w:noWrap w:val="false"/>
          </w:tcPr>
          <w:p>
            <w:pPr>
              <w:pStyle w:val="785"/>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0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655"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077"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077"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506" w:type="dxa"/>
            <w:vAlign w:val="center"/>
            <w:textDirection w:val="lrTb"/>
            <w:noWrap w:val="false"/>
          </w:tcPr>
          <w:p>
            <w:pPr>
              <w:pStyle w:val="785"/>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采购人每月组织一次考核，月考核低于80分的，终止食材配送合同；年度考核不小于85分为合格，年度考核以全年每月考核平均分计；同一年度内由甲方下达3次及以上整改通知书的，视为年度考核不合格。</w:t>
            </w:r>
            <w:r>
              <w:rPr>
                <w:rFonts w:hint="eastAsia" w:ascii="宋体" w:hAnsi="宋体" w:eastAsia="宋体" w:cs="宋体"/>
                <w:b/>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bl>
    <w:p>
      <w:pPr>
        <w:pStyle w:val="78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7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综合评分</w:t>
      </w:r>
      <w:r>
        <w:rPr>
          <w:rFonts w:hint="eastAsia" w:ascii="宋体" w:hAnsi="宋体" w:eastAsia="宋体" w:cs="宋体"/>
          <w:bCs/>
          <w:color w:val="000000"/>
          <w:sz w:val="21"/>
          <w:szCs w:val="21"/>
          <w:highlight w:val="none"/>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1"/>
          <w:szCs w:val="21"/>
          <w:highlight w:val="none"/>
        </w:rPr>
      </w:r>
      <w:r/>
    </w:p>
    <w:p>
      <w:pPr>
        <w:pStyle w:val="78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78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评标方法与评标标准</w:t>
      </w:r>
      <w:r>
        <w:rPr>
          <w:rFonts w:hint="eastAsia" w:ascii="宋体" w:hAnsi="宋体" w:eastAsia="宋体" w:cs="宋体"/>
          <w:b/>
          <w:bCs w:val="0"/>
          <w:color w:val="000000"/>
          <w:sz w:val="21"/>
          <w:szCs w:val="21"/>
          <w:highlight w:val="none"/>
        </w:rPr>
      </w:r>
      <w:r/>
    </w:p>
    <w:tbl>
      <w:tblPr>
        <w:tblW w:w="92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914"/>
        <w:gridCol w:w="6832"/>
        <w:gridCol w:w="877"/>
      </w:tblGrid>
      <w:tr>
        <w:trPr>
          <w:trHeight w:val="417"/>
        </w:trPr>
        <w:tc>
          <w:tcPr>
            <w:tcW w:w="588"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sz w:val="21"/>
                <w:szCs w:val="21"/>
              </w:rPr>
            </w:r>
            <w:r/>
          </w:p>
        </w:tc>
        <w:tc>
          <w:tcPr>
            <w:tcW w:w="914" w:type="dxa"/>
            <w:vAlign w:val="center"/>
            <w:textDirection w:val="lrTb"/>
            <w:noWrap w:val="false"/>
          </w:tcPr>
          <w:p>
            <w:pPr>
              <w:pStyle w:val="78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w:t>
            </w:r>
            <w:r>
              <w:rPr>
                <w:rFonts w:hint="eastAsia" w:ascii="宋体" w:hAnsi="宋体" w:eastAsia="宋体" w:cs="宋体"/>
                <w:b/>
                <w:bCs/>
                <w:color w:val="000000"/>
                <w:sz w:val="21"/>
                <w:szCs w:val="21"/>
              </w:rPr>
            </w:r>
            <w:r/>
          </w:p>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因素</w:t>
            </w:r>
            <w:r>
              <w:rPr>
                <w:rFonts w:hint="eastAsia" w:ascii="宋体" w:hAnsi="宋体" w:eastAsia="宋体" w:cs="宋体"/>
                <w:sz w:val="21"/>
                <w:szCs w:val="21"/>
              </w:rPr>
            </w:r>
            <w:r/>
          </w:p>
        </w:tc>
        <w:tc>
          <w:tcPr>
            <w:tcW w:w="6832"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评审细则</w:t>
            </w:r>
            <w:r>
              <w:rPr>
                <w:rFonts w:hint="eastAsia" w:ascii="宋体" w:hAnsi="宋体" w:eastAsia="宋体" w:cs="宋体"/>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一、价格分（</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0分）</w:t>
            </w:r>
            <w:r>
              <w:rPr>
                <w:rFonts w:hint="eastAsia" w:ascii="宋体" w:hAnsi="宋体" w:eastAsia="宋体" w:cs="宋体"/>
                <w:sz w:val="21"/>
                <w:szCs w:val="21"/>
              </w:rPr>
            </w:r>
            <w:r/>
          </w:p>
        </w:tc>
      </w:tr>
      <w:tr>
        <w:trPr>
          <w:trHeight w:val="293"/>
        </w:trPr>
        <w:tc>
          <w:tcPr>
            <w:tcW w:w="588"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val="0"/>
                <w:bCs w:val="0"/>
                <w:sz w:val="21"/>
                <w:szCs w:val="21"/>
              </w:rPr>
              <w:t xml:space="preserve">1.1</w:t>
            </w:r>
            <w:r>
              <w:rPr>
                <w:rFonts w:hint="eastAsia" w:ascii="宋体" w:hAnsi="宋体" w:eastAsia="宋体" w:cs="宋体"/>
                <w:sz w:val="21"/>
                <w:szCs w:val="21"/>
              </w:rPr>
            </w:r>
            <w:r/>
          </w:p>
        </w:tc>
        <w:tc>
          <w:tcPr>
            <w:tcW w:w="914"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832" w:type="dxa"/>
            <w:vAlign w:val="center"/>
            <w:textDirection w:val="lrTb"/>
            <w:noWrap w:val="false"/>
          </w:tcPr>
          <w:p>
            <w:pPr>
              <w:pStyle w:val="785"/>
              <w:ind w:firstLine="420"/>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w:t>
            </w:r>
            <w:r>
              <w:rPr>
                <w:rFonts w:hint="eastAsia" w:ascii="宋体" w:hAnsi="宋体" w:eastAsia="宋体" w:cs="宋体"/>
                <w:sz w:val="21"/>
                <w:szCs w:val="21"/>
              </w:rPr>
              <w:t xml:space="preserve">价格分</w:t>
            </w:r>
            <w:r>
              <w:rPr>
                <w:rFonts w:ascii="宋体" w:hAnsi="宋体" w:eastAsia="宋体" w:cs="宋体"/>
                <w:sz w:val="21"/>
                <w:szCs w:val="21"/>
                <w:lang w:val="en-US" w:eastAsia="zh-CN"/>
              </w:rPr>
              <w:t xml:space="preserve">采用优惠率计算，即满足招标文件要求且优惠率最高的报价为评标基准价，其价格分为满分。其他供应商的投标报价得分统一按照下列公式计算：</w:t>
            </w:r>
            <w:r>
              <w:rPr>
                <w:rFonts w:ascii="宋体" w:hAnsi="宋体" w:eastAsia="宋体" w:cs="宋体"/>
                <w:sz w:val="21"/>
                <w:szCs w:val="21"/>
                <w:lang w:val="en-US" w:eastAsia="zh-CN"/>
              </w:rPr>
            </w:r>
            <w:r/>
          </w:p>
          <w:p>
            <w:pPr>
              <w:pStyle w:val="785"/>
              <w:ind w:firstLine="420"/>
              <w:rPr>
                <w:rFonts w:ascii="宋体" w:hAnsi="宋体" w:eastAsia="宋体" w:cs="宋体"/>
                <w:sz w:val="21"/>
                <w:szCs w:val="21"/>
                <w:lang w:val="en-US" w:eastAsia="zh-CN"/>
              </w:rPr>
            </w:pPr>
            <w:r>
              <w:rPr>
                <w:rFonts w:ascii="宋体" w:hAnsi="宋体" w:eastAsia="宋体" w:cs="宋体"/>
                <w:sz w:val="21"/>
                <w:szCs w:val="21"/>
                <w:lang w:val="en-US" w:eastAsia="zh-CN"/>
              </w:rPr>
              <w:t xml:space="preserve">投标报价得分=【（1-最高优惠率评审价）÷（1-优惠率评审价）】×30， 小数点后保留2位，第三位四舍五入。</w:t>
            </w:r>
            <w:r>
              <w:rPr>
                <w:rFonts w:ascii="宋体" w:hAnsi="宋体" w:eastAsia="宋体" w:cs="宋体"/>
                <w:sz w:val="21"/>
                <w:szCs w:val="21"/>
                <w:lang w:val="en-US" w:eastAsia="zh-CN"/>
              </w:rPr>
            </w:r>
            <w:r/>
          </w:p>
          <w:p>
            <w:pPr>
              <w:pStyle w:val="785"/>
              <w:ind w:firstLine="420"/>
              <w:rPr>
                <w:rFonts w:ascii="宋体" w:hAnsi="宋体" w:eastAsia="宋体" w:cs="宋体"/>
                <w:sz w:val="21"/>
                <w:szCs w:val="21"/>
                <w:lang w:val="en-US" w:eastAsia="zh-CN"/>
              </w:rPr>
            </w:pPr>
            <w:r>
              <w:rPr>
                <w:rFonts w:ascii="宋体" w:hAnsi="宋体" w:eastAsia="宋体" w:cs="宋体"/>
                <w:sz w:val="21"/>
                <w:szCs w:val="21"/>
                <w:lang w:val="en-US" w:eastAsia="zh-CN"/>
              </w:rPr>
              <w:t xml:space="preserve">例：甲投标优惠率报价15%，乙投标优惠率报价25%（为本次采购项目最高优惠率）</w:t>
            </w:r>
            <w:r>
              <w:rPr>
                <w:rFonts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、综合能力（</w:t>
            </w:r>
            <w:r>
              <w:rPr>
                <w:rFonts w:hint="eastAsia" w:ascii="宋体" w:hAnsi="宋体" w:eastAsia="宋体" w:cs="宋体"/>
                <w:b/>
                <w:bCs/>
                <w:color w:val="000000"/>
                <w:sz w:val="21"/>
                <w:szCs w:val="21"/>
                <w:lang w:val="en-US" w:eastAsia="zh-CN"/>
              </w:rPr>
              <w:t xml:space="preserve">35</w:t>
            </w:r>
            <w:r>
              <w:rPr>
                <w:rFonts w:hint="eastAsia" w:ascii="宋体" w:hAnsi="宋体" w:eastAsia="宋体" w:cs="宋体"/>
                <w:b/>
                <w:bCs/>
                <w:color w:val="000000"/>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color w:val="ff0000"/>
                <w:sz w:val="21"/>
                <w:szCs w:val="21"/>
                <w:lang w:val="en-US" w:eastAsia="zh-CN"/>
              </w:rPr>
            </w:pPr>
            <w:r>
              <w:rPr>
                <w:rFonts w:hint="eastAsia" w:ascii="宋体" w:hAnsi="宋体" w:eastAsia="宋体" w:cs="宋体"/>
                <w:color w:val="000000"/>
                <w:sz w:val="21"/>
                <w:szCs w:val="21"/>
                <w:shd w:val="clear" w:color="auto" w:fill="auto"/>
                <w:lang w:val="en-US" w:eastAsia="zh-CN"/>
              </w:rPr>
              <w:t xml:space="preserve">2.1</w:t>
            </w:r>
            <w:r>
              <w:rPr>
                <w:rFonts w:ascii="宋体" w:hAnsi="宋体" w:eastAsia="宋体" w:cs="宋体"/>
                <w:color w:val="ff0000"/>
                <w:sz w:val="21"/>
                <w:szCs w:val="21"/>
                <w:lang w:val="en-US" w:eastAsia="zh-CN"/>
              </w:rPr>
            </w:r>
            <w:r/>
          </w:p>
        </w:tc>
        <w:tc>
          <w:tcPr>
            <w:tcW w:w="914" w:type="dxa"/>
            <w:vAlign w:val="center"/>
            <w:textDirection w:val="lrTb"/>
            <w:noWrap w:val="false"/>
          </w:tcPr>
          <w:p>
            <w:pPr>
              <w:pStyle w:val="785"/>
              <w:jc w:val="center"/>
              <w:spacing w:line="320" w:lineRule="exact"/>
              <w:rPr>
                <w:rFonts w:ascii="宋体" w:hAnsi="宋体" w:eastAsia="宋体" w:cs="宋体"/>
                <w:color w:val="ff0000"/>
                <w:spacing w:val="8"/>
                <w:szCs w:val="21"/>
                <w:lang w:val="en-US" w:eastAsia="zh-CN"/>
              </w:rPr>
            </w:pPr>
            <w:r>
              <w:rPr>
                <w:rFonts w:hint="eastAsia" w:ascii="宋体" w:hAnsi="宋体" w:eastAsia="宋体" w:cs="宋体"/>
                <w:sz w:val="21"/>
                <w:szCs w:val="21"/>
                <w:lang w:val="en-US" w:eastAsia="zh-CN"/>
              </w:rPr>
              <w:t xml:space="preserve">投标人业绩</w:t>
            </w:r>
            <w:r>
              <w:rPr>
                <w:rFonts w:ascii="宋体" w:hAnsi="宋体" w:eastAsia="宋体" w:cs="宋体"/>
                <w:color w:val="ff0000"/>
                <w:spacing w:val="8"/>
                <w:szCs w:val="21"/>
                <w:lang w:val="en-US" w:eastAsia="zh-CN"/>
              </w:rPr>
            </w:r>
            <w:r/>
          </w:p>
        </w:tc>
        <w:tc>
          <w:tcPr>
            <w:tcW w:w="6832" w:type="dxa"/>
            <w:vAlign w:val="center"/>
            <w:textDirection w:val="lrTb"/>
            <w:noWrap w:val="false"/>
          </w:tcPr>
          <w:p>
            <w:pPr>
              <w:pStyle w:val="785"/>
              <w:ind w:firstLine="420"/>
              <w:spacing w:line="320" w:lineRule="exact"/>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000000"/>
                <w:sz w:val="21"/>
                <w:szCs w:val="21"/>
                <w:lang w:val="en-US" w:eastAsia="zh-CN"/>
              </w:rPr>
              <w:t xml:space="preserve">投标人自2023年1月1日（以签订合同时间为准）以来具有食材配送的类似业绩（甲方主体应为中小学、幼儿园、高等院校、党政机关、公立医院、酒店或大型餐饮企业），每提供一份业绩合同得1分，本项最高得2分；</w:t>
            </w:r>
            <w:r>
              <w:rPr>
                <w:rFonts w:hint="eastAsia" w:ascii="宋体" w:hAnsi="宋体" w:eastAsia="宋体" w:cs="宋体"/>
                <w:b w:val="0"/>
                <w:bCs w:val="0"/>
                <w:color w:val="ff0000"/>
                <w:sz w:val="21"/>
                <w:szCs w:val="21"/>
                <w:lang w:val="en-US" w:eastAsia="zh-CN"/>
              </w:rPr>
            </w:r>
            <w:r/>
          </w:p>
          <w:p>
            <w:pPr>
              <w:pStyle w:val="785"/>
              <w:ind w:firstLine="422"/>
              <w:spacing w:line="320" w:lineRule="exact"/>
              <w:rPr>
                <w:rFonts w:ascii="宋体" w:hAnsi="宋体" w:eastAsia="宋体" w:cs="宋体"/>
                <w:b w:val="0"/>
                <w:bCs w:val="0"/>
                <w:color w:val="ff0000"/>
                <w:sz w:val="21"/>
                <w:szCs w:val="21"/>
                <w:lang w:val="en-US" w:eastAsia="zh-CN"/>
              </w:rPr>
            </w:pPr>
            <w:r>
              <w:rPr>
                <w:rFonts w:hint="eastAsia" w:ascii="宋体" w:hAnsi="宋体" w:eastAsia="宋体" w:cs="宋体"/>
                <w:b/>
                <w:bCs/>
                <w:color w:val="ff0000"/>
                <w:sz w:val="21"/>
                <w:szCs w:val="21"/>
                <w:lang w:val="en-US" w:eastAsia="zh-CN"/>
              </w:rPr>
              <w:t xml:space="preserve">注：投标时需提供合同原件扫描件，合同中必须体现甲乙双方单位名称及相关服务内容；提供不符合要求的或未提供的不得分。</w:t>
            </w:r>
            <w:r>
              <w:rPr>
                <w:rFonts w:ascii="宋体" w:hAnsi="宋体" w:eastAsia="宋体" w:cs="宋体"/>
                <w:b w:val="0"/>
                <w:bCs w:val="0"/>
                <w:color w:val="ff0000"/>
                <w:sz w:val="21"/>
                <w:szCs w:val="21"/>
                <w:lang w:val="en-US" w:eastAsia="zh-CN"/>
              </w:rPr>
            </w:r>
            <w:r/>
          </w:p>
        </w:tc>
        <w:tc>
          <w:tcPr>
            <w:tcW w:w="877" w:type="dxa"/>
            <w:vAlign w:val="center"/>
            <w:textDirection w:val="lrTb"/>
            <w:noWrap w:val="false"/>
          </w:tcPr>
          <w:p>
            <w:pPr>
              <w:pStyle w:val="785"/>
              <w:jc w:val="center"/>
              <w:rPr>
                <w:rFonts w:ascii="宋体" w:hAnsi="宋体" w:eastAsia="宋体" w:cs="宋体"/>
                <w:color w:val="ff0000"/>
                <w:sz w:val="21"/>
                <w:szCs w:val="21"/>
                <w:lang w:val="en-US" w:eastAsia="zh-CN"/>
              </w:rPr>
            </w:pPr>
            <w:r>
              <w:rPr>
                <w:rFonts w:hint="eastAsia" w:ascii="宋体" w:hAnsi="宋体" w:eastAsia="宋体" w:cs="宋体"/>
                <w:color w:val="0d0d0d"/>
                <w:sz w:val="21"/>
                <w:szCs w:val="21"/>
                <w:lang w:val="en-US" w:eastAsia="zh-CN"/>
              </w:rPr>
              <w:t xml:space="preserve">2分</w:t>
            </w:r>
            <w:r>
              <w:rPr>
                <w:rFonts w:ascii="宋体" w:hAnsi="宋体" w:eastAsia="宋体" w:cs="宋体"/>
                <w:color w:val="ff0000"/>
                <w:sz w:val="21"/>
                <w:szCs w:val="21"/>
                <w:lang w:val="en-US" w:eastAsia="zh-CN"/>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eastAsia="zh-CN"/>
              </w:rPr>
            </w:r>
            <w:r/>
          </w:p>
        </w:tc>
        <w:tc>
          <w:tcPr>
            <w:tcW w:w="914" w:type="dxa"/>
            <w:vAlign w:val="center"/>
            <w:textDirection w:val="lrTb"/>
            <w:noWrap w:val="false"/>
          </w:tcPr>
          <w:p>
            <w:pPr>
              <w:pStyle w:val="785"/>
              <w:jc w:val="center"/>
              <w:rPr>
                <w:rFonts w:hint="eastAsia" w:ascii="宋体" w:hAnsi="宋体" w:cs="宋体"/>
                <w:spacing w:val="8"/>
                <w:szCs w:val="21"/>
              </w:rPr>
            </w:pPr>
            <w:r>
              <w:rPr>
                <w:rFonts w:hint="eastAsia" w:ascii="宋体" w:hAnsi="宋体" w:cs="宋体"/>
                <w:spacing w:val="8"/>
                <w:szCs w:val="21"/>
              </w:rPr>
              <w:t xml:space="preserve">仓储</w:t>
            </w:r>
            <w:r>
              <w:rPr>
                <w:rFonts w:hint="eastAsia" w:ascii="宋体" w:hAnsi="宋体" w:cs="宋体"/>
                <w:spacing w:val="8"/>
                <w:szCs w:val="21"/>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场所</w:t>
            </w:r>
            <w:r>
              <w:rPr>
                <w:rFonts w:hint="eastAsia" w:ascii="宋体" w:hAnsi="宋体" w:eastAsia="宋体" w:cs="宋体"/>
                <w:sz w:val="21"/>
                <w:szCs w:val="21"/>
              </w:rPr>
            </w:r>
            <w:r/>
          </w:p>
        </w:tc>
        <w:tc>
          <w:tcPr>
            <w:tcW w:w="6832" w:type="dxa"/>
            <w:vAlign w:val="center"/>
            <w:textDirection w:val="lrTb"/>
            <w:noWrap w:val="false"/>
          </w:tcPr>
          <w:p>
            <w:pPr>
              <w:pStyle w:val="785"/>
              <w:ind w:firstLine="42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投标供应商自有或租赁的</w:t>
            </w:r>
            <w:r>
              <w:rPr>
                <w:rFonts w:hint="eastAsia" w:ascii="宋体" w:hAnsi="宋体" w:eastAsia="宋体" w:cs="宋体"/>
                <w:sz w:val="21"/>
                <w:szCs w:val="21"/>
                <w:lang w:val="en-US" w:eastAsia="zh-CN"/>
              </w:rPr>
              <w:t xml:space="preserve">经营场所、</w:t>
            </w:r>
            <w:r>
              <w:rPr>
                <w:rFonts w:hint="eastAsia" w:ascii="宋体" w:hAnsi="宋体" w:eastAsia="宋体" w:cs="宋体"/>
                <w:sz w:val="21"/>
                <w:szCs w:val="21"/>
                <w:lang w:eastAsia="zh-CN"/>
              </w:rPr>
              <w:t xml:space="preserve">仓储场所</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lang w:eastAsia="zh-CN"/>
              </w:rPr>
              <w:t xml:space="preserve">面积大于</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t xml:space="preserve">平方米（不含）</w:t>
            </w:r>
            <w:r>
              <w:rPr>
                <w:rFonts w:hint="eastAsia" w:ascii="宋体" w:hAnsi="宋体" w:eastAsia="宋体" w:cs="宋体"/>
                <w:sz w:val="21"/>
                <w:szCs w:val="21"/>
                <w:lang w:val="en-US" w:eastAsia="zh-CN"/>
              </w:rPr>
              <w:t xml:space="preserve">-800平方米（含）得12分、</w:t>
            </w:r>
            <w:r>
              <w:rPr>
                <w:rFonts w:hint="eastAsia" w:ascii="宋体" w:hAnsi="宋体" w:eastAsia="宋体" w:cs="宋体"/>
                <w:sz w:val="21"/>
                <w:szCs w:val="21"/>
                <w:lang w:val="en-US" w:eastAsia="zh-CN"/>
              </w:rPr>
              <w:t xml:space="preserve">800平方米（不含）-600平方米（含）得9分、</w:t>
            </w: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eastAsia="zh-CN"/>
              </w:rPr>
              <w:t xml:space="preserve">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分、低于100平方米或未按要求提供的不得分。</w:t>
            </w:r>
            <w:r>
              <w:rPr>
                <w:rFonts w:hint="eastAsia" w:ascii="宋体" w:hAnsi="宋体" w:eastAsia="宋体" w:cs="宋体"/>
                <w:sz w:val="21"/>
                <w:szCs w:val="21"/>
                <w:lang w:eastAsia="zh-CN"/>
              </w:rPr>
            </w:r>
            <w:r/>
          </w:p>
          <w:p>
            <w:pPr>
              <w:pStyle w:val="785"/>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rPr>
              <w:t xml:space="preserve">注</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rPr>
              <w:t xml:space="preserve">投标时需提供</w:t>
            </w:r>
            <w:r>
              <w:rPr>
                <w:rFonts w:hint="eastAsia" w:ascii="宋体" w:hAnsi="宋体" w:eastAsia="宋体" w:cs="宋体"/>
                <w:b/>
                <w:bCs/>
                <w:color w:val="ff0000"/>
                <w:sz w:val="21"/>
                <w:szCs w:val="21"/>
                <w:lang w:val="en-US" w:eastAsia="zh-CN"/>
              </w:rPr>
              <w:t xml:space="preserve">自有经营场所、</w:t>
            </w:r>
            <w:r>
              <w:rPr>
                <w:rFonts w:hint="eastAsia" w:ascii="宋体" w:hAnsi="宋体" w:eastAsia="宋体" w:cs="宋体"/>
                <w:b/>
                <w:bCs/>
                <w:color w:val="ff0000"/>
                <w:sz w:val="21"/>
                <w:szCs w:val="21"/>
              </w:rPr>
              <w:t xml:space="preserve">仓储场所</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lang w:val="en-US" w:eastAsia="zh-CN"/>
              </w:rPr>
              <w:t xml:space="preserve">产权</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产权证书</w:t>
            </w:r>
            <w:r>
              <w:rPr>
                <w:rFonts w:hint="eastAsia" w:ascii="宋体" w:hAnsi="宋体" w:eastAsia="宋体" w:cs="宋体"/>
                <w:b/>
                <w:bCs/>
                <w:color w:val="ff0000"/>
                <w:sz w:val="21"/>
                <w:szCs w:val="21"/>
                <w:lang w:eastAsia="zh-CN"/>
              </w:rPr>
              <w:t xml:space="preserve">登记名称与投标供应商名称必须一致）</w:t>
            </w:r>
            <w:r>
              <w:rPr>
                <w:rFonts w:hint="eastAsia" w:ascii="宋体" w:hAnsi="宋体" w:eastAsia="宋体" w:cs="宋体"/>
                <w:b/>
                <w:bCs/>
                <w:color w:val="ff0000"/>
                <w:sz w:val="21"/>
                <w:szCs w:val="21"/>
              </w:rPr>
              <w:t xml:space="preserve">的原件扫描件</w:t>
            </w:r>
            <w:r>
              <w:rPr>
                <w:rFonts w:hint="eastAsia" w:ascii="宋体" w:hAnsi="宋体" w:eastAsia="宋体" w:cs="宋体"/>
                <w:b/>
                <w:bCs/>
                <w:color w:val="ff0000"/>
                <w:sz w:val="21"/>
                <w:szCs w:val="21"/>
                <w:lang w:eastAsia="zh-CN"/>
              </w:rPr>
              <w:t xml:space="preserve">；租赁场地的</w:t>
            </w:r>
            <w:r>
              <w:rPr>
                <w:rFonts w:hint="eastAsia" w:ascii="宋体" w:hAnsi="宋体" w:eastAsia="宋体" w:cs="宋体"/>
                <w:b/>
                <w:bCs/>
                <w:color w:val="ff0000"/>
                <w:sz w:val="21"/>
                <w:szCs w:val="21"/>
                <w:lang w:val="en-US" w:eastAsia="zh-CN"/>
              </w:rPr>
              <w:t xml:space="preserve">需</w:t>
            </w:r>
            <w:r>
              <w:rPr>
                <w:rFonts w:hint="eastAsia" w:ascii="宋体" w:hAnsi="宋体" w:eastAsia="宋体" w:cs="宋体"/>
                <w:b/>
                <w:bCs/>
                <w:color w:val="ff0000"/>
                <w:sz w:val="21"/>
                <w:szCs w:val="21"/>
                <w:lang w:eastAsia="zh-CN"/>
              </w:rPr>
              <w:t xml:space="preserve">提供</w:t>
            </w:r>
            <w:r>
              <w:rPr>
                <w:rFonts w:hint="eastAsia" w:ascii="宋体" w:hAnsi="宋体" w:eastAsia="宋体" w:cs="宋体"/>
                <w:b/>
                <w:bCs/>
                <w:color w:val="ff0000"/>
                <w:sz w:val="21"/>
                <w:szCs w:val="21"/>
                <w:lang w:val="en-US" w:eastAsia="zh-CN"/>
              </w:rPr>
              <w:t xml:space="preserve">有效的</w:t>
            </w:r>
            <w:r>
              <w:rPr>
                <w:rFonts w:hint="eastAsia" w:ascii="宋体" w:hAnsi="宋体" w:eastAsia="宋体" w:cs="宋体"/>
                <w:b/>
                <w:bCs/>
                <w:color w:val="ff0000"/>
                <w:sz w:val="21"/>
                <w:szCs w:val="21"/>
                <w:lang w:eastAsia="zh-CN"/>
              </w:rPr>
              <w:t xml:space="preserve">租赁</w:t>
            </w:r>
            <w:r>
              <w:rPr>
                <w:rFonts w:hint="eastAsia" w:ascii="宋体" w:hAnsi="宋体" w:eastAsia="宋体" w:cs="宋体"/>
                <w:b/>
                <w:bCs/>
                <w:color w:val="ff0000"/>
                <w:sz w:val="21"/>
                <w:szCs w:val="21"/>
                <w:lang w:val="en-US" w:eastAsia="zh-CN"/>
              </w:rPr>
              <w:t xml:space="preserve">合同原件扫描件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租赁用户</w:t>
            </w:r>
            <w:r>
              <w:rPr>
                <w:rFonts w:hint="eastAsia" w:ascii="宋体" w:hAnsi="宋体" w:eastAsia="宋体" w:cs="宋体"/>
                <w:b/>
                <w:bCs/>
                <w:color w:val="ff0000"/>
                <w:sz w:val="21"/>
                <w:szCs w:val="21"/>
                <w:lang w:eastAsia="zh-CN"/>
              </w:rPr>
              <w:t xml:space="preserve">名称与投标供应商名称必须一致）；</w:t>
            </w:r>
            <w:r>
              <w:rPr>
                <w:rFonts w:hint="eastAsia" w:ascii="宋体" w:hAnsi="宋体" w:eastAsia="宋体" w:cs="宋体"/>
                <w:b/>
                <w:bCs/>
                <w:color w:val="ff0000"/>
                <w:sz w:val="21"/>
                <w:szCs w:val="21"/>
                <w:lang w:val="en-US" w:eastAsia="zh-CN"/>
              </w:rPr>
              <w:t xml:space="preserve">同时需提供采购需求中要求的调味品类、香料（包装）、冷冻品类、水产品类、水果类、乳制品类、点心（预包装）所有品类食材的采购发票原件扫描件，发票信息需覆盖供应商名称及食材品类名称。</w:t>
            </w:r>
            <w:r>
              <w:rPr>
                <w:rFonts w:ascii="宋体" w:hAnsi="宋体" w:eastAsia="宋体" w:cs="宋体"/>
                <w:b/>
                <w:bCs/>
                <w:color w:val="ff0000"/>
                <w:sz w:val="21"/>
                <w:szCs w:val="21"/>
                <w:lang w:val="en-US" w:eastAsia="zh-CN"/>
              </w:rPr>
            </w:r>
            <w:r/>
          </w:p>
          <w:p>
            <w:pPr>
              <w:pStyle w:val="785"/>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未按要求提供或未提供的不得分。</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color w:val="0d0d0d"/>
                <w:sz w:val="21"/>
                <w:szCs w:val="21"/>
                <w:lang w:val="en-US" w:eastAsia="zh-CN"/>
              </w:rPr>
              <w:t xml:space="preserve">15</w:t>
            </w:r>
            <w:r>
              <w:rPr>
                <w:rFonts w:hint="eastAsia" w:ascii="宋体" w:hAnsi="宋体" w:eastAsia="宋体" w:cs="宋体"/>
                <w:color w:val="0d0d0d"/>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914" w:type="dxa"/>
            <w:vAlign w:val="center"/>
            <w:textDirection w:val="lrTb"/>
            <w:noWrap w:val="false"/>
          </w:tcPr>
          <w:p>
            <w:pPr>
              <w:pStyle w:val="785"/>
              <w:jc w:val="center"/>
              <w:rPr>
                <w:rFonts w:hint="eastAsia" w:ascii="宋体" w:hAnsi="宋体" w:cs="宋体"/>
                <w:spacing w:val="8"/>
                <w:szCs w:val="21"/>
                <w:lang w:val="en-US" w:eastAsia="zh-CN"/>
              </w:rPr>
            </w:pPr>
            <w:r>
              <w:rPr>
                <w:rFonts w:hint="eastAsia" w:ascii="宋体" w:hAnsi="宋体" w:cs="宋体"/>
                <w:spacing w:val="8"/>
                <w:szCs w:val="21"/>
              </w:rPr>
              <w:t xml:space="preserve">项目</w:t>
            </w:r>
            <w:r>
              <w:rPr>
                <w:rFonts w:hint="eastAsia" w:ascii="宋体" w:hAnsi="宋体" w:cs="宋体"/>
                <w:spacing w:val="8"/>
                <w:szCs w:val="21"/>
                <w:lang w:val="en-US" w:eastAsia="zh-CN"/>
              </w:rPr>
              <w:t xml:space="preserve">组</w:t>
            </w:r>
            <w:r>
              <w:rPr>
                <w:rFonts w:hint="eastAsia" w:ascii="宋体" w:hAnsi="宋体" w:cs="宋体"/>
                <w:spacing w:val="8"/>
                <w:szCs w:val="21"/>
                <w:lang w:val="en-US" w:eastAsia="zh-CN"/>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人员</w:t>
            </w:r>
            <w:r>
              <w:rPr>
                <w:rFonts w:hint="eastAsia" w:ascii="宋体" w:hAnsi="宋体" w:eastAsia="宋体" w:cs="宋体"/>
                <w:sz w:val="21"/>
                <w:szCs w:val="21"/>
              </w:rPr>
            </w:r>
            <w:r/>
          </w:p>
        </w:tc>
        <w:tc>
          <w:tcPr>
            <w:tcW w:w="6832" w:type="dxa"/>
            <w:vAlign w:val="center"/>
            <w:textDirection w:val="lrTb"/>
            <w:noWrap w:val="false"/>
          </w:tcPr>
          <w:p>
            <w:pPr>
              <w:pStyle w:val="785"/>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lang w:eastAsia="zh-CN"/>
              </w:rPr>
              <w:t xml:space="preserve">提供拟投入本项目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eastAsia="zh-CN"/>
              </w:rPr>
              <w:t xml:space="preserve">人员，</w:t>
            </w:r>
            <w:r>
              <w:rPr>
                <w:rFonts w:hint="eastAsia" w:ascii="宋体" w:hAnsi="宋体" w:eastAsia="宋体" w:cs="宋体"/>
                <w:sz w:val="21"/>
                <w:szCs w:val="21"/>
                <w:lang w:val="en-US" w:eastAsia="zh-CN"/>
              </w:rPr>
              <w:t xml:space="preserve">岗位</w:t>
            </w:r>
            <w:r>
              <w:rPr>
                <w:rFonts w:hint="eastAsia" w:ascii="宋体" w:hAnsi="宋体" w:eastAsia="宋体" w:cs="宋体"/>
                <w:sz w:val="21"/>
                <w:szCs w:val="21"/>
                <w:lang w:eastAsia="zh-CN"/>
              </w:rPr>
              <w:t xml:space="preserve">至少包括司机、仓储员、分拣员等，</w:t>
            </w:r>
            <w:r>
              <w:rPr>
                <w:rFonts w:hint="eastAsia" w:ascii="宋体" w:hAnsi="宋体" w:eastAsia="宋体" w:cs="宋体"/>
                <w:sz w:val="21"/>
                <w:szCs w:val="21"/>
                <w:lang w:val="en-US" w:eastAsia="zh-CN"/>
              </w:rPr>
              <w:t xml:space="preserve">项目组人员信息</w:t>
            </w:r>
            <w:r>
              <w:rPr>
                <w:rFonts w:hint="eastAsia" w:ascii="宋体" w:hAnsi="宋体" w:eastAsia="宋体" w:cs="宋体"/>
                <w:sz w:val="21"/>
                <w:szCs w:val="21"/>
                <w:lang w:eastAsia="zh-CN"/>
              </w:rPr>
              <w:t xml:space="preserve">包含但不限于从业人员姓名、所在岗位、联系电话、身份证复印件等</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每提供1人得0.5分，本项最多得4分。</w:t>
            </w:r>
            <w:r>
              <w:rPr>
                <w:rFonts w:hint="eastAsia" w:ascii="宋体" w:hAnsi="宋体" w:eastAsia="宋体" w:cs="宋体"/>
                <w:sz w:val="21"/>
                <w:szCs w:val="21"/>
              </w:rPr>
            </w:r>
            <w:r/>
          </w:p>
          <w:p>
            <w:pPr>
              <w:pStyle w:val="785"/>
              <w:ind w:firstLine="422"/>
              <w:rPr>
                <w:rFonts w:hint="eastAsia" w:ascii="宋体" w:hAnsi="宋体" w:eastAsia="宋体" w:cs="宋体"/>
                <w:sz w:val="21"/>
                <w:szCs w:val="21"/>
              </w:rPr>
            </w:pPr>
            <w:r>
              <w:rPr>
                <w:rFonts w:hint="eastAsia" w:ascii="宋体" w:hAnsi="宋体" w:eastAsia="宋体" w:cs="宋体"/>
                <w:b/>
                <w:bCs/>
                <w:color w:val="ff0000"/>
                <w:sz w:val="21"/>
                <w:szCs w:val="21"/>
              </w:rPr>
              <w:t xml:space="preserve">注：投标时需提供</w:t>
            </w:r>
            <w:r>
              <w:rPr>
                <w:rFonts w:hint="eastAsia" w:ascii="宋体" w:hAnsi="宋体" w:eastAsia="宋体" w:cs="宋体"/>
                <w:b/>
                <w:bCs/>
                <w:color w:val="ff0000"/>
                <w:sz w:val="21"/>
                <w:szCs w:val="21"/>
                <w:lang w:val="en-US" w:eastAsia="zh-CN"/>
              </w:rPr>
              <w:t xml:space="preserve">上述人员截止投标前6个月内任意一个月投标供应商为其缴纳的社保证明扫描件</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2.4</w:t>
            </w:r>
            <w:r>
              <w:rPr>
                <w:rFonts w:ascii="宋体" w:hAnsi="宋体" w:eastAsia="宋体" w:cs="宋体"/>
                <w:sz w:val="21"/>
                <w:szCs w:val="21"/>
                <w:lang w:val="en-US"/>
              </w:rPr>
            </w:r>
            <w:r/>
          </w:p>
        </w:tc>
        <w:tc>
          <w:tcPr>
            <w:tcW w:w="914" w:type="dxa"/>
            <w:vAlign w:val="center"/>
            <w:textDirection w:val="lrTb"/>
            <w:noWrap w:val="false"/>
          </w:tcPr>
          <w:p>
            <w:pPr>
              <w:pStyle w:val="785"/>
              <w:jc w:val="center"/>
              <w:rPr>
                <w:rFonts w:hint="eastAsia" w:ascii="宋体" w:hAnsi="宋体" w:cs="宋体"/>
                <w:spacing w:val="8"/>
                <w:szCs w:val="21"/>
              </w:rPr>
            </w:pPr>
            <w:r>
              <w:rPr>
                <w:rFonts w:hint="eastAsia" w:ascii="宋体" w:hAnsi="宋体" w:cs="宋体"/>
                <w:spacing w:val="8"/>
                <w:szCs w:val="21"/>
              </w:rPr>
              <w:t xml:space="preserve">配送</w:t>
            </w:r>
            <w:r>
              <w:rPr>
                <w:rFonts w:hint="eastAsia" w:ascii="宋体" w:hAnsi="宋体" w:cs="宋体"/>
                <w:spacing w:val="8"/>
                <w:szCs w:val="21"/>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车辆</w:t>
            </w:r>
            <w:r>
              <w:rPr>
                <w:rFonts w:hint="eastAsia" w:ascii="宋体" w:hAnsi="宋体" w:eastAsia="宋体" w:cs="宋体"/>
                <w:sz w:val="21"/>
                <w:szCs w:val="21"/>
              </w:rPr>
            </w:r>
            <w:r/>
          </w:p>
        </w:tc>
        <w:tc>
          <w:tcPr>
            <w:tcW w:w="6832" w:type="dxa"/>
            <w:vAlign w:val="center"/>
            <w:textDirection w:val="lrTb"/>
            <w:noWrap w:val="false"/>
          </w:tcPr>
          <w:p>
            <w:pPr>
              <w:pStyle w:val="785"/>
              <w:ind w:firstLine="420"/>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投标供应商承诺在配备</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辆具备密闭式配送车辆的</w:t>
            </w:r>
            <w:r>
              <w:rPr>
                <w:rFonts w:hint="eastAsia" w:ascii="宋体" w:hAnsi="宋体" w:eastAsia="宋体" w:cs="宋体"/>
                <w:sz w:val="21"/>
                <w:szCs w:val="21"/>
                <w:lang w:val="en-US" w:eastAsia="zh-CN"/>
              </w:rPr>
              <w:t xml:space="preserve">得3分，在此</w:t>
            </w:r>
            <w:r>
              <w:rPr>
                <w:rFonts w:hint="eastAsia" w:ascii="宋体" w:hAnsi="宋体" w:eastAsia="宋体" w:cs="宋体"/>
                <w:sz w:val="21"/>
                <w:szCs w:val="21"/>
                <w:lang w:eastAsia="zh-CN"/>
              </w:rPr>
              <w:t xml:space="preserve">基础上增加满足上述要求的配送车辆，其中每增加1辆得</w:t>
            </w: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本项最高得8分；</w:t>
            </w:r>
            <w:r>
              <w:rPr>
                <w:rFonts w:hint="eastAsia" w:ascii="宋体" w:hAnsi="宋体" w:eastAsia="宋体" w:cs="宋体"/>
                <w:sz w:val="21"/>
                <w:szCs w:val="21"/>
                <w:lang w:eastAsia="zh-CN"/>
              </w:rPr>
            </w:r>
            <w:r/>
          </w:p>
          <w:p>
            <w:pPr>
              <w:pStyle w:val="785"/>
              <w:ind w:firstLine="422"/>
              <w:spacing w:line="300" w:lineRule="exact"/>
              <w:rPr>
                <w:rFonts w:hint="eastAsia"/>
                <w:spacing w:val="8"/>
                <w:sz w:val="21"/>
                <w:szCs w:val="21"/>
                <w:lang w:eastAsia="zh-CN"/>
              </w:rPr>
            </w:pPr>
            <w:r>
              <w:rPr>
                <w:rFonts w:hint="eastAsia" w:ascii="宋体" w:hAnsi="宋体" w:eastAsia="宋体" w:cs="宋体"/>
                <w:b/>
                <w:bCs/>
                <w:color w:val="ff0000"/>
                <w:sz w:val="21"/>
                <w:szCs w:val="21"/>
                <w:lang w:val="en-US" w:eastAsia="zh-CN"/>
              </w:rPr>
              <w:t xml:space="preserve">注：投标时需提供车辆明细清单及承诺书，自有车辆须提供对应车辆的行驶证原件扫描件；租赁车辆须提供对应车辆的租赁合同、发票及车辆行驶证的原件扫描件；</w:t>
            </w:r>
            <w:r>
              <w:rPr>
                <w:rFonts w:hint="eastAsia"/>
                <w:spacing w:val="8"/>
                <w:sz w:val="21"/>
                <w:szCs w:val="21"/>
                <w:lang w:eastAsia="zh-CN"/>
              </w:rPr>
            </w:r>
            <w:r/>
          </w:p>
          <w:p>
            <w:pPr>
              <w:pStyle w:val="785"/>
              <w:ind w:firstLine="422"/>
              <w:spacing w:line="3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b/>
                <w:bCs/>
                <w:color w:val="ff0000"/>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2.5</w:t>
            </w:r>
            <w:r>
              <w:rPr>
                <w:rFonts w:ascii="宋体" w:hAnsi="宋体" w:eastAsia="宋体" w:cs="宋体"/>
                <w:sz w:val="21"/>
                <w:szCs w:val="21"/>
                <w:lang w:val="en-US"/>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lang w:val="en-US" w:eastAsia="zh-CN"/>
              </w:rPr>
            </w:r>
            <w:r/>
          </w:p>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资信</w:t>
            </w:r>
            <w:r>
              <w:rPr>
                <w:rFonts w:ascii="宋体" w:hAnsi="宋体" w:eastAsia="宋体" w:cs="宋体"/>
                <w:sz w:val="21"/>
                <w:szCs w:val="21"/>
                <w:lang w:val="en-US" w:eastAsia="zh-CN"/>
              </w:rPr>
            </w:r>
            <w:r/>
          </w:p>
        </w:tc>
        <w:tc>
          <w:tcPr>
            <w:tcW w:w="6832" w:type="dxa"/>
            <w:vAlign w:val="center"/>
            <w:textDirection w:val="lrTb"/>
            <w:noWrap w:val="false"/>
          </w:tcPr>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w:t>
            </w:r>
            <w:r>
              <w:rPr>
                <w:rFonts w:hint="eastAsia" w:ascii="宋体" w:hAnsi="宋体" w:eastAsia="宋体" w:cs="宋体"/>
                <w:spacing w:val="8"/>
                <w:sz w:val="21"/>
                <w:szCs w:val="21"/>
                <w:lang w:eastAsia="zh-CN"/>
              </w:rPr>
              <w:t xml:space="preserve">投标人具有有效的质量管理体系认证证书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环境管理体系认证</w:t>
            </w:r>
            <w:r>
              <w:rPr>
                <w:rFonts w:hint="eastAsia" w:ascii="宋体" w:hAnsi="宋体" w:eastAsia="宋体" w:cs="宋体"/>
                <w:spacing w:val="8"/>
                <w:sz w:val="21"/>
                <w:szCs w:val="21"/>
                <w:lang w:eastAsia="zh-CN"/>
              </w:rPr>
              <w:t xml:space="preserve">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职业健康安全管理体系</w:t>
            </w:r>
            <w:r>
              <w:rPr>
                <w:rFonts w:hint="eastAsia" w:ascii="宋体" w:hAnsi="宋体" w:eastAsia="宋体" w:cs="宋体"/>
                <w:spacing w:val="8"/>
                <w:sz w:val="21"/>
                <w:szCs w:val="21"/>
                <w:lang w:eastAsia="zh-CN"/>
              </w:rPr>
              <w:t xml:space="preserve">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ind w:firstLine="422"/>
              <w:spacing w:line="300" w:lineRule="exact"/>
              <w:rPr>
                <w:rFonts w:hint="eastAsia" w:ascii="Times New Roman" w:hAnsi="Times New Roman" w:eastAsia="宋体" w:cs="Times New Roman"/>
                <w:spacing w:val="8"/>
                <w:sz w:val="21"/>
                <w:szCs w:val="21"/>
                <w:lang w:val="en-US" w:eastAsia="zh-CN"/>
              </w:rPr>
            </w:pPr>
            <w:r>
              <w:rPr>
                <w:rFonts w:hint="eastAsia" w:ascii="宋体" w:hAnsi="宋体" w:eastAsia="宋体" w:cs="宋体"/>
                <w:b/>
                <w:bCs/>
                <w:color w:val="ff0000"/>
                <w:sz w:val="21"/>
                <w:szCs w:val="21"/>
                <w:lang w:val="en-US" w:eastAsia="zh-CN"/>
              </w:rPr>
              <w:t xml:space="preserve">注：投标时</w:t>
            </w:r>
            <w:r>
              <w:rPr>
                <w:rFonts w:hint="eastAsia" w:ascii="宋体" w:hAnsi="宋体" w:eastAsia="宋体" w:cs="宋体"/>
                <w:b/>
                <w:bCs/>
                <w:color w:val="ff0000"/>
                <w:sz w:val="21"/>
                <w:szCs w:val="21"/>
              </w:rPr>
              <w:t xml:space="preserve">需提供</w:t>
            </w:r>
            <w:r>
              <w:rPr>
                <w:rFonts w:hint="eastAsia" w:ascii="宋体" w:hAnsi="宋体" w:eastAsia="宋体" w:cs="宋体"/>
                <w:b/>
                <w:bCs/>
                <w:color w:val="ff0000"/>
                <w:sz w:val="21"/>
                <w:szCs w:val="21"/>
                <w:lang w:val="en-US" w:eastAsia="zh-CN"/>
              </w:rPr>
              <w:t xml:space="preserve">上述</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rPr>
              <w:t xml:space="preserve">原件扫描件，</w:t>
            </w:r>
            <w:r>
              <w:rPr>
                <w:rFonts w:hint="eastAsia" w:ascii="宋体" w:hAnsi="宋体" w:eastAsia="宋体" w:cs="宋体"/>
                <w:b/>
                <w:bCs/>
                <w:color w:val="ff0000"/>
                <w:sz w:val="21"/>
                <w:szCs w:val="21"/>
                <w:lang w:val="en-US" w:eastAsia="zh-CN"/>
              </w:rPr>
              <w:t xml:space="preserve">每提供一个证书得2分，本项最多得6分，未提供的不得分</w:t>
            </w:r>
            <w:r>
              <w:rPr>
                <w:rFonts w:hint="eastAsia" w:ascii="宋体" w:hAnsi="宋体" w:eastAsia="宋体" w:cs="宋体"/>
                <w:b/>
                <w:bCs/>
                <w:color w:val="ff0000"/>
                <w:sz w:val="21"/>
                <w:szCs w:val="21"/>
                <w:lang w:eastAsia="zh-CN"/>
              </w:rPr>
              <w:t xml:space="preserve">。</w:t>
            </w:r>
            <w:r>
              <w:rPr>
                <w:rFonts w:hint="eastAsia" w:ascii="Times New Roman" w:hAnsi="Times New Roman" w:eastAsia="宋体" w:cs="Times New Roman"/>
                <w:spacing w:val="8"/>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三、技术方案（32分）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en-US" w:eastAsia="zh-CN"/>
              </w:rPr>
            </w:r>
            <w:r/>
          </w:p>
          <w:p>
            <w:pPr>
              <w:pStyle w:val="785"/>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保障</w:t>
            </w:r>
            <w:r>
              <w:rPr>
                <w:rFonts w:hint="eastAsia" w:ascii="宋体" w:hAnsi="宋体" w:eastAsia="宋体" w:cs="宋体"/>
                <w:sz w:val="21"/>
                <w:szCs w:val="21"/>
                <w:lang w:val="zh-CN"/>
              </w:rPr>
            </w:r>
            <w:r/>
          </w:p>
          <w:p>
            <w:pPr>
              <w:pStyle w:val="785"/>
              <w:jc w:val="center"/>
              <w:rPr>
                <w:rFonts w:hint="eastAsia" w:ascii="宋体" w:hAnsi="宋体" w:eastAsia="宋体" w:cs="宋体"/>
                <w:spacing w:val="8"/>
                <w:sz w:val="21"/>
                <w:szCs w:val="21"/>
              </w:rPr>
            </w:pPr>
            <w:r>
              <w:rPr>
                <w:rFonts w:hint="eastAsia" w:ascii="宋体" w:hAnsi="宋体" w:eastAsia="宋体" w:cs="宋体"/>
                <w:sz w:val="21"/>
                <w:szCs w:val="21"/>
                <w:lang w:val="zh-CN"/>
              </w:rPr>
              <w:t xml:space="preserve">方案</w:t>
            </w:r>
            <w:r>
              <w:rPr>
                <w:rFonts w:hint="eastAsia" w:ascii="宋体" w:hAnsi="宋体" w:eastAsia="宋体" w:cs="宋体"/>
                <w:spacing w:val="8"/>
                <w:sz w:val="21"/>
                <w:szCs w:val="21"/>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服务</w:t>
            </w:r>
            <w:r>
              <w:rPr>
                <w:rFonts w:hint="eastAsia" w:ascii="宋体" w:hAnsi="宋体" w:eastAsia="宋体" w:cs="宋体"/>
                <w:spacing w:val="8"/>
                <w:szCs w:val="21"/>
                <w:lang w:val="zh-CN" w:eastAsia="zh-CN"/>
              </w:rPr>
              <w:t xml:space="preserve">保障方案</w:t>
            </w:r>
            <w:r>
              <w:rPr>
                <w:rFonts w:hint="eastAsia" w:ascii="宋体" w:hAnsi="宋体" w:eastAsia="宋体" w:cs="宋体"/>
                <w:spacing w:val="8"/>
                <w:szCs w:val="21"/>
                <w:lang w:val="en-US" w:eastAsia="zh-CN"/>
              </w:rPr>
              <w:t xml:space="preserve">（8分）：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w:t>
            </w:r>
            <w:r>
              <w:rPr>
                <w:rFonts w:hint="eastAsia" w:ascii="宋体" w:hAnsi="宋体" w:eastAsia="宋体" w:cs="宋体"/>
                <w:spacing w:val="8"/>
                <w:szCs w:val="21"/>
                <w:lang w:val="zh-CN" w:eastAsia="zh-CN"/>
              </w:rPr>
              <w:t xml:space="preserve">服务保障方案，</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1.专属本项目固定组织架构，专人驻场对接多校区；</w:t>
            </w:r>
            <w:r>
              <w:rPr>
                <w:rFonts w:hint="eastAsia" w:ascii="宋体" w:hAnsi="宋体" w:eastAsia="宋体" w:cs="宋体"/>
                <w:sz w:val="21"/>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2.上游品牌直供溯源，严控预包装点心等食材货源资质；</w:t>
            </w:r>
            <w:r>
              <w:rPr>
                <w:rFonts w:hint="eastAsia" w:ascii="宋体" w:hAnsi="宋体" w:eastAsia="宋体" w:cs="宋体"/>
                <w:sz w:val="21"/>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3.多校区分时段稳定供货，满足每日午餐集中配送需求；</w:t>
            </w:r>
            <w:r>
              <w:rPr>
                <w:rFonts w:hint="eastAsia" w:ascii="宋体" w:hAnsi="宋体" w:eastAsia="宋体" w:cs="宋体"/>
                <w:sz w:val="21"/>
                <w:szCs w:val="21"/>
                <w:lang w:val="en-US" w:eastAsia="zh-CN"/>
              </w:rPr>
            </w:r>
            <w:r/>
          </w:p>
          <w:p>
            <w:pPr>
              <w:pStyle w:val="785"/>
              <w:numPr>
                <w:ilvl w:val="0"/>
                <w:numId w:val="0"/>
              </w:numPr>
              <w:spacing w:line="3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4.全流程台账、对账、验收标准化，适配多校独立结算；</w:t>
            </w:r>
            <w:r>
              <w:rPr>
                <w:rFonts w:ascii="宋体" w:hAnsi="宋体" w:eastAsia="宋体" w:cs="宋体"/>
                <w:sz w:val="21"/>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spacing w:val="8"/>
                <w:szCs w:val="21"/>
                <w:lang w:val="en-US" w:eastAsia="zh-CN"/>
              </w:rPr>
            </w:r>
            <w:r/>
          </w:p>
          <w:p>
            <w:pPr>
              <w:pStyle w:val="785"/>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rPr>
            </w:r>
            <w:r/>
          </w:p>
        </w:tc>
        <w:tc>
          <w:tcPr>
            <w:tcW w:w="914" w:type="dxa"/>
            <w:vAlign w:val="center"/>
            <w:textDirection w:val="lrTb"/>
            <w:noWrap w:val="false"/>
          </w:tcPr>
          <w:p>
            <w:pPr>
              <w:pStyle w:val="785"/>
              <w:jc w:val="center"/>
              <w:widowControl/>
              <w:rPr>
                <w:rFonts w:hint="eastAsia" w:ascii="宋体" w:hAnsi="宋体" w:cs="宋体"/>
                <w:spacing w:val="8"/>
                <w:szCs w:val="21"/>
              </w:rPr>
            </w:pPr>
            <w:r>
              <w:rPr>
                <w:rFonts w:hint="eastAsia" w:ascii="宋体" w:hAnsi="宋体" w:cs="宋体"/>
                <w:spacing w:val="8"/>
                <w:szCs w:val="21"/>
              </w:rPr>
              <w:t xml:space="preserve">食品安全管控方案</w:t>
            </w:r>
            <w:r>
              <w:rPr>
                <w:rFonts w:hint="eastAsia" w:ascii="宋体" w:hAnsi="宋体" w:cs="宋体"/>
                <w:spacing w:val="8"/>
                <w:szCs w:val="21"/>
              </w:rPr>
            </w:r>
            <w:r/>
          </w:p>
          <w:p>
            <w:pPr>
              <w:pStyle w:val="785"/>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食品安全管控方案（8分）：</w:t>
            </w:r>
            <w:r>
              <w:rPr>
                <w:rFonts w:hint="eastAsia" w:ascii="宋体" w:hAnsi="宋体" w:eastAsia="宋体" w:cs="宋体"/>
                <w:b w:val="0"/>
                <w:bCs w:val="0"/>
                <w:color w:val="000000"/>
                <w:sz w:val="21"/>
                <w:szCs w:val="21"/>
                <w:highlight w:val="none"/>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w:t>
            </w:r>
            <w:r>
              <w:rPr>
                <w:rFonts w:hint="eastAsia" w:ascii="宋体" w:hAnsi="宋体" w:eastAsia="宋体" w:cs="宋体"/>
                <w:spacing w:val="8"/>
                <w:szCs w:val="21"/>
                <w:lang w:val="zh-CN" w:eastAsia="zh-CN"/>
              </w:rPr>
              <w:t xml:space="preserve">服务保障方案，</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1.严格执行全品类国家强制食品安全标准，点心专项合规管控；</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2.全链条索证索票及数字化批次溯源，实现一货一码；</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3.入库、出库、到校三重质检，不合格食材零入校；</w:t>
            </w:r>
            <w:r>
              <w:rPr>
                <w:rFonts w:hint="eastAsia" w:ascii="宋体" w:hAnsi="宋体" w:eastAsia="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eastAsia="宋体" w:cs="宋体"/>
                <w:spacing w:val="8"/>
                <w:szCs w:val="21"/>
                <w:lang w:val="en-US" w:eastAsia="zh-CN"/>
              </w:rPr>
              <w:t xml:space="preserve">4.人员、车辆、仓储常态化卫生管控，杜绝交叉污染</w:t>
            </w:r>
            <w:r>
              <w:rPr>
                <w:rFonts w:hint="eastAsia" w:ascii="宋体" w:hAnsi="宋体" w:cs="宋体"/>
                <w:spacing w:val="8"/>
                <w:szCs w:val="21"/>
                <w:lang w:val="en-US" w:eastAsia="zh-CN"/>
              </w:rPr>
              <w:t xml:space="preserve">。</w:t>
            </w:r>
            <w:r>
              <w:rPr>
                <w:rFonts w:ascii="宋体" w:hAnsi="宋体" w:cs="宋体"/>
                <w:spacing w:val="8"/>
                <w:szCs w:val="21"/>
                <w:lang w:val="en-US" w:eastAsia="zh-CN"/>
              </w:rPr>
            </w:r>
            <w:r/>
          </w:p>
          <w:p>
            <w:pPr>
              <w:pStyle w:val="785"/>
              <w:numPr>
                <w:ilvl w:val="0"/>
                <w:numId w:val="0"/>
              </w:numPr>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b w:val="0"/>
                <w:bCs w:val="0"/>
                <w:color w:val="000000"/>
                <w:sz w:val="21"/>
                <w:szCs w:val="21"/>
                <w:highlight w:val="none"/>
                <w:lang w:val="en-US" w:eastAsia="zh-CN"/>
              </w:rPr>
            </w:r>
            <w:r/>
          </w:p>
          <w:p>
            <w:pPr>
              <w:pStyle w:val="785"/>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widowControl/>
              <w:rPr>
                <w:rFonts w:hint="eastAsia" w:ascii="宋体" w:hAnsi="宋体" w:eastAsia="宋体" w:cs="宋体"/>
                <w:color w:val="000000"/>
                <w:sz w:val="21"/>
                <w:szCs w:val="21"/>
                <w:lang w:val="en-US" w:eastAsia="zh-CN"/>
              </w:rPr>
            </w:pPr>
            <w:r>
              <w:rPr>
                <w:rFonts w:hint="eastAsia" w:ascii="宋体" w:hAnsi="宋体" w:cs="宋体"/>
                <w:spacing w:val="8"/>
                <w:szCs w:val="21"/>
                <w:lang w:eastAsia="zh-CN"/>
              </w:rPr>
              <w:t xml:space="preserve">仓储与配送实施方案</w:t>
            </w:r>
            <w:r>
              <w:rPr>
                <w:rFonts w:hint="eastAsia" w:ascii="宋体" w:hAnsi="宋体" w:eastAsia="宋体" w:cs="宋体"/>
                <w:color w:val="000000"/>
                <w:sz w:val="21"/>
                <w:szCs w:val="21"/>
                <w:lang w:val="en-US" w:eastAsia="zh-CN"/>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仓储与配送实施方案（8分）：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投标人应根据采购需求和本项目的特点制定仓储与配送实施方案</w:t>
            </w:r>
            <w:r>
              <w:rPr>
                <w:rFonts w:hint="eastAsia" w:ascii="宋体" w:hAnsi="宋体" w:eastAsia="宋体" w:cs="宋体"/>
                <w:spacing w:val="8"/>
                <w:szCs w:val="21"/>
                <w:lang w:val="zh-CN" w:eastAsia="zh-CN"/>
              </w:rPr>
              <w:t xml:space="preserve">，</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1.标准化分区仓储，匹配冷藏、冷冻、常温点心储存需求；</w:t>
            </w:r>
            <w:r>
              <w:rPr>
                <w:rFonts w:hint="eastAsia"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2.专用密闭冷链配送车辆，全程温控保障点心、乳制品品质；</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3.多校区最优配送路线规划，错峰配送保障时效；</w:t>
            </w:r>
            <w:r>
              <w:rPr>
                <w:rFonts w:ascii="宋体" w:hAnsi="宋体" w:cs="宋体"/>
                <w:spacing w:val="8"/>
                <w:szCs w:val="21"/>
                <w:lang w:val="en-US" w:eastAsia="zh-CN"/>
              </w:rPr>
            </w:r>
            <w:r/>
          </w:p>
          <w:p>
            <w:pPr>
              <w:pStyle w:val="785"/>
              <w:numPr>
                <w:ilvl w:val="0"/>
                <w:numId w:val="0"/>
              </w:numPr>
              <w:jc w:val="left"/>
              <w:widowControl/>
              <w:rPr>
                <w:rFonts w:ascii="宋体" w:hAnsi="宋体" w:eastAsia="宋体" w:cs="宋体"/>
                <w:spacing w:val="8"/>
                <w:szCs w:val="21"/>
                <w:lang w:val="en-US" w:eastAsia="zh-CN"/>
              </w:rPr>
            </w:pPr>
            <w:r>
              <w:rPr>
                <w:rFonts w:hint="eastAsia" w:ascii="宋体" w:hAnsi="宋体" w:cs="宋体"/>
                <w:spacing w:val="8"/>
                <w:szCs w:val="21"/>
                <w:lang w:val="en-US" w:eastAsia="zh-CN"/>
              </w:rPr>
              <w:t xml:space="preserve">4</w:t>
            </w:r>
            <w:r>
              <w:rPr>
                <w:rFonts w:hint="eastAsia" w:ascii="宋体" w:hAnsi="宋体" w:eastAsia="宋体" w:cs="宋体"/>
                <w:spacing w:val="8"/>
                <w:szCs w:val="21"/>
                <w:lang w:val="en-US" w:eastAsia="zh-CN"/>
              </w:rPr>
              <w:t xml:space="preserve">.周转器具标准化管理，包装符合绿色采购规范。</w:t>
            </w:r>
            <w:r>
              <w:rPr>
                <w:rFonts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spacing w:val="8"/>
                <w:szCs w:val="21"/>
                <w:lang w:val="en-US" w:eastAsia="zh-CN"/>
              </w:rPr>
            </w:r>
            <w:r/>
          </w:p>
          <w:p>
            <w:pPr>
              <w:pStyle w:val="785"/>
              <w:ind w:firstLine="442"/>
              <w:jc w:val="left"/>
              <w:widowControl/>
              <w:rPr>
                <w:rFonts w:ascii="宋体" w:hAnsi="宋体" w:cs="宋体"/>
                <w:spacing w:val="8"/>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cs="宋体"/>
                <w:spacing w:val="8"/>
                <w:szCs w:val="21"/>
                <w:lang w:val="en-US" w:eastAsia="zh-CN"/>
              </w:rPr>
            </w:r>
            <w:r/>
          </w:p>
        </w:tc>
        <w:tc>
          <w:tcPr>
            <w:tcW w:w="877"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ascii="宋体" w:hAnsi="宋体" w:eastAsia="宋体" w:cs="宋体"/>
                <w:sz w:val="21"/>
                <w:szCs w:val="21"/>
                <w:lang w:val="en-US" w:eastAsia="zh-CN"/>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分级应急处置方案</w:t>
            </w:r>
            <w:r>
              <w:rPr>
                <w:rFonts w:ascii="宋体" w:hAnsi="宋体" w:eastAsia="宋体" w:cs="宋体"/>
                <w:sz w:val="21"/>
                <w:szCs w:val="21"/>
                <w:lang w:val="en-US" w:eastAsia="zh-CN"/>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分级应急处置方案（8分）：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投标人应根据采购需求和本项目的特点制定分级应急处置方案</w:t>
            </w:r>
            <w:r>
              <w:rPr>
                <w:rFonts w:hint="eastAsia" w:ascii="宋体" w:hAnsi="宋体" w:eastAsia="宋体" w:cs="宋体"/>
                <w:spacing w:val="8"/>
                <w:szCs w:val="21"/>
                <w:lang w:val="zh-CN" w:eastAsia="zh-CN"/>
              </w:rPr>
              <w:t xml:space="preserve">，</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1.货源断供应急分级处置，保障师生就餐不间断；</w:t>
            </w:r>
            <w:r>
              <w:rPr>
                <w:rFonts w:hint="eastAsia"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2.冷链、运输故障应急，杜绝点心、乳制品变质；</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3.食材质量、投诉类应急，快速处置、先行赔付；</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4.群体性食源性疾病重大应急，闭环处置、全程配合监管。</w:t>
            </w:r>
            <w:r>
              <w:rPr>
                <w:rFonts w:ascii="宋体" w:hAnsi="宋体" w:cs="宋体"/>
                <w:spacing w:val="8"/>
                <w:szCs w:val="21"/>
                <w:lang w:val="en-US" w:eastAsia="zh-CN"/>
              </w:rPr>
            </w:r>
            <w:r/>
          </w:p>
          <w:p>
            <w:pPr>
              <w:pStyle w:val="785"/>
              <w:numPr>
                <w:ilvl w:val="0"/>
                <w:numId w:val="0"/>
              </w:numPr>
              <w:ind w:firstLine="452"/>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b w:val="0"/>
                <w:bCs w:val="0"/>
                <w:color w:val="000000"/>
                <w:sz w:val="21"/>
                <w:szCs w:val="21"/>
                <w:highlight w:val="none"/>
                <w:lang w:val="en-US" w:eastAsia="zh-CN"/>
              </w:rPr>
            </w:r>
            <w:r/>
          </w:p>
          <w:p>
            <w:pPr>
              <w:pStyle w:val="785"/>
              <w:ind w:firstLine="442"/>
              <w:jc w:val="left"/>
              <w:widowControl/>
              <w:rPr>
                <w:rFonts w:ascii="宋体" w:hAnsi="宋体" w:eastAsia="宋体" w:cs="宋体"/>
                <w:b/>
                <w:bCs/>
                <w:color w:val="ff0000"/>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r>
      <w:tr>
        <w:trPr>
          <w:trHeight w:val="417"/>
        </w:trPr>
        <w:tc>
          <w:tcPr>
            <w:gridSpan w:val="4"/>
            <w:tcW w:w="9211"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四、售后承诺（3分）</w:t>
            </w:r>
            <w:r>
              <w:rPr>
                <w:rFonts w:ascii="宋体" w:hAnsi="宋体" w:eastAsia="宋体" w:cs="宋体"/>
                <w:sz w:val="21"/>
                <w:szCs w:val="21"/>
                <w:lang w:val="en-US" w:eastAsia="zh-CN"/>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lang w:val="en-US" w:eastAsia="zh-CN"/>
              </w:rPr>
            </w:r>
            <w:r/>
          </w:p>
          <w:p>
            <w:pPr>
              <w:pStyle w:val="785"/>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保险</w:t>
            </w:r>
            <w:r>
              <w:rPr>
                <w:rFonts w:hint="eastAsia" w:ascii="宋体" w:hAnsi="宋体" w:eastAsia="宋体" w:cs="宋体"/>
                <w:color w:val="000000"/>
                <w:sz w:val="21"/>
                <w:szCs w:val="21"/>
                <w:lang w:val="en-US" w:eastAsia="zh-CN"/>
              </w:rPr>
            </w:r>
            <w:r/>
          </w:p>
        </w:tc>
        <w:tc>
          <w:tcPr>
            <w:tcW w:w="6832" w:type="dxa"/>
            <w:vAlign w:val="center"/>
            <w:textDirection w:val="lrTb"/>
            <w:noWrap w:val="false"/>
          </w:tcPr>
          <w:p>
            <w:pPr>
              <w:pStyle w:val="785"/>
              <w:ind w:firstLine="454"/>
              <w:jc w:val="left"/>
              <w:widowControl/>
              <w:rPr>
                <w:rFonts w:ascii="宋体" w:hAnsi="宋体" w:eastAsia="宋体" w:cs="宋体"/>
                <w:b/>
                <w:bCs/>
                <w:i w:val="0"/>
                <w:iCs w:val="0"/>
                <w:color w:val="ff0000"/>
                <w:spacing w:val="8"/>
                <w:sz w:val="21"/>
                <w:szCs w:val="21"/>
                <w:lang w:val="en-US"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期，保额在200万以上的食品安全责任险的得3分。</w:t>
            </w:r>
            <w:r>
              <w:rPr>
                <w:rFonts w:ascii="宋体" w:hAnsi="宋体" w:eastAsia="宋体" w:cs="宋体"/>
                <w:b/>
                <w:bCs/>
                <w:i w:val="0"/>
                <w:iCs w:val="0"/>
                <w:color w:val="ff0000"/>
                <w:spacing w:val="8"/>
                <w:sz w:val="21"/>
                <w:szCs w:val="21"/>
                <w:lang w:val="en-US" w:eastAsia="zh-CN"/>
              </w:rPr>
            </w:r>
            <w:r/>
          </w:p>
          <w:p>
            <w:pPr>
              <w:pStyle w:val="785"/>
              <w:ind w:firstLine="454"/>
              <w:jc w:val="left"/>
              <w:widowControl/>
              <w:rPr>
                <w:rFonts w:ascii="宋体" w:hAnsi="宋体" w:eastAsia="宋体" w:cs="宋体"/>
                <w:b/>
                <w:bCs/>
                <w:color w:val="ff0000"/>
                <w:sz w:val="21"/>
                <w:szCs w:val="21"/>
                <w:lang w:val="en-US" w:eastAsia="zh-CN"/>
              </w:rPr>
            </w:pPr>
            <w:r>
              <w:rPr>
                <w:rFonts w:hint="eastAsia" w:ascii="宋体" w:hAnsi="宋体" w:eastAsia="宋体" w:cs="宋体"/>
                <w:b/>
                <w:bCs/>
                <w:i w:val="0"/>
                <w:iCs w:val="0"/>
                <w:color w:val="ff0000"/>
                <w:spacing w:val="8"/>
                <w:sz w:val="21"/>
                <w:szCs w:val="21"/>
                <w:lang w:eastAsia="zh-CN"/>
              </w:rPr>
              <w:t xml:space="preserve">注：投标时提供承诺书，承诺内容根据上述要求自行拟定。</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tc>
      </w:tr>
    </w:tbl>
    <w:p>
      <w:pPr>
        <w:pStyle w:val="81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85"/>
        <w:jc w:val="center"/>
        <w:rPr>
          <w:rFonts w:hint="eastAsia" w:ascii="宋体" w:hAnsi="宋体"/>
          <w:b/>
          <w:color w:val="000000"/>
          <w:sz w:val="72"/>
          <w:szCs w:val="21"/>
        </w:rPr>
      </w:pPr>
      <w:r/>
      <w:bookmarkStart w:id="193" w:name="_Toc49090576"/>
      <w:r/>
      <w:bookmarkStart w:id="194" w:name="_Toc120614282"/>
      <w:r/>
      <w:bookmarkStart w:id="195" w:name="_Toc26554094"/>
      <w:r/>
      <w:bookmarkStart w:id="196" w:name="_Hlt26671244"/>
      <w:r/>
      <w:bookmarkEnd w:id="196"/>
      <w:r/>
      <w:bookmarkStart w:id="197" w:name="_Hlt26955039"/>
      <w:r/>
      <w:bookmarkEnd w:id="197"/>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8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8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8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85"/>
        <w:spacing w:line="440" w:lineRule="exact"/>
        <w:rPr>
          <w:rFonts w:ascii="宋体" w:hAnsi="宋体"/>
          <w:color w:val="000000"/>
          <w:szCs w:val="21"/>
        </w:rPr>
      </w:pPr>
      <w:r>
        <w:rPr>
          <w:rFonts w:ascii="宋体" w:hAnsi="宋体"/>
          <w:color w:val="000000"/>
          <w:szCs w:val="21"/>
        </w:rPr>
      </w:r>
      <w:r/>
    </w:p>
    <w:p>
      <w:pPr>
        <w:pStyle w:val="785"/>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785"/>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785"/>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t xml:space="preserve">：</w:t>
      </w:r>
      <w:r>
        <w:rPr>
          <w:rFonts w:hint="eastAsia" w:ascii="宋体" w:hAnsi="宋体" w:eastAsia="宋体" w:cs="Times New Roman"/>
          <w:i/>
          <w:color w:val="000000"/>
          <w:sz w:val="24"/>
          <w:u w:val="single"/>
          <w:lang w:eastAsia="zh-CN"/>
        </w:rPr>
        <w:t xml:space="preserve">无；</w:t>
      </w:r>
      <w:r>
        <w:rPr>
          <w:rFonts w:hint="eastAsia" w:ascii="宋体" w:hAnsi="宋体" w:eastAsia="宋体" w:cs="Times New Roman"/>
          <w:i/>
          <w:color w:val="000000"/>
          <w:sz w:val="24"/>
          <w:u w:val="single"/>
          <w:lang w:eastAsia="zh-CN"/>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785"/>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849"/>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 关于符合本国产品标准的声明函</w:t>
      </w:r>
      <w:r>
        <w:rPr>
          <w:rFonts w:hint="eastAsia" w:cs="宋体"/>
          <w:i/>
          <w:color w:val="000000"/>
          <w:sz w:val="24"/>
          <w:szCs w:val="24"/>
          <w:u w:val="single"/>
          <w:lang w:eastAsia="zh-CN"/>
        </w:rPr>
      </w:r>
      <w:r/>
    </w:p>
    <w:p>
      <w:pPr>
        <w:pStyle w:val="849"/>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十四、实施方案、售后方案及其他</w:t>
      </w:r>
      <w:r>
        <w:rPr>
          <w:rFonts w:hint="eastAsia" w:ascii="宋体" w:hAnsi="宋体" w:eastAsia="宋体" w:cs="宋体"/>
          <w:color w:val="000000"/>
          <w:sz w:val="24"/>
          <w:szCs w:val="24"/>
          <w:lang w:val="en-US" w:eastAsia="zh-CN"/>
        </w:rPr>
      </w:r>
      <w:r/>
    </w:p>
    <w:p>
      <w:pPr>
        <w:pStyle w:val="785"/>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五</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785"/>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十六、采购文件需要提供的证明文件及其他材料</w:t>
      </w:r>
      <w:r>
        <w:rPr>
          <w:rFonts w:ascii="宋体" w:hAnsi="宋体" w:eastAsia="宋体" w:cs="宋体"/>
          <w:i/>
          <w:color w:val="000000"/>
          <w:sz w:val="24"/>
          <w:szCs w:val="24"/>
          <w:u w:val="single"/>
          <w:lang w:val="en-US" w:eastAsia="zh-CN"/>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785"/>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84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9"/>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85"/>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4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849"/>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849"/>
        <w:jc w:val="both"/>
        <w:spacing w:beforeAutospacing="0" w:afterAutospacing="0"/>
        <w:rPr>
          <w:rFonts w:hint="eastAsia" w:ascii="黑体" w:hAnsi="宋体" w:eastAsia="黑体" w:cs="黑体"/>
          <w:i/>
          <w:color w:val="000000"/>
          <w:sz w:val="32"/>
          <w:szCs w:val="32"/>
          <w:u w:val="single"/>
          <w:lang w:val="en-US" w:eastAsia="zh-CN"/>
        </w:rPr>
      </w:pPr>
      <w:r/>
      <w:bookmarkEnd w:id="193"/>
      <w:r/>
      <w:bookmarkEnd w:id="194"/>
      <w:r/>
      <w:bookmarkEnd w:id="195"/>
      <w:r/>
      <w:bookmarkStart w:id="198"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84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49"/>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9"/>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85"/>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785"/>
        <w:ind w:firstLine="4320"/>
        <w:jc w:val="both"/>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无</w:t>
      </w:r>
      <w:r>
        <w:rPr>
          <w:rFonts w:hint="eastAsia" w:ascii="宋体" w:hAnsi="宋体" w:eastAsia="宋体" w:cs="Times New Roman"/>
          <w:color w:val="000000"/>
          <w:sz w:val="24"/>
          <w:lang w:eastAsia="zh-CN"/>
        </w:rPr>
      </w:r>
      <w:r/>
    </w:p>
    <w:p>
      <w:pPr>
        <w:pStyle w:val="785"/>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78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JSZC-320923-XHGL-G2026-0006</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8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8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9" w:name="_Hlt26955070"/>
      <w:r/>
      <w:bookmarkEnd w:id="199"/>
      <w:r/>
      <w:bookmarkStart w:id="200" w:name="_Hlt26671380"/>
      <w:r/>
      <w:bookmarkEnd w:id="200"/>
      <w:r/>
      <w:bookmarkStart w:id="201" w:name="_格式3__银行出具的资信证明"/>
      <w:r/>
      <w:bookmarkEnd w:id="20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8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8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5"/>
        <w:rPr>
          <w:rFonts w:hint="eastAsia"/>
        </w:rPr>
      </w:pPr>
      <w:r>
        <w:rPr>
          <w:rFonts w:hint="eastAsia"/>
        </w:rPr>
      </w:r>
      <w:r/>
    </w:p>
    <w:p>
      <w:pPr>
        <w:pStyle w:val="785"/>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78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JSZC-320923-XHGL-G2026-0006</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78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55"/>
      </w:pPr>
      <w:r/>
      <w:r/>
    </w:p>
    <w:p>
      <w:pPr>
        <w:pStyle w:val="857"/>
      </w:p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785"/>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阜宁县实验小学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JSZC-320923-XHGL-G2026-0006</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阜宁县实验小学食堂食材-调味品等品类采购项目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78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78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8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8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85"/>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85"/>
        <w:rPr>
          <w:rFonts w:hint="eastAsia"/>
        </w:rPr>
      </w:pPr>
      <w:r>
        <w:rPr>
          <w:rFonts w:hint="eastAsia"/>
        </w:rPr>
      </w:r>
      <w:r/>
    </w:p>
    <w:p>
      <w:pPr>
        <w:pStyle w:val="785"/>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85"/>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85"/>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785"/>
        <w:jc w:val="center"/>
        <w:spacing w:line="588" w:lineRule="exact"/>
        <w:rPr>
          <w:rFonts w:ascii="仿宋_GB2312" w:eastAsia="仿宋_GB2312"/>
          <w:b/>
          <w:spacing w:val="6"/>
          <w:sz w:val="32"/>
          <w:szCs w:val="32"/>
        </w:rPr>
      </w:pPr>
      <w:r/>
      <w:bookmarkStart w:id="202" w:name="OLE_LINK14"/>
      <w:r/>
      <w:bookmarkStart w:id="203" w:name="OLE_LINK13"/>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785"/>
        <w:spacing w:line="588" w:lineRule="exact"/>
        <w:rPr>
          <w:rFonts w:ascii="仿宋_GB2312" w:eastAsia="仿宋_GB2312"/>
          <w:b/>
          <w:spacing w:val="6"/>
          <w:sz w:val="30"/>
          <w:szCs w:val="30"/>
        </w:rPr>
      </w:pPr>
      <w:r/>
      <w:bookmarkEnd w:id="202"/>
      <w:r/>
      <w:bookmarkEnd w:id="203"/>
      <w:r>
        <w:rPr>
          <w:rFonts w:ascii="仿宋_GB2312" w:eastAsia="仿宋_GB2312"/>
          <w:b/>
          <w:spacing w:val="6"/>
          <w:sz w:val="30"/>
          <w:szCs w:val="30"/>
        </w:rPr>
      </w:r>
      <w:r/>
    </w:p>
    <w:p>
      <w:pPr>
        <w:pStyle w:val="78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785"/>
        <w:ind w:firstLine="2880"/>
        <w:spacing w:line="360" w:lineRule="auto"/>
        <w:rPr>
          <w:rFonts w:ascii="黑体" w:hAnsi="宋体" w:eastAsia="黑体"/>
          <w:sz w:val="32"/>
          <w:szCs w:val="32"/>
        </w:rPr>
      </w:pPr>
      <w:r>
        <w:rPr>
          <w:rFonts w:ascii="黑体" w:hAnsi="宋体" w:eastAsia="黑体"/>
          <w:sz w:val="32"/>
          <w:szCs w:val="32"/>
        </w:rPr>
      </w:r>
      <w:r/>
    </w:p>
    <w:p>
      <w:pPr>
        <w:pStyle w:val="821"/>
        <w:rPr>
          <w:rFonts w:hint="eastAsia"/>
        </w:rPr>
      </w:pPr>
      <w:r>
        <w:rPr>
          <w:rFonts w:hint="eastAsia"/>
        </w:rPr>
      </w:r>
      <w:r/>
    </w:p>
    <w:p>
      <w:pPr>
        <w:pStyle w:val="785"/>
        <w:rPr>
          <w:rFonts w:hint="eastAsia"/>
        </w:rPr>
      </w:pPr>
      <w:r>
        <w:rPr>
          <w:rFonts w:hint="eastAsia"/>
        </w:rPr>
      </w:r>
      <w:r/>
    </w:p>
    <w:p>
      <w:pPr>
        <w:pStyle w:val="821"/>
        <w:rPr>
          <w:rFonts w:hint="eastAsia"/>
        </w:rPr>
      </w:pPr>
      <w:r>
        <w:rPr>
          <w:rFonts w:hint="eastAsia"/>
        </w:rPr>
      </w:r>
      <w:r/>
    </w:p>
    <w:p>
      <w:pPr>
        <w:pStyle w:val="785"/>
        <w:rPr>
          <w:rFonts w:hint="eastAsia"/>
        </w:rPr>
      </w:pPr>
      <w:r>
        <w:rPr>
          <w:rFonts w:hint="eastAsia"/>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27"/>
        <w:rPr>
          <w:rFonts w:hint="eastAsia" w:ascii="黑体" w:hAnsi="宋体" w:eastAsia="黑体" w:cs="Times New Roman"/>
          <w:sz w:val="32"/>
          <w:szCs w:val="32"/>
        </w:rPr>
      </w:pPr>
      <w:r>
        <w:rPr>
          <w:rFonts w:hint="eastAsia" w:ascii="黑体" w:hAnsi="宋体" w:eastAsia="黑体" w:cs="Times New Roman"/>
          <w:sz w:val="32"/>
          <w:szCs w:val="32"/>
        </w:rPr>
      </w:r>
      <w:r/>
    </w:p>
    <w:p>
      <w:pPr>
        <w:pStyle w:val="927"/>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785"/>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785"/>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785"/>
        <w:rPr>
          <w:rFonts w:hint="eastAsia"/>
        </w:rPr>
      </w:pPr>
      <w:r>
        <w:rPr>
          <w:rFonts w:hint="eastAsia"/>
        </w:rPr>
      </w:r>
      <w:r/>
    </w:p>
    <w:p>
      <w:pPr>
        <w:pStyle w:val="785"/>
        <w:rPr>
          <w:rFonts w:hint="eastAsia"/>
        </w:rPr>
      </w:pPr>
      <w:r>
        <w:rPr>
          <w:rFonts w:hint="eastAsia"/>
        </w:rPr>
      </w:r>
      <w:r/>
    </w:p>
    <w:p>
      <w:pPr>
        <w:pStyle w:val="927"/>
        <w:rPr>
          <w:rFonts w:hint="eastAsia" w:ascii="宋体" w:hAnsi="宋体"/>
          <w:sz w:val="28"/>
          <w:szCs w:val="28"/>
        </w:rPr>
      </w:pPr>
      <w:r>
        <w:rPr>
          <w:rFonts w:hint="eastAsia" w:ascii="宋体" w:hAnsi="宋体"/>
          <w:sz w:val="28"/>
          <w:szCs w:val="28"/>
        </w:rPr>
      </w:r>
      <w:r/>
    </w:p>
    <w:p>
      <w:pPr>
        <w:pStyle w:val="927"/>
        <w:rPr>
          <w:rFonts w:hint="eastAsia" w:ascii="宋体" w:hAnsi="宋体"/>
          <w:sz w:val="24"/>
        </w:rPr>
      </w:pPr>
      <w:r>
        <w:rPr>
          <w:rFonts w:hint="eastAsia" w:ascii="宋体" w:hAnsi="宋体"/>
          <w:sz w:val="24"/>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785"/>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816"/>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8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49"/>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84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84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84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49"/>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49"/>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84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85"/>
        <w:jc w:val="both"/>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宋体" w:hAnsi="宋体"/>
          <w:sz w:val="24"/>
          <w:lang w:val="en-US" w:eastAsia="zh-CN"/>
        </w:rPr>
      </w:r>
      <w:r/>
    </w:p>
    <w:p>
      <w:pPr>
        <w:pStyle w:val="78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投标平均优惠率（%）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8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eastAsia="zh-CN"/>
              </w:rPr>
              <w:t xml:space="preserve">阜宁县实验小学食堂食材-调味品等品类采购项目</w:t>
            </w:r>
            <w:r>
              <w:rPr>
                <w:rFonts w:hint="eastAsia" w:ascii="宋体" w:hAnsi="宋体" w:eastAsia="宋体" w:cs="宋体"/>
                <w:i w:val="0"/>
                <w:iCs w:val="0"/>
                <w:color w:val="000000"/>
                <w:sz w:val="24"/>
                <w:szCs w:val="24"/>
                <w:u w:val="none"/>
              </w:rPr>
            </w:r>
            <w:r/>
          </w:p>
        </w:tc>
        <w:tc>
          <w:tcPr>
            <w:tcW w:w="3450" w:type="dxa"/>
            <w:vAlign w:val="center"/>
            <w:textDirection w:val="lrTb"/>
            <w:noWrap/>
          </w:tcPr>
          <w:p>
            <w:pPr>
              <w:pStyle w:val="78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8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85"/>
        <w:rPr>
          <w:rFonts w:hint="eastAsia" w:ascii="宋体" w:hAnsi="宋体"/>
          <w:sz w:val="24"/>
        </w:rPr>
      </w:pPr>
      <w:r>
        <w:rPr>
          <w:rFonts w:hint="eastAsia" w:ascii="宋体" w:hAnsi="宋体"/>
          <w:sz w:val="24"/>
        </w:rPr>
      </w:r>
      <w:r/>
    </w:p>
    <w:p>
      <w:pPr>
        <w:pStyle w:val="78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32"/>
        <w:numPr>
          <w:ilvl w:val="0"/>
          <w:numId w:val="0"/>
        </w:numPr>
        <w:jc w:val="cente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阜宁县实验小学食堂食材-调味品等品类采购项目分项报价表</w:t>
      </w:r>
      <w:r>
        <w:rPr>
          <w:rFonts w:ascii="宋体" w:hAnsi="宋体" w:eastAsia="宋体" w:cs="宋体"/>
          <w:color w:val="000000"/>
          <w:sz w:val="28"/>
          <w:szCs w:val="28"/>
          <w:highlight w:val="none"/>
          <w:lang w:val="en-US" w:eastAsia="zh-CN"/>
        </w:rPr>
      </w:r>
      <w:r/>
    </w:p>
    <w:p>
      <w:pPr>
        <w:pStyle w:val="785"/>
        <w:jc w:val="center"/>
        <w:rPr>
          <w:rFonts w:hint="eastAsia" w:ascii="黑体" w:hAnsi="黑体" w:eastAsia="黑体"/>
          <w:b/>
          <w:color w:val="000000"/>
          <w:sz w:val="32"/>
          <w:szCs w:val="32"/>
          <w:lang w:eastAsia="zh-CN"/>
        </w:rPr>
      </w:pPr>
      <w:r>
        <w:rPr>
          <w:rFonts w:hint="eastAsia" w:ascii="宋体" w:hAnsi="宋体" w:eastAsia="宋体" w:cs="宋体"/>
          <w:color w:val="000000"/>
          <w:sz w:val="28"/>
          <w:szCs w:val="28"/>
          <w:highlight w:val="non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黑体" w:hAnsi="黑体" w:eastAsia="黑体"/>
          <w:b/>
          <w:color w:val="000000"/>
          <w:sz w:val="32"/>
          <w:szCs w:val="32"/>
          <w:lang w:eastAsia="zh-CN"/>
        </w:rPr>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0"/>
        <w:gridCol w:w="1964"/>
        <w:gridCol w:w="2795"/>
        <w:gridCol w:w="1432"/>
        <w:gridCol w:w="927"/>
        <w:gridCol w:w="1364"/>
      </w:tblGrid>
      <w:tr>
        <w:trPr>
          <w:trHeight w:val="567"/>
        </w:trPr>
        <w:tc>
          <w:tcPr>
            <w:tcW w:w="820"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rPr>
              <w:t xml:space="preserve">限价</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投标优惠率</w:t>
            </w: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调味品类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香料（包装）</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3</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冷冻品类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4</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水产品类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5</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水果品类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6</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乳制品类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rPr>
                <w:rFonts w:ascii="宋体" w:hAnsi="宋体" w:eastAsia="宋体" w:cs="宋体"/>
                <w:sz w:val="21"/>
                <w:szCs w:val="21"/>
                <w:vertAlign w:val="baseline"/>
                <w:lang w:val="en-US" w:eastAsia="zh-CN"/>
              </w:rPr>
            </w:r>
            <w:r/>
          </w:p>
        </w:tc>
        <w:tc>
          <w:tcPr>
            <w:tcW w:w="1964" w:type="dxa"/>
            <w:vAlign w:val="center"/>
            <w:textDirection w:val="lrTb"/>
            <w:noWrap w:val="false"/>
          </w:tcPr>
          <w:p>
            <w:pPr>
              <w:pStyle w:val="78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水饮品类</w:t>
            </w:r>
            <w:r>
              <w:rPr>
                <w:rFonts w:ascii="宋体" w:hAnsi="宋体" w:eastAsia="宋体" w:cs="宋体"/>
                <w:sz w:val="21"/>
                <w:szCs w:val="21"/>
                <w:vertAlign w:val="baseline"/>
                <w:lang w:val="en-US" w:eastAsia="zh-CN"/>
              </w:rPr>
            </w:r>
            <w:r/>
          </w:p>
        </w:tc>
        <w:tc>
          <w:tcPr>
            <w:tcW w:w="2795"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eastAsia="宋体" w:cs="宋体"/>
                <w:sz w:val="21"/>
                <w:szCs w:val="21"/>
                <w:vertAlign w:val="baseline"/>
                <w:lang w:val="en-US" w:eastAsia="zh-CN"/>
              </w:rPr>
            </w:r>
            <w:r/>
          </w:p>
        </w:tc>
        <w:tc>
          <w:tcPr>
            <w:tcW w:w="1432"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927"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eastAsia="宋体" w:cs="宋体"/>
                <w:sz w:val="21"/>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8</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点心（预包装）</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gridSpan w:val="3"/>
            <w:tcW w:w="5579"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平均投标优惠率（1+2+3+4+5+6+7+8）/8</w:t>
            </w:r>
            <w:r>
              <w:rPr>
                <w:rFonts w:hint="eastAsia" w:ascii="宋体" w:hAnsi="宋体" w:eastAsia="宋体" w:cs="宋体"/>
                <w:sz w:val="21"/>
                <w:szCs w:val="21"/>
                <w:vertAlign w:val="baseline"/>
                <w:lang w:val="en-US" w:eastAsia="zh-CN"/>
              </w:rPr>
            </w:r>
            <w:r/>
          </w:p>
        </w:tc>
        <w:tc>
          <w:tcPr>
            <w:gridSpan w:val="3"/>
            <w:tcW w:w="3723" w:type="dxa"/>
            <w:vAlign w:val="center"/>
            <w:textDirection w:val="lrTb"/>
            <w:noWrap w:val="false"/>
          </w:tcPr>
          <w:p>
            <w:pPr>
              <w:pStyle w:val="785"/>
              <w:jc w:val="both"/>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小写：</w:t>
            </w:r>
            <w:r>
              <w:rPr>
                <w:rFonts w:hint="eastAsia" w:ascii="宋体" w:hAnsi="宋体" w:eastAsia="宋体" w:cs="宋体"/>
                <w:sz w:val="21"/>
                <w:szCs w:val="21"/>
                <w:u w:val="single"/>
                <w:vertAlign w:val="baseline"/>
                <w:lang w:val="en-US" w:eastAsia="zh-CN"/>
              </w:rPr>
              <w:t xml:space="preserve">             </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pStyle w:val="785"/>
              <w:jc w:val="both"/>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大写：百分之</w:t>
            </w:r>
            <w:r>
              <w:rPr>
                <w:rFonts w:hint="eastAsia" w:ascii="宋体" w:hAnsi="宋体" w:eastAsia="宋体" w:cs="宋体"/>
                <w:sz w:val="21"/>
                <w:szCs w:val="21"/>
                <w:u w:val="single"/>
                <w:vertAlign w:val="baseline"/>
                <w:lang w:val="en-US" w:eastAsia="zh-CN"/>
              </w:rPr>
              <w:t xml:space="preserve">       </w:t>
            </w:r>
            <w:r>
              <w:rPr>
                <w:rFonts w:hint="eastAsia" w:ascii="宋体" w:hAnsi="宋体"/>
                <w:b/>
                <w:color w:val="ff0000"/>
                <w:szCs w:val="21"/>
                <w:vertAlign w:val="baseline"/>
                <w:lang w:val="en-US" w:eastAsia="zh-CN"/>
              </w:rPr>
            </w:r>
            <w:r/>
          </w:p>
        </w:tc>
      </w:tr>
    </w:tbl>
    <w:p>
      <w:pPr>
        <w:pStyle w:val="785"/>
        <w:ind w:firstLine="422"/>
        <w:spacing w:line="300" w:lineRule="exact"/>
        <w:rPr>
          <w:rFonts w:hint="eastAsia" w:ascii="宋体" w:hAnsi="宋体"/>
          <w:b/>
          <w:color w:val="ff0000"/>
          <w:szCs w:val="21"/>
          <w:lang w:val="en-US" w:eastAsia="zh-CN"/>
        </w:rPr>
      </w:pPr>
      <w:r>
        <w:rPr>
          <w:rFonts w:hint="eastAsia" w:ascii="宋体" w:hAnsi="宋体"/>
          <w:b/>
          <w:color w:val="ff0000"/>
          <w:szCs w:val="21"/>
          <w:lang w:val="en-US" w:eastAsia="zh-CN"/>
        </w:rPr>
      </w:r>
      <w:r/>
    </w:p>
    <w:p>
      <w:pPr>
        <w:pStyle w:val="785"/>
        <w:ind w:firstLine="422"/>
        <w:spacing w:line="300" w:lineRule="exact"/>
        <w:rPr>
          <w:rFonts w:ascii="宋体" w:hAnsi="宋体" w:eastAsia="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投标优惠率报价范例：如A供应商投标优惠率为30%，其结算价则为市场基准限价*（1-30）；如调味品类投标优惠率为30%，冷冻品类投标优惠率为36%，乳制品投标优惠率为30%，则平均投标优惠率为32%，以此类推。</w:t>
      </w:r>
      <w:r>
        <w:rPr>
          <w:rFonts w:ascii="宋体" w:hAnsi="宋体" w:eastAsia="宋体"/>
          <w:b/>
          <w:color w:val="ff0000"/>
          <w:szCs w:val="21"/>
          <w:lang w:val="en-US" w:eastAsia="zh-CN"/>
        </w:rPr>
      </w:r>
      <w:r/>
    </w:p>
    <w:p>
      <w:pPr>
        <w:pStyle w:val="78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85"/>
        <w:ind w:firstLine="422"/>
        <w:spacing w:line="360" w:lineRule="exact"/>
        <w:rPr>
          <w:rFonts w:ascii="宋体" w:hAnsi="宋体" w:eastAsia="宋体" w:cs="Times New Roman"/>
          <w:b/>
          <w:bCs/>
          <w:i/>
          <w:iCs/>
          <w:color w:val="ff0000"/>
          <w:szCs w:val="21"/>
          <w:lang w:val="en-US" w:eastAsia="zh-CN"/>
        </w:rPr>
      </w:pPr>
      <w:r>
        <w:rPr>
          <w:rFonts w:hint="eastAsia" w:ascii="宋体" w:hAnsi="宋体" w:eastAsia="宋体" w:cs="Times New Roman"/>
          <w:b/>
          <w:bCs/>
          <w:i/>
          <w:iCs/>
          <w:color w:val="ff0000"/>
          <w:szCs w:val="21"/>
          <w:lang w:val="en-US" w:eastAsia="zh-CN"/>
        </w:rPr>
        <w:t xml:space="preserve">2.</w:t>
      </w:r>
      <w:r>
        <w:rPr>
          <w:rFonts w:hint="eastAsia" w:ascii="宋体" w:hAnsi="宋体" w:eastAsia="宋体" w:cs="宋体"/>
          <w:b/>
          <w:bCs/>
          <w:i/>
          <w:iCs/>
          <w:color w:val="ff0000"/>
          <w:sz w:val="21"/>
          <w:szCs w:val="21"/>
          <w:vertAlign w:val="baseline"/>
          <w:lang w:val="en-US" w:eastAsia="zh-CN"/>
        </w:rPr>
        <w:t xml:space="preserve">以投标人商铺销售该商品零售价格作为市场基准价；若投标供应商为当地的连锁超市，则以供应商在其阜宁城区（阜城街道、金沙湖街道、阜宁经济开发区）任意连锁超市门店销售的该商品最低零售价作为市场基准价，所有投标人均需按此规则进行投标优惠率进行报价。</w:t>
      </w:r>
      <w:r>
        <w:rPr>
          <w:rFonts w:ascii="宋体" w:hAnsi="宋体" w:eastAsia="宋体" w:cs="Times New Roman"/>
          <w:b/>
          <w:bCs/>
          <w:i/>
          <w:iCs/>
          <w:color w:val="ff0000"/>
          <w:szCs w:val="21"/>
          <w:lang w:val="en-US" w:eastAsia="zh-CN"/>
        </w:rPr>
      </w:r>
      <w:r/>
    </w:p>
    <w:p>
      <w:pPr>
        <w:pStyle w:val="785"/>
        <w:ind w:firstLine="420"/>
        <w:spacing w:line="36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3.投标优惠率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4.</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85"/>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bl>
    <w:p>
      <w:pPr>
        <w:pStyle w:val="785"/>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85"/>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78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5"/>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785"/>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78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49"/>
        <w:jc w:val="both"/>
        <w:spacing w:beforeAutospacing="0" w:afterAutospacing="0"/>
      </w:pPr>
      <w:r/>
      <w:r/>
    </w:p>
    <w:p>
      <w:pPr>
        <w:pStyle w:val="849"/>
        <w:jc w:val="both"/>
        <w:spacing w:beforeAutospacing="0" w:afterAutospacing="0"/>
      </w:pPr>
      <w:r/>
      <w:r/>
    </w:p>
    <w:p>
      <w:pPr>
        <w:pStyle w:val="785"/>
        <w:jc w:val="center"/>
        <w:rPr>
          <w:rFonts w:hint="eastAsia" w:ascii="黑体" w:hAnsi="黑体" w:eastAsia="黑体"/>
          <w:b/>
          <w:color w:val="000000"/>
          <w:sz w:val="32"/>
          <w:szCs w:val="32"/>
        </w:rPr>
      </w:pPr>
      <w:r/>
      <w:bookmarkEnd w:id="198"/>
      <w:r/>
      <w:bookmarkStart w:id="204" w:name="_Hlt26955054"/>
      <w:r/>
      <w:bookmarkEnd w:id="204"/>
      <w:r>
        <w:rPr>
          <w:rFonts w:hint="eastAsia" w:ascii="黑体" w:hAnsi="黑体" w:eastAsia="黑体"/>
          <w:b/>
          <w:color w:val="000000"/>
          <w:sz w:val="32"/>
          <w:szCs w:val="32"/>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785"/>
              <w:jc w:val="center"/>
              <w:rPr>
                <w:rFonts w:hint="eastAsia" w:ascii="宋体" w:hAnsi="宋体"/>
                <w:color w:val="000000"/>
                <w:sz w:val="24"/>
                <w:szCs w:val="24"/>
              </w:rPr>
            </w:pPr>
            <w:r/>
            <w:bookmarkStart w:id="205" w:name="_Hlt26955056"/>
            <w:r/>
            <w:bookmarkEnd w:id="205"/>
            <w:r/>
            <w:bookmarkStart w:id="206" w:name="_Hlt26782999"/>
            <w:r/>
            <w:bookmarkEnd w:id="206"/>
            <w:r/>
            <w:bookmarkStart w:id="207" w:name="_Hlt26609391"/>
            <w:r/>
            <w:bookmarkEnd w:id="207"/>
            <w:r/>
            <w:bookmarkStart w:id="208" w:name="_Hlt26580838"/>
            <w:r/>
            <w:bookmarkEnd w:id="208"/>
            <w:r/>
            <w:bookmarkStart w:id="209" w:name="_Hlt24879081"/>
            <w:r/>
            <w:bookmarkEnd w:id="209"/>
            <w:r/>
            <w:bookmarkStart w:id="210" w:name="_Hlt26671372"/>
            <w:r/>
            <w:bookmarkEnd w:id="210"/>
            <w:r/>
            <w:bookmarkStart w:id="211" w:name="_Hlt26955064"/>
            <w:r/>
            <w:bookmarkEnd w:id="211"/>
            <w:r/>
            <w:bookmarkStart w:id="212" w:name="_Hlt26671343"/>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bl>
    <w:p>
      <w:pPr>
        <w:pStyle w:val="78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85"/>
        <w:spacing w:line="480" w:lineRule="auto"/>
        <w:rPr>
          <w:rFonts w:hint="eastAsia" w:ascii="宋体" w:hAnsi="宋体"/>
          <w:color w:val="000000"/>
          <w:sz w:val="24"/>
          <w:szCs w:val="21"/>
        </w:rPr>
      </w:pPr>
      <w:r>
        <w:rPr>
          <w:rFonts w:hint="eastAsia" w:ascii="宋体" w:hAnsi="宋体"/>
          <w:color w:val="000000"/>
          <w:sz w:val="24"/>
          <w:szCs w:val="21"/>
        </w:rPr>
      </w:r>
      <w:r/>
    </w:p>
    <w:p>
      <w:pPr>
        <w:pStyle w:val="78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85"/>
        <w:rPr>
          <w:rFonts w:hint="eastAsia" w:ascii="宋体" w:hAnsi="宋体"/>
          <w:sz w:val="24"/>
          <w:szCs w:val="24"/>
        </w:rPr>
      </w:pPr>
      <w:r/>
      <w:bookmarkStart w:id="213" w:name="_Hlt26609389"/>
      <w:r/>
      <w:bookmarkEnd w:id="213"/>
      <w:r/>
      <w:bookmarkStart w:id="214" w:name="_Hlt26671374"/>
      <w:r/>
      <w:bookmarkEnd w:id="214"/>
      <w:r/>
      <w:bookmarkStart w:id="215" w:name="_Hlt26955066"/>
      <w:r/>
      <w:bookmarkEnd w:id="215"/>
      <w:r/>
      <w:bookmarkStart w:id="216"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785"/>
        <w:rPr>
          <w:rFonts w:hint="eastAsia" w:ascii="宋体" w:hAnsi="宋体"/>
          <w:sz w:val="28"/>
          <w:szCs w:val="28"/>
        </w:rPr>
      </w:pPr>
      <w:r>
        <w:rPr>
          <w:rFonts w:hint="eastAsia" w:ascii="宋体" w:hAnsi="宋体"/>
          <w:sz w:val="28"/>
          <w:szCs w:val="28"/>
        </w:rPr>
      </w:r>
      <w:r/>
    </w:p>
    <w:p>
      <w:pPr>
        <w:pStyle w:val="785"/>
        <w:rPr>
          <w:rFonts w:hint="eastAsia" w:ascii="黑体" w:hAnsi="Arial" w:eastAsia="黑体"/>
          <w:sz w:val="32"/>
        </w:rPr>
      </w:pPr>
      <w:r>
        <w:rPr>
          <w:rFonts w:hint="eastAsia" w:ascii="黑体" w:hAnsi="Arial" w:eastAsia="黑体"/>
          <w:sz w:val="32"/>
        </w:rPr>
      </w:r>
      <w:r/>
    </w:p>
    <w:p>
      <w:pPr>
        <w:pStyle w:val="78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85"/>
        <w:rPr>
          <w:rFonts w:hint="eastAsia" w:ascii="宋体" w:hAnsi="宋体"/>
          <w:color w:val="000000"/>
          <w:sz w:val="24"/>
          <w:szCs w:val="21"/>
        </w:rPr>
      </w:pPr>
      <w:r>
        <w:rPr>
          <w:rFonts w:hint="eastAsia" w:ascii="宋体" w:hAnsi="宋体"/>
          <w:color w:val="000000"/>
          <w:sz w:val="24"/>
          <w:szCs w:val="21"/>
        </w:rPr>
      </w:r>
      <w:r/>
    </w:p>
    <w:p>
      <w:pPr>
        <w:pStyle w:val="785"/>
        <w:jc w:val="center"/>
        <w:rPr>
          <w:rFonts w:hint="eastAsia" w:ascii="黑体" w:hAnsi="黑体" w:eastAsia="黑体"/>
          <w:b/>
          <w:color w:val="000000"/>
          <w:sz w:val="32"/>
          <w:szCs w:val="32"/>
        </w:rPr>
      </w:pPr>
      <w:r/>
      <w:bookmarkEnd w:id="184"/>
      <w:r/>
      <w:bookmarkEnd w:id="185"/>
      <w:r/>
      <w:bookmarkEnd w:id="216"/>
      <w:r/>
      <w:bookmarkStart w:id="217" w:name="_格式2__法定代表人授权书"/>
      <w:r/>
      <w:bookmarkEnd w:id="217"/>
      <w:r>
        <w:rPr>
          <w:rFonts w:hint="eastAsia" w:ascii="黑体" w:hAnsi="黑体" w:eastAsia="黑体"/>
          <w:b/>
          <w:color w:val="000000"/>
          <w:sz w:val="32"/>
          <w:szCs w:val="32"/>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85"/>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r>
      <w:r/>
    </w:p>
    <w:p>
      <w:pPr>
        <w:pStyle w:val="785"/>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十四、实施方案、售后方案及其他</w:t>
      </w:r>
      <w:r>
        <w:rPr>
          <w:rFonts w:hint="eastAsia" w:ascii="黑体" w:hAnsi="黑体" w:eastAsia="黑体" w:cs="Times New Roman"/>
          <w:b/>
          <w:color w:val="000000"/>
          <w:sz w:val="32"/>
          <w:szCs w:val="32"/>
          <w:lang w:val="en-US" w:eastAsia="zh-CN"/>
        </w:rPr>
      </w:r>
      <w:r/>
    </w:p>
    <w:p>
      <w:pPr>
        <w:pStyle w:val="785"/>
        <w:jc w:val="center"/>
        <w:spacing w:before="50" w:after="50"/>
        <w:widowControl/>
        <w:rPr>
          <w:rFonts w:ascii="宋体" w:hAnsi="宋体" w:eastAsia="宋体" w:cs="宋体"/>
          <w:b/>
          <w:bCs/>
          <w:sz w:val="24"/>
          <w:lang w:val="en-US" w:eastAsia="zh-CN"/>
        </w:rPr>
      </w:pPr>
      <w:r>
        <w:rPr>
          <w:rFonts w:hint="eastAsia" w:ascii="宋体" w:hAnsi="宋体" w:eastAsia="宋体" w:cs="宋体"/>
          <w:b/>
          <w:bCs/>
          <w:color w:val="000000"/>
          <w:sz w:val="32"/>
          <w:szCs w:val="32"/>
          <w:lang w:val="en-US" w:eastAsia="zh-CN"/>
        </w:rPr>
        <w:t xml:space="preserve">供应商根据采购文件及采购需求自行拟定</w:t>
      </w:r>
      <w:r>
        <w:rPr>
          <w:rFonts w:ascii="宋体" w:hAnsi="宋体" w:eastAsia="宋体" w:cs="宋体"/>
          <w:b/>
          <w:bCs/>
          <w:sz w:val="24"/>
          <w:lang w:val="en-US" w:eastAsia="zh-CN"/>
        </w:rPr>
      </w:r>
      <w:r/>
    </w:p>
    <w:p>
      <w:pPr>
        <w:pStyle w:val="785"/>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85"/>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十五、</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785"/>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r>
      <w:r/>
    </w:p>
    <w:p>
      <w:pPr>
        <w:pStyle w:val="785"/>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785"/>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55"/>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785"/>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十六、采购文件需要提供的证明文件及其他材料</w:t>
      </w:r>
      <w:r>
        <w:rPr>
          <w:rFonts w:ascii="宋体" w:hAnsi="宋体" w:eastAsia="宋体" w:cs="仿宋"/>
          <w:b/>
          <w:bCs/>
          <w:color w:val="000000"/>
          <w:sz w:val="32"/>
          <w:szCs w:val="32"/>
          <w:lang w:val="en-US" w:eastAsia="zh-CN"/>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8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8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8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85"/>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85"/>
        <w:ind w:firstLine="420"/>
        <w:rPr>
          <w:rFonts w:ascii="Times New Roman" w:hAnsi="Times New Roman"/>
          <w:color w:val="000000"/>
          <w:sz w:val="24"/>
          <w:szCs w:val="24"/>
        </w:rPr>
      </w:pPr>
      <w:r>
        <w:rPr>
          <w:rFonts w:ascii="Times New Roman" w:hAnsi="Times New Roman"/>
          <w:color w:val="000000"/>
          <w:sz w:val="24"/>
          <w:szCs w:val="24"/>
        </w:rPr>
      </w:r>
      <w:r/>
    </w:p>
    <w:sectPr>
      <w:footerReference w:type="default" r:id="rId13"/>
      <w:footerReference w:type="first" r:id="rId14"/>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86"/>
      <w:spacing w:line="176" w:lineRule="auto"/>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r/>
                        </w:p>
                        <w:p>
                          <w:pPr>
                            <w:pStyle w:val="7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r/>
                  </w:p>
                  <w:p>
                    <w:pPr>
                      <w:pStyle w:val="785"/>
                    </w:pPr>
                    <w:r/>
                    <w:r/>
                  </w:p>
                </w:txbxContent>
              </v:textbox>
            </v:shape>
          </w:pict>
        </mc:Fallback>
      </mc:AlternateContent>
    </w:r>
    <w:r>
      <w:rPr>
        <w:rFonts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5"/>
                    </w:pPr>
                    <w:r/>
                    <w:r/>
                  </w:p>
                </w:txbxContent>
              </v:textbox>
            </v:shape>
          </w:pict>
        </mc:Fallback>
      </mc:AlternateContent>
    </w:r>
    <w:r>
      <w:rPr>
        <w:rFonts w:ascii="Times New Roman" w:hAnsi="Times New Roman" w:eastAsia="宋体" w:cs="Times New Roman"/>
        <w:sz w:val="18"/>
        <w:szCs w:val="18"/>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r/>
                        </w:p>
                        <w:p>
                          <w:pPr>
                            <w:pStyle w:val="78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r/>
                  </w:p>
                  <w:p>
                    <w:pPr>
                      <w:pStyle w:val="785"/>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83"/>
      <w:isLgl w:val="false"/>
      <w:suff w:val="tab"/>
      <w:lvlText w:val="附录%1."/>
      <w:lvlJc w:val="left"/>
      <w:pPr>
        <w:pStyle w:val="7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0"/>
      <w:isLgl w:val="false"/>
      <w:suff w:val="tab"/>
      <w:lvlText w:val="%1."/>
      <w:lvlJc w:val="left"/>
      <w:pPr>
        <w:pStyle w:val="785"/>
        <w:ind w:left="709" w:hanging="709"/>
        <w:tabs>
          <w:tab w:val="num" w:pos="709" w:leader="none"/>
        </w:tabs>
      </w:pPr>
      <w:rPr>
        <w:rFonts w:hint="eastAsia"/>
      </w:rPr>
    </w:lvl>
    <w:lvl w:ilvl="1">
      <w:start w:val="1"/>
      <w:numFmt w:val="decimal"/>
      <w:isLgl w:val="false"/>
      <w:suff w:val="tab"/>
      <w:lvlText w:val="%1.%2"/>
      <w:lvlJc w:val="left"/>
      <w:pPr>
        <w:pStyle w:val="785"/>
        <w:ind w:left="709" w:hanging="709"/>
        <w:tabs>
          <w:tab w:val="num" w:pos="709" w:leader="none"/>
        </w:tabs>
      </w:pPr>
      <w:rPr>
        <w:rFonts w:hint="eastAsia"/>
      </w:rPr>
    </w:lvl>
    <w:lvl w:ilvl="2">
      <w:start w:val="1"/>
      <w:numFmt w:val="decimal"/>
      <w:isLgl w:val="false"/>
      <w:suff w:val="tab"/>
      <w:lvlText w:val="%1.%2.%3."/>
      <w:lvlJc w:val="left"/>
      <w:pPr>
        <w:pStyle w:val="785"/>
        <w:ind w:left="425" w:hanging="425"/>
        <w:tabs>
          <w:tab w:val="num" w:pos="425" w:leader="none"/>
        </w:tabs>
      </w:pPr>
      <w:rPr>
        <w:rFonts w:hint="eastAsia"/>
      </w:rPr>
    </w:lvl>
    <w:lvl w:ilvl="3">
      <w:start w:val="1"/>
      <w:numFmt w:val="decimal"/>
      <w:isLgl w:val="false"/>
      <w:suff w:val="tab"/>
      <w:lvlText w:val="%1.%2.%3.%4."/>
      <w:lvlJc w:val="left"/>
      <w:pPr>
        <w:pStyle w:val="785"/>
        <w:ind w:left="851" w:hanging="851"/>
        <w:tabs>
          <w:tab w:val="num" w:pos="851" w:leader="none"/>
        </w:tabs>
      </w:pPr>
      <w:rPr>
        <w:rFonts w:hint="eastAsia"/>
      </w:rPr>
    </w:lvl>
    <w:lvl w:ilvl="4">
      <w:start w:val="1"/>
      <w:numFmt w:val="decimal"/>
      <w:isLgl w:val="false"/>
      <w:suff w:val="tab"/>
      <w:lvlText w:val="%1.%2.%3.%4.%5."/>
      <w:lvlJc w:val="left"/>
      <w:pPr>
        <w:pStyle w:val="785"/>
        <w:ind w:left="992" w:hanging="992"/>
        <w:tabs>
          <w:tab w:val="num" w:pos="992" w:leader="none"/>
        </w:tabs>
      </w:pPr>
      <w:rPr>
        <w:rFonts w:hint="eastAsia"/>
      </w:rPr>
    </w:lvl>
    <w:lvl w:ilvl="5">
      <w:start w:val="1"/>
      <w:numFmt w:val="decimal"/>
      <w:isLgl w:val="false"/>
      <w:suff w:val="tab"/>
      <w:lvlText w:val="%1.%2.%3.%4.%5.%6."/>
      <w:lvlJc w:val="left"/>
      <w:pPr>
        <w:pStyle w:val="785"/>
        <w:ind w:left="1134" w:hanging="1134"/>
        <w:tabs>
          <w:tab w:val="num" w:pos="1134" w:leader="none"/>
        </w:tabs>
      </w:pPr>
      <w:rPr>
        <w:rFonts w:hint="eastAsia"/>
      </w:rPr>
    </w:lvl>
    <w:lvl w:ilvl="6">
      <w:start w:val="1"/>
      <w:numFmt w:val="decimal"/>
      <w:isLgl w:val="false"/>
      <w:suff w:val="tab"/>
      <w:lvlText w:val="%1.%2.%3.%4.%5.%6.%7."/>
      <w:lvlJc w:val="left"/>
      <w:pPr>
        <w:pStyle w:val="785"/>
        <w:ind w:left="1276" w:hanging="1276"/>
        <w:tabs>
          <w:tab w:val="num" w:pos="1276" w:leader="none"/>
        </w:tabs>
      </w:pPr>
      <w:rPr>
        <w:rFonts w:hint="eastAsia"/>
      </w:rPr>
    </w:lvl>
    <w:lvl w:ilvl="7">
      <w:start w:val="1"/>
      <w:numFmt w:val="decimal"/>
      <w:isLgl w:val="false"/>
      <w:suff w:val="tab"/>
      <w:lvlText w:val="%1.%2.%3.%4.%5.%6.%7.%8."/>
      <w:lvlJc w:val="left"/>
      <w:pPr>
        <w:pStyle w:val="785"/>
        <w:ind w:left="1418" w:hanging="1418"/>
        <w:tabs>
          <w:tab w:val="num" w:pos="1418" w:leader="none"/>
        </w:tabs>
      </w:pPr>
      <w:rPr>
        <w:rFonts w:hint="eastAsia"/>
      </w:rPr>
    </w:lvl>
    <w:lvl w:ilvl="8">
      <w:start w:val="1"/>
      <w:numFmt w:val="decimal"/>
      <w:isLgl w:val="false"/>
      <w:suff w:val="tab"/>
      <w:lvlText w:val="%1.%2.%3.%4.%5.%6.%7.%8.%9."/>
      <w:lvlJc w:val="left"/>
      <w:pPr>
        <w:pStyle w:val="78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85"/>
        <w:ind w:left="0" w:firstLine="0"/>
      </w:pPr>
      <w:rPr>
        <w:rFonts w:hint="eastAsia"/>
      </w:rPr>
    </w:lvl>
    <w:lvl w:ilvl="1">
      <w:start w:val="1"/>
      <w:numFmt w:val="decimal"/>
      <w:isLgl w:val="false"/>
      <w:suff w:val="nothing"/>
      <w:lvlText w:val="%2、"/>
      <w:lvlJc w:val="left"/>
      <w:pPr>
        <w:pStyle w:val="785"/>
        <w:ind w:left="0" w:firstLine="0"/>
      </w:pPr>
      <w:rPr>
        <w:rFonts w:hint="eastAsia"/>
      </w:rPr>
    </w:lvl>
    <w:lvl w:ilvl="2">
      <w:start w:val="1"/>
      <w:numFmt w:val="decimal"/>
      <w:isLgl w:val="false"/>
      <w:suff w:val="nothing"/>
      <w:lvlText w:val="%2.%3 "/>
      <w:lvlJc w:val="left"/>
      <w:pPr>
        <w:pStyle w:val="785"/>
        <w:ind w:left="0" w:firstLine="0"/>
      </w:pPr>
      <w:rPr>
        <w:rFonts w:hint="eastAsia"/>
      </w:rPr>
    </w:lvl>
    <w:lvl w:ilvl="3">
      <w:start w:val="1"/>
      <w:numFmt w:val="decimal"/>
      <w:isLgl w:val="false"/>
      <w:suff w:val="nothing"/>
      <w:lvlText w:val="%2.%3.%4 "/>
      <w:lvlJc w:val="left"/>
      <w:pPr>
        <w:pStyle w:val="785"/>
        <w:ind w:left="0" w:firstLine="0"/>
      </w:pPr>
      <w:rPr>
        <w:rFonts w:hint="eastAsia"/>
      </w:rPr>
    </w:lvl>
    <w:lvl w:ilvl="4">
      <w:start w:val="1"/>
      <w:numFmt w:val="decimal"/>
      <w:isLgl w:val="false"/>
      <w:suff w:val="nothing"/>
      <w:lvlText w:val="%2.%3.%4.%5 "/>
      <w:lvlJc w:val="left"/>
      <w:pPr>
        <w:pStyle w:val="785"/>
        <w:ind w:left="0" w:firstLine="0"/>
      </w:pPr>
      <w:rPr>
        <w:rFonts w:hint="eastAsia"/>
      </w:rPr>
    </w:lvl>
    <w:lvl w:ilvl="5">
      <w:start w:val="1"/>
      <w:numFmt w:val="decimal"/>
      <w:pStyle w:val="791"/>
      <w:isLgl w:val="false"/>
      <w:suff w:val="nothing"/>
      <w:lvlText w:val=""/>
      <w:lvlJc w:val="left"/>
      <w:pPr>
        <w:pStyle w:val="785"/>
        <w:ind w:left="0" w:firstLine="0"/>
      </w:pPr>
      <w:rPr>
        <w:rFonts w:hint="eastAsia"/>
      </w:rPr>
    </w:lvl>
    <w:lvl w:ilvl="6">
      <w:start w:val="1"/>
      <w:numFmt w:val="decimal"/>
      <w:pStyle w:val="792"/>
      <w:isLgl w:val="false"/>
      <w:suff w:val="nothing"/>
      <w:lvlText w:val=""/>
      <w:lvlJc w:val="left"/>
      <w:pPr>
        <w:pStyle w:val="785"/>
        <w:ind w:left="0" w:firstLine="0"/>
      </w:pPr>
      <w:rPr>
        <w:rFonts w:hint="eastAsia"/>
      </w:rPr>
    </w:lvl>
    <w:lvl w:ilvl="7">
      <w:start w:val="1"/>
      <w:numFmt w:val="decimal"/>
      <w:pStyle w:val="793"/>
      <w:isLgl w:val="false"/>
      <w:suff w:val="nothing"/>
      <w:lvlText w:val=""/>
      <w:lvlJc w:val="left"/>
      <w:pPr>
        <w:pStyle w:val="785"/>
        <w:ind w:left="0" w:firstLine="0"/>
      </w:pPr>
      <w:rPr>
        <w:rFonts w:hint="eastAsia"/>
      </w:rPr>
    </w:lvl>
    <w:lvl w:ilvl="8">
      <w:start w:val="1"/>
      <w:numFmt w:val="decimal"/>
      <w:pStyle w:val="794"/>
      <w:isLgl w:val="false"/>
      <w:suff w:val="nothing"/>
      <w:lvlText w:val=""/>
      <w:lvlJc w:val="left"/>
      <w:pPr>
        <w:pStyle w:val="785"/>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9"/>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5"/>
    <w:next w:val="7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5"/>
    <w:next w:val="7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5"/>
    <w:next w:val="7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5"/>
    <w:next w:val="7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5"/>
    <w:next w:val="7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5"/>
    <w:next w:val="7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5"/>
    <w:next w:val="7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5"/>
    <w:next w:val="785"/>
    <w:uiPriority w:val="39"/>
    <w:unhideWhenUsed/>
    <w:pPr>
      <w:ind w:left="0" w:right="0" w:firstLine="0"/>
      <w:spacing w:after="57"/>
    </w:pPr>
  </w:style>
  <w:style w:type="paragraph" w:styleId="181">
    <w:name w:val="toc 2"/>
    <w:basedOn w:val="785"/>
    <w:next w:val="785"/>
    <w:uiPriority w:val="39"/>
    <w:unhideWhenUsed/>
    <w:pPr>
      <w:ind w:left="283" w:right="0" w:firstLine="0"/>
      <w:spacing w:after="57"/>
    </w:p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next w:val="785"/>
    <w:link w:val="785"/>
    <w:qFormat/>
    <w:pPr>
      <w:jc w:val="both"/>
      <w:widowControl w:val="off"/>
    </w:pPr>
    <w:rPr>
      <w:sz w:val="21"/>
      <w:szCs w:val="22"/>
      <w:lang w:val="en-US" w:eastAsia="zh-CN" w:bidi="ar-SA"/>
    </w:rPr>
  </w:style>
  <w:style w:type="paragraph" w:styleId="786">
    <w:name w:val="标题 1"/>
    <w:basedOn w:val="785"/>
    <w:next w:val="785"/>
    <w:link w:val="797"/>
    <w:qFormat/>
    <w:pPr>
      <w:jc w:val="center"/>
      <w:keepNext/>
      <w:outlineLvl w:val="0"/>
    </w:pPr>
    <w:rPr>
      <w:rFonts w:ascii="楷体_GB2312" w:hAnsi="Times New Roman" w:eastAsia="楷体_GB2312" w:cs="Times New Roman"/>
      <w:sz w:val="28"/>
      <w:szCs w:val="28"/>
    </w:rPr>
  </w:style>
  <w:style w:type="paragraph" w:styleId="787">
    <w:name w:val="标题 2"/>
    <w:basedOn w:val="785"/>
    <w:next w:val="785"/>
    <w:link w:val="798"/>
    <w:qFormat/>
    <w:pPr>
      <w:jc w:val="center"/>
      <w:keepLines/>
      <w:keepNext/>
      <w:spacing w:before="260" w:after="260" w:line="416" w:lineRule="auto"/>
      <w:outlineLvl w:val="1"/>
    </w:pPr>
    <w:rPr>
      <w:rFonts w:ascii="Arial" w:hAnsi="Arial" w:eastAsia="幼圆" w:cs="Arial"/>
      <w:b/>
      <w:bCs/>
      <w:sz w:val="44"/>
      <w:szCs w:val="44"/>
    </w:rPr>
  </w:style>
  <w:style w:type="paragraph" w:styleId="788">
    <w:name w:val="标题 3"/>
    <w:basedOn w:val="785"/>
    <w:next w:val="785"/>
    <w:link w:val="7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89">
    <w:name w:val="标题 4"/>
    <w:basedOn w:val="785"/>
    <w:next w:val="785"/>
    <w:link w:val="800"/>
    <w:qFormat/>
    <w:pPr>
      <w:keepLines/>
      <w:keepNext/>
      <w:spacing w:before="280" w:after="290" w:line="376" w:lineRule="auto"/>
      <w:outlineLvl w:val="3"/>
    </w:pPr>
    <w:rPr>
      <w:rFonts w:ascii="Arial" w:hAnsi="Arial" w:eastAsia="黑体" w:cs="Arial"/>
      <w:b/>
      <w:bCs/>
      <w:sz w:val="28"/>
      <w:szCs w:val="28"/>
    </w:rPr>
  </w:style>
  <w:style w:type="paragraph" w:styleId="790">
    <w:name w:val="标题 5"/>
    <w:basedOn w:val="785"/>
    <w:next w:val="802"/>
    <w:link w:val="801"/>
    <w:qFormat/>
    <w:pPr>
      <w:keepNext/>
      <w:outlineLvl w:val="4"/>
    </w:pPr>
    <w:rPr>
      <w:rFonts w:ascii="宋体" w:hAnsi="Times New Roman" w:eastAsia="宋体" w:cs="Times New Roman"/>
      <w:color w:val="000000"/>
      <w:sz w:val="28"/>
      <w:szCs w:val="28"/>
    </w:rPr>
  </w:style>
  <w:style w:type="paragraph" w:styleId="791">
    <w:name w:val="标题 6"/>
    <w:basedOn w:val="785"/>
    <w:next w:val="785"/>
    <w:link w:val="8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92">
    <w:name w:val="标题 7"/>
    <w:basedOn w:val="785"/>
    <w:next w:val="785"/>
    <w:link w:val="8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93">
    <w:name w:val="标题 8"/>
    <w:basedOn w:val="785"/>
    <w:next w:val="785"/>
    <w:link w:val="8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94">
    <w:name w:val="标题 9"/>
    <w:basedOn w:val="785"/>
    <w:next w:val="785"/>
    <w:link w:val="807"/>
    <w:qFormat/>
    <w:pPr>
      <w:numPr>
        <w:ilvl w:val="8"/>
        <w:numId w:val="1"/>
      </w:numPr>
      <w:keepLines/>
      <w:keepNext/>
      <w:spacing w:before="240" w:after="64" w:line="320" w:lineRule="auto"/>
      <w:outlineLvl w:val="8"/>
    </w:pPr>
    <w:rPr>
      <w:rFonts w:ascii="Arial" w:hAnsi="Arial" w:eastAsia="黑体" w:cs="Times New Roman"/>
      <w:szCs w:val="21"/>
    </w:rPr>
  </w:style>
  <w:style w:type="character" w:styleId="795">
    <w:name w:val="默认段落字体"/>
    <w:next w:val="795"/>
    <w:link w:val="785"/>
    <w:uiPriority w:val="1"/>
    <w:unhideWhenUsed/>
  </w:style>
  <w:style w:type="table" w:styleId="796">
    <w:name w:val="普通表格"/>
    <w:next w:val="796"/>
    <w:link w:val="785"/>
    <w:uiPriority w:val="99"/>
    <w:unhideWhenUsed/>
    <w:tblPr/>
  </w:style>
  <w:style w:type="character" w:styleId="797">
    <w:name w:val="标题 1 Char"/>
    <w:next w:val="797"/>
    <w:link w:val="786"/>
    <w:rPr>
      <w:rFonts w:ascii="楷体_GB2312" w:hAnsi="Times New Roman" w:eastAsia="楷体_GB2312" w:cs="Times New Roman"/>
      <w:sz w:val="28"/>
      <w:szCs w:val="28"/>
    </w:rPr>
  </w:style>
  <w:style w:type="character" w:styleId="798">
    <w:name w:val="标题 2 Char"/>
    <w:next w:val="798"/>
    <w:link w:val="787"/>
    <w:rPr>
      <w:rFonts w:ascii="Arial" w:hAnsi="Arial" w:eastAsia="幼圆" w:cs="Arial"/>
      <w:b/>
      <w:bCs/>
      <w:sz w:val="44"/>
      <w:szCs w:val="44"/>
    </w:rPr>
  </w:style>
  <w:style w:type="character" w:styleId="799">
    <w:name w:val="标题 3 Char"/>
    <w:next w:val="799"/>
    <w:link w:val="788"/>
    <w:rPr>
      <w:rFonts w:ascii="Times New Roman" w:hAnsi="Times New Roman" w:eastAsia="宋体" w:cs="Times New Roman"/>
      <w:b/>
      <w:bCs/>
      <w:sz w:val="32"/>
      <w:szCs w:val="32"/>
    </w:rPr>
  </w:style>
  <w:style w:type="character" w:styleId="800">
    <w:name w:val="标题 4 Char"/>
    <w:next w:val="800"/>
    <w:link w:val="789"/>
    <w:rPr>
      <w:rFonts w:ascii="Arial" w:hAnsi="Arial" w:eastAsia="黑体" w:cs="Arial"/>
      <w:b/>
      <w:bCs/>
      <w:sz w:val="28"/>
      <w:szCs w:val="28"/>
    </w:rPr>
  </w:style>
  <w:style w:type="character" w:styleId="801">
    <w:name w:val="标题 5 Char"/>
    <w:next w:val="801"/>
    <w:link w:val="790"/>
    <w:rPr>
      <w:rFonts w:ascii="宋体" w:hAnsi="Times New Roman" w:eastAsia="宋体" w:cs="Times New Roman"/>
      <w:color w:val="000000"/>
      <w:sz w:val="28"/>
      <w:szCs w:val="28"/>
    </w:rPr>
  </w:style>
  <w:style w:type="paragraph" w:styleId="802">
    <w:name w:val="正文缩进"/>
    <w:basedOn w:val="785"/>
    <w:next w:val="802"/>
    <w:link w:val="803"/>
    <w:pPr>
      <w:ind w:firstLine="420"/>
    </w:pPr>
    <w:rPr>
      <w:szCs w:val="21"/>
    </w:rPr>
  </w:style>
  <w:style w:type="character" w:styleId="803">
    <w:name w:val="正文缩进 Char"/>
    <w:next w:val="803"/>
    <w:link w:val="802"/>
    <w:rPr>
      <w:szCs w:val="21"/>
    </w:rPr>
  </w:style>
  <w:style w:type="character" w:styleId="804">
    <w:name w:val="标题 6 Char"/>
    <w:next w:val="804"/>
    <w:link w:val="791"/>
    <w:rPr>
      <w:rFonts w:ascii="Arial" w:hAnsi="Arial" w:eastAsia="黑体" w:cs="Times New Roman"/>
      <w:b/>
      <w:bCs/>
      <w:sz w:val="24"/>
      <w:szCs w:val="24"/>
    </w:rPr>
  </w:style>
  <w:style w:type="character" w:styleId="805">
    <w:name w:val="标题 7 Char"/>
    <w:next w:val="805"/>
    <w:link w:val="792"/>
    <w:rPr>
      <w:rFonts w:ascii="Times New Roman" w:hAnsi="Times New Roman" w:eastAsia="宋体" w:cs="Times New Roman"/>
      <w:b/>
      <w:bCs/>
      <w:sz w:val="24"/>
      <w:szCs w:val="24"/>
    </w:rPr>
  </w:style>
  <w:style w:type="character" w:styleId="806">
    <w:name w:val="标题 8 Char"/>
    <w:next w:val="806"/>
    <w:link w:val="793"/>
    <w:rPr>
      <w:rFonts w:ascii="Arial" w:hAnsi="Arial" w:eastAsia="黑体" w:cs="Times New Roman"/>
      <w:sz w:val="24"/>
      <w:szCs w:val="24"/>
    </w:rPr>
  </w:style>
  <w:style w:type="character" w:styleId="807">
    <w:name w:val="标题 9 Char"/>
    <w:next w:val="807"/>
    <w:link w:val="794"/>
    <w:rPr>
      <w:rFonts w:ascii="Arial" w:hAnsi="Arial" w:eastAsia="黑体" w:cs="Times New Roman"/>
      <w:szCs w:val="21"/>
    </w:rPr>
  </w:style>
  <w:style w:type="paragraph" w:styleId="808">
    <w:name w:val="列表 3"/>
    <w:basedOn w:val="785"/>
    <w:next w:val="808"/>
    <w:link w:val="785"/>
    <w:pPr>
      <w:ind w:left="100" w:hanging="200"/>
    </w:pPr>
    <w:rPr>
      <w:rFonts w:ascii="Times New Roman" w:hAnsi="Times New Roman" w:eastAsia="宋体" w:cs="Times New Roman"/>
      <w:szCs w:val="21"/>
    </w:rPr>
  </w:style>
  <w:style w:type="paragraph" w:styleId="809">
    <w:name w:val="目录 7"/>
    <w:basedOn w:val="785"/>
    <w:next w:val="785"/>
    <w:link w:val="785"/>
    <w:semiHidden/>
    <w:pPr>
      <w:ind w:left="1260"/>
      <w:jc w:val="left"/>
    </w:pPr>
    <w:rPr>
      <w:rFonts w:ascii="Times New Roman" w:hAnsi="Times New Roman" w:eastAsia="宋体" w:cs="Times New Roman"/>
      <w:szCs w:val="21"/>
    </w:rPr>
  </w:style>
  <w:style w:type="paragraph" w:styleId="810">
    <w:name w:val="文档结构图"/>
    <w:basedOn w:val="785"/>
    <w:next w:val="810"/>
    <w:link w:val="811"/>
    <w:semiHidden/>
    <w:pPr>
      <w:shd w:val="clear" w:color="auto" w:fill="000080"/>
    </w:pPr>
    <w:rPr>
      <w:rFonts w:ascii="Times New Roman" w:hAnsi="Times New Roman" w:eastAsia="宋体" w:cs="Times New Roman"/>
      <w:szCs w:val="21"/>
    </w:rPr>
  </w:style>
  <w:style w:type="character" w:styleId="811">
    <w:name w:val="文档结构图 Char"/>
    <w:next w:val="811"/>
    <w:link w:val="810"/>
    <w:semiHidden/>
    <w:rPr>
      <w:rFonts w:ascii="Times New Roman" w:hAnsi="Times New Roman" w:eastAsia="宋体" w:cs="Times New Roman"/>
      <w:szCs w:val="21"/>
      <w:shd w:val="clear" w:color="auto" w:fill="000080"/>
    </w:rPr>
  </w:style>
  <w:style w:type="paragraph" w:styleId="812">
    <w:name w:val="批注文字"/>
    <w:basedOn w:val="785"/>
    <w:next w:val="812"/>
    <w:link w:val="813"/>
    <w:unhideWhenUsed/>
    <w:pPr>
      <w:jc w:val="left"/>
    </w:pPr>
  </w:style>
  <w:style w:type="character" w:styleId="813">
    <w:name w:val="批注文字 Char"/>
    <w:basedOn w:val="795"/>
    <w:next w:val="813"/>
    <w:link w:val="812"/>
    <w:uiPriority w:val="99"/>
    <w:semiHidden/>
  </w:style>
  <w:style w:type="paragraph" w:styleId="814">
    <w:name w:val="正文文本 3"/>
    <w:basedOn w:val="785"/>
    <w:next w:val="814"/>
    <w:link w:val="815"/>
    <w:rPr>
      <w:rFonts w:ascii="仿宋_GB2312" w:hAnsi="Arial" w:eastAsia="仿宋_GB2312" w:cs="Times New Roman"/>
      <w:sz w:val="32"/>
      <w:szCs w:val="32"/>
    </w:rPr>
  </w:style>
  <w:style w:type="character" w:styleId="815">
    <w:name w:val="正文文本 3 Char"/>
    <w:next w:val="815"/>
    <w:link w:val="814"/>
    <w:rPr>
      <w:rFonts w:ascii="仿宋_GB2312" w:hAnsi="Arial" w:eastAsia="仿宋_GB2312" w:cs="Times New Roman"/>
      <w:sz w:val="32"/>
      <w:szCs w:val="32"/>
    </w:rPr>
  </w:style>
  <w:style w:type="paragraph" w:styleId="816">
    <w:name w:val="正文文本"/>
    <w:basedOn w:val="785"/>
    <w:next w:val="785"/>
    <w:link w:val="817"/>
    <w:rPr>
      <w:rFonts w:ascii="楷体_GB2312" w:hAnsi="Arial" w:eastAsia="楷体_GB2312" w:cs="Times New Roman"/>
      <w:sz w:val="28"/>
      <w:szCs w:val="28"/>
    </w:rPr>
  </w:style>
  <w:style w:type="character" w:styleId="817">
    <w:name w:val="正文文本 Char"/>
    <w:next w:val="817"/>
    <w:link w:val="816"/>
    <w:rPr>
      <w:rFonts w:ascii="楷体_GB2312" w:hAnsi="Arial" w:eastAsia="楷体_GB2312" w:cs="Times New Roman"/>
      <w:sz w:val="28"/>
      <w:szCs w:val="28"/>
    </w:rPr>
  </w:style>
  <w:style w:type="paragraph" w:styleId="818">
    <w:name w:val="正文文本缩进"/>
    <w:basedOn w:val="785"/>
    <w:next w:val="785"/>
    <w:link w:val="819"/>
    <w:unhideWhenUsed/>
    <w:pPr>
      <w:ind w:left="420"/>
      <w:spacing w:after="120"/>
    </w:pPr>
  </w:style>
  <w:style w:type="character" w:styleId="819">
    <w:name w:val="正文文本缩进 Char"/>
    <w:basedOn w:val="795"/>
    <w:next w:val="819"/>
    <w:link w:val="818"/>
    <w:uiPriority w:val="99"/>
    <w:semiHidden/>
  </w:style>
  <w:style w:type="paragraph" w:styleId="820">
    <w:name w:val="列表 2"/>
    <w:basedOn w:val="785"/>
    <w:next w:val="820"/>
    <w:link w:val="785"/>
    <w:pPr>
      <w:ind w:left="100" w:hanging="200"/>
    </w:pPr>
    <w:rPr>
      <w:rFonts w:ascii="Times New Roman" w:hAnsi="Times New Roman" w:eastAsia="宋体" w:cs="Times New Roman"/>
      <w:szCs w:val="21"/>
    </w:rPr>
  </w:style>
  <w:style w:type="paragraph" w:styleId="821">
    <w:name w:val="索引 4"/>
    <w:basedOn w:val="785"/>
    <w:next w:val="785"/>
    <w:link w:val="785"/>
    <w:uiPriority w:val="99"/>
    <w:qFormat/>
    <w:pPr>
      <w:ind w:left="1260"/>
      <w:jc w:val="left"/>
      <w:spacing w:before="160" w:after="160" w:line="240" w:lineRule="atLeast"/>
      <w:widowControl/>
    </w:pPr>
    <w:rPr>
      <w:rFonts w:ascii="Times New Roman" w:hAnsi="Times New Roman" w:cs="Arial"/>
      <w:szCs w:val="21"/>
    </w:rPr>
  </w:style>
  <w:style w:type="paragraph" w:styleId="822">
    <w:name w:val="目录 5"/>
    <w:basedOn w:val="785"/>
    <w:next w:val="785"/>
    <w:link w:val="785"/>
    <w:semiHidden/>
    <w:pPr>
      <w:ind w:left="840"/>
      <w:jc w:val="left"/>
    </w:pPr>
    <w:rPr>
      <w:rFonts w:ascii="Times New Roman" w:hAnsi="Times New Roman" w:eastAsia="宋体" w:cs="Times New Roman"/>
      <w:szCs w:val="21"/>
    </w:rPr>
  </w:style>
  <w:style w:type="paragraph" w:styleId="823">
    <w:name w:val="目录 3"/>
    <w:basedOn w:val="785"/>
    <w:next w:val="785"/>
    <w:link w:val="785"/>
    <w:semiHidden/>
    <w:pPr>
      <w:ind w:left="420"/>
      <w:jc w:val="left"/>
    </w:pPr>
    <w:rPr>
      <w:rFonts w:ascii="Times New Roman" w:hAnsi="Times New Roman" w:eastAsia="宋体" w:cs="Times New Roman"/>
      <w:i/>
      <w:iCs/>
      <w:szCs w:val="24"/>
    </w:rPr>
  </w:style>
  <w:style w:type="paragraph" w:styleId="824">
    <w:name w:val="纯文本"/>
    <w:basedOn w:val="785"/>
    <w:next w:val="824"/>
    <w:link w:val="825"/>
    <w:rPr>
      <w:rFonts w:ascii="宋体" w:hAnsi="Courier New" w:eastAsia="宋体" w:cs="Courier New"/>
      <w:szCs w:val="21"/>
    </w:rPr>
  </w:style>
  <w:style w:type="character" w:styleId="825">
    <w:name w:val="纯文本 Char"/>
    <w:next w:val="825"/>
    <w:link w:val="824"/>
    <w:rPr>
      <w:rFonts w:ascii="宋体" w:hAnsi="Courier New" w:eastAsia="宋体" w:cs="Courier New"/>
      <w:szCs w:val="21"/>
    </w:rPr>
  </w:style>
  <w:style w:type="paragraph" w:styleId="826">
    <w:name w:val="目录 8"/>
    <w:basedOn w:val="785"/>
    <w:next w:val="785"/>
    <w:link w:val="785"/>
    <w:semiHidden/>
    <w:pPr>
      <w:ind w:left="1470"/>
      <w:jc w:val="left"/>
    </w:pPr>
    <w:rPr>
      <w:rFonts w:ascii="Times New Roman" w:hAnsi="Times New Roman" w:eastAsia="宋体" w:cs="Times New Roman"/>
      <w:szCs w:val="21"/>
    </w:rPr>
  </w:style>
  <w:style w:type="paragraph" w:styleId="827">
    <w:name w:val="日期"/>
    <w:basedOn w:val="785"/>
    <w:next w:val="785"/>
    <w:link w:val="828"/>
    <w:rPr>
      <w:rFonts w:ascii="Times New Roman" w:hAnsi="Times New Roman" w:eastAsia="宋体" w:cs="Times New Roman"/>
      <w:sz w:val="24"/>
      <w:szCs w:val="24"/>
    </w:rPr>
  </w:style>
  <w:style w:type="character" w:styleId="828">
    <w:name w:val="日期 Char"/>
    <w:next w:val="828"/>
    <w:link w:val="827"/>
    <w:rPr>
      <w:rFonts w:ascii="Times New Roman" w:hAnsi="Times New Roman" w:eastAsia="宋体" w:cs="Times New Roman"/>
      <w:sz w:val="24"/>
      <w:szCs w:val="24"/>
    </w:rPr>
  </w:style>
  <w:style w:type="paragraph" w:styleId="829">
    <w:name w:val="正文文本缩进 2"/>
    <w:basedOn w:val="785"/>
    <w:next w:val="829"/>
    <w:link w:val="830"/>
    <w:pPr>
      <w:ind w:left="630" w:firstLine="645"/>
    </w:pPr>
    <w:rPr>
      <w:rFonts w:ascii="Arial" w:hAnsi="Arial" w:eastAsia="仿宋_GB2312" w:cs="Arial"/>
      <w:sz w:val="32"/>
      <w:szCs w:val="32"/>
    </w:rPr>
  </w:style>
  <w:style w:type="character" w:styleId="830">
    <w:name w:val="正文文本缩进 2 Char"/>
    <w:next w:val="830"/>
    <w:link w:val="829"/>
    <w:rPr>
      <w:rFonts w:ascii="Arial" w:hAnsi="Arial" w:eastAsia="仿宋_GB2312" w:cs="Arial"/>
      <w:sz w:val="32"/>
      <w:szCs w:val="32"/>
    </w:rPr>
  </w:style>
  <w:style w:type="paragraph" w:styleId="831">
    <w:name w:val="批注框文本"/>
    <w:basedOn w:val="785"/>
    <w:next w:val="831"/>
    <w:link w:val="832"/>
    <w:semiHidden/>
    <w:rPr>
      <w:rFonts w:ascii="Times New Roman" w:hAnsi="Times New Roman" w:eastAsia="宋体" w:cs="Times New Roman"/>
      <w:sz w:val="18"/>
      <w:szCs w:val="18"/>
    </w:rPr>
  </w:style>
  <w:style w:type="character" w:styleId="832">
    <w:name w:val="批注框文本 Char"/>
    <w:next w:val="832"/>
    <w:link w:val="831"/>
    <w:semiHidden/>
    <w:rPr>
      <w:rFonts w:ascii="Times New Roman" w:hAnsi="Times New Roman" w:eastAsia="宋体" w:cs="Times New Roman"/>
      <w:sz w:val="18"/>
      <w:szCs w:val="18"/>
    </w:rPr>
  </w:style>
  <w:style w:type="paragraph" w:styleId="833">
    <w:name w:val="页脚"/>
    <w:basedOn w:val="785"/>
    <w:next w:val="833"/>
    <w:link w:val="834"/>
    <w:pPr>
      <w:jc w:val="left"/>
      <w:tabs>
        <w:tab w:val="center" w:pos="4153" w:leader="none"/>
        <w:tab w:val="right" w:pos="8306" w:leader="none"/>
      </w:tabs>
    </w:pPr>
    <w:rPr>
      <w:rFonts w:ascii="Times New Roman" w:hAnsi="Times New Roman" w:eastAsia="宋体" w:cs="Times New Roman"/>
      <w:sz w:val="18"/>
      <w:szCs w:val="18"/>
    </w:rPr>
  </w:style>
  <w:style w:type="character" w:styleId="834">
    <w:name w:val="页脚 Char"/>
    <w:next w:val="834"/>
    <w:link w:val="833"/>
    <w:rPr>
      <w:rFonts w:ascii="Times New Roman" w:hAnsi="Times New Roman" w:eastAsia="宋体" w:cs="Times New Roman"/>
      <w:sz w:val="18"/>
      <w:szCs w:val="18"/>
    </w:rPr>
  </w:style>
  <w:style w:type="paragraph" w:styleId="835">
    <w:name w:val="寄信人地址"/>
    <w:basedOn w:val="785"/>
    <w:next w:val="835"/>
    <w:link w:val="785"/>
    <w:qFormat/>
    <w:rPr>
      <w:rFonts w:ascii="Arial" w:hAnsi="Arial" w:eastAsia="宋体" w:cs="Times New Roman"/>
    </w:rPr>
  </w:style>
  <w:style w:type="paragraph" w:styleId="836">
    <w:name w:val="页眉"/>
    <w:basedOn w:val="785"/>
    <w:next w:val="836"/>
    <w:link w:val="83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37">
    <w:name w:val="页眉 Char"/>
    <w:next w:val="837"/>
    <w:link w:val="836"/>
    <w:rPr>
      <w:rFonts w:ascii="Times New Roman" w:hAnsi="Times New Roman" w:eastAsia="宋体" w:cs="Times New Roman"/>
      <w:sz w:val="18"/>
      <w:szCs w:val="18"/>
    </w:rPr>
  </w:style>
  <w:style w:type="paragraph" w:styleId="838">
    <w:name w:val="目录 1"/>
    <w:basedOn w:val="785"/>
    <w:next w:val="785"/>
    <w:link w:val="7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39">
    <w:name w:val="目录 4"/>
    <w:basedOn w:val="785"/>
    <w:next w:val="785"/>
    <w:link w:val="785"/>
    <w:semiHidden/>
    <w:pPr>
      <w:ind w:left="630"/>
      <w:jc w:val="left"/>
    </w:pPr>
    <w:rPr>
      <w:rFonts w:ascii="Times New Roman" w:hAnsi="Times New Roman" w:eastAsia="宋体" w:cs="Times New Roman"/>
      <w:szCs w:val="21"/>
    </w:rPr>
  </w:style>
  <w:style w:type="paragraph" w:styleId="840">
    <w:name w:val="列表"/>
    <w:basedOn w:val="785"/>
    <w:next w:val="840"/>
    <w:link w:val="785"/>
    <w:pPr>
      <w:ind w:left="200" w:hanging="200"/>
    </w:pPr>
    <w:rPr>
      <w:rFonts w:ascii="Times New Roman" w:hAnsi="Times New Roman" w:eastAsia="宋体" w:cs="Times New Roman"/>
      <w:szCs w:val="21"/>
    </w:rPr>
  </w:style>
  <w:style w:type="paragraph" w:styleId="841">
    <w:name w:val="目录 6"/>
    <w:basedOn w:val="785"/>
    <w:next w:val="785"/>
    <w:link w:val="785"/>
    <w:semiHidden/>
    <w:pPr>
      <w:ind w:left="1050"/>
      <w:jc w:val="left"/>
    </w:pPr>
    <w:rPr>
      <w:rFonts w:ascii="Times New Roman" w:hAnsi="Times New Roman" w:eastAsia="宋体" w:cs="Times New Roman"/>
      <w:szCs w:val="21"/>
    </w:rPr>
  </w:style>
  <w:style w:type="paragraph" w:styleId="842">
    <w:name w:val="正文文本缩进 3"/>
    <w:basedOn w:val="785"/>
    <w:next w:val="842"/>
    <w:link w:val="843"/>
    <w:pPr>
      <w:ind w:left="645" w:firstLine="645"/>
    </w:pPr>
    <w:rPr>
      <w:rFonts w:ascii="Arial" w:hAnsi="Arial" w:eastAsia="仿宋_GB2312" w:cs="Arial"/>
      <w:color w:val="ffff00"/>
      <w:sz w:val="32"/>
      <w:szCs w:val="32"/>
    </w:rPr>
  </w:style>
  <w:style w:type="character" w:styleId="843">
    <w:name w:val="正文文本缩进 3 Char"/>
    <w:next w:val="843"/>
    <w:link w:val="842"/>
    <w:rPr>
      <w:rFonts w:ascii="Arial" w:hAnsi="Arial" w:eastAsia="仿宋_GB2312" w:cs="Arial"/>
      <w:color w:val="ffff00"/>
      <w:sz w:val="32"/>
      <w:szCs w:val="32"/>
    </w:rPr>
  </w:style>
  <w:style w:type="paragraph" w:styleId="844">
    <w:name w:val="图表目录"/>
    <w:basedOn w:val="785"/>
    <w:next w:val="785"/>
    <w:link w:val="785"/>
    <w:semiHidden/>
    <w:pPr>
      <w:ind w:left="840" w:hanging="420"/>
    </w:pPr>
    <w:rPr>
      <w:rFonts w:ascii="Times New Roman" w:hAnsi="Times New Roman" w:eastAsia="宋体" w:cs="Times New Roman"/>
      <w:szCs w:val="21"/>
    </w:rPr>
  </w:style>
  <w:style w:type="paragraph" w:styleId="845">
    <w:name w:val="目录 2"/>
    <w:basedOn w:val="785"/>
    <w:next w:val="785"/>
    <w:link w:val="785"/>
    <w:semiHidden/>
    <w:pPr>
      <w:ind w:left="210"/>
      <w:jc w:val="left"/>
    </w:pPr>
    <w:rPr>
      <w:rFonts w:ascii="Times New Roman" w:hAnsi="Times New Roman" w:eastAsia="宋体" w:cs="Times New Roman"/>
      <w:smallCaps/>
      <w:szCs w:val="24"/>
    </w:rPr>
  </w:style>
  <w:style w:type="paragraph" w:styleId="846">
    <w:name w:val="目录 9"/>
    <w:basedOn w:val="785"/>
    <w:next w:val="785"/>
    <w:link w:val="785"/>
    <w:semiHidden/>
    <w:pPr>
      <w:ind w:left="1680"/>
      <w:jc w:val="left"/>
    </w:pPr>
    <w:rPr>
      <w:rFonts w:ascii="Times New Roman" w:hAnsi="Times New Roman" w:eastAsia="宋体" w:cs="Times New Roman"/>
      <w:szCs w:val="21"/>
    </w:rPr>
  </w:style>
  <w:style w:type="paragraph" w:styleId="847">
    <w:name w:val="正文文本 2"/>
    <w:basedOn w:val="785"/>
    <w:next w:val="847"/>
    <w:link w:val="848"/>
    <w:pPr>
      <w:jc w:val="center"/>
      <w:widowControl/>
    </w:pPr>
    <w:rPr>
      <w:rFonts w:ascii="楷体_GB2312" w:hAnsi="Times New Roman" w:eastAsia="楷体_GB2312" w:cs="Times New Roman"/>
      <w:sz w:val="28"/>
      <w:szCs w:val="28"/>
    </w:rPr>
  </w:style>
  <w:style w:type="character" w:styleId="848">
    <w:name w:val="正文文本 2 Char"/>
    <w:next w:val="848"/>
    <w:link w:val="847"/>
    <w:rPr>
      <w:rFonts w:ascii="楷体_GB2312" w:hAnsi="Times New Roman" w:eastAsia="楷体_GB2312" w:cs="Times New Roman"/>
      <w:sz w:val="28"/>
      <w:szCs w:val="28"/>
    </w:rPr>
  </w:style>
  <w:style w:type="paragraph" w:styleId="849">
    <w:name w:val="普通(网站)"/>
    <w:basedOn w:val="785"/>
    <w:next w:val="849"/>
    <w:link w:val="785"/>
    <w:uiPriority w:val="99"/>
    <w:pPr>
      <w:jc w:val="left"/>
      <w:spacing w:before="100" w:beforeAutospacing="1" w:after="100" w:afterAutospacing="1"/>
      <w:widowControl/>
    </w:pPr>
    <w:rPr>
      <w:rFonts w:ascii="宋体" w:hAnsi="宋体" w:eastAsia="宋体" w:cs="宋体"/>
      <w:sz w:val="24"/>
      <w:szCs w:val="24"/>
    </w:rPr>
  </w:style>
  <w:style w:type="paragraph" w:styleId="850">
    <w:name w:val="索引 1"/>
    <w:basedOn w:val="785"/>
    <w:next w:val="785"/>
    <w:link w:val="785"/>
    <w:semiHidden/>
    <w:pPr>
      <w:spacing w:line="240" w:lineRule="atLeast"/>
    </w:pPr>
    <w:rPr>
      <w:rFonts w:ascii="Times New Roman" w:hAnsi="Times New Roman" w:eastAsia="宋体" w:cs="Times New Roman"/>
      <w:b/>
      <w:bCs/>
      <w:szCs w:val="21"/>
    </w:rPr>
  </w:style>
  <w:style w:type="paragraph" w:styleId="851">
    <w:name w:val="批注主题"/>
    <w:basedOn w:val="812"/>
    <w:next w:val="812"/>
    <w:link w:val="852"/>
    <w:semiHidden/>
    <w:rPr>
      <w:rFonts w:ascii="Times New Roman" w:hAnsi="Times New Roman" w:eastAsia="宋体" w:cs="Times New Roman"/>
      <w:b/>
      <w:bCs/>
      <w:szCs w:val="21"/>
    </w:rPr>
  </w:style>
  <w:style w:type="character" w:styleId="852">
    <w:name w:val="批注主题 Char"/>
    <w:next w:val="852"/>
    <w:link w:val="851"/>
    <w:semiHidden/>
    <w:rPr>
      <w:rFonts w:ascii="Times New Roman" w:hAnsi="Times New Roman" w:eastAsia="宋体" w:cs="Times New Roman"/>
      <w:b/>
      <w:bCs/>
      <w:szCs w:val="21"/>
    </w:rPr>
  </w:style>
  <w:style w:type="paragraph" w:styleId="853">
    <w:name w:val="正文首行缩进"/>
    <w:basedOn w:val="816"/>
    <w:next w:val="853"/>
    <w:link w:val="854"/>
    <w:pPr>
      <w:ind w:firstLine="200"/>
      <w:spacing w:line="360" w:lineRule="auto"/>
    </w:pPr>
    <w:rPr>
      <w:rFonts w:ascii="仿宋_GB2312" w:hAnsi="Times New Roman" w:eastAsia="仿宋_GB2312" w:cs="Times New Roman"/>
      <w:sz w:val="30"/>
      <w:szCs w:val="30"/>
    </w:rPr>
  </w:style>
  <w:style w:type="character" w:styleId="854">
    <w:name w:val="正文首行缩进 Char"/>
    <w:next w:val="854"/>
    <w:link w:val="853"/>
    <w:rPr>
      <w:rFonts w:ascii="仿宋_GB2312" w:hAnsi="Times New Roman" w:eastAsia="仿宋_GB2312" w:cs="Times New Roman"/>
      <w:sz w:val="30"/>
      <w:szCs w:val="30"/>
    </w:rPr>
  </w:style>
  <w:style w:type="paragraph" w:styleId="855">
    <w:name w:val="正文首行缩进 2"/>
    <w:basedOn w:val="818"/>
    <w:next w:val="857"/>
    <w:link w:val="856"/>
    <w:pPr>
      <w:ind w:left="0" w:firstLine="420"/>
      <w:spacing w:after="0" w:line="360" w:lineRule="auto"/>
    </w:pPr>
    <w:rPr>
      <w:rFonts w:ascii="宋体" w:hAnsi="宋体" w:eastAsia="宋体" w:cs="Times New Roman"/>
      <w:szCs w:val="20"/>
    </w:rPr>
  </w:style>
  <w:style w:type="character" w:styleId="856">
    <w:name w:val="正文首行缩进 2 Char"/>
    <w:next w:val="856"/>
    <w:link w:val="855"/>
    <w:rPr>
      <w:rFonts w:ascii="宋体" w:hAnsi="宋体" w:eastAsia="宋体" w:cs="Times New Roman"/>
      <w:szCs w:val="20"/>
    </w:rPr>
  </w:style>
  <w:style w:type="paragraph" w:styleId="857">
    <w:name w:val="样式 标题 3 + (中文) 黑体 小四 非加粗 段前: 7.8 磅 段后: 0 磅 行距: 固定值 20 磅_0"/>
    <w:basedOn w:val="858"/>
    <w:next w:val="857"/>
    <w:link w:val="785"/>
    <w:qFormat/>
    <w:pPr>
      <w:spacing w:before="0" w:after="0" w:line="400" w:lineRule="exact"/>
    </w:pPr>
    <w:rPr>
      <w:rFonts w:ascii="Times New Roman" w:hAnsi="Times New Roman" w:eastAsia="黑体" w:cs="宋体"/>
      <w:b w:val="0"/>
      <w:bCs w:val="0"/>
      <w:sz w:val="21"/>
      <w:szCs w:val="20"/>
    </w:rPr>
  </w:style>
  <w:style w:type="paragraph" w:styleId="858">
    <w:name w:val="标题 3_0"/>
    <w:basedOn w:val="859"/>
    <w:next w:val="860"/>
    <w:link w:val="785"/>
    <w:qFormat/>
    <w:pPr>
      <w:keepLines/>
      <w:keepNext/>
      <w:spacing w:before="260" w:after="260" w:line="416" w:lineRule="auto"/>
      <w:outlineLvl w:val="2"/>
    </w:pPr>
    <w:rPr>
      <w:rFonts w:ascii="Calibri" w:hAnsi="Calibri" w:eastAsia="宋体"/>
      <w:b/>
      <w:bCs/>
      <w:sz w:val="32"/>
      <w:szCs w:val="32"/>
    </w:rPr>
  </w:style>
  <w:style w:type="paragraph" w:styleId="859">
    <w:name w:val="正文_0"/>
    <w:next w:val="855"/>
    <w:link w:val="785"/>
    <w:qFormat/>
    <w:pPr>
      <w:jc w:val="both"/>
      <w:widowControl w:val="off"/>
    </w:pPr>
    <w:rPr>
      <w:rFonts w:ascii="Calibri" w:hAnsi="Calibri" w:eastAsia="仿宋_GB2312" w:cs="Times New Roman"/>
      <w:sz w:val="21"/>
      <w:szCs w:val="22"/>
      <w:lang w:val="en-US" w:eastAsia="zh-CN" w:bidi="ar-SA"/>
    </w:rPr>
  </w:style>
  <w:style w:type="paragraph" w:styleId="860">
    <w:name w:val="正文_1"/>
    <w:next w:val="855"/>
    <w:link w:val="785"/>
    <w:qFormat/>
    <w:pPr>
      <w:jc w:val="both"/>
      <w:widowControl w:val="off"/>
    </w:pPr>
    <w:rPr>
      <w:rFonts w:ascii="Calibri" w:hAnsi="Calibri" w:eastAsia="仿宋_GB2312" w:cs="Times New Roman"/>
      <w:sz w:val="21"/>
      <w:szCs w:val="22"/>
      <w:lang w:val="en-US" w:eastAsia="zh-CN" w:bidi="ar-SA"/>
    </w:rPr>
  </w:style>
  <w:style w:type="table" w:styleId="861">
    <w:name w:val="网格型"/>
    <w:basedOn w:val="796"/>
    <w:next w:val="861"/>
    <w:link w:val="785"/>
    <w:pPr>
      <w:jc w:val="both"/>
      <w:widowControl w:val="off"/>
    </w:pPr>
    <w:rPr>
      <w:rFonts w:ascii="Times New Roman" w:hAnsi="Times New Roman" w:eastAsia="宋体" w:cs="Times New Roman"/>
      <w:sz w:val="20"/>
      <w:szCs w:val="20"/>
    </w:rPr>
    <w:tblPr/>
  </w:style>
  <w:style w:type="character" w:styleId="862">
    <w:name w:val="要点"/>
    <w:basedOn w:val="795"/>
    <w:next w:val="862"/>
    <w:link w:val="785"/>
    <w:qFormat/>
    <w:rPr>
      <w:b/>
      <w:bCs/>
    </w:rPr>
  </w:style>
  <w:style w:type="character" w:styleId="863">
    <w:name w:val="页码"/>
    <w:basedOn w:val="795"/>
    <w:next w:val="863"/>
    <w:link w:val="785"/>
  </w:style>
  <w:style w:type="character" w:styleId="864">
    <w:name w:val="已访问的超链接"/>
    <w:basedOn w:val="795"/>
    <w:next w:val="864"/>
    <w:link w:val="785"/>
    <w:rPr>
      <w:color w:val="ffffff"/>
      <w:u w:val="none"/>
    </w:rPr>
  </w:style>
  <w:style w:type="character" w:styleId="865">
    <w:name w:val="HTML 定义"/>
    <w:basedOn w:val="795"/>
    <w:next w:val="865"/>
    <w:link w:val="785"/>
    <w:uiPriority w:val="99"/>
    <w:unhideWhenUsed/>
    <w:rPr>
      <w:b w:val="0"/>
      <w:bCs w:val="0"/>
      <w:i w:val="0"/>
      <w:iCs w:val="0"/>
    </w:rPr>
  </w:style>
  <w:style w:type="character" w:styleId="866">
    <w:name w:val="HTML 打字机"/>
    <w:basedOn w:val="795"/>
    <w:next w:val="866"/>
    <w:link w:val="785"/>
    <w:uiPriority w:val="99"/>
    <w:unhideWhenUsed/>
    <w:rPr>
      <w:rFonts w:ascii="monospace" w:hAnsi="monospace" w:eastAsia="monospace" w:cs="monospace"/>
      <w:sz w:val="20"/>
    </w:rPr>
  </w:style>
  <w:style w:type="character" w:styleId="867">
    <w:name w:val="HTML 缩写"/>
    <w:basedOn w:val="795"/>
    <w:next w:val="867"/>
    <w:link w:val="785"/>
    <w:uiPriority w:val="99"/>
    <w:unhideWhenUsed/>
  </w:style>
  <w:style w:type="character" w:styleId="868">
    <w:name w:val="HTML 变量"/>
    <w:basedOn w:val="795"/>
    <w:next w:val="868"/>
    <w:link w:val="785"/>
    <w:uiPriority w:val="99"/>
    <w:unhideWhenUsed/>
    <w:rPr>
      <w:b w:val="0"/>
      <w:bCs w:val="0"/>
      <w:i w:val="0"/>
      <w:iCs w:val="0"/>
    </w:rPr>
  </w:style>
  <w:style w:type="character" w:styleId="869">
    <w:name w:val="超链接"/>
    <w:basedOn w:val="795"/>
    <w:next w:val="869"/>
    <w:link w:val="785"/>
    <w:rPr>
      <w:color w:val="ffffff"/>
      <w:u w:val="none"/>
    </w:rPr>
  </w:style>
  <w:style w:type="character" w:styleId="870">
    <w:name w:val="HTML 代码"/>
    <w:basedOn w:val="795"/>
    <w:next w:val="870"/>
    <w:link w:val="785"/>
    <w:uiPriority w:val="99"/>
    <w:unhideWhenUsed/>
    <w:rPr>
      <w:rFonts w:ascii="monospace" w:hAnsi="monospace" w:eastAsia="monospace" w:cs="monospace"/>
      <w:b w:val="0"/>
      <w:bCs w:val="0"/>
      <w:i w:val="0"/>
      <w:iCs w:val="0"/>
      <w:sz w:val="20"/>
    </w:rPr>
  </w:style>
  <w:style w:type="character" w:styleId="871">
    <w:name w:val="批注引用"/>
    <w:next w:val="871"/>
    <w:link w:val="785"/>
    <w:semiHidden/>
    <w:rPr>
      <w:sz w:val="21"/>
      <w:szCs w:val="21"/>
    </w:rPr>
  </w:style>
  <w:style w:type="character" w:styleId="872">
    <w:name w:val="HTML 引文"/>
    <w:basedOn w:val="795"/>
    <w:next w:val="872"/>
    <w:link w:val="785"/>
    <w:uiPriority w:val="99"/>
    <w:unhideWhenUsed/>
    <w:rPr>
      <w:b w:val="0"/>
      <w:bCs w:val="0"/>
      <w:i w:val="0"/>
      <w:iCs w:val="0"/>
    </w:rPr>
  </w:style>
  <w:style w:type="character" w:styleId="873">
    <w:name w:val="HTML 键盘"/>
    <w:basedOn w:val="795"/>
    <w:next w:val="873"/>
    <w:link w:val="785"/>
    <w:uiPriority w:val="99"/>
    <w:unhideWhenUsed/>
    <w:rPr>
      <w:rFonts w:ascii="monospace" w:hAnsi="monospace" w:eastAsia="monospace" w:cs="monospace"/>
      <w:sz w:val="20"/>
    </w:rPr>
  </w:style>
  <w:style w:type="character" w:styleId="874">
    <w:name w:val="HTML 样本"/>
    <w:basedOn w:val="795"/>
    <w:next w:val="874"/>
    <w:link w:val="785"/>
    <w:uiPriority w:val="99"/>
    <w:unhideWhenUsed/>
    <w:rPr>
      <w:rFonts w:ascii="monospace" w:hAnsi="monospace" w:eastAsia="monospace" w:cs="monospace"/>
    </w:rPr>
  </w:style>
  <w:style w:type="paragraph" w:styleId="875">
    <w:name w:val="Fließtext"/>
    <w:basedOn w:val="785"/>
    <w:next w:val="875"/>
    <w:link w:val="785"/>
    <w:qFormat/>
    <w:rPr>
      <w:szCs w:val="20"/>
    </w:rPr>
  </w:style>
  <w:style w:type="paragraph" w:styleId="876">
    <w:name w:val="Default"/>
    <w:basedOn w:val="785"/>
    <w:next w:val="876"/>
    <w:link w:val="785"/>
    <w:semiHidden/>
    <w:qFormat/>
    <w:pPr>
      <w:jc w:val="left"/>
    </w:pPr>
    <w:rPr>
      <w:rFonts w:ascii="宋体" w:hAnsi="Calibri" w:cs="宋体"/>
      <w:color w:val="000000"/>
      <w:sz w:val="24"/>
    </w:rPr>
  </w:style>
  <w:style w:type="paragraph" w:styleId="877">
    <w:name w:val="样式 正文首行缩进 2 + Arial"/>
    <w:basedOn w:val="785"/>
    <w:next w:val="785"/>
    <w:link w:val="785"/>
    <w:qFormat/>
    <w:pPr>
      <w:ind w:firstLine="200"/>
      <w:spacing w:line="320" w:lineRule="atLeast"/>
    </w:pPr>
    <w:rPr>
      <w:rFonts w:ascii="Arial" w:hAnsi="Arial"/>
    </w:rPr>
  </w:style>
  <w:style w:type="paragraph" w:styleId="878">
    <w:name w:val="正文首行缩进 21"/>
    <w:basedOn w:val="879"/>
    <w:next w:val="878"/>
    <w:link w:val="785"/>
    <w:qFormat/>
    <w:pPr>
      <w:ind w:left="0" w:firstLine="420"/>
      <w:spacing w:after="0" w:line="360" w:lineRule="auto"/>
    </w:pPr>
    <w:rPr>
      <w:rFonts w:ascii="宋体" w:hAnsi="宋体" w:eastAsia="宋体" w:cs="Times New Roman"/>
      <w:szCs w:val="20"/>
    </w:rPr>
  </w:style>
  <w:style w:type="paragraph" w:styleId="879">
    <w:name w:val="正文文本缩进1"/>
    <w:basedOn w:val="785"/>
    <w:next w:val="879"/>
    <w:link w:val="785"/>
    <w:unhideWhenUsed/>
    <w:qFormat/>
    <w:pPr>
      <w:ind w:left="420"/>
      <w:spacing w:after="120"/>
    </w:pPr>
  </w:style>
  <w:style w:type="paragraph" w:styleId="880">
    <w:name w:val="寄信人地址1"/>
    <w:basedOn w:val="785"/>
    <w:next w:val="880"/>
    <w:link w:val="785"/>
    <w:qFormat/>
    <w:rPr>
      <w:rFonts w:ascii="Arial" w:hAnsi="Arial" w:eastAsia="宋体" w:cs="Times New Roman"/>
    </w:rPr>
  </w:style>
  <w:style w:type="character" w:styleId="881">
    <w:name w:val="font5 Char"/>
    <w:next w:val="881"/>
    <w:link w:val="785"/>
    <w:rPr>
      <w:rFonts w:ascii="宋体" w:hAnsi="宋体" w:eastAsia="宋体"/>
      <w:sz w:val="28"/>
      <w:szCs w:val="28"/>
      <w:lang w:val="en-US" w:eastAsia="zh-CN" w:bidi="ar-SA"/>
    </w:rPr>
  </w:style>
  <w:style w:type="character" w:styleId="882">
    <w:name w:val="二级目录 Char"/>
    <w:next w:val="882"/>
    <w:link w:val="883"/>
    <w:rPr>
      <w:b/>
      <w:sz w:val="30"/>
      <w:szCs w:val="28"/>
    </w:rPr>
  </w:style>
  <w:style w:type="paragraph" w:styleId="883">
    <w:name w:val="二级目录"/>
    <w:next w:val="785"/>
    <w:link w:val="882"/>
    <w:pPr>
      <w:numPr>
        <w:ilvl w:val="0"/>
        <w:numId w:val="2"/>
      </w:numPr>
      <w:tabs>
        <w:tab w:val="left" w:pos="907" w:leader="none"/>
        <w:tab w:val="left" w:pos="1145" w:leader="none"/>
      </w:tabs>
      <w:outlineLvl w:val="1"/>
    </w:pPr>
    <w:rPr>
      <w:b/>
      <w:sz w:val="30"/>
      <w:szCs w:val="28"/>
      <w:lang w:val="en-US" w:eastAsia="zh-CN" w:bidi="ar-SA"/>
    </w:rPr>
  </w:style>
  <w:style w:type="character" w:styleId="884">
    <w:name w:val="列出段落 Char,Bullet List Char,numbered Char,FooterText Char,List Paragraph1 Char,Paragraphe de liste1 Char"/>
    <w:next w:val="884"/>
    <w:link w:val="885"/>
    <w:rPr>
      <w:rFonts w:ascii="Calibri" w:hAnsi="Calibri"/>
      <w:sz w:val="24"/>
      <w:szCs w:val="24"/>
      <w:lang w:eastAsia="en-US" w:bidi="en-US"/>
    </w:rPr>
  </w:style>
  <w:style w:type="paragraph" w:styleId="885">
    <w:name w:val="列出段落1"/>
    <w:basedOn w:val="785"/>
    <w:next w:val="885"/>
    <w:link w:val="884"/>
    <w:qFormat/>
    <w:pPr>
      <w:contextualSpacing/>
      <w:ind w:left="720"/>
      <w:jc w:val="left"/>
      <w:widowControl/>
    </w:pPr>
    <w:rPr>
      <w:rFonts w:ascii="Calibri" w:hAnsi="Calibri"/>
      <w:sz w:val="24"/>
      <w:szCs w:val="24"/>
      <w:lang w:eastAsia="en-US" w:bidi="en-US"/>
    </w:rPr>
  </w:style>
  <w:style w:type="paragraph" w:styleId="886">
    <w:name w:val="Body Text(ch)"/>
    <w:basedOn w:val="785"/>
    <w:next w:val="816"/>
    <w:link w:val="785"/>
    <w:pPr>
      <w:spacing w:after="120"/>
    </w:pPr>
    <w:rPr>
      <w:rFonts w:ascii="宋体" w:hAnsi="Arial" w:eastAsia="宋体" w:cs="Times New Roman"/>
      <w:bCs/>
      <w:iCs/>
      <w:szCs w:val="24"/>
    </w:rPr>
  </w:style>
  <w:style w:type="paragraph" w:styleId="887">
    <w:name w:val="xl27"/>
    <w:basedOn w:val="785"/>
    <w:next w:val="887"/>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8">
    <w:name w:val="xl26"/>
    <w:basedOn w:val="785"/>
    <w:next w:val="88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9">
    <w:name w:val="Char"/>
    <w:basedOn w:val="785"/>
    <w:next w:val="889"/>
    <w:link w:val="785"/>
    <w:pPr>
      <w:ind w:firstLine="200"/>
      <w:tabs>
        <w:tab w:val="left" w:pos="360" w:leader="none"/>
      </w:tabs>
    </w:pPr>
    <w:rPr>
      <w:rFonts w:ascii="Times New Roman" w:hAnsi="Times New Roman" w:eastAsia="宋体" w:cs="Times New Roman"/>
      <w:sz w:val="28"/>
      <w:szCs w:val="30"/>
    </w:rPr>
  </w:style>
  <w:style w:type="paragraph" w:styleId="890">
    <w:name w:val=" Char"/>
    <w:basedOn w:val="810"/>
    <w:next w:val="890"/>
    <w:link w:val="785"/>
    <w:rPr>
      <w:rFonts w:ascii="Tahoma" w:hAnsi="Tahoma"/>
      <w:sz w:val="24"/>
      <w:szCs w:val="24"/>
    </w:rPr>
  </w:style>
  <w:style w:type="paragraph" w:styleId="891">
    <w:name w:val="普通正文"/>
    <w:basedOn w:val="785"/>
    <w:next w:val="891"/>
    <w:link w:val="785"/>
    <w:pPr>
      <w:ind w:firstLine="480"/>
      <w:jc w:val="left"/>
      <w:spacing w:before="120" w:after="120" w:line="360" w:lineRule="auto"/>
    </w:pPr>
    <w:rPr>
      <w:rFonts w:ascii="Arial" w:hAnsi="Arial" w:eastAsia="宋体" w:cs="Times New Roman"/>
      <w:sz w:val="24"/>
      <w:szCs w:val="24"/>
    </w:rPr>
  </w:style>
  <w:style w:type="paragraph" w:styleId="892">
    <w:name w:val="table_lines"/>
    <w:basedOn w:val="785"/>
    <w:next w:val="892"/>
    <w:link w:val="785"/>
    <w:pPr>
      <w:jc w:val="left"/>
      <w:widowControl/>
    </w:pPr>
    <w:rPr>
      <w:rFonts w:ascii="Times New Roman" w:hAnsi="Times New Roman" w:eastAsia="宋体" w:cs="Times New Roman"/>
      <w:sz w:val="20"/>
      <w:szCs w:val="20"/>
      <w:lang w:val="de-DE" w:eastAsia="de-DE"/>
    </w:rPr>
  </w:style>
  <w:style w:type="paragraph" w:styleId="893">
    <w:name w:val="附录1"/>
    <w:next w:val="893"/>
    <w:link w:val="7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94">
    <w:name w:val="font7"/>
    <w:basedOn w:val="785"/>
    <w:next w:val="894"/>
    <w:link w:val="785"/>
    <w:pPr>
      <w:jc w:val="left"/>
      <w:spacing w:before="100" w:beforeAutospacing="1" w:after="100" w:afterAutospacing="1"/>
      <w:widowControl/>
    </w:pPr>
    <w:rPr>
      <w:rFonts w:hint="eastAsia" w:ascii="宋体" w:hAnsi="宋体" w:eastAsia="宋体" w:cs="Times New Roman"/>
      <w:sz w:val="18"/>
      <w:szCs w:val="18"/>
    </w:rPr>
  </w:style>
  <w:style w:type="paragraph" w:styleId="895">
    <w:name w:val=" Char Char Char Char"/>
    <w:basedOn w:val="810"/>
    <w:next w:val="895"/>
    <w:link w:val="785"/>
    <w:pPr>
      <w:spacing w:line="360" w:lineRule="auto"/>
    </w:pPr>
    <w:rPr>
      <w:rFonts w:ascii="Tahoma" w:hAnsi="Tahoma"/>
      <w:sz w:val="24"/>
      <w:szCs w:val="24"/>
    </w:rPr>
  </w:style>
  <w:style w:type="paragraph" w:styleId="896">
    <w:name w:val="列出段落"/>
    <w:basedOn w:val="785"/>
    <w:next w:val="896"/>
    <w:link w:val="785"/>
    <w:qFormat/>
    <w:pPr>
      <w:contextualSpacing/>
      <w:ind w:left="720"/>
      <w:jc w:val="left"/>
      <w:widowControl/>
    </w:pPr>
    <w:rPr>
      <w:rFonts w:ascii="Calibri" w:hAnsi="Calibri" w:eastAsia="宋体" w:cs="Times New Roman"/>
      <w:sz w:val="24"/>
      <w:szCs w:val="24"/>
      <w:lang w:eastAsia="en-US" w:bidi="en-US"/>
    </w:rPr>
  </w:style>
  <w:style w:type="paragraph" w:styleId="897">
    <w:name w:val="4"/>
    <w:basedOn w:val="785"/>
    <w:next w:val="842"/>
    <w:link w:val="785"/>
    <w:pPr>
      <w:ind w:firstLine="420"/>
      <w:spacing w:line="360" w:lineRule="auto"/>
    </w:pPr>
    <w:rPr>
      <w:rFonts w:ascii="Times New Roman" w:hAnsi="Times New Roman" w:eastAsia="宋体" w:cs="Times New Roman"/>
      <w:color w:val="ff0000"/>
      <w:sz w:val="24"/>
      <w:szCs w:val="24"/>
    </w:rPr>
  </w:style>
  <w:style w:type="paragraph" w:styleId="898">
    <w:name w:val="普通 (Web)"/>
    <w:basedOn w:val="785"/>
    <w:next w:val="898"/>
    <w:link w:val="785"/>
    <w:pPr>
      <w:jc w:val="left"/>
      <w:spacing w:before="100" w:beforeAutospacing="1" w:after="100" w:afterAutospacing="1"/>
      <w:widowControl/>
    </w:pPr>
    <w:rPr>
      <w:rFonts w:ascii="宋体" w:hAnsi="宋体" w:eastAsia="宋体" w:cs="Times New Roman"/>
      <w:sz w:val="24"/>
      <w:szCs w:val="24"/>
    </w:rPr>
  </w:style>
  <w:style w:type="paragraph" w:styleId="899">
    <w:name w:val=" Char Char Char Char Char Char Char Char Char Char"/>
    <w:basedOn w:val="785"/>
    <w:next w:val="899"/>
    <w:link w:val="785"/>
    <w:pPr>
      <w:spacing w:line="360" w:lineRule="auto"/>
    </w:pPr>
    <w:rPr>
      <w:rFonts w:ascii="Times New Roman" w:hAnsi="Times New Roman" w:eastAsia="宋体" w:cs="Times New Roman"/>
      <w:sz w:val="24"/>
      <w:szCs w:val="20"/>
    </w:rPr>
  </w:style>
  <w:style w:type="paragraph" w:styleId="900">
    <w:name w:val="样式1"/>
    <w:basedOn w:val="785"/>
    <w:next w:val="900"/>
    <w:link w:val="785"/>
    <w:pPr>
      <w:numPr>
        <w:ilvl w:val="0"/>
        <w:numId w:val="3"/>
      </w:numPr>
      <w:tabs>
        <w:tab w:val="left" w:pos="709" w:leader="none"/>
      </w:tabs>
    </w:pPr>
    <w:rPr>
      <w:rFonts w:ascii="宋体" w:hAnsi="宋体" w:eastAsia="宋体" w:cs="Times New Roman"/>
      <w:szCs w:val="21"/>
    </w:rPr>
  </w:style>
  <w:style w:type="paragraph" w:styleId="901">
    <w:name w:val="font6"/>
    <w:basedOn w:val="785"/>
    <w:next w:val="901"/>
    <w:link w:val="785"/>
    <w:pPr>
      <w:jc w:val="left"/>
      <w:spacing w:before="100" w:beforeAutospacing="1" w:after="100" w:afterAutospacing="1"/>
      <w:widowControl/>
    </w:pPr>
    <w:rPr>
      <w:rFonts w:hint="eastAsia" w:ascii="宋体" w:hAnsi="宋体" w:eastAsia="宋体" w:cs="Times New Roman"/>
      <w:sz w:val="28"/>
      <w:szCs w:val="28"/>
      <w:u w:val="single"/>
    </w:rPr>
  </w:style>
  <w:style w:type="paragraph" w:styleId="902">
    <w:name w:val="xl25"/>
    <w:basedOn w:val="785"/>
    <w:next w:val="902"/>
    <w:link w:val="7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3">
    <w:name w:val="图标"/>
    <w:basedOn w:val="785"/>
    <w:next w:val="785"/>
    <w:link w:val="7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4">
    <w:name w:val="标题3"/>
    <w:basedOn w:val="785"/>
    <w:next w:val="785"/>
    <w:link w:val="785"/>
    <w:pPr>
      <w:ind w:firstLine="624"/>
      <w:spacing w:line="590" w:lineRule="atLeast"/>
    </w:pPr>
    <w:rPr>
      <w:rFonts w:ascii="方正黑体_GBK" w:hAnsi="Times New Roman" w:eastAsia="方正黑体_GBK" w:cs="Times New Roman"/>
      <w:sz w:val="32"/>
      <w:szCs w:val="32"/>
    </w:rPr>
  </w:style>
  <w:style w:type="paragraph" w:styleId="905">
    <w:name w:val="xl24"/>
    <w:basedOn w:val="785"/>
    <w:next w:val="905"/>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6">
    <w:name w:val="xl29"/>
    <w:basedOn w:val="785"/>
    <w:next w:val="906"/>
    <w:link w:val="7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7">
    <w:name w:val="Char Char Char Char Char Char Char Char"/>
    <w:basedOn w:val="785"/>
    <w:next w:val="907"/>
    <w:link w:val="785"/>
    <w:pPr>
      <w:jc w:val="left"/>
      <w:spacing w:after="160" w:line="240" w:lineRule="exact"/>
      <w:widowControl/>
    </w:pPr>
    <w:rPr>
      <w:rFonts w:ascii="Verdana" w:hAnsi="Verdana" w:eastAsia="宋体" w:cs="Times New Roman"/>
      <w:sz w:val="20"/>
      <w:szCs w:val="20"/>
      <w:lang w:eastAsia="en-US"/>
    </w:rPr>
  </w:style>
  <w:style w:type="paragraph" w:styleId="908">
    <w:name w:val="xl28"/>
    <w:basedOn w:val="785"/>
    <w:next w:val="908"/>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9">
    <w:name w:val=" Char Char Char Char Char Char Char Char"/>
    <w:basedOn w:val="785"/>
    <w:next w:val="909"/>
    <w:link w:val="785"/>
    <w:pPr>
      <w:jc w:val="left"/>
      <w:spacing w:after="160" w:line="240" w:lineRule="exact"/>
      <w:widowControl/>
    </w:pPr>
    <w:rPr>
      <w:rFonts w:ascii="Verdana" w:hAnsi="Verdana" w:eastAsia="宋体" w:cs="Times New Roman"/>
      <w:sz w:val="20"/>
      <w:szCs w:val="20"/>
      <w:lang w:eastAsia="en-US"/>
    </w:rPr>
  </w:style>
  <w:style w:type="paragraph" w:styleId="910">
    <w:name w:val="xl30"/>
    <w:basedOn w:val="785"/>
    <w:next w:val="910"/>
    <w:link w:val="785"/>
    <w:pPr>
      <w:jc w:val="center"/>
      <w:spacing w:before="100" w:beforeAutospacing="1" w:after="100" w:afterAutospacing="1"/>
      <w:widowControl/>
    </w:pPr>
    <w:rPr>
      <w:rFonts w:ascii="宋体" w:hAnsi="宋体" w:eastAsia="宋体" w:cs="Times New Roman"/>
      <w:b/>
      <w:bCs/>
      <w:sz w:val="36"/>
      <w:szCs w:val="36"/>
    </w:rPr>
  </w:style>
  <w:style w:type="paragraph" w:styleId="911">
    <w:name w:val="Char Char Char Char"/>
    <w:basedOn w:val="810"/>
    <w:next w:val="911"/>
    <w:link w:val="785"/>
    <w:pPr>
      <w:spacing w:line="360" w:lineRule="auto"/>
    </w:pPr>
    <w:rPr>
      <w:rFonts w:ascii="Tahoma" w:hAnsi="Tahoma"/>
      <w:sz w:val="24"/>
      <w:szCs w:val="24"/>
    </w:rPr>
  </w:style>
  <w:style w:type="paragraph" w:styleId="912">
    <w:name w:val="table_1stline"/>
    <w:basedOn w:val="785"/>
    <w:next w:val="912"/>
    <w:link w:val="785"/>
    <w:pPr>
      <w:jc w:val="left"/>
      <w:spacing w:before="120"/>
      <w:widowControl/>
    </w:pPr>
    <w:rPr>
      <w:rFonts w:ascii="Times New Roman" w:hAnsi="Times New Roman" w:eastAsia="宋体" w:cs="Times New Roman"/>
      <w:bCs/>
      <w:sz w:val="20"/>
      <w:szCs w:val="20"/>
      <w:lang w:val="de-DE" w:eastAsia="de-DE"/>
    </w:rPr>
  </w:style>
  <w:style w:type="paragraph" w:styleId="913">
    <w:name w:val="font5"/>
    <w:basedOn w:val="785"/>
    <w:next w:val="913"/>
    <w:link w:val="785"/>
    <w:pPr>
      <w:jc w:val="left"/>
      <w:spacing w:before="100" w:beforeAutospacing="1" w:after="100" w:afterAutospacing="1"/>
      <w:widowControl/>
    </w:pPr>
    <w:rPr>
      <w:rFonts w:hint="eastAsia" w:ascii="宋体" w:hAnsi="宋体" w:eastAsia="宋体" w:cs="Times New Roman"/>
      <w:sz w:val="28"/>
      <w:szCs w:val="28"/>
    </w:rPr>
  </w:style>
  <w:style w:type="paragraph" w:styleId="914">
    <w:name w:val="标题1"/>
    <w:basedOn w:val="785"/>
    <w:next w:val="785"/>
    <w:link w:val="7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15">
    <w:name w:val="修订"/>
    <w:next w:val="915"/>
    <w:link w:val="785"/>
    <w:uiPriority w:val="99"/>
    <w:semiHidden/>
    <w:rPr>
      <w:rFonts w:ascii="Times New Roman" w:hAnsi="Times New Roman"/>
      <w:sz w:val="21"/>
      <w:szCs w:val="21"/>
      <w:lang w:val="en-US" w:eastAsia="zh-CN" w:bidi="ar-SA"/>
    </w:rPr>
  </w:style>
  <w:style w:type="paragraph" w:styleId="916">
    <w:name w:val="无间隔"/>
    <w:next w:val="916"/>
    <w:link w:val="785"/>
    <w:uiPriority w:val="99"/>
    <w:qFormat/>
    <w:pPr>
      <w:jc w:val="both"/>
      <w:widowControl w:val="off"/>
    </w:pPr>
    <w:rPr>
      <w:rFonts w:ascii="Times New Roman" w:hAnsi="Times New Roman"/>
      <w:sz w:val="21"/>
      <w:szCs w:val="21"/>
      <w:lang w:val="en-US" w:eastAsia="zh-CN" w:bidi="ar-SA"/>
    </w:rPr>
  </w:style>
  <w:style w:type="paragraph" w:styleId="917">
    <w:name w:val="正文文本1"/>
    <w:basedOn w:val="785"/>
    <w:next w:val="785"/>
    <w:link w:val="785"/>
    <w:uiPriority w:val="99"/>
    <w:unhideWhenUsed/>
    <w:qFormat/>
    <w:pPr>
      <w:spacing w:after="120"/>
    </w:pPr>
  </w:style>
  <w:style w:type="paragraph" w:styleId="918">
    <w:name w:val="信息标题1"/>
    <w:basedOn w:val="785"/>
    <w:next w:val="785"/>
    <w:link w:val="78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9">
    <w:name w:val="UserStyle_0"/>
    <w:next w:val="919"/>
    <w:link w:val="785"/>
    <w:qFormat/>
    <w:rPr>
      <w:rFonts w:ascii="仿宋_GB2312" w:hAnsi="Times New Roman" w:eastAsia="仿宋_GB2312" w:cs="Times New Roman"/>
      <w:color w:val="000000"/>
      <w:sz w:val="24"/>
      <w:szCs w:val="24"/>
      <w:lang w:val="en-US" w:eastAsia="zh-CN" w:bidi="ar-SA"/>
    </w:rPr>
  </w:style>
  <w:style w:type="paragraph" w:styleId="920">
    <w:name w:val="正文 A"/>
    <w:next w:val="920"/>
    <w:link w:val="785"/>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921">
    <w:name w:val="fc01294d3e-4153-482a-aea1-4b54892b7913-0"/>
    <w:basedOn w:val="795"/>
    <w:next w:val="921"/>
    <w:link w:val="785"/>
    <w:qFormat/>
  </w:style>
  <w:style w:type="character" w:styleId="922">
    <w:name w:val="font11"/>
    <w:basedOn w:val="795"/>
    <w:next w:val="922"/>
    <w:link w:val="785"/>
    <w:rPr>
      <w:rFonts w:hint="eastAsia" w:ascii="宋体" w:hAnsi="宋体" w:eastAsia="宋体" w:cs="宋体"/>
      <w:i w:val="0"/>
      <w:iCs w:val="0"/>
      <w:color w:val="4f81bd"/>
      <w:sz w:val="22"/>
      <w:szCs w:val="22"/>
      <w:u w:val="none"/>
    </w:rPr>
  </w:style>
  <w:style w:type="character" w:styleId="923">
    <w:name w:val="font01"/>
    <w:basedOn w:val="795"/>
    <w:next w:val="923"/>
    <w:link w:val="785"/>
    <w:rPr>
      <w:rFonts w:hint="eastAsia" w:ascii="宋体" w:hAnsi="宋体" w:eastAsia="宋体" w:cs="宋体"/>
      <w:i w:val="0"/>
      <w:iCs w:val="0"/>
      <w:color w:val="000000"/>
      <w:sz w:val="22"/>
      <w:szCs w:val="22"/>
      <w:u w:val="none"/>
    </w:rPr>
  </w:style>
  <w:style w:type="character" w:styleId="924">
    <w:name w:val="layui-layer-tabnow"/>
    <w:basedOn w:val="795"/>
    <w:next w:val="924"/>
    <w:link w:val="785"/>
    <w:rPr>
      <w:shd w:val="clear" w:color="auto" w:fill="ffffff"/>
    </w:rPr>
  </w:style>
  <w:style w:type="character" w:styleId="925">
    <w:name w:val="first-child1"/>
    <w:basedOn w:val="795"/>
    <w:next w:val="925"/>
    <w:link w:val="785"/>
  </w:style>
  <w:style w:type="paragraph" w:styleId="926">
    <w:name w:val="AONormal"/>
    <w:next w:val="926"/>
    <w:link w:val="785"/>
    <w:qFormat/>
    <w:pPr>
      <w:ind w:firstLine="440"/>
      <w:spacing w:line="400" w:lineRule="exact"/>
    </w:pPr>
    <w:rPr>
      <w:rFonts w:ascii="华文楷体" w:hAnsi="华文楷体" w:eastAsia="华文楷体" w:cs="华文楷体"/>
      <w:sz w:val="22"/>
      <w:szCs w:val="21"/>
      <w:lang w:val="en-US" w:eastAsia="zh-CN" w:bidi="ar-SA"/>
    </w:rPr>
  </w:style>
  <w:style w:type="paragraph" w:styleId="927">
    <w:name w:val="正文1"/>
    <w:basedOn w:val="785"/>
    <w:next w:val="927"/>
    <w:link w:val="785"/>
    <w:qFormat/>
    <w:pPr>
      <w:ind w:firstLine="420"/>
      <w:spacing w:line="400" w:lineRule="exact"/>
    </w:pPr>
    <w:rPr>
      <w:rFonts w:ascii="宋体" w:hAnsi="宋体"/>
      <w:szCs w:val="21"/>
    </w:rPr>
  </w:style>
  <w:style w:type="paragraph" w:styleId="928">
    <w:name w:val="样式5"/>
    <w:basedOn w:val="788"/>
    <w:next w:val="928"/>
    <w:link w:val="785"/>
    <w:qFormat/>
    <w:pPr>
      <w:spacing w:line="415" w:lineRule="auto"/>
    </w:pPr>
    <w:rPr>
      <w:sz w:val="28"/>
      <w:szCs w:val="28"/>
    </w:rPr>
  </w:style>
  <w:style w:type="paragraph" w:styleId="929">
    <w:name w:val="无间隔1"/>
    <w:next w:val="929"/>
    <w:link w:val="785"/>
    <w:uiPriority w:val="99"/>
    <w:qFormat/>
    <w:rPr>
      <w:rFonts w:ascii="Tahoma" w:hAnsi="Tahoma" w:eastAsia="微软雅黑" w:cs="Times New Roman"/>
      <w:sz w:val="22"/>
      <w:szCs w:val="22"/>
      <w:lang w:val="en-US" w:eastAsia="zh-CN" w:bidi="ar-SA"/>
    </w:rPr>
  </w:style>
  <w:style w:type="character" w:styleId="930">
    <w:name w:val="fc01294d3e-4153-482a-aea1-4b54892b7913-1"/>
    <w:basedOn w:val="795"/>
    <w:next w:val="930"/>
    <w:link w:val="785"/>
    <w:qFormat/>
  </w:style>
  <w:style w:type="paragraph" w:styleId="931">
    <w:name w:val="正文 New New New New New New New New New New New New New New New New New New New New New New New New New New"/>
    <w:next w:val="931"/>
    <w:link w:val="785"/>
    <w:pPr>
      <w:jc w:val="both"/>
      <w:widowControl w:val="off"/>
    </w:pPr>
    <w:rPr>
      <w:rFonts w:ascii="Times New Roman" w:hAnsi="Times New Roman" w:eastAsia="宋体" w:cs="Times New Roman"/>
      <w:sz w:val="21"/>
      <w:szCs w:val="24"/>
      <w:lang w:val="en-US" w:eastAsia="zh-CN" w:bidi="ar-SA"/>
    </w:rPr>
  </w:style>
  <w:style w:type="paragraph" w:styleId="932">
    <w:name w:val="首行缩进"/>
    <w:basedOn w:val="785"/>
    <w:next w:val="932"/>
    <w:link w:val="785"/>
    <w:qFormat/>
    <w:pPr>
      <w:ind w:firstLine="480"/>
    </w:pPr>
    <w:rPr>
      <w:lang w:val="zh-CN"/>
    </w:rPr>
  </w:style>
  <w:style w:type="paragraph" w:styleId="933">
    <w:name w:val="正文文本11"/>
    <w:basedOn w:val="785"/>
    <w:next w:val="933"/>
    <w:link w:val="785"/>
    <w:qFormat/>
    <w:rPr>
      <w:rFonts w:ascii="仿宋_GB2312" w:eastAsia="仿宋_GB2312"/>
      <w:sz w:val="28"/>
    </w:rPr>
  </w:style>
  <w:style w:type="paragraph" w:styleId="934">
    <w:name w:val="页脚11"/>
    <w:basedOn w:val="785"/>
    <w:next w:val="934"/>
    <w:link w:val="785"/>
    <w:uiPriority w:val="99"/>
    <w:unhideWhenUsed/>
    <w:qFormat/>
    <w:pPr>
      <w:spacing w:after="0" w:line="240" w:lineRule="auto"/>
      <w:tabs>
        <w:tab w:val="center" w:pos="7143" w:leader="none"/>
        <w:tab w:val="right" w:pos="14287" w:leader="none"/>
      </w:tabs>
    </w:pPr>
  </w:style>
  <w:style w:type="paragraph" w:styleId="935">
    <w:name w:val="一级条标题"/>
    <w:basedOn w:val="936"/>
    <w:next w:val="937"/>
    <w:link w:val="7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name w:val="章标题"/>
    <w:next w:val="785"/>
    <w:link w:val="78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7">
    <w:name w:val="段"/>
    <w:next w:val="785"/>
    <w:link w:val="785"/>
    <w:uiPriority w:val="99"/>
    <w:qFormat/>
    <w:pPr>
      <w:ind w:firstLine="200"/>
      <w:jc w:val="both"/>
    </w:pPr>
    <w:rPr>
      <w:rFonts w:ascii="宋体" w:hAnsi="Times New Roman" w:eastAsia="宋体" w:cs="Times New Roman"/>
      <w:sz w:val="22"/>
      <w:lang w:val="en-US" w:eastAsia="zh-CN" w:bidi="ar-SA"/>
    </w:rPr>
  </w:style>
  <w:style w:type="paragraph" w:styleId="938">
    <w:name w:val="普通(网站)12"/>
    <w:basedOn w:val="785"/>
    <w:next w:val="938"/>
    <w:link w:val="785"/>
    <w:unhideWhenUsed/>
    <w:qFormat/>
    <w:pPr>
      <w:jc w:val="left"/>
      <w:spacing w:before="100" w:beforeAutospacing="1" w:after="100" w:afterAutospacing="1"/>
      <w:widowControl/>
    </w:pPr>
    <w:rPr>
      <w:rFonts w:eastAsia="Times New Roman"/>
      <w:sz w:val="24"/>
    </w:rPr>
  </w:style>
  <w:style w:type="paragraph" w:styleId="939">
    <w:name w:val="Table Text"/>
    <w:basedOn w:val="785"/>
    <w:next w:val="939"/>
    <w:link w:val="785"/>
    <w:semiHidden/>
    <w:qFormat/>
    <w:rPr>
      <w:sz w:val="24"/>
      <w:lang w:eastAsia="en-US"/>
    </w:rPr>
  </w:style>
  <w:style w:type="paragraph" w:styleId="940">
    <w:name w:val="文档结构图1"/>
    <w:basedOn w:val="785"/>
    <w:next w:val="785"/>
    <w:link w:val="785"/>
    <w:qFormat/>
    <w:rPr>
      <w:rFonts w:ascii="Calibri" w:hAnsi="Calibri" w:eastAsia="宋体" w:cs="Calibri"/>
      <w:color w:val="000000"/>
      <w:szCs w:val="21"/>
    </w:rPr>
  </w:style>
  <w:style w:type="character" w:styleId="941">
    <w:name w:val="NormalCharacter1"/>
    <w:next w:val="941"/>
    <w:link w:val="785"/>
    <w:semiHidden/>
    <w:qFormat/>
  </w:style>
  <w:style w:type="paragraph" w:styleId="942">
    <w:name w:val="正文首行缩进12"/>
    <w:basedOn w:val="943"/>
    <w:next w:val="942"/>
    <w:link w:val="785"/>
    <w:qFormat/>
    <w:pPr>
      <w:ind w:firstLine="241"/>
      <w:jc w:val="left"/>
      <w:spacing w:after="120" w:line="240" w:lineRule="auto"/>
    </w:pPr>
    <w:rPr>
      <w:rFonts w:ascii="宋体" w:hAnsi="宋体" w:eastAsia="宋体"/>
      <w:b/>
      <w:sz w:val="24"/>
      <w:lang w:val="en-US" w:eastAsia="en-US"/>
    </w:rPr>
  </w:style>
  <w:style w:type="paragraph" w:styleId="943">
    <w:name w:val="正文文本121"/>
    <w:basedOn w:val="785"/>
    <w:next w:val="785"/>
    <w:link w:val="785"/>
    <w:qFormat/>
    <w:pPr>
      <w:spacing w:line="360" w:lineRule="auto"/>
    </w:pPr>
    <w:rPr>
      <w:rFonts w:ascii="楷体_GB2312" w:eastAsia="楷体_GB2312"/>
      <w:bCs/>
      <w:sz w:val="28"/>
    </w:rPr>
  </w:style>
  <w:style w:type="character" w:styleId="16689" w:default="1">
    <w:name w:val="Default Paragraph Font"/>
    <w:uiPriority w:val="1"/>
    <w:semiHidden/>
    <w:unhideWhenUsed/>
  </w:style>
  <w:style w:type="numbering" w:styleId="16690" w:default="1">
    <w:name w:val="No List"/>
    <w:uiPriority w:val="99"/>
    <w:semiHidden/>
    <w:unhideWhenUsed/>
  </w:style>
  <w:style w:type="table" w:styleId="166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3</cp:revision>
  <dcterms:created xsi:type="dcterms:W3CDTF">2023-03-16T02:13:00Z</dcterms:created>
  <dcterms:modified xsi:type="dcterms:W3CDTF">2026-07-31T02:31:43Z</dcterms:modified>
</cp:coreProperties>
</file>